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szCs w:val="32"/>
        </w:rPr>
      </w:pPr>
      <w:r>
        <w:rPr>
          <w:rFonts w:hint="eastAsia" w:ascii="宋体"/>
          <w:b/>
          <w:kern w:val="0"/>
          <w:sz w:val="32"/>
        </w:rPr>
        <w:t>TZCG-</w:t>
      </w:r>
      <w:r>
        <w:rPr>
          <w:rFonts w:hint="eastAsia" w:ascii="宋体"/>
          <w:b/>
          <w:kern w:val="0"/>
          <w:sz w:val="32"/>
          <w:szCs w:val="32"/>
        </w:rPr>
        <w:t>20</w:t>
      </w:r>
      <w:r>
        <w:rPr>
          <w:rFonts w:hint="eastAsia" w:ascii="宋体" w:hAnsi="宋体" w:cs="宋体"/>
          <w:b/>
          <w:kern w:val="0"/>
          <w:sz w:val="32"/>
          <w:szCs w:val="32"/>
        </w:rPr>
        <w:t>22</w:t>
      </w:r>
      <w:r>
        <w:rPr>
          <w:rFonts w:hint="eastAsia" w:ascii="宋体"/>
          <w:b/>
          <w:kern w:val="0"/>
          <w:sz w:val="32"/>
          <w:szCs w:val="32"/>
        </w:rPr>
        <w:t>-GK0</w:t>
      </w:r>
      <w:r>
        <w:rPr>
          <w:rFonts w:ascii="宋体"/>
          <w:b/>
          <w:kern w:val="0"/>
          <w:sz w:val="32"/>
          <w:szCs w:val="32"/>
        </w:rPr>
        <w:t>37</w:t>
      </w:r>
      <w:r>
        <w:rPr>
          <w:rFonts w:hint="eastAsia" w:ascii="宋体"/>
          <w:b/>
          <w:kern w:val="0"/>
          <w:sz w:val="32"/>
          <w:szCs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采购项目：台州市政务服务一体化“数智大厅”建设项目</w:t>
      </w:r>
    </w:p>
    <w:p>
      <w:pPr>
        <w:autoSpaceDE w:val="0"/>
        <w:autoSpaceDN w:val="0"/>
        <w:adjustRightInd w:val="0"/>
        <w:spacing w:line="360" w:lineRule="auto"/>
        <w:jc w:val="center"/>
        <w:rPr>
          <w:rFonts w:ascii="宋体"/>
          <w:kern w:val="0"/>
          <w:sz w:val="28"/>
        </w:rPr>
      </w:pPr>
      <w:r>
        <w:rPr>
          <w:rFonts w:hint="eastAsia" w:ascii="宋体"/>
          <w:kern w:val="0"/>
          <w:sz w:val="28"/>
        </w:rPr>
        <w:t>采 购 人：台州市人民政府行政服务中心</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 xml:space="preserve">2022年 </w:t>
      </w:r>
      <w:r>
        <w:rPr>
          <w:rFonts w:ascii="宋体" w:hAnsi="宋体" w:cs="宋体"/>
          <w:kern w:val="0"/>
          <w:sz w:val="28"/>
          <w:szCs w:val="28"/>
        </w:rPr>
        <w:t>12</w:t>
      </w:r>
      <w:r>
        <w:rPr>
          <w:rFonts w:hint="eastAsia" w:ascii="宋体" w:hAnsi="宋体" w:cs="宋体"/>
          <w:kern w:val="0"/>
          <w:sz w:val="28"/>
          <w:szCs w:val="28"/>
        </w:rPr>
        <w:t xml:space="preserve"> 月 </w:t>
      </w:r>
      <w:r>
        <w:rPr>
          <w:rFonts w:ascii="宋体" w:hAnsi="宋体" w:cs="宋体"/>
          <w:kern w:val="0"/>
          <w:sz w:val="28"/>
          <w:szCs w:val="28"/>
        </w:rPr>
        <w:t>22</w:t>
      </w:r>
      <w:r>
        <w:rPr>
          <w:rFonts w:hint="eastAsia" w:ascii="宋体" w:hAnsi="宋体" w:cs="宋体"/>
          <w:kern w:val="0"/>
          <w:sz w:val="28"/>
          <w:szCs w:val="28"/>
        </w:rPr>
        <w:t xml:space="preserve"> 日</w:t>
      </w:r>
    </w:p>
    <w:p>
      <w:pPr>
        <w:spacing w:line="360" w:lineRule="auto"/>
      </w:pPr>
    </w:p>
    <w:p>
      <w:pPr>
        <w:pStyle w:val="18"/>
      </w:pPr>
    </w:p>
    <w:p>
      <w:pPr>
        <w:pStyle w:val="18"/>
      </w:pPr>
    </w:p>
    <w:p>
      <w:pPr>
        <w:pStyle w:val="18"/>
      </w:pPr>
    </w:p>
    <w:p>
      <w:pPr>
        <w:pStyle w:val="18"/>
      </w:pPr>
    </w:p>
    <w:p>
      <w:pPr>
        <w:pStyle w:val="18"/>
      </w:pPr>
    </w:p>
    <w:sdt>
      <w:sdtPr>
        <w:rPr>
          <w:rFonts w:ascii="宋体" w:hAnsi="宋体"/>
          <w:kern w:val="0"/>
          <w:sz w:val="28"/>
          <w:szCs w:val="28"/>
        </w:rPr>
        <w:id w:val="147471336"/>
      </w:sdtPr>
      <w:sdtEndPr>
        <w:rPr>
          <w:rFonts w:ascii="宋体" w:hAnsi="宋体"/>
          <w:kern w:val="0"/>
          <w:sz w:val="20"/>
          <w:szCs w:val="20"/>
        </w:rPr>
      </w:sdtEndPr>
      <w:sdtContent>
        <w:p>
          <w:pPr>
            <w:spacing w:line="480" w:lineRule="auto"/>
            <w:rPr>
              <w:rFonts w:ascii="宋体" w:hAnsi="宋体"/>
              <w:kern w:val="0"/>
              <w:sz w:val="28"/>
              <w:szCs w:val="28"/>
            </w:rPr>
          </w:pPr>
          <w:bookmarkStart w:id="0" w:name="_Toc25017_WPSOffice_Type1"/>
        </w:p>
        <w:p>
          <w:pPr>
            <w:pStyle w:val="18"/>
          </w:pPr>
        </w:p>
        <w:p>
          <w:pPr>
            <w:spacing w:line="480" w:lineRule="auto"/>
            <w:jc w:val="center"/>
            <w:rPr>
              <w:rFonts w:ascii="宋体" w:hAnsi="宋体"/>
              <w:b/>
              <w:bCs/>
              <w:sz w:val="36"/>
              <w:szCs w:val="36"/>
            </w:rPr>
          </w:pPr>
          <w:r>
            <w:rPr>
              <w:rFonts w:hint="eastAsia" w:ascii="宋体" w:hAnsi="宋体"/>
              <w:b/>
              <w:bCs/>
              <w:sz w:val="36"/>
              <w:szCs w:val="36"/>
            </w:rPr>
            <w:t>目  录</w:t>
          </w:r>
        </w:p>
        <w:p>
          <w:pPr>
            <w:pStyle w:val="20"/>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20"/>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20"/>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20"/>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22</w:t>
          </w:r>
          <w:bookmarkEnd w:id="2"/>
          <w:r>
            <w:rPr>
              <w:rFonts w:hint="eastAsia" w:eastAsiaTheme="minorEastAsia" w:cstheme="minorBidi"/>
              <w:sz w:val="28"/>
              <w:szCs w:val="28"/>
            </w:rPr>
            <w:fldChar w:fldCharType="end"/>
          </w:r>
        </w:p>
        <w:p>
          <w:pPr>
            <w:pStyle w:val="20"/>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35</w:t>
          </w:r>
          <w:bookmarkEnd w:id="3"/>
          <w:r>
            <w:rPr>
              <w:rFonts w:hint="eastAsia" w:eastAsiaTheme="minorEastAsia" w:cstheme="minorBidi"/>
              <w:sz w:val="28"/>
              <w:szCs w:val="28"/>
            </w:rPr>
            <w:fldChar w:fldCharType="end"/>
          </w:r>
        </w:p>
        <w:p>
          <w:pPr>
            <w:pStyle w:val="20"/>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41</w:t>
          </w:r>
          <w:bookmarkEnd w:id="4"/>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3"/>
        <w:ind w:firstLine="480" w:firstLineChars="200"/>
        <w:rPr>
          <w:rFonts w:cs="宋体"/>
          <w:b w:val="0"/>
          <w:sz w:val="24"/>
          <w:szCs w:val="24"/>
        </w:rPr>
      </w:pPr>
      <w:bookmarkStart w:id="6" w:name="_Toc28359002"/>
      <w:bookmarkStart w:id="7" w:name="_Toc35393790"/>
      <w:bookmarkStart w:id="8" w:name="_Toc35393621"/>
      <w:bookmarkStart w:id="9" w:name="_Toc28359079"/>
      <w:bookmarkStart w:id="10" w:name="_Hlk24379207"/>
      <w:r>
        <w:rPr>
          <w:rFonts w:hint="eastAsia" w:cs="宋体"/>
          <w:b w:val="0"/>
          <w:sz w:val="24"/>
          <w:szCs w:val="24"/>
        </w:rPr>
        <w:t>台州市政府采购中心构受台州市人民政府行政服务中心委托，就台州市政务服务一体化“数智大厅”建设项目进行公开招标，欢迎符合资格条件的国内投标人参加投标。</w:t>
      </w:r>
    </w:p>
    <w:p>
      <w:pPr>
        <w:pStyle w:val="3"/>
        <w:ind w:left="420" w:left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项目编号：TZCG-2022-GK0</w:t>
      </w:r>
      <w:r>
        <w:rPr>
          <w:rFonts w:ascii="宋体" w:hAnsi="宋体" w:cs="宋体"/>
          <w:sz w:val="24"/>
        </w:rPr>
        <w:t>37</w:t>
      </w:r>
      <w:r>
        <w:rPr>
          <w:rFonts w:hint="eastAsia" w:ascii="宋体" w:hAnsi="宋体" w:cs="宋体"/>
          <w:sz w:val="24"/>
        </w:rPr>
        <w:t xml:space="preserve"> </w:t>
      </w:r>
      <w:r>
        <w:rPr>
          <w:rFonts w:hint="eastAsia" w:asciiTheme="minorEastAsia" w:hAnsiTheme="minorEastAsia" w:eastAsiaTheme="minorEastAsia" w:cstheme="minorEastAsia"/>
          <w:sz w:val="24"/>
        </w:rPr>
        <w:t>号</w:t>
      </w:r>
    </w:p>
    <w:bookmarkEnd w:id="10"/>
    <w:p>
      <w:pPr>
        <w:spacing w:line="360" w:lineRule="auto"/>
        <w:ind w:firstLine="480" w:firstLineChars="200"/>
        <w:rPr>
          <w:rFonts w:ascii="宋体" w:hAnsi="宋体" w:cs="宋体"/>
          <w:sz w:val="24"/>
        </w:rPr>
      </w:pPr>
      <w:r>
        <w:rPr>
          <w:rFonts w:hint="eastAsia" w:ascii="宋体" w:hAnsi="宋体" w:cs="宋体"/>
          <w:sz w:val="24"/>
        </w:rPr>
        <w:t>项目名称：台州市政务服务一体化“数智大厅”建设项目</w:t>
      </w:r>
    </w:p>
    <w:tbl>
      <w:tblPr>
        <w:tblStyle w:val="27"/>
        <w:tblpPr w:leftFromText="181" w:rightFromText="181" w:bottomFromText="170" w:vertAnchor="text" w:tblpXSpec="center" w:tblpY="1"/>
        <w:tblOverlap w:val="never"/>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063"/>
        <w:gridCol w:w="828"/>
        <w:gridCol w:w="759"/>
        <w:gridCol w:w="1015"/>
        <w:gridCol w:w="1079"/>
        <w:gridCol w:w="1793"/>
        <w:gridCol w:w="832"/>
      </w:tblGrid>
      <w:tr>
        <w:trPr>
          <w:trHeight w:val="773" w:hRule="atLeast"/>
          <w:jc w:val="center"/>
        </w:trPr>
        <w:tc>
          <w:tcPr>
            <w:tcW w:w="734"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063"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828"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5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015"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079"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w:t>
            </w:r>
          </w:p>
          <w:p>
            <w:pPr>
              <w:tabs>
                <w:tab w:val="left" w:pos="8280"/>
              </w:tabs>
              <w:autoSpaceDE w:val="0"/>
              <w:autoSpaceDN w:val="0"/>
              <w:adjustRightInd w:val="0"/>
              <w:jc w:val="center"/>
              <w:rPr>
                <w:b/>
                <w:szCs w:val="21"/>
              </w:rPr>
            </w:pPr>
            <w:r>
              <w:rPr>
                <w:rFonts w:hint="eastAsia" w:ascii="宋体" w:hAnsi="宋体"/>
                <w:b/>
                <w:szCs w:val="21"/>
              </w:rPr>
              <w:t>（万元）</w:t>
            </w:r>
          </w:p>
        </w:tc>
        <w:tc>
          <w:tcPr>
            <w:tcW w:w="1793" w:type="dxa"/>
            <w:vAlign w:val="center"/>
          </w:tcPr>
          <w:p>
            <w:pPr>
              <w:jc w:val="center"/>
              <w:rPr>
                <w:rFonts w:ascii="宋体" w:hAnsi="宋体" w:cs="宋体"/>
                <w:b/>
                <w:szCs w:val="21"/>
              </w:rPr>
            </w:pPr>
            <w:r>
              <w:rPr>
                <w:rFonts w:hint="eastAsia"/>
                <w:b/>
                <w:szCs w:val="21"/>
              </w:rPr>
              <w:t>服务/交付期</w:t>
            </w:r>
          </w:p>
        </w:tc>
        <w:tc>
          <w:tcPr>
            <w:tcW w:w="832" w:type="dxa"/>
            <w:vAlign w:val="center"/>
          </w:tcPr>
          <w:p>
            <w:pPr>
              <w:tabs>
                <w:tab w:val="left" w:pos="8280"/>
              </w:tabs>
              <w:autoSpaceDE w:val="0"/>
              <w:autoSpaceDN w:val="0"/>
              <w:adjustRightInd w:val="0"/>
              <w:ind w:right="25"/>
              <w:jc w:val="center"/>
              <w:rPr>
                <w:b/>
                <w:szCs w:val="21"/>
              </w:rPr>
            </w:pPr>
            <w:r>
              <w:rPr>
                <w:rFonts w:hint="eastAsia"/>
                <w:b/>
                <w:szCs w:val="21"/>
              </w:rPr>
              <w:t>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734"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2063" w:type="dxa"/>
            <w:vAlign w:val="center"/>
          </w:tcPr>
          <w:p>
            <w:pPr>
              <w:tabs>
                <w:tab w:val="left" w:pos="8280"/>
              </w:tabs>
              <w:autoSpaceDE w:val="0"/>
              <w:autoSpaceDN w:val="0"/>
              <w:adjustRightInd w:val="0"/>
              <w:rPr>
                <w:rFonts w:ascii="宋体" w:hAnsi="宋体" w:cs="宋体"/>
                <w:kern w:val="0"/>
                <w:szCs w:val="21"/>
              </w:rPr>
            </w:pPr>
            <w:r>
              <w:rPr>
                <w:rFonts w:hint="eastAsia"/>
                <w:szCs w:val="21"/>
              </w:rPr>
              <w:t>台州市政务服务一体化“数智大厅”软件平台建设</w:t>
            </w:r>
          </w:p>
        </w:tc>
        <w:tc>
          <w:tcPr>
            <w:tcW w:w="828" w:type="dxa"/>
            <w:vAlign w:val="center"/>
          </w:tcPr>
          <w:p>
            <w:pPr>
              <w:tabs>
                <w:tab w:val="left" w:pos="8280"/>
              </w:tabs>
              <w:autoSpaceDE w:val="0"/>
              <w:autoSpaceDN w:val="0"/>
              <w:adjustRightInd w:val="0"/>
              <w:jc w:val="center"/>
              <w:rPr>
                <w:rFonts w:ascii="宋体" w:hAnsi="宋体" w:cs="宋体"/>
                <w:kern w:val="0"/>
                <w:szCs w:val="21"/>
              </w:rPr>
            </w:pPr>
            <w:r>
              <w:rPr>
                <w:rFonts w:hint="eastAsia" w:ascii="宋体" w:hAnsi="宋体" w:cs="宋体"/>
                <w:kern w:val="0"/>
                <w:szCs w:val="21"/>
              </w:rPr>
              <w:t>1</w:t>
            </w:r>
          </w:p>
        </w:tc>
        <w:tc>
          <w:tcPr>
            <w:tcW w:w="759" w:type="dxa"/>
            <w:vAlign w:val="center"/>
          </w:tcPr>
          <w:p>
            <w:pPr>
              <w:tabs>
                <w:tab w:val="left" w:pos="8280"/>
              </w:tabs>
              <w:autoSpaceDE w:val="0"/>
              <w:autoSpaceDN w:val="0"/>
              <w:adjustRightInd w:val="0"/>
              <w:jc w:val="center"/>
              <w:rPr>
                <w:rFonts w:ascii="宋体" w:hAnsi="宋体" w:cs="宋体"/>
                <w:kern w:val="0"/>
                <w:szCs w:val="21"/>
              </w:rPr>
            </w:pPr>
            <w:r>
              <w:rPr>
                <w:rFonts w:ascii="宋体" w:hAnsi="宋体" w:cs="宋体"/>
                <w:kern w:val="0"/>
                <w:szCs w:val="21"/>
              </w:rPr>
              <w:t>项</w:t>
            </w:r>
          </w:p>
        </w:tc>
        <w:tc>
          <w:tcPr>
            <w:tcW w:w="1015" w:type="dxa"/>
            <w:vAlign w:val="center"/>
          </w:tcPr>
          <w:p>
            <w:pPr>
              <w:jc w:val="center"/>
              <w:rPr>
                <w:rFonts w:ascii="宋体" w:hAnsi="宋体" w:cs="宋体"/>
                <w:kern w:val="0"/>
                <w:szCs w:val="21"/>
              </w:rPr>
            </w:pPr>
            <w:r>
              <w:rPr>
                <w:rFonts w:hint="eastAsia"/>
                <w:szCs w:val="21"/>
              </w:rPr>
              <w:t>1</w:t>
            </w:r>
            <w:r>
              <w:rPr>
                <w:szCs w:val="21"/>
              </w:rPr>
              <w:t>4</w:t>
            </w:r>
            <w:r>
              <w:rPr>
                <w:rFonts w:hint="eastAsia"/>
                <w:szCs w:val="21"/>
              </w:rPr>
              <w:t>6</w:t>
            </w:r>
            <w:r>
              <w:rPr>
                <w:szCs w:val="21"/>
              </w:rPr>
              <w:t>.5</w:t>
            </w:r>
          </w:p>
        </w:tc>
        <w:tc>
          <w:tcPr>
            <w:tcW w:w="1079" w:type="dxa"/>
            <w:vAlign w:val="center"/>
          </w:tcPr>
          <w:p>
            <w:pPr>
              <w:jc w:val="center"/>
              <w:rPr>
                <w:szCs w:val="21"/>
              </w:rPr>
            </w:pPr>
            <w:r>
              <w:rPr>
                <w:rFonts w:hint="eastAsia"/>
              </w:rPr>
              <w:t>1</w:t>
            </w:r>
            <w:r>
              <w:t>4</w:t>
            </w:r>
            <w:r>
              <w:rPr>
                <w:rFonts w:hint="eastAsia"/>
              </w:rPr>
              <w:t>6</w:t>
            </w:r>
            <w:r>
              <w:t>.5</w:t>
            </w:r>
          </w:p>
        </w:tc>
        <w:tc>
          <w:tcPr>
            <w:tcW w:w="1793" w:type="dxa"/>
            <w:vAlign w:val="center"/>
          </w:tcPr>
          <w:p>
            <w:pPr>
              <w:jc w:val="left"/>
              <w:rPr>
                <w:rFonts w:ascii="宋体" w:hAnsi="宋体" w:cs="宋体"/>
                <w:kern w:val="0"/>
                <w:szCs w:val="21"/>
              </w:rPr>
            </w:pPr>
            <w:r>
              <w:rPr>
                <w:rFonts w:hint="eastAsia"/>
                <w:szCs w:val="21"/>
              </w:rPr>
              <w:t>合同签订后3个月内完成系统开发并部署应用</w:t>
            </w:r>
          </w:p>
        </w:tc>
        <w:tc>
          <w:tcPr>
            <w:tcW w:w="832" w:type="dxa"/>
            <w:vMerge w:val="restart"/>
            <w:vAlign w:val="center"/>
          </w:tcPr>
          <w:p>
            <w:pPr>
              <w:jc w:val="center"/>
            </w:pPr>
            <w:r>
              <w:rPr>
                <w:rFonts w:hint="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734" w:type="dxa"/>
            <w:vAlign w:val="center"/>
          </w:tcPr>
          <w:p>
            <w:pPr>
              <w:tabs>
                <w:tab w:val="left" w:pos="8280"/>
              </w:tabs>
              <w:autoSpaceDE w:val="0"/>
              <w:autoSpaceDN w:val="0"/>
              <w:adjustRightInd w:val="0"/>
              <w:jc w:val="center"/>
              <w:rPr>
                <w:rFonts w:ascii="宋体" w:hAnsi="宋体" w:cs="宋体"/>
                <w:b/>
                <w:szCs w:val="21"/>
              </w:rPr>
            </w:pPr>
            <w:bookmarkStart w:id="11" w:name="_Toc35393791"/>
            <w:bookmarkStart w:id="12" w:name="_Toc28359080"/>
            <w:bookmarkStart w:id="13" w:name="_Toc35393622"/>
            <w:bookmarkStart w:id="14" w:name="_Toc28359003"/>
            <w:r>
              <w:rPr>
                <w:rFonts w:hint="eastAsia" w:ascii="宋体" w:hAnsi="宋体" w:cs="宋体"/>
                <w:b/>
                <w:szCs w:val="21"/>
              </w:rPr>
              <w:t>2</w:t>
            </w:r>
          </w:p>
        </w:tc>
        <w:tc>
          <w:tcPr>
            <w:tcW w:w="2063" w:type="dxa"/>
            <w:vAlign w:val="center"/>
          </w:tcPr>
          <w:p>
            <w:pPr>
              <w:tabs>
                <w:tab w:val="left" w:pos="8280"/>
              </w:tabs>
              <w:autoSpaceDE w:val="0"/>
              <w:autoSpaceDN w:val="0"/>
              <w:adjustRightInd w:val="0"/>
              <w:rPr>
                <w:rFonts w:ascii="宋体" w:hAnsi="宋体" w:cs="宋体"/>
                <w:kern w:val="0"/>
                <w:szCs w:val="21"/>
              </w:rPr>
            </w:pPr>
            <w:r>
              <w:rPr>
                <w:rFonts w:hint="eastAsia"/>
                <w:szCs w:val="21"/>
              </w:rPr>
              <w:t>台州市政务服务一体化“数智大厅”硬件设备</w:t>
            </w:r>
          </w:p>
        </w:tc>
        <w:tc>
          <w:tcPr>
            <w:tcW w:w="828" w:type="dxa"/>
            <w:vAlign w:val="center"/>
          </w:tcPr>
          <w:p>
            <w:pPr>
              <w:tabs>
                <w:tab w:val="left" w:pos="8280"/>
              </w:tabs>
              <w:autoSpaceDE w:val="0"/>
              <w:autoSpaceDN w:val="0"/>
              <w:adjustRightInd w:val="0"/>
              <w:jc w:val="center"/>
              <w:rPr>
                <w:rFonts w:ascii="宋体" w:hAnsi="宋体" w:cs="宋体"/>
                <w:kern w:val="0"/>
                <w:szCs w:val="21"/>
              </w:rPr>
            </w:pPr>
            <w:r>
              <w:rPr>
                <w:rFonts w:hint="eastAsia" w:ascii="宋体" w:hAnsi="宋体" w:cs="宋体"/>
                <w:kern w:val="0"/>
                <w:szCs w:val="21"/>
              </w:rPr>
              <w:t>1</w:t>
            </w:r>
          </w:p>
        </w:tc>
        <w:tc>
          <w:tcPr>
            <w:tcW w:w="759" w:type="dxa"/>
            <w:vAlign w:val="center"/>
          </w:tcPr>
          <w:p>
            <w:pPr>
              <w:tabs>
                <w:tab w:val="left" w:pos="8280"/>
              </w:tabs>
              <w:autoSpaceDE w:val="0"/>
              <w:autoSpaceDN w:val="0"/>
              <w:adjustRightInd w:val="0"/>
              <w:jc w:val="center"/>
              <w:rPr>
                <w:rFonts w:ascii="宋体" w:hAnsi="宋体" w:cs="宋体"/>
                <w:kern w:val="0"/>
                <w:szCs w:val="21"/>
              </w:rPr>
            </w:pPr>
            <w:r>
              <w:rPr>
                <w:rFonts w:ascii="宋体" w:hAnsi="宋体" w:cs="宋体"/>
                <w:kern w:val="0"/>
                <w:szCs w:val="21"/>
              </w:rPr>
              <w:t>批</w:t>
            </w:r>
          </w:p>
        </w:tc>
        <w:tc>
          <w:tcPr>
            <w:tcW w:w="1015" w:type="dxa"/>
            <w:vAlign w:val="center"/>
          </w:tcPr>
          <w:p>
            <w:pPr>
              <w:jc w:val="center"/>
              <w:rPr>
                <w:rFonts w:ascii="宋体" w:hAnsi="宋体" w:cs="宋体"/>
                <w:kern w:val="0"/>
                <w:szCs w:val="21"/>
              </w:rPr>
            </w:pPr>
            <w:r>
              <w:rPr>
                <w:rFonts w:hint="eastAsia"/>
                <w:szCs w:val="21"/>
              </w:rPr>
              <w:t>1</w:t>
            </w:r>
            <w:r>
              <w:rPr>
                <w:szCs w:val="21"/>
              </w:rPr>
              <w:t>05</w:t>
            </w:r>
          </w:p>
        </w:tc>
        <w:tc>
          <w:tcPr>
            <w:tcW w:w="1079" w:type="dxa"/>
            <w:vAlign w:val="center"/>
          </w:tcPr>
          <w:p>
            <w:pPr>
              <w:jc w:val="center"/>
              <w:rPr>
                <w:szCs w:val="21"/>
              </w:rPr>
            </w:pPr>
            <w:r>
              <w:rPr>
                <w:rFonts w:hint="eastAsia"/>
              </w:rPr>
              <w:t>1</w:t>
            </w:r>
            <w:r>
              <w:t>05</w:t>
            </w:r>
          </w:p>
        </w:tc>
        <w:tc>
          <w:tcPr>
            <w:tcW w:w="1793" w:type="dxa"/>
            <w:vAlign w:val="center"/>
          </w:tcPr>
          <w:p>
            <w:pPr>
              <w:rPr>
                <w:rFonts w:ascii="宋体" w:hAnsi="宋体" w:cs="宋体"/>
                <w:kern w:val="0"/>
                <w:szCs w:val="21"/>
              </w:rPr>
            </w:pPr>
            <w:r>
              <w:rPr>
                <w:rFonts w:hint="eastAsia"/>
                <w:szCs w:val="21"/>
              </w:rPr>
              <w:t>合同签订之日起60日内</w:t>
            </w:r>
          </w:p>
        </w:tc>
        <w:tc>
          <w:tcPr>
            <w:tcW w:w="832" w:type="dxa"/>
            <w:vMerge w:val="continue"/>
            <w:vAlign w:val="center"/>
          </w:tcPr>
          <w:p/>
        </w:tc>
      </w:tr>
    </w:tbl>
    <w:p>
      <w:pPr>
        <w:pStyle w:val="3"/>
        <w:ind w:left="420" w:leftChars="200" w:right="0"/>
        <w:rPr>
          <w:rFonts w:cs="宋体"/>
          <w:bCs/>
          <w:sz w:val="24"/>
          <w:szCs w:val="24"/>
        </w:rPr>
      </w:pPr>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28359081"/>
      <w:bookmarkStart w:id="16" w:name="_Toc35393792"/>
      <w:bookmarkStart w:id="17" w:name="_Toc35393623"/>
      <w:bookmarkStart w:id="18" w:name="_Toc28359004"/>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color w:val="0000FF"/>
          <w:sz w:val="24"/>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3"/>
        <w:ind w:left="420" w:leftChars="200" w:right="0"/>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sz w:val="24"/>
          <w:u w:val="single"/>
        </w:rPr>
      </w:pPr>
      <w:r>
        <w:rPr>
          <w:rFonts w:hint="eastAsia" w:ascii="宋体" w:hAnsi="宋体" w:cs="宋体"/>
          <w:sz w:val="24"/>
        </w:rPr>
        <w:t>（一）时间：</w:t>
      </w:r>
      <w:r>
        <w:rPr>
          <w:rFonts w:hint="eastAsia" w:ascii="宋体" w:hAnsi="宋体" w:cs="宋体"/>
          <w:sz w:val="24"/>
          <w:u w:val="single"/>
        </w:rPr>
        <w:t>2022年</w:t>
      </w:r>
      <w:r>
        <w:rPr>
          <w:rFonts w:ascii="宋体" w:hAnsi="宋体" w:cs="宋体"/>
          <w:sz w:val="24"/>
          <w:u w:val="single"/>
        </w:rPr>
        <w:t>12</w:t>
      </w:r>
      <w:r>
        <w:rPr>
          <w:rFonts w:hint="eastAsia" w:ascii="宋体" w:hAnsi="宋体" w:cs="宋体"/>
          <w:sz w:val="24"/>
          <w:u w:val="single"/>
        </w:rPr>
        <w:t>月</w:t>
      </w:r>
      <w:r>
        <w:rPr>
          <w:rFonts w:hint="default" w:ascii="宋体" w:hAnsi="宋体" w:cs="宋体"/>
          <w:sz w:val="24"/>
          <w:u w:val="single"/>
        </w:rPr>
        <w:t>30</w:t>
      </w:r>
      <w:r>
        <w:rPr>
          <w:rFonts w:hint="eastAsia" w:ascii="宋体" w:hAnsi="宋体" w:cs="宋体"/>
          <w:sz w:val="24"/>
          <w:u w:val="single"/>
        </w:rPr>
        <w:t>日至202</w:t>
      </w:r>
      <w:r>
        <w:rPr>
          <w:rFonts w:hint="default" w:ascii="宋体" w:hAnsi="宋体" w:cs="宋体"/>
          <w:sz w:val="24"/>
          <w:u w:val="single"/>
        </w:rPr>
        <w:t>3</w:t>
      </w:r>
      <w:r>
        <w:rPr>
          <w:rFonts w:hint="eastAsia" w:ascii="宋体" w:hAnsi="宋体" w:cs="宋体"/>
          <w:sz w:val="24"/>
          <w:u w:val="single"/>
        </w:rPr>
        <w:t>年</w:t>
      </w:r>
      <w:r>
        <w:rPr>
          <w:rFonts w:ascii="宋体" w:hAnsi="宋体" w:cs="宋体"/>
          <w:sz w:val="24"/>
          <w:u w:val="single"/>
        </w:rPr>
        <w:t>1</w:t>
      </w:r>
      <w:r>
        <w:rPr>
          <w:rFonts w:hint="eastAsia" w:ascii="宋体" w:hAnsi="宋体" w:cs="宋体"/>
          <w:sz w:val="24"/>
          <w:u w:val="single"/>
        </w:rPr>
        <w:t>月</w:t>
      </w:r>
      <w:r>
        <w:rPr>
          <w:rFonts w:hint="default" w:ascii="宋体" w:hAnsi="宋体" w:cs="宋体"/>
          <w:sz w:val="24"/>
          <w:u w:val="single"/>
        </w:rPr>
        <w:t>9</w:t>
      </w:r>
      <w:r>
        <w:rPr>
          <w:rFonts w:hint="eastAsia" w:ascii="宋体" w:hAnsi="宋体" w:cs="宋体"/>
          <w:sz w:val="24"/>
          <w:u w:val="single"/>
        </w:rPr>
        <w:t>日</w:t>
      </w:r>
    </w:p>
    <w:p>
      <w:pPr>
        <w:pStyle w:val="29"/>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3"/>
        <w:ind w:left="420" w:leftChars="200" w:right="0"/>
        <w:rPr>
          <w:rFonts w:cs="宋体"/>
          <w:bCs/>
          <w:sz w:val="24"/>
          <w:szCs w:val="24"/>
        </w:rPr>
      </w:pPr>
      <w:bookmarkStart w:id="19" w:name="_Toc35393624"/>
      <w:bookmarkStart w:id="20" w:name="_Toc28359082"/>
      <w:bookmarkStart w:id="21" w:name="_Toc28359005"/>
      <w:bookmarkStart w:id="22" w:name="_Toc35393793"/>
      <w:r>
        <w:rPr>
          <w:rFonts w:hint="eastAsia" w:cs="宋体"/>
          <w:bCs/>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35393794"/>
      <w:bookmarkStart w:id="24" w:name="_Toc28359084"/>
      <w:bookmarkStart w:id="25" w:name="_Toc35393625"/>
      <w:bookmarkStart w:id="26" w:name="_Toc28359007"/>
      <w:r>
        <w:rPr>
          <w:rFonts w:hint="eastAsia" w:ascii="宋体" w:hAnsi="宋体" w:cs="宋体"/>
          <w:sz w:val="24"/>
        </w:rPr>
        <w:t>（一）截止时间（开标时间）：</w:t>
      </w:r>
      <w:r>
        <w:rPr>
          <w:rFonts w:hint="eastAsia" w:ascii="宋体" w:hAnsi="宋体" w:cs="宋体"/>
          <w:bCs/>
          <w:sz w:val="24"/>
          <w:u w:val="single"/>
        </w:rPr>
        <w:t>202</w:t>
      </w:r>
      <w:r>
        <w:rPr>
          <w:rFonts w:ascii="宋体" w:hAnsi="宋体" w:cs="宋体"/>
          <w:bCs/>
          <w:sz w:val="24"/>
          <w:u w:val="single"/>
        </w:rPr>
        <w:t>3</w:t>
      </w:r>
      <w:r>
        <w:rPr>
          <w:rFonts w:hint="eastAsia" w:ascii="宋体" w:hAnsi="宋体" w:cs="宋体"/>
          <w:bCs/>
          <w:sz w:val="24"/>
          <w:u w:val="single"/>
        </w:rPr>
        <w:t>年</w:t>
      </w:r>
      <w:r>
        <w:rPr>
          <w:rFonts w:ascii="宋体" w:hAnsi="宋体" w:cs="宋体"/>
          <w:sz w:val="24"/>
          <w:u w:val="single"/>
        </w:rPr>
        <w:t>2</w:t>
      </w:r>
      <w:r>
        <w:rPr>
          <w:rFonts w:hint="eastAsia" w:ascii="宋体" w:hAnsi="宋体" w:cs="宋体"/>
          <w:bCs/>
          <w:sz w:val="24"/>
          <w:u w:val="single"/>
        </w:rPr>
        <w:t>月</w:t>
      </w:r>
      <w:r>
        <w:rPr>
          <w:rFonts w:hint="default" w:ascii="宋体" w:hAnsi="宋体" w:cs="宋体"/>
          <w:bCs/>
          <w:sz w:val="24"/>
          <w:u w:val="single"/>
        </w:rPr>
        <w:t>7</w:t>
      </w:r>
      <w:r>
        <w:rPr>
          <w:rFonts w:hint="eastAsia" w:ascii="宋体" w:hAnsi="宋体" w:cs="宋体"/>
          <w:bCs/>
          <w:sz w:val="24"/>
          <w:u w:val="single"/>
        </w:rPr>
        <w:t>日 9点整</w:t>
      </w:r>
      <w:r>
        <w:rPr>
          <w:rFonts w:hint="eastAsia" w:ascii="宋体" w:hAnsi="宋体" w:cs="宋体"/>
          <w:bCs/>
          <w:sz w:val="24"/>
        </w:rPr>
        <w:t>（北京时间）</w:t>
      </w:r>
    </w:p>
    <w:p>
      <w:pPr>
        <w:pStyle w:val="11"/>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18"/>
        <w:spacing w:after="0" w:line="360" w:lineRule="auto"/>
        <w:ind w:left="0" w:leftChars="0" w:firstLine="480" w:firstLineChars="200"/>
        <w:rPr>
          <w:rFonts w:ascii="宋体" w:hAnsi="宋体" w:cs="宋体"/>
          <w:b/>
          <w:bCs/>
          <w:kern w:val="0"/>
          <w:sz w:val="24"/>
        </w:rPr>
      </w:pPr>
      <w:r>
        <w:rPr>
          <w:rFonts w:hint="eastAsia" w:ascii="宋体" w:hAnsi="宋体" w:cs="宋体"/>
          <w:b/>
          <w:bCs/>
          <w:kern w:val="0"/>
          <w:sz w:val="24"/>
        </w:rPr>
        <w:t>五、发布公告</w:t>
      </w:r>
    </w:p>
    <w:p>
      <w:pPr>
        <w:pStyle w:val="18"/>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18"/>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3"/>
        <w:ind w:left="420" w:leftChars="200" w:right="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3"/>
        <w:ind w:left="420" w:leftChars="200" w:right="0"/>
        <w:rPr>
          <w:rFonts w:cs="宋体"/>
          <w:bCs/>
          <w:sz w:val="24"/>
          <w:szCs w:val="24"/>
        </w:rPr>
      </w:pPr>
      <w:bookmarkStart w:id="29" w:name="_Toc28359008"/>
      <w:bookmarkStart w:id="30" w:name="_Toc35393796"/>
      <w:bookmarkStart w:id="31" w:name="_Toc35393627"/>
      <w:bookmarkStart w:id="32" w:name="_Toc28359085"/>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0"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台州市人民政府行政服务中心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台州市开发大道692号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ascii="宋体" w:hAnsi="宋体" w:cs="宋体"/>
          <w:sz w:val="24"/>
          <w:u w:val="single"/>
        </w:rPr>
        <w:t>杨</w:t>
      </w:r>
      <w:r>
        <w:rPr>
          <w:rFonts w:hint="eastAsia" w:ascii="宋体" w:hAnsi="宋体" w:cs="宋体"/>
          <w:sz w:val="24"/>
          <w:u w:val="single"/>
        </w:rPr>
        <w:t xml:space="preserve">老师　　　　 </w:t>
      </w:r>
      <w:bookmarkStart w:id="33" w:name="_Toc28359086"/>
      <w:bookmarkStart w:id="34" w:name="_Toc28359009"/>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0576-88325502　　 </w:t>
      </w:r>
    </w:p>
    <w:bookmarkEnd w:id="33"/>
    <w:bookmarkEnd w:id="34"/>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台州市政府采购中心</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20"/>
        <w:jc w:val="left"/>
        <w:rPr>
          <w:rFonts w:ascii="宋体" w:hAnsi="宋体" w:cs="宋体"/>
          <w:sz w:val="24"/>
          <w:u w:val="single"/>
        </w:rPr>
      </w:pPr>
      <w:r>
        <w:rPr>
          <w:rFonts w:hint="eastAsia" w:ascii="宋体" w:hAnsi="宋体" w:cs="宋体"/>
          <w:sz w:val="24"/>
        </w:rPr>
        <w:t>项目联系人：</w:t>
      </w:r>
      <w:bookmarkStart w:id="35" w:name="_Toc28359010"/>
      <w:bookmarkStart w:id="36" w:name="_Toc28359087"/>
      <w:r>
        <w:rPr>
          <w:rFonts w:hint="eastAsia" w:ascii="宋体" w:hAnsi="宋体" w:cs="宋体"/>
          <w:sz w:val="24"/>
          <w:u w:val="single"/>
        </w:rPr>
        <w:t xml:space="preserve">郑女士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0576-88685058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0576-88685121     </w:t>
      </w:r>
    </w:p>
    <w:p>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rPr>
        <w:t xml:space="preserve">徐女士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0576-88685161     </w:t>
      </w:r>
    </w:p>
    <w:p>
      <w:pPr>
        <w:spacing w:line="360" w:lineRule="auto"/>
        <w:ind w:firstLine="480"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台州市采监处         </w:t>
      </w:r>
    </w:p>
    <w:p>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台州市财政局         </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陈女士              </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0576-88206705     </w:t>
      </w:r>
    </w:p>
    <w:p>
      <w:pPr>
        <w:spacing w:line="360" w:lineRule="auto"/>
        <w:ind w:firstLine="480"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rPr>
        <w:t>台州市政府采购中心</w:t>
      </w:r>
      <w:r>
        <w:rPr>
          <w:rFonts w:hint="eastAsia" w:ascii="宋体" w:hAnsi="宋体" w:cs="宋体"/>
          <w:kern w:val="0"/>
          <w:sz w:val="24"/>
        </w:rPr>
        <w:t xml:space="preserve">  </w:t>
      </w:r>
    </w:p>
    <w:p>
      <w:pPr>
        <w:widowControl/>
        <w:spacing w:line="360" w:lineRule="auto"/>
        <w:jc w:val="right"/>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2022年</w:t>
      </w:r>
      <w:r>
        <w:rPr>
          <w:rFonts w:asciiTheme="minorEastAsia" w:hAnsiTheme="minorEastAsia" w:eastAsiaTheme="minorEastAsia" w:cstheme="minorEastAsia"/>
          <w:kern w:val="0"/>
          <w:sz w:val="24"/>
        </w:rPr>
        <w:t>12</w:t>
      </w:r>
      <w:r>
        <w:rPr>
          <w:rFonts w:hint="eastAsia" w:asciiTheme="minorEastAsia" w:hAnsiTheme="minorEastAsia" w:eastAsiaTheme="minorEastAsia" w:cstheme="minorEastAsia"/>
          <w:kern w:val="0"/>
          <w:sz w:val="24"/>
        </w:rPr>
        <w:t>月</w:t>
      </w:r>
      <w:r>
        <w:rPr>
          <w:rFonts w:asciiTheme="minorEastAsia" w:hAnsiTheme="minorEastAsia" w:eastAsiaTheme="minorEastAsia" w:cstheme="minorEastAsia"/>
          <w:kern w:val="0"/>
          <w:sz w:val="24"/>
        </w:rPr>
        <w:t>22</w:t>
      </w:r>
      <w:r>
        <w:rPr>
          <w:rFonts w:hint="eastAsia" w:asciiTheme="minorEastAsia" w:hAnsiTheme="minorEastAsia" w:eastAsiaTheme="minorEastAsia" w:cstheme="minorEastAsia"/>
          <w:kern w:val="0"/>
          <w:sz w:val="24"/>
        </w:rPr>
        <w:t>日</w:t>
      </w:r>
    </w:p>
    <w:bookmarkEnd w:id="35"/>
    <w:bookmarkEnd w:id="36"/>
    <w:p>
      <w:pPr>
        <w:rPr>
          <w:rFonts w:asciiTheme="minorEastAsia" w:hAnsiTheme="minorEastAsia" w:eastAsiaTheme="minorEastAsia"/>
          <w:b/>
          <w:sz w:val="36"/>
          <w:szCs w:val="36"/>
        </w:rPr>
      </w:pPr>
      <w:bookmarkStart w:id="37" w:name="_Toc25017_WPSOffice_Level1"/>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7"/>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 /</w:t>
            </w:r>
            <w:r>
              <w:rPr>
                <w:rFonts w:hint="eastAsia" w:ascii="宋体" w:hAnsi="宋体" w:cs="宋体"/>
              </w:rPr>
              <w:sym w:font="Wingdings 2" w:char="0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w:t>
            </w:r>
            <w:r>
              <w:rPr>
                <w:rFonts w:hint="eastAsia" w:ascii="宋体" w:hAnsi="宋体" w:cs="宋体"/>
              </w:rPr>
              <w:sym w:font="Wingdings 2" w:char="0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sym w:font="Wingdings 2" w:char="00A3"/>
            </w:r>
            <w:r>
              <w:rPr>
                <w:rFonts w:hint="eastAsia" w:ascii="宋体" w:hAnsi="宋体" w:cs="宋体"/>
              </w:rPr>
              <w:t>是（具体清单见招标需求）/</w:t>
            </w:r>
            <w:r>
              <w:rPr>
                <w:rFonts w:hint="eastAsia" w:ascii="宋体" w:hAnsi="宋体" w:cs="宋体"/>
              </w:rPr>
              <w:sym w:font="Wingdings 2" w:char="0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kern w:val="0"/>
                <w:szCs w:val="21"/>
              </w:rPr>
            </w:pPr>
            <w:r>
              <w:rPr>
                <w:rFonts w:hint="eastAsia" w:ascii="宋体" w:hAnsi="宋体" w:cs="宋体"/>
                <w:color w:val="0000FF"/>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u w:val="single"/>
              </w:rPr>
              <w:t>09:00</w:t>
            </w:r>
            <w:r>
              <w:rPr>
                <w:rFonts w:hint="eastAsia" w:ascii="宋体" w:hAnsi="宋体" w:cs="宋体"/>
              </w:rPr>
              <w:t>至</w:t>
            </w:r>
            <w:r>
              <w:rPr>
                <w:rFonts w:hint="eastAsia" w:ascii="宋体" w:hAnsi="宋体" w:cs="宋体"/>
                <w:u w:val="single"/>
              </w:rPr>
              <w:t>09:30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09:50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00" w:lineRule="auto"/>
              <w:ind w:firstLine="0"/>
              <w:jc w:val="center"/>
              <w:rPr>
                <w:rFonts w:ascii="宋体" w:hAnsi="宋体" w:cs="宋体"/>
                <w:szCs w:val="21"/>
              </w:rPr>
            </w:pPr>
            <w:r>
              <w:rPr>
                <w:rFonts w:hint="eastAsia" w:ascii="宋体" w:hAnsi="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2"/>
              <w:spacing w:before="0" w:beforeAutospacing="0" w:after="0" w:afterAutospacing="0" w:line="300" w:lineRule="auto"/>
              <w:ind w:firstLine="420" w:firstLineChars="200"/>
              <w:jc w:val="both"/>
              <w:rPr>
                <w:rFonts w:hint="default" w:cs="宋体"/>
                <w:sz w:val="21"/>
                <w:szCs w:val="21"/>
              </w:rPr>
            </w:pPr>
            <w:r>
              <w:rPr>
                <w:rFonts w:cs="宋体"/>
                <w:sz w:val="21"/>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
              <w:spacing w:line="300" w:lineRule="auto"/>
              <w:ind w:firstLine="420" w:firstLineChars="200"/>
              <w:jc w:val="both"/>
              <w:rPr>
                <w:rFonts w:ascii="宋体" w:hAnsi="宋体" w:cs="宋体"/>
                <w:kern w:val="0"/>
                <w:szCs w:val="21"/>
              </w:rPr>
            </w:pPr>
            <w:r>
              <w:rPr>
                <w:rFonts w:hint="eastAsia" w:ascii="宋体" w:hAnsi="宋体" w:cs="宋体"/>
                <w:kern w:val="0"/>
                <w:szCs w:val="21"/>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kern w:val="0"/>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numPr>
                <w:ilvl w:val="0"/>
                <w:numId w:val="7"/>
              </w:numPr>
              <w:spacing w:line="300" w:lineRule="auto"/>
              <w:ind w:firstLine="420" w:firstLineChars="200"/>
              <w:rPr>
                <w:rFonts w:ascii="宋体" w:hAnsi="宋体" w:cs="宋体"/>
                <w:szCs w:val="21"/>
              </w:rPr>
            </w:pPr>
            <w:r>
              <w:rPr>
                <w:rFonts w:hint="eastAsia" w:ascii="宋体" w:hAnsi="宋体" w:cs="宋体"/>
                <w:szCs w:val="21"/>
              </w:rPr>
              <w:t>评审小组可能向投标人发起远程询标，投标人需提前做好准备。</w:t>
            </w:r>
          </w:p>
          <w:p>
            <w:pPr>
              <w:numPr>
                <w:ilvl w:val="0"/>
                <w:numId w:val="7"/>
              </w:numPr>
              <w:spacing w:line="300" w:lineRule="auto"/>
              <w:ind w:firstLine="420" w:firstLineChars="200"/>
              <w:rPr>
                <w:rFonts w:ascii="宋体" w:hAnsi="宋体" w:cs="宋体"/>
                <w:szCs w:val="21"/>
              </w:rPr>
            </w:pPr>
            <w:r>
              <w:rPr>
                <w:rFonts w:hint="eastAsia" w:ascii="宋体" w:hAnsi="宋体" w:cs="宋体"/>
                <w:szCs w:val="21"/>
              </w:rPr>
              <w:t>本项目是否需要远程在线演示要求详见采购需求。</w:t>
            </w:r>
          </w:p>
          <w:p>
            <w:pPr>
              <w:numPr>
                <w:ilvl w:val="0"/>
                <w:numId w:val="7"/>
              </w:numPr>
              <w:spacing w:line="300" w:lineRule="auto"/>
              <w:ind w:firstLine="420" w:firstLineChars="200"/>
              <w:rPr>
                <w:rFonts w:ascii="宋体" w:hAnsi="宋体" w:cs="宋体"/>
                <w:szCs w:val="21"/>
              </w:rPr>
            </w:pPr>
            <w:r>
              <w:rPr>
                <w:rFonts w:hint="eastAsia" w:ascii="宋体" w:hAnsi="宋体" w:cs="宋体"/>
                <w:szCs w:val="21"/>
              </w:rPr>
              <w:t>远程询标/远程在线演示要求通过“政采云视频讲标系统”进行线上问答，投标人在接到政采云信息推送后登录政采云系统--进入开标大厅--进入本项目进行操作，单方面视频下回答评委询问。</w:t>
            </w:r>
          </w:p>
          <w:p>
            <w:pPr>
              <w:numPr>
                <w:ilvl w:val="0"/>
                <w:numId w:val="7"/>
              </w:numPr>
              <w:spacing w:line="300" w:lineRule="auto"/>
              <w:ind w:firstLine="420" w:firstLineChars="200"/>
              <w:rPr>
                <w:rFonts w:ascii="宋体" w:hAnsi="宋体" w:cs="宋体"/>
                <w:szCs w:val="21"/>
              </w:rPr>
            </w:pPr>
            <w:r>
              <w:rPr>
                <w:rFonts w:hint="eastAsia" w:ascii="宋体" w:hAnsi="宋体" w:cs="宋体"/>
                <w:szCs w:val="21"/>
              </w:rPr>
              <w:t>投标人进行远程在线演示可通过共享桌面来实现，具体操作指南在《政府采购项目电子交易管理操作指南-供应商》2.4.4项。</w:t>
            </w:r>
          </w:p>
          <w:p>
            <w:pPr>
              <w:numPr>
                <w:ilvl w:val="0"/>
                <w:numId w:val="7"/>
              </w:numPr>
              <w:spacing w:line="300" w:lineRule="auto"/>
              <w:ind w:firstLine="420" w:firstLineChars="200"/>
              <w:rPr>
                <w:rFonts w:ascii="宋体" w:hAnsi="宋体" w:cs="宋体"/>
                <w:kern w:val="0"/>
                <w:szCs w:val="21"/>
              </w:rPr>
            </w:pPr>
            <w:r>
              <w:rPr>
                <w:rFonts w:hint="eastAsia" w:ascii="宋体" w:hAnsi="宋体" w:cs="宋体"/>
                <w:szCs w:val="21"/>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14"/>
              <w:spacing w:line="300" w:lineRule="auto"/>
              <w:ind w:firstLine="420" w:firstLineChars="200"/>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信用中国（网址：</w:t>
            </w:r>
            <w:r>
              <w:fldChar w:fldCharType="begin"/>
            </w:r>
            <w:r>
              <w:instrText xml:space="preserve"> HYPERLINK "http://www.creditchina.gov.cn" </w:instrText>
            </w:r>
            <w:r>
              <w:fldChar w:fldCharType="separate"/>
            </w:r>
            <w:r>
              <w:rPr>
                <w:rFonts w:hint="eastAsia" w:ascii="宋体" w:hAnsi="宋体" w:cs="宋体"/>
                <w:szCs w:val="21"/>
              </w:rPr>
              <w:t>http://www.creditchina.gov.cn</w:t>
            </w:r>
            <w:r>
              <w:rPr>
                <w:rFonts w:hint="eastAsia" w:ascii="宋体" w:hAnsi="宋体" w:cs="宋体"/>
                <w:szCs w:val="21"/>
              </w:rPr>
              <w:fldChar w:fldCharType="end"/>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根据《政府采购促进中小企业发展管理办法》（财库〔2020〕46号）文件的规定，本项目(□是 /</w:t>
            </w:r>
            <w:r>
              <w:rPr>
                <w:rFonts w:hint="eastAsia" w:ascii="宋体" w:hAnsi="宋体" w:cs="宋体"/>
                <w:szCs w:val="21"/>
              </w:rPr>
              <w:sym w:font="Wingdings 2" w:char="0052"/>
            </w:r>
            <w:r>
              <w:rPr>
                <w:rFonts w:hint="eastAsia" w:ascii="宋体" w:hAnsi="宋体" w:cs="宋体"/>
                <w:szCs w:val="21"/>
              </w:rPr>
              <w:t xml:space="preserve"> 否</w:t>
            </w:r>
            <w:r>
              <w:rPr>
                <w:rFonts w:hint="eastAsia" w:ascii="宋体" w:hAnsi="宋体" w:cs="宋体"/>
                <w:szCs w:val="21"/>
                <w:shd w:val="clear" w:color="auto" w:fill="FFFFFF"/>
              </w:rPr>
              <w:t>)</w:t>
            </w:r>
            <w:r>
              <w:rPr>
                <w:rFonts w:hint="eastAsia" w:ascii="宋体" w:hAnsi="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pPr>
              <w:ind w:left="420" w:leftChars="200"/>
            </w:pPr>
            <w:r>
              <w:rPr>
                <w:rFonts w:hint="eastAsia" w:ascii="宋体" w:hAnsi="宋体" w:cs="宋体"/>
                <w:szCs w:val="21"/>
              </w:rPr>
              <w:t>采购标的1：</w:t>
            </w:r>
            <w:r>
              <w:rPr>
                <w:rFonts w:hint="eastAsia" w:ascii="宋体" w:hAnsi="宋体" w:cs="宋体"/>
                <w:szCs w:val="21"/>
                <w:u w:val="single"/>
              </w:rPr>
              <w:t xml:space="preserve"> </w:t>
            </w:r>
            <w:r>
              <w:rPr>
                <w:rFonts w:hint="eastAsia"/>
                <w:u w:val="single"/>
              </w:rPr>
              <w:t>台州市政务服务一体化“数智大厅”软件平台建设</w:t>
            </w:r>
            <w:r>
              <w:rPr>
                <w:rFonts w:hint="eastAsia" w:ascii="宋体" w:hAnsi="宋体" w:cs="宋体"/>
                <w:szCs w:val="21"/>
                <w:u w:val="single"/>
              </w:rPr>
              <w:t xml:space="preserve"> </w:t>
            </w:r>
            <w:r>
              <w:rPr>
                <w:rFonts w:hint="eastAsia" w:ascii="宋体" w:hAnsi="宋体" w:cs="宋体"/>
                <w:szCs w:val="21"/>
              </w:rPr>
              <w:t>，所属行业：</w:t>
            </w:r>
            <w:r>
              <w:rPr>
                <w:rFonts w:ascii="宋体" w:hAnsi="宋体" w:cs="宋体"/>
                <w:szCs w:val="21"/>
                <w:u w:val="single"/>
              </w:rPr>
              <w:t xml:space="preserve"> 软件和信息技术服务业  </w:t>
            </w:r>
            <w:r>
              <w:rPr>
                <w:rFonts w:hint="eastAsia" w:ascii="宋体" w:hAnsi="宋体" w:cs="宋体"/>
                <w:szCs w:val="21"/>
                <w:u w:val="single"/>
              </w:rPr>
              <w:t xml:space="preserve"> </w:t>
            </w:r>
            <w:r>
              <w:rPr>
                <w:rFonts w:hint="eastAsia" w:ascii="宋体" w:hAnsi="宋体" w:cs="宋体"/>
                <w:szCs w:val="21"/>
              </w:rPr>
              <w:t>；采购标的2：</w:t>
            </w:r>
            <w:r>
              <w:rPr>
                <w:rFonts w:hint="eastAsia" w:ascii="宋体" w:hAnsi="宋体" w:cs="宋体"/>
                <w:szCs w:val="21"/>
                <w:u w:val="single"/>
              </w:rPr>
              <w:t xml:space="preserve"> </w:t>
            </w:r>
            <w:r>
              <w:rPr>
                <w:rFonts w:hint="eastAsia"/>
                <w:u w:val="single"/>
              </w:rPr>
              <w:t>台州市政务服务一体化“数智大厅”硬件设备</w:t>
            </w:r>
            <w:r>
              <w:rPr>
                <w:rFonts w:hint="eastAsia" w:ascii="宋体" w:hAnsi="宋体" w:cs="宋体"/>
                <w:szCs w:val="21"/>
                <w:u w:val="single"/>
              </w:rPr>
              <w:t xml:space="preserve"> </w:t>
            </w:r>
            <w:r>
              <w:rPr>
                <w:rFonts w:hint="eastAsia" w:ascii="宋体" w:hAnsi="宋体" w:cs="宋体"/>
                <w:szCs w:val="21"/>
              </w:rPr>
              <w:t>，所属行业：</w:t>
            </w:r>
            <w:r>
              <w:rPr>
                <w:rFonts w:hint="eastAsia" w:ascii="宋体" w:hAnsi="宋体" w:cs="宋体"/>
                <w:szCs w:val="21"/>
                <w:u w:val="single"/>
              </w:rPr>
              <w:t xml:space="preserve"> 工业  </w:t>
            </w:r>
            <w:r>
              <w:rPr>
                <w:rFonts w:hint="eastAsia" w:ascii="宋体" w:hAnsi="宋体" w:cs="宋体"/>
                <w:szCs w:val="21"/>
              </w:rPr>
              <w:t>。</w:t>
            </w:r>
          </w:p>
          <w:p>
            <w:pPr>
              <w:ind w:firstLine="420" w:firstLineChars="200"/>
              <w:rPr>
                <w:rFonts w:ascii="宋体" w:hAnsi="宋体" w:cs="宋体"/>
                <w:color w:val="000000" w:themeColor="text1"/>
                <w:szCs w:val="21"/>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rPr>
              <w:t>应符合财库</w:t>
            </w:r>
            <w:r>
              <w:rPr>
                <w:rFonts w:hint="eastAsia" w:ascii="宋体" w:hAnsi="宋体" w:cs="宋体"/>
                <w:szCs w:val="21"/>
              </w:rPr>
              <w:t>〔2017〕</w:t>
            </w:r>
            <w:r>
              <w:rPr>
                <w:rFonts w:hint="eastAsia" w:ascii="宋体" w:hAnsi="宋体" w:cs="宋体"/>
                <w:color w:val="000000" w:themeColor="text1"/>
                <w:szCs w:val="21"/>
              </w:rPr>
              <w:t>141号文件规定，</w:t>
            </w:r>
            <w:r>
              <w:rPr>
                <w:rFonts w:hint="eastAsia" w:ascii="宋体" w:hAnsi="宋体" w:cs="宋体"/>
                <w:szCs w:val="21"/>
              </w:rPr>
              <w:t>视同小型、微型企业，</w:t>
            </w:r>
            <w:r>
              <w:rPr>
                <w:rFonts w:hint="eastAsia" w:ascii="宋体" w:hAnsi="宋体" w:cs="宋体"/>
                <w:color w:val="000000" w:themeColor="text1"/>
                <w:szCs w:val="21"/>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color w:val="111F2C"/>
                <w:szCs w:val="21"/>
                <w:shd w:val="clear" w:color="auto" w:fill="FFFFFF"/>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带“★”的条款是</w:t>
            </w:r>
            <w:r>
              <w:rPr>
                <w:rFonts w:hint="eastAsia" w:ascii="宋体" w:hAnsi="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本招标文件解释权属于采购人和采购组织机构。</w:t>
            </w:r>
          </w:p>
        </w:tc>
      </w:tr>
    </w:tbl>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0"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2"/>
        <w:spacing w:line="360" w:lineRule="auto"/>
        <w:ind w:firstLine="480" w:firstLineChars="200"/>
      </w:pPr>
      <w:r>
        <w:t>本招标文件仅适用于本次招标公告中所涉及的项目和内容。</w:t>
      </w:r>
    </w:p>
    <w:p>
      <w:pPr>
        <w:snapToGrid w:val="0"/>
        <w:spacing w:line="360" w:lineRule="auto"/>
        <w:ind w:firstLine="480"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pStyle w:val="18"/>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0"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0"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sz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30"/>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4"/>
        <w:snapToGrid w:val="0"/>
        <w:spacing w:line="360" w:lineRule="auto"/>
        <w:ind w:firstLine="480" w:firstLineChars="200"/>
        <w:rPr>
          <w:rFonts w:hAnsi="宋体" w:cs="宋体"/>
          <w:b/>
          <w:sz w:val="24"/>
        </w:rPr>
      </w:pPr>
      <w:r>
        <w:rPr>
          <w:rFonts w:hint="eastAsia" w:hAnsi="宋体" w:cs="宋体"/>
          <w:b/>
          <w:sz w:val="24"/>
        </w:rPr>
        <w:t>（七）特别说明</w:t>
      </w:r>
    </w:p>
    <w:p>
      <w:pPr>
        <w:pStyle w:val="14"/>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30"/>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30"/>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1"/>
        <w:spacing w:line="360" w:lineRule="auto"/>
        <w:ind w:firstLine="480"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1"/>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0" w:firstLineChars="200"/>
        <w:rPr>
          <w:rFonts w:ascii="宋体" w:hAnsi="宋体"/>
          <w:b/>
          <w:sz w:val="24"/>
        </w:rPr>
      </w:pPr>
      <w:r>
        <w:rPr>
          <w:rFonts w:hint="eastAsia" w:ascii="宋体" w:hAnsi="宋体" w:cs="宋体" w:eastAsiaTheme="minorEastAsia"/>
          <w:b/>
          <w:sz w:val="24"/>
        </w:rPr>
        <w:t xml:space="preserve"> </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0"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11"/>
        <w:widowControl/>
        <w:adjustRightInd w:val="0"/>
        <w:snapToGrid w:val="0"/>
        <w:spacing w:line="360" w:lineRule="auto"/>
        <w:ind w:firstLine="480" w:firstLineChars="200"/>
        <w:rPr>
          <w:rFonts w:ascii="宋体" w:hAnsi="宋体" w:cs="宋体"/>
          <w:b/>
          <w:bCs/>
          <w:sz w:val="24"/>
          <w:szCs w:val="24"/>
        </w:rPr>
      </w:pPr>
      <w:r>
        <w:rPr>
          <w:rFonts w:hint="eastAsia" w:ascii="宋体" w:hAnsi="宋体" w:cs="宋体"/>
          <w:b/>
          <w:bCs/>
          <w:sz w:val="24"/>
          <w:szCs w:val="24"/>
        </w:rPr>
        <w:t>（1）技术方案描述部分</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③项目组织实施方案（包括分包方案、项目工期、确保项目供货的措施或方案、项目实施进度安排、项目实施人员及项目负责人的资质、类似经验及社保证明等）；</w:t>
      </w:r>
    </w:p>
    <w:p>
      <w:pPr>
        <w:pStyle w:val="11"/>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11"/>
        <w:widowControl/>
        <w:adjustRightInd w:val="0"/>
        <w:snapToGrid w:val="0"/>
        <w:spacing w:line="360" w:lineRule="auto"/>
        <w:ind w:firstLine="480" w:firstLineChars="200"/>
        <w:rPr>
          <w:rFonts w:ascii="宋体" w:hAnsi="宋体" w:cs="宋体"/>
          <w:b/>
          <w:bCs/>
          <w:sz w:val="24"/>
          <w:szCs w:val="24"/>
        </w:rPr>
      </w:pPr>
      <w:r>
        <w:rPr>
          <w:rFonts w:hint="eastAsia" w:ascii="宋体" w:hAnsi="宋体" w:cs="宋体"/>
          <w:b/>
          <w:bCs/>
          <w:sz w:val="24"/>
          <w:szCs w:val="24"/>
        </w:rPr>
        <w:t>（2）投标产品描述部分</w:t>
      </w:r>
    </w:p>
    <w:p>
      <w:pPr>
        <w:pStyle w:val="11"/>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11"/>
        <w:widowControl/>
        <w:adjustRightInd w:val="0"/>
        <w:snapToGrid w:val="0"/>
        <w:spacing w:line="360" w:lineRule="auto"/>
        <w:ind w:firstLine="480" w:firstLineChars="200"/>
        <w:rPr>
          <w:sz w:val="24"/>
        </w:rPr>
      </w:pPr>
      <w:r>
        <w:rPr>
          <w:rFonts w:hint="eastAsia"/>
          <w:sz w:val="24"/>
        </w:rPr>
        <w:t>②技术需求响应表；</w:t>
      </w:r>
    </w:p>
    <w:p>
      <w:pPr>
        <w:pStyle w:val="11"/>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11"/>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11"/>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rPr>
        <w:t>中小企业、</w:t>
      </w:r>
      <w:r>
        <w:rPr>
          <w:rFonts w:hint="eastAsia" w:asciiTheme="minorEastAsia" w:hAnsiTheme="minorEastAsia" w:eastAsiaTheme="minorEastAsia"/>
          <w:color w:val="000000" w:themeColor="text1"/>
          <w:kern w:val="0"/>
          <w:sz w:val="24"/>
          <w:lang w:val="en-GB"/>
        </w:rPr>
        <w:t>残疾人福利性单位、监狱企业</w:t>
      </w:r>
      <w:r>
        <w:rPr>
          <w:rFonts w:hint="eastAsia" w:asciiTheme="minorEastAsia" w:hAnsiTheme="minorEastAsia" w:eastAsiaTheme="minorEastAsia"/>
          <w:color w:val="000000" w:themeColor="text1"/>
          <w:kern w:val="0"/>
          <w:sz w:val="24"/>
        </w:rPr>
        <w:t>等声明函</w:t>
      </w:r>
      <w:r>
        <w:rPr>
          <w:rFonts w:hint="eastAsia" w:asciiTheme="minorEastAsia" w:hAnsiTheme="minorEastAsia" w:eastAsiaTheme="minorEastAsia"/>
          <w:kern w:val="0"/>
          <w:sz w:val="24"/>
          <w:lang w:val="en-GB"/>
        </w:rPr>
        <w:t>；</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11"/>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11"/>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1"/>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11"/>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1"/>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1"/>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11"/>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0"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11"/>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1"/>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1"/>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0"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1"/>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1"/>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11"/>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1"/>
        <w:spacing w:line="360" w:lineRule="auto"/>
        <w:ind w:firstLine="480" w:firstLineChars="200"/>
        <w:rPr>
          <w:b/>
          <w:bCs/>
          <w:sz w:val="24"/>
          <w:szCs w:val="22"/>
        </w:rPr>
      </w:pPr>
      <w:r>
        <w:rPr>
          <w:rFonts w:hint="eastAsia"/>
          <w:b/>
          <w:bCs/>
          <w:sz w:val="24"/>
          <w:szCs w:val="22"/>
        </w:rPr>
        <w:t>（二）开标异议</w:t>
      </w:r>
    </w:p>
    <w:p>
      <w:pPr>
        <w:pStyle w:val="11"/>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1"/>
        <w:spacing w:line="360" w:lineRule="auto"/>
        <w:ind w:firstLine="480"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0"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22"/>
        <w:spacing w:before="0" w:beforeAutospacing="0" w:after="0" w:afterAutospacing="0" w:line="360" w:lineRule="auto"/>
        <w:ind w:firstLine="480"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22"/>
        <w:spacing w:before="0" w:beforeAutospacing="0" w:after="0" w:afterAutospacing="0" w:line="360" w:lineRule="auto"/>
        <w:ind w:firstLine="480" w:firstLineChars="200"/>
        <w:jc w:val="both"/>
        <w:rPr>
          <w:rFonts w:hint="default"/>
          <w:b/>
          <w:bCs/>
        </w:rPr>
      </w:pPr>
      <w:r>
        <w:rPr>
          <w:rFonts w:asciiTheme="minorEastAsia" w:hAnsiTheme="minorEastAsia" w:eastAsiaTheme="minorEastAsia"/>
          <w:b/>
          <w:bCs/>
        </w:rPr>
        <w:t>（一）</w:t>
      </w:r>
      <w:r>
        <w:rPr>
          <w:b/>
          <w:bCs/>
        </w:rPr>
        <w:t>确定中标人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8"/>
        </w:numPr>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发布中标结果公告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asciiTheme="minorEastAsia" w:hAnsiTheme="minorEastAsia" w:eastAsiaTheme="minorEastAsia"/>
          <w:kern w:val="0"/>
          <w:sz w:val="24"/>
        </w:rPr>
        <w:t>期为1个工</w:t>
      </w:r>
      <w:r>
        <w:rPr>
          <w:sz w:val="24"/>
        </w:rPr>
        <w:t>作日</w:t>
      </w:r>
      <w:r>
        <w:rPr>
          <w:rFonts w:hint="eastAsia" w:ascii="宋体" w:hAnsi="宋体"/>
          <w:kern w:val="0"/>
          <w:sz w:val="24"/>
        </w:rPr>
        <w:t>。</w:t>
      </w:r>
    </w:p>
    <w:p>
      <w:pPr>
        <w:pStyle w:val="7"/>
        <w:numPr>
          <w:ilvl w:val="0"/>
          <w:numId w:val="8"/>
        </w:numPr>
        <w:spacing w:line="360" w:lineRule="auto"/>
        <w:ind w:firstLine="480" w:firstLineChars="200"/>
        <w:jc w:val="both"/>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发放中标通知书</w:t>
      </w:r>
    </w:p>
    <w:p>
      <w:pPr>
        <w:pStyle w:val="7"/>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0" w:firstLineChars="200"/>
        <w:rPr>
          <w:rFonts w:ascii="宋体" w:hAnsi="宋体"/>
          <w:b/>
          <w:kern w:val="0"/>
          <w:sz w:val="24"/>
        </w:rPr>
      </w:pPr>
      <w:r>
        <w:rPr>
          <w:rFonts w:hint="eastAsia" w:ascii="宋体" w:hAnsi="宋体"/>
          <w:b/>
          <w:sz w:val="24"/>
        </w:rPr>
        <w:t>（一）签订合同</w:t>
      </w:r>
    </w:p>
    <w:p>
      <w:pPr>
        <w:pStyle w:val="22"/>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rPr>
      </w:pPr>
      <w:r>
        <w:t>3.中标人无故拖延、拒签合同的，将取消中标资格。</w:t>
      </w:r>
    </w:p>
    <w:p>
      <w:pPr>
        <w:pStyle w:val="22"/>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22"/>
        <w:spacing w:before="0" w:beforeAutospacing="0" w:after="0" w:afterAutospacing="0" w:line="360" w:lineRule="auto"/>
        <w:ind w:firstLine="480"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7"/>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7"/>
        <w:spacing w:line="360" w:lineRule="auto"/>
        <w:ind w:firstLine="480" w:firstLineChars="200"/>
        <w:jc w:val="both"/>
        <w:rPr>
          <w:rFonts w:ascii="宋体" w:hAnsi="宋体"/>
          <w:b/>
          <w:bCs/>
          <w:sz w:val="24"/>
        </w:rPr>
      </w:pPr>
      <w:r>
        <w:rPr>
          <w:rFonts w:hint="eastAsia" w:ascii="宋体" w:hAnsi="宋体"/>
          <w:b/>
          <w:bCs/>
          <w:sz w:val="24"/>
        </w:rPr>
        <w:t>九、询问、质疑与投诉</w:t>
      </w:r>
    </w:p>
    <w:p>
      <w:pPr>
        <w:pStyle w:val="7"/>
        <w:spacing w:line="360" w:lineRule="auto"/>
        <w:ind w:firstLine="480" w:firstLineChars="200"/>
        <w:jc w:val="both"/>
        <w:rPr>
          <w:rFonts w:ascii="宋体" w:hAnsi="宋体"/>
          <w:b/>
          <w:bCs/>
          <w:sz w:val="24"/>
        </w:rPr>
      </w:pPr>
      <w:r>
        <w:rPr>
          <w:rFonts w:hint="eastAsia" w:ascii="宋体" w:hAnsi="宋体"/>
          <w:b/>
          <w:bCs/>
          <w:sz w:val="24"/>
        </w:rPr>
        <w:t>（一）询问</w:t>
      </w:r>
    </w:p>
    <w:p>
      <w:pPr>
        <w:pStyle w:val="7"/>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7"/>
        <w:spacing w:line="360" w:lineRule="auto"/>
        <w:ind w:firstLine="480" w:firstLineChars="200"/>
        <w:jc w:val="both"/>
        <w:rPr>
          <w:rFonts w:ascii="宋体" w:hAnsi="宋体"/>
          <w:b/>
          <w:bCs/>
          <w:sz w:val="24"/>
        </w:rPr>
      </w:pPr>
      <w:r>
        <w:rPr>
          <w:rFonts w:hint="eastAsia" w:ascii="宋体" w:hAnsi="宋体"/>
          <w:b/>
          <w:bCs/>
          <w:sz w:val="24"/>
        </w:rPr>
        <w:t>（二）质疑</w:t>
      </w:r>
    </w:p>
    <w:p>
      <w:pPr>
        <w:pStyle w:val="7"/>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7"/>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7"/>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7"/>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7"/>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7"/>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7"/>
        <w:spacing w:line="360" w:lineRule="auto"/>
        <w:ind w:firstLine="480" w:firstLineChars="200"/>
        <w:jc w:val="both"/>
        <w:rPr>
          <w:rFonts w:ascii="宋体" w:hAnsi="宋体"/>
          <w:b/>
          <w:bCs/>
          <w:sz w:val="24"/>
        </w:rPr>
      </w:pPr>
      <w:r>
        <w:rPr>
          <w:rFonts w:hint="eastAsia" w:ascii="宋体" w:hAnsi="宋体"/>
          <w:b/>
          <w:bCs/>
          <w:sz w:val="24"/>
        </w:rPr>
        <w:t>（三）投诉</w:t>
      </w:r>
    </w:p>
    <w:p>
      <w:pPr>
        <w:pStyle w:val="7"/>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7"/>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个标项，具体内容如下表：</w:t>
      </w:r>
    </w:p>
    <w:tbl>
      <w:tblPr>
        <w:tblStyle w:val="27"/>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847"/>
        <w:gridCol w:w="162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84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62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847" w:type="dxa"/>
            <w:vAlign w:val="center"/>
          </w:tcPr>
          <w:p>
            <w:pPr>
              <w:rPr>
                <w:rFonts w:ascii="宋体" w:hAnsi="宋体" w:cs="宋体"/>
                <w:b/>
                <w:szCs w:val="21"/>
              </w:rPr>
            </w:pPr>
            <w:r>
              <w:rPr>
                <w:rFonts w:hint="eastAsia"/>
              </w:rPr>
              <w:t>台州市政务服务一体化“数智大厅”软件平台建设</w:t>
            </w:r>
          </w:p>
        </w:tc>
        <w:tc>
          <w:tcPr>
            <w:tcW w:w="162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ascii="宋体" w:hAnsi="宋体" w:cs="宋体"/>
                <w:bCs/>
                <w:szCs w:val="21"/>
              </w:rPr>
              <w:t>项</w:t>
            </w:r>
          </w:p>
        </w:tc>
        <w:tc>
          <w:tcPr>
            <w:tcW w:w="1142" w:type="dxa"/>
            <w:vAlign w:val="center"/>
          </w:tcPr>
          <w:p>
            <w:pPr>
              <w:jc w:val="center"/>
              <w:rPr>
                <w:rFonts w:ascii="宋体" w:hAnsi="宋体" w:cs="宋体"/>
                <w:bCs/>
                <w:szCs w:val="21"/>
              </w:rPr>
            </w:pPr>
            <w:r>
              <w:rPr>
                <w:rFonts w:hint="eastAsia"/>
              </w:rPr>
              <w:t>1</w:t>
            </w:r>
            <w:r>
              <w:t>4</w:t>
            </w:r>
            <w:r>
              <w:rPr>
                <w:rFonts w:hint="eastAsia"/>
              </w:rPr>
              <w:t>6</w:t>
            </w:r>
            <w:r>
              <w:t>.5</w:t>
            </w:r>
          </w:p>
        </w:tc>
        <w:tc>
          <w:tcPr>
            <w:tcW w:w="1203" w:type="dxa"/>
            <w:vAlign w:val="center"/>
          </w:tcPr>
          <w:p>
            <w:pPr>
              <w:jc w:val="center"/>
              <w:rPr>
                <w:rFonts w:ascii="宋体" w:hAnsi="宋体" w:cs="宋体"/>
                <w:bCs/>
                <w:szCs w:val="21"/>
              </w:rPr>
            </w:pPr>
            <w:r>
              <w:rPr>
                <w:rFonts w:hint="eastAsia"/>
              </w:rPr>
              <w:t>1</w:t>
            </w:r>
            <w:r>
              <w:t>4</w:t>
            </w:r>
            <w:r>
              <w:rPr>
                <w:rFonts w:hint="eastAsia"/>
              </w:rPr>
              <w:t>6</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2</w:t>
            </w:r>
          </w:p>
        </w:tc>
        <w:tc>
          <w:tcPr>
            <w:tcW w:w="1847" w:type="dxa"/>
            <w:vAlign w:val="center"/>
          </w:tcPr>
          <w:p>
            <w:pPr>
              <w:rPr>
                <w:rFonts w:ascii="宋体" w:hAnsi="宋体" w:cs="宋体"/>
                <w:b/>
                <w:szCs w:val="21"/>
              </w:rPr>
            </w:pPr>
            <w:r>
              <w:rPr>
                <w:rFonts w:hint="eastAsia"/>
              </w:rPr>
              <w:t>台州市政务服务一体化“数智大厅”硬件设备</w:t>
            </w:r>
          </w:p>
        </w:tc>
        <w:tc>
          <w:tcPr>
            <w:tcW w:w="162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ascii="宋体" w:hAnsi="宋体" w:cs="宋体"/>
                <w:bCs/>
                <w:szCs w:val="21"/>
              </w:rPr>
              <w:t>批</w:t>
            </w:r>
          </w:p>
        </w:tc>
        <w:tc>
          <w:tcPr>
            <w:tcW w:w="1142" w:type="dxa"/>
            <w:vAlign w:val="center"/>
          </w:tcPr>
          <w:p>
            <w:pPr>
              <w:jc w:val="center"/>
              <w:rPr>
                <w:rFonts w:ascii="宋体" w:hAnsi="宋体" w:cs="宋体"/>
                <w:bCs/>
                <w:szCs w:val="21"/>
              </w:rPr>
            </w:pPr>
            <w:r>
              <w:rPr>
                <w:rFonts w:hint="eastAsia"/>
              </w:rPr>
              <w:t>1</w:t>
            </w:r>
            <w:r>
              <w:t>05</w:t>
            </w:r>
          </w:p>
        </w:tc>
        <w:tc>
          <w:tcPr>
            <w:tcW w:w="1203" w:type="dxa"/>
            <w:vAlign w:val="center"/>
          </w:tcPr>
          <w:p>
            <w:pPr>
              <w:jc w:val="center"/>
              <w:rPr>
                <w:rFonts w:ascii="宋体" w:hAnsi="宋体" w:cs="宋体"/>
                <w:bCs/>
                <w:szCs w:val="21"/>
              </w:rPr>
            </w:pPr>
            <w:r>
              <w:rPr>
                <w:rFonts w:hint="eastAsia"/>
              </w:rPr>
              <w:t>1</w:t>
            </w:r>
            <w:r>
              <w:t>05</w:t>
            </w:r>
          </w:p>
        </w:tc>
      </w:tr>
    </w:tbl>
    <w:p>
      <w:pPr>
        <w:tabs>
          <w:tab w:val="left" w:pos="8280"/>
        </w:tabs>
        <w:autoSpaceDE w:val="0"/>
        <w:autoSpaceDN w:val="0"/>
        <w:adjustRightInd w:val="0"/>
        <w:spacing w:line="360" w:lineRule="auto"/>
        <w:ind w:firstLine="480" w:firstLineChars="200"/>
        <w:rPr>
          <w:rFonts w:ascii="宋体" w:hAnsi="宋体"/>
          <w:sz w:val="24"/>
        </w:rPr>
      </w:pPr>
      <w:r>
        <w:rPr>
          <w:rFonts w:hint="eastAsia" w:asciiTheme="minorEastAsia" w:hAnsiTheme="minorEastAsia" w:eastAsiaTheme="minorEastAsia"/>
          <w:b/>
          <w:sz w:val="24"/>
        </w:rPr>
        <w:t>二、技术需求</w:t>
      </w:r>
      <w:r>
        <w:rPr>
          <w:rFonts w:hint="eastAsia" w:ascii="宋体" w:hAnsi="宋体"/>
          <w:b/>
          <w:sz w:val="24"/>
        </w:rPr>
        <w:t xml:space="preserve">  </w:t>
      </w:r>
    </w:p>
    <w:p>
      <w:pPr>
        <w:pStyle w:val="3"/>
        <w:rPr>
          <w:sz w:val="24"/>
          <w:szCs w:val="22"/>
        </w:rPr>
      </w:pPr>
      <w:r>
        <w:rPr>
          <w:sz w:val="24"/>
          <w:szCs w:val="22"/>
        </w:rPr>
        <w:t>（一）</w:t>
      </w:r>
      <w:r>
        <w:rPr>
          <w:rFonts w:hint="eastAsia"/>
          <w:sz w:val="24"/>
          <w:szCs w:val="22"/>
        </w:rPr>
        <w:t>项目背景</w:t>
      </w:r>
    </w:p>
    <w:p>
      <w:pPr>
        <w:spacing w:line="360" w:lineRule="auto"/>
        <w:ind w:firstLine="480" w:firstLineChars="200"/>
        <w:rPr>
          <w:rFonts w:ascii="宋体" w:hAnsi="宋体" w:cs="宋体"/>
          <w:sz w:val="24"/>
        </w:rPr>
      </w:pPr>
      <w:r>
        <w:rPr>
          <w:rFonts w:hint="eastAsia" w:ascii="宋体" w:hAnsi="宋体" w:cs="宋体"/>
          <w:sz w:val="24"/>
        </w:rPr>
        <w:t>2022年2月7日，《国务院关于加快推进政务服务标准化规范化便利化的指导意见》（国发〔2022〕5号）中提出，各地要加快转变政府职能、深化“放管服”改革、持续优化营商环境，加强跨层级、跨地域、跨系统、跨部门、跨业务协同管理和服务，充分发挥全国一体化政务服务平台“一网通办”支撑作用，进一步推进政务服务运行标准化、服务供给规范化、企业和群众办事便利化，有效服务生产要素自由流动和畅通国民经济循环，更好满足人民日益增长的美好生活需要，为推动高质量发展、创造高品质生活、推进国家治理体系和治理能力现代化提供有力支撑。</w:t>
      </w:r>
    </w:p>
    <w:p>
      <w:pPr>
        <w:numPr>
          <w:ilvl w:val="0"/>
          <w:numId w:val="9"/>
        </w:numPr>
        <w:spacing w:line="360" w:lineRule="auto"/>
        <w:rPr>
          <w:rFonts w:ascii="宋体" w:hAnsi="宋体"/>
          <w:b/>
          <w:sz w:val="24"/>
        </w:rPr>
      </w:pPr>
      <w:r>
        <w:rPr>
          <w:rFonts w:hint="eastAsia" w:ascii="宋体" w:hAnsi="宋体"/>
          <w:b/>
          <w:sz w:val="24"/>
        </w:rPr>
        <w:t>标段一</w:t>
      </w:r>
      <w:r>
        <w:rPr>
          <w:rFonts w:ascii="宋体" w:hAnsi="宋体"/>
          <w:b/>
          <w:sz w:val="24"/>
        </w:rPr>
        <w:t>建设内容：软件平台</w:t>
      </w:r>
    </w:p>
    <w:p>
      <w:pPr>
        <w:pStyle w:val="18"/>
        <w:ind w:left="0" w:leftChars="0" w:firstLine="0"/>
      </w:pPr>
      <w:r>
        <w:rPr>
          <w:rFonts w:ascii="宋体" w:hAnsi="宋体"/>
          <w:b/>
          <w:sz w:val="24"/>
        </w:rPr>
        <w:t>1、平台功能</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32"/>
        <w:gridCol w:w="2096"/>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序号</w:t>
            </w:r>
          </w:p>
        </w:tc>
        <w:tc>
          <w:tcPr>
            <w:tcW w:w="3328" w:type="dxa"/>
            <w:gridSpan w:val="2"/>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功能模块</w:t>
            </w:r>
          </w:p>
        </w:tc>
        <w:tc>
          <w:tcPr>
            <w:tcW w:w="4456" w:type="dxa"/>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一、</w:t>
            </w:r>
          </w:p>
        </w:tc>
        <w:tc>
          <w:tcPr>
            <w:tcW w:w="7784" w:type="dxa"/>
            <w:gridSpan w:val="3"/>
            <w:vAlign w:val="center"/>
          </w:tcPr>
          <w:p>
            <w:pPr>
              <w:widowControl/>
              <w:rPr>
                <w:rFonts w:ascii="仿宋_GB2312" w:hAnsi="仿宋" w:eastAsia="仿宋_GB2312" w:cs="宋体"/>
                <w:b/>
                <w:bCs/>
                <w:kern w:val="0"/>
              </w:rPr>
            </w:pPr>
            <w:r>
              <w:rPr>
                <w:rFonts w:hint="eastAsia" w:ascii="仿宋_GB2312" w:hAnsi="仿宋" w:eastAsia="仿宋_GB2312" w:cs="宋体"/>
                <w:b/>
                <w:bCs/>
                <w:kern w:val="0"/>
              </w:rPr>
              <w:t>“智办”侧应用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1、</w:t>
            </w:r>
          </w:p>
        </w:tc>
        <w:tc>
          <w:tcPr>
            <w:tcW w:w="7784" w:type="dxa"/>
            <w:gridSpan w:val="3"/>
            <w:vAlign w:val="center"/>
          </w:tcPr>
          <w:p>
            <w:pPr>
              <w:widowControl/>
              <w:rPr>
                <w:rFonts w:ascii="仿宋_GB2312" w:hAnsi="仿宋" w:eastAsia="仿宋_GB2312" w:cs="宋体"/>
                <w:b/>
                <w:bCs/>
                <w:kern w:val="0"/>
              </w:rPr>
            </w:pPr>
            <w:r>
              <w:rPr>
                <w:rFonts w:hint="eastAsia" w:ascii="仿宋_GB2312" w:hAnsi="仿宋" w:eastAsia="仿宋_GB2312" w:cs="宋体"/>
                <w:b/>
                <w:bCs/>
                <w:kern w:val="0"/>
              </w:rPr>
              <w:t>省心办事模块建设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1）</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大厅服务（改造）</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材料补传</w:t>
            </w:r>
          </w:p>
        </w:tc>
        <w:tc>
          <w:tcPr>
            <w:tcW w:w="4456" w:type="dxa"/>
          </w:tcPr>
          <w:p>
            <w:pPr>
              <w:widowControl/>
              <w:rPr>
                <w:rFonts w:ascii="仿宋_GB2312" w:hAnsi="仿宋" w:eastAsia="仿宋_GB2312" w:cs="宋体"/>
                <w:kern w:val="0"/>
              </w:rPr>
            </w:pPr>
            <w:r>
              <w:rPr>
                <w:rFonts w:hint="eastAsia" w:ascii="仿宋_GB2312" w:eastAsia="仿宋_GB2312"/>
              </w:rPr>
              <w:t>为群众办事遗漏材料时方便补充材料，</w:t>
            </w:r>
            <w:r>
              <w:rPr>
                <w:rFonts w:hint="eastAsia" w:ascii="仿宋_GB2312" w:hAnsi="仿宋" w:eastAsia="仿宋_GB2312" w:cs="宋体"/>
                <w:kern w:val="0"/>
              </w:rPr>
              <w:t>开放一个材料补传地址给办事群众，办事群众可以将遗漏的电子材料上传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咨询库纠错审核</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业务人员在使用政务小百科的过程中发现有错误想要纠正，可以在政务小百科对应的词条上纠正，系统自动将纠正信息发送给咨询库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政务小百科（每日答题+咨询库纠错）</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每日获取新的答题数据供相关人员巩固业务知识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扫码签到功能改造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培训扫二维码进行签到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2）</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助企专区</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惠企政策宣介平台</w:t>
            </w:r>
          </w:p>
        </w:tc>
        <w:tc>
          <w:tcPr>
            <w:tcW w:w="4456" w:type="dxa"/>
          </w:tcPr>
          <w:p>
            <w:pPr>
              <w:widowControl/>
              <w:rPr>
                <w:rFonts w:ascii="仿宋_GB2312" w:hAnsi="仿宋" w:eastAsia="仿宋_GB2312" w:cs="宋体"/>
                <w:kern w:val="0"/>
              </w:rPr>
            </w:pPr>
            <w:r>
              <w:rPr>
                <w:rFonts w:hint="eastAsia" w:ascii="仿宋_GB2312" w:eastAsia="仿宋_GB2312"/>
              </w:rPr>
              <w:t>查看企业优惠新闻、政策以及政策兑现方式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企业服务中心一览</w:t>
            </w:r>
          </w:p>
        </w:tc>
        <w:tc>
          <w:tcPr>
            <w:tcW w:w="4456" w:type="dxa"/>
          </w:tcPr>
          <w:p>
            <w:pPr>
              <w:widowControl/>
              <w:rPr>
                <w:rFonts w:ascii="仿宋_GB2312" w:hAnsi="仿宋" w:eastAsia="仿宋_GB2312" w:cs="宋体"/>
                <w:kern w:val="0"/>
              </w:rPr>
            </w:pPr>
            <w:r>
              <w:rPr>
                <w:rFonts w:hint="eastAsia" w:ascii="仿宋_GB2312" w:eastAsia="仿宋_GB2312"/>
              </w:rPr>
              <w:t>查看各企业服务中心名称、地址等信息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涉企在线帮办</w:t>
            </w:r>
          </w:p>
        </w:tc>
        <w:tc>
          <w:tcPr>
            <w:tcW w:w="4456" w:type="dxa"/>
          </w:tcPr>
          <w:p>
            <w:pPr>
              <w:widowControl/>
              <w:rPr>
                <w:rFonts w:ascii="仿宋_GB2312" w:hAnsi="仿宋" w:eastAsia="仿宋_GB2312" w:cs="宋体"/>
                <w:kern w:val="0"/>
              </w:rPr>
            </w:pPr>
            <w:r>
              <w:rPr>
                <w:rFonts w:hint="eastAsia" w:ascii="仿宋_GB2312" w:eastAsia="仿宋_GB2312"/>
              </w:rPr>
              <w:t>在线咨询需要办理的服务，人工在线帮忙指导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创业3D视图</w:t>
            </w:r>
          </w:p>
        </w:tc>
        <w:tc>
          <w:tcPr>
            <w:tcW w:w="4456" w:type="dxa"/>
          </w:tcPr>
          <w:p>
            <w:pPr>
              <w:widowControl/>
              <w:rPr>
                <w:rFonts w:ascii="仿宋_GB2312" w:hAnsi="仿宋" w:eastAsia="仿宋_GB2312" w:cs="宋体"/>
                <w:kern w:val="0"/>
              </w:rPr>
            </w:pPr>
            <w:r>
              <w:rPr>
                <w:rFonts w:hint="eastAsia" w:ascii="仿宋_GB2312" w:eastAsia="仿宋_GB2312"/>
              </w:rPr>
              <w:t>以3D视图的形式展示创业流程</w:t>
            </w:r>
            <w:r>
              <w:rPr>
                <w:rFonts w:hint="eastAsia" w:ascii="仿宋_GB2312" w:hAnsi="仿宋" w:eastAsia="仿宋_GB2312"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3</w:t>
            </w:r>
            <w:r>
              <w:rPr>
                <w:rFonts w:ascii="仿宋_GB2312" w:hAnsi="仿宋" w:eastAsia="仿宋_GB2312" w:cs="宋体"/>
                <w:kern w:val="0"/>
              </w:rPr>
              <w:t>)</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外专服务</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服务管理</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管理可以办理的服务事项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意见管理</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查看提出的意见建议并回复反馈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业务预审</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对提交的业务进行预审，预审通过则通知办理人来现场办理，不通过则指出问题并通知办理人整改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业务统计</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统计</w:t>
            </w:r>
            <w:r>
              <w:rPr>
                <w:rFonts w:hint="eastAsia" w:ascii="仿宋_GB2312" w:eastAsia="仿宋_GB2312"/>
              </w:rPr>
              <w:t>签证服务、各地因工作居留的境外人员数据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办理指引</w:t>
            </w:r>
          </w:p>
        </w:tc>
        <w:tc>
          <w:tcPr>
            <w:tcW w:w="4456" w:type="dxa"/>
          </w:tcPr>
          <w:p>
            <w:pPr>
              <w:widowControl/>
              <w:rPr>
                <w:rFonts w:ascii="仿宋_GB2312" w:hAnsi="仿宋" w:eastAsia="仿宋_GB2312" w:cs="宋体"/>
                <w:kern w:val="0"/>
              </w:rPr>
            </w:pPr>
            <w:r>
              <w:rPr>
                <w:rFonts w:hint="eastAsia" w:ascii="仿宋_GB2312" w:eastAsia="仿宋_GB2312"/>
              </w:rPr>
              <w:t>分涉外企业、境外人士和来台工作居留一件事三种类型引导办理对象进入跟办理类型匹配的业务范围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涉外企业服务</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方便涉外企业查找对应的服务，将涉及的服务集中在企业服务栏目，涉外企业可以快速找到需要办理的服务相关信息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境外人员服务</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方便境外人员查找对应的服务，将涉及的服务集中在境外人员服务专栏，境外人员可以快速找到需要办理的服务相关信息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我的服务</w:t>
            </w:r>
          </w:p>
        </w:tc>
        <w:tc>
          <w:tcPr>
            <w:tcW w:w="4456" w:type="dxa"/>
          </w:tcPr>
          <w:p>
            <w:pPr>
              <w:widowControl/>
              <w:rPr>
                <w:rFonts w:ascii="仿宋_GB2312" w:hAnsi="仿宋" w:eastAsia="仿宋_GB2312" w:cs="宋体"/>
                <w:kern w:val="0"/>
              </w:rPr>
            </w:pPr>
            <w:r>
              <w:rPr>
                <w:rFonts w:hint="eastAsia" w:ascii="仿宋_GB2312" w:hAnsi="仿宋" w:eastAsia="仿宋_GB2312"/>
              </w:rPr>
              <w:t>展示浙里办登录账号办理过的外专服务列表，供服务对象查看所办理过的服务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意见征集</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使用外专服务的人员可以根据自己的使用情况对外专服务专区提出自己的意见或者建议供中心参考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网站语言</w:t>
            </w:r>
          </w:p>
        </w:tc>
        <w:tc>
          <w:tcPr>
            <w:tcW w:w="4456" w:type="dxa"/>
          </w:tcPr>
          <w:p>
            <w:pPr>
              <w:widowControl/>
              <w:rPr>
                <w:rFonts w:ascii="仿宋_GB2312" w:hAnsi="仿宋" w:eastAsia="仿宋_GB2312" w:cs="宋体"/>
                <w:kern w:val="0"/>
              </w:rPr>
            </w:pPr>
            <w:r>
              <w:rPr>
                <w:rFonts w:hint="eastAsia" w:ascii="仿宋_GB2312" w:eastAsia="仿宋_GB2312"/>
              </w:rPr>
              <w:t>网站实行中英双语，以方便指引境外人员办理需要的服务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2、</w:t>
            </w:r>
          </w:p>
        </w:tc>
        <w:tc>
          <w:tcPr>
            <w:tcW w:w="7784" w:type="dxa"/>
            <w:gridSpan w:val="3"/>
            <w:vAlign w:val="center"/>
          </w:tcPr>
          <w:p>
            <w:pPr>
              <w:widowControl/>
              <w:rPr>
                <w:rFonts w:ascii="仿宋_GB2312" w:hAnsi="仿宋" w:eastAsia="仿宋_GB2312" w:cs="宋体"/>
                <w:b/>
                <w:bCs/>
                <w:kern w:val="0"/>
              </w:rPr>
            </w:pPr>
            <w:r>
              <w:rPr>
                <w:rFonts w:hint="eastAsia" w:ascii="仿宋_GB2312" w:hAnsi="仿宋" w:eastAsia="仿宋_GB2312" w:cs="宋体"/>
                <w:b/>
                <w:bCs/>
                <w:kern w:val="0"/>
              </w:rPr>
              <w:t>权力运行系统市集中改造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ascii="仿宋_GB2312" w:hAnsi="仿宋" w:eastAsia="仿宋_GB2312" w:cs="宋体"/>
                <w:kern w:val="0"/>
              </w:rPr>
              <w:t>1</w:t>
            </w:r>
            <w:r>
              <w:rPr>
                <w:rFonts w:hint="eastAsia" w:ascii="仿宋_GB2312" w:hAnsi="仿宋" w:eastAsia="仿宋_GB2312" w:cs="宋体"/>
                <w:kern w:val="0"/>
              </w:rPr>
              <w:t>）</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市权力运行系统改造</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组织、用户同步改造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将全市的组织机构和用户都统一获取到市级平台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办理事项同步改造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将全市的办理事项统一同步到市级平台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审批业务办理改造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将全市的办理服务统一到市级平台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办件查询维护改造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将全市的办件统一到市级平台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行政裁决改造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将全市的行政裁决类事项办理统一到市级平台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行政给付改造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将全市的行政给付类事项办理统一到市级平台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行政奖励改造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将全市的行政奖励类事项办理统一到市级平台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行政强制改造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将全市的行政强制类事项办理统一到市级平台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行政确认改造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将全市的行政确认类事项办理统一到市级平台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行政征收改造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将全市的行政征收类事项办理统一到市级平台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电子归档业务改造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将全市的电子归档相关业务统一到市级平台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办件统计监察改造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支持查看全市的所有办件、今日到期、办结跟踪、退件跟踪、补件跟踪、超期跟踪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办件统计分析改造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支持查看全市的综合办件情况表、办件汇总表、受理办结情况表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站内消息功能改造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支持查看各市县区的站内消息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一窗平台收件回推改造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各市县区的所有一窗办件统一到市级平台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政务2.0平台收件回推改造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各市县区的所有政务2.0平台办件统一到市级平台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数据汇聚到省库改造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各市区县办件由市级平台统一上报省库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各市区县的原有组织、用户数据迁移</w:t>
            </w:r>
          </w:p>
        </w:tc>
        <w:tc>
          <w:tcPr>
            <w:tcW w:w="4456" w:type="dxa"/>
          </w:tcPr>
          <w:p>
            <w:pPr>
              <w:widowControl/>
              <w:rPr>
                <w:rFonts w:ascii="仿宋_GB2312" w:hAnsi="仿宋" w:eastAsia="仿宋_GB2312" w:cs="宋体"/>
                <w:kern w:val="0"/>
              </w:rPr>
            </w:pPr>
            <w:r>
              <w:rPr>
                <w:rFonts w:hint="eastAsia" w:ascii="仿宋_GB2312" w:eastAsia="仿宋_GB2312"/>
              </w:rPr>
              <w:t>整合各市区县的组织机构以及用户账号数据，统一迁移到市权力运行系统中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各市区县的事项以及历史办件数据迁移</w:t>
            </w:r>
          </w:p>
        </w:tc>
        <w:tc>
          <w:tcPr>
            <w:tcW w:w="4456" w:type="dxa"/>
          </w:tcPr>
          <w:p>
            <w:pPr>
              <w:widowControl/>
              <w:rPr>
                <w:rFonts w:ascii="仿宋_GB2312" w:hAnsi="仿宋" w:eastAsia="仿宋_GB2312" w:cs="宋体"/>
                <w:kern w:val="0"/>
              </w:rPr>
            </w:pPr>
            <w:r>
              <w:rPr>
                <w:rFonts w:hint="eastAsia" w:ascii="仿宋_GB2312" w:eastAsia="仿宋_GB2312"/>
              </w:rPr>
              <w:t>各市区县的事项以及办件数据迁移到市级平台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2）</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中介后台管理系统改造</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中介事项管理改造</w:t>
            </w:r>
          </w:p>
        </w:tc>
        <w:tc>
          <w:tcPr>
            <w:tcW w:w="4456" w:type="dxa"/>
          </w:tcPr>
          <w:p>
            <w:pPr>
              <w:widowControl/>
              <w:rPr>
                <w:rFonts w:ascii="仿宋_GB2312" w:hAnsi="仿宋" w:eastAsia="仿宋_GB2312" w:cs="宋体"/>
                <w:kern w:val="0"/>
              </w:rPr>
            </w:pPr>
            <w:r>
              <w:rPr>
                <w:rFonts w:hint="eastAsia" w:ascii="仿宋_GB2312" w:eastAsia="仿宋_GB2312"/>
              </w:rPr>
              <w:t>各市区县的中介机构服务事项统一到市级平台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中介机构管理改造</w:t>
            </w:r>
          </w:p>
        </w:tc>
        <w:tc>
          <w:tcPr>
            <w:tcW w:w="4456" w:type="dxa"/>
          </w:tcPr>
          <w:p>
            <w:pPr>
              <w:widowControl/>
              <w:rPr>
                <w:rFonts w:ascii="仿宋_GB2312" w:hAnsi="仿宋" w:eastAsia="仿宋_GB2312" w:cs="宋体"/>
                <w:kern w:val="0"/>
              </w:rPr>
            </w:pPr>
            <w:r>
              <w:rPr>
                <w:rFonts w:hint="eastAsia" w:ascii="仿宋_GB2312" w:eastAsia="仿宋_GB2312"/>
              </w:rPr>
              <w:t>各市区县的中介</w:t>
            </w:r>
            <w:r>
              <w:rPr>
                <w:rFonts w:hint="eastAsia" w:ascii="仿宋_GB2312" w:hAnsi="仿宋" w:eastAsia="仿宋_GB2312" w:cs="宋体"/>
                <w:kern w:val="0"/>
              </w:rPr>
              <w:t>机构管理</w:t>
            </w:r>
            <w:r>
              <w:rPr>
                <w:rFonts w:hint="eastAsia" w:ascii="仿宋_GB2312" w:eastAsia="仿宋_GB2312"/>
              </w:rPr>
              <w:t>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中介业务公告管理改造</w:t>
            </w:r>
          </w:p>
        </w:tc>
        <w:tc>
          <w:tcPr>
            <w:tcW w:w="4456" w:type="dxa"/>
          </w:tcPr>
          <w:p>
            <w:pPr>
              <w:widowControl/>
              <w:rPr>
                <w:rFonts w:ascii="仿宋_GB2312" w:hAnsi="仿宋" w:eastAsia="仿宋_GB2312" w:cs="宋体"/>
                <w:kern w:val="0"/>
              </w:rPr>
            </w:pPr>
            <w:r>
              <w:rPr>
                <w:rFonts w:hint="eastAsia" w:ascii="仿宋_GB2312" w:eastAsia="仿宋_GB2312"/>
              </w:rPr>
              <w:t>各市区县的中介</w:t>
            </w:r>
            <w:r>
              <w:rPr>
                <w:rFonts w:hint="eastAsia" w:ascii="仿宋_GB2312" w:hAnsi="仿宋" w:eastAsia="仿宋_GB2312" w:cs="宋体"/>
                <w:kern w:val="0"/>
              </w:rPr>
              <w:t>业务公告管理</w:t>
            </w:r>
            <w:r>
              <w:rPr>
                <w:rFonts w:hint="eastAsia" w:ascii="仿宋_GB2312" w:eastAsia="仿宋_GB2312"/>
              </w:rPr>
              <w:t>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中介竞价管理改造</w:t>
            </w:r>
          </w:p>
        </w:tc>
        <w:tc>
          <w:tcPr>
            <w:tcW w:w="4456" w:type="dxa"/>
          </w:tcPr>
          <w:p>
            <w:pPr>
              <w:widowControl/>
              <w:rPr>
                <w:rFonts w:ascii="仿宋_GB2312" w:hAnsi="仿宋" w:eastAsia="仿宋_GB2312" w:cs="宋体"/>
                <w:kern w:val="0"/>
              </w:rPr>
            </w:pPr>
            <w:r>
              <w:rPr>
                <w:rFonts w:hint="eastAsia" w:ascii="仿宋_GB2312" w:eastAsia="仿宋_GB2312"/>
              </w:rPr>
              <w:t>各市区县的中介</w:t>
            </w:r>
            <w:r>
              <w:rPr>
                <w:rFonts w:hint="eastAsia" w:ascii="仿宋_GB2312" w:hAnsi="仿宋" w:eastAsia="仿宋_GB2312" w:cs="宋体"/>
                <w:kern w:val="0"/>
              </w:rPr>
              <w:t>竞价管理</w:t>
            </w:r>
            <w:r>
              <w:rPr>
                <w:rFonts w:hint="eastAsia" w:ascii="仿宋_GB2312" w:eastAsia="仿宋_GB2312"/>
              </w:rPr>
              <w:t>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中介评价管理改造</w:t>
            </w:r>
          </w:p>
        </w:tc>
        <w:tc>
          <w:tcPr>
            <w:tcW w:w="4456" w:type="dxa"/>
          </w:tcPr>
          <w:p>
            <w:pPr>
              <w:widowControl/>
              <w:rPr>
                <w:rFonts w:ascii="仿宋_GB2312" w:hAnsi="仿宋" w:eastAsia="仿宋_GB2312" w:cs="宋体"/>
                <w:kern w:val="0"/>
              </w:rPr>
            </w:pPr>
            <w:r>
              <w:rPr>
                <w:rFonts w:hint="eastAsia" w:ascii="仿宋_GB2312" w:eastAsia="仿宋_GB2312"/>
              </w:rPr>
              <w:t>各市区县的中介</w:t>
            </w:r>
            <w:r>
              <w:rPr>
                <w:rFonts w:hint="eastAsia" w:ascii="仿宋_GB2312" w:hAnsi="仿宋" w:eastAsia="仿宋_GB2312" w:cs="宋体"/>
                <w:kern w:val="0"/>
              </w:rPr>
              <w:t>评价管理</w:t>
            </w:r>
            <w:r>
              <w:rPr>
                <w:rFonts w:hint="eastAsia" w:ascii="仿宋_GB2312" w:eastAsia="仿宋_GB2312"/>
              </w:rPr>
              <w:t>统一到市级平台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二、</w:t>
            </w:r>
          </w:p>
        </w:tc>
        <w:tc>
          <w:tcPr>
            <w:tcW w:w="7784" w:type="dxa"/>
            <w:gridSpan w:val="3"/>
            <w:vAlign w:val="center"/>
          </w:tcPr>
          <w:p>
            <w:pPr>
              <w:widowControl/>
              <w:rPr>
                <w:rFonts w:ascii="仿宋_GB2312" w:hAnsi="仿宋" w:eastAsia="仿宋_GB2312" w:cs="宋体"/>
                <w:b/>
                <w:bCs/>
                <w:kern w:val="0"/>
              </w:rPr>
            </w:pPr>
            <w:r>
              <w:rPr>
                <w:rFonts w:hint="eastAsia" w:ascii="仿宋_GB2312" w:hAnsi="仿宋" w:eastAsia="仿宋_GB2312" w:cs="宋体"/>
                <w:b/>
                <w:bCs/>
                <w:kern w:val="0"/>
              </w:rPr>
              <w:t>“智管”侧建设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1、</w:t>
            </w:r>
          </w:p>
        </w:tc>
        <w:tc>
          <w:tcPr>
            <w:tcW w:w="7784" w:type="dxa"/>
            <w:gridSpan w:val="3"/>
            <w:vAlign w:val="center"/>
          </w:tcPr>
          <w:p>
            <w:pPr>
              <w:widowControl/>
              <w:rPr>
                <w:rFonts w:ascii="仿宋_GB2312" w:hAnsi="仿宋" w:eastAsia="仿宋_GB2312" w:cs="宋体"/>
                <w:b/>
                <w:bCs/>
                <w:kern w:val="0"/>
              </w:rPr>
            </w:pPr>
            <w:r>
              <w:rPr>
                <w:rFonts w:hint="eastAsia" w:ascii="仿宋_GB2312" w:hAnsi="仿宋" w:eastAsia="仿宋_GB2312" w:cs="宋体"/>
                <w:b/>
                <w:bCs/>
                <w:kern w:val="0"/>
              </w:rPr>
              <w:t>政务服务驾驶舱建设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1）</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预警调度</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预警配置</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设置预警分类、预警指标、预警规则、预警提醒周期、预警提醒人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预警任务</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对应指标所定时执行或者周期性执行的预警任务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警报处理</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查看警报详情反馈警报的处理情况以及处理结果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预警监管</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查看警报清单、智能预警报表、历史预警同期报表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指标管理</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大厅月报指标、大厅</w:t>
            </w:r>
            <w:r>
              <w:rPr>
                <w:rFonts w:hint="eastAsia" w:ascii="仿宋_GB2312" w:eastAsia="仿宋_GB2312"/>
              </w:rPr>
              <w:t>能力指标数据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大厅运营月报表</w:t>
            </w:r>
          </w:p>
        </w:tc>
        <w:tc>
          <w:tcPr>
            <w:tcW w:w="4456" w:type="dxa"/>
          </w:tcPr>
          <w:p>
            <w:pPr>
              <w:widowControl/>
              <w:rPr>
                <w:rFonts w:ascii="仿宋_GB2312" w:hAnsi="仿宋" w:eastAsia="仿宋_GB2312" w:cs="宋体"/>
                <w:kern w:val="0"/>
              </w:rPr>
            </w:pPr>
            <w:r>
              <w:rPr>
                <w:rFonts w:hint="eastAsia" w:ascii="仿宋_GB2312" w:eastAsia="仿宋_GB2312"/>
              </w:rPr>
              <w:t>通过政务服务大厅办件数据的采集、清洗和运算，</w:t>
            </w:r>
            <w:r>
              <w:rPr>
                <w:rFonts w:hint="eastAsia" w:ascii="仿宋_GB2312" w:hAnsi="仿宋" w:eastAsia="仿宋_GB2312"/>
              </w:rPr>
              <w:t>将大厅的各个数据通过月报的方式进行展示，形成一个决策分析的文档报表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监控网点管理</w:t>
            </w:r>
          </w:p>
        </w:tc>
        <w:tc>
          <w:tcPr>
            <w:tcW w:w="4456" w:type="dxa"/>
          </w:tcPr>
          <w:p>
            <w:pPr>
              <w:widowControl/>
              <w:rPr>
                <w:rFonts w:ascii="仿宋_GB2312" w:hAnsi="仿宋" w:eastAsia="仿宋_GB2312" w:cs="宋体"/>
                <w:kern w:val="0"/>
              </w:rPr>
            </w:pPr>
            <w:r>
              <w:rPr>
                <w:rFonts w:hint="eastAsia" w:ascii="仿宋_GB2312" w:hAnsi="仿宋" w:eastAsia="仿宋_GB2312"/>
              </w:rPr>
              <w:t>管理全市所有服务大厅的监控网点数据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2）</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大厅数据仓</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个人办事库</w:t>
            </w:r>
          </w:p>
        </w:tc>
        <w:tc>
          <w:tcPr>
            <w:tcW w:w="4456" w:type="dxa"/>
          </w:tcPr>
          <w:p>
            <w:pPr>
              <w:widowControl/>
              <w:rPr>
                <w:rFonts w:ascii="仿宋_GB2312" w:hAnsi="仿宋" w:eastAsia="仿宋_GB2312" w:cs="宋体"/>
                <w:kern w:val="0"/>
              </w:rPr>
            </w:pPr>
            <w:r>
              <w:rPr>
                <w:rFonts w:hint="eastAsia" w:ascii="仿宋_GB2312" w:hAnsi="仿宋" w:eastAsia="仿宋_GB2312"/>
              </w:rPr>
              <w:t>取叫号、办事、标注（人员特征标注）数据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企业办事库</w:t>
            </w:r>
          </w:p>
        </w:tc>
        <w:tc>
          <w:tcPr>
            <w:tcW w:w="4456" w:type="dxa"/>
          </w:tcPr>
          <w:p>
            <w:pPr>
              <w:widowControl/>
              <w:rPr>
                <w:rFonts w:ascii="仿宋_GB2312" w:hAnsi="仿宋" w:eastAsia="仿宋_GB2312" w:cs="宋体"/>
                <w:kern w:val="0"/>
              </w:rPr>
            </w:pPr>
            <w:r>
              <w:rPr>
                <w:rFonts w:hint="eastAsia" w:ascii="仿宋_GB2312" w:hAnsi="仿宋" w:eastAsia="仿宋_GB2312"/>
              </w:rPr>
              <w:t>取叫号、办事、标注（企业特征标注）数据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综合人员库</w:t>
            </w:r>
          </w:p>
        </w:tc>
        <w:tc>
          <w:tcPr>
            <w:tcW w:w="4456" w:type="dxa"/>
          </w:tcPr>
          <w:p>
            <w:pPr>
              <w:widowControl/>
              <w:rPr>
                <w:rFonts w:ascii="仿宋_GB2312" w:hAnsi="仿宋" w:eastAsia="仿宋_GB2312" w:cs="宋体"/>
                <w:kern w:val="0"/>
              </w:rPr>
            </w:pPr>
            <w:r>
              <w:rPr>
                <w:rFonts w:hint="eastAsia" w:ascii="仿宋_GB2312" w:hAnsi="仿宋" w:eastAsia="仿宋_GB2312"/>
              </w:rPr>
              <w:t>取叫号、考试、培训、积分数据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办件全流程库</w:t>
            </w:r>
          </w:p>
        </w:tc>
        <w:tc>
          <w:tcPr>
            <w:tcW w:w="4456" w:type="dxa"/>
          </w:tcPr>
          <w:p>
            <w:pPr>
              <w:widowControl/>
              <w:rPr>
                <w:rFonts w:ascii="仿宋_GB2312" w:hAnsi="仿宋" w:eastAsia="仿宋_GB2312" w:cs="宋体"/>
                <w:kern w:val="0"/>
              </w:rPr>
            </w:pPr>
            <w:r>
              <w:rPr>
                <w:rFonts w:hint="eastAsia" w:ascii="仿宋_GB2312" w:hAnsi="仿宋" w:eastAsia="仿宋_GB2312"/>
              </w:rPr>
              <w:t>办件时间、办件状态、办件事项性质等数据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维度二级库</w:t>
            </w:r>
          </w:p>
        </w:tc>
        <w:tc>
          <w:tcPr>
            <w:tcW w:w="4456" w:type="dxa"/>
          </w:tcPr>
          <w:p>
            <w:pPr>
              <w:widowControl/>
              <w:rPr>
                <w:rFonts w:ascii="仿宋_GB2312" w:hAnsi="仿宋" w:eastAsia="仿宋_GB2312" w:cs="宋体"/>
                <w:kern w:val="0"/>
              </w:rPr>
            </w:pPr>
            <w:r>
              <w:rPr>
                <w:rFonts w:hint="eastAsia" w:ascii="仿宋_GB2312" w:hAnsi="仿宋" w:eastAsia="仿宋_GB2312"/>
              </w:rPr>
              <w:t>主体维度、时间维度切分数据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kern w:val="0"/>
              </w:rPr>
            </w:pPr>
            <w:r>
              <w:rPr>
                <w:rFonts w:hint="eastAsia" w:ascii="仿宋_GB2312" w:hAnsi="仿宋" w:eastAsia="仿宋_GB2312" w:cs="宋体"/>
                <w:kern w:val="0"/>
              </w:rPr>
              <w:t>3）</w:t>
            </w:r>
          </w:p>
        </w:tc>
        <w:tc>
          <w:tcPr>
            <w:tcW w:w="3328" w:type="dxa"/>
            <w:gridSpan w:val="2"/>
            <w:vAlign w:val="center"/>
          </w:tcPr>
          <w:p>
            <w:pPr>
              <w:widowControl/>
              <w:rPr>
                <w:rFonts w:ascii="仿宋_GB2312" w:hAnsi="仿宋" w:eastAsia="仿宋_GB2312" w:cs="宋体"/>
                <w:kern w:val="0"/>
              </w:rPr>
            </w:pPr>
            <w:r>
              <w:rPr>
                <w:rFonts w:hint="eastAsia" w:ascii="仿宋_GB2312" w:hAnsi="仿宋" w:eastAsia="仿宋_GB2312" w:cs="宋体"/>
                <w:kern w:val="0"/>
              </w:rPr>
              <w:t>部门业务驾驶舱</w:t>
            </w:r>
          </w:p>
        </w:tc>
        <w:tc>
          <w:tcPr>
            <w:tcW w:w="4456" w:type="dxa"/>
          </w:tcPr>
          <w:p>
            <w:pPr>
              <w:widowControl/>
              <w:rPr>
                <w:rFonts w:ascii="仿宋_GB2312" w:hAnsi="仿宋" w:eastAsia="仿宋_GB2312" w:cs="宋体"/>
                <w:kern w:val="0"/>
              </w:rPr>
            </w:pPr>
            <w:r>
              <w:rPr>
                <w:rFonts w:hint="eastAsia" w:ascii="仿宋_GB2312" w:eastAsia="仿宋_GB2312"/>
              </w:rPr>
              <w:t>办理不动产相关的业务数据，包括国有建设用地使用权出让、商品房网签备案、商品房不动产权证登记、商品房贷款几个模块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kern w:val="0"/>
              </w:rPr>
            </w:pPr>
            <w:r>
              <w:rPr>
                <w:rFonts w:hint="eastAsia" w:ascii="仿宋_GB2312" w:hAnsi="仿宋" w:eastAsia="仿宋_GB2312" w:cs="宋体"/>
                <w:kern w:val="0"/>
              </w:rPr>
              <w:t>4）</w:t>
            </w:r>
          </w:p>
        </w:tc>
        <w:tc>
          <w:tcPr>
            <w:tcW w:w="3328" w:type="dxa"/>
            <w:gridSpan w:val="2"/>
            <w:vAlign w:val="center"/>
          </w:tcPr>
          <w:p>
            <w:pPr>
              <w:widowControl/>
              <w:rPr>
                <w:rFonts w:ascii="仿宋_GB2312" w:hAnsi="仿宋" w:eastAsia="仿宋_GB2312" w:cs="宋体"/>
                <w:kern w:val="0"/>
              </w:rPr>
            </w:pPr>
            <w:r>
              <w:rPr>
                <w:rFonts w:hint="eastAsia" w:ascii="仿宋_GB2312" w:hAnsi="仿宋" w:eastAsia="仿宋_GB2312" w:cs="宋体"/>
                <w:kern w:val="0"/>
              </w:rPr>
              <w:t>能力评估驾驶舱</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大厅以及人员相关的数据统计分析，分成服务完备度、服务成熟度、服务覆盖度、服务成效度四个模块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kern w:val="0"/>
              </w:rPr>
            </w:pPr>
            <w:r>
              <w:rPr>
                <w:rFonts w:hint="eastAsia" w:ascii="仿宋_GB2312" w:hAnsi="仿宋" w:eastAsia="仿宋_GB2312" w:cs="宋体"/>
                <w:kern w:val="0"/>
              </w:rPr>
              <w:t>5）</w:t>
            </w:r>
          </w:p>
        </w:tc>
        <w:tc>
          <w:tcPr>
            <w:tcW w:w="3328" w:type="dxa"/>
            <w:gridSpan w:val="2"/>
            <w:vAlign w:val="center"/>
          </w:tcPr>
          <w:p>
            <w:pPr>
              <w:widowControl/>
              <w:rPr>
                <w:rFonts w:ascii="仿宋_GB2312" w:hAnsi="仿宋" w:eastAsia="仿宋_GB2312" w:cs="宋体"/>
                <w:kern w:val="0"/>
              </w:rPr>
            </w:pPr>
            <w:r>
              <w:rPr>
                <w:rFonts w:hint="eastAsia" w:ascii="仿宋_GB2312" w:hAnsi="仿宋" w:eastAsia="仿宋_GB2312" w:cs="宋体"/>
                <w:kern w:val="0"/>
              </w:rPr>
              <w:t>驾驶舱单点登录对接</w:t>
            </w:r>
          </w:p>
        </w:tc>
        <w:tc>
          <w:tcPr>
            <w:tcW w:w="4456" w:type="dxa"/>
          </w:tcPr>
          <w:p>
            <w:pPr>
              <w:widowControl/>
              <w:rPr>
                <w:rFonts w:ascii="仿宋_GB2312" w:hAnsi="仿宋" w:eastAsia="仿宋_GB2312" w:cs="宋体"/>
                <w:kern w:val="0"/>
              </w:rPr>
            </w:pPr>
            <w:r>
              <w:rPr>
                <w:rFonts w:hint="eastAsia" w:ascii="仿宋_GB2312" w:hAnsi="仿宋" w:eastAsia="仿宋_GB2312"/>
              </w:rPr>
              <w:t>台州政务服务驾驶舱上架到台州市政务服务统一门户工作台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kern w:val="0"/>
              </w:rPr>
            </w:pPr>
            <w:r>
              <w:rPr>
                <w:rFonts w:hint="eastAsia" w:ascii="仿宋_GB2312" w:hAnsi="仿宋" w:eastAsia="仿宋_GB2312" w:cs="宋体"/>
                <w:kern w:val="0"/>
              </w:rPr>
              <w:t>6）</w:t>
            </w:r>
          </w:p>
        </w:tc>
        <w:tc>
          <w:tcPr>
            <w:tcW w:w="3328" w:type="dxa"/>
            <w:gridSpan w:val="2"/>
            <w:vAlign w:val="center"/>
          </w:tcPr>
          <w:p>
            <w:pPr>
              <w:widowControl/>
              <w:rPr>
                <w:rFonts w:ascii="仿宋_GB2312" w:hAnsi="仿宋" w:eastAsia="仿宋_GB2312" w:cs="宋体"/>
                <w:kern w:val="0"/>
              </w:rPr>
            </w:pPr>
            <w:r>
              <w:rPr>
                <w:rFonts w:hint="eastAsia" w:ascii="仿宋_GB2312" w:hAnsi="仿宋" w:eastAsia="仿宋_GB2312" w:cs="宋体"/>
                <w:kern w:val="0"/>
              </w:rPr>
              <w:t>驾驶舱组件权限</w:t>
            </w:r>
          </w:p>
        </w:tc>
        <w:tc>
          <w:tcPr>
            <w:tcW w:w="4456" w:type="dxa"/>
          </w:tcPr>
          <w:p>
            <w:pPr>
              <w:widowControl/>
              <w:rPr>
                <w:rFonts w:ascii="仿宋_GB2312" w:hAnsi="仿宋" w:eastAsia="仿宋_GB2312" w:cs="宋体"/>
                <w:kern w:val="0"/>
              </w:rPr>
            </w:pPr>
            <w:r>
              <w:rPr>
                <w:rFonts w:hint="eastAsia" w:ascii="仿宋_GB2312" w:hAnsi="仿宋" w:eastAsia="仿宋_GB2312"/>
              </w:rPr>
              <w:t>通过台州市政务服务统一门户工作台跳转到台州政务服务驾驶舱的用户，可以根据用户所在区县进行权限划分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b/>
                <w:bCs/>
                <w:kern w:val="0"/>
              </w:rPr>
            </w:pPr>
            <w:r>
              <w:rPr>
                <w:rFonts w:hint="eastAsia" w:ascii="仿宋_GB2312" w:hAnsi="仿宋" w:eastAsia="仿宋_GB2312" w:cs="宋体"/>
                <w:b/>
                <w:bCs/>
                <w:kern w:val="0"/>
              </w:rPr>
              <w:t>2、</w:t>
            </w:r>
          </w:p>
        </w:tc>
        <w:tc>
          <w:tcPr>
            <w:tcW w:w="7784" w:type="dxa"/>
            <w:gridSpan w:val="3"/>
            <w:vAlign w:val="center"/>
          </w:tcPr>
          <w:p>
            <w:pPr>
              <w:widowControl/>
              <w:rPr>
                <w:rFonts w:ascii="仿宋_GB2312" w:hAnsi="仿宋" w:eastAsia="仿宋_GB2312" w:cs="宋体"/>
                <w:b/>
                <w:bCs/>
                <w:kern w:val="0"/>
              </w:rPr>
            </w:pPr>
            <w:r>
              <w:rPr>
                <w:rFonts w:hint="eastAsia" w:ascii="仿宋_GB2312" w:hAnsi="仿宋" w:eastAsia="仿宋_GB2312" w:cs="宋体"/>
                <w:b/>
                <w:bCs/>
                <w:kern w:val="0"/>
              </w:rPr>
              <w:t>综合受理员一体化系统改造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1）</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题型扩展（案例题）</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案例题配置</w:t>
            </w:r>
          </w:p>
        </w:tc>
        <w:tc>
          <w:tcPr>
            <w:tcW w:w="4456" w:type="dxa"/>
          </w:tcPr>
          <w:p>
            <w:pPr>
              <w:widowControl/>
              <w:rPr>
                <w:rFonts w:ascii="仿宋_GB2312" w:hAnsi="仿宋" w:eastAsia="仿宋_GB2312" w:cs="宋体"/>
                <w:kern w:val="0"/>
              </w:rPr>
            </w:pPr>
            <w:r>
              <w:rPr>
                <w:rFonts w:hint="eastAsia" w:ascii="仿宋_GB2312" w:eastAsia="仿宋_GB2312"/>
              </w:rPr>
              <w:t>对案例题新增、配置以及审核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试题认领</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公共题库种对案例题展示、搜索、认领等功能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组卷功能改造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根据案例题可自动组成试卷或者手工组成试卷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考试功能改造</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可以自动判卷、人工阅卷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试题导入</w:t>
            </w:r>
          </w:p>
        </w:tc>
        <w:tc>
          <w:tcPr>
            <w:tcW w:w="4456" w:type="dxa"/>
          </w:tcPr>
          <w:p>
            <w:pPr>
              <w:widowControl/>
              <w:rPr>
                <w:rFonts w:ascii="仿宋_GB2312" w:hAnsi="仿宋" w:eastAsia="仿宋_GB2312" w:cs="宋体"/>
                <w:kern w:val="0"/>
              </w:rPr>
            </w:pPr>
            <w:r>
              <w:rPr>
                <w:rFonts w:hint="eastAsia" w:ascii="仿宋_GB2312" w:eastAsia="仿宋_GB2312"/>
              </w:rPr>
              <w:t>按照模板固定格式填写试题信息，一键导入试题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新增案例题积分</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设置新增案例题得分系数，当考试库新增(入选)一道案例题，给予出题者对应系数的积分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数据统计分析</w:t>
            </w:r>
          </w:p>
        </w:tc>
        <w:tc>
          <w:tcPr>
            <w:tcW w:w="4456" w:type="dxa"/>
          </w:tcPr>
          <w:p>
            <w:pPr>
              <w:widowControl/>
              <w:rPr>
                <w:rFonts w:ascii="仿宋_GB2312" w:hAnsi="仿宋" w:eastAsia="仿宋_GB2312" w:cs="宋体"/>
                <w:kern w:val="0"/>
              </w:rPr>
            </w:pPr>
            <w:r>
              <w:rPr>
                <w:rFonts w:hint="eastAsia" w:ascii="仿宋_GB2312" w:eastAsia="仿宋_GB2312"/>
              </w:rPr>
              <w:t>本月和本年新增数量统计以及错题记录统计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ascii="仿宋_GB2312" w:hAnsi="仿宋" w:eastAsia="仿宋_GB2312" w:cs="宋体"/>
                <w:kern w:val="0"/>
              </w:rPr>
              <w:t>2</w:t>
            </w:r>
            <w:r>
              <w:rPr>
                <w:rFonts w:hint="eastAsia" w:ascii="仿宋_GB2312" w:hAnsi="仿宋" w:eastAsia="仿宋_GB2312" w:cs="宋体"/>
                <w:kern w:val="0"/>
              </w:rPr>
              <w:t>）</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培训、课程业务流程调整</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线上、线下培训调整</w:t>
            </w:r>
          </w:p>
        </w:tc>
        <w:tc>
          <w:tcPr>
            <w:tcW w:w="4456" w:type="dxa"/>
          </w:tcPr>
          <w:p>
            <w:pPr>
              <w:widowControl/>
              <w:rPr>
                <w:rFonts w:ascii="仿宋_GB2312" w:hAnsi="仿宋" w:eastAsia="仿宋_GB2312" w:cs="宋体"/>
                <w:kern w:val="0"/>
              </w:rPr>
            </w:pPr>
            <w:r>
              <w:rPr>
                <w:rFonts w:hint="eastAsia" w:ascii="仿宋_GB2312" w:eastAsia="仿宋_GB2312"/>
                <w:szCs w:val="22"/>
              </w:rPr>
              <w:t>线上培训需发布培训任务、制作课程表、指定学员在规定时间内将课程表中的内容学习完毕；线下培训针对现场组织的培训，在系统上发布培训，指定时间、地点、人物，线下进行签到，支持上传培训记录、材料、视频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线上培训学习数据统计</w:t>
            </w:r>
          </w:p>
        </w:tc>
        <w:tc>
          <w:tcPr>
            <w:tcW w:w="4456" w:type="dxa"/>
          </w:tcPr>
          <w:p>
            <w:pPr>
              <w:widowControl/>
              <w:rPr>
                <w:rFonts w:ascii="仿宋_GB2312" w:hAnsi="仿宋" w:eastAsia="仿宋_GB2312" w:cs="宋体"/>
                <w:kern w:val="0"/>
              </w:rPr>
            </w:pPr>
            <w:r>
              <w:rPr>
                <w:rFonts w:hint="eastAsia" w:ascii="仿宋_GB2312" w:eastAsia="仿宋_GB2312"/>
                <w:szCs w:val="22"/>
              </w:rPr>
              <w:t>线上培训产生的学习数据独立计算并保存，与课程中的学习数据相互独立，在线上培训中增加统计报表模块，多维度展示学员学习情况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培训、课程标签添加</w:t>
            </w:r>
          </w:p>
        </w:tc>
        <w:tc>
          <w:tcPr>
            <w:tcW w:w="4456" w:type="dxa"/>
          </w:tcPr>
          <w:p>
            <w:pPr>
              <w:widowControl/>
              <w:rPr>
                <w:rFonts w:ascii="仿宋_GB2312" w:hAnsi="仿宋" w:eastAsia="仿宋_GB2312" w:cs="宋体"/>
                <w:kern w:val="0"/>
              </w:rPr>
            </w:pPr>
            <w:r>
              <w:rPr>
                <w:rFonts w:hint="eastAsia" w:ascii="仿宋_GB2312" w:eastAsia="仿宋_GB2312"/>
                <w:szCs w:val="22"/>
              </w:rPr>
              <w:t>按照难度（低、中、高）、制作质量（是否精品课程）、归属范围（业务课堂、政务课堂、中心规范、职场课堂）搭建培训课程体系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3）</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积分制系统功能优化及全市应用（咨询库规则、县市区个性化规则、主管审题积分）</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highlight w:val="none"/>
              </w:rPr>
              <w:t>咨询库积分对接</w:t>
            </w:r>
          </w:p>
        </w:tc>
        <w:tc>
          <w:tcPr>
            <w:tcW w:w="4456" w:type="dxa"/>
          </w:tcPr>
          <w:p>
            <w:pPr>
              <w:widowControl/>
              <w:rPr>
                <w:rFonts w:ascii="仿宋_GB2312" w:hAnsi="仿宋" w:eastAsia="仿宋_GB2312" w:cs="宋体"/>
                <w:kern w:val="0"/>
              </w:rPr>
            </w:pPr>
            <w:r>
              <w:rPr>
                <w:rFonts w:hint="eastAsia" w:ascii="仿宋_GB2312" w:eastAsia="仿宋_GB2312"/>
                <w:szCs w:val="22"/>
              </w:rPr>
              <w:t>与咨询库进行对接，咨询问答的新增、修改、纠错、审核等操作都会被记录并产生相应积分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县市区个性化规则</w:t>
            </w:r>
          </w:p>
        </w:tc>
        <w:tc>
          <w:tcPr>
            <w:tcW w:w="4456" w:type="dxa"/>
          </w:tcPr>
          <w:p>
            <w:pPr>
              <w:widowControl/>
              <w:rPr>
                <w:rFonts w:ascii="仿宋_GB2312" w:hAnsi="仿宋" w:eastAsia="仿宋_GB2312" w:cs="宋体"/>
                <w:kern w:val="0"/>
              </w:rPr>
            </w:pPr>
            <w:r>
              <w:rPr>
                <w:rFonts w:hint="eastAsia" w:ascii="仿宋_GB2312" w:eastAsia="仿宋_GB2312"/>
                <w:szCs w:val="22"/>
              </w:rPr>
              <w:t>岗位积分系数自定义、轮岗岗位自定义、成长积分中发布考试、发布培训、发布课程、培训签到、考核、竞赛等积分系数自定义，以及自定义扣分项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主管审题积分模块</w:t>
            </w:r>
          </w:p>
        </w:tc>
        <w:tc>
          <w:tcPr>
            <w:tcW w:w="4456" w:type="dxa"/>
          </w:tcPr>
          <w:p>
            <w:pPr>
              <w:widowControl/>
              <w:rPr>
                <w:rFonts w:ascii="仿宋_GB2312" w:hAnsi="仿宋" w:eastAsia="仿宋_GB2312" w:cs="宋体"/>
                <w:kern w:val="0"/>
              </w:rPr>
            </w:pPr>
            <w:r>
              <w:rPr>
                <w:rFonts w:hint="eastAsia" w:ascii="仿宋_GB2312" w:eastAsia="仿宋_GB2312"/>
                <w:szCs w:val="22"/>
              </w:rPr>
              <w:t>按主管所属领域，对该领域下的试题审核任务进行分配，审核内容包括新题审核及试题挑错审核，新增积分事件：审核通过积分、未达到审核量扣分、审核不及时扣分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网办积分计算任务</w:t>
            </w:r>
          </w:p>
        </w:tc>
        <w:tc>
          <w:tcPr>
            <w:tcW w:w="4456" w:type="dxa"/>
          </w:tcPr>
          <w:p>
            <w:pPr>
              <w:widowControl/>
              <w:rPr>
                <w:rFonts w:ascii="仿宋_GB2312" w:hAnsi="仿宋" w:eastAsia="仿宋_GB2312" w:cs="宋体"/>
                <w:kern w:val="0"/>
              </w:rPr>
            </w:pPr>
            <w:r>
              <w:rPr>
                <w:rFonts w:hint="eastAsia" w:ascii="仿宋_GB2312" w:eastAsia="仿宋_GB2312"/>
                <w:szCs w:val="22"/>
              </w:rPr>
              <w:t>定时获取网传邮寄件、电话咨询件数据，并按照对应事项平均办理时长计算积分，若事项平均办理时长获取不到，则按照全部事项平均办理时长给分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当日岗位积分上限设定</w:t>
            </w:r>
          </w:p>
        </w:tc>
        <w:tc>
          <w:tcPr>
            <w:tcW w:w="4456" w:type="dxa"/>
          </w:tcPr>
          <w:p>
            <w:pPr>
              <w:widowControl/>
              <w:rPr>
                <w:rFonts w:ascii="仿宋_GB2312" w:hAnsi="仿宋" w:eastAsia="仿宋_GB2312" w:cs="宋体"/>
                <w:kern w:val="0"/>
              </w:rPr>
            </w:pPr>
            <w:r>
              <w:rPr>
                <w:rFonts w:hint="eastAsia" w:ascii="仿宋_GB2312" w:eastAsia="仿宋_GB2312"/>
                <w:szCs w:val="22"/>
              </w:rPr>
              <w:t>设定当日岗位积分上限值，若窗口人员当日岗位积分累计超过上限值，则对超出部分进行扣分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试题退回率统计</w:t>
            </w:r>
          </w:p>
        </w:tc>
        <w:tc>
          <w:tcPr>
            <w:tcW w:w="4456" w:type="dxa"/>
          </w:tcPr>
          <w:p>
            <w:pPr>
              <w:widowControl/>
              <w:rPr>
                <w:rFonts w:ascii="仿宋_GB2312" w:hAnsi="仿宋" w:eastAsia="仿宋_GB2312" w:cs="宋体"/>
                <w:kern w:val="0"/>
              </w:rPr>
            </w:pPr>
            <w:r>
              <w:rPr>
                <w:rFonts w:hint="eastAsia" w:ascii="仿宋_GB2312" w:eastAsia="仿宋_GB2312"/>
                <w:szCs w:val="22"/>
              </w:rPr>
              <w:t>针对学员新增或挑错试题审核不通过的数据进行统计并展示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每日答题准确率统计、排名</w:t>
            </w:r>
          </w:p>
        </w:tc>
        <w:tc>
          <w:tcPr>
            <w:tcW w:w="4456" w:type="dxa"/>
          </w:tcPr>
          <w:p>
            <w:pPr>
              <w:widowControl/>
              <w:rPr>
                <w:rFonts w:ascii="仿宋_GB2312" w:hAnsi="仿宋" w:eastAsia="仿宋_GB2312" w:cs="宋体"/>
                <w:kern w:val="0"/>
              </w:rPr>
            </w:pPr>
            <w:r>
              <w:rPr>
                <w:rFonts w:hint="eastAsia" w:ascii="仿宋_GB2312" w:eastAsia="仿宋_GB2312"/>
                <w:szCs w:val="22"/>
              </w:rPr>
              <w:t>每日答题详情统计页面并展示排名，可以自定义时间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刷题进度保存，个人刷题数据统计</w:t>
            </w:r>
          </w:p>
        </w:tc>
        <w:tc>
          <w:tcPr>
            <w:tcW w:w="4456" w:type="dxa"/>
          </w:tcPr>
          <w:p>
            <w:pPr>
              <w:widowControl/>
              <w:rPr>
                <w:rFonts w:ascii="仿宋_GB2312" w:hAnsi="仿宋" w:eastAsia="仿宋_GB2312" w:cs="宋体"/>
                <w:kern w:val="0"/>
              </w:rPr>
            </w:pPr>
            <w:r>
              <w:rPr>
                <w:rFonts w:hint="eastAsia" w:ascii="仿宋_GB2312" w:eastAsia="仿宋_GB2312"/>
                <w:szCs w:val="22"/>
              </w:rPr>
              <w:t>根据用户刷题记录智能化推荐待刷试题，避免重复刷题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试题相似度校验</w:t>
            </w:r>
          </w:p>
        </w:tc>
        <w:tc>
          <w:tcPr>
            <w:tcW w:w="4456" w:type="dxa"/>
          </w:tcPr>
          <w:p>
            <w:pPr>
              <w:widowControl/>
              <w:rPr>
                <w:rFonts w:ascii="仿宋_GB2312" w:hAnsi="仿宋" w:eastAsia="仿宋_GB2312" w:cs="宋体"/>
                <w:kern w:val="0"/>
              </w:rPr>
            </w:pPr>
            <w:r>
              <w:rPr>
                <w:rFonts w:hint="eastAsia" w:ascii="仿宋_GB2312" w:eastAsia="仿宋_GB2312"/>
                <w:szCs w:val="22"/>
              </w:rPr>
              <w:t>根据设定阈值，通过定时任务计算出相似试题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错题集统计，试题挑错流程优化</w:t>
            </w:r>
          </w:p>
        </w:tc>
        <w:tc>
          <w:tcPr>
            <w:tcW w:w="4456" w:type="dxa"/>
          </w:tcPr>
          <w:p>
            <w:pPr>
              <w:widowControl/>
              <w:rPr>
                <w:rFonts w:ascii="仿宋_GB2312" w:hAnsi="仿宋" w:eastAsia="仿宋_GB2312" w:cs="宋体"/>
                <w:kern w:val="0"/>
              </w:rPr>
            </w:pPr>
            <w:r>
              <w:rPr>
                <w:rFonts w:hint="eastAsia" w:ascii="仿宋_GB2312" w:eastAsia="仿宋_GB2312"/>
                <w:szCs w:val="22"/>
              </w:rPr>
              <w:t>对所有试题错误情况进行统计</w:t>
            </w:r>
            <w:r>
              <w:rPr>
                <w:rFonts w:hint="eastAsia" w:ascii="仿宋_GB2312" w:hAnsi="仿宋" w:eastAsia="仿宋_GB2312"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乡镇试题、保留试题、保留试卷</w:t>
            </w:r>
          </w:p>
        </w:tc>
        <w:tc>
          <w:tcPr>
            <w:tcW w:w="4456" w:type="dxa"/>
          </w:tcPr>
          <w:p>
            <w:pPr>
              <w:widowControl/>
              <w:rPr>
                <w:rFonts w:ascii="仿宋_GB2312" w:hAnsi="仿宋" w:eastAsia="仿宋_GB2312" w:cs="宋体"/>
                <w:kern w:val="0"/>
              </w:rPr>
            </w:pPr>
            <w:r>
              <w:rPr>
                <w:rFonts w:hint="eastAsia" w:ascii="仿宋_GB2312" w:eastAsia="仿宋_GB2312"/>
                <w:szCs w:val="22"/>
              </w:rPr>
              <w:t>区县下的乡镇可将题库中的试题认领为乡镇试题，并根据此标签进行自动组卷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试题数据全面清洗</w:t>
            </w:r>
          </w:p>
        </w:tc>
        <w:tc>
          <w:tcPr>
            <w:tcW w:w="4456" w:type="dxa"/>
          </w:tcPr>
          <w:p>
            <w:pPr>
              <w:widowControl/>
              <w:rPr>
                <w:rFonts w:ascii="仿宋_GB2312" w:hAnsi="仿宋" w:eastAsia="仿宋_GB2312" w:cs="宋体"/>
                <w:kern w:val="0"/>
              </w:rPr>
            </w:pPr>
            <w:r>
              <w:rPr>
                <w:rFonts w:hint="eastAsia" w:ascii="仿宋_GB2312" w:hAnsi="仿宋" w:eastAsia="仿宋_GB2312" w:cs="宋体"/>
                <w:kern w:val="0"/>
              </w:rPr>
              <w:t>包括事项匹配、规范试题、重复试题处理、试题所属事项修改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Align w:val="center"/>
          </w:tcPr>
          <w:p>
            <w:pPr>
              <w:widowControl/>
              <w:jc w:val="center"/>
              <w:rPr>
                <w:rFonts w:ascii="仿宋_GB2312" w:hAnsi="仿宋" w:eastAsia="仿宋_GB2312" w:cs="宋体"/>
                <w:kern w:val="0"/>
              </w:rPr>
            </w:pPr>
            <w:r>
              <w:rPr>
                <w:rFonts w:hint="eastAsia" w:ascii="仿宋_GB2312" w:hAnsi="仿宋" w:eastAsia="仿宋_GB2312" w:cs="宋体"/>
                <w:kern w:val="0"/>
              </w:rPr>
              <w:t>4）</w:t>
            </w:r>
          </w:p>
        </w:tc>
        <w:tc>
          <w:tcPr>
            <w:tcW w:w="1232" w:type="dxa"/>
            <w:vAlign w:val="center"/>
          </w:tcPr>
          <w:p>
            <w:pPr>
              <w:widowControl/>
              <w:rPr>
                <w:rFonts w:ascii="仿宋_GB2312" w:hAnsi="仿宋" w:eastAsia="仿宋_GB2312" w:cs="宋体"/>
                <w:kern w:val="0"/>
              </w:rPr>
            </w:pPr>
            <w:r>
              <w:rPr>
                <w:rFonts w:hint="eastAsia" w:ascii="仿宋_GB2312" w:hAnsi="仿宋" w:eastAsia="仿宋_GB2312" w:cs="宋体"/>
                <w:kern w:val="0"/>
              </w:rPr>
              <w:t>移动端改造</w:t>
            </w:r>
          </w:p>
        </w:tc>
        <w:tc>
          <w:tcPr>
            <w:tcW w:w="2096" w:type="dxa"/>
            <w:vAlign w:val="center"/>
          </w:tcPr>
          <w:p>
            <w:pPr>
              <w:widowControl/>
              <w:rPr>
                <w:rFonts w:ascii="仿宋_GB2312" w:hAnsi="仿宋" w:eastAsia="仿宋_GB2312" w:cs="宋体"/>
                <w:kern w:val="0"/>
                <w:highlight w:val="none"/>
              </w:rPr>
            </w:pPr>
            <w:r>
              <w:rPr>
                <w:rFonts w:hint="eastAsia" w:ascii="仿宋_GB2312" w:hAnsi="仿宋" w:eastAsia="仿宋_GB2312" w:cs="宋体"/>
                <w:kern w:val="0"/>
                <w:highlight w:val="none"/>
              </w:rPr>
              <w:t>对接省心办事用户体系</w:t>
            </w:r>
          </w:p>
        </w:tc>
        <w:tc>
          <w:tcPr>
            <w:tcW w:w="4456" w:type="dxa"/>
          </w:tcPr>
          <w:p>
            <w:pPr>
              <w:widowControl/>
              <w:rPr>
                <w:rFonts w:ascii="仿宋_GB2312" w:hAnsi="仿宋" w:eastAsia="仿宋_GB2312" w:cs="宋体"/>
                <w:kern w:val="0"/>
              </w:rPr>
            </w:pPr>
            <w:r>
              <w:rPr>
                <w:rFonts w:hint="eastAsia" w:ascii="仿宋_GB2312" w:eastAsia="仿宋_GB2312"/>
                <w:szCs w:val="22"/>
              </w:rPr>
              <w:t>对接省心办事人员体系、对接省心办事的单点登录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5）</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综合受理员系统数据第三方接口开发</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获取授权接口</w:t>
            </w:r>
          </w:p>
        </w:tc>
        <w:tc>
          <w:tcPr>
            <w:tcW w:w="4456" w:type="dxa"/>
          </w:tcPr>
          <w:p>
            <w:pPr>
              <w:widowControl/>
              <w:rPr>
                <w:rFonts w:ascii="仿宋_GB2312" w:hAnsi="仿宋" w:eastAsia="仿宋_GB2312" w:cs="宋体"/>
                <w:kern w:val="0"/>
              </w:rPr>
            </w:pPr>
            <w:r>
              <w:rPr>
                <w:rFonts w:hint="eastAsia" w:ascii="仿宋_GB2312" w:eastAsia="仿宋_GB2312"/>
                <w:kern w:val="0"/>
              </w:rPr>
              <w:t>使用该接口需要先申请，经过审批批准后，一体化平台会给出对应的用户名与密码，用于登录该接口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服务团队人员组成（综合窗口人员，专窗人员）</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基于地区代码，所属大厅等查询条件，获取一体化职业化系统综合窗口人员，专窗人员的组成数据，服务于数字驾驶舱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综合窗口人员组成（各个级别占比）</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基于地区代码，所属大厅等查询条件，获取一体化职业化系统一至九级综合窗口人员数量，服务于数字驾驶舱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综合窗口人员组成（学历占比）</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基于地区代码，所属大厅等查询条件，获取一体化职业化系统中学历是中专、大专、本科、硕士、博士的综合窗口人员数量，服务于数字驾驶舱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综合窗口人员组成（各个领域人员占比）</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基于地区代码，所属大厅等查询条件，获取所属领域是经济、基建、权益、民生的综合窗口人员数量，服务于数字看板系统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综合窗口人员组成（各个岗位占比）</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基于地区代码，所属大厅等查询条件，获取综合窗口人员中各个岗位的数量及占比情况，服务于数字驾驶舱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综合窗口人员成长（获取每次考试人员参与率、通过率）</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基于地区代码，所属大厅等查询条件，查询考试记录，获取当前地区已结束的考试信息、考试人员参与率、考试人员参与率，服务于数字驾驶舱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综合窗口人员成长（开展线下培训次数）</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基于地区代码，所属大厅等查询条件，获取当前地区已开展的线下培训次数，服务于数字驾驶舱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综合窗口人员成长（线下培训参与度）</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基于地区代码，所属大厅等查询条件，查询培训签到表，返回当前地区已开展的线下培训的签到人次、未签到人次及总体参与度，服务于数字驾驶舱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综合窗口人员成长（线上课程学习次数，时长）</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基于地区代码，所属大厅等查询条件，查询课程学习表，返回对应课程学习次数及学习时长，服务于数字驾驶舱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服务效率（积分，事项标准受理时间成熟度对比）</w:t>
            </w:r>
          </w:p>
        </w:tc>
        <w:tc>
          <w:tcPr>
            <w:tcW w:w="4456" w:type="dxa"/>
          </w:tcPr>
          <w:p>
            <w:pPr>
              <w:widowControl/>
              <w:rPr>
                <w:rFonts w:ascii="仿宋_GB2312" w:hAnsi="仿宋" w:eastAsia="仿宋_GB2312" w:cs="宋体"/>
                <w:kern w:val="0"/>
              </w:rPr>
            </w:pPr>
            <w:r>
              <w:rPr>
                <w:rFonts w:hint="eastAsia" w:ascii="仿宋_GB2312" w:eastAsia="仿宋_GB2312"/>
                <w:kern w:val="0"/>
              </w:rPr>
              <w:t>通过事项编码查询，获取当前事项在不同地区下的平均办理时长，服务于数字驾驶舱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服务效率（个人积分，全市排行）</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基于地区代码，所属大厅，开始结束时间等查询条件，获取对应时间段内所属地区综合受理员积分及排名情况，服务于数字驾驶舱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服务效率（平均受理积分，全市排行）</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基于地区代码，所属大厅，开始结束时间等查询条件，获取对应时间段内所属地区综合受理员平均受理积分及排名情况，服务于数字驾驶舱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服务效率（各个岗位积分对比）</w:t>
            </w:r>
          </w:p>
        </w:tc>
        <w:tc>
          <w:tcPr>
            <w:tcW w:w="4456" w:type="dxa"/>
          </w:tcPr>
          <w:p>
            <w:pPr>
              <w:widowControl/>
              <w:rPr>
                <w:rFonts w:ascii="仿宋_GB2312" w:hAnsi="仿宋" w:eastAsia="仿宋_GB2312" w:cs="宋体"/>
                <w:kern w:val="0"/>
              </w:rPr>
            </w:pPr>
            <w:r>
              <w:rPr>
                <w:rFonts w:hint="eastAsia" w:ascii="仿宋_GB2312" w:eastAsia="仿宋_GB2312"/>
                <w:kern w:val="0"/>
              </w:rPr>
              <w:t>基于地区代码，所属大厅，开始结束时间等查询条件，获取对应时间段内所属地区各个岗位总积分及占比情况，服务于数字驾驶舱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restart"/>
            <w:vAlign w:val="center"/>
          </w:tcPr>
          <w:p>
            <w:pPr>
              <w:widowControl/>
              <w:jc w:val="center"/>
              <w:rPr>
                <w:rFonts w:ascii="仿宋_GB2312" w:hAnsi="仿宋" w:eastAsia="仿宋_GB2312" w:cs="宋体"/>
                <w:kern w:val="0"/>
              </w:rPr>
            </w:pPr>
            <w:r>
              <w:rPr>
                <w:rFonts w:hint="eastAsia" w:ascii="仿宋_GB2312" w:hAnsi="仿宋" w:eastAsia="仿宋_GB2312" w:cs="宋体"/>
                <w:kern w:val="0"/>
              </w:rPr>
              <w:t>6）</w:t>
            </w:r>
          </w:p>
        </w:tc>
        <w:tc>
          <w:tcPr>
            <w:tcW w:w="1232" w:type="dxa"/>
            <w:vMerge w:val="restart"/>
            <w:vAlign w:val="center"/>
          </w:tcPr>
          <w:p>
            <w:pPr>
              <w:widowControl/>
              <w:rPr>
                <w:rFonts w:ascii="仿宋_GB2312" w:hAnsi="仿宋" w:eastAsia="仿宋_GB2312" w:cs="宋体"/>
                <w:kern w:val="0"/>
              </w:rPr>
            </w:pPr>
            <w:r>
              <w:rPr>
                <w:rFonts w:hint="eastAsia" w:ascii="仿宋_GB2312" w:hAnsi="仿宋" w:eastAsia="仿宋_GB2312" w:cs="宋体"/>
                <w:kern w:val="0"/>
              </w:rPr>
              <w:t>考试专有客户端</w:t>
            </w: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防作弊</w:t>
            </w:r>
          </w:p>
        </w:tc>
        <w:tc>
          <w:tcPr>
            <w:tcW w:w="4456" w:type="dxa"/>
          </w:tcPr>
          <w:p>
            <w:pPr>
              <w:widowControl/>
              <w:rPr>
                <w:rFonts w:ascii="仿宋_GB2312" w:hAnsi="仿宋" w:eastAsia="仿宋_GB2312" w:cs="宋体"/>
                <w:kern w:val="0"/>
              </w:rPr>
            </w:pPr>
            <w:r>
              <w:rPr>
                <w:rFonts w:hint="eastAsia" w:ascii="仿宋_GB2312" w:eastAsia="仿宋_GB2312"/>
                <w:szCs w:val="22"/>
              </w:rPr>
              <w:t>防止考生切屏、线上搜索课件、查看其它网站等操作，只允许答题，其他操作一概不响应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全新考试页面</w:t>
            </w:r>
          </w:p>
        </w:tc>
        <w:tc>
          <w:tcPr>
            <w:tcW w:w="4456" w:type="dxa"/>
          </w:tcPr>
          <w:p>
            <w:pPr>
              <w:widowControl/>
              <w:rPr>
                <w:rFonts w:ascii="仿宋_GB2312" w:hAnsi="仿宋" w:eastAsia="仿宋_GB2312" w:cs="宋体"/>
                <w:kern w:val="0"/>
              </w:rPr>
            </w:pPr>
            <w:r>
              <w:rPr>
                <w:rFonts w:hint="eastAsia" w:ascii="仿宋_GB2312" w:eastAsia="仿宋_GB2312"/>
              </w:rPr>
              <w:t>支持浙政钉扫码登陆；展示当前登录用户待参加考试场次及剩余考试次数，实时更新考试状态；</w:t>
            </w:r>
            <w:r>
              <w:rPr>
                <w:rFonts w:hint="eastAsia" w:ascii="仿宋_GB2312" w:eastAsia="仿宋_GB2312"/>
                <w:szCs w:val="22"/>
              </w:rPr>
              <w:t>支持在考试过程中对试题挑错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35" w:type="dxa"/>
            <w:vMerge w:val="continue"/>
            <w:vAlign w:val="center"/>
          </w:tcPr>
          <w:p>
            <w:pPr>
              <w:widowControl/>
              <w:ind w:firstLine="480"/>
              <w:jc w:val="center"/>
              <w:rPr>
                <w:rFonts w:ascii="仿宋_GB2312" w:hAnsi="仿宋" w:eastAsia="仿宋_GB2312" w:cs="宋体"/>
                <w:kern w:val="0"/>
              </w:rPr>
            </w:pPr>
          </w:p>
        </w:tc>
        <w:tc>
          <w:tcPr>
            <w:tcW w:w="1232" w:type="dxa"/>
            <w:vMerge w:val="continue"/>
            <w:vAlign w:val="center"/>
          </w:tcPr>
          <w:p>
            <w:pPr>
              <w:widowControl/>
              <w:ind w:firstLine="480"/>
              <w:jc w:val="left"/>
              <w:rPr>
                <w:rFonts w:ascii="仿宋_GB2312" w:hAnsi="仿宋" w:eastAsia="仿宋_GB2312" w:cs="宋体"/>
                <w:kern w:val="0"/>
              </w:rPr>
            </w:pPr>
          </w:p>
        </w:tc>
        <w:tc>
          <w:tcPr>
            <w:tcW w:w="2096" w:type="dxa"/>
            <w:vAlign w:val="center"/>
          </w:tcPr>
          <w:p>
            <w:pPr>
              <w:widowControl/>
              <w:rPr>
                <w:rFonts w:ascii="仿宋_GB2312" w:hAnsi="仿宋" w:eastAsia="仿宋_GB2312" w:cs="宋体"/>
                <w:kern w:val="0"/>
              </w:rPr>
            </w:pPr>
            <w:r>
              <w:rPr>
                <w:rFonts w:hint="eastAsia" w:ascii="仿宋_GB2312" w:hAnsi="仿宋" w:eastAsia="仿宋_GB2312" w:cs="宋体"/>
                <w:kern w:val="0"/>
              </w:rPr>
              <w:t>定时保存答题记录</w:t>
            </w:r>
          </w:p>
        </w:tc>
        <w:tc>
          <w:tcPr>
            <w:tcW w:w="4456" w:type="dxa"/>
          </w:tcPr>
          <w:p>
            <w:pPr>
              <w:widowControl/>
              <w:rPr>
                <w:rFonts w:ascii="仿宋_GB2312" w:hAnsi="仿宋" w:eastAsia="仿宋_GB2312" w:cs="宋体"/>
                <w:kern w:val="0"/>
              </w:rPr>
            </w:pPr>
            <w:r>
              <w:rPr>
                <w:rFonts w:hint="eastAsia" w:ascii="仿宋_GB2312" w:eastAsia="仿宋_GB2312"/>
                <w:szCs w:val="22"/>
              </w:rPr>
              <w:t>考生在线考试时，每五分钟自动保存一次答题记录，自动保存成功后页面提示；在没有点交卷的情况下，退出重新进入考试不会影响考试次数，同时本场考试的历史答题记录会自动回显</w:t>
            </w:r>
          </w:p>
        </w:tc>
      </w:tr>
    </w:tbl>
    <w:p>
      <w:pPr>
        <w:pStyle w:val="18"/>
        <w:ind w:left="0" w:leftChars="0" w:firstLine="0"/>
        <w:rPr>
          <w:rFonts w:ascii="宋体" w:hAnsi="宋体"/>
          <w:b/>
          <w:sz w:val="24"/>
        </w:rPr>
      </w:pPr>
    </w:p>
    <w:p>
      <w:pPr>
        <w:pStyle w:val="18"/>
        <w:ind w:left="0" w:leftChars="0" w:firstLine="0"/>
        <w:rPr>
          <w:rFonts w:ascii="宋体" w:hAnsi="宋体"/>
          <w:b/>
          <w:sz w:val="24"/>
        </w:rPr>
      </w:pPr>
      <w:r>
        <w:rPr>
          <w:rFonts w:ascii="宋体" w:hAnsi="宋体"/>
          <w:b/>
          <w:sz w:val="24"/>
        </w:rPr>
        <w:t>2、</w:t>
      </w:r>
      <w:bookmarkStart w:id="39" w:name="_Toc107193223"/>
      <w:r>
        <w:rPr>
          <w:rFonts w:hint="eastAsia" w:ascii="宋体" w:hAnsi="宋体"/>
          <w:b/>
          <w:sz w:val="24"/>
        </w:rPr>
        <w:t>质量保证</w:t>
      </w:r>
      <w:bookmarkEnd w:id="39"/>
    </w:p>
    <w:p>
      <w:pPr>
        <w:spacing w:line="360" w:lineRule="auto"/>
        <w:rPr>
          <w:rFonts w:ascii="宋体" w:hAnsi="宋体" w:cs="宋体"/>
          <w:b/>
          <w:sz w:val="24"/>
        </w:rPr>
      </w:pPr>
      <w:r>
        <w:rPr>
          <w:rFonts w:ascii="宋体" w:hAnsi="宋体"/>
          <w:b/>
          <w:sz w:val="24"/>
        </w:rPr>
        <w:t>（1）</w:t>
      </w:r>
      <w:r>
        <w:rPr>
          <w:rFonts w:hint="eastAsia" w:ascii="宋体" w:hAnsi="宋体" w:cs="宋体"/>
          <w:b/>
          <w:sz w:val="24"/>
        </w:rPr>
        <w:t>中标供应商须保证所提供产品符合国家有关规定。</w:t>
      </w:r>
    </w:p>
    <w:p>
      <w:pPr>
        <w:spacing w:line="360" w:lineRule="auto"/>
        <w:ind w:firstLine="480" w:firstLineChars="200"/>
        <w:rPr>
          <w:rFonts w:ascii="仿宋" w:hAnsi="仿宋" w:eastAsia="仿宋" w:cs="仿宋"/>
          <w:snapToGrid w:val="0"/>
        </w:rPr>
      </w:pPr>
      <w:r>
        <w:rPr>
          <w:rFonts w:hint="eastAsia" w:ascii="宋体" w:hAnsi="宋体" w:cs="宋体"/>
          <w:sz w:val="24"/>
        </w:rPr>
        <w:t>中标供应商</w:t>
      </w:r>
      <w:r>
        <w:rPr>
          <w:rFonts w:ascii="宋体" w:hAnsi="宋体" w:cs="宋体"/>
          <w:sz w:val="24"/>
        </w:rPr>
        <w:t>应</w:t>
      </w:r>
      <w:r>
        <w:rPr>
          <w:rFonts w:hint="eastAsia" w:ascii="宋体" w:hAnsi="宋体" w:cs="宋体"/>
          <w:sz w:val="24"/>
        </w:rPr>
        <w:t>保证所提供产品具有合法的版权或使用权，本项目采购的产品，如在本项目范围内使用过程中出现版权或使用权纠纷，应由中标供应商负责，采购人和采购机构不承担责任。</w:t>
      </w:r>
    </w:p>
    <w:p>
      <w:pPr>
        <w:spacing w:line="360" w:lineRule="auto"/>
        <w:rPr>
          <w:rFonts w:ascii="宋体" w:hAnsi="宋体" w:cs="宋体"/>
          <w:b/>
          <w:sz w:val="24"/>
        </w:rPr>
      </w:pPr>
      <w:r>
        <w:rPr>
          <w:rFonts w:ascii="宋体" w:hAnsi="宋体" w:cs="宋体"/>
          <w:b/>
          <w:sz w:val="24"/>
        </w:rPr>
        <w:t>（2）中</w:t>
      </w:r>
      <w:r>
        <w:rPr>
          <w:rFonts w:hint="eastAsia" w:ascii="宋体" w:hAnsi="宋体" w:cs="宋体"/>
          <w:b/>
          <w:sz w:val="24"/>
        </w:rPr>
        <w:t>标供应商应提供主要产品自主版权</w:t>
      </w:r>
    </w:p>
    <w:p>
      <w:pPr>
        <w:spacing w:line="360" w:lineRule="auto"/>
        <w:ind w:firstLine="480" w:firstLineChars="200"/>
        <w:rPr>
          <w:rFonts w:ascii="宋体" w:hAnsi="宋体" w:cs="宋体"/>
          <w:sz w:val="24"/>
        </w:rPr>
      </w:pPr>
      <w:r>
        <w:rPr>
          <w:rFonts w:hint="eastAsia" w:ascii="宋体" w:hAnsi="宋体" w:cs="宋体"/>
          <w:sz w:val="24"/>
        </w:rPr>
        <w:t>内容管理系统、信息公开平台的著作权登记证书与软件产品登记证书。</w:t>
      </w:r>
    </w:p>
    <w:p>
      <w:pPr>
        <w:pStyle w:val="18"/>
        <w:ind w:left="0" w:leftChars="0" w:firstLine="0"/>
        <w:rPr>
          <w:rFonts w:ascii="宋体" w:hAnsi="宋体"/>
          <w:b/>
          <w:sz w:val="24"/>
        </w:rPr>
      </w:pPr>
      <w:bookmarkStart w:id="40" w:name="_Toc5378"/>
      <w:bookmarkStart w:id="41" w:name="_Toc107193224"/>
      <w:bookmarkStart w:id="42" w:name="_Toc29783"/>
      <w:bookmarkStart w:id="43" w:name="_Toc13452"/>
      <w:bookmarkStart w:id="44" w:name="_Toc22769"/>
      <w:bookmarkStart w:id="45" w:name="_Toc996"/>
      <w:bookmarkStart w:id="46" w:name="_Toc3777"/>
      <w:bookmarkStart w:id="47" w:name="_Toc31475"/>
      <w:r>
        <w:rPr>
          <w:rFonts w:ascii="宋体" w:hAnsi="宋体"/>
          <w:b/>
          <w:sz w:val="24"/>
        </w:rPr>
        <w:t>3、</w:t>
      </w:r>
      <w:r>
        <w:rPr>
          <w:rFonts w:hint="eastAsia" w:ascii="宋体" w:hAnsi="宋体"/>
          <w:b/>
          <w:sz w:val="24"/>
        </w:rPr>
        <w:t>知识产权要求</w:t>
      </w:r>
      <w:bookmarkEnd w:id="40"/>
      <w:bookmarkEnd w:id="41"/>
      <w:bookmarkEnd w:id="42"/>
      <w:bookmarkEnd w:id="43"/>
      <w:bookmarkEnd w:id="44"/>
      <w:bookmarkEnd w:id="45"/>
      <w:bookmarkEnd w:id="46"/>
      <w:bookmarkEnd w:id="47"/>
    </w:p>
    <w:p>
      <w:pPr>
        <w:spacing w:line="360" w:lineRule="auto"/>
        <w:ind w:firstLine="480" w:firstLineChars="200"/>
        <w:rPr>
          <w:rFonts w:ascii="宋体" w:hAnsi="宋体" w:cs="宋体"/>
          <w:sz w:val="24"/>
        </w:rPr>
      </w:pPr>
      <w:r>
        <w:rPr>
          <w:rFonts w:hint="eastAsia" w:ascii="宋体" w:hAnsi="宋体" w:cs="宋体"/>
          <w:sz w:val="24"/>
        </w:rPr>
        <w:t>中标方应保证所提供的系统或其任何一部分均不会侵犯任何第三方的知识产权。</w:t>
      </w:r>
    </w:p>
    <w:p>
      <w:pPr>
        <w:spacing w:line="360" w:lineRule="auto"/>
        <w:ind w:firstLine="480" w:firstLineChars="200"/>
        <w:rPr>
          <w:rFonts w:ascii="宋体" w:hAnsi="宋体" w:cs="宋体"/>
          <w:sz w:val="24"/>
        </w:rPr>
      </w:pPr>
      <w:r>
        <w:rPr>
          <w:rFonts w:hint="eastAsia" w:ascii="宋体" w:hAnsi="宋体" w:cs="宋体"/>
          <w:sz w:val="24"/>
        </w:rPr>
        <w:t>本项目所有成果知识产权归采购方所有，采购方有权在其他项目上运用该项目成果。未经采购方书面同意，成果不得擅自扩散或提供给第三方使用。</w:t>
      </w:r>
    </w:p>
    <w:p>
      <w:pPr>
        <w:spacing w:line="360" w:lineRule="auto"/>
        <w:ind w:firstLine="480" w:firstLineChars="200"/>
        <w:rPr>
          <w:rFonts w:ascii="宋体" w:hAnsi="宋体" w:cs="宋体"/>
          <w:sz w:val="24"/>
        </w:rPr>
      </w:pPr>
      <w:r>
        <w:rPr>
          <w:rFonts w:hint="eastAsia" w:ascii="宋体" w:hAnsi="宋体" w:cs="宋体"/>
          <w:sz w:val="24"/>
        </w:rPr>
        <w:t>中标方应保证采购方在软件使用过程中，免受第三方提出的侵权起诉。如发生此类纠纷，由中标方承担一切责任并负责解决。</w:t>
      </w:r>
    </w:p>
    <w:p>
      <w:pPr>
        <w:pStyle w:val="18"/>
        <w:ind w:left="0" w:leftChars="0" w:firstLine="0"/>
        <w:rPr>
          <w:rFonts w:ascii="宋体" w:hAnsi="宋体"/>
          <w:b/>
          <w:sz w:val="24"/>
        </w:rPr>
      </w:pPr>
      <w:r>
        <w:rPr>
          <w:rFonts w:ascii="宋体" w:hAnsi="宋体"/>
          <w:b/>
          <w:sz w:val="24"/>
        </w:rPr>
        <w:t>4、</w:t>
      </w:r>
      <w:r>
        <w:rPr>
          <w:rFonts w:hint="eastAsia" w:ascii="宋体" w:hAnsi="宋体"/>
          <w:b/>
          <w:sz w:val="24"/>
        </w:rPr>
        <w:t>其他</w:t>
      </w:r>
      <w:r>
        <w:rPr>
          <w:rFonts w:ascii="宋体" w:hAnsi="宋体"/>
          <w:b/>
          <w:sz w:val="24"/>
        </w:rPr>
        <w:t>要求</w:t>
      </w:r>
    </w:p>
    <w:p>
      <w:pPr>
        <w:spacing w:line="360" w:lineRule="auto"/>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投标人应在项目终验前提供平台软件，需提供经招标人认可的第三方评测报告（包括安全、性能、功能等测试），检测费用已包含在本次项目预算中。</w:t>
      </w:r>
    </w:p>
    <w:p>
      <w:pPr>
        <w:numPr>
          <w:ilvl w:val="0"/>
          <w:numId w:val="0"/>
        </w:numPr>
        <w:spacing w:line="360" w:lineRule="auto"/>
        <w:ind w:leftChars="0" w:firstLine="480" w:firstLineChars="200"/>
        <w:rPr>
          <w:rFonts w:hint="default" w:ascii="宋体" w:hAnsi="宋体" w:cs="宋体"/>
          <w:b w:val="0"/>
          <w:bCs/>
          <w:sz w:val="24"/>
        </w:rPr>
      </w:pPr>
      <w:r>
        <w:rPr>
          <w:rFonts w:hint="eastAsia" w:ascii="宋体" w:hAnsi="宋体" w:cs="宋体"/>
          <w:sz w:val="24"/>
        </w:rPr>
        <w:t>（2）</w:t>
      </w:r>
      <w:r>
        <w:rPr>
          <w:rFonts w:hint="eastAsia" w:ascii="宋体" w:hAnsi="宋体" w:cs="宋体"/>
          <w:b/>
          <w:bCs/>
          <w:sz w:val="24"/>
        </w:rPr>
        <w:t>系统对接要求：</w:t>
      </w:r>
      <w:r>
        <w:rPr>
          <w:rFonts w:hint="eastAsia" w:ascii="Times New Roman" w:hAnsi="Times New Roman" w:eastAsia="宋体" w:cs="Times New Roman"/>
          <w:b w:val="0"/>
          <w:bCs/>
          <w:color w:val="auto"/>
          <w:sz w:val="24"/>
          <w:szCs w:val="22"/>
          <w:lang w:val="en-US" w:eastAsia="zh-CN"/>
        </w:rPr>
        <w:t>本项目涉及对接的接口</w:t>
      </w:r>
      <w:r>
        <w:rPr>
          <w:rFonts w:hint="default" w:ascii="Times New Roman" w:hAnsi="Times New Roman" w:eastAsia="宋体" w:cs="Times New Roman"/>
          <w:b w:val="0"/>
          <w:bCs/>
          <w:color w:val="auto"/>
          <w:sz w:val="24"/>
          <w:szCs w:val="22"/>
          <w:lang w:eastAsia="zh-CN"/>
        </w:rPr>
        <w:t>费用包含在本次项目预算中</w:t>
      </w:r>
      <w:bookmarkStart w:id="132" w:name="_GoBack"/>
      <w:r>
        <w:rPr>
          <w:rFonts w:hint="default" w:ascii="Times New Roman" w:hAnsi="Times New Roman" w:eastAsia="宋体" w:cs="Times New Roman"/>
          <w:b w:val="0"/>
          <w:bCs/>
          <w:color w:val="auto"/>
          <w:sz w:val="24"/>
          <w:szCs w:val="22"/>
          <w:highlight w:val="none"/>
          <w:lang w:eastAsia="zh-CN"/>
        </w:rPr>
        <w:t>（约1万）</w:t>
      </w:r>
      <w:r>
        <w:rPr>
          <w:rFonts w:hint="eastAsia" w:ascii="Times New Roman" w:hAnsi="Times New Roman" w:eastAsia="宋体" w:cs="Times New Roman"/>
          <w:b w:val="0"/>
          <w:bCs/>
          <w:color w:val="auto"/>
          <w:sz w:val="24"/>
          <w:szCs w:val="22"/>
          <w:highlight w:val="none"/>
          <w:lang w:val="en-US" w:eastAsia="zh-CN"/>
        </w:rPr>
        <w:t>，</w:t>
      </w:r>
      <w:bookmarkEnd w:id="132"/>
      <w:r>
        <w:rPr>
          <w:rFonts w:hint="eastAsia" w:ascii="Times New Roman" w:hAnsi="Times New Roman" w:eastAsia="宋体" w:cs="Times New Roman"/>
          <w:b w:val="0"/>
          <w:bCs/>
          <w:color w:val="auto"/>
          <w:sz w:val="24"/>
          <w:szCs w:val="22"/>
          <w:lang w:val="en-US" w:eastAsia="zh-CN"/>
        </w:rPr>
        <w:t>由</w:t>
      </w:r>
      <w:r>
        <w:rPr>
          <w:rFonts w:hint="default" w:ascii="Times New Roman" w:hAnsi="Times New Roman" w:eastAsia="宋体" w:cs="Times New Roman"/>
          <w:b w:val="0"/>
          <w:bCs/>
          <w:color w:val="auto"/>
          <w:sz w:val="24"/>
          <w:szCs w:val="22"/>
          <w:lang w:eastAsia="zh-CN"/>
        </w:rPr>
        <w:t>招标</w:t>
      </w:r>
      <w:r>
        <w:rPr>
          <w:rFonts w:hint="eastAsia" w:ascii="Times New Roman" w:hAnsi="Times New Roman" w:eastAsia="宋体" w:cs="Times New Roman"/>
          <w:b w:val="0"/>
          <w:bCs/>
          <w:color w:val="auto"/>
          <w:sz w:val="24"/>
          <w:szCs w:val="22"/>
          <w:lang w:val="en-US" w:eastAsia="zh-CN"/>
        </w:rPr>
        <w:t>人</w:t>
      </w:r>
      <w:r>
        <w:rPr>
          <w:rFonts w:hint="default" w:ascii="Times New Roman" w:hAnsi="Times New Roman" w:eastAsia="宋体" w:cs="Times New Roman"/>
          <w:b w:val="0"/>
          <w:bCs/>
          <w:color w:val="auto"/>
          <w:sz w:val="24"/>
          <w:szCs w:val="22"/>
          <w:lang w:eastAsia="zh-CN"/>
        </w:rPr>
        <w:t>提供对接借口文档并负责</w:t>
      </w:r>
      <w:r>
        <w:rPr>
          <w:rFonts w:hint="eastAsia" w:ascii="Times New Roman" w:hAnsi="Times New Roman" w:eastAsia="宋体" w:cs="Times New Roman"/>
          <w:b w:val="0"/>
          <w:bCs/>
          <w:color w:val="auto"/>
          <w:sz w:val="24"/>
          <w:szCs w:val="22"/>
          <w:lang w:val="en-US" w:eastAsia="zh-CN"/>
        </w:rPr>
        <w:t>相关接口的协调工作，接口上的技术问题由中标公司负责处理。</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bCs/>
          <w:sz w:val="24"/>
        </w:rPr>
        <w:t>售后服务要求：</w:t>
      </w:r>
      <w:r>
        <w:rPr>
          <w:rFonts w:hint="eastAsia" w:ascii="宋体" w:hAnsi="宋体" w:cs="宋体"/>
          <w:sz w:val="24"/>
        </w:rPr>
        <w:t>需提供7×24小时的电话响应售后服务；提供每年365天的专业技术支持服务，随时解答解决采购人问题；一般故障2小时内响应，6小时内到达现场；重大故障1小时内响应；紧急情况下，即时响应。</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b/>
          <w:bCs/>
          <w:sz w:val="24"/>
        </w:rPr>
        <w:t>培训要求：</w:t>
      </w:r>
      <w:r>
        <w:rPr>
          <w:rFonts w:hint="eastAsia" w:ascii="宋体" w:hAnsi="宋体" w:cs="宋体"/>
          <w:sz w:val="24"/>
        </w:rPr>
        <w:t>现场培训人数不限，以受训人员能独立开展工作为准，培训课程和内容以能满足业务需求为准，培训费用应包含在</w:t>
      </w:r>
      <w:r>
        <w:rPr>
          <w:rFonts w:ascii="宋体" w:hAnsi="宋体" w:cs="宋体"/>
          <w:sz w:val="24"/>
        </w:rPr>
        <w:t>本次项目预算</w:t>
      </w:r>
      <w:r>
        <w:rPr>
          <w:rFonts w:hint="eastAsia" w:ascii="宋体" w:hAnsi="宋体" w:cs="宋体"/>
          <w:sz w:val="24"/>
        </w:rPr>
        <w:t>中。</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bCs/>
          <w:sz w:val="24"/>
        </w:rPr>
        <w:t>人员要求：</w:t>
      </w:r>
      <w:r>
        <w:rPr>
          <w:rFonts w:hint="eastAsia" w:ascii="宋体" w:hAnsi="宋体" w:cs="宋体"/>
          <w:sz w:val="24"/>
        </w:rPr>
        <w:t>项目团队至少包含成员9人，包括项目经理1人，技术负责人1人，开发人员5人，驻场实施2人。驻场实施人员驻场时间自项目进场开发至1年质保期结束。</w:t>
      </w:r>
    </w:p>
    <w:p>
      <w:pPr>
        <w:spacing w:line="360" w:lineRule="auto"/>
        <w:rPr>
          <w:rFonts w:ascii="宋体" w:hAnsi="宋体"/>
          <w:b/>
          <w:sz w:val="24"/>
        </w:rPr>
      </w:pPr>
      <w:r>
        <w:rPr>
          <w:rFonts w:ascii="宋体" w:hAnsi="宋体"/>
          <w:b/>
          <w:sz w:val="24"/>
        </w:rPr>
        <w:t>（三）</w:t>
      </w:r>
      <w:r>
        <w:rPr>
          <w:rFonts w:hint="eastAsia" w:ascii="宋体" w:hAnsi="宋体"/>
          <w:b/>
          <w:sz w:val="24"/>
        </w:rPr>
        <w:t>标段</w:t>
      </w:r>
      <w:r>
        <w:rPr>
          <w:rFonts w:ascii="宋体" w:hAnsi="宋体"/>
          <w:b/>
          <w:sz w:val="24"/>
        </w:rPr>
        <w:t>二建设内容：硬件设备</w:t>
      </w:r>
    </w:p>
    <w:p>
      <w:pPr>
        <w:pStyle w:val="18"/>
        <w:ind w:left="0" w:leftChars="0" w:firstLine="0"/>
        <w:rPr>
          <w:rFonts w:ascii="宋体" w:hAnsi="宋体"/>
          <w:b/>
          <w:sz w:val="24"/>
        </w:rPr>
      </w:pPr>
      <w:r>
        <w:rPr>
          <w:rFonts w:ascii="宋体" w:hAnsi="宋体"/>
          <w:b/>
          <w:sz w:val="24"/>
        </w:rPr>
        <w:t>1、硬件需求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70"/>
        <w:gridCol w:w="6200"/>
        <w:gridCol w:w="636"/>
        <w:gridCol w:w="457"/>
      </w:tblGrid>
      <w:tr>
        <w:trPr>
          <w:trHeight w:val="504" w:hRule="atLeast"/>
        </w:trPr>
        <w:tc>
          <w:tcPr>
            <w:tcW w:w="457" w:type="dxa"/>
            <w:vAlign w:val="center"/>
          </w:tcPr>
          <w:p>
            <w:pPr>
              <w:jc w:val="center"/>
              <w:rPr>
                <w:b/>
                <w:bCs/>
              </w:rPr>
            </w:pPr>
            <w:r>
              <w:rPr>
                <w:rFonts w:hint="eastAsia"/>
                <w:b/>
                <w:bCs/>
              </w:rPr>
              <w:t>序号</w:t>
            </w:r>
          </w:p>
        </w:tc>
        <w:tc>
          <w:tcPr>
            <w:tcW w:w="770" w:type="dxa"/>
            <w:vAlign w:val="center"/>
          </w:tcPr>
          <w:p>
            <w:pPr>
              <w:jc w:val="center"/>
              <w:rPr>
                <w:b/>
                <w:bCs/>
              </w:rPr>
            </w:pPr>
            <w:r>
              <w:rPr>
                <w:rFonts w:hint="eastAsia"/>
                <w:b/>
                <w:bCs/>
              </w:rPr>
              <w:t>名称</w:t>
            </w:r>
          </w:p>
        </w:tc>
        <w:tc>
          <w:tcPr>
            <w:tcW w:w="6200" w:type="dxa"/>
            <w:vAlign w:val="center"/>
          </w:tcPr>
          <w:p>
            <w:pPr>
              <w:jc w:val="center"/>
              <w:rPr>
                <w:b/>
                <w:bCs/>
              </w:rPr>
            </w:pPr>
            <w:r>
              <w:rPr>
                <w:rFonts w:hint="eastAsia"/>
                <w:b/>
                <w:bCs/>
              </w:rPr>
              <w:t>参数</w:t>
            </w:r>
          </w:p>
        </w:tc>
        <w:tc>
          <w:tcPr>
            <w:tcW w:w="636" w:type="dxa"/>
            <w:vAlign w:val="center"/>
          </w:tcPr>
          <w:p>
            <w:pPr>
              <w:jc w:val="center"/>
              <w:rPr>
                <w:b/>
                <w:bCs/>
              </w:rPr>
            </w:pPr>
            <w:r>
              <w:rPr>
                <w:rFonts w:hint="eastAsia"/>
                <w:b/>
                <w:bCs/>
              </w:rPr>
              <w:t>数量</w:t>
            </w:r>
          </w:p>
        </w:tc>
        <w:tc>
          <w:tcPr>
            <w:tcW w:w="457" w:type="dxa"/>
            <w:vAlign w:val="center"/>
          </w:tcPr>
          <w:p>
            <w:pPr>
              <w:jc w:val="center"/>
              <w:rPr>
                <w:b/>
                <w:bCs/>
              </w:rPr>
            </w:pPr>
            <w:r>
              <w:rPr>
                <w:rFonts w:hint="eastAsia"/>
                <w:b/>
                <w:bCs/>
              </w:rPr>
              <w:t>单位</w:t>
            </w:r>
          </w:p>
        </w:tc>
      </w:tr>
      <w:tr>
        <w:trPr>
          <w:trHeight w:val="504" w:hRule="atLeast"/>
        </w:trPr>
        <w:tc>
          <w:tcPr>
            <w:tcW w:w="8520" w:type="dxa"/>
            <w:gridSpan w:val="5"/>
            <w:vAlign w:val="center"/>
          </w:tcPr>
          <w:p>
            <w:pPr>
              <w:rPr>
                <w:b/>
                <w:bCs/>
              </w:rPr>
            </w:pPr>
            <w:r>
              <w:rPr>
                <w:rFonts w:hint="eastAsia"/>
                <w:b/>
                <w:bCs/>
              </w:rPr>
              <w:t>348多功能大厅设备清单</w:t>
            </w:r>
          </w:p>
        </w:tc>
      </w:tr>
      <w:tr>
        <w:trPr>
          <w:trHeight w:val="504" w:hRule="atLeast"/>
        </w:trPr>
        <w:tc>
          <w:tcPr>
            <w:tcW w:w="457" w:type="dxa"/>
            <w:vAlign w:val="center"/>
          </w:tcPr>
          <w:p>
            <w:r>
              <w:rPr>
                <w:rFonts w:hint="eastAsia"/>
              </w:rPr>
              <w:t>1</w:t>
            </w:r>
          </w:p>
        </w:tc>
        <w:tc>
          <w:tcPr>
            <w:tcW w:w="770" w:type="dxa"/>
            <w:vAlign w:val="center"/>
          </w:tcPr>
          <w:p>
            <w:pPr>
              <w:jc w:val="center"/>
            </w:pPr>
            <w:r>
              <w:rPr>
                <w:rFonts w:hint="eastAsia"/>
              </w:rPr>
              <w:t>室内P1.86全彩显示屏（箱体，非模组）</w:t>
            </w:r>
          </w:p>
        </w:tc>
        <w:tc>
          <w:tcPr>
            <w:tcW w:w="6200" w:type="dxa"/>
          </w:tcPr>
          <w:p>
            <w:r>
              <w:rPr>
                <w:rFonts w:hint="eastAsia"/>
              </w:rPr>
              <w:t>▲1.间距LED全彩显示屏，面积≥31.</w:t>
            </w:r>
            <w:r>
              <w:t>3</w:t>
            </w:r>
            <w:r>
              <w:rPr>
                <w:rFonts w:hint="eastAsia"/>
              </w:rPr>
              <w:t>㎡，尺寸不小于</w:t>
            </w:r>
            <w:r>
              <w:t>10.88</w:t>
            </w:r>
            <w:r>
              <w:rPr>
                <w:rFonts w:hint="eastAsia"/>
              </w:rPr>
              <w:t>m</w:t>
            </w:r>
            <w:r>
              <w:t>*2.88m</w:t>
            </w:r>
          </w:p>
          <w:p>
            <w:r>
              <w:rPr>
                <w:rFonts w:hint="eastAsia"/>
              </w:rPr>
              <w:t>▲2.像素间距：≤1.86mm；</w:t>
            </w:r>
          </w:p>
          <w:p>
            <w:r>
              <w:rPr>
                <w:rFonts w:hint="eastAsia"/>
              </w:rPr>
              <w:t>3.封装品牌：国产铜线；像素结构：LED表贴三合一；</w:t>
            </w:r>
          </w:p>
          <w:p>
            <w:r>
              <w:rPr>
                <w:rFonts w:hint="eastAsia"/>
              </w:rPr>
              <w:t>4.箱体比例：4:3，箱体；箱体分辨率：344*258，箱体尺寸（mm）：640（W）× 480（H）× 68.6（D） mm；</w:t>
            </w:r>
          </w:p>
          <w:p>
            <w:r>
              <w:t>5.</w:t>
            </w:r>
            <w:r>
              <w:rPr>
                <w:rFonts w:hint="eastAsia"/>
              </w:rPr>
              <w:t>像素密度：≥288906点/㎡ ；</w:t>
            </w:r>
          </w:p>
          <w:p>
            <w:r>
              <w:t>6.</w:t>
            </w:r>
            <w:r>
              <w:rPr>
                <w:rFonts w:hint="eastAsia"/>
              </w:rPr>
              <w:t>光学参数：显示屏亮度≥800cd/㎡，色温：3000K-10000K可调，水平、垂直视角≥160°，推荐视距：6m，亮度均匀性≥97%，最大对比度≥3000:1；刷新率：3840Hz</w:t>
            </w:r>
          </w:p>
          <w:p>
            <w:r>
              <w:t>7.</w:t>
            </w:r>
            <w:r>
              <w:rPr>
                <w:rFonts w:hint="eastAsia"/>
              </w:rPr>
              <w:t>电气参数：峰值功耗850W/㎡，平均功耗280W/㎡，供电要求110~220VAC±15%；</w:t>
            </w:r>
          </w:p>
          <w:p>
            <w:r>
              <w:t>8.</w:t>
            </w:r>
            <w:r>
              <w:rPr>
                <w:rFonts w:hint="eastAsia"/>
              </w:rPr>
              <w:t>工作温度范围0—40℃，存储温度范围-10—50℃，工作湿度范围（RH）无结露10-60%，带包装存储湿度范围（RH）无结露10-70%。</w:t>
            </w:r>
          </w:p>
          <w:p>
            <w:r>
              <w:t>9.</w:t>
            </w:r>
            <w:r>
              <w:rPr>
                <w:rFonts w:hint="eastAsia"/>
              </w:rPr>
              <w:t>功能特性：支持任意方向、任意尺寸、任意造型拼接，画面均匀一致，无黑线，实现真正无缝拼接。</w:t>
            </w:r>
          </w:p>
          <w:p>
            <w:r>
              <w:t>10.</w:t>
            </w:r>
            <w:r>
              <w:rPr>
                <w:rFonts w:hint="eastAsia"/>
              </w:rPr>
              <w:t>维护方式：完全前维护，灯板电源和接收卡均在前面维护。</w:t>
            </w:r>
          </w:p>
          <w:p>
            <w:r>
              <w:rPr>
                <w:rFonts w:hint="eastAsia"/>
              </w:rPr>
              <w:t>11.★投标产品可通过遥控器的操作，对图像的对比度、清晰度、饱和度、色温以及图像模式进行调节设置。</w:t>
            </w:r>
            <w:r>
              <w:rPr>
                <w:rFonts w:hint="eastAsia"/>
                <w:b/>
                <w:bCs/>
              </w:rPr>
              <w:t>（提供首页具有CNAS标识的第三方检测报告</w:t>
            </w:r>
            <w:r>
              <w:rPr>
                <w:b/>
                <w:bCs/>
              </w:rPr>
              <w:t>扫描</w:t>
            </w:r>
            <w:r>
              <w:rPr>
                <w:rFonts w:hint="eastAsia"/>
                <w:b/>
                <w:bCs/>
              </w:rPr>
              <w:t>件并加盖投标人公章）</w:t>
            </w:r>
          </w:p>
          <w:p>
            <w:pPr>
              <w:rPr>
                <w:rFonts w:hint="eastAsia"/>
                <w:b/>
                <w:bCs/>
              </w:rPr>
            </w:pPr>
            <w:r>
              <w:rPr>
                <w:rFonts w:hint="eastAsia"/>
              </w:rPr>
              <w:t>12.投标产品的客户端、遥控器更改设置时，屏幕出现OSD 提示菜单。</w:t>
            </w:r>
            <w:r>
              <w:rPr>
                <w:rFonts w:hint="eastAsia"/>
                <w:b/>
                <w:bCs/>
              </w:rPr>
              <w:t>（提供首页具有CNAS标识的第三方检测报告</w:t>
            </w:r>
            <w:r>
              <w:rPr>
                <w:b/>
                <w:bCs/>
              </w:rPr>
              <w:t>扫描</w:t>
            </w:r>
            <w:r>
              <w:rPr>
                <w:rFonts w:hint="eastAsia"/>
                <w:b/>
                <w:bCs/>
              </w:rPr>
              <w:t>件并加盖投标人公章）</w:t>
            </w:r>
          </w:p>
          <w:p>
            <w:pPr>
              <w:rPr>
                <w:rFonts w:hint="eastAsia"/>
              </w:rPr>
            </w:pPr>
            <w:r>
              <w:rPr>
                <w:rFonts w:hint="eastAsia"/>
              </w:rPr>
              <w:t>13.支持分段校正，提升各个灰阶的显示均匀性</w:t>
            </w:r>
            <w:r>
              <w:rPr>
                <w:rFonts w:hint="default"/>
              </w:rPr>
              <w:t>。</w:t>
            </w:r>
          </w:p>
          <w:p>
            <w:pPr>
              <w:rPr>
                <w:rFonts w:hint="eastAsia"/>
              </w:rPr>
            </w:pPr>
            <w:r>
              <w:rPr>
                <w:rFonts w:hint="eastAsia"/>
              </w:rPr>
              <w:t>14.具备智能节能功能，自动检测当前环境是否有人，无人时自动调暗屏幕画面或黑屏</w:t>
            </w:r>
            <w:r>
              <w:rPr>
                <w:rFonts w:hint="default"/>
              </w:rPr>
              <w:t>。</w:t>
            </w:r>
          </w:p>
          <w:p>
            <w:r>
              <w:rPr>
                <w:rFonts w:hint="eastAsia"/>
              </w:rPr>
              <w:t>15.支持通过实时智能分析算法，提高图像动态范围，低灰部分更深邃，高灰部分更清澈，SDR图像显示HDR效果。</w:t>
            </w:r>
            <w:r>
              <w:rPr>
                <w:rFonts w:hint="eastAsia"/>
                <w:b/>
                <w:bCs/>
              </w:rPr>
              <w:t>（提供首页具有CNAS标识的第三方检测报告</w:t>
            </w:r>
            <w:r>
              <w:rPr>
                <w:b/>
                <w:bCs/>
              </w:rPr>
              <w:t>扫描</w:t>
            </w:r>
            <w:r>
              <w:rPr>
                <w:rFonts w:hint="eastAsia"/>
                <w:b/>
                <w:bCs/>
              </w:rPr>
              <w:t>件并加盖投标人公章）</w:t>
            </w:r>
          </w:p>
          <w:p>
            <w:pPr>
              <w:pStyle w:val="12"/>
              <w:spacing w:line="240" w:lineRule="auto"/>
            </w:pPr>
            <w:r>
              <w:rPr>
                <w:rFonts w:hint="eastAsia"/>
                <w:sz w:val="21"/>
              </w:rPr>
              <w:t>16.承诺中标后提供原厂针对本项目的授权文件以及5年售后服务。</w:t>
            </w:r>
          </w:p>
        </w:tc>
        <w:tc>
          <w:tcPr>
            <w:tcW w:w="636" w:type="dxa"/>
            <w:vAlign w:val="center"/>
          </w:tcPr>
          <w:p>
            <w:r>
              <w:rPr>
                <w:rFonts w:hint="eastAsia"/>
              </w:rPr>
              <w:t>31.</w:t>
            </w:r>
            <w:r>
              <w:t>3</w:t>
            </w:r>
          </w:p>
        </w:tc>
        <w:tc>
          <w:tcPr>
            <w:tcW w:w="457" w:type="dxa"/>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2</w:t>
            </w:r>
          </w:p>
        </w:tc>
        <w:tc>
          <w:tcPr>
            <w:tcW w:w="770" w:type="dxa"/>
            <w:vAlign w:val="center"/>
          </w:tcPr>
          <w:p>
            <w:pPr>
              <w:jc w:val="center"/>
            </w:pPr>
            <w:r>
              <w:rPr>
                <w:rFonts w:hint="eastAsia"/>
              </w:rPr>
              <w:t>视频处理器</w:t>
            </w:r>
          </w:p>
        </w:tc>
        <w:tc>
          <w:tcPr>
            <w:tcW w:w="6200" w:type="dxa"/>
          </w:tcPr>
          <w:p>
            <w:r>
              <w:rPr>
                <w:rFonts w:hint="eastAsia"/>
              </w:rPr>
              <w:t>1.采用主控板加输入和输出板的结构，包含LED发送卡。</w:t>
            </w:r>
          </w:p>
          <w:p>
            <w:pPr>
              <w:rPr>
                <w:color w:val="FF0000"/>
              </w:rPr>
            </w:pPr>
            <w:r>
              <w:t>2.</w:t>
            </w:r>
            <w:r>
              <w:rPr>
                <w:rFonts w:hint="eastAsia"/>
              </w:rPr>
              <w:t>支持输入输出板卡混插，能够在多个显示终端上同时显示多个动态画面，设备至少11槽位机箱支持双主控热备，设备至少支持 1+1 电源热备，项目标配至少1个主控板和至少1个电源。</w:t>
            </w:r>
          </w:p>
          <w:p>
            <w:r>
              <w:t>3.</w:t>
            </w:r>
            <w:r>
              <w:rPr>
                <w:rFonts w:hint="eastAsia"/>
              </w:rPr>
              <w:t>配置4个 HDMI 输出接口，支持复合音频输出 。</w:t>
            </w:r>
          </w:p>
          <w:p>
            <w:r>
              <w:rPr>
                <w:rFonts w:hint="eastAsia"/>
              </w:rPr>
              <w:t>输出分辨率：1920ⅹ1200@60 HZ、1600ⅹ1200@60 Hz、1920ⅹ1080@60 Hz、1680ⅹ1050@60 Hz、 1280ⅹ720@60 Hz、1280ⅹ1024@60 Hz、1024ⅹ768@60 Hz， 支持 LED屏幕，支持自定义分辨率输出，支持 60 Hz 带载输出,260 W 带载的宽度范围 288~4096，高度范围是 288~2160。</w:t>
            </w:r>
          </w:p>
          <w:p>
            <w:r>
              <w:rPr>
                <w:rFonts w:hint="eastAsia"/>
              </w:rPr>
              <w:t>4.配置2个 DP 输入接口支持复合音频输入 ，</w:t>
            </w:r>
          </w:p>
          <w:p>
            <w:r>
              <w:rPr>
                <w:rFonts w:hint="eastAsia"/>
              </w:rPr>
              <w:t>输入分辨率1920 × 1080P@60 Hz、1920 × 1200@60 Hz(reduced)、3840 × 2160@30 Hz、 3840 × 2160@60 Hz、4096 × 2160@30 Hz、4096 × 2160@60 Hz 支持自定义分辨率接入</w:t>
            </w:r>
          </w:p>
          <w:p>
            <w:r>
              <w:rPr>
                <w:rFonts w:hint="eastAsia"/>
              </w:rPr>
              <w:t>5.配置</w:t>
            </w:r>
            <w:r>
              <w:t>8</w:t>
            </w:r>
            <w:r>
              <w:rPr>
                <w:rFonts w:hint="eastAsia"/>
              </w:rPr>
              <w:t>个 HDMI 输入接口，支持复合音频输入 。</w:t>
            </w:r>
          </w:p>
          <w:p>
            <w:pPr>
              <w:rPr>
                <w:color w:val="auto"/>
              </w:rPr>
            </w:pPr>
            <w:r>
              <w:t>6.</w:t>
            </w:r>
            <w:r>
              <w:rPr>
                <w:rFonts w:hint="eastAsia"/>
              </w:rPr>
              <w:t>★抓屏上墙：通过抓屏软件可将远程笔记本桌面实时解码上墙显示，实时画面帧率≥30fps；可同时抓取8个4K信号上墙显示，且上墙前后CPU占用率无明显变化；支持在电视墙进行8画面分割显示；可对远</w:t>
            </w:r>
            <w:r>
              <w:rPr>
                <w:rFonts w:hint="eastAsia"/>
                <w:color w:val="auto"/>
              </w:rPr>
              <w:t>程笔记本桌面进行整屏、单窗口、自定义区域抓屏上墙；（提供公安部出具的型式检验报告</w:t>
            </w:r>
            <w:r>
              <w:rPr>
                <w:color w:val="auto"/>
              </w:rPr>
              <w:t>扫描</w:t>
            </w:r>
            <w:r>
              <w:rPr>
                <w:rFonts w:hint="eastAsia"/>
                <w:color w:val="auto"/>
              </w:rPr>
              <w:t>件加盖投标人公章）</w:t>
            </w:r>
          </w:p>
          <w:p>
            <w:pPr>
              <w:spacing w:line="240" w:lineRule="auto"/>
              <w:rPr>
                <w:color w:val="auto"/>
              </w:rPr>
            </w:pPr>
            <w:r>
              <w:rPr>
                <w:rFonts w:hint="eastAsia"/>
                <w:color w:val="auto"/>
              </w:rPr>
              <w:t>7.★支持对多路信号源输入的视频融合拼接，支持分辨率为15360×8640的信号源同步上墙显示，同步延时≤2ms（提供公安部出具的型式检验报告</w:t>
            </w:r>
            <w:r>
              <w:rPr>
                <w:color w:val="auto"/>
              </w:rPr>
              <w:t>扫描</w:t>
            </w:r>
            <w:r>
              <w:rPr>
                <w:rFonts w:hint="eastAsia"/>
                <w:color w:val="auto"/>
              </w:rPr>
              <w:t>件加盖投标人公章）</w:t>
            </w:r>
          </w:p>
          <w:p>
            <w:pPr>
              <w:spacing w:line="240" w:lineRule="auto"/>
              <w:rPr>
                <w:color w:val="auto"/>
              </w:rPr>
            </w:pPr>
            <w:r>
              <w:rPr>
                <w:rFonts w:hint="eastAsia"/>
                <w:color w:val="auto"/>
              </w:rPr>
              <w:t>可通过客户端软件对信号源边缘进行裁剪，裁剪位置上、下、左、右可调整</w:t>
            </w:r>
          </w:p>
          <w:p>
            <w:pPr>
              <w:spacing w:line="240" w:lineRule="auto"/>
              <w:rPr>
                <w:rFonts w:hint="eastAsia"/>
                <w:color w:val="auto"/>
              </w:rPr>
            </w:pPr>
            <w:r>
              <w:rPr>
                <w:rFonts w:hint="eastAsia"/>
                <w:color w:val="auto"/>
              </w:rPr>
              <w:t>8.支持风扇热插拔，可根据环境温度自适应调整风扇转速，当１路输入输出板卡故障或被拔出时，样机可正常工作（提供公安部出具的型式检验报告</w:t>
            </w:r>
            <w:r>
              <w:rPr>
                <w:color w:val="auto"/>
              </w:rPr>
              <w:t>扫描</w:t>
            </w:r>
            <w:r>
              <w:rPr>
                <w:rFonts w:hint="eastAsia"/>
                <w:color w:val="auto"/>
              </w:rPr>
              <w:t>件加盖投标人公章）</w:t>
            </w:r>
          </w:p>
          <w:p>
            <w:pPr>
              <w:rPr>
                <w:rFonts w:hint="eastAsia"/>
              </w:rPr>
            </w:pPr>
            <w:r>
              <w:rPr>
                <w:rFonts w:hint="eastAsia"/>
                <w:color w:val="auto"/>
              </w:rPr>
              <w:t>9.智能缩放功能：缩放后视频图像边缘无锯</w:t>
            </w:r>
            <w:r>
              <w:rPr>
                <w:rFonts w:hint="eastAsia"/>
              </w:rPr>
              <w:t>齿</w:t>
            </w:r>
          </w:p>
          <w:p>
            <w:pPr>
              <w:rPr>
                <w:rFonts w:hint="eastAsia"/>
              </w:rPr>
            </w:pPr>
            <w:r>
              <w:rPr>
                <w:rFonts w:hint="eastAsia"/>
              </w:rPr>
              <w:t>10.信号传输画面无肉眼可见的失真</w:t>
            </w:r>
          </w:p>
          <w:p>
            <w:r>
              <w:rPr>
                <w:rFonts w:hint="eastAsia"/>
              </w:rPr>
              <w:t>11.断电保护：可自动保存断电前的运行参数，重新加电后可恢复到断电前的状态（提供公安部出具的型式检验报告扫描件加盖投标人公章）</w:t>
            </w:r>
          </w:p>
          <w:p>
            <w:pPr>
              <w:spacing w:line="240" w:lineRule="auto"/>
            </w:pPr>
            <w:r>
              <w:t>1</w:t>
            </w:r>
            <w:r>
              <w:rPr>
                <w:rFonts w:hint="eastAsia"/>
              </w:rPr>
              <w:t>2.▲为保证系统的兼容及稳定性，视频处理器厂家与LED显示屏厂家应为同一制造商。</w:t>
            </w:r>
          </w:p>
          <w:p>
            <w:r>
              <w:rPr>
                <w:rFonts w:hint="eastAsia"/>
              </w:rPr>
              <w:t>13</w:t>
            </w:r>
            <w:r>
              <w:t>.</w:t>
            </w:r>
            <w:r>
              <w:rPr>
                <w:rFonts w:hint="eastAsia"/>
              </w:rPr>
              <w:t>提供相关软件著作权证书扫描件加盖公章。</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3</w:t>
            </w:r>
          </w:p>
        </w:tc>
        <w:tc>
          <w:tcPr>
            <w:tcW w:w="770" w:type="dxa"/>
            <w:vAlign w:val="center"/>
          </w:tcPr>
          <w:p>
            <w:pPr>
              <w:jc w:val="center"/>
            </w:pPr>
            <w:r>
              <w:rPr>
                <w:rFonts w:hint="eastAsia"/>
              </w:rPr>
              <w:t>大屏配电柜</w:t>
            </w:r>
          </w:p>
        </w:tc>
        <w:tc>
          <w:tcPr>
            <w:tcW w:w="6200" w:type="dxa"/>
          </w:tcPr>
          <w:p>
            <w:r>
              <w:rPr>
                <w:rFonts w:hint="eastAsia"/>
              </w:rPr>
              <w:t>1.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p>
          <w:p>
            <w:pPr>
              <w:rPr>
                <w:b/>
                <w:bCs/>
              </w:rPr>
            </w:pPr>
            <w:r>
              <w:rPr>
                <w:rFonts w:hint="eastAsia"/>
              </w:rPr>
              <w:t>2.配电柜具有PLC自动控制功能，可实现远程开关机，</w:t>
            </w:r>
            <w:r>
              <w:rPr>
                <w:rFonts w:hint="eastAsia"/>
                <w:b/>
                <w:bCs/>
              </w:rPr>
              <w:t>需提供官网截图或相关证书证明，并加盖投标人公章</w:t>
            </w:r>
            <w:r>
              <w:rPr>
                <w:b/>
                <w:bCs/>
              </w:rPr>
              <w:t>。</w:t>
            </w:r>
          </w:p>
          <w:p>
            <w:r>
              <w:rPr>
                <w:rFonts w:hint="eastAsia"/>
              </w:rPr>
              <w:t>3.</w:t>
            </w:r>
            <w:r>
              <w:rPr>
                <w:rFonts w:hint="eastAsia"/>
                <w:b/>
                <w:bCs/>
              </w:rPr>
              <w:t>提供配电柜CQC证书</w:t>
            </w:r>
            <w:r>
              <w:rPr>
                <w:b/>
                <w:bCs/>
              </w:rPr>
              <w:t>证明并</w:t>
            </w:r>
            <w:r>
              <w:rPr>
                <w:rFonts w:hint="eastAsia"/>
              </w:rPr>
              <w:t>加盖投标人公章</w:t>
            </w:r>
            <w:r>
              <w:rPr>
                <w:rFonts w:hint="default"/>
              </w:rPr>
              <w:t>。</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4</w:t>
            </w:r>
          </w:p>
        </w:tc>
        <w:tc>
          <w:tcPr>
            <w:tcW w:w="770" w:type="dxa"/>
            <w:vAlign w:val="center"/>
          </w:tcPr>
          <w:p>
            <w:pPr>
              <w:jc w:val="center"/>
            </w:pPr>
            <w:r>
              <w:rPr>
                <w:rFonts w:hint="eastAsia"/>
              </w:rPr>
              <w:t>控制终端</w:t>
            </w:r>
          </w:p>
        </w:tc>
        <w:tc>
          <w:tcPr>
            <w:tcW w:w="6200" w:type="dxa"/>
            <w:vAlign w:val="center"/>
          </w:tcPr>
          <w:p>
            <w:r>
              <w:rPr>
                <w:rFonts w:hint="eastAsia"/>
              </w:rPr>
              <w:t>双核心四线程, 可睿频加速至3.2GHz</w:t>
            </w:r>
          </w:p>
          <w:p>
            <w:r>
              <w:rPr>
                <w:rFonts w:hint="eastAsia"/>
              </w:rPr>
              <w:t>内存容量 8GB，硬盘容量不低于 160GB</w:t>
            </w:r>
          </w:p>
          <w:p>
            <w:r>
              <w:rPr>
                <w:rFonts w:hint="eastAsia"/>
              </w:rPr>
              <w:t>屏幕尺寸 13.3英寸</w:t>
            </w:r>
          </w:p>
          <w:p>
            <w:r>
              <w:rPr>
                <w:rFonts w:hint="eastAsia"/>
              </w:rPr>
              <w:t>标准分辨率不低于 1366×768</w:t>
            </w:r>
          </w:p>
          <w:p>
            <w:r>
              <w:rPr>
                <w:rFonts w:hint="eastAsia"/>
              </w:rPr>
              <w:t>内置摄像头</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5</w:t>
            </w:r>
          </w:p>
        </w:tc>
        <w:tc>
          <w:tcPr>
            <w:tcW w:w="770" w:type="dxa"/>
            <w:vAlign w:val="center"/>
          </w:tcPr>
          <w:p>
            <w:pPr>
              <w:jc w:val="center"/>
            </w:pPr>
            <w:r>
              <w:rPr>
                <w:rFonts w:hint="eastAsia"/>
              </w:rPr>
              <w:t>大屏控制软件</w:t>
            </w:r>
          </w:p>
        </w:tc>
        <w:tc>
          <w:tcPr>
            <w:tcW w:w="6200" w:type="dxa"/>
            <w:vAlign w:val="center"/>
          </w:tcPr>
          <w:p>
            <w:r>
              <w:rPr>
                <w:rFonts w:hint="eastAsia"/>
              </w:rPr>
              <w:t>1.★支持C/S和B/S系统架构，支持 Windows操作系统，支持通过浏览器对系统进行设备统一管理、大屏配置、信号显示控制、场景预案管理、内容上墙、大屏门户、多屏互动、环境设 配置和控制操作、信息发布、大屏管理、字幕管理、中控管理，支持通过客户端软件和手机平板APP（安卓、鸿蒙、IOS）对大屏系统进行大屏门户、场景 预案切换、远程操控、内容上墙、内容切换等大屏操作</w:t>
            </w:r>
            <w:r>
              <w:t>；</w:t>
            </w:r>
          </w:p>
          <w:p>
            <w:r>
              <w:rPr>
                <w:rFonts w:hint="eastAsia"/>
              </w:rPr>
              <w:t>2.★关联了播控信号的拼控大屏、播控大屏、会议平板等屏幕，支持创建多个播控页面，可按照播控的分辨率创建画布，画布支持调节缩放比例，支持添加、删除、修改多个页面，页面可设置背景颜色、背景图片等；支持将网页、程序包、图片、视频、 PPT 、Word 、 Excel 、 PDF 、文本等内容窗口拖动到播控页面中进行设置，可设置多种类型窗口的拼接布局，每种类型窗口可添加多个文件，可设置内容文件播放时长、内容播放顺序等属性，可一键切换大屏中播放的内容</w:t>
            </w:r>
            <w:r>
              <w:t>；</w:t>
            </w:r>
            <w:r>
              <w:rPr>
                <w:rFonts w:hint="eastAsia"/>
              </w:rPr>
              <w:t>支持设置内容窗口层级、全屏，多个窗口的对齐方式（左对齐、居中对齐、右对齐、顶部对齐、垂直对齐、底部对齐）；窗口支持绑定系统快捷键，并支持将快捷键同步至操控端，进行快速控制</w:t>
            </w:r>
            <w:r>
              <w:t>；</w:t>
            </w:r>
          </w:p>
          <w:p>
            <w:r>
              <w:rPr>
                <w:rFonts w:hint="eastAsia"/>
              </w:rPr>
              <w:t>3.★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 CPU 使用比例；支持查看PC主机的在离线情况；支持查看设备的在离线告警，近7天告警数量统计，近7天离线次数统计 。</w:t>
            </w:r>
          </w:p>
          <w:p>
            <w:r>
              <w:rPr>
                <w:rFonts w:hint="eastAsia"/>
              </w:rPr>
              <w:t>4.★支持展示视频、图片、网页等内容的缩略图，可控制正在播放视频的进度、启动、停止播放，支持在进度条浮窗显示；支持对PPT 进行翻页控制；支持远程操控播控主机，进行大屏内容的控制，可远程操控大屏正在播放的可视化、 AR、VR、第三方业务系统等；支持触发系统快捷键， 包括Win、Win+D、任务管理器 、 重启程序等；支持选择桌面，或直接控制播控主机显示桌面；</w:t>
            </w:r>
          </w:p>
          <w:p>
            <w:r>
              <w:rPr>
                <w:rFonts w:hint="eastAsia"/>
              </w:rPr>
              <w:t>5</w:t>
            </w:r>
            <w:r>
              <w:t>.</w:t>
            </w:r>
            <w:r>
              <w:rPr>
                <w:rFonts w:hint="eastAsia"/>
              </w:rPr>
              <w:t>★不依赖第三方硬件具备对显示屏、拼接控制器、 LED播放控制器、 PLC 配电箱、中控主机等设备进行集成控制的能力；支持同时管理不同分辨率、不同类型的显示屏系统、中央控制系统、拼控系统；支持对灯光、空调等环境设备进行统一控制</w:t>
            </w:r>
            <w:r>
              <w:t>，</w:t>
            </w:r>
            <w:r>
              <w:rPr>
                <w:rFonts w:hint="eastAsia"/>
              </w:rPr>
              <w:t>支持场景控制联动环境控制，支持一键进行切换</w:t>
            </w:r>
            <w:r>
              <w:t>；</w:t>
            </w:r>
          </w:p>
          <w:p>
            <w:r>
              <w:rPr>
                <w:rFonts w:hint="eastAsia"/>
              </w:rPr>
              <w:t>6.★支持通过平板、客户端、网页的方式对系统进行可视化管理，包括场景管理、预案管理、信号场景切换、内容上墙、大屏门户管理、窗口叠加\拼接\分割\漫游\放大\缩小\移动\关闭\删除等、通过网络连接的 PC 电脑（无需连接视频线）一键上墙等操作；</w:t>
            </w:r>
          </w:p>
          <w:p>
            <w:r>
              <w:rPr>
                <w:rFonts w:hint="eastAsia"/>
              </w:rPr>
              <w:t>7.★支持屏幕、网页、窗口等多种类型采集后投屏，不需要外接物理线缆</w:t>
            </w:r>
            <w:r>
              <w:t>，</w:t>
            </w:r>
            <w:r>
              <w:rPr>
                <w:rFonts w:hint="eastAsia"/>
              </w:rPr>
              <w:t>即可实现画面投屏显示；支持电脑桌面映像实时预览，并可反向控制桌面，实现远程控制，支持触摸屏控制；支持音频采集，支持音视频分离功能；支持自定义分辨率桌面采集编码，包括3840×2160、1920×1080、1280×720、1024×768、1280×1024 。</w:t>
            </w:r>
          </w:p>
          <w:p>
            <w:r>
              <w:rPr>
                <w:rFonts w:hint="eastAsia"/>
              </w:rPr>
              <w:t>8.虚拟LED的横幅字幕支持文字和时钟两种形式，支持设置字幕显示的宽高位置、文字内容、颜色、背景颜色、字体大小、显示模式（透明、半透明、不透明）、文字滚动速度支持设置时钟的显示时制、日期显示形式、文字颜色、背景颜色、文字大小、显示模式</w:t>
            </w:r>
            <w:r>
              <w:t>；</w:t>
            </w:r>
          </w:p>
          <w:p>
            <w:r>
              <w:rPr>
                <w:rFonts w:hint="eastAsia"/>
              </w:rPr>
              <w:t>9.支持对 PLC 配电箱单台控制或多台级联控制，添加显示屏时可选择指定的线路，单独控制每条线路的开关支持大屏系统一键开关机，支持设置定时开关机</w:t>
            </w:r>
            <w:r>
              <w:t>；</w:t>
            </w:r>
          </w:p>
          <w:p>
            <w:r>
              <w:rPr>
                <w:rFonts w:hint="eastAsia"/>
              </w:rPr>
              <w:t>10.</w:t>
            </w:r>
            <w:r>
              <w:rPr>
                <w:rFonts w:hint="eastAsia"/>
              </w:rPr>
              <w:tab/>
            </w:r>
            <w:r>
              <w:rPr>
                <w:rFonts w:hint="eastAsia"/>
              </w:rPr>
              <w:t>支持播控服务性能参数监控，包括每个渲染服务当前服务器的 CPU、</w:t>
            </w:r>
            <w:r>
              <w:t>G</w:t>
            </w:r>
            <w:r>
              <w:rPr>
                <w:rFonts w:hint="eastAsia"/>
              </w:rPr>
              <w:t>PU、内存参数等</w:t>
            </w:r>
            <w:r>
              <w:t>；</w:t>
            </w:r>
          </w:p>
          <w:p>
            <w:r>
              <w:rPr>
                <w:rFonts w:hint="eastAsia"/>
              </w:rPr>
              <w:t>11.支持不需要物理连线，将安卓平板、IOS平板、客户端多端互投，并支持投到大屏上显示 。</w:t>
            </w:r>
          </w:p>
          <w:p>
            <w:pPr>
              <w:rPr>
                <w:b/>
                <w:bCs/>
              </w:rPr>
            </w:pPr>
            <w:r>
              <w:rPr>
                <w:rFonts w:hint="eastAsia"/>
                <w:b/>
                <w:bCs/>
              </w:rPr>
              <w:t>以上</w:t>
            </w:r>
            <w:r>
              <w:rPr>
                <w:b/>
                <w:bCs/>
              </w:rPr>
              <w:t>1-11点</w:t>
            </w:r>
            <w:r>
              <w:rPr>
                <w:rFonts w:hint="eastAsia"/>
                <w:b/>
                <w:bCs/>
              </w:rPr>
              <w:t>需提供具有 CMA、CAL、ilac-MRA 及 CNAS 标识第三方检测机构检测报告</w:t>
            </w:r>
            <w:r>
              <w:rPr>
                <w:b/>
                <w:bCs/>
              </w:rPr>
              <w:t>扫描</w:t>
            </w:r>
            <w:r>
              <w:rPr>
                <w:rFonts w:hint="eastAsia"/>
                <w:b/>
                <w:bCs/>
              </w:rPr>
              <w:t>件并加盖投标人公章证明</w:t>
            </w:r>
            <w:r>
              <w:rPr>
                <w:b/>
                <w:bCs/>
              </w:rPr>
              <w:t>。</w:t>
            </w:r>
          </w:p>
          <w:p>
            <w:pPr>
              <w:pStyle w:val="12"/>
              <w:spacing w:line="240" w:lineRule="auto"/>
            </w:pPr>
            <w:r>
              <w:rPr>
                <w:rFonts w:hint="eastAsia"/>
                <w:sz w:val="21"/>
                <w:highlight w:val="none"/>
              </w:rPr>
              <w:t>上述功能能够完全响应的应提供承诺函，并在中标公示期间，与采购人进行逐一演示</w:t>
            </w:r>
            <w:r>
              <w:rPr>
                <w:sz w:val="21"/>
                <w:highlight w:val="none"/>
              </w:rPr>
              <w:t>。</w:t>
            </w:r>
          </w:p>
        </w:tc>
        <w:tc>
          <w:tcPr>
            <w:tcW w:w="636" w:type="dxa"/>
            <w:vAlign w:val="center"/>
          </w:tcPr>
          <w:p>
            <w:r>
              <w:rPr>
                <w:rFonts w:hint="eastAsia"/>
              </w:rPr>
              <w:t>1</w:t>
            </w:r>
          </w:p>
        </w:tc>
        <w:tc>
          <w:tcPr>
            <w:tcW w:w="457" w:type="dxa"/>
            <w:vAlign w:val="center"/>
          </w:tcPr>
          <w:p>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6</w:t>
            </w:r>
          </w:p>
        </w:tc>
        <w:tc>
          <w:tcPr>
            <w:tcW w:w="770" w:type="dxa"/>
            <w:vAlign w:val="center"/>
          </w:tcPr>
          <w:p>
            <w:pPr>
              <w:jc w:val="center"/>
            </w:pPr>
            <w:r>
              <w:rPr>
                <w:rFonts w:hint="eastAsia"/>
              </w:rPr>
              <w:t>大屏安装支架</w:t>
            </w:r>
          </w:p>
        </w:tc>
        <w:tc>
          <w:tcPr>
            <w:tcW w:w="6200" w:type="dxa"/>
            <w:vAlign w:val="center"/>
          </w:tcPr>
          <w:p>
            <w:r>
              <w:rPr>
                <w:rFonts w:hint="eastAsia"/>
              </w:rPr>
              <w:t>大屏钢结构基础安装</w:t>
            </w:r>
          </w:p>
        </w:tc>
        <w:tc>
          <w:tcPr>
            <w:tcW w:w="636" w:type="dxa"/>
            <w:vAlign w:val="center"/>
          </w:tcPr>
          <w:p>
            <w:r>
              <w:rPr>
                <w:rFonts w:hint="eastAsia"/>
              </w:rPr>
              <w:t>31.3</w:t>
            </w:r>
          </w:p>
        </w:tc>
        <w:tc>
          <w:tcPr>
            <w:tcW w:w="457" w:type="dxa"/>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7</w:t>
            </w:r>
          </w:p>
        </w:tc>
        <w:tc>
          <w:tcPr>
            <w:tcW w:w="770" w:type="dxa"/>
            <w:vAlign w:val="center"/>
          </w:tcPr>
          <w:p>
            <w:pPr>
              <w:jc w:val="center"/>
            </w:pPr>
            <w:r>
              <w:rPr>
                <w:rFonts w:hint="eastAsia"/>
              </w:rPr>
              <w:t>包边</w:t>
            </w:r>
          </w:p>
        </w:tc>
        <w:tc>
          <w:tcPr>
            <w:tcW w:w="6200" w:type="dxa"/>
            <w:vAlign w:val="center"/>
          </w:tcPr>
          <w:p>
            <w:r>
              <w:rPr>
                <w:rFonts w:hint="eastAsia"/>
              </w:rPr>
              <w:t>大屏四周304不锈钢包边</w:t>
            </w:r>
          </w:p>
        </w:tc>
        <w:tc>
          <w:tcPr>
            <w:tcW w:w="636" w:type="dxa"/>
            <w:vAlign w:val="center"/>
          </w:tcPr>
          <w:p>
            <w:r>
              <w:rPr>
                <w:rFonts w:hint="eastAsia"/>
              </w:rPr>
              <w:t>1</w:t>
            </w:r>
          </w:p>
        </w:tc>
        <w:tc>
          <w:tcPr>
            <w:tcW w:w="457" w:type="dxa"/>
            <w:vAlign w:val="center"/>
          </w:tcPr>
          <w:p>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8</w:t>
            </w:r>
          </w:p>
        </w:tc>
        <w:tc>
          <w:tcPr>
            <w:tcW w:w="770" w:type="dxa"/>
            <w:vAlign w:val="center"/>
          </w:tcPr>
          <w:p>
            <w:pPr>
              <w:jc w:val="center"/>
            </w:pPr>
            <w:r>
              <w:rPr>
                <w:rFonts w:hint="eastAsia"/>
              </w:rPr>
              <w:t>主电缆</w:t>
            </w:r>
          </w:p>
        </w:tc>
        <w:tc>
          <w:tcPr>
            <w:tcW w:w="6200" w:type="dxa"/>
            <w:vAlign w:val="center"/>
          </w:tcPr>
          <w:p>
            <w:r>
              <w:rPr>
                <w:rFonts w:hint="eastAsia"/>
              </w:rPr>
              <w:t>5*6平方电缆，多功能厅到强电间</w:t>
            </w:r>
          </w:p>
        </w:tc>
        <w:tc>
          <w:tcPr>
            <w:tcW w:w="636" w:type="dxa"/>
            <w:vAlign w:val="center"/>
          </w:tcPr>
          <w:p>
            <w:r>
              <w:rPr>
                <w:rFonts w:hint="eastAsia"/>
              </w:rPr>
              <w:t>1</w:t>
            </w:r>
          </w:p>
        </w:tc>
        <w:tc>
          <w:tcPr>
            <w:tcW w:w="457" w:type="dxa"/>
            <w:vAlign w:val="center"/>
          </w:tcPr>
          <w:p>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9</w:t>
            </w:r>
          </w:p>
        </w:tc>
        <w:tc>
          <w:tcPr>
            <w:tcW w:w="770" w:type="dxa"/>
            <w:vAlign w:val="center"/>
          </w:tcPr>
          <w:p>
            <w:pPr>
              <w:jc w:val="center"/>
            </w:pPr>
            <w:r>
              <w:rPr>
                <w:rFonts w:hint="eastAsia"/>
              </w:rPr>
              <w:t>无线投屏器</w:t>
            </w:r>
          </w:p>
        </w:tc>
        <w:tc>
          <w:tcPr>
            <w:tcW w:w="6200" w:type="dxa"/>
            <w:vAlign w:val="center"/>
          </w:tcPr>
          <w:p>
            <w:r>
              <w:rPr>
                <w:rFonts w:hint="eastAsia"/>
              </w:rPr>
              <w:t>1无线连接方式:插入按键安装程序，自动运行，一键分享</w:t>
            </w:r>
            <w:r>
              <w:rPr>
                <w:rFonts w:hint="eastAsia"/>
              </w:rPr>
              <w:br w:type="textWrapping"/>
            </w:r>
            <w:r>
              <w:rPr>
                <w:rFonts w:hint="eastAsia"/>
              </w:rPr>
              <w:t>2、无需在PC上安装软件，无需占用电脑WI-FI；无线投屏主机自带Wifi无线桥接局域网保证手机连接主机同时可上网</w:t>
            </w:r>
            <w:r>
              <w:rPr>
                <w:rFonts w:hint="eastAsia"/>
              </w:rPr>
              <w:br w:type="textWrapping"/>
            </w:r>
            <w:r>
              <w:rPr>
                <w:rFonts w:hint="eastAsia"/>
              </w:rPr>
              <w:t>3、单USB接口设计，无需额外供电线及其他端口</w:t>
            </w:r>
            <w:r>
              <w:rPr>
                <w:rFonts w:hint="eastAsia"/>
              </w:rPr>
              <w:br w:type="textWrapping"/>
            </w:r>
            <w:r>
              <w:rPr>
                <w:rFonts w:hint="eastAsia"/>
              </w:rPr>
              <w:t>4、兼容Windows 7/8.1/10 32位和64位，MAC OS X 10,10/10.11/10.12/10.13,兼容IOS9,OS X 10.10/10.11和以上版本，Android 5.0</w:t>
            </w:r>
            <w:r>
              <w:rPr>
                <w:rFonts w:hint="eastAsia"/>
              </w:rPr>
              <w:br w:type="textWrapping"/>
            </w:r>
            <w:r>
              <w:rPr>
                <w:rFonts w:hint="eastAsia"/>
              </w:rPr>
              <w:t>5、传屏不占用电脑wifi，电脑仍可以上网</w:t>
            </w:r>
            <w:r>
              <w:rPr>
                <w:rFonts w:hint="eastAsia"/>
              </w:rPr>
              <w:br w:type="textWrapping"/>
            </w:r>
            <w:r>
              <w:rPr>
                <w:rFonts w:hint="eastAsia"/>
              </w:rPr>
              <w:t>6、无线传输距离:可达30米视距，主机和按键之间</w:t>
            </w:r>
            <w:r>
              <w:rPr>
                <w:rFonts w:hint="eastAsia"/>
              </w:rPr>
              <w:br w:type="textWrapping"/>
            </w:r>
            <w:r>
              <w:rPr>
                <w:rFonts w:hint="eastAsia"/>
              </w:rPr>
              <w:t>7、无线传输频段: ≥5.8GHz</w:t>
            </w:r>
            <w:r>
              <w:rPr>
                <w:rFonts w:hint="eastAsia"/>
              </w:rPr>
              <w:br w:type="textWrapping"/>
            </w:r>
            <w:r>
              <w:rPr>
                <w:rFonts w:hint="eastAsia"/>
              </w:rPr>
              <w:t>8、无线传输协议:IEE 802.11ac</w:t>
            </w:r>
            <w:r>
              <w:rPr>
                <w:rFonts w:hint="eastAsia"/>
              </w:rPr>
              <w:br w:type="textWrapping"/>
            </w:r>
            <w:r>
              <w:rPr>
                <w:rFonts w:hint="eastAsia"/>
              </w:rPr>
              <w:t>9、无线传输速率:可达867Mbps</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10</w:t>
            </w:r>
          </w:p>
        </w:tc>
        <w:tc>
          <w:tcPr>
            <w:tcW w:w="770" w:type="dxa"/>
            <w:vAlign w:val="center"/>
          </w:tcPr>
          <w:p>
            <w:pPr>
              <w:jc w:val="center"/>
            </w:pPr>
            <w:r>
              <w:rPr>
                <w:rFonts w:hint="eastAsia"/>
              </w:rPr>
              <w:t>大屏辅材</w:t>
            </w:r>
          </w:p>
        </w:tc>
        <w:tc>
          <w:tcPr>
            <w:tcW w:w="6200" w:type="dxa"/>
            <w:vAlign w:val="center"/>
          </w:tcPr>
          <w:p>
            <w:r>
              <w:rPr>
                <w:rFonts w:hint="eastAsia"/>
              </w:rPr>
              <w:t>包含PVC线管、线槽、屏体供电国标线缆、六类非屏蔽网线等材料</w:t>
            </w:r>
          </w:p>
        </w:tc>
        <w:tc>
          <w:tcPr>
            <w:tcW w:w="636" w:type="dxa"/>
            <w:vAlign w:val="center"/>
          </w:tcPr>
          <w:p>
            <w:r>
              <w:rPr>
                <w:rFonts w:hint="eastAsia"/>
              </w:rPr>
              <w:t>1</w:t>
            </w:r>
          </w:p>
        </w:tc>
        <w:tc>
          <w:tcPr>
            <w:tcW w:w="457" w:type="dxa"/>
            <w:vAlign w:val="center"/>
          </w:tcPr>
          <w:p>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11</w:t>
            </w:r>
          </w:p>
        </w:tc>
        <w:tc>
          <w:tcPr>
            <w:tcW w:w="770" w:type="dxa"/>
            <w:vAlign w:val="center"/>
          </w:tcPr>
          <w:p>
            <w:pPr>
              <w:jc w:val="center"/>
            </w:pPr>
            <w:r>
              <w:rPr>
                <w:rFonts w:hint="eastAsia"/>
              </w:rPr>
              <w:t>背景改造</w:t>
            </w:r>
          </w:p>
        </w:tc>
        <w:tc>
          <w:tcPr>
            <w:tcW w:w="6200" w:type="dxa"/>
            <w:vAlign w:val="center"/>
          </w:tcPr>
          <w:p>
            <w:r>
              <w:rPr>
                <w:rFonts w:hint="eastAsia"/>
              </w:rPr>
              <w:t>定制</w:t>
            </w:r>
          </w:p>
        </w:tc>
        <w:tc>
          <w:tcPr>
            <w:tcW w:w="636" w:type="dxa"/>
            <w:vAlign w:val="center"/>
          </w:tcPr>
          <w:p>
            <w:r>
              <w:rPr>
                <w:rFonts w:hint="eastAsia"/>
              </w:rPr>
              <w:t>1</w:t>
            </w:r>
          </w:p>
        </w:tc>
        <w:tc>
          <w:tcPr>
            <w:tcW w:w="457" w:type="dxa"/>
            <w:vAlign w:val="center"/>
          </w:tcPr>
          <w:p>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8520" w:type="dxa"/>
            <w:gridSpan w:val="5"/>
            <w:vAlign w:val="center"/>
          </w:tcPr>
          <w:p>
            <w:pPr>
              <w:rPr>
                <w:b/>
                <w:bCs/>
              </w:rPr>
            </w:pPr>
            <w:r>
              <w:rPr>
                <w:rFonts w:hint="eastAsia"/>
                <w:b/>
                <w:bCs/>
              </w:rPr>
              <w:t>308会议室设备清单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1</w:t>
            </w:r>
          </w:p>
        </w:tc>
        <w:tc>
          <w:tcPr>
            <w:tcW w:w="770" w:type="dxa"/>
            <w:vAlign w:val="center"/>
          </w:tcPr>
          <w:p>
            <w:pPr>
              <w:jc w:val="center"/>
            </w:pPr>
            <w:r>
              <w:rPr>
                <w:rFonts w:hint="eastAsia"/>
              </w:rPr>
              <w:t>室内P1.2全彩显示屏</w:t>
            </w:r>
          </w:p>
        </w:tc>
        <w:tc>
          <w:tcPr>
            <w:tcW w:w="6200" w:type="dxa"/>
            <w:vAlign w:val="center"/>
          </w:tcPr>
          <w:p>
            <w:r>
              <w:rPr>
                <w:rFonts w:hint="eastAsia"/>
              </w:rPr>
              <w:t>▲1.像素间距：≤1.25 mm，SMD表贴三合一。尺寸不小于</w:t>
            </w:r>
            <w:r>
              <w:t>3.84*2.16m</w:t>
            </w:r>
            <w:r>
              <w:rPr>
                <w:rFonts w:hint="eastAsia"/>
              </w:rPr>
              <w:t>，面积≥</w:t>
            </w:r>
            <w:r>
              <w:t>8.29</w:t>
            </w:r>
            <w:r>
              <w:rPr>
                <w:rFonts w:hint="eastAsia"/>
              </w:rPr>
              <w:t>㎡</w:t>
            </w:r>
            <w:r>
              <w:t>。</w:t>
            </w:r>
          </w:p>
          <w:p>
            <w:r>
              <w:rPr>
                <w:rFonts w:hint="eastAsia"/>
              </w:rPr>
              <w:t>2.箱体结构：全封闭压铸铝材质，模组、电源、接收卡支持前后两种方式维护；采用自然散热、无风扇、无孔、防尘静音设计箱体尺寸各显示屏制造商自行设计，480（W）×270（H）×54（D）</w:t>
            </w:r>
          </w:p>
          <w:p>
            <w:r>
              <w:rPr>
                <w:rFonts w:hint="eastAsia"/>
              </w:rPr>
              <w:t>3.本项目要求单元箱体为所投品牌整机出货，不接受市场组装机，采用原厂整机出厂方式供货安装，箱体带有显示屏制造商logo。</w:t>
            </w:r>
          </w:p>
          <w:p>
            <w:r>
              <w:rPr>
                <w:rFonts w:hint="eastAsia"/>
              </w:rPr>
              <w:t xml:space="preserve">4.显示屏最高对比度≥5000:1。为适应室内长期观看，显示屏校正后亮度或白平衡亮度≥500nit，随环境条件的变化自动调节，支持0-100%无级调节。 </w:t>
            </w:r>
          </w:p>
          <w:p>
            <w:r>
              <w:t>5.</w:t>
            </w:r>
            <w:r>
              <w:rPr>
                <w:rFonts w:hint="eastAsia"/>
              </w:rPr>
              <w:t xml:space="preserve"> ★产品客户端操作可使LED 箱体显示实际连线编号，可快捷连线，无需到屏后查看编号</w:t>
            </w:r>
            <w:r>
              <w:t>。</w:t>
            </w:r>
          </w:p>
          <w:p>
            <w:r>
              <w:rPr>
                <w:rFonts w:hint="eastAsia"/>
              </w:rPr>
              <w:t>6.色温3000-15000K 可调。</w:t>
            </w:r>
          </w:p>
          <w:p>
            <w:r>
              <w:rPr>
                <w:rFonts w:hint="eastAsia"/>
              </w:rPr>
              <w:t>7.水平视角≥170°，垂直视角≥1</w:t>
            </w:r>
            <w:r>
              <w:t>7</w:t>
            </w:r>
            <w:r>
              <w:rPr>
                <w:rFonts w:hint="eastAsia"/>
              </w:rPr>
              <w:t>0°。</w:t>
            </w:r>
          </w:p>
          <w:p>
            <w:r>
              <w:rPr>
                <w:rFonts w:hint="eastAsia"/>
              </w:rPr>
              <w:t>8. 亮度均匀性≥98%，NTSC色域覆盖率≥115%，DCI-P3色域覆盖率≥115%。</w:t>
            </w:r>
          </w:p>
          <w:p>
            <w:r>
              <w:rPr>
                <w:rFonts w:hint="eastAsia"/>
              </w:rPr>
              <w:t>9.产品最大刷新率≥3840Hz ，换帧频率为50-120Hz，最大对比度≥5000:1</w:t>
            </w:r>
            <w:r>
              <w:t>。</w:t>
            </w:r>
          </w:p>
          <w:p>
            <w:r>
              <w:rPr>
                <w:rFonts w:hint="eastAsia"/>
              </w:rPr>
              <w:t>10.平均故障间隔时间（MTBF）：100000h。</w:t>
            </w:r>
          </w:p>
          <w:p>
            <w:r>
              <w:rPr>
                <w:rFonts w:hint="eastAsia"/>
              </w:rPr>
              <w:t>11.箱体材质：采用压铸铝合金，后壳采用双列格板散热设计，增大散热面积，无风扇，无孔。</w:t>
            </w:r>
          </w:p>
          <w:p>
            <w:r>
              <w:rPr>
                <w:rFonts w:hint="eastAsia"/>
              </w:rPr>
              <w:t>12.峰值功耗：≤480W/㎡，平均功耗：≤150W/㎡</w:t>
            </w:r>
            <w:r>
              <w:t>。</w:t>
            </w:r>
          </w:p>
          <w:p>
            <w:r>
              <w:rPr>
                <w:rFonts w:hint="eastAsia"/>
              </w:rPr>
              <w:t>13.显示屏带有智能（黑屏）节电功能，开启智能节电功能比没有开启节能40%以上。</w:t>
            </w:r>
          </w:p>
          <w:p>
            <w:r>
              <w:rPr>
                <w:rFonts w:hint="eastAsia"/>
              </w:rPr>
              <w:t>14. 产品的客户端、遥控器更改设置时，屏幕出现OSD 提示菜单。可通过遥控器快速开关机。当控制卡的网络环境变化后，能自动获取控制卡的IP地址，防止网络环境变化后，使用者无法登陆设备.</w:t>
            </w:r>
          </w:p>
          <w:p>
            <w:r>
              <w:rPr>
                <w:rFonts w:hint="eastAsia"/>
              </w:rPr>
              <w:t>15.全灰阶校正，通过采集屏幕不同亮度下数据，进行校正处理，实现不同亮度下调用对应的校正系数，从而实现在不同亮度下屏幕显示一致性都较好。支持灰度再编码技术，每帧图像实时处理，针对低灰图像细节进行对比度增强，低灰更细腻；刷新帧率倍频，减少闪烁。</w:t>
            </w:r>
          </w:p>
          <w:p>
            <w:r>
              <w:rPr>
                <w:rFonts w:hint="eastAsia"/>
              </w:rPr>
              <w:t>16.PCB板与塑料面板阻燃等级满足UL94 V-0阻燃等级要求，整机阻燃等级满足UL94 V-0阻燃等级要求</w:t>
            </w:r>
          </w:p>
          <w:p>
            <w:r>
              <w:rPr>
                <w:rFonts w:hint="eastAsia"/>
              </w:rPr>
              <w:t>17.★所投产品通过通过高温高湿工作，支持自动检测环境温湿度，出现环境异常时，联动调节空调和除湿等设备。</w:t>
            </w:r>
          </w:p>
          <w:p>
            <w:r>
              <w:rPr>
                <w:rFonts w:hint="eastAsia"/>
              </w:rPr>
              <w:t>18.抗紫外UV辐射符合5级，抗震8级、盐雾10级、防尘IP5X等检测</w:t>
            </w:r>
            <w:r>
              <w:t>。</w:t>
            </w:r>
          </w:p>
          <w:p>
            <w:r>
              <w:rPr>
                <w:rFonts w:hint="eastAsia"/>
              </w:rPr>
              <w:t>19.防蓝光：视网膜蓝光防护，符合GB/T</w:t>
            </w:r>
            <w:r>
              <w:t>20145-2006</w:t>
            </w:r>
            <w:r>
              <w:rPr>
                <w:rFonts w:hint="eastAsia"/>
              </w:rPr>
              <w:t>对灯和灯系统蓝光危害无危害类。</w:t>
            </w:r>
          </w:p>
          <w:p>
            <w:r>
              <w:rPr>
                <w:rFonts w:hint="eastAsia"/>
              </w:rPr>
              <w:t>20.抗电强度：U=1500VAC， T=60s 未击穿和飞弧现象</w:t>
            </w:r>
          </w:p>
          <w:p>
            <w:pPr>
              <w:rPr>
                <w:color w:val="auto"/>
              </w:rPr>
            </w:pPr>
            <w:r>
              <w:rPr>
                <w:rFonts w:hint="eastAsia"/>
                <w:color w:val="auto"/>
              </w:rPr>
              <w:t>以上</w:t>
            </w:r>
            <w:r>
              <w:rPr>
                <w:color w:val="auto"/>
              </w:rPr>
              <w:t>4</w:t>
            </w:r>
            <w:r>
              <w:rPr>
                <w:rFonts w:hint="eastAsia"/>
                <w:color w:val="auto"/>
              </w:rPr>
              <w:t>-20需提供具有 CMA、ilac-MRA 及 CNAS 标识第三方检测机构检测报告</w:t>
            </w:r>
            <w:r>
              <w:rPr>
                <w:color w:val="auto"/>
              </w:rPr>
              <w:t>扫描</w:t>
            </w:r>
            <w:r>
              <w:rPr>
                <w:rFonts w:hint="eastAsia"/>
                <w:color w:val="auto"/>
              </w:rPr>
              <w:t>件并加盖投标人公章</w:t>
            </w:r>
            <w:r>
              <w:rPr>
                <w:color w:val="auto"/>
              </w:rPr>
              <w:t>。</w:t>
            </w:r>
          </w:p>
          <w:p>
            <w:r>
              <w:rPr>
                <w:rFonts w:hint="eastAsia"/>
              </w:rPr>
              <w:t>2</w:t>
            </w:r>
            <w:r>
              <w:t>1</w:t>
            </w:r>
            <w:r>
              <w:rPr>
                <w:rFonts w:hint="eastAsia"/>
              </w:rPr>
              <w:t>.所投产品具备CCC、中国节能认证证书及环境标识II型证书（</w:t>
            </w:r>
            <w:r>
              <w:rPr>
                <w:rFonts w:hint="eastAsia"/>
                <w:b/>
                <w:bCs/>
              </w:rPr>
              <w:t>提供官网截图证明或相关证书证明，并加盖投标人公章）</w:t>
            </w:r>
          </w:p>
        </w:tc>
        <w:tc>
          <w:tcPr>
            <w:tcW w:w="636" w:type="dxa"/>
            <w:vAlign w:val="center"/>
          </w:tcPr>
          <w:p>
            <w:r>
              <w:rPr>
                <w:rFonts w:hint="eastAsia"/>
              </w:rPr>
              <w:t>8.</w:t>
            </w:r>
            <w:r>
              <w:t>29</w:t>
            </w:r>
          </w:p>
        </w:tc>
        <w:tc>
          <w:tcPr>
            <w:tcW w:w="457" w:type="dxa"/>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6" w:hRule="atLeast"/>
        </w:trPr>
        <w:tc>
          <w:tcPr>
            <w:tcW w:w="457" w:type="dxa"/>
            <w:vAlign w:val="center"/>
          </w:tcPr>
          <w:p>
            <w:r>
              <w:rPr>
                <w:rFonts w:hint="eastAsia"/>
              </w:rPr>
              <w:t>2</w:t>
            </w:r>
          </w:p>
        </w:tc>
        <w:tc>
          <w:tcPr>
            <w:tcW w:w="770" w:type="dxa"/>
            <w:vAlign w:val="center"/>
          </w:tcPr>
          <w:p>
            <w:pPr>
              <w:jc w:val="center"/>
            </w:pPr>
            <w:r>
              <w:rPr>
                <w:rFonts w:hint="eastAsia"/>
              </w:rPr>
              <w:t>视频处理器</w:t>
            </w:r>
          </w:p>
        </w:tc>
        <w:tc>
          <w:tcPr>
            <w:tcW w:w="6200" w:type="dxa"/>
          </w:tcPr>
          <w:p>
            <w:r>
              <w:rPr>
                <w:rFonts w:hint="eastAsia"/>
              </w:rPr>
              <w:t>1.采用主控板加输入和输出板的结构，包含LED发送卡。</w:t>
            </w:r>
          </w:p>
          <w:p>
            <w:r>
              <w:t>2.</w:t>
            </w:r>
            <w:r>
              <w:rPr>
                <w:rFonts w:hint="eastAsia"/>
              </w:rPr>
              <w:t>支持输入输出板卡混插，能够在多个显示终端上同时显示多个动态画面，设备至少11槽位机箱支持双主控热备，设备至少支持 1+1 电源热备，项目标配至少1个主控板和至少1个电源。</w:t>
            </w:r>
          </w:p>
          <w:p>
            <w:r>
              <w:t>3.</w:t>
            </w:r>
            <w:r>
              <w:rPr>
                <w:rFonts w:hint="eastAsia"/>
              </w:rPr>
              <w:t>配置4个HDMI 输出接口</w:t>
            </w:r>
            <w:r>
              <w:t>，</w:t>
            </w:r>
            <w:r>
              <w:rPr>
                <w:rFonts w:hint="eastAsia"/>
              </w:rPr>
              <w:t>支持复合音频输出 。</w:t>
            </w:r>
          </w:p>
          <w:p>
            <w:r>
              <w:rPr>
                <w:rFonts w:hint="eastAsia"/>
              </w:rPr>
              <w:t>输出分辨率：1920ⅹ1200@60 HZ、1600ⅹ1200@60 Hz、1920ⅹ1080@60 Hz、1680ⅹ1050@60 Hz、 1280ⅹ720@60 Hz、1280ⅹ1024@60 Hz、1024ⅹ768@60 Hz， 支持 LED屏幕，支持自定义分辨率输出，支持 60 Hz 带载输出,260 W 带载的宽度范围 288~4096，高度范围是 288~2160。</w:t>
            </w:r>
          </w:p>
          <w:p>
            <w:r>
              <w:t>4</w:t>
            </w:r>
            <w:r>
              <w:rPr>
                <w:rFonts w:hint="eastAsia"/>
              </w:rPr>
              <w:t>.配置</w:t>
            </w:r>
            <w:r>
              <w:t>4</w:t>
            </w:r>
            <w:r>
              <w:rPr>
                <w:rFonts w:hint="eastAsia"/>
              </w:rPr>
              <w:t>个HDMI 输入接口，支持复合音频输入 。</w:t>
            </w:r>
          </w:p>
          <w:p>
            <w:pPr>
              <w:rPr>
                <w:b/>
                <w:bCs/>
              </w:rPr>
            </w:pPr>
            <w:r>
              <w:t>5.</w:t>
            </w:r>
            <w:r>
              <w:rPr>
                <w:rFonts w:hint="eastAsia"/>
              </w:rPr>
              <w:t>★抓屏上墙：通过抓屏软件可将远程笔记本桌面实时解码上墙显示，实时画面帧率≥30fps；可同时抓取8个4K信号上墙显示，且上墙前后CPU占用率无明显变化；支持在电视墙进行8画面分割显示；可对远程笔记本桌面进行整屏、单窗口、自定义区域抓屏上墙；（</w:t>
            </w:r>
            <w:r>
              <w:rPr>
                <w:rFonts w:hint="eastAsia"/>
                <w:b/>
                <w:bCs/>
              </w:rPr>
              <w:t>提供公安部出具的型式检验报告</w:t>
            </w:r>
            <w:r>
              <w:rPr>
                <w:b/>
                <w:bCs/>
              </w:rPr>
              <w:t>扫描</w:t>
            </w:r>
            <w:r>
              <w:rPr>
                <w:rFonts w:hint="eastAsia"/>
                <w:b/>
                <w:bCs/>
              </w:rPr>
              <w:t>件加盖投标人公章）</w:t>
            </w:r>
          </w:p>
          <w:p>
            <w:pPr>
              <w:rPr>
                <w:b/>
                <w:bCs/>
              </w:rPr>
            </w:pPr>
            <w:r>
              <w:t>6</w:t>
            </w:r>
            <w:r>
              <w:rPr>
                <w:rFonts w:hint="eastAsia"/>
              </w:rPr>
              <w:t>.支持对多路信号源输入的视频融合拼接，支持分辨率为15360×8640的信号源同步上墙显示，同步延时≤2ms</w:t>
            </w:r>
            <w:r>
              <w:rPr>
                <w:rFonts w:hint="eastAsia"/>
                <w:b/>
                <w:bCs/>
              </w:rPr>
              <w:t>（提供公安部出具的型式检验报告</w:t>
            </w:r>
            <w:r>
              <w:rPr>
                <w:b/>
                <w:bCs/>
              </w:rPr>
              <w:t>扫描</w:t>
            </w:r>
            <w:r>
              <w:rPr>
                <w:rFonts w:hint="eastAsia"/>
                <w:b/>
                <w:bCs/>
              </w:rPr>
              <w:t>件加盖投标人公章）</w:t>
            </w:r>
          </w:p>
          <w:p>
            <w:r>
              <w:rPr>
                <w:rFonts w:hint="eastAsia"/>
              </w:rPr>
              <w:t>可通过客户端软件对信号源边缘进行裁剪，裁剪位置上、下、左、右可调整</w:t>
            </w:r>
          </w:p>
          <w:p>
            <w:pPr>
              <w:rPr>
                <w:rFonts w:hint="eastAsia"/>
                <w:b/>
                <w:bCs/>
              </w:rPr>
            </w:pPr>
            <w:r>
              <w:t>7</w:t>
            </w:r>
            <w:r>
              <w:rPr>
                <w:rFonts w:hint="eastAsia"/>
              </w:rPr>
              <w:t>.支持风扇热插拔，可根据环境温度自适应调整风扇转速，当１路输入输出板卡故障或被拔出时，样机可正常工作</w:t>
            </w:r>
            <w:r>
              <w:rPr>
                <w:rFonts w:hint="eastAsia"/>
                <w:b/>
                <w:bCs/>
              </w:rPr>
              <w:t>（提供公安部出具的型式检验报告</w:t>
            </w:r>
            <w:r>
              <w:rPr>
                <w:b/>
                <w:bCs/>
              </w:rPr>
              <w:t>扫描</w:t>
            </w:r>
            <w:r>
              <w:rPr>
                <w:rFonts w:hint="eastAsia"/>
                <w:b/>
                <w:bCs/>
              </w:rPr>
              <w:t>件加盖投标人公章）</w:t>
            </w:r>
          </w:p>
          <w:p>
            <w:pPr>
              <w:rPr>
                <w:rFonts w:hint="eastAsia"/>
              </w:rPr>
            </w:pPr>
            <w:r>
              <w:rPr>
                <w:rFonts w:hint="eastAsia"/>
              </w:rPr>
              <w:t>8.智能缩放功能：缩放后视频图像边缘无锯齿</w:t>
            </w:r>
          </w:p>
          <w:p>
            <w:pPr>
              <w:rPr>
                <w:rFonts w:hint="eastAsia"/>
              </w:rPr>
            </w:pPr>
            <w:r>
              <w:rPr>
                <w:rFonts w:hint="eastAsia"/>
              </w:rPr>
              <w:t>9.信号传输画面无肉眼可见的失真</w:t>
            </w:r>
          </w:p>
          <w:p>
            <w:pPr>
              <w:rPr>
                <w:b/>
                <w:bCs/>
              </w:rPr>
            </w:pPr>
            <w:r>
              <w:rPr>
                <w:rFonts w:hint="eastAsia"/>
              </w:rPr>
              <w:t>10.断电保护：可自动保存断电前的运行参数，重新加电后可恢复到断电前的状态</w:t>
            </w:r>
            <w:r>
              <w:rPr>
                <w:rFonts w:hint="eastAsia"/>
                <w:b/>
                <w:bCs/>
              </w:rPr>
              <w:t>（提供公安部出具的型式检验报告</w:t>
            </w:r>
            <w:r>
              <w:rPr>
                <w:b/>
                <w:bCs/>
              </w:rPr>
              <w:t>扫描</w:t>
            </w:r>
            <w:r>
              <w:rPr>
                <w:rFonts w:hint="eastAsia"/>
                <w:b/>
                <w:bCs/>
              </w:rPr>
              <w:t>件加盖投标人公章）</w:t>
            </w:r>
          </w:p>
          <w:p>
            <w:r>
              <w:rPr>
                <w:rFonts w:hint="eastAsia"/>
              </w:rPr>
              <w:t>11.▲为保证系统的兼容及稳定性，视频处理器厂家与LED显示屏厂家应为同一制造商。</w:t>
            </w:r>
          </w:p>
          <w:p>
            <w:r>
              <w:rPr>
                <w:rFonts w:hint="eastAsia"/>
              </w:rPr>
              <w:t>12</w:t>
            </w:r>
            <w:r>
              <w:t>.</w:t>
            </w:r>
            <w:r>
              <w:rPr>
                <w:rFonts w:hint="eastAsia"/>
              </w:rPr>
              <w:t>提供相关软件著作权证书扫描件加盖公章。</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3</w:t>
            </w:r>
          </w:p>
        </w:tc>
        <w:tc>
          <w:tcPr>
            <w:tcW w:w="770" w:type="dxa"/>
            <w:vAlign w:val="center"/>
          </w:tcPr>
          <w:p>
            <w:pPr>
              <w:jc w:val="center"/>
            </w:pPr>
            <w:r>
              <w:rPr>
                <w:rFonts w:hint="eastAsia"/>
              </w:rPr>
              <w:t>大屏配电柜</w:t>
            </w:r>
          </w:p>
        </w:tc>
        <w:tc>
          <w:tcPr>
            <w:tcW w:w="6200" w:type="dxa"/>
            <w:vAlign w:val="center"/>
          </w:tcPr>
          <w:p>
            <w:r>
              <w:rPr>
                <w:rFonts w:hint="eastAsia"/>
              </w:rPr>
              <w:t>1.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p>
          <w:p>
            <w:pPr>
              <w:rPr>
                <w:b/>
                <w:bCs/>
              </w:rPr>
            </w:pPr>
            <w:r>
              <w:rPr>
                <w:rFonts w:hint="eastAsia"/>
              </w:rPr>
              <w:t>2. 配电柜具有PLC自动控制功能，可实现远程开关机，</w:t>
            </w:r>
            <w:r>
              <w:rPr>
                <w:rFonts w:hint="eastAsia"/>
                <w:b/>
                <w:bCs/>
              </w:rPr>
              <w:t>需提供提供官网截图或相关证书证明，并加盖投标人公章</w:t>
            </w:r>
            <w:r>
              <w:rPr>
                <w:b/>
                <w:bCs/>
              </w:rPr>
              <w:t>。</w:t>
            </w:r>
          </w:p>
          <w:p>
            <w:r>
              <w:rPr>
                <w:rFonts w:hint="eastAsia"/>
                <w:b/>
                <w:bCs/>
              </w:rPr>
              <w:t>3.提供配电柜CQC证书</w:t>
            </w:r>
            <w:r>
              <w:rPr>
                <w:b/>
                <w:bCs/>
              </w:rPr>
              <w:t>证明并</w:t>
            </w:r>
            <w:r>
              <w:rPr>
                <w:rFonts w:hint="eastAsia"/>
              </w:rPr>
              <w:t>加盖投标人公章</w:t>
            </w:r>
            <w:r>
              <w:t>。</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4</w:t>
            </w:r>
          </w:p>
        </w:tc>
        <w:tc>
          <w:tcPr>
            <w:tcW w:w="770" w:type="dxa"/>
            <w:vAlign w:val="center"/>
          </w:tcPr>
          <w:p>
            <w:pPr>
              <w:jc w:val="center"/>
            </w:pPr>
            <w:r>
              <w:rPr>
                <w:rFonts w:hint="eastAsia"/>
              </w:rPr>
              <w:t>平板电脑</w:t>
            </w:r>
          </w:p>
        </w:tc>
        <w:tc>
          <w:tcPr>
            <w:tcW w:w="6200" w:type="dxa"/>
            <w:vAlign w:val="center"/>
          </w:tcPr>
          <w:p>
            <w:r>
              <w:rPr>
                <w:rFonts w:hint="eastAsia"/>
              </w:rPr>
              <w:t>10.2英寸电容式触摸屏多点式触摸；分辨率≥2160*1620；连接方式：Wi-Fi；后置摄像头：800W；前置摄像头：1200W；麦克风≥2个；扬声器≥2个；存储容量：≥32GB；</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5</w:t>
            </w:r>
          </w:p>
        </w:tc>
        <w:tc>
          <w:tcPr>
            <w:tcW w:w="770" w:type="dxa"/>
            <w:vAlign w:val="center"/>
          </w:tcPr>
          <w:p>
            <w:pPr>
              <w:jc w:val="center"/>
            </w:pPr>
            <w:r>
              <w:rPr>
                <w:rFonts w:hint="eastAsia"/>
              </w:rPr>
              <w:t>大屏安装支架</w:t>
            </w:r>
          </w:p>
        </w:tc>
        <w:tc>
          <w:tcPr>
            <w:tcW w:w="6200" w:type="dxa"/>
            <w:vAlign w:val="center"/>
          </w:tcPr>
          <w:p>
            <w:r>
              <w:rPr>
                <w:rFonts w:hint="eastAsia"/>
              </w:rPr>
              <w:t>大屏钢结构基础安装</w:t>
            </w:r>
          </w:p>
        </w:tc>
        <w:tc>
          <w:tcPr>
            <w:tcW w:w="636" w:type="dxa"/>
            <w:vAlign w:val="center"/>
          </w:tcPr>
          <w:p>
            <w:r>
              <w:rPr>
                <w:rFonts w:hint="eastAsia"/>
              </w:rPr>
              <w:t>8.</w:t>
            </w:r>
            <w:r>
              <w:t>29</w:t>
            </w:r>
          </w:p>
        </w:tc>
        <w:tc>
          <w:tcPr>
            <w:tcW w:w="457" w:type="dxa"/>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6</w:t>
            </w:r>
          </w:p>
        </w:tc>
        <w:tc>
          <w:tcPr>
            <w:tcW w:w="770" w:type="dxa"/>
            <w:vAlign w:val="center"/>
          </w:tcPr>
          <w:p>
            <w:pPr>
              <w:jc w:val="center"/>
            </w:pPr>
            <w:r>
              <w:rPr>
                <w:rFonts w:hint="eastAsia"/>
              </w:rPr>
              <w:t>包边</w:t>
            </w:r>
          </w:p>
        </w:tc>
        <w:tc>
          <w:tcPr>
            <w:tcW w:w="6200" w:type="dxa"/>
            <w:vAlign w:val="center"/>
          </w:tcPr>
          <w:p>
            <w:r>
              <w:rPr>
                <w:rFonts w:hint="eastAsia"/>
              </w:rPr>
              <w:t>大屏四周304不锈钢包边</w:t>
            </w:r>
          </w:p>
        </w:tc>
        <w:tc>
          <w:tcPr>
            <w:tcW w:w="636" w:type="dxa"/>
            <w:vAlign w:val="center"/>
          </w:tcPr>
          <w:p>
            <w:r>
              <w:rPr>
                <w:rFonts w:hint="eastAsia"/>
              </w:rPr>
              <w:t>1</w:t>
            </w:r>
          </w:p>
        </w:tc>
        <w:tc>
          <w:tcPr>
            <w:tcW w:w="457" w:type="dxa"/>
            <w:vAlign w:val="center"/>
          </w:tcPr>
          <w:p>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7</w:t>
            </w:r>
          </w:p>
        </w:tc>
        <w:tc>
          <w:tcPr>
            <w:tcW w:w="770" w:type="dxa"/>
            <w:vAlign w:val="center"/>
          </w:tcPr>
          <w:p>
            <w:pPr>
              <w:jc w:val="center"/>
            </w:pPr>
            <w:r>
              <w:rPr>
                <w:rFonts w:hint="eastAsia"/>
              </w:rPr>
              <w:t>主电缆</w:t>
            </w:r>
          </w:p>
        </w:tc>
        <w:tc>
          <w:tcPr>
            <w:tcW w:w="6200" w:type="dxa"/>
            <w:vAlign w:val="center"/>
          </w:tcPr>
          <w:p>
            <w:r>
              <w:rPr>
                <w:rFonts w:hint="eastAsia"/>
              </w:rPr>
              <w:t>5*6平方电缆，308会议室到强电间</w:t>
            </w:r>
          </w:p>
        </w:tc>
        <w:tc>
          <w:tcPr>
            <w:tcW w:w="636" w:type="dxa"/>
            <w:vAlign w:val="center"/>
          </w:tcPr>
          <w:p>
            <w:r>
              <w:rPr>
                <w:rFonts w:hint="eastAsia"/>
              </w:rPr>
              <w:t>1</w:t>
            </w:r>
          </w:p>
        </w:tc>
        <w:tc>
          <w:tcPr>
            <w:tcW w:w="457" w:type="dxa"/>
            <w:vAlign w:val="center"/>
          </w:tcPr>
          <w:p>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8</w:t>
            </w:r>
          </w:p>
        </w:tc>
        <w:tc>
          <w:tcPr>
            <w:tcW w:w="770" w:type="dxa"/>
            <w:vAlign w:val="center"/>
          </w:tcPr>
          <w:p>
            <w:pPr>
              <w:jc w:val="center"/>
            </w:pPr>
            <w:r>
              <w:rPr>
                <w:rFonts w:hint="eastAsia"/>
              </w:rPr>
              <w:t>无线投屏器</w:t>
            </w:r>
          </w:p>
        </w:tc>
        <w:tc>
          <w:tcPr>
            <w:tcW w:w="6200" w:type="dxa"/>
            <w:vAlign w:val="center"/>
          </w:tcPr>
          <w:p>
            <w:r>
              <w:rPr>
                <w:rFonts w:hint="eastAsia"/>
              </w:rPr>
              <w:t>支持电脑、手机、PAD无线投屏、支持4分屏展示应用等功能</w:t>
            </w:r>
          </w:p>
          <w:p>
            <w:r>
              <w:rPr>
                <w:rFonts w:hint="eastAsia"/>
              </w:rPr>
              <w:t>含1个无线投屏器及1个无线接收盒</w:t>
            </w:r>
          </w:p>
          <w:p>
            <w:r>
              <w:rPr>
                <w:rFonts w:hint="eastAsia"/>
              </w:rPr>
              <w:t>1、无线投屏器：</w:t>
            </w:r>
          </w:p>
          <w:p>
            <w:r>
              <w:rPr>
                <w:rFonts w:hint="eastAsia"/>
              </w:rPr>
              <w:t>配置安装：USB接口，免配置，免安装，自动连接，自动运行</w:t>
            </w:r>
          </w:p>
          <w:p>
            <w:r>
              <w:rPr>
                <w:rFonts w:hint="eastAsia"/>
              </w:rPr>
              <w:t>支持系统：Windows7/8/10 , IOS 8.0以上，分辨率：1080P，帧率：30fps，传输延迟：&lt; 200 ms</w:t>
            </w:r>
          </w:p>
          <w:p>
            <w:r>
              <w:rPr>
                <w:rFonts w:hint="eastAsia"/>
              </w:rPr>
              <w:t>触控回传：支持10点触摸回传（Windows 、 Mac），支持鼠标模式回传 （Windows，Mac）</w:t>
            </w:r>
          </w:p>
          <w:p>
            <w:r>
              <w:rPr>
                <w:rFonts w:hint="eastAsia"/>
              </w:rPr>
              <w:t>WIFI 类型：2.4G/5G 双频WIFI</w:t>
            </w:r>
          </w:p>
          <w:p>
            <w:r>
              <w:rPr>
                <w:rFonts w:hint="eastAsia"/>
              </w:rPr>
              <w:t>2、无线接收盒：</w:t>
            </w:r>
          </w:p>
          <w:p>
            <w:r>
              <w:rPr>
                <w:rFonts w:hint="eastAsia"/>
              </w:rPr>
              <w:t>主控： Cortex-A17 ，1.8 Ghz， 2G DDR3，存储空间：8G</w:t>
            </w:r>
          </w:p>
          <w:p>
            <w:r>
              <w:rPr>
                <w:rFonts w:hint="eastAsia"/>
              </w:rPr>
              <w:t>操作系统：Android 5.1，接口：HDMI out ×1，USB×2，RJ45×1，耳机×1，TF扩展（最大 64G）×1，支持分辨率：720P/1080P/2K/4K，支持比例：4:3,16:9 （特殊比例可手动匹配）</w:t>
            </w:r>
          </w:p>
          <w:p>
            <w:r>
              <w:rPr>
                <w:rFonts w:hint="eastAsia"/>
              </w:rPr>
              <w:t>WIFI 类型：2.4G/5G 双频WIFI，无线传输协议无线速率： &gt; 200 Mbps *2，无线传输协议： IEEE 802.11 a/g/n/ac （双AC通道），Wifi工作模式：STA与 AP 同时工作，加密： AES</w:t>
            </w:r>
          </w:p>
          <w:p>
            <w:r>
              <w:rPr>
                <w:rFonts w:hint="eastAsia"/>
              </w:rPr>
              <w:t>视频解码：Support H263,H.264,H265，VP8，RV，WMV，AVS，MPEG4</w:t>
            </w:r>
          </w:p>
          <w:p>
            <w:r>
              <w:rPr>
                <w:rFonts w:hint="eastAsia"/>
              </w:rPr>
              <w:t>触控支持：USB HID接口，鼠标，红外触控，电容触控，激光触控</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9</w:t>
            </w:r>
          </w:p>
        </w:tc>
        <w:tc>
          <w:tcPr>
            <w:tcW w:w="770" w:type="dxa"/>
            <w:vAlign w:val="center"/>
          </w:tcPr>
          <w:p>
            <w:pPr>
              <w:jc w:val="center"/>
            </w:pPr>
            <w:r>
              <w:rPr>
                <w:rFonts w:hint="eastAsia"/>
              </w:rPr>
              <w:t>大屏辅材</w:t>
            </w:r>
          </w:p>
        </w:tc>
        <w:tc>
          <w:tcPr>
            <w:tcW w:w="6200" w:type="dxa"/>
            <w:vAlign w:val="center"/>
          </w:tcPr>
          <w:p>
            <w:r>
              <w:rPr>
                <w:rFonts w:hint="eastAsia"/>
              </w:rPr>
              <w:t>包含PVC线管、线槽、屏体供电国标线缆、六类非屏蔽网线等材料</w:t>
            </w:r>
          </w:p>
        </w:tc>
        <w:tc>
          <w:tcPr>
            <w:tcW w:w="636" w:type="dxa"/>
            <w:vAlign w:val="center"/>
          </w:tcPr>
          <w:p>
            <w:r>
              <w:rPr>
                <w:rFonts w:hint="eastAsia"/>
              </w:rPr>
              <w:t>1</w:t>
            </w:r>
          </w:p>
        </w:tc>
        <w:tc>
          <w:tcPr>
            <w:tcW w:w="457" w:type="dxa"/>
            <w:vAlign w:val="center"/>
          </w:tcPr>
          <w:p>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10</w:t>
            </w:r>
          </w:p>
        </w:tc>
        <w:tc>
          <w:tcPr>
            <w:tcW w:w="770" w:type="dxa"/>
            <w:vAlign w:val="center"/>
          </w:tcPr>
          <w:p>
            <w:pPr>
              <w:jc w:val="center"/>
            </w:pPr>
            <w:r>
              <w:rPr>
                <w:rFonts w:hint="eastAsia"/>
              </w:rPr>
              <w:t>背景改造</w:t>
            </w:r>
          </w:p>
        </w:tc>
        <w:tc>
          <w:tcPr>
            <w:tcW w:w="6200" w:type="dxa"/>
            <w:vAlign w:val="center"/>
          </w:tcPr>
          <w:p>
            <w:r>
              <w:rPr>
                <w:rFonts w:hint="eastAsia"/>
              </w:rPr>
              <w:t>定制</w:t>
            </w:r>
          </w:p>
        </w:tc>
        <w:tc>
          <w:tcPr>
            <w:tcW w:w="636" w:type="dxa"/>
            <w:vAlign w:val="center"/>
          </w:tcPr>
          <w:p>
            <w:r>
              <w:rPr>
                <w:rFonts w:hint="eastAsia"/>
              </w:rPr>
              <w:t>1</w:t>
            </w:r>
          </w:p>
        </w:tc>
        <w:tc>
          <w:tcPr>
            <w:tcW w:w="457" w:type="dxa"/>
            <w:vAlign w:val="center"/>
          </w:tcPr>
          <w:p>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8520" w:type="dxa"/>
            <w:gridSpan w:val="5"/>
            <w:vAlign w:val="center"/>
          </w:tcPr>
          <w:p>
            <w:pPr>
              <w:rPr>
                <w:b/>
                <w:bCs/>
              </w:rPr>
            </w:pPr>
            <w:r>
              <w:rPr>
                <w:rFonts w:hint="eastAsia"/>
                <w:b/>
                <w:bCs/>
              </w:rPr>
              <w:t>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1</w:t>
            </w:r>
          </w:p>
        </w:tc>
        <w:tc>
          <w:tcPr>
            <w:tcW w:w="770" w:type="dxa"/>
            <w:vAlign w:val="center"/>
          </w:tcPr>
          <w:p>
            <w:pPr>
              <w:jc w:val="center"/>
            </w:pPr>
            <w:r>
              <w:rPr>
                <w:rFonts w:hint="eastAsia"/>
              </w:rPr>
              <w:t>流媒体网关</w:t>
            </w:r>
          </w:p>
        </w:tc>
        <w:tc>
          <w:tcPr>
            <w:tcW w:w="6200" w:type="dxa"/>
            <w:vAlign w:val="center"/>
          </w:tcPr>
          <w:p>
            <w:r>
              <w:rPr>
                <w:rFonts w:hint="eastAsia"/>
              </w:rPr>
              <w:t>1</w:t>
            </w:r>
            <w:r>
              <w:t>.</w:t>
            </w:r>
            <w:r>
              <w:rPr>
                <w:rFonts w:hint="eastAsia"/>
              </w:rPr>
              <w:t>产品需内置MGC组件</w:t>
            </w:r>
            <w:r>
              <w:t>；</w:t>
            </w:r>
          </w:p>
          <w:p>
            <w:r>
              <w:t>2</w:t>
            </w:r>
            <w:r>
              <w:rPr>
                <w:rFonts w:hint="eastAsia"/>
              </w:rPr>
              <w:t>．媒体能力要求：支持预览、回放、下载、定位、倍速、缩略图、转封装、转码；</w:t>
            </w:r>
          </w:p>
          <w:p>
            <w:r>
              <w:t>3.</w:t>
            </w:r>
            <w:r>
              <w:rPr>
                <w:rFonts w:hint="eastAsia"/>
              </w:rPr>
              <w:t>标准流媒体协议：支持标准RTSP协议、HLS协议、RTMP协议、WebSocket协议、HTTPFLV协议对接取流，支持无控件播放；</w:t>
            </w:r>
          </w:p>
          <w:p>
            <w:r>
              <w:rPr>
                <w:rFonts w:hint="eastAsia"/>
              </w:rPr>
              <w:t>4.视频上云推流要求：支持以RTMP协议将视频推送到云端；</w:t>
            </w:r>
          </w:p>
          <w:p>
            <w:r>
              <w:rPr>
                <w:rFonts w:hint="eastAsia"/>
              </w:rPr>
              <w:t>5.转码能力要求：支持H.264、H.265互转，支持非标码流转码成标准码流；支持H264/H265转国标码流：48路1080P@30fps4Mbps /96路720P@30fps2Mbps/96路D1@30fps1Mbps；</w:t>
            </w:r>
          </w:p>
          <w:p>
            <w:r>
              <w:t>6.</w:t>
            </w:r>
            <w:r>
              <w:rPr>
                <w:rFonts w:hint="eastAsia"/>
              </w:rPr>
              <w:t>CPU：≥3.7GHz 8核 ，转码模块：≥3个，内存容量</w:t>
            </w:r>
            <w:r>
              <w:t>：</w:t>
            </w:r>
            <w:r>
              <w:rPr>
                <w:rFonts w:hint="eastAsia"/>
              </w:rPr>
              <w:t>≥32G</w:t>
            </w:r>
          </w:p>
          <w:p>
            <w:r>
              <w:rPr>
                <w:rFonts w:hint="eastAsia"/>
              </w:rPr>
              <w:t>硬盘容量：≥256G SSD ，网口：10/100/1000M自适应电口≥</w:t>
            </w:r>
            <w:r>
              <w:t>3</w:t>
            </w:r>
            <w:r>
              <w:rPr>
                <w:rFonts w:hint="eastAsia"/>
              </w:rPr>
              <w:t>个，10/100/1000M自适应光口≥2 个</w:t>
            </w:r>
            <w:r>
              <w:t>。</w:t>
            </w:r>
          </w:p>
          <w:p>
            <w:r>
              <w:rPr>
                <w:rFonts w:hint="eastAsia"/>
              </w:rPr>
              <w:t>7.视频输出接口：VGA*1、HDMI*1，USB接口：USB 3.0 × 2 ，配置电源数量：≥2</w:t>
            </w:r>
            <w:r>
              <w:t>。</w:t>
            </w:r>
          </w:p>
          <w:p>
            <w:pPr>
              <w:rPr>
                <w:b/>
                <w:bCs/>
              </w:rPr>
            </w:pPr>
            <w:r>
              <w:rPr>
                <w:rFonts w:hint="eastAsia"/>
              </w:rPr>
              <w:t>8.系统支持国标协议上下级平台级联，支持流媒体集群配置</w:t>
            </w:r>
            <w:r>
              <w:rPr>
                <w:rFonts w:hint="eastAsia"/>
                <w:b/>
                <w:bCs/>
              </w:rPr>
              <w:t>（需提供公安部检验报告</w:t>
            </w:r>
            <w:r>
              <w:rPr>
                <w:b/>
                <w:bCs/>
              </w:rPr>
              <w:t>扫描</w:t>
            </w:r>
            <w:r>
              <w:rPr>
                <w:rFonts w:hint="eastAsia"/>
                <w:b/>
                <w:bCs/>
              </w:rPr>
              <w:t>件并加盖投标人公章）</w:t>
            </w:r>
          </w:p>
          <w:p>
            <w:pPr>
              <w:rPr>
                <w:b/>
                <w:bCs/>
              </w:rPr>
            </w:pPr>
            <w:r>
              <w:rPr>
                <w:rFonts w:hint="eastAsia"/>
              </w:rPr>
              <w:t>9.★系统要求支持AD域</w:t>
            </w:r>
            <w:r>
              <w:rPr>
                <w:rFonts w:hint="eastAsia"/>
                <w:b/>
                <w:bCs/>
              </w:rPr>
              <w:t>（需提供公安部检验报告</w:t>
            </w:r>
            <w:r>
              <w:rPr>
                <w:b/>
                <w:bCs/>
              </w:rPr>
              <w:t>扫描</w:t>
            </w:r>
            <w:r>
              <w:rPr>
                <w:rFonts w:hint="eastAsia"/>
                <w:b/>
                <w:bCs/>
              </w:rPr>
              <w:t>件并加盖投标人公章）</w:t>
            </w:r>
          </w:p>
          <w:p>
            <w:pPr>
              <w:rPr>
                <w:b/>
                <w:bCs/>
              </w:rPr>
            </w:pPr>
            <w:r>
              <w:rPr>
                <w:rFonts w:hint="eastAsia"/>
              </w:rPr>
              <w:t>10.系统支持服务异常的自动重启</w:t>
            </w:r>
            <w:r>
              <w:rPr>
                <w:rFonts w:hint="eastAsia"/>
                <w:b/>
                <w:bCs/>
              </w:rPr>
              <w:t>（需提供公安部检验报告</w:t>
            </w:r>
            <w:r>
              <w:rPr>
                <w:b/>
                <w:bCs/>
              </w:rPr>
              <w:t>扫描</w:t>
            </w:r>
            <w:r>
              <w:rPr>
                <w:rFonts w:hint="eastAsia"/>
                <w:b/>
                <w:bCs/>
              </w:rPr>
              <w:t>件并加盖投标人公章）</w:t>
            </w:r>
          </w:p>
          <w:p>
            <w:r>
              <w:t>11.</w:t>
            </w:r>
            <w:r>
              <w:rPr>
                <w:rFonts w:hint="eastAsia"/>
              </w:rPr>
              <w:t>★系统支持部署组件（服务）到服务器集群，并进行集群管理</w:t>
            </w:r>
            <w:r>
              <w:rPr>
                <w:rFonts w:hint="eastAsia"/>
                <w:b/>
                <w:bCs/>
              </w:rPr>
              <w:t>（需提供公安部检验报告</w:t>
            </w:r>
            <w:r>
              <w:rPr>
                <w:b/>
                <w:bCs/>
              </w:rPr>
              <w:t>扫描</w:t>
            </w:r>
            <w:r>
              <w:rPr>
                <w:rFonts w:hint="eastAsia"/>
                <w:b/>
                <w:bCs/>
              </w:rPr>
              <w:t>件并加盖投标人公章）</w:t>
            </w:r>
          </w:p>
          <w:p>
            <w:pPr>
              <w:rPr>
                <w:b/>
                <w:bCs/>
              </w:rPr>
            </w:pPr>
            <w:r>
              <w:rPr>
                <w:rFonts w:hint="eastAsia"/>
              </w:rPr>
              <w:t>12.★系统支持主/子码流切换和预览码流自适应功能，可按4/9/16分屏进行主子码流切换，低于配置的数时主码流预览，高于配置的数时自动切换为子码流</w:t>
            </w:r>
            <w:r>
              <w:rPr>
                <w:rFonts w:hint="eastAsia"/>
                <w:b/>
                <w:bCs/>
              </w:rPr>
              <w:t>（需提供公安部检验报告</w:t>
            </w:r>
            <w:r>
              <w:rPr>
                <w:b/>
                <w:bCs/>
              </w:rPr>
              <w:t>扫描</w:t>
            </w:r>
            <w:r>
              <w:rPr>
                <w:rFonts w:hint="eastAsia"/>
                <w:b/>
                <w:bCs/>
              </w:rPr>
              <w:t>件并加盖投标人公章）</w:t>
            </w:r>
          </w:p>
          <w:p>
            <w:r>
              <w:rPr>
                <w:rFonts w:hint="eastAsia"/>
              </w:rPr>
              <w:t>13. ★流媒体网关可</w:t>
            </w:r>
            <w:r>
              <w:rPr>
                <w:rFonts w:hint="eastAsia"/>
                <w:highlight w:val="none"/>
              </w:rPr>
              <w:t>支持</w:t>
            </w:r>
            <w:r>
              <w:rPr>
                <w:highlight w:val="none"/>
              </w:rPr>
              <w:t>有效</w:t>
            </w:r>
            <w:r>
              <w:rPr>
                <w:rFonts w:hint="eastAsia"/>
                <w:highlight w:val="none"/>
              </w:rPr>
              <w:t>接入现有安防系统，实现视频的转码和流媒体能力，</w:t>
            </w:r>
            <w:r>
              <w:rPr>
                <w:rFonts w:hint="eastAsia"/>
                <w:b/>
                <w:bCs/>
                <w:highlight w:val="none"/>
              </w:rPr>
              <w:t>需提供系统</w:t>
            </w:r>
            <w:r>
              <w:rPr>
                <w:b/>
                <w:bCs/>
                <w:highlight w:val="none"/>
              </w:rPr>
              <w:t>有效</w:t>
            </w:r>
            <w:r>
              <w:rPr>
                <w:rFonts w:hint="eastAsia"/>
                <w:b/>
                <w:bCs/>
                <w:highlight w:val="none"/>
              </w:rPr>
              <w:t>接</w:t>
            </w:r>
            <w:r>
              <w:rPr>
                <w:rFonts w:hint="eastAsia"/>
                <w:b/>
                <w:bCs/>
              </w:rPr>
              <w:t>入承诺函</w:t>
            </w:r>
            <w:r>
              <w:rPr>
                <w:rFonts w:hint="eastAsia"/>
              </w:rPr>
              <w:t>（如对接产生相关费用投标人自行承担）。</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2</w:t>
            </w:r>
          </w:p>
        </w:tc>
        <w:tc>
          <w:tcPr>
            <w:tcW w:w="770" w:type="dxa"/>
            <w:vAlign w:val="center"/>
          </w:tcPr>
          <w:p>
            <w:pPr>
              <w:jc w:val="center"/>
            </w:pPr>
            <w:r>
              <w:rPr>
                <w:rFonts w:hint="eastAsia"/>
              </w:rPr>
              <w:t>显示器</w:t>
            </w:r>
          </w:p>
        </w:tc>
        <w:tc>
          <w:tcPr>
            <w:tcW w:w="6200" w:type="dxa"/>
            <w:vAlign w:val="center"/>
          </w:tcPr>
          <w:p>
            <w:r>
              <w:rPr>
                <w:rFonts w:hint="eastAsia"/>
              </w:rPr>
              <w:t>23.8英寸</w:t>
            </w:r>
          </w:p>
          <w:p>
            <w:pPr>
              <w:pStyle w:val="12"/>
            </w:pPr>
            <w:r>
              <w:rPr>
                <w:rFonts w:hint="eastAsia"/>
                <w:sz w:val="21"/>
                <w:szCs w:val="21"/>
              </w:rPr>
              <w:t>★分辨率 ≥1920*1080 ，具备HDMI接口</w:t>
            </w:r>
          </w:p>
        </w:tc>
        <w:tc>
          <w:tcPr>
            <w:tcW w:w="636" w:type="dxa"/>
            <w:vAlign w:val="center"/>
          </w:tcPr>
          <w:p>
            <w:r>
              <w:rPr>
                <w:rFonts w:hint="eastAsia"/>
              </w:rPr>
              <w:t>10</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3</w:t>
            </w:r>
          </w:p>
        </w:tc>
        <w:tc>
          <w:tcPr>
            <w:tcW w:w="770" w:type="dxa"/>
            <w:vAlign w:val="center"/>
          </w:tcPr>
          <w:p>
            <w:pPr>
              <w:jc w:val="center"/>
            </w:pPr>
            <w:r>
              <w:rPr>
                <w:rFonts w:hint="eastAsia"/>
              </w:rPr>
              <w:t>会议白板</w:t>
            </w:r>
          </w:p>
        </w:tc>
        <w:tc>
          <w:tcPr>
            <w:tcW w:w="6200" w:type="dxa"/>
            <w:vAlign w:val="center"/>
          </w:tcPr>
          <w:p>
            <w:r>
              <w:t>1.</w:t>
            </w:r>
            <w:r>
              <w:rPr>
                <w:rFonts w:hint="eastAsia"/>
              </w:rPr>
              <w:t>98"，4K 超高清显示 ，超窄四等边框设计</w:t>
            </w:r>
            <w:r>
              <w:t>。</w:t>
            </w:r>
            <w:r>
              <w:rPr>
                <w:rFonts w:hint="eastAsia"/>
              </w:rPr>
              <w:t xml:space="preserve"> </w:t>
            </w:r>
          </w:p>
          <w:p>
            <w:r>
              <w:t>2.</w:t>
            </w:r>
            <w:r>
              <w:rPr>
                <w:rFonts w:hint="eastAsia"/>
              </w:rPr>
              <w:t>显示参数：显示尺寸：98 inch LED背光源，背光源类型：DLED</w:t>
            </w:r>
          </w:p>
          <w:p>
            <w:r>
              <w:rPr>
                <w:rFonts w:hint="eastAsia"/>
              </w:rPr>
              <w:t>物理分辨率：3840 × 2160，亮度：300 cd/m²，色深度：10 bit</w:t>
            </w:r>
          </w:p>
          <w:p>
            <w:r>
              <w:rPr>
                <w:rFonts w:hint="eastAsia"/>
              </w:rPr>
              <w:t>对比度：1300：1（Typ.），响应时间：8 ms，色域：72% NTSC（CIE1931）（Typ.），刷新率：60 Hz，可视角：178°(H)/178°(V)</w:t>
            </w:r>
          </w:p>
          <w:p>
            <w:r>
              <w:t>3.</w:t>
            </w:r>
            <w:r>
              <w:rPr>
                <w:rFonts w:hint="eastAsia"/>
              </w:rPr>
              <w:t>系统参数：操作系统：Android 11，CPU：2*A72+4*A53，主频1.8 GHz，内存：4 GB，内置存储：64 GB，网卡：内置千兆网卡，支持路由功能，双WiFi设计</w:t>
            </w:r>
            <w:r>
              <w:t>。</w:t>
            </w:r>
          </w:p>
          <w:p>
            <w:r>
              <w:t>4.</w:t>
            </w:r>
            <w:r>
              <w:rPr>
                <w:rFonts w:hint="eastAsia"/>
              </w:rPr>
              <w:t>触控参数：采用红外触控；双系统支持 20 点触控，20 笔同时书写；触控响应时间6ms，；具备防遮蔽功能，防光干扰设计，</w:t>
            </w:r>
            <w:r>
              <w:rPr>
                <w:rFonts w:hint="eastAsia"/>
                <w:b/>
                <w:bCs/>
              </w:rPr>
              <w:t>需提供带有 CNAS、CMA、CAL 标识的第三方检测报告</w:t>
            </w:r>
            <w:r>
              <w:rPr>
                <w:b/>
                <w:bCs/>
              </w:rPr>
              <w:t>扫描</w:t>
            </w:r>
            <w:r>
              <w:rPr>
                <w:rFonts w:hint="eastAsia"/>
                <w:b/>
                <w:bCs/>
              </w:rPr>
              <w:t>件证明</w:t>
            </w:r>
            <w:r>
              <w:rPr>
                <w:b/>
                <w:bCs/>
              </w:rPr>
              <w:t>。</w:t>
            </w:r>
          </w:p>
          <w:p>
            <w:r>
              <w:t>5.</w:t>
            </w:r>
            <w:r>
              <w:rPr>
                <w:rFonts w:hint="eastAsia"/>
              </w:rPr>
              <w:t>摄像头参数：像素：4800万，摄像头功能：支持Android系统与OPS间智能切换。</w:t>
            </w:r>
          </w:p>
          <w:p>
            <w:r>
              <w:t>6.</w:t>
            </w:r>
            <w:r>
              <w:rPr>
                <w:rFonts w:hint="eastAsia"/>
              </w:rPr>
              <w:t>麦克风参数：规格：全指向8阵列排布，麦克风功能：支持回声消除，智能降噪。拾音距离：12 m。</w:t>
            </w:r>
          </w:p>
          <w:p>
            <w:r>
              <w:t>7.</w:t>
            </w:r>
            <w:r>
              <w:rPr>
                <w:rFonts w:hint="eastAsia"/>
              </w:rPr>
              <w:t>双系统参数</w:t>
            </w:r>
            <w:r>
              <w:t>：</w:t>
            </w:r>
          </w:p>
          <w:p>
            <w:r>
              <w:rPr>
                <w:rFonts w:hint="eastAsia"/>
              </w:rPr>
              <w:t>整机支持Windows 和 Android双系统，Window</w:t>
            </w:r>
            <w:r>
              <w:t>s</w:t>
            </w:r>
            <w:r>
              <w:rPr>
                <w:rFonts w:hint="eastAsia"/>
              </w:rPr>
              <w:t>系统配置：CPU主频不低于2.9GHZ，六核心，256G固态硬盘，显卡显存频率不低于7GHz，蓝牙：Bluetooth 4.2，散热系统：双铜管 &amp; 双风扇。</w:t>
            </w:r>
          </w:p>
          <w:p>
            <w:r>
              <w:t>8.</w:t>
            </w:r>
            <w:r>
              <w:rPr>
                <w:rFonts w:hint="eastAsia"/>
              </w:rPr>
              <w:t>功能参数</w:t>
            </w:r>
            <w:r>
              <w:t>：</w:t>
            </w:r>
          </w:p>
          <w:p>
            <w:r>
              <w:rPr>
                <w:rFonts w:hint="eastAsia"/>
              </w:rPr>
              <w:t>支持无线传屏功能，手机电脑投屏，扩展模式投屏：Windows、macOS电脑客户端支持以扩展模式进行投屏，支持电脑非16:9电脑画面投屏，比例调节至全屏显示，支持4K分辨率；混合投屏：支持手机、PAD、电脑混合投屏。</w:t>
            </w:r>
          </w:p>
          <w:p>
            <w:pPr>
              <w:rPr>
                <w:b/>
                <w:bCs/>
              </w:rPr>
            </w:pPr>
            <w:r>
              <w:t>9.</w:t>
            </w:r>
            <w:r>
              <w:rPr>
                <w:rFonts w:hint="eastAsia"/>
              </w:rPr>
              <w:t>★白板内置浏览器：白板软件内支持浏览器搜索，长按网页中的图片插入白板，或截图插入；具备迎宾辞模板，支持在迎宾辞界面进行拍照、签名、书写，并直接生成二维码分享到手机、平板电脑移动端。</w:t>
            </w:r>
            <w:r>
              <w:rPr>
                <w:rFonts w:hint="eastAsia"/>
                <w:b/>
                <w:bCs/>
              </w:rPr>
              <w:t>需提供带有 CNAS、CMA、CAL 标识的第三方检测报告</w:t>
            </w:r>
            <w:r>
              <w:rPr>
                <w:b/>
                <w:bCs/>
              </w:rPr>
              <w:t>扫描</w:t>
            </w:r>
            <w:r>
              <w:rPr>
                <w:rFonts w:hint="eastAsia"/>
                <w:b/>
                <w:bCs/>
              </w:rPr>
              <w:t>件证明</w:t>
            </w:r>
            <w:r>
              <w:rPr>
                <w:b/>
                <w:bCs/>
              </w:rPr>
              <w:t>；</w:t>
            </w:r>
          </w:p>
          <w:p>
            <w:r>
              <w:t>10.</w:t>
            </w:r>
            <w:r>
              <w:rPr>
                <w:rFonts w:hint="eastAsia"/>
              </w:rPr>
              <w:t>办公软件：内置WPS办公软件，安卓系统下可直接打开并编辑office文档，如Word、Excel、PowetPoint、PDF格式文档</w:t>
            </w:r>
            <w:r>
              <w:t>。</w:t>
            </w:r>
          </w:p>
          <w:p>
            <w:r>
              <w:t>11.</w:t>
            </w:r>
            <w:r>
              <w:rPr>
                <w:rFonts w:hint="eastAsia"/>
              </w:rPr>
              <w:t>★解码能力：支持H.264，支持 4K(3840×2160)超高清视频，视频解码支持 3D数字梳状滤波器、3D图像运动降噪、3D 运动自适应、梳状滤波，Windows 及安卓双系统下支持纯硬件高清解码技术；</w:t>
            </w:r>
            <w:r>
              <w:rPr>
                <w:rFonts w:hint="eastAsia"/>
                <w:b/>
                <w:bCs/>
              </w:rPr>
              <w:t>需提供带有 CNAS、CMA、CAL 标识的第三方检测报告</w:t>
            </w:r>
            <w:r>
              <w:rPr>
                <w:b/>
                <w:bCs/>
              </w:rPr>
              <w:t>扫描</w:t>
            </w:r>
            <w:r>
              <w:rPr>
                <w:rFonts w:hint="eastAsia"/>
                <w:b/>
                <w:bCs/>
              </w:rPr>
              <w:t>件证明</w:t>
            </w:r>
            <w:r>
              <w:rPr>
                <w:b/>
                <w:bCs/>
              </w:rPr>
              <w:t>。</w:t>
            </w:r>
          </w:p>
          <w:p>
            <w:r>
              <w:t>12.</w:t>
            </w:r>
            <w:r>
              <w:rPr>
                <w:rFonts w:hint="eastAsia"/>
              </w:rPr>
              <w:t>★密码保护：提供密码保护功能，可对整机进行锁屏密码保护；也可对网络设置、高级设置进行密码保护；</w:t>
            </w:r>
            <w:r>
              <w:rPr>
                <w:rFonts w:hint="eastAsia"/>
                <w:b/>
                <w:bCs/>
              </w:rPr>
              <w:t>需提供带有 CNAS、CMA、CAL 标识的第三方检测报告</w:t>
            </w:r>
            <w:r>
              <w:rPr>
                <w:b/>
                <w:bCs/>
              </w:rPr>
              <w:t>扫描</w:t>
            </w:r>
            <w:r>
              <w:rPr>
                <w:rFonts w:hint="eastAsia"/>
                <w:b/>
                <w:bCs/>
              </w:rPr>
              <w:t>件证明</w:t>
            </w:r>
            <w:r>
              <w:rPr>
                <w:b/>
                <w:bCs/>
              </w:rPr>
              <w:t>。</w:t>
            </w:r>
          </w:p>
          <w:p>
            <w:pPr>
              <w:pStyle w:val="7"/>
            </w:pPr>
            <w:r>
              <w:t>13.</w:t>
            </w:r>
            <w:r>
              <w:rPr>
                <w:rFonts w:hint="eastAsia"/>
              </w:rPr>
              <w:t>所投产品的设计研发、生产制造由同一品牌厂家全权自主承担，非贴牌和委托其他工厂生产的代工产品</w:t>
            </w:r>
            <w:r>
              <w:rPr>
                <w:rFonts w:hint="eastAsia"/>
                <w:b/>
                <w:bCs/>
              </w:rPr>
              <w:t>（需提供相关证明材料或承诺函）</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4</w:t>
            </w:r>
          </w:p>
        </w:tc>
        <w:tc>
          <w:tcPr>
            <w:tcW w:w="770" w:type="dxa"/>
            <w:vAlign w:val="center"/>
          </w:tcPr>
          <w:p>
            <w:pPr>
              <w:jc w:val="center"/>
            </w:pPr>
            <w:r>
              <w:rPr>
                <w:rFonts w:hint="eastAsia"/>
              </w:rPr>
              <w:t>无线传屏器</w:t>
            </w:r>
          </w:p>
        </w:tc>
        <w:tc>
          <w:tcPr>
            <w:tcW w:w="6200" w:type="dxa"/>
            <w:vAlign w:val="center"/>
          </w:tcPr>
          <w:p>
            <w:r>
              <w:rPr>
                <w:rFonts w:hint="eastAsia"/>
              </w:rPr>
              <w:t>1. 整机内置接收模块，除无线传屏器外不需要连接任何附加设备，可实现外部电脑音视频信号实时传输到触摸一体机上（无论整机处于任何通道），并可支持触摸回传；</w:t>
            </w:r>
            <w:r>
              <w:rPr>
                <w:rFonts w:hint="eastAsia"/>
              </w:rPr>
              <w:br w:type="textWrapping"/>
            </w:r>
            <w:r>
              <w:rPr>
                <w:rFonts w:hint="eastAsia"/>
              </w:rPr>
              <w:t>2. 支持操作系统：Win7/Win8/Win8.1/Win10/Mac OS10.10及以上；</w:t>
            </w:r>
            <w:r>
              <w:rPr>
                <w:rFonts w:hint="eastAsia"/>
              </w:rPr>
              <w:br w:type="textWrapping"/>
            </w:r>
            <w:r>
              <w:rPr>
                <w:rFonts w:hint="eastAsia"/>
              </w:rPr>
              <w:t>3. 传输延迟≤90ms，帧率达到20fps-30fps；</w:t>
            </w:r>
            <w:r>
              <w:rPr>
                <w:rFonts w:hint="eastAsia"/>
              </w:rPr>
              <w:br w:type="textWrapping"/>
            </w:r>
            <w:r>
              <w:rPr>
                <w:rFonts w:hint="eastAsia"/>
              </w:rPr>
              <w:t>4. 无线频段：IEEE 802.11 a/b/g/n/ac，工作频率5G</w:t>
            </w:r>
          </w:p>
        </w:tc>
        <w:tc>
          <w:tcPr>
            <w:tcW w:w="636" w:type="dxa"/>
            <w:vAlign w:val="center"/>
          </w:tcPr>
          <w:p>
            <w:r>
              <w:rPr>
                <w:rFonts w:hint="eastAsia"/>
              </w:rPr>
              <w:t>1</w:t>
            </w:r>
          </w:p>
        </w:tc>
        <w:tc>
          <w:tcPr>
            <w:tcW w:w="457" w:type="dxa"/>
            <w:vAlign w:val="center"/>
          </w:tcPr>
          <w:p>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5</w:t>
            </w:r>
          </w:p>
        </w:tc>
        <w:tc>
          <w:tcPr>
            <w:tcW w:w="770" w:type="dxa"/>
            <w:vAlign w:val="center"/>
          </w:tcPr>
          <w:p>
            <w:pPr>
              <w:jc w:val="center"/>
            </w:pPr>
            <w:r>
              <w:rPr>
                <w:rFonts w:hint="eastAsia"/>
              </w:rPr>
              <w:t>壁挂支架</w:t>
            </w:r>
          </w:p>
        </w:tc>
        <w:tc>
          <w:tcPr>
            <w:tcW w:w="6200" w:type="dxa"/>
            <w:vAlign w:val="center"/>
          </w:tcPr>
          <w:p>
            <w:r>
              <w:rPr>
                <w:rFonts w:hint="eastAsia"/>
              </w:rPr>
              <w:t>壁挂支架，适配98 英寸商显</w:t>
            </w:r>
          </w:p>
        </w:tc>
        <w:tc>
          <w:tcPr>
            <w:tcW w:w="636" w:type="dxa"/>
            <w:vAlign w:val="center"/>
          </w:tcPr>
          <w:p>
            <w:r>
              <w:rPr>
                <w:rFonts w:hint="eastAsia"/>
              </w:rPr>
              <w:t>1</w:t>
            </w:r>
          </w:p>
        </w:tc>
        <w:tc>
          <w:tcPr>
            <w:tcW w:w="457" w:type="dxa"/>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7" w:type="dxa"/>
            <w:vAlign w:val="center"/>
          </w:tcPr>
          <w:p>
            <w:r>
              <w:rPr>
                <w:rFonts w:hint="eastAsia"/>
              </w:rPr>
              <w:t>6</w:t>
            </w:r>
          </w:p>
        </w:tc>
        <w:tc>
          <w:tcPr>
            <w:tcW w:w="770" w:type="dxa"/>
            <w:vAlign w:val="center"/>
          </w:tcPr>
          <w:p>
            <w:pPr>
              <w:jc w:val="center"/>
            </w:pPr>
            <w:r>
              <w:rPr>
                <w:rFonts w:hint="eastAsia"/>
              </w:rPr>
              <w:t>32寸自助取号机</w:t>
            </w:r>
          </w:p>
        </w:tc>
        <w:tc>
          <w:tcPr>
            <w:tcW w:w="6200" w:type="dxa"/>
            <w:vAlign w:val="center"/>
          </w:tcPr>
          <w:p>
            <w:r>
              <w:t>1.</w:t>
            </w:r>
            <w:r>
              <w:rPr>
                <w:rFonts w:hint="eastAsia"/>
              </w:rPr>
              <w:t xml:space="preserve">触摸取号机 </w:t>
            </w:r>
            <w:r>
              <w:t>：</w:t>
            </w:r>
            <w:r>
              <w:rPr>
                <w:rFonts w:hint="eastAsia"/>
              </w:rPr>
              <w:br w:type="textWrapping"/>
            </w:r>
            <w:r>
              <w:rPr>
                <w:rFonts w:hint="eastAsia"/>
              </w:rPr>
              <w:t>32寸液晶显示器、32寸超薄触摸屏、32寸一体排队专用机柜、</w:t>
            </w:r>
            <w:r>
              <w:rPr>
                <w:rFonts w:hint="eastAsia"/>
              </w:rPr>
              <w:br w:type="textWrapping"/>
            </w:r>
            <w:r>
              <w:rPr>
                <w:rFonts w:hint="eastAsia"/>
              </w:rPr>
              <w:t>高速热敏号票打印机；</w:t>
            </w:r>
          </w:p>
          <w:p>
            <w:r>
              <w:t>2.</w:t>
            </w:r>
            <w:r>
              <w:rPr>
                <w:rFonts w:hint="eastAsia"/>
              </w:rPr>
              <w:t>排队专用主机：</w:t>
            </w:r>
            <w:r>
              <w:rPr>
                <w:rFonts w:hint="eastAsia"/>
              </w:rPr>
              <w:br w:type="textWrapping"/>
            </w:r>
            <w:r>
              <w:rPr>
                <w:rFonts w:hint="eastAsia"/>
              </w:rPr>
              <w:t>工控主板，4G内存，64G固态硬盘</w:t>
            </w:r>
            <w:r>
              <w:rPr>
                <w:rFonts w:hint="eastAsia"/>
              </w:rPr>
              <w:br w:type="textWrapping"/>
            </w:r>
            <w:r>
              <w:rPr>
                <w:rFonts w:hint="eastAsia"/>
              </w:rPr>
              <w:t>预留身份证阅读器和二维码安装位置</w:t>
            </w:r>
            <w:r>
              <w:rPr>
                <w:rFonts w:hint="eastAsia"/>
              </w:rPr>
              <w:br w:type="textWrapping"/>
            </w:r>
            <w:r>
              <w:rPr>
                <w:rFonts w:hint="eastAsia"/>
              </w:rPr>
              <w:t>内置功放及两个防磁立体音响</w:t>
            </w:r>
            <w:r>
              <w:rPr>
                <w:rFonts w:hint="eastAsia"/>
              </w:rPr>
              <w:br w:type="textWrapping"/>
            </w:r>
            <w:r>
              <w:t>3.</w:t>
            </w:r>
            <w:r>
              <w:rPr>
                <w:rFonts w:hint="eastAsia"/>
              </w:rPr>
              <w:t>身份证阅读器</w:t>
            </w:r>
            <w:r>
              <w:t>：</w:t>
            </w:r>
          </w:p>
          <w:p>
            <w:r>
              <w:rPr>
                <w:rFonts w:hint="eastAsia"/>
              </w:rPr>
              <w:t>读卡系统： 二代三代身份证</w:t>
            </w:r>
            <w:r>
              <w:rPr>
                <w:rFonts w:hint="eastAsia"/>
              </w:rPr>
              <w:br w:type="textWrapping"/>
            </w:r>
            <w:r>
              <w:rPr>
                <w:rFonts w:hint="eastAsia"/>
              </w:rPr>
              <w:t>开发工具： SDK支持 Windows/Android/Linux平台</w:t>
            </w:r>
            <w:r>
              <w:rPr>
                <w:rFonts w:hint="eastAsia"/>
              </w:rPr>
              <w:br w:type="textWrapping"/>
            </w:r>
            <w:r>
              <w:rPr>
                <w:rFonts w:hint="eastAsia"/>
              </w:rPr>
              <w:t>软件平台： WINXP/WIN7/WIN8/WIN10/Android/java</w:t>
            </w:r>
            <w:r>
              <w:rPr>
                <w:rFonts w:hint="eastAsia"/>
              </w:rPr>
              <w:br w:type="textWrapping"/>
            </w:r>
            <w:r>
              <w:rPr>
                <w:rFonts w:hint="eastAsia"/>
              </w:rPr>
              <w:t>工作温度： 0℃～50℃</w:t>
            </w:r>
            <w:r>
              <w:rPr>
                <w:rFonts w:hint="eastAsia"/>
              </w:rPr>
              <w:br w:type="textWrapping"/>
            </w:r>
            <w:r>
              <w:rPr>
                <w:rFonts w:hint="eastAsia"/>
              </w:rPr>
              <w:t>相对湿度： ≤90％</w:t>
            </w:r>
          </w:p>
          <w:p>
            <w:r>
              <w:rPr>
                <w:rFonts w:hint="eastAsia"/>
              </w:rPr>
              <w:t>振频率：13.56 MHz 调制系数：8％～14％</w:t>
            </w:r>
            <w:r>
              <w:rPr>
                <w:rFonts w:hint="eastAsia"/>
              </w:rPr>
              <w:br w:type="textWrapping"/>
            </w:r>
            <w:r>
              <w:rPr>
                <w:rFonts w:hint="eastAsia"/>
              </w:rPr>
              <w:t>调制方式：ASK 编码方式：NRZ-L</w:t>
            </w:r>
            <w:r>
              <w:rPr>
                <w:rFonts w:hint="eastAsia"/>
              </w:rPr>
              <w:br w:type="textWrapping"/>
            </w:r>
            <w:r>
              <w:rPr>
                <w:rFonts w:hint="eastAsia"/>
              </w:rPr>
              <w:t>磁场强度：≤7.5 A/m 读卡距离：0～3cm</w:t>
            </w:r>
            <w:r>
              <w:rPr>
                <w:rFonts w:hint="eastAsia"/>
              </w:rPr>
              <w:br w:type="textWrapping"/>
            </w:r>
            <w:r>
              <w:rPr>
                <w:rFonts w:hint="eastAsia"/>
              </w:rPr>
              <w:t>二维码扫描仪嵌入式条码识读引擎（支持一维，二维）</w:t>
            </w:r>
          </w:p>
        </w:tc>
        <w:tc>
          <w:tcPr>
            <w:tcW w:w="636" w:type="dxa"/>
            <w:vAlign w:val="center"/>
          </w:tcPr>
          <w:p>
            <w:r>
              <w:rPr>
                <w:rFonts w:hint="eastAsia"/>
              </w:rPr>
              <w:t>2</w:t>
            </w:r>
          </w:p>
        </w:tc>
        <w:tc>
          <w:tcPr>
            <w:tcW w:w="457" w:type="dxa"/>
            <w:vAlign w:val="center"/>
          </w:tcPr>
          <w:p>
            <w:r>
              <w:rPr>
                <w:rFonts w:hint="eastAsia"/>
              </w:rPr>
              <w:t>台</w:t>
            </w:r>
          </w:p>
        </w:tc>
      </w:tr>
    </w:tbl>
    <w:p>
      <w:pPr>
        <w:pStyle w:val="18"/>
        <w:numPr>
          <w:ilvl w:val="0"/>
          <w:numId w:val="10"/>
        </w:numPr>
        <w:ind w:left="0" w:leftChars="0" w:firstLine="0"/>
        <w:rPr>
          <w:rFonts w:ascii="宋体" w:hAnsi="宋体"/>
          <w:b/>
          <w:sz w:val="24"/>
        </w:rPr>
      </w:pPr>
      <w:r>
        <w:rPr>
          <w:rFonts w:ascii="宋体" w:hAnsi="宋体"/>
          <w:b/>
          <w:sz w:val="24"/>
        </w:rPr>
        <w:t>其他要求</w:t>
      </w:r>
    </w:p>
    <w:p>
      <w:pPr>
        <w:adjustRightInd w:val="0"/>
        <w:snapToGrid w:val="0"/>
        <w:spacing w:line="360" w:lineRule="auto"/>
        <w:ind w:firstLine="420"/>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投标</w:t>
      </w:r>
      <w:r>
        <w:rPr>
          <w:rFonts w:hint="eastAsia" w:ascii="宋体" w:hAnsi="宋体" w:cs="宋体"/>
          <w:sz w:val="24"/>
        </w:rPr>
        <w:t>人中标后、项目实施期间，若采购人发现投标人所投产品性能与投标文件有出入，采购人有权要求中标人按照投标文件指标，免费提供满足投标文件性能指标的产品。</w:t>
      </w:r>
    </w:p>
    <w:p>
      <w:pPr>
        <w:adjustRightInd w:val="0"/>
        <w:snapToGrid w:val="0"/>
        <w:spacing w:line="360" w:lineRule="auto"/>
        <w:ind w:firstLine="420"/>
        <w:rPr>
          <w:rFonts w:ascii="宋体" w:hAnsi="宋体" w:cs="宋体"/>
          <w:sz w:val="24"/>
        </w:rPr>
      </w:pP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投标</w:t>
      </w:r>
      <w:r>
        <w:rPr>
          <w:rFonts w:ascii="宋体" w:hAnsi="宋体" w:cs="宋体"/>
          <w:sz w:val="24"/>
        </w:rPr>
        <w:t>人</w:t>
      </w:r>
      <w:r>
        <w:rPr>
          <w:rFonts w:hint="eastAsia" w:ascii="宋体" w:hAnsi="宋体" w:cs="宋体"/>
          <w:sz w:val="24"/>
        </w:rPr>
        <w:t>在清单中列明品牌、产地、型号、数量，在技术规范偏离表中应详细描述产品特性，并说明是否偏离，对文件中提到需提供的扫描件资料做好索引，方便核查。</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设备清单中的数量及功能完备性，以实际需要为准，若有未考虑到的或数量不足的，采购方不再购买，投标方在中标后实施时应无偿补足，保证功能完备。</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提供培训方案和售后服务方案以及备品备件方案。具体培训时间依实际情况经双方协商后确定，要求质保期内每年至少巡检1次，解决存在问题，并出具巡检报告。</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对于需要提供原厂质保函的产品，在中标后、签订合同前提供质保函。关键设备质保期根据产品序列号官网可查。</w:t>
      </w:r>
    </w:p>
    <w:p>
      <w:pPr>
        <w:spacing w:line="360" w:lineRule="auto"/>
        <w:ind w:firstLine="480" w:firstLineChars="200"/>
      </w:pPr>
      <w:r>
        <w:rPr>
          <w:rFonts w:ascii="宋体" w:hAnsi="宋体"/>
          <w:sz w:val="24"/>
        </w:rPr>
        <w:t>（6）投标人根据项目情况组建项目团队，并提供相关人员资质。</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信息系统等级保护要求：项目中涉及的软件系统，须通过信息系统等级保护测评。（测评费用包含本次</w:t>
      </w:r>
      <w:r>
        <w:rPr>
          <w:rFonts w:ascii="宋体" w:hAnsi="宋体"/>
          <w:sz w:val="24"/>
        </w:rPr>
        <w:t>项目预算</w:t>
      </w:r>
      <w:r>
        <w:rPr>
          <w:rFonts w:hint="eastAsia" w:ascii="宋体" w:hAnsi="宋体"/>
          <w:sz w:val="24"/>
        </w:rPr>
        <w:t>中，云资源、原安全等不包含</w:t>
      </w:r>
      <w:r>
        <w:rPr>
          <w:rFonts w:ascii="宋体" w:hAnsi="宋体"/>
          <w:sz w:val="24"/>
        </w:rPr>
        <w:t>在本</w:t>
      </w:r>
      <w:r>
        <w:rPr>
          <w:rFonts w:hint="eastAsia" w:ascii="宋体" w:hAnsi="宋体"/>
          <w:sz w:val="24"/>
        </w:rPr>
        <w:t>次</w:t>
      </w:r>
      <w:r>
        <w:rPr>
          <w:rFonts w:ascii="宋体" w:hAnsi="宋体"/>
          <w:sz w:val="24"/>
        </w:rPr>
        <w:t>项目预算</w:t>
      </w:r>
      <w:r>
        <w:rPr>
          <w:rFonts w:hint="eastAsia" w:ascii="宋体" w:hAnsi="宋体"/>
          <w:sz w:val="24"/>
        </w:rPr>
        <w:t>中，由采购人另行支付）</w:t>
      </w:r>
    </w:p>
    <w:p>
      <w:pPr>
        <w:spacing w:line="360" w:lineRule="auto"/>
        <w:ind w:firstLine="480" w:firstLineChars="200"/>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要求中标供应商在项目实施时配合监理日常工作。</w:t>
      </w:r>
    </w:p>
    <w:p>
      <w:pPr>
        <w:pStyle w:val="18"/>
        <w:numPr>
          <w:ilvl w:val="0"/>
          <w:numId w:val="10"/>
        </w:numPr>
        <w:ind w:left="0" w:leftChars="0" w:firstLine="0"/>
        <w:rPr>
          <w:rFonts w:ascii="宋体" w:hAnsi="宋体"/>
          <w:b/>
          <w:sz w:val="24"/>
        </w:rPr>
      </w:pPr>
      <w:r>
        <w:rPr>
          <w:rFonts w:hint="eastAsia" w:ascii="宋体" w:hAnsi="宋体"/>
          <w:b/>
          <w:sz w:val="24"/>
        </w:rPr>
        <w:t>验收</w:t>
      </w:r>
      <w:r>
        <w:rPr>
          <w:rFonts w:ascii="宋体" w:hAnsi="宋体"/>
          <w:b/>
          <w:sz w:val="24"/>
        </w:rPr>
        <w:t>要求</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由中标方负责将货物按合同签订的具体要求、具体数量、具体时间地点运送到最终目的地，并负责系统现场安装、调试、集成、技术培训、验收和售后服务等工作，系统经完工验收合格后交付业主方使用。</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中标方应提供系统现场安装、调试、集成等分阶段的计划表。</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系统安装、联网调测所需各种工器具、仪表及安装材料辅料等均由中标方负责提供。</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安装调试由中标方负责，中标方调试前应提出完整的调试计划并经业主方确认，包括安装调试的内容、项目、指标、方法和进度，并提供相应的仪器和工具。中标方有责任对业主方提出的问题作出解答。调试应进行详细记录，调试结束后，由中标方技术人员签字后交给业主方验收。</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在安装工作开始前，中标方应提供相关的安装技术资料、规范以及详细的测试内容、测试方法、测试目标和系统测试的必需仪器。在严格的系统测试后，中标方认为系统的质量和稳定性达到要求时，中标方应向业主方提供汇总的测试记录和全套最新的软件。</w:t>
      </w:r>
    </w:p>
    <w:p>
      <w:pPr>
        <w:spacing w:line="360" w:lineRule="auto"/>
        <w:ind w:firstLine="480" w:firstLineChars="200"/>
        <w:rPr>
          <w:rFonts w:ascii="宋体" w:hAnsi="宋体"/>
          <w:b/>
          <w:sz w:val="24"/>
        </w:rPr>
      </w:pPr>
      <w:r>
        <w:rPr>
          <w:rFonts w:ascii="宋体" w:hAnsi="宋体" w:cs="宋体"/>
          <w:sz w:val="24"/>
        </w:rPr>
        <w:t>（</w:t>
      </w:r>
      <w:r>
        <w:rPr>
          <w:rFonts w:hint="eastAsia" w:ascii="宋体" w:hAnsi="宋体" w:cs="宋体"/>
          <w:sz w:val="24"/>
        </w:rPr>
        <w:t>6</w:t>
      </w:r>
      <w:r>
        <w:rPr>
          <w:rFonts w:ascii="宋体" w:hAnsi="宋体" w:cs="宋体"/>
          <w:sz w:val="24"/>
        </w:rPr>
        <w:t>）</w:t>
      </w:r>
      <w:r>
        <w:rPr>
          <w:rFonts w:hint="eastAsia" w:ascii="宋体" w:hAnsi="宋体" w:cs="宋体"/>
          <w:sz w:val="24"/>
        </w:rPr>
        <w:t>在整体联调联试中功能和性能满足采购人使用要求，并且符合监理要求，方算验收合格。</w:t>
      </w:r>
    </w:p>
    <w:p>
      <w:pPr>
        <w:spacing w:line="360" w:lineRule="auto"/>
        <w:ind w:firstLine="480" w:firstLineChars="20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三</w:t>
      </w:r>
      <w:r>
        <w:rPr>
          <w:rFonts w:asciiTheme="minorEastAsia" w:hAnsiTheme="minorEastAsia" w:eastAsiaTheme="minorEastAsia"/>
          <w:b/>
          <w:color w:val="000000" w:themeColor="text1"/>
          <w:sz w:val="24"/>
        </w:rPr>
        <w:t>、</w:t>
      </w:r>
      <w:r>
        <w:rPr>
          <w:rFonts w:hint="eastAsia" w:asciiTheme="minorEastAsia" w:hAnsiTheme="minorEastAsia" w:eastAsiaTheme="minorEastAsia"/>
          <w:b/>
          <w:color w:val="000000" w:themeColor="text1"/>
          <w:sz w:val="24"/>
        </w:rPr>
        <w:t>商务需求</w:t>
      </w:r>
    </w:p>
    <w:p>
      <w:pPr>
        <w:ind w:firstLine="48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（一）质保期：</w:t>
      </w:r>
    </w:p>
    <w:p>
      <w:pPr>
        <w:pStyle w:val="14"/>
        <w:snapToGrid w:val="0"/>
        <w:spacing w:line="360" w:lineRule="auto"/>
        <w:ind w:firstLine="480" w:firstLineChars="200"/>
        <w:rPr>
          <w:rFonts w:hAnsi="宋体" w:cs="宋体"/>
          <w:sz w:val="24"/>
        </w:rPr>
      </w:pPr>
      <w:r>
        <w:rPr>
          <w:rFonts w:hint="eastAsia" w:hAnsi="宋体" w:cs="宋体"/>
          <w:sz w:val="24"/>
        </w:rPr>
        <w:t>标段一：项目运行维护要求免费服务期一年。</w:t>
      </w:r>
    </w:p>
    <w:p>
      <w:pPr>
        <w:pStyle w:val="14"/>
        <w:snapToGrid w:val="0"/>
        <w:spacing w:line="360" w:lineRule="auto"/>
        <w:ind w:firstLine="480" w:firstLineChars="200"/>
        <w:rPr>
          <w:rFonts w:asciiTheme="minorEastAsia" w:hAnsiTheme="minorEastAsia" w:eastAsiaTheme="minorEastAsia"/>
          <w:color w:val="000000" w:themeColor="text1"/>
          <w:kern w:val="0"/>
          <w:sz w:val="24"/>
        </w:rPr>
      </w:pPr>
      <w:r>
        <w:rPr>
          <w:rFonts w:hint="eastAsia" w:hAnsi="宋体" w:cs="宋体"/>
          <w:sz w:val="24"/>
        </w:rPr>
        <w:t>标段二：硬件设备免费质保期为五年。</w:t>
      </w:r>
    </w:p>
    <w:p>
      <w:pPr>
        <w:pStyle w:val="14"/>
        <w:snapToGrid w:val="0"/>
        <w:spacing w:line="360" w:lineRule="auto"/>
        <w:ind w:firstLine="480" w:firstLineChars="200"/>
        <w:rPr>
          <w:rFonts w:hAnsi="宋体" w:cs="宋体"/>
          <w:b/>
          <w:bCs/>
          <w:sz w:val="24"/>
        </w:rPr>
      </w:pPr>
      <w:r>
        <w:rPr>
          <w:rFonts w:hint="eastAsia" w:hAnsi="宋体" w:cs="宋体"/>
          <w:b/>
          <w:bCs/>
          <w:sz w:val="24"/>
        </w:rPr>
        <w:t>（二）</w:t>
      </w:r>
      <w:r>
        <w:rPr>
          <w:rFonts w:hAnsi="宋体" w:cs="宋体"/>
          <w:b/>
          <w:bCs/>
          <w:sz w:val="24"/>
        </w:rPr>
        <w:t>服务、交付期</w:t>
      </w:r>
      <w:r>
        <w:rPr>
          <w:rFonts w:hint="eastAsia" w:hAnsi="宋体" w:cs="宋体"/>
          <w:b/>
          <w:bCs/>
          <w:sz w:val="24"/>
        </w:rPr>
        <w:t>：</w:t>
      </w:r>
    </w:p>
    <w:p>
      <w:pPr>
        <w:pStyle w:val="14"/>
        <w:snapToGrid w:val="0"/>
        <w:spacing w:line="360" w:lineRule="auto"/>
        <w:ind w:firstLine="480" w:firstLineChars="200"/>
        <w:rPr>
          <w:rFonts w:hAnsi="宋体" w:cs="宋体"/>
          <w:sz w:val="24"/>
        </w:rPr>
      </w:pPr>
      <w:r>
        <w:rPr>
          <w:rFonts w:hint="eastAsia" w:hAnsi="宋体" w:cs="宋体"/>
          <w:sz w:val="24"/>
        </w:rPr>
        <w:t>标段一：合同签订后3个月完成系统开发并部署应用。</w:t>
      </w:r>
    </w:p>
    <w:p>
      <w:pPr>
        <w:pStyle w:val="14"/>
        <w:snapToGrid w:val="0"/>
        <w:spacing w:line="360" w:lineRule="auto"/>
        <w:ind w:firstLine="480" w:firstLineChars="200"/>
        <w:rPr>
          <w:rFonts w:hAnsi="宋体" w:cs="宋体"/>
          <w:sz w:val="24"/>
        </w:rPr>
      </w:pPr>
      <w:r>
        <w:rPr>
          <w:rFonts w:hint="eastAsia" w:hAnsi="宋体" w:cs="宋体"/>
          <w:sz w:val="24"/>
        </w:rPr>
        <w:t>标段二：合同签订之日起60日内完成安装调试。</w:t>
      </w:r>
    </w:p>
    <w:p>
      <w:pPr>
        <w:spacing w:line="360" w:lineRule="auto"/>
        <w:ind w:firstLine="482"/>
        <w:rPr>
          <w:rFonts w:ascii="宋体" w:hAnsi="宋体" w:cs="宋体"/>
          <w:b/>
          <w:bCs/>
          <w:sz w:val="24"/>
        </w:rPr>
      </w:pPr>
      <w:r>
        <w:rPr>
          <w:rFonts w:ascii="宋体" w:hAnsi="宋体" w:cs="宋体"/>
          <w:b/>
          <w:bCs/>
          <w:sz w:val="24"/>
        </w:rPr>
        <w:t>（三）</w:t>
      </w:r>
      <w:r>
        <w:rPr>
          <w:rFonts w:hint="eastAsia" w:ascii="宋体" w:hAnsi="宋体" w:cs="宋体"/>
          <w:b/>
          <w:bCs/>
          <w:sz w:val="24"/>
        </w:rPr>
        <w:t>服务</w:t>
      </w:r>
      <w:r>
        <w:rPr>
          <w:rFonts w:ascii="宋体" w:hAnsi="宋体" w:cs="宋体"/>
          <w:b/>
          <w:bCs/>
          <w:sz w:val="24"/>
        </w:rPr>
        <w:t>、</w:t>
      </w:r>
      <w:r>
        <w:rPr>
          <w:rFonts w:hint="eastAsia" w:ascii="宋体" w:hAnsi="宋体" w:cs="宋体"/>
          <w:b/>
          <w:bCs/>
          <w:sz w:val="24"/>
        </w:rPr>
        <w:t>交付地点：</w:t>
      </w:r>
      <w:r>
        <w:rPr>
          <w:rFonts w:ascii="宋体" w:hAnsi="宋体" w:cs="宋体"/>
          <w:sz w:val="24"/>
        </w:rPr>
        <w:t>采购人指定地点</w:t>
      </w:r>
      <w:r>
        <w:rPr>
          <w:rFonts w:hint="eastAsia" w:ascii="宋体" w:hAnsi="宋体" w:cs="宋体"/>
          <w:sz w:val="24"/>
        </w:rPr>
        <w:t>。</w:t>
      </w:r>
    </w:p>
    <w:p>
      <w:pPr>
        <w:pStyle w:val="14"/>
        <w:snapToGrid w:val="0"/>
        <w:spacing w:line="360" w:lineRule="auto"/>
        <w:ind w:firstLine="480" w:firstLineChars="200"/>
        <w:rPr>
          <w:rFonts w:hAnsi="宋体" w:cs="宋体"/>
          <w:sz w:val="24"/>
        </w:rPr>
      </w:pPr>
      <w:r>
        <w:rPr>
          <w:rFonts w:hAnsi="宋体" w:cs="宋体"/>
          <w:b/>
          <w:bCs/>
          <w:sz w:val="24"/>
        </w:rPr>
        <w:t>（四）</w:t>
      </w:r>
      <w:r>
        <w:rPr>
          <w:rFonts w:hint="eastAsia" w:hAnsi="宋体" w:cs="宋体"/>
          <w:b/>
          <w:bCs/>
          <w:sz w:val="24"/>
        </w:rPr>
        <w:t>付款条件：</w:t>
      </w:r>
    </w:p>
    <w:p>
      <w:pPr>
        <w:pStyle w:val="14"/>
        <w:snapToGrid w:val="0"/>
        <w:spacing w:line="360" w:lineRule="auto"/>
        <w:ind w:firstLine="480" w:firstLineChars="200"/>
        <w:rPr>
          <w:rFonts w:hAnsi="宋体" w:cs="宋体"/>
          <w:sz w:val="24"/>
          <w:highlight w:val="none"/>
        </w:rPr>
      </w:pPr>
      <w:r>
        <w:rPr>
          <w:rFonts w:hint="eastAsia" w:hAnsi="宋体" w:cs="宋体"/>
          <w:sz w:val="24"/>
        </w:rPr>
        <w:t>标段一：软件部分合同签订后</w:t>
      </w:r>
      <w:r>
        <w:rPr>
          <w:rFonts w:hint="eastAsia" w:hAnsi="宋体" w:cs="宋体"/>
          <w:sz w:val="24"/>
          <w:highlight w:val="none"/>
        </w:rPr>
        <w:t>7个工作日内，支付合同软件部分总价的30%；项目终验合格后支付合同软件部分总价的70%。</w:t>
      </w:r>
    </w:p>
    <w:p>
      <w:pPr>
        <w:pStyle w:val="14"/>
        <w:snapToGrid w:val="0"/>
        <w:spacing w:line="360" w:lineRule="auto"/>
        <w:ind w:firstLine="480" w:firstLineChars="200"/>
        <w:rPr>
          <w:rFonts w:asciiTheme="minorEastAsia" w:hAnsiTheme="minorEastAsia" w:eastAsiaTheme="minorEastAsia"/>
          <w:b/>
          <w:sz w:val="24"/>
        </w:rPr>
      </w:pPr>
      <w:r>
        <w:rPr>
          <w:rFonts w:hint="eastAsia" w:hAnsi="宋体" w:cs="宋体"/>
          <w:sz w:val="24"/>
          <w:highlight w:val="none"/>
        </w:rPr>
        <w:t>标段二：硬件部分合同签订后7个工作日内，支</w:t>
      </w:r>
      <w:r>
        <w:rPr>
          <w:rFonts w:hint="eastAsia" w:hAnsi="宋体" w:cs="宋体"/>
          <w:sz w:val="24"/>
        </w:rPr>
        <w:t>付合同硬件部分总价的30%；待硬件部分搭建完成，项目验收合格后支付合同硬件部分总价的70%。</w:t>
      </w:r>
    </w:p>
    <w:p>
      <w:pPr>
        <w:snapToGrid w:val="0"/>
        <w:spacing w:line="360" w:lineRule="auto"/>
        <w:ind w:firstLine="480" w:firstLineChars="200"/>
      </w:pPr>
      <w:r>
        <w:rPr>
          <w:rFonts w:hint="eastAsia" w:asciiTheme="minorEastAsia" w:hAnsiTheme="minorEastAsia" w:eastAsiaTheme="minorEastAsia"/>
          <w:b/>
          <w:color w:val="000000" w:themeColor="text1"/>
          <w:sz w:val="24"/>
        </w:rPr>
        <w:t>（四）</w:t>
      </w:r>
      <w:r>
        <w:rPr>
          <w:rFonts w:hint="eastAsia" w:asciiTheme="minorEastAsia" w:hAnsiTheme="minorEastAsia" w:eastAsiaTheme="minorEastAsia"/>
          <w:b/>
          <w:sz w:val="24"/>
        </w:rPr>
        <w:t>履约保证金：</w:t>
      </w:r>
      <w:r>
        <w:rPr>
          <w:rFonts w:ascii="宋体" w:hAnsi="宋体" w:cs="宋体"/>
          <w:sz w:val="24"/>
        </w:rPr>
        <w:t>无。</w:t>
      </w:r>
      <w:r>
        <w:rPr>
          <w:rFonts w:hint="eastAsia" w:ascii="宋体" w:hAnsi="宋体" w:cs="宋体"/>
          <w:sz w:val="24"/>
        </w:rPr>
        <w:br w:type="page"/>
      </w:r>
    </w:p>
    <w:p>
      <w:pPr>
        <w:pStyle w:val="14"/>
        <w:tabs>
          <w:tab w:val="left" w:pos="630"/>
        </w:tabs>
        <w:snapToGrid w:val="0"/>
        <w:spacing w:line="360" w:lineRule="auto"/>
        <w:jc w:val="center"/>
        <w:rPr>
          <w:rFonts w:asciiTheme="minorEastAsia" w:hAnsiTheme="minorEastAsia" w:eastAsiaTheme="minorEastAsia"/>
          <w:b/>
          <w:sz w:val="32"/>
          <w:szCs w:val="32"/>
        </w:rPr>
      </w:pPr>
      <w:bookmarkStart w:id="48" w:name="_Toc31173_WPSOffice_Level1"/>
      <w:r>
        <w:rPr>
          <w:rFonts w:hint="eastAsia" w:cs="Times New Roman" w:asciiTheme="minorEastAsia" w:hAnsiTheme="minorEastAsia" w:eastAsiaTheme="minorEastAsia"/>
          <w:b/>
          <w:sz w:val="36"/>
          <w:szCs w:val="36"/>
        </w:rPr>
        <w:t>第四章  评标</w:t>
      </w:r>
      <w:bookmarkEnd w:id="48"/>
    </w:p>
    <w:p>
      <w:pPr>
        <w:spacing w:line="360" w:lineRule="auto"/>
        <w:ind w:firstLine="480"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0"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18"/>
        <w:spacing w:after="0" w:line="360" w:lineRule="auto"/>
        <w:ind w:left="0" w:leftChars="0"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1"/>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1"/>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1"/>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22"/>
        <w:spacing w:before="0" w:beforeAutospacing="0" w:after="0" w:afterAutospacing="0" w:line="360" w:lineRule="auto"/>
        <w:ind w:firstLine="480"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7"/>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7"/>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rPr>
        <w:t xml:space="preserve"> </w:t>
      </w:r>
      <w:r>
        <w:rPr>
          <w:rFonts w:hint="default" w:asciiTheme="minorEastAsia" w:hAnsiTheme="minorEastAsia" w:eastAsiaTheme="minorEastAsia"/>
          <w:kern w:val="0"/>
          <w:sz w:val="24"/>
          <w:u w:val="single"/>
        </w:rPr>
        <w:t>10</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11"/>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11"/>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11"/>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11"/>
        <w:spacing w:line="360" w:lineRule="auto"/>
        <w:ind w:firstLine="480" w:firstLineChars="200"/>
        <w:rPr>
          <w:rFonts w:ascii="宋体" w:hAnsi="宋体" w:cs="宋体"/>
          <w:sz w:val="24"/>
          <w:szCs w:val="24"/>
        </w:rPr>
      </w:pPr>
      <w:r>
        <w:rPr>
          <w:rFonts w:hint="eastAsia" w:ascii="宋体" w:hAnsi="宋体" w:cs="宋体"/>
          <w:sz w:val="24"/>
          <w:szCs w:val="24"/>
        </w:rPr>
        <w:t>（十四）未</w:t>
      </w:r>
      <w:r>
        <w:rPr>
          <w:rFonts w:hint="eastAsia" w:ascii="宋体" w:hAnsi="宋体"/>
          <w:kern w:val="0"/>
          <w:sz w:val="24"/>
          <w:szCs w:val="24"/>
        </w:rPr>
        <w:t>按要求提供资格证明文件的；</w:t>
      </w:r>
    </w:p>
    <w:p>
      <w:pPr>
        <w:pStyle w:val="11"/>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（十五）其他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b/>
          <w:kern w:val="0"/>
          <w:sz w:val="24"/>
        </w:rPr>
        <w:t>五、废标情形</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0" w:firstLineChars="200"/>
        <w:rPr>
          <w:rFonts w:hAnsi="宋体" w:cs="宋体"/>
          <w:b/>
          <w:sz w:val="24"/>
        </w:rPr>
      </w:pPr>
      <w:r>
        <w:rPr>
          <w:rFonts w:hint="eastAsia" w:hAnsi="宋体" w:cs="宋体"/>
          <w:b/>
          <w:sz w:val="24"/>
        </w:rPr>
        <w:t>六、评标过程的监控</w:t>
      </w:r>
    </w:p>
    <w:p>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0"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0"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见附件16</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16</w:t>
      </w:r>
      <w:r>
        <w:rPr>
          <w:rFonts w:hint="eastAsia" w:ascii="宋体"/>
          <w:sz w:val="24"/>
          <w:lang w:val="zh-CN"/>
        </w:rPr>
        <w:t>），视同小型、微型企业，享受小微企业政府采购优惠政策。</w:t>
      </w:r>
    </w:p>
    <w:p>
      <w:pPr>
        <w:pStyle w:val="7"/>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7"/>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0"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4"/>
        <w:snapToGrid w:val="0"/>
        <w:spacing w:line="360" w:lineRule="auto"/>
        <w:ind w:firstLine="480" w:firstLineChars="200"/>
        <w:rPr>
          <w:rFonts w:hAnsi="宋体" w:cs="宋体"/>
          <w:b/>
          <w:bCs/>
          <w:sz w:val="24"/>
        </w:rPr>
      </w:pPr>
      <w:r>
        <w:rPr>
          <w:rFonts w:hint="eastAsia" w:hAnsi="宋体" w:cs="宋体"/>
          <w:b/>
          <w:bCs/>
          <w:sz w:val="24"/>
        </w:rPr>
        <w:t>八、评标程序</w:t>
      </w:r>
    </w:p>
    <w:p>
      <w:pPr>
        <w:snapToGrid w:val="0"/>
        <w:spacing w:line="360" w:lineRule="auto"/>
        <w:ind w:firstLine="480" w:firstLineChars="200"/>
        <w:rPr>
          <w:rFonts w:ascii="宋体" w:hAnsi="宋体" w:cs="宋体"/>
          <w:b/>
          <w:bCs/>
          <w:sz w:val="24"/>
        </w:rPr>
      </w:pPr>
      <w:r>
        <w:rPr>
          <w:rFonts w:hint="eastAsia" w:ascii="宋体" w:hAnsi="宋体" w:cs="宋体"/>
          <w:b/>
          <w:bCs/>
          <w:sz w:val="24"/>
        </w:rPr>
        <w:t>（一）资格性审查</w:t>
      </w:r>
    </w:p>
    <w:p>
      <w:pPr>
        <w:pStyle w:val="7"/>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7"/>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按投标文件格式填报设备及专业技术能力情况（根据附件4《投标人基本情况表》和附件5《项目实施人员一览表》填报）。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1.截止时点：开标后评标前。</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2.信用信息查询记录和证据留存的具体方式：由采购组织机构在规定查询时间内打印信用信息查询记录并归入项目档案。</w:t>
            </w:r>
            <w:r>
              <w:rPr>
                <w:rFonts w:hint="eastAsia" w:ascii="宋体" w:hAnsi="宋体" w:cs="宋体"/>
                <w:color w:val="000000" w:themeColor="text1"/>
                <w:szCs w:val="21"/>
              </w:rPr>
              <w:br w:type="textWrapping"/>
            </w:r>
            <w:r>
              <w:rPr>
                <w:rFonts w:hint="eastAsia" w:ascii="宋体" w:hAnsi="宋体" w:cs="宋体"/>
                <w:color w:val="000000" w:themeColor="text1"/>
                <w:szCs w:val="21"/>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1.单位负责人为同一人或者存在直接控股、管理关系的不同供应商，不得同时参加本项目投标。</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2.若以联合体形式投标，联合体各方均须满足上方条款，并提供相应承诺或说明。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rPr>
            </w:pPr>
            <w:r>
              <w:rPr>
                <w:rFonts w:hint="eastAsia" w:ascii="宋体" w:hAnsi="宋体" w:cs="宋体"/>
                <w:color w:val="000000" w:themeColor="text1"/>
                <w:szCs w:val="21"/>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ascii="宋体" w:hAnsi="宋体" w:cs="宋体"/>
                <w:color w:val="000000" w:themeColor="text1"/>
                <w:szCs w:val="21"/>
              </w:rPr>
            </w:pP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根据实际情形设置。</w:t>
            </w:r>
          </w:p>
          <w:p>
            <w:pPr>
              <w:rPr>
                <w:rFonts w:ascii="宋体" w:hAnsi="宋体" w:cs="宋体"/>
                <w:color w:val="000000" w:themeColor="text1"/>
                <w:szCs w:val="21"/>
              </w:rPr>
            </w:pPr>
          </w:p>
        </w:tc>
      </w:tr>
    </w:tbl>
    <w:p>
      <w:pPr>
        <w:pStyle w:val="7"/>
        <w:spacing w:line="360" w:lineRule="auto"/>
        <w:ind w:firstLine="480"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7"/>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7"/>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shd w:val="clear" w:color="auto" w:fill="auto"/>
            <w:tcMar>
              <w:top w:w="57" w:type="dxa"/>
              <w:left w:w="108" w:type="dxa"/>
              <w:bottom w:w="0" w:type="dxa"/>
              <w:right w:w="108" w:type="dxa"/>
            </w:tcMar>
            <w:vAlign w:val="center"/>
          </w:tcPr>
          <w:p>
            <w:pPr>
              <w:pStyle w:val="49"/>
              <w:spacing w:line="300" w:lineRule="auto"/>
              <w:ind w:right="146"/>
              <w:jc w:val="center"/>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49"/>
              <w:spacing w:before="48" w:line="300" w:lineRule="auto"/>
              <w:ind w:firstLine="420" w:firstLineChars="200"/>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shd w:val="clear" w:color="auto" w:fill="auto"/>
            <w:tcMar>
              <w:top w:w="57" w:type="dxa"/>
              <w:left w:w="108" w:type="dxa"/>
              <w:bottom w:w="0" w:type="dxa"/>
              <w:right w:w="108" w:type="dxa"/>
            </w:tcMar>
            <w:vAlign w:val="center"/>
          </w:tcPr>
          <w:p>
            <w:pPr>
              <w:pStyle w:val="49"/>
              <w:spacing w:line="300" w:lineRule="auto"/>
              <w:ind w:right="146"/>
              <w:jc w:val="center"/>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49"/>
              <w:spacing w:before="48" w:line="300" w:lineRule="auto"/>
              <w:ind w:firstLine="420" w:firstLineChars="200"/>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shd w:val="clear" w:color="auto" w:fill="auto"/>
            <w:tcMar>
              <w:top w:w="57" w:type="dxa"/>
              <w:left w:w="108" w:type="dxa"/>
              <w:bottom w:w="0" w:type="dxa"/>
              <w:right w:w="108" w:type="dxa"/>
            </w:tcMar>
            <w:vAlign w:val="center"/>
          </w:tcPr>
          <w:p>
            <w:pPr>
              <w:pStyle w:val="49"/>
              <w:spacing w:line="300" w:lineRule="auto"/>
              <w:ind w:right="146"/>
              <w:jc w:val="center"/>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49"/>
              <w:spacing w:before="48" w:line="300" w:lineRule="auto"/>
              <w:ind w:firstLine="420" w:firstLineChars="200"/>
              <w:rPr>
                <w:szCs w:val="21"/>
              </w:rPr>
            </w:pPr>
            <w:r>
              <w:rPr>
                <w:rFonts w:hint="eastAsia"/>
                <w:szCs w:val="21"/>
              </w:rPr>
              <w:t>投标文件未含有采购人不可接受的附加条件。</w:t>
            </w:r>
          </w:p>
        </w:tc>
      </w:tr>
    </w:tbl>
    <w:p>
      <w:pPr>
        <w:pStyle w:val="7"/>
        <w:spacing w:line="360" w:lineRule="auto"/>
        <w:ind w:firstLine="480"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2 </w:t>
      </w:r>
      <w:r>
        <w:rPr>
          <w:rFonts w:hint="eastAsia" w:asciiTheme="minorEastAsia" w:hAnsiTheme="minorEastAsia" w:eastAsiaTheme="minorEastAsia"/>
          <w:kern w:val="0"/>
          <w:sz w:val="24"/>
        </w:rPr>
        <w:t>标项项目评标方法为综合评分法，总计100分，评标按以下标准及要求进行：</w:t>
      </w:r>
    </w:p>
    <w:p>
      <w:pPr>
        <w:numPr>
          <w:ilvl w:val="0"/>
          <w:numId w:val="11"/>
        </w:numPr>
        <w:autoSpaceDE w:val="0"/>
        <w:autoSpaceDN w:val="0"/>
        <w:adjustRightInd w:val="0"/>
        <w:spacing w:line="360" w:lineRule="auto"/>
        <w:ind w:firstLine="480" w:firstLineChars="200"/>
        <w:rPr>
          <w:rFonts w:ascii="宋体"/>
          <w:b/>
          <w:bCs/>
          <w:sz w:val="24"/>
        </w:rPr>
      </w:pPr>
      <w:r>
        <w:rPr>
          <w:rFonts w:hint="eastAsia" w:ascii="宋体"/>
          <w:b/>
          <w:bCs/>
          <w:sz w:val="24"/>
        </w:rPr>
        <w:t>评分标准</w:t>
      </w:r>
    </w:p>
    <w:p>
      <w:pPr>
        <w:pStyle w:val="3"/>
        <w:tabs>
          <w:tab w:val="clear" w:pos="8280"/>
        </w:tabs>
        <w:jc w:val="center"/>
        <w:rPr>
          <w:sz w:val="24"/>
          <w:szCs w:val="24"/>
        </w:rPr>
      </w:pPr>
      <w:r>
        <w:rPr>
          <w:rFonts w:hint="eastAsia"/>
          <w:sz w:val="24"/>
          <w:szCs w:val="24"/>
        </w:rPr>
        <w:t>标</w:t>
      </w:r>
      <w:r>
        <w:rPr>
          <w:sz w:val="24"/>
          <w:szCs w:val="24"/>
        </w:rPr>
        <w:t>段</w:t>
      </w:r>
      <w:r>
        <w:rPr>
          <w:rFonts w:hint="eastAsia"/>
          <w:sz w:val="24"/>
          <w:szCs w:val="24"/>
        </w:rPr>
        <w:t>一  台州市政务服务一体化“数智大厅”软件平台建设</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40"/>
        <w:gridCol w:w="592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1250" w:type="dxa"/>
            <w:shd w:val="clear" w:color="auto" w:fill="BEBEBE"/>
            <w:vAlign w:val="center"/>
          </w:tcPr>
          <w:p>
            <w:pPr>
              <w:jc w:val="center"/>
              <w:rPr>
                <w:rFonts w:ascii="宋体" w:hAnsi="宋体" w:cs="宋体"/>
                <w:b/>
                <w:bCs/>
                <w:kern w:val="0"/>
                <w:szCs w:val="21"/>
              </w:rPr>
            </w:pPr>
            <w:r>
              <w:rPr>
                <w:rFonts w:hint="eastAsia" w:ascii="宋体" w:hAnsi="宋体" w:cs="宋体"/>
                <w:b/>
                <w:kern w:val="0"/>
                <w:szCs w:val="21"/>
              </w:rPr>
              <w:t>打分项目</w:t>
            </w:r>
          </w:p>
        </w:tc>
        <w:tc>
          <w:tcPr>
            <w:tcW w:w="7165" w:type="dxa"/>
            <w:gridSpan w:val="2"/>
            <w:shd w:val="clear" w:color="auto" w:fill="BEBEBE"/>
            <w:vAlign w:val="center"/>
          </w:tcPr>
          <w:p>
            <w:pPr>
              <w:jc w:val="center"/>
              <w:rPr>
                <w:rFonts w:ascii="宋体" w:hAnsi="宋体" w:cs="宋体"/>
                <w:b/>
                <w:bCs/>
                <w:kern w:val="0"/>
                <w:szCs w:val="21"/>
              </w:rPr>
            </w:pPr>
            <w:r>
              <w:rPr>
                <w:rFonts w:hint="eastAsia" w:ascii="宋体" w:hAnsi="宋体" w:cs="宋体"/>
                <w:b/>
                <w:kern w:val="0"/>
                <w:szCs w:val="21"/>
              </w:rPr>
              <w:t>打 分 细 则</w:t>
            </w:r>
          </w:p>
        </w:tc>
        <w:tc>
          <w:tcPr>
            <w:tcW w:w="720" w:type="dxa"/>
            <w:shd w:val="clear" w:color="auto" w:fill="BEBEBE"/>
            <w:vAlign w:val="center"/>
          </w:tcPr>
          <w:p>
            <w:pPr>
              <w:jc w:val="center"/>
              <w:rPr>
                <w:rFonts w:ascii="宋体" w:hAnsi="宋体" w:cs="宋体"/>
                <w:b/>
                <w:bCs/>
                <w:kern w:val="0"/>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1" w:hRule="atLeast"/>
          <w:jc w:val="center"/>
        </w:trPr>
        <w:tc>
          <w:tcPr>
            <w:tcW w:w="1250" w:type="dxa"/>
            <w:vMerge w:val="restart"/>
            <w:vAlign w:val="center"/>
          </w:tcPr>
          <w:p>
            <w:pPr>
              <w:jc w:val="center"/>
              <w:rPr>
                <w:rFonts w:ascii="宋体" w:hAnsi="宋体" w:cs="宋体"/>
                <w:b/>
                <w:bCs/>
                <w:kern w:val="0"/>
                <w:szCs w:val="21"/>
              </w:rPr>
            </w:pPr>
            <w:r>
              <w:rPr>
                <w:rFonts w:hint="eastAsia" w:ascii="宋体" w:hAnsi="宋体" w:cs="宋体"/>
                <w:b/>
                <w:bCs/>
                <w:kern w:val="0"/>
                <w:szCs w:val="21"/>
              </w:rPr>
              <w:t>技术性能</w:t>
            </w:r>
          </w:p>
          <w:p>
            <w:pPr>
              <w:pStyle w:val="11"/>
              <w:ind w:firstLine="0"/>
              <w:jc w:val="center"/>
              <w:rPr>
                <w:rFonts w:ascii="宋体" w:hAnsi="宋体" w:cs="宋体"/>
                <w:kern w:val="0"/>
                <w:szCs w:val="21"/>
              </w:rPr>
            </w:pPr>
            <w:r>
              <w:rPr>
                <w:rFonts w:hint="eastAsia" w:ascii="宋体" w:hAnsi="宋体" w:cs="宋体"/>
                <w:b/>
                <w:bCs/>
                <w:kern w:val="0"/>
                <w:szCs w:val="21"/>
              </w:rPr>
              <w:t>（49分）</w:t>
            </w:r>
          </w:p>
        </w:tc>
        <w:tc>
          <w:tcPr>
            <w:tcW w:w="1240" w:type="dxa"/>
            <w:vMerge w:val="restart"/>
            <w:vAlign w:val="center"/>
          </w:tcPr>
          <w:p>
            <w:pPr>
              <w:jc w:val="center"/>
              <w:rPr>
                <w:rFonts w:ascii="宋体" w:hAnsi="宋体" w:cs="宋体"/>
                <w:b/>
                <w:bCs/>
                <w:kern w:val="0"/>
                <w:szCs w:val="21"/>
              </w:rPr>
            </w:pPr>
            <w:r>
              <w:rPr>
                <w:rFonts w:hint="eastAsia" w:ascii="宋体" w:hAnsi="宋体" w:cs="宋体"/>
                <w:b/>
                <w:bCs/>
                <w:kern w:val="0"/>
                <w:szCs w:val="21"/>
              </w:rPr>
              <w:t>需求理解</w:t>
            </w:r>
          </w:p>
          <w:p>
            <w:pPr>
              <w:jc w:val="center"/>
              <w:rPr>
                <w:rFonts w:ascii="宋体" w:hAnsi="宋体" w:cs="宋体"/>
                <w:b/>
                <w:bCs/>
                <w:kern w:val="0"/>
                <w:szCs w:val="21"/>
              </w:rPr>
            </w:pPr>
            <w:r>
              <w:rPr>
                <w:rFonts w:hint="eastAsia" w:ascii="宋体" w:hAnsi="宋体" w:cs="宋体"/>
                <w:b/>
                <w:bCs/>
                <w:kern w:val="0"/>
                <w:szCs w:val="21"/>
              </w:rPr>
              <w:t>与分析</w:t>
            </w:r>
          </w:p>
        </w:tc>
        <w:tc>
          <w:tcPr>
            <w:tcW w:w="5925" w:type="dxa"/>
            <w:vAlign w:val="center"/>
          </w:tcPr>
          <w:p>
            <w:pPr>
              <w:widowControl/>
              <w:rPr>
                <w:rFonts w:ascii="宋体" w:hAnsi="宋体" w:cs="宋体"/>
                <w:kern w:val="0"/>
                <w:szCs w:val="21"/>
              </w:rPr>
            </w:pPr>
            <w:r>
              <w:rPr>
                <w:rFonts w:hint="eastAsia" w:ascii="宋体" w:hAnsi="宋体" w:cs="宋体"/>
                <w:kern w:val="0"/>
                <w:szCs w:val="21"/>
              </w:rPr>
              <w:t>根据投标人对项目现状和需求的分析进行评分：</w:t>
            </w:r>
          </w:p>
          <w:p>
            <w:pPr>
              <w:widowControl/>
              <w:rPr>
                <w:rFonts w:ascii="宋体" w:hAnsi="宋体" w:cs="宋体"/>
                <w:kern w:val="0"/>
                <w:szCs w:val="21"/>
              </w:rPr>
            </w:pPr>
            <w:r>
              <w:rPr>
                <w:rFonts w:hint="eastAsia" w:ascii="宋体" w:hAnsi="宋体" w:cs="宋体"/>
                <w:kern w:val="0"/>
                <w:szCs w:val="21"/>
              </w:rPr>
              <w:t>①分析深入，全面、合理且针对性强的得3-2.1分；</w:t>
            </w:r>
          </w:p>
          <w:p>
            <w:pPr>
              <w:widowControl/>
              <w:rPr>
                <w:rFonts w:ascii="宋体" w:hAnsi="宋体" w:cs="宋体"/>
                <w:kern w:val="0"/>
                <w:szCs w:val="21"/>
              </w:rPr>
            </w:pPr>
            <w:r>
              <w:rPr>
                <w:rFonts w:hint="eastAsia" w:ascii="宋体" w:hAnsi="宋体" w:cs="宋体"/>
                <w:kern w:val="0"/>
                <w:szCs w:val="21"/>
              </w:rPr>
              <w:t>②分析不够全面、合理且针对性一般的得2-1.1分；</w:t>
            </w:r>
          </w:p>
          <w:p>
            <w:pPr>
              <w:widowControl/>
              <w:rPr>
                <w:rFonts w:ascii="宋体" w:hAnsi="宋体" w:cs="宋体"/>
                <w:kern w:val="0"/>
                <w:szCs w:val="21"/>
              </w:rPr>
            </w:pPr>
            <w:r>
              <w:rPr>
                <w:rFonts w:hint="eastAsia" w:ascii="宋体" w:hAnsi="宋体" w:cs="宋体"/>
                <w:kern w:val="0"/>
                <w:szCs w:val="21"/>
              </w:rPr>
              <w:t>③分析片面，合理性针对性较差的得1-0.1分；</w:t>
            </w:r>
          </w:p>
          <w:p>
            <w:pPr>
              <w:widowControl/>
              <w:rPr>
                <w:rFonts w:ascii="宋体" w:hAnsi="宋体" w:cs="宋体"/>
                <w:kern w:val="0"/>
                <w:szCs w:val="21"/>
              </w:rPr>
            </w:pPr>
            <w:r>
              <w:rPr>
                <w:rFonts w:hint="eastAsia" w:ascii="宋体" w:hAnsi="宋体" w:cs="宋体"/>
                <w:kern w:val="0"/>
                <w:szCs w:val="21"/>
              </w:rPr>
              <w:t>④未做分析的得0分。</w:t>
            </w:r>
          </w:p>
        </w:tc>
        <w:tc>
          <w:tcPr>
            <w:tcW w:w="720" w:type="dxa"/>
            <w:vAlign w:val="center"/>
          </w:tcPr>
          <w:p>
            <w:pPr>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1250" w:type="dxa"/>
            <w:vMerge w:val="continue"/>
            <w:vAlign w:val="center"/>
          </w:tcPr>
          <w:p>
            <w:pPr>
              <w:jc w:val="center"/>
              <w:rPr>
                <w:rFonts w:ascii="宋体" w:hAnsi="宋体" w:cs="宋体"/>
                <w:b/>
                <w:bCs/>
                <w:kern w:val="0"/>
                <w:szCs w:val="21"/>
              </w:rPr>
            </w:pPr>
          </w:p>
        </w:tc>
        <w:tc>
          <w:tcPr>
            <w:tcW w:w="1240" w:type="dxa"/>
            <w:vMerge w:val="continue"/>
            <w:vAlign w:val="center"/>
          </w:tcPr>
          <w:p>
            <w:pPr>
              <w:jc w:val="center"/>
              <w:rPr>
                <w:rFonts w:ascii="宋体" w:hAnsi="宋体" w:cs="宋体"/>
                <w:b/>
                <w:bCs/>
                <w:kern w:val="0"/>
                <w:szCs w:val="21"/>
              </w:rPr>
            </w:pPr>
          </w:p>
        </w:tc>
        <w:tc>
          <w:tcPr>
            <w:tcW w:w="5925" w:type="dxa"/>
            <w:vAlign w:val="center"/>
          </w:tcPr>
          <w:p>
            <w:pPr>
              <w:rPr>
                <w:rFonts w:ascii="Arial" w:hAnsi="Arial"/>
                <w:szCs w:val="21"/>
              </w:rPr>
            </w:pPr>
            <w:r>
              <w:rPr>
                <w:rFonts w:hint="eastAsia" w:ascii="Arial" w:hAnsi="Arial"/>
                <w:szCs w:val="21"/>
              </w:rPr>
              <w:t>投标人对项目重点、难点的把握，现有系统的了解情况及合理化建议情况，进行评分：</w:t>
            </w:r>
          </w:p>
          <w:p>
            <w:pPr>
              <w:rPr>
                <w:rFonts w:ascii="Arial" w:hAnsi="Arial"/>
                <w:szCs w:val="21"/>
              </w:rPr>
            </w:pPr>
            <w:r>
              <w:rPr>
                <w:rFonts w:hint="eastAsia" w:ascii="Arial" w:hAnsi="Arial"/>
                <w:szCs w:val="21"/>
              </w:rPr>
              <w:t>①对现状了解深入，重难点分析思路清晰，合理化建议可实施性强的得</w:t>
            </w:r>
            <w:r>
              <w:rPr>
                <w:rFonts w:hint="eastAsia" w:ascii="宋体" w:hAnsi="宋体" w:cs="宋体"/>
                <w:kern w:val="0"/>
                <w:szCs w:val="21"/>
              </w:rPr>
              <w:t>6-4.1</w:t>
            </w:r>
            <w:r>
              <w:rPr>
                <w:rFonts w:hint="eastAsia" w:ascii="Arial" w:hAnsi="Arial"/>
                <w:szCs w:val="21"/>
              </w:rPr>
              <w:t>分；</w:t>
            </w:r>
          </w:p>
          <w:p>
            <w:pPr>
              <w:rPr>
                <w:rFonts w:ascii="Arial" w:hAnsi="Arial"/>
                <w:szCs w:val="21"/>
              </w:rPr>
            </w:pPr>
            <w:r>
              <w:rPr>
                <w:rFonts w:hint="eastAsia" w:ascii="Arial" w:hAnsi="Arial"/>
                <w:szCs w:val="21"/>
              </w:rPr>
              <w:t>②对现状了解较深入，重难点分析思路较清晰，合理化建议可实施性较强的得</w:t>
            </w:r>
            <w:r>
              <w:rPr>
                <w:rFonts w:hint="eastAsia" w:ascii="宋体" w:hAnsi="宋体" w:cs="宋体"/>
                <w:kern w:val="0"/>
                <w:szCs w:val="21"/>
              </w:rPr>
              <w:t>4-2.1</w:t>
            </w:r>
            <w:r>
              <w:rPr>
                <w:rFonts w:hint="eastAsia" w:ascii="Arial" w:hAnsi="Arial"/>
                <w:szCs w:val="21"/>
              </w:rPr>
              <w:t>分；</w:t>
            </w:r>
          </w:p>
          <w:p>
            <w:pPr>
              <w:rPr>
                <w:rFonts w:ascii="Arial" w:hAnsi="Arial"/>
                <w:szCs w:val="21"/>
              </w:rPr>
            </w:pPr>
            <w:r>
              <w:rPr>
                <w:rFonts w:hint="eastAsia" w:ascii="Arial" w:hAnsi="Arial"/>
                <w:szCs w:val="21"/>
              </w:rPr>
              <w:t>③对现状了解一般，重难点分析思路一般，合理化建议可实施性一般的得</w:t>
            </w:r>
            <w:r>
              <w:rPr>
                <w:rFonts w:hint="eastAsia" w:ascii="宋体" w:hAnsi="宋体" w:cs="宋体"/>
                <w:kern w:val="0"/>
                <w:szCs w:val="21"/>
              </w:rPr>
              <w:t>2-0.1</w:t>
            </w:r>
            <w:r>
              <w:rPr>
                <w:rFonts w:hint="eastAsia" w:ascii="Arial" w:hAnsi="Arial"/>
                <w:szCs w:val="21"/>
              </w:rPr>
              <w:t>分；</w:t>
            </w:r>
          </w:p>
          <w:p>
            <w:pPr>
              <w:rPr>
                <w:rFonts w:ascii="Arial" w:hAnsi="Arial"/>
                <w:szCs w:val="21"/>
              </w:rPr>
            </w:pPr>
            <w:r>
              <w:rPr>
                <w:rFonts w:hint="eastAsia" w:ascii="Arial" w:hAnsi="Arial"/>
                <w:szCs w:val="21"/>
              </w:rPr>
              <w:t>④未做方案不得分。</w:t>
            </w:r>
          </w:p>
        </w:tc>
        <w:tc>
          <w:tcPr>
            <w:tcW w:w="720" w:type="dxa"/>
            <w:vAlign w:val="center"/>
          </w:tcPr>
          <w:p>
            <w:pPr>
              <w:jc w:val="center"/>
              <w:rPr>
                <w:rFonts w:ascii="宋体" w:hAnsi="宋体" w:cs="宋体"/>
                <w:kern w:val="0"/>
                <w:szCs w:val="21"/>
              </w:rPr>
            </w:pPr>
            <w:r>
              <w:rPr>
                <w:rFonts w:hint="eastAsia" w:ascii="宋体" w:hAnsi="宋体" w:cs="宋体"/>
                <w:kern w:val="0"/>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50" w:type="dxa"/>
            <w:vMerge w:val="continue"/>
            <w:vAlign w:val="center"/>
          </w:tcPr>
          <w:p>
            <w:pPr>
              <w:jc w:val="center"/>
              <w:rPr>
                <w:rFonts w:ascii="宋体" w:hAnsi="宋体" w:cs="宋体"/>
                <w:b/>
                <w:bCs/>
                <w:kern w:val="0"/>
                <w:szCs w:val="21"/>
              </w:rPr>
            </w:pPr>
          </w:p>
        </w:tc>
        <w:tc>
          <w:tcPr>
            <w:tcW w:w="1240" w:type="dxa"/>
            <w:vMerge w:val="restart"/>
            <w:vAlign w:val="center"/>
          </w:tcPr>
          <w:p>
            <w:pPr>
              <w:jc w:val="center"/>
              <w:rPr>
                <w:rFonts w:ascii="宋体" w:hAnsi="宋体" w:cs="宋体"/>
                <w:b/>
                <w:bCs/>
                <w:kern w:val="0"/>
                <w:szCs w:val="21"/>
              </w:rPr>
            </w:pPr>
            <w:r>
              <w:rPr>
                <w:rFonts w:hint="eastAsia" w:ascii="宋体" w:hAnsi="宋体" w:cs="宋体"/>
                <w:b/>
                <w:bCs/>
                <w:kern w:val="0"/>
                <w:szCs w:val="21"/>
              </w:rPr>
              <w:t>技术方案</w:t>
            </w:r>
          </w:p>
        </w:tc>
        <w:tc>
          <w:tcPr>
            <w:tcW w:w="5925" w:type="dxa"/>
            <w:vAlign w:val="center"/>
          </w:tcPr>
          <w:p>
            <w:pPr>
              <w:widowControl/>
              <w:rPr>
                <w:rFonts w:ascii="宋体" w:hAnsi="宋体" w:cs="宋体"/>
                <w:kern w:val="0"/>
                <w:szCs w:val="21"/>
              </w:rPr>
            </w:pPr>
            <w:r>
              <w:rPr>
                <w:rFonts w:hint="eastAsia" w:ascii="宋体" w:hAnsi="宋体" w:cs="宋体"/>
                <w:kern w:val="0"/>
                <w:szCs w:val="21"/>
              </w:rPr>
              <w:t>根据投标人对一体化“数智大厅”的理解及整体设计方案进行评分：</w:t>
            </w:r>
          </w:p>
          <w:p>
            <w:pPr>
              <w:widowControl/>
              <w:rPr>
                <w:rFonts w:ascii="宋体" w:hAnsi="宋体" w:cs="宋体"/>
                <w:kern w:val="0"/>
                <w:szCs w:val="21"/>
              </w:rPr>
            </w:pPr>
            <w:r>
              <w:rPr>
                <w:rFonts w:hint="eastAsia" w:ascii="宋体" w:hAnsi="宋体" w:cs="宋体"/>
                <w:kern w:val="0"/>
                <w:szCs w:val="21"/>
              </w:rPr>
              <w:t>①方案设计完整、合理，可实施性强得6-4.1分；</w:t>
            </w:r>
          </w:p>
          <w:p>
            <w:pPr>
              <w:widowControl/>
              <w:rPr>
                <w:rFonts w:ascii="宋体" w:hAnsi="宋体" w:cs="宋体"/>
                <w:kern w:val="0"/>
                <w:szCs w:val="21"/>
              </w:rPr>
            </w:pPr>
            <w:r>
              <w:rPr>
                <w:rFonts w:hint="eastAsia" w:ascii="宋体" w:hAnsi="宋体" w:cs="宋体"/>
                <w:kern w:val="0"/>
                <w:szCs w:val="21"/>
              </w:rPr>
              <w:t>②方案设计普通、基本合理，可以实施得4-2.1分；</w:t>
            </w:r>
          </w:p>
          <w:p>
            <w:pPr>
              <w:widowControl/>
              <w:rPr>
                <w:rFonts w:ascii="宋体" w:hAnsi="宋体" w:cs="宋体"/>
                <w:kern w:val="0"/>
                <w:szCs w:val="21"/>
              </w:rPr>
            </w:pPr>
            <w:r>
              <w:rPr>
                <w:rFonts w:hint="eastAsia" w:ascii="宋体" w:hAnsi="宋体" w:cs="宋体"/>
                <w:kern w:val="0"/>
                <w:szCs w:val="21"/>
              </w:rPr>
              <w:t>③方案设计有缺漏，但基本合理，可以实施得2-0.1分；</w:t>
            </w:r>
          </w:p>
          <w:p>
            <w:pPr>
              <w:pStyle w:val="7"/>
              <w:snapToGrid w:val="0"/>
              <w:rPr>
                <w:rFonts w:ascii="宋体" w:hAnsi="宋体" w:cs="宋体"/>
                <w:kern w:val="0"/>
                <w:szCs w:val="21"/>
              </w:rPr>
            </w:pPr>
            <w:r>
              <w:rPr>
                <w:rFonts w:hint="eastAsia" w:ascii="宋体" w:hAnsi="宋体" w:cs="宋体"/>
                <w:kern w:val="0"/>
                <w:szCs w:val="21"/>
              </w:rPr>
              <w:t>④未做方案不得分。</w:t>
            </w:r>
          </w:p>
        </w:tc>
        <w:tc>
          <w:tcPr>
            <w:tcW w:w="720" w:type="dxa"/>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9" w:hRule="atLeast"/>
          <w:jc w:val="center"/>
        </w:trPr>
        <w:tc>
          <w:tcPr>
            <w:tcW w:w="1250" w:type="dxa"/>
            <w:vMerge w:val="continue"/>
            <w:vAlign w:val="center"/>
          </w:tcPr>
          <w:p>
            <w:pPr>
              <w:jc w:val="center"/>
              <w:rPr>
                <w:rFonts w:ascii="宋体" w:hAnsi="宋体" w:cs="宋体"/>
                <w:b/>
                <w:bCs/>
                <w:kern w:val="0"/>
                <w:szCs w:val="21"/>
              </w:rPr>
            </w:pPr>
          </w:p>
        </w:tc>
        <w:tc>
          <w:tcPr>
            <w:tcW w:w="1240" w:type="dxa"/>
            <w:vMerge w:val="continue"/>
            <w:vAlign w:val="center"/>
          </w:tcPr>
          <w:p>
            <w:pPr>
              <w:jc w:val="center"/>
              <w:rPr>
                <w:rFonts w:ascii="宋体" w:hAnsi="宋体" w:cs="宋体"/>
                <w:b/>
                <w:bCs/>
                <w:kern w:val="0"/>
                <w:szCs w:val="21"/>
              </w:rPr>
            </w:pPr>
          </w:p>
        </w:tc>
        <w:tc>
          <w:tcPr>
            <w:tcW w:w="5925" w:type="dxa"/>
            <w:vAlign w:val="center"/>
          </w:tcPr>
          <w:p>
            <w:pPr>
              <w:pStyle w:val="7"/>
              <w:snapToGrid w:val="0"/>
              <w:rPr>
                <w:rFonts w:ascii="宋体" w:hAnsi="宋体" w:cs="宋体"/>
                <w:kern w:val="0"/>
                <w:szCs w:val="21"/>
              </w:rPr>
            </w:pPr>
            <w:r>
              <w:rPr>
                <w:rFonts w:ascii="宋体" w:hAnsi="宋体" w:cs="宋体"/>
                <w:kern w:val="0"/>
                <w:szCs w:val="21"/>
              </w:rPr>
              <w:t>投标人须根据一体化“数智大厅”设计方案，提供</w:t>
            </w:r>
            <w:r>
              <w:rPr>
                <w:rFonts w:hint="eastAsia" w:ascii="宋体" w:hAnsi="宋体" w:cs="宋体"/>
                <w:kern w:val="0"/>
                <w:szCs w:val="21"/>
              </w:rPr>
              <w:t>与台州市相关平台（包括台州市权力运行系统、台州市智慧大厅系统）数据对接</w:t>
            </w:r>
            <w:r>
              <w:rPr>
                <w:rFonts w:ascii="宋体" w:hAnsi="宋体" w:cs="宋体"/>
                <w:kern w:val="0"/>
                <w:szCs w:val="21"/>
              </w:rPr>
              <w:t>及后续升级相关方案，根据方案情况</w:t>
            </w:r>
            <w:r>
              <w:rPr>
                <w:rFonts w:hint="eastAsia" w:ascii="宋体" w:hAnsi="宋体" w:cs="宋体"/>
                <w:kern w:val="0"/>
                <w:szCs w:val="21"/>
              </w:rPr>
              <w:t>进行打分</w:t>
            </w:r>
            <w:r>
              <w:rPr>
                <w:rFonts w:ascii="宋体" w:hAnsi="宋体" w:cs="宋体"/>
                <w:kern w:val="0"/>
                <w:szCs w:val="21"/>
              </w:rPr>
              <w:t>：</w:t>
            </w:r>
          </w:p>
          <w:p>
            <w:pPr>
              <w:pStyle w:val="7"/>
              <w:snapToGrid w:val="0"/>
              <w:rPr>
                <w:rFonts w:ascii="宋体" w:hAnsi="宋体" w:cs="宋体"/>
                <w:kern w:val="0"/>
                <w:szCs w:val="21"/>
              </w:rPr>
            </w:pPr>
            <w:r>
              <w:rPr>
                <w:rFonts w:hint="eastAsia" w:ascii="宋体" w:hAnsi="宋体" w:cs="宋体"/>
                <w:kern w:val="0"/>
                <w:szCs w:val="21"/>
              </w:rPr>
              <w:t>①方案设计完整、合理，可实施性强得6-4.1分；</w:t>
            </w:r>
          </w:p>
          <w:p>
            <w:pPr>
              <w:pStyle w:val="7"/>
              <w:snapToGrid w:val="0"/>
              <w:rPr>
                <w:rFonts w:ascii="宋体" w:hAnsi="宋体" w:cs="宋体"/>
                <w:kern w:val="0"/>
                <w:szCs w:val="21"/>
              </w:rPr>
            </w:pPr>
            <w:r>
              <w:rPr>
                <w:rFonts w:hint="eastAsia" w:ascii="宋体" w:hAnsi="宋体" w:cs="宋体"/>
                <w:kern w:val="0"/>
                <w:szCs w:val="21"/>
              </w:rPr>
              <w:t>②方案设计普通、基本合理，可以实施得4-2.1分；</w:t>
            </w:r>
          </w:p>
          <w:p>
            <w:pPr>
              <w:pStyle w:val="7"/>
              <w:snapToGrid w:val="0"/>
              <w:rPr>
                <w:rFonts w:ascii="宋体" w:hAnsi="宋体" w:cs="宋体"/>
                <w:kern w:val="0"/>
                <w:szCs w:val="21"/>
              </w:rPr>
            </w:pPr>
            <w:r>
              <w:rPr>
                <w:rFonts w:hint="eastAsia" w:ascii="宋体" w:hAnsi="宋体" w:cs="宋体"/>
                <w:kern w:val="0"/>
                <w:szCs w:val="21"/>
              </w:rPr>
              <w:t>③方案设计有缺漏，但基本合理，可以实施得2-0.1分；</w:t>
            </w:r>
          </w:p>
          <w:p>
            <w:pPr>
              <w:pStyle w:val="7"/>
              <w:snapToGrid w:val="0"/>
              <w:rPr>
                <w:rFonts w:ascii="宋体" w:hAnsi="宋体" w:cs="宋体"/>
                <w:kern w:val="0"/>
                <w:szCs w:val="21"/>
              </w:rPr>
            </w:pPr>
            <w:r>
              <w:rPr>
                <w:rFonts w:hint="eastAsia" w:ascii="宋体" w:hAnsi="宋体" w:cs="宋体"/>
                <w:kern w:val="0"/>
                <w:szCs w:val="21"/>
              </w:rPr>
              <w:t>④未做方案不得分。</w:t>
            </w:r>
          </w:p>
        </w:tc>
        <w:tc>
          <w:tcPr>
            <w:tcW w:w="720" w:type="dxa"/>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9" w:hRule="atLeast"/>
          <w:jc w:val="center"/>
        </w:trPr>
        <w:tc>
          <w:tcPr>
            <w:tcW w:w="1250" w:type="dxa"/>
            <w:vMerge w:val="continue"/>
            <w:vAlign w:val="center"/>
          </w:tcPr>
          <w:p>
            <w:pPr>
              <w:jc w:val="center"/>
              <w:rPr>
                <w:rFonts w:ascii="宋体" w:hAnsi="宋体" w:cs="宋体"/>
                <w:b/>
                <w:bCs/>
                <w:kern w:val="0"/>
                <w:szCs w:val="21"/>
              </w:rPr>
            </w:pPr>
          </w:p>
        </w:tc>
        <w:tc>
          <w:tcPr>
            <w:tcW w:w="1240" w:type="dxa"/>
            <w:vAlign w:val="center"/>
          </w:tcPr>
          <w:p>
            <w:pPr>
              <w:jc w:val="center"/>
              <w:rPr>
                <w:rFonts w:ascii="宋体" w:hAnsi="宋体" w:cs="宋体"/>
                <w:b/>
                <w:bCs/>
                <w:kern w:val="0"/>
                <w:szCs w:val="21"/>
              </w:rPr>
            </w:pPr>
            <w:r>
              <w:rPr>
                <w:rFonts w:hint="eastAsia" w:ascii="宋体" w:hAnsi="宋体" w:cs="宋体"/>
                <w:b/>
                <w:bCs/>
                <w:kern w:val="0"/>
                <w:szCs w:val="21"/>
              </w:rPr>
              <w:t>实施方案</w:t>
            </w:r>
          </w:p>
        </w:tc>
        <w:tc>
          <w:tcPr>
            <w:tcW w:w="5925" w:type="dxa"/>
            <w:vAlign w:val="center"/>
          </w:tcPr>
          <w:p>
            <w:pPr>
              <w:pStyle w:val="7"/>
              <w:snapToGrid w:val="0"/>
              <w:rPr>
                <w:rFonts w:ascii="宋体" w:hAnsi="宋体" w:cs="宋体"/>
                <w:kern w:val="0"/>
                <w:szCs w:val="21"/>
              </w:rPr>
            </w:pPr>
            <w:r>
              <w:rPr>
                <w:rFonts w:hint="eastAsia" w:ascii="宋体" w:hAnsi="宋体" w:cs="宋体"/>
                <w:kern w:val="0"/>
                <w:szCs w:val="21"/>
              </w:rPr>
              <w:t>根据投标人的组织实施方案（至少需包含项目组织措施、与台州市相关平台（包括台州市权力运行系统、台州市智慧大厅系统）的数据对接实施</w:t>
            </w:r>
            <w:r>
              <w:rPr>
                <w:rFonts w:ascii="宋体" w:hAnsi="宋体" w:cs="宋体"/>
                <w:kern w:val="0"/>
                <w:szCs w:val="21"/>
              </w:rPr>
              <w:t>措施</w:t>
            </w:r>
            <w:r>
              <w:rPr>
                <w:rFonts w:hint="eastAsia" w:ascii="宋体" w:hAnsi="宋体" w:cs="宋体"/>
                <w:kern w:val="0"/>
                <w:szCs w:val="21"/>
              </w:rPr>
              <w:t>、实施进度计划、项目风险分析、测试与验收方案等）进行评分：</w:t>
            </w:r>
          </w:p>
          <w:p>
            <w:pPr>
              <w:pStyle w:val="7"/>
              <w:snapToGrid w:val="0"/>
              <w:rPr>
                <w:rFonts w:ascii="宋体" w:hAnsi="宋体" w:cs="宋体"/>
                <w:kern w:val="0"/>
                <w:szCs w:val="21"/>
              </w:rPr>
            </w:pPr>
            <w:r>
              <w:rPr>
                <w:rFonts w:hint="eastAsia" w:ascii="宋体" w:hAnsi="宋体" w:cs="宋体"/>
                <w:kern w:val="0"/>
                <w:szCs w:val="21"/>
              </w:rPr>
              <w:t>①方案完整合理，逻辑性、可操作性强，得</w:t>
            </w:r>
            <w:r>
              <w:rPr>
                <w:rFonts w:ascii="宋体" w:hAnsi="宋体" w:cs="宋体"/>
                <w:kern w:val="0"/>
                <w:szCs w:val="21"/>
              </w:rPr>
              <w:t>6-4.1</w:t>
            </w:r>
            <w:r>
              <w:rPr>
                <w:rFonts w:hint="eastAsia" w:ascii="宋体" w:hAnsi="宋体" w:cs="宋体"/>
                <w:kern w:val="0"/>
                <w:szCs w:val="21"/>
              </w:rPr>
              <w:t>分；</w:t>
            </w:r>
          </w:p>
          <w:p>
            <w:pPr>
              <w:pStyle w:val="7"/>
              <w:snapToGrid w:val="0"/>
              <w:rPr>
                <w:rFonts w:ascii="宋体" w:hAnsi="宋体" w:cs="宋体"/>
                <w:kern w:val="0"/>
                <w:szCs w:val="21"/>
              </w:rPr>
            </w:pPr>
            <w:r>
              <w:rPr>
                <w:rFonts w:hint="eastAsia" w:ascii="宋体" w:hAnsi="宋体" w:cs="宋体"/>
                <w:kern w:val="0"/>
                <w:szCs w:val="21"/>
              </w:rPr>
              <w:t>②方案较完整合理，逻辑性、可操作性一般，得</w:t>
            </w:r>
            <w:r>
              <w:rPr>
                <w:rFonts w:ascii="宋体" w:hAnsi="宋体" w:cs="宋体"/>
                <w:kern w:val="0"/>
                <w:szCs w:val="21"/>
              </w:rPr>
              <w:t>4-2.1</w:t>
            </w:r>
            <w:r>
              <w:rPr>
                <w:rFonts w:hint="eastAsia" w:ascii="宋体" w:hAnsi="宋体" w:cs="宋体"/>
                <w:kern w:val="0"/>
                <w:szCs w:val="21"/>
              </w:rPr>
              <w:t>分；</w:t>
            </w:r>
          </w:p>
          <w:p>
            <w:pPr>
              <w:pStyle w:val="7"/>
              <w:snapToGrid w:val="0"/>
              <w:rPr>
                <w:rFonts w:ascii="宋体" w:hAnsi="宋体" w:cs="宋体"/>
                <w:kern w:val="0"/>
                <w:szCs w:val="21"/>
              </w:rPr>
            </w:pPr>
            <w:r>
              <w:rPr>
                <w:rFonts w:hint="eastAsia" w:ascii="宋体" w:hAnsi="宋体" w:cs="宋体"/>
                <w:kern w:val="0"/>
                <w:szCs w:val="21"/>
              </w:rPr>
              <w:t>③方案粗糙，逻辑性、可操作性较差，得</w:t>
            </w:r>
            <w:r>
              <w:rPr>
                <w:rFonts w:ascii="宋体" w:hAnsi="宋体" w:cs="宋体"/>
                <w:kern w:val="0"/>
                <w:szCs w:val="21"/>
              </w:rPr>
              <w:t>2-0.1</w:t>
            </w:r>
            <w:r>
              <w:rPr>
                <w:rFonts w:hint="eastAsia" w:ascii="宋体" w:hAnsi="宋体" w:cs="宋体"/>
                <w:kern w:val="0"/>
                <w:szCs w:val="21"/>
              </w:rPr>
              <w:t>分；</w:t>
            </w:r>
          </w:p>
          <w:p>
            <w:pPr>
              <w:pStyle w:val="7"/>
              <w:snapToGrid w:val="0"/>
              <w:rPr>
                <w:rFonts w:ascii="宋体" w:hAnsi="宋体" w:cs="宋体"/>
                <w:kern w:val="0"/>
                <w:szCs w:val="21"/>
              </w:rPr>
            </w:pPr>
            <w:r>
              <w:rPr>
                <w:rFonts w:hint="eastAsia" w:ascii="宋体" w:hAnsi="宋体" w:cs="宋体"/>
                <w:kern w:val="0"/>
                <w:szCs w:val="21"/>
              </w:rPr>
              <w:t>④未提供方案不得分。</w:t>
            </w:r>
          </w:p>
        </w:tc>
        <w:tc>
          <w:tcPr>
            <w:tcW w:w="720" w:type="dxa"/>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250" w:type="dxa"/>
            <w:vMerge w:val="continue"/>
            <w:vAlign w:val="center"/>
          </w:tcPr>
          <w:p>
            <w:pPr>
              <w:jc w:val="center"/>
              <w:rPr>
                <w:rFonts w:ascii="宋体" w:hAnsi="宋体" w:cs="宋体"/>
                <w:b/>
                <w:bCs/>
                <w:kern w:val="0"/>
                <w:szCs w:val="21"/>
              </w:rPr>
            </w:pPr>
          </w:p>
        </w:tc>
        <w:tc>
          <w:tcPr>
            <w:tcW w:w="1240" w:type="dxa"/>
            <w:vAlign w:val="center"/>
          </w:tcPr>
          <w:p>
            <w:pPr>
              <w:jc w:val="center"/>
              <w:rPr>
                <w:rFonts w:ascii="宋体" w:hAnsi="宋体" w:cs="宋体"/>
                <w:b/>
                <w:bCs/>
                <w:kern w:val="0"/>
                <w:szCs w:val="21"/>
              </w:rPr>
            </w:pPr>
            <w:r>
              <w:rPr>
                <w:rFonts w:hint="eastAsia" w:ascii="宋体" w:hAnsi="宋体" w:cs="宋体"/>
                <w:b/>
                <w:bCs/>
                <w:kern w:val="0"/>
                <w:szCs w:val="21"/>
              </w:rPr>
              <w:t>方案讲解及功能演示</w:t>
            </w:r>
          </w:p>
        </w:tc>
        <w:tc>
          <w:tcPr>
            <w:tcW w:w="5925" w:type="dxa"/>
            <w:vAlign w:val="center"/>
          </w:tcPr>
          <w:p>
            <w:pPr>
              <w:pStyle w:val="7"/>
              <w:snapToGrid w:val="0"/>
              <w:rPr>
                <w:rFonts w:ascii="宋体" w:hAnsi="宋体" w:cs="宋体"/>
                <w:kern w:val="0"/>
                <w:szCs w:val="21"/>
              </w:rPr>
            </w:pPr>
            <w:r>
              <w:rPr>
                <w:rFonts w:hint="eastAsia" w:ascii="宋体" w:hAnsi="宋体" w:cs="宋体"/>
                <w:kern w:val="0"/>
                <w:szCs w:val="21"/>
              </w:rPr>
              <w:t>投标人</w:t>
            </w:r>
            <w:r>
              <w:rPr>
                <w:rFonts w:ascii="宋体" w:hAnsi="宋体" w:cs="宋体"/>
                <w:kern w:val="0"/>
                <w:szCs w:val="21"/>
              </w:rPr>
              <w:t>需演示包含</w:t>
            </w:r>
            <w:r>
              <w:rPr>
                <w:rFonts w:hint="eastAsia" w:ascii="宋体" w:hAnsi="宋体" w:cs="宋体"/>
                <w:kern w:val="0"/>
                <w:szCs w:val="21"/>
              </w:rPr>
              <w:t>下述</w:t>
            </w:r>
            <w:r>
              <w:rPr>
                <w:rFonts w:ascii="宋体" w:hAnsi="宋体" w:cs="宋体"/>
                <w:kern w:val="0"/>
                <w:szCs w:val="21"/>
              </w:rPr>
              <w:t>2个</w:t>
            </w:r>
            <w:r>
              <w:rPr>
                <w:rFonts w:hint="eastAsia" w:ascii="宋体" w:hAnsi="宋体" w:cs="宋体"/>
                <w:kern w:val="0"/>
                <w:szCs w:val="21"/>
              </w:rPr>
              <w:t>部分内容</w:t>
            </w:r>
            <w:r>
              <w:rPr>
                <w:rFonts w:ascii="宋体" w:hAnsi="宋体" w:cs="宋体"/>
                <w:kern w:val="0"/>
                <w:szCs w:val="21"/>
              </w:rPr>
              <w:t>的</w:t>
            </w:r>
            <w:r>
              <w:rPr>
                <w:rFonts w:hint="eastAsia" w:ascii="宋体" w:hAnsi="宋体" w:cs="宋体"/>
                <w:kern w:val="0"/>
                <w:szCs w:val="21"/>
              </w:rPr>
              <w:t>真实类似系统操作演示，配有人员讲解。演示总时长不超过20分钟（需通过“政采云视频讲标系统”进行线上实时演示）</w:t>
            </w:r>
            <w:r>
              <w:rPr>
                <w:rFonts w:ascii="宋体" w:hAnsi="宋体" w:cs="宋体"/>
                <w:kern w:val="0"/>
                <w:szCs w:val="21"/>
              </w:rPr>
              <w:t>，最高得22分</w:t>
            </w:r>
            <w:r>
              <w:rPr>
                <w:rFonts w:hint="eastAsia" w:ascii="宋体" w:hAnsi="宋体" w:cs="宋体"/>
                <w:kern w:val="0"/>
                <w:szCs w:val="21"/>
              </w:rPr>
              <w:t>。</w:t>
            </w:r>
            <w:r>
              <w:rPr>
                <w:rFonts w:ascii="宋体" w:hAnsi="宋体" w:cs="宋体"/>
                <w:kern w:val="0"/>
                <w:szCs w:val="21"/>
              </w:rPr>
              <w:t>若非</w:t>
            </w:r>
            <w:r>
              <w:rPr>
                <w:rFonts w:hint="eastAsia" w:ascii="宋体" w:hAnsi="宋体" w:cs="宋体"/>
                <w:kern w:val="0"/>
                <w:szCs w:val="21"/>
              </w:rPr>
              <w:t>真实系统</w:t>
            </w:r>
            <w:r>
              <w:rPr>
                <w:rFonts w:ascii="宋体" w:hAnsi="宋体" w:cs="宋体"/>
                <w:kern w:val="0"/>
                <w:szCs w:val="21"/>
              </w:rPr>
              <w:t>演示，则最终得分减半处理，最高得11分 。</w:t>
            </w:r>
          </w:p>
          <w:p>
            <w:pPr>
              <w:snapToGrid w:val="0"/>
              <w:rPr>
                <w:rFonts w:ascii="宋体" w:hAnsi="宋体" w:cs="宋体"/>
                <w:kern w:val="0"/>
                <w:szCs w:val="21"/>
              </w:rPr>
            </w:pPr>
            <w:r>
              <w:rPr>
                <w:rFonts w:hint="eastAsia" w:ascii="宋体" w:hAnsi="宋体" w:cs="宋体"/>
                <w:kern w:val="0"/>
                <w:szCs w:val="21"/>
              </w:rPr>
              <w:t>1、演示政务服务驾驶舱：</w:t>
            </w:r>
          </w:p>
          <w:p>
            <w:pPr>
              <w:snapToGrid w:val="0"/>
              <w:rPr>
                <w:rFonts w:ascii="宋体" w:hAnsi="宋体" w:cs="宋体"/>
                <w:kern w:val="0"/>
                <w:szCs w:val="21"/>
              </w:rPr>
            </w:pPr>
            <w:r>
              <w:rPr>
                <w:rFonts w:hint="eastAsia" w:ascii="宋体" w:hAnsi="宋体" w:cs="宋体"/>
                <w:kern w:val="0"/>
                <w:szCs w:val="21"/>
              </w:rPr>
              <w:t>（1）预警指标：①大厅每日防疫预警统计；②根据不同队列服务平均等待时长进行队列长时等待预警；满足一项得1分，满分2分。</w:t>
            </w:r>
          </w:p>
          <w:p>
            <w:pPr>
              <w:snapToGrid w:val="0"/>
              <w:rPr>
                <w:rFonts w:ascii="宋体" w:hAnsi="宋体" w:cs="宋体"/>
                <w:kern w:val="0"/>
                <w:szCs w:val="21"/>
              </w:rPr>
            </w:pPr>
            <w:r>
              <w:rPr>
                <w:rFonts w:hint="eastAsia" w:ascii="宋体" w:hAnsi="宋体" w:cs="宋体"/>
                <w:kern w:val="0"/>
                <w:szCs w:val="21"/>
              </w:rPr>
              <w:t>（2）预警配置：①预警任务可根据预警指标定制其实现方法；②预警规则的输入参数根据预警规则内容自动添加；③预警规则的输出参数根据预警措施自动添加；④配置提醒人员，预警发生时发送预警信息给配置的人员；⑤预警周期配置可以按天、按周、按月、按年选择，也可以按间隔时间秒、分钟、小时、天、月；⑥预警周期选择后自动将表达式解析成通俗语言。满足一项得1分，满分6分。</w:t>
            </w:r>
          </w:p>
          <w:p>
            <w:pPr>
              <w:snapToGrid w:val="0"/>
              <w:rPr>
                <w:rFonts w:ascii="宋体" w:hAnsi="宋体" w:cs="宋体"/>
                <w:kern w:val="0"/>
                <w:szCs w:val="21"/>
              </w:rPr>
            </w:pPr>
            <w:r>
              <w:rPr>
                <w:rFonts w:hint="eastAsia" w:ascii="宋体" w:hAnsi="宋体" w:cs="宋体"/>
                <w:kern w:val="0"/>
                <w:szCs w:val="21"/>
              </w:rPr>
              <w:t>（3）预警清单：①预警提醒人员可以对预警记录进行反馈；②根据预警分类展示预警记录列表，可查看预警记录的详情以及处理人的反馈信息。满足一项得</w:t>
            </w:r>
            <w:r>
              <w:rPr>
                <w:rFonts w:ascii="宋体" w:hAnsi="宋体" w:cs="宋体"/>
                <w:kern w:val="0"/>
                <w:szCs w:val="21"/>
              </w:rPr>
              <w:t>1</w:t>
            </w:r>
            <w:r>
              <w:rPr>
                <w:rFonts w:hint="eastAsia" w:ascii="宋体" w:hAnsi="宋体" w:cs="宋体"/>
                <w:kern w:val="0"/>
                <w:szCs w:val="21"/>
              </w:rPr>
              <w:t>分，满分</w:t>
            </w:r>
            <w:r>
              <w:rPr>
                <w:rFonts w:ascii="宋体" w:hAnsi="宋体" w:cs="宋体"/>
                <w:kern w:val="0"/>
                <w:szCs w:val="21"/>
              </w:rPr>
              <w:t>2</w:t>
            </w:r>
            <w:r>
              <w:rPr>
                <w:rFonts w:hint="eastAsia" w:ascii="宋体" w:hAnsi="宋体" w:cs="宋体"/>
                <w:kern w:val="0"/>
                <w:szCs w:val="21"/>
              </w:rPr>
              <w:t>分。</w:t>
            </w:r>
          </w:p>
          <w:p>
            <w:pPr>
              <w:snapToGrid w:val="0"/>
              <w:rPr>
                <w:rFonts w:ascii="宋体" w:hAnsi="宋体" w:cs="宋体"/>
                <w:kern w:val="0"/>
                <w:szCs w:val="21"/>
              </w:rPr>
            </w:pPr>
            <w:r>
              <w:rPr>
                <w:rFonts w:hint="eastAsia" w:ascii="宋体" w:hAnsi="宋体" w:cs="宋体"/>
                <w:kern w:val="0"/>
                <w:szCs w:val="21"/>
              </w:rPr>
              <w:t>（4）监控网点管理：①批量设置监控网点所在大厅；②查看监控网点视频。满足一项得1分，满分2分。</w:t>
            </w:r>
          </w:p>
          <w:p>
            <w:pPr>
              <w:snapToGrid w:val="0"/>
              <w:rPr>
                <w:rFonts w:ascii="宋体" w:hAnsi="宋体" w:cs="宋体"/>
                <w:kern w:val="0"/>
                <w:szCs w:val="21"/>
              </w:rPr>
            </w:pPr>
            <w:r>
              <w:rPr>
                <w:rFonts w:hint="eastAsia" w:ascii="宋体" w:hAnsi="宋体" w:cs="宋体"/>
                <w:kern w:val="0"/>
                <w:szCs w:val="21"/>
              </w:rPr>
              <w:t>（5）大厅运营月报表：将大厅的各个数据比如车流、人流、服务时间、叫号数、等待时间等通过图表的方式进行展示，可导出一个用于决策分析的WORD文档月报表。满足一项得</w:t>
            </w:r>
            <w:r>
              <w:rPr>
                <w:rFonts w:ascii="宋体" w:hAnsi="宋体" w:cs="宋体"/>
                <w:kern w:val="0"/>
                <w:szCs w:val="21"/>
              </w:rPr>
              <w:t>2</w:t>
            </w:r>
            <w:r>
              <w:rPr>
                <w:rFonts w:hint="eastAsia" w:ascii="宋体" w:hAnsi="宋体" w:cs="宋体"/>
                <w:kern w:val="0"/>
                <w:szCs w:val="21"/>
              </w:rPr>
              <w:t>分，满分</w:t>
            </w:r>
            <w:r>
              <w:rPr>
                <w:rFonts w:ascii="宋体" w:hAnsi="宋体" w:cs="宋体"/>
                <w:kern w:val="0"/>
                <w:szCs w:val="21"/>
              </w:rPr>
              <w:t>2</w:t>
            </w:r>
            <w:r>
              <w:rPr>
                <w:rFonts w:hint="eastAsia" w:ascii="宋体" w:hAnsi="宋体" w:cs="宋体"/>
                <w:kern w:val="0"/>
                <w:szCs w:val="21"/>
              </w:rPr>
              <w:t>分。</w:t>
            </w:r>
          </w:p>
          <w:p>
            <w:pPr>
              <w:snapToGrid w:val="0"/>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）通过驾驶舱方式展示大厅以及服务人员相关的统计分析数据，包括①服务完备度②服务成熟度③服务覆盖度④服务成效度四个模块。满足一项得1分，满分4分。</w:t>
            </w:r>
          </w:p>
          <w:p>
            <w:pPr>
              <w:snapToGrid w:val="0"/>
              <w:rPr>
                <w:rFonts w:ascii="宋体" w:hAnsi="宋体" w:cs="宋体"/>
                <w:kern w:val="0"/>
                <w:szCs w:val="21"/>
              </w:rPr>
            </w:pPr>
            <w:r>
              <w:rPr>
                <w:rFonts w:ascii="宋体" w:hAnsi="宋体" w:cs="宋体"/>
                <w:kern w:val="0"/>
                <w:szCs w:val="21"/>
              </w:rPr>
              <w:t>2</w:t>
            </w:r>
            <w:r>
              <w:rPr>
                <w:rFonts w:hint="eastAsia" w:ascii="宋体" w:hAnsi="宋体" w:cs="宋体"/>
                <w:kern w:val="0"/>
                <w:szCs w:val="21"/>
              </w:rPr>
              <w:t>、演示浙里办政务小百科功能：①每日展示5道政务知识相关的选择题；②每日答题提交答案后展示本日答题记录以及答案解析；③每日答题后在每日答题记录中展示当日的答题记录以及得分排行榜。④每天展示常见的政务知识。满足一项得1分，满分4分。</w:t>
            </w:r>
          </w:p>
        </w:tc>
        <w:tc>
          <w:tcPr>
            <w:tcW w:w="720" w:type="dxa"/>
            <w:vAlign w:val="center"/>
          </w:tcPr>
          <w:p>
            <w:pPr>
              <w:jc w:val="center"/>
              <w:rPr>
                <w:rFonts w:ascii="宋体" w:hAnsi="宋体" w:cs="宋体"/>
                <w:kern w:val="0"/>
                <w:szCs w:val="21"/>
              </w:rPr>
            </w:pPr>
            <w:r>
              <w:rPr>
                <w:rFonts w:hint="eastAsia" w:ascii="宋体" w:hAnsi="宋体" w:cs="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jc w:val="center"/>
        </w:trPr>
        <w:tc>
          <w:tcPr>
            <w:tcW w:w="1250" w:type="dxa"/>
            <w:vMerge w:val="restart"/>
            <w:vAlign w:val="center"/>
          </w:tcPr>
          <w:p>
            <w:pPr>
              <w:pStyle w:val="11"/>
              <w:ind w:firstLine="0"/>
              <w:jc w:val="center"/>
              <w:rPr>
                <w:rFonts w:ascii="宋体" w:hAnsi="宋体" w:cs="宋体"/>
                <w:b/>
                <w:bCs/>
                <w:kern w:val="0"/>
                <w:szCs w:val="21"/>
              </w:rPr>
            </w:pPr>
            <w:r>
              <w:rPr>
                <w:rFonts w:hint="eastAsia" w:ascii="宋体" w:hAnsi="宋体" w:cs="宋体"/>
                <w:b/>
                <w:bCs/>
                <w:kern w:val="0"/>
                <w:szCs w:val="21"/>
              </w:rPr>
              <w:t>实力信誉及业绩</w:t>
            </w:r>
          </w:p>
          <w:p>
            <w:pPr>
              <w:pStyle w:val="11"/>
              <w:ind w:firstLine="0"/>
              <w:jc w:val="center"/>
              <w:rPr>
                <w:rFonts w:ascii="宋体" w:hAnsi="宋体" w:cs="宋体"/>
                <w:b/>
                <w:bCs/>
                <w:kern w:val="0"/>
                <w:szCs w:val="21"/>
              </w:rPr>
            </w:pPr>
            <w:r>
              <w:rPr>
                <w:rFonts w:hint="eastAsia" w:ascii="宋体" w:hAnsi="宋体" w:cs="宋体"/>
                <w:b/>
                <w:bCs/>
                <w:kern w:val="0"/>
                <w:szCs w:val="21"/>
              </w:rPr>
              <w:t>（19分）</w:t>
            </w:r>
          </w:p>
        </w:tc>
        <w:tc>
          <w:tcPr>
            <w:tcW w:w="1240" w:type="dxa"/>
            <w:vAlign w:val="center"/>
          </w:tcPr>
          <w:p>
            <w:pPr>
              <w:jc w:val="center"/>
              <w:rPr>
                <w:rFonts w:ascii="宋体" w:hAnsi="宋体" w:cs="宋体"/>
                <w:b/>
                <w:bCs/>
                <w:kern w:val="0"/>
                <w:szCs w:val="21"/>
              </w:rPr>
            </w:pPr>
            <w:r>
              <w:rPr>
                <w:rFonts w:hint="eastAsia" w:ascii="宋体" w:hAnsi="宋体" w:cs="宋体"/>
                <w:b/>
                <w:bCs/>
                <w:kern w:val="0"/>
                <w:szCs w:val="21"/>
              </w:rPr>
              <w:t>投标人</w:t>
            </w:r>
          </w:p>
          <w:p>
            <w:pPr>
              <w:jc w:val="center"/>
              <w:rPr>
                <w:rFonts w:ascii="宋体" w:hAnsi="宋体" w:cs="宋体"/>
                <w:b/>
                <w:bCs/>
                <w:kern w:val="0"/>
                <w:szCs w:val="21"/>
              </w:rPr>
            </w:pPr>
            <w:r>
              <w:rPr>
                <w:rFonts w:hint="eastAsia" w:ascii="宋体" w:hAnsi="宋体" w:cs="宋体"/>
                <w:b/>
                <w:bCs/>
                <w:kern w:val="0"/>
                <w:szCs w:val="21"/>
              </w:rPr>
              <w:t>实力</w:t>
            </w:r>
          </w:p>
        </w:tc>
        <w:tc>
          <w:tcPr>
            <w:tcW w:w="5925" w:type="dxa"/>
            <w:vAlign w:val="center"/>
          </w:tcPr>
          <w:p>
            <w:pPr>
              <w:rPr>
                <w:rFonts w:ascii="宋体" w:hAnsi="宋体" w:cs="宋体"/>
                <w:kern w:val="0"/>
                <w:szCs w:val="21"/>
              </w:rPr>
            </w:pPr>
            <w:r>
              <w:rPr>
                <w:rFonts w:hint="eastAsia" w:ascii="宋体" w:hAnsi="宋体" w:cs="宋体"/>
                <w:spacing w:val="-2"/>
                <w:kern w:val="0"/>
                <w:szCs w:val="21"/>
              </w:rPr>
              <w:t>投标人具备质量管理体系认证证书、信息技术服务管理体系认证证书、信息安全管理体系认证证书、ITSS证书；每具备一项得</w:t>
            </w:r>
            <w:r>
              <w:rPr>
                <w:rFonts w:ascii="宋体" w:hAnsi="宋体" w:cs="宋体"/>
                <w:spacing w:val="-2"/>
                <w:kern w:val="0"/>
                <w:szCs w:val="21"/>
              </w:rPr>
              <w:t>1</w:t>
            </w:r>
            <w:r>
              <w:rPr>
                <w:rFonts w:hint="eastAsia" w:ascii="宋体" w:hAnsi="宋体" w:cs="宋体"/>
                <w:spacing w:val="-2"/>
                <w:kern w:val="0"/>
                <w:szCs w:val="21"/>
              </w:rPr>
              <w:t>分，最高得4分。</w:t>
            </w:r>
          </w:p>
        </w:tc>
        <w:tc>
          <w:tcPr>
            <w:tcW w:w="720" w:type="dxa"/>
            <w:vAlign w:val="center"/>
          </w:tcPr>
          <w:p>
            <w:pPr>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50" w:type="dxa"/>
            <w:vMerge w:val="continue"/>
            <w:vAlign w:val="center"/>
          </w:tcPr>
          <w:p>
            <w:pPr>
              <w:pStyle w:val="11"/>
              <w:ind w:firstLine="0"/>
              <w:jc w:val="center"/>
              <w:rPr>
                <w:rFonts w:ascii="宋体" w:hAnsi="宋体" w:cs="宋体"/>
                <w:b/>
                <w:bCs/>
                <w:kern w:val="0"/>
                <w:szCs w:val="21"/>
              </w:rPr>
            </w:pPr>
          </w:p>
        </w:tc>
        <w:tc>
          <w:tcPr>
            <w:tcW w:w="1240" w:type="dxa"/>
            <w:vAlign w:val="center"/>
          </w:tcPr>
          <w:p>
            <w:pPr>
              <w:jc w:val="center"/>
              <w:rPr>
                <w:rFonts w:ascii="宋体" w:hAnsi="宋体" w:cs="宋体"/>
                <w:b/>
                <w:bCs/>
                <w:kern w:val="0"/>
                <w:szCs w:val="21"/>
              </w:rPr>
            </w:pPr>
            <w:r>
              <w:rPr>
                <w:rFonts w:hint="eastAsia" w:ascii="宋体" w:hAnsi="宋体" w:cs="宋体"/>
                <w:b/>
                <w:bCs/>
                <w:kern w:val="0"/>
                <w:szCs w:val="21"/>
              </w:rPr>
              <w:t>项目业绩</w:t>
            </w:r>
          </w:p>
          <w:p>
            <w:pPr>
              <w:jc w:val="center"/>
              <w:rPr>
                <w:rFonts w:ascii="宋体" w:hAnsi="宋体" w:cs="宋体"/>
                <w:kern w:val="0"/>
                <w:szCs w:val="21"/>
              </w:rPr>
            </w:pPr>
            <w:r>
              <w:rPr>
                <w:rFonts w:hint="eastAsia" w:ascii="宋体" w:hAnsi="宋体" w:cs="宋体"/>
                <w:b/>
                <w:bCs/>
                <w:kern w:val="0"/>
                <w:szCs w:val="21"/>
              </w:rPr>
              <w:t>（客观分）</w:t>
            </w:r>
          </w:p>
        </w:tc>
        <w:tc>
          <w:tcPr>
            <w:tcW w:w="5925" w:type="dxa"/>
            <w:vAlign w:val="center"/>
          </w:tcPr>
          <w:p>
            <w:pPr>
              <w:rPr>
                <w:rFonts w:ascii="宋体" w:hAnsi="宋体" w:cs="宋体"/>
                <w:kern w:val="0"/>
                <w:szCs w:val="21"/>
              </w:rPr>
            </w:pPr>
            <w:r>
              <w:rPr>
                <w:rFonts w:hint="eastAsia" w:ascii="宋体" w:hAnsi="宋体" w:cs="宋体"/>
                <w:kern w:val="0"/>
                <w:szCs w:val="21"/>
              </w:rPr>
              <w:t>投标人自2020年1月以来（以合同签订时间为准）的类似信息化项目业绩，进行打分，每提供一个得1分，最高得2分。（需提供合同</w:t>
            </w:r>
            <w:r>
              <w:rPr>
                <w:rFonts w:ascii="宋体" w:hAnsi="宋体" w:cs="宋体"/>
                <w:kern w:val="0"/>
                <w:szCs w:val="21"/>
              </w:rPr>
              <w:t>扫描</w:t>
            </w:r>
            <w:r>
              <w:rPr>
                <w:rFonts w:hint="eastAsia" w:ascii="宋体" w:hAnsi="宋体" w:cs="宋体"/>
                <w:kern w:val="0"/>
                <w:szCs w:val="21"/>
              </w:rPr>
              <w:t>件等证明材料并加盖公章）</w:t>
            </w:r>
          </w:p>
        </w:tc>
        <w:tc>
          <w:tcPr>
            <w:tcW w:w="720" w:type="dxa"/>
            <w:vAlign w:val="center"/>
          </w:tcPr>
          <w:p>
            <w:pPr>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5" w:hRule="atLeast"/>
          <w:jc w:val="center"/>
        </w:trPr>
        <w:tc>
          <w:tcPr>
            <w:tcW w:w="1250" w:type="dxa"/>
            <w:vMerge w:val="continue"/>
            <w:vAlign w:val="center"/>
          </w:tcPr>
          <w:p>
            <w:pPr>
              <w:pStyle w:val="11"/>
              <w:ind w:firstLine="0"/>
              <w:jc w:val="center"/>
              <w:rPr>
                <w:rFonts w:ascii="宋体" w:hAnsi="宋体" w:cs="宋体"/>
                <w:b/>
                <w:bCs/>
                <w:kern w:val="0"/>
                <w:szCs w:val="21"/>
              </w:rPr>
            </w:pPr>
          </w:p>
        </w:tc>
        <w:tc>
          <w:tcPr>
            <w:tcW w:w="1240" w:type="dxa"/>
            <w:vAlign w:val="center"/>
          </w:tcPr>
          <w:p>
            <w:pPr>
              <w:jc w:val="center"/>
              <w:rPr>
                <w:rFonts w:ascii="宋体" w:hAnsi="宋体" w:cs="宋体"/>
                <w:b/>
                <w:bCs/>
                <w:kern w:val="0"/>
                <w:szCs w:val="21"/>
              </w:rPr>
            </w:pPr>
            <w:r>
              <w:rPr>
                <w:rFonts w:hint="eastAsia" w:ascii="宋体" w:hAnsi="宋体" w:cs="宋体"/>
                <w:b/>
                <w:bCs/>
                <w:kern w:val="0"/>
                <w:szCs w:val="21"/>
              </w:rPr>
              <w:t>项目团队能力</w:t>
            </w:r>
          </w:p>
          <w:p>
            <w:pPr>
              <w:jc w:val="center"/>
              <w:rPr>
                <w:rFonts w:ascii="宋体" w:hAnsi="宋体" w:cs="宋体"/>
                <w:b/>
                <w:bCs/>
                <w:kern w:val="0"/>
                <w:szCs w:val="21"/>
              </w:rPr>
            </w:pPr>
            <w:r>
              <w:rPr>
                <w:rFonts w:hint="eastAsia" w:ascii="宋体" w:hAnsi="宋体" w:cs="宋体"/>
                <w:b/>
                <w:bCs/>
                <w:kern w:val="0"/>
                <w:szCs w:val="21"/>
              </w:rPr>
              <w:t>（客观分）</w:t>
            </w:r>
          </w:p>
        </w:tc>
        <w:tc>
          <w:tcPr>
            <w:tcW w:w="5925" w:type="dxa"/>
            <w:vAlign w:val="center"/>
          </w:tcPr>
          <w:p>
            <w:pPr>
              <w:rPr>
                <w:rFonts w:ascii="宋体" w:hAnsi="宋体" w:cs="宋体"/>
                <w:kern w:val="0"/>
                <w:szCs w:val="21"/>
              </w:rPr>
            </w:pPr>
            <w:r>
              <w:rPr>
                <w:rFonts w:hint="eastAsia" w:ascii="宋体" w:hAnsi="宋体" w:cs="宋体"/>
                <w:kern w:val="0"/>
                <w:szCs w:val="21"/>
              </w:rPr>
              <w:t>1、投标人拟派项目经理具备权威机构（如人力资源和社会保障厅/部或工业和信息化部）颁发的信息系统项目管理师、软件设计师、信息安全工程师、网络工程师，每提供一个得1分，最高得</w:t>
            </w:r>
            <w:r>
              <w:rPr>
                <w:rFonts w:ascii="宋体" w:hAnsi="宋体" w:cs="宋体"/>
                <w:kern w:val="0"/>
                <w:szCs w:val="21"/>
              </w:rPr>
              <w:t>4</w:t>
            </w:r>
            <w:r>
              <w:rPr>
                <w:rFonts w:hint="eastAsia" w:ascii="宋体" w:hAnsi="宋体" w:cs="宋体"/>
                <w:kern w:val="0"/>
                <w:szCs w:val="21"/>
              </w:rPr>
              <w:t>分。</w:t>
            </w:r>
          </w:p>
          <w:p>
            <w:pPr>
              <w:rPr>
                <w:rFonts w:ascii="宋体" w:hAnsi="宋体" w:cs="宋体"/>
                <w:kern w:val="0"/>
                <w:szCs w:val="21"/>
              </w:rPr>
            </w:pPr>
            <w:r>
              <w:rPr>
                <w:rFonts w:hint="eastAsia" w:ascii="宋体" w:hAnsi="宋体" w:cs="宋体"/>
                <w:kern w:val="0"/>
                <w:szCs w:val="21"/>
              </w:rPr>
              <w:t>2、拟投入本项目的技术负责人具有大数据分析师（高级）、网络工程师的，每提供一个得1分，最高得</w:t>
            </w:r>
            <w:r>
              <w:rPr>
                <w:rFonts w:ascii="宋体" w:hAnsi="宋体" w:cs="宋体"/>
                <w:kern w:val="0"/>
                <w:szCs w:val="21"/>
              </w:rPr>
              <w:t>2</w:t>
            </w:r>
            <w:r>
              <w:rPr>
                <w:rFonts w:hint="eastAsia" w:ascii="宋体" w:hAnsi="宋体" w:cs="宋体"/>
                <w:kern w:val="0"/>
                <w:szCs w:val="21"/>
              </w:rPr>
              <w:t>分。</w:t>
            </w:r>
          </w:p>
          <w:p>
            <w:pPr>
              <w:rPr>
                <w:rFonts w:ascii="宋体" w:hAnsi="宋体" w:cs="宋体"/>
                <w:kern w:val="0"/>
                <w:szCs w:val="21"/>
              </w:rPr>
            </w:pPr>
            <w:r>
              <w:rPr>
                <w:rFonts w:hint="eastAsia" w:ascii="宋体" w:hAnsi="宋体" w:cs="宋体"/>
                <w:kern w:val="0"/>
                <w:szCs w:val="21"/>
              </w:rPr>
              <w:t>3、拟投入本项目的驻场实施人员具有系统集成项目管理工程师、网络工程师、软件工程师的，每提供一个得1分，最高得3分。</w:t>
            </w:r>
          </w:p>
          <w:p>
            <w:pPr>
              <w:rPr>
                <w:rFonts w:ascii="宋体" w:hAnsi="宋体" w:cs="宋体"/>
                <w:kern w:val="0"/>
                <w:szCs w:val="21"/>
              </w:rPr>
            </w:pPr>
            <w:r>
              <w:rPr>
                <w:rFonts w:hint="eastAsia" w:ascii="宋体" w:hAnsi="宋体" w:cs="宋体"/>
                <w:kern w:val="0"/>
                <w:szCs w:val="21"/>
              </w:rPr>
              <w:t>4、项目团队成员（除上述人员外）人员具有信息系统项目管理师、软件设计师、网络工程师、系统集成项目管理工程师、信息安全工程师等认证，每具备一项得1分，最高得4分。一人有多项证书的，只按一次得分。</w:t>
            </w:r>
          </w:p>
          <w:p>
            <w:pPr>
              <w:pStyle w:val="11"/>
              <w:ind w:firstLine="0"/>
              <w:rPr>
                <w:rFonts w:ascii="Arial" w:hAnsi="Arial"/>
                <w:kern w:val="0"/>
                <w:szCs w:val="21"/>
              </w:rPr>
            </w:pPr>
            <w:r>
              <w:rPr>
                <w:rFonts w:hint="eastAsia" w:ascii="宋体" w:hAnsi="宋体" w:cs="宋体"/>
                <w:b/>
                <w:bCs/>
                <w:kern w:val="0"/>
                <w:szCs w:val="21"/>
              </w:rPr>
              <w:t>以上人员提供最近3个月社保缴纳证明材料、相应的资质证书</w:t>
            </w:r>
            <w:r>
              <w:rPr>
                <w:rFonts w:ascii="宋体" w:hAnsi="宋体" w:cs="宋体"/>
                <w:b/>
                <w:bCs/>
                <w:kern w:val="0"/>
                <w:szCs w:val="21"/>
              </w:rPr>
              <w:t>扫描</w:t>
            </w:r>
            <w:r>
              <w:rPr>
                <w:rFonts w:hint="eastAsia" w:ascii="宋体" w:hAnsi="宋体" w:cs="宋体"/>
                <w:b/>
                <w:bCs/>
                <w:kern w:val="0"/>
                <w:szCs w:val="21"/>
              </w:rPr>
              <w:t>件，并加盖投标人公章。</w:t>
            </w:r>
          </w:p>
        </w:tc>
        <w:tc>
          <w:tcPr>
            <w:tcW w:w="720" w:type="dxa"/>
            <w:vAlign w:val="center"/>
          </w:tcPr>
          <w:p>
            <w:pPr>
              <w:jc w:val="center"/>
              <w:rPr>
                <w:rFonts w:ascii="宋体" w:hAnsi="宋体" w:cs="宋体"/>
                <w:kern w:val="0"/>
                <w:szCs w:val="21"/>
              </w:rPr>
            </w:pPr>
            <w:r>
              <w:rPr>
                <w:rFonts w:hint="eastAsia" w:ascii="宋体" w:hAnsi="宋体" w:cs="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250" w:type="dxa"/>
            <w:vMerge w:val="restart"/>
            <w:vAlign w:val="center"/>
          </w:tcPr>
          <w:p>
            <w:pPr>
              <w:pStyle w:val="11"/>
              <w:ind w:firstLine="0"/>
              <w:jc w:val="center"/>
              <w:rPr>
                <w:rFonts w:ascii="宋体" w:hAnsi="宋体" w:cs="宋体"/>
                <w:b/>
                <w:bCs/>
                <w:kern w:val="0"/>
                <w:szCs w:val="21"/>
              </w:rPr>
            </w:pPr>
            <w:r>
              <w:rPr>
                <w:rFonts w:hint="eastAsia" w:ascii="宋体" w:hAnsi="宋体" w:cs="宋体"/>
                <w:b/>
                <w:bCs/>
                <w:kern w:val="0"/>
                <w:szCs w:val="21"/>
              </w:rPr>
              <w:t>售后服务承诺</w:t>
            </w:r>
          </w:p>
          <w:p>
            <w:pPr>
              <w:pStyle w:val="11"/>
              <w:ind w:firstLine="0"/>
              <w:jc w:val="center"/>
              <w:rPr>
                <w:rFonts w:ascii="宋体" w:hAnsi="宋体" w:cs="宋体"/>
                <w:b/>
                <w:bCs/>
                <w:kern w:val="0"/>
                <w:szCs w:val="21"/>
              </w:rPr>
            </w:pPr>
            <w:r>
              <w:rPr>
                <w:rFonts w:hint="eastAsia" w:ascii="宋体" w:hAnsi="宋体" w:cs="宋体"/>
                <w:b/>
                <w:bCs/>
                <w:kern w:val="0"/>
                <w:szCs w:val="21"/>
              </w:rPr>
              <w:t>（12分）</w:t>
            </w:r>
          </w:p>
        </w:tc>
        <w:tc>
          <w:tcPr>
            <w:tcW w:w="1240" w:type="dxa"/>
            <w:vAlign w:val="center"/>
          </w:tcPr>
          <w:p>
            <w:pPr>
              <w:jc w:val="center"/>
              <w:rPr>
                <w:rFonts w:ascii="宋体" w:hAnsi="宋体" w:cs="宋体"/>
                <w:b/>
                <w:bCs/>
                <w:kern w:val="0"/>
                <w:szCs w:val="21"/>
              </w:rPr>
            </w:pPr>
            <w:r>
              <w:rPr>
                <w:rFonts w:hint="eastAsia" w:ascii="宋体" w:hAnsi="宋体" w:cs="宋体"/>
                <w:b/>
                <w:bCs/>
                <w:kern w:val="0"/>
                <w:szCs w:val="21"/>
              </w:rPr>
              <w:t>售后服务方案</w:t>
            </w:r>
          </w:p>
        </w:tc>
        <w:tc>
          <w:tcPr>
            <w:tcW w:w="5925" w:type="dxa"/>
            <w:vAlign w:val="center"/>
          </w:tcPr>
          <w:p>
            <w:pPr>
              <w:rPr>
                <w:rFonts w:ascii="宋体" w:hAnsi="宋体" w:cs="宋体"/>
                <w:kern w:val="0"/>
                <w:szCs w:val="21"/>
              </w:rPr>
            </w:pPr>
            <w:r>
              <w:rPr>
                <w:rFonts w:hint="eastAsia" w:ascii="宋体" w:hAnsi="宋体" w:cs="宋体"/>
                <w:kern w:val="0"/>
                <w:szCs w:val="21"/>
              </w:rPr>
              <w:t>根据投标人的售后服务方案、本地化服务能力、响应时限等内容进行打分：</w:t>
            </w:r>
          </w:p>
          <w:p>
            <w:pPr>
              <w:rPr>
                <w:rFonts w:ascii="宋体" w:hAnsi="宋体" w:cs="宋体"/>
                <w:kern w:val="0"/>
                <w:szCs w:val="21"/>
              </w:rPr>
            </w:pPr>
            <w:r>
              <w:rPr>
                <w:rFonts w:hint="eastAsia" w:ascii="宋体" w:hAnsi="宋体" w:cs="宋体"/>
                <w:kern w:val="0"/>
                <w:szCs w:val="21"/>
              </w:rPr>
              <w:t>①方案详实、内容完整、操作性强的得</w:t>
            </w:r>
            <w:r>
              <w:rPr>
                <w:rFonts w:ascii="宋体" w:hAnsi="宋体" w:cs="宋体"/>
                <w:kern w:val="0"/>
                <w:szCs w:val="21"/>
              </w:rPr>
              <w:t>6-4.1</w:t>
            </w:r>
            <w:r>
              <w:rPr>
                <w:rFonts w:hint="eastAsia" w:ascii="宋体" w:hAnsi="宋体" w:cs="宋体"/>
                <w:kern w:val="0"/>
                <w:szCs w:val="21"/>
              </w:rPr>
              <w:t>分；</w:t>
            </w:r>
          </w:p>
          <w:p>
            <w:pPr>
              <w:rPr>
                <w:rFonts w:ascii="宋体" w:hAnsi="宋体" w:cs="宋体"/>
                <w:kern w:val="0"/>
                <w:szCs w:val="21"/>
              </w:rPr>
            </w:pPr>
            <w:r>
              <w:rPr>
                <w:rFonts w:hint="eastAsia" w:ascii="宋体" w:hAnsi="宋体" w:cs="宋体"/>
                <w:kern w:val="0"/>
                <w:szCs w:val="21"/>
              </w:rPr>
              <w:t>②方案合理、内容常规、操作性一般的得</w:t>
            </w:r>
            <w:r>
              <w:rPr>
                <w:rFonts w:ascii="宋体" w:hAnsi="宋体" w:cs="宋体"/>
                <w:kern w:val="0"/>
                <w:szCs w:val="21"/>
              </w:rPr>
              <w:t>4-2.1</w:t>
            </w:r>
            <w:r>
              <w:rPr>
                <w:rFonts w:hint="eastAsia" w:ascii="宋体" w:hAnsi="宋体" w:cs="宋体"/>
                <w:kern w:val="0"/>
                <w:szCs w:val="21"/>
              </w:rPr>
              <w:t>分；</w:t>
            </w:r>
          </w:p>
          <w:p>
            <w:pPr>
              <w:rPr>
                <w:rFonts w:ascii="Arial" w:hAnsi="Arial"/>
                <w:szCs w:val="21"/>
              </w:rPr>
            </w:pPr>
            <w:r>
              <w:rPr>
                <w:rFonts w:hint="eastAsia" w:ascii="宋体" w:hAnsi="宋体" w:cs="宋体"/>
                <w:kern w:val="0"/>
                <w:szCs w:val="21"/>
              </w:rPr>
              <w:t>③方案粗糙、内容缺漏、操作性差的得</w:t>
            </w:r>
            <w:r>
              <w:rPr>
                <w:rFonts w:ascii="宋体" w:hAnsi="宋体" w:cs="宋体"/>
                <w:kern w:val="0"/>
                <w:szCs w:val="21"/>
              </w:rPr>
              <w:t>2-0</w:t>
            </w:r>
            <w:r>
              <w:rPr>
                <w:rFonts w:hint="eastAsia" w:ascii="宋体" w:hAnsi="宋体" w:cs="宋体"/>
                <w:kern w:val="0"/>
                <w:szCs w:val="21"/>
              </w:rPr>
              <w:t>分</w:t>
            </w:r>
            <w:r>
              <w:rPr>
                <w:rFonts w:ascii="宋体" w:hAnsi="宋体" w:cs="宋体"/>
                <w:kern w:val="0"/>
                <w:szCs w:val="21"/>
              </w:rPr>
              <w:t>；</w:t>
            </w:r>
          </w:p>
        </w:tc>
        <w:tc>
          <w:tcPr>
            <w:tcW w:w="720" w:type="dxa"/>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jc w:val="center"/>
        </w:trPr>
        <w:tc>
          <w:tcPr>
            <w:tcW w:w="1250" w:type="dxa"/>
            <w:vMerge w:val="continue"/>
            <w:vAlign w:val="center"/>
          </w:tcPr>
          <w:p>
            <w:pPr>
              <w:jc w:val="center"/>
              <w:rPr>
                <w:rFonts w:ascii="宋体" w:hAnsi="宋体" w:cs="宋体"/>
                <w:b/>
                <w:bCs/>
                <w:kern w:val="0"/>
                <w:szCs w:val="21"/>
              </w:rPr>
            </w:pPr>
          </w:p>
        </w:tc>
        <w:tc>
          <w:tcPr>
            <w:tcW w:w="1240" w:type="dxa"/>
            <w:vAlign w:val="center"/>
          </w:tcPr>
          <w:p>
            <w:pPr>
              <w:jc w:val="center"/>
              <w:rPr>
                <w:rFonts w:ascii="宋体" w:hAnsi="宋体" w:cs="宋体"/>
                <w:b/>
                <w:bCs/>
                <w:kern w:val="0"/>
                <w:szCs w:val="21"/>
              </w:rPr>
            </w:pPr>
            <w:r>
              <w:rPr>
                <w:rFonts w:hint="eastAsia" w:ascii="宋体" w:hAnsi="宋体" w:cs="宋体"/>
                <w:b/>
                <w:bCs/>
                <w:kern w:val="0"/>
                <w:szCs w:val="21"/>
              </w:rPr>
              <w:t>培训方案</w:t>
            </w:r>
          </w:p>
        </w:tc>
        <w:tc>
          <w:tcPr>
            <w:tcW w:w="5925" w:type="dxa"/>
            <w:vAlign w:val="center"/>
          </w:tcPr>
          <w:p>
            <w:pPr>
              <w:rPr>
                <w:rFonts w:ascii="宋体" w:hAnsi="宋体" w:cs="宋体"/>
                <w:kern w:val="0"/>
                <w:szCs w:val="21"/>
              </w:rPr>
            </w:pPr>
            <w:r>
              <w:rPr>
                <w:rFonts w:hint="eastAsia" w:ascii="宋体" w:hAnsi="宋体" w:cs="宋体"/>
                <w:kern w:val="0"/>
                <w:szCs w:val="21"/>
              </w:rPr>
              <w:t>根据投标人的培训计划（至少应包括培训内容、培训时间地点、培训师资力量等）进行评分：</w:t>
            </w:r>
          </w:p>
          <w:p>
            <w:pPr>
              <w:rPr>
                <w:rFonts w:ascii="宋体" w:hAnsi="宋体" w:cs="宋体"/>
                <w:kern w:val="0"/>
                <w:szCs w:val="21"/>
              </w:rPr>
            </w:pPr>
            <w:r>
              <w:rPr>
                <w:rFonts w:hint="eastAsia" w:ascii="宋体" w:hAnsi="宋体" w:cs="宋体"/>
                <w:kern w:val="0"/>
                <w:szCs w:val="21"/>
              </w:rPr>
              <w:t>①内容完整性、合理性、可操作性较好，得</w:t>
            </w:r>
            <w:r>
              <w:rPr>
                <w:rFonts w:ascii="宋体" w:hAnsi="宋体" w:cs="宋体"/>
                <w:kern w:val="0"/>
                <w:szCs w:val="21"/>
              </w:rPr>
              <w:t>3-2.1</w:t>
            </w:r>
            <w:r>
              <w:rPr>
                <w:rFonts w:hint="eastAsia" w:ascii="宋体" w:hAnsi="宋体" w:cs="宋体"/>
                <w:kern w:val="0"/>
                <w:szCs w:val="21"/>
              </w:rPr>
              <w:t>分；</w:t>
            </w:r>
          </w:p>
          <w:p>
            <w:pPr>
              <w:rPr>
                <w:rFonts w:ascii="宋体" w:hAnsi="宋体" w:cs="宋体"/>
                <w:kern w:val="0"/>
                <w:szCs w:val="21"/>
              </w:rPr>
            </w:pPr>
            <w:r>
              <w:rPr>
                <w:rFonts w:hint="eastAsia" w:ascii="宋体" w:hAnsi="宋体" w:cs="宋体"/>
                <w:kern w:val="0"/>
                <w:szCs w:val="21"/>
              </w:rPr>
              <w:t>②内容逻辑性、完整性、合理性、可操作性一般，得</w:t>
            </w:r>
            <w:r>
              <w:rPr>
                <w:rFonts w:ascii="宋体" w:hAnsi="宋体" w:cs="宋体"/>
                <w:kern w:val="0"/>
                <w:szCs w:val="21"/>
              </w:rPr>
              <w:t>2-1.</w:t>
            </w:r>
            <w:r>
              <w:rPr>
                <w:rFonts w:hint="eastAsia" w:ascii="宋体" w:hAnsi="宋体" w:cs="宋体"/>
                <w:kern w:val="0"/>
                <w:szCs w:val="21"/>
              </w:rPr>
              <w:t>1分；</w:t>
            </w:r>
          </w:p>
          <w:p>
            <w:pPr>
              <w:rPr>
                <w:rFonts w:ascii="宋体" w:hAnsi="宋体" w:cs="宋体"/>
                <w:kern w:val="0"/>
                <w:szCs w:val="21"/>
              </w:rPr>
            </w:pPr>
            <w:r>
              <w:rPr>
                <w:rFonts w:hint="eastAsia" w:ascii="宋体" w:hAnsi="宋体" w:cs="宋体"/>
                <w:kern w:val="0"/>
                <w:szCs w:val="21"/>
              </w:rPr>
              <w:t>③内容逻辑性、完整性、合理性、可操作性较差，得</w:t>
            </w:r>
            <w:r>
              <w:rPr>
                <w:rFonts w:ascii="宋体" w:hAnsi="宋体" w:cs="宋体"/>
                <w:kern w:val="0"/>
                <w:szCs w:val="21"/>
              </w:rPr>
              <w:t>1-0</w:t>
            </w:r>
            <w:r>
              <w:rPr>
                <w:rFonts w:hint="eastAsia" w:ascii="宋体" w:hAnsi="宋体" w:cs="宋体"/>
                <w:kern w:val="0"/>
                <w:szCs w:val="21"/>
              </w:rPr>
              <w:t>分；</w:t>
            </w:r>
          </w:p>
        </w:tc>
        <w:tc>
          <w:tcPr>
            <w:tcW w:w="720" w:type="dxa"/>
            <w:vAlign w:val="center"/>
          </w:tcPr>
          <w:p>
            <w:pPr>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250" w:type="dxa"/>
            <w:vMerge w:val="continue"/>
            <w:vAlign w:val="center"/>
          </w:tcPr>
          <w:p>
            <w:pPr>
              <w:jc w:val="center"/>
              <w:rPr>
                <w:rFonts w:ascii="宋体" w:hAnsi="宋体" w:cs="宋体"/>
                <w:b/>
                <w:bCs/>
                <w:kern w:val="0"/>
                <w:szCs w:val="21"/>
              </w:rPr>
            </w:pPr>
          </w:p>
        </w:tc>
        <w:tc>
          <w:tcPr>
            <w:tcW w:w="1240" w:type="dxa"/>
            <w:vAlign w:val="center"/>
          </w:tcPr>
          <w:p>
            <w:pPr>
              <w:jc w:val="center"/>
              <w:rPr>
                <w:rFonts w:ascii="宋体" w:hAnsi="宋体" w:cs="宋体"/>
                <w:b/>
                <w:bCs/>
                <w:kern w:val="0"/>
                <w:szCs w:val="21"/>
              </w:rPr>
            </w:pPr>
            <w:r>
              <w:rPr>
                <w:rFonts w:hint="eastAsia" w:ascii="宋体" w:hAnsi="宋体" w:cs="宋体"/>
                <w:b/>
                <w:bCs/>
                <w:kern w:val="0"/>
                <w:szCs w:val="21"/>
              </w:rPr>
              <w:t>应急方案</w:t>
            </w:r>
          </w:p>
        </w:tc>
        <w:tc>
          <w:tcPr>
            <w:tcW w:w="5925" w:type="dxa"/>
            <w:vAlign w:val="center"/>
          </w:tcPr>
          <w:p>
            <w:pPr>
              <w:rPr>
                <w:rFonts w:ascii="宋体" w:hAnsi="宋体" w:cs="宋体"/>
                <w:kern w:val="0"/>
                <w:szCs w:val="21"/>
                <w:lang w:val="zh-CN"/>
              </w:rPr>
            </w:pPr>
            <w:r>
              <w:rPr>
                <w:rFonts w:hint="eastAsia" w:ascii="宋体" w:hAnsi="宋体" w:cs="宋体"/>
                <w:kern w:val="0"/>
                <w:szCs w:val="21"/>
              </w:rPr>
              <w:t>根据投标人提供的应急方案（包括</w:t>
            </w:r>
            <w:r>
              <w:rPr>
                <w:rFonts w:hint="eastAsia" w:ascii="宋体" w:hAnsi="宋体" w:cs="宋体"/>
                <w:kern w:val="0"/>
                <w:szCs w:val="21"/>
                <w:lang w:val="zh-CN"/>
              </w:rPr>
              <w:t>服务保障应急预案、对可能遇到的问题及其应对措施的考虑、故障处理的组织和联系机制</w:t>
            </w:r>
            <w:r>
              <w:rPr>
                <w:rFonts w:hint="eastAsia" w:ascii="宋体" w:hAnsi="宋体" w:cs="宋体"/>
                <w:kern w:val="0"/>
                <w:szCs w:val="21"/>
              </w:rPr>
              <w:t>）进行综合打分</w:t>
            </w:r>
            <w:r>
              <w:rPr>
                <w:rFonts w:hint="eastAsia" w:ascii="宋体" w:hAnsi="宋体" w:cs="宋体"/>
                <w:kern w:val="0"/>
                <w:szCs w:val="21"/>
                <w:lang w:val="zh-CN"/>
              </w:rPr>
              <w:t>：</w:t>
            </w:r>
          </w:p>
          <w:p>
            <w:pPr>
              <w:rPr>
                <w:rFonts w:ascii="宋体" w:hAnsi="宋体" w:cs="宋体"/>
                <w:kern w:val="0"/>
                <w:szCs w:val="21"/>
              </w:rPr>
            </w:pPr>
            <w:r>
              <w:rPr>
                <w:rFonts w:hint="eastAsia" w:ascii="宋体" w:hAnsi="宋体" w:cs="宋体"/>
                <w:kern w:val="0"/>
                <w:szCs w:val="21"/>
              </w:rPr>
              <w:t>①方案详实、</w:t>
            </w:r>
            <w:r>
              <w:rPr>
                <w:rFonts w:hint="eastAsia" w:ascii="宋体" w:hAnsi="宋体" w:cs="宋体"/>
                <w:kern w:val="0"/>
                <w:szCs w:val="21"/>
                <w:lang w:val="zh-CN"/>
              </w:rPr>
              <w:t>内容完整、操作性强</w:t>
            </w:r>
            <w:r>
              <w:rPr>
                <w:rFonts w:hint="eastAsia" w:ascii="宋体" w:hAnsi="宋体" w:cs="宋体"/>
                <w:kern w:val="0"/>
                <w:szCs w:val="21"/>
              </w:rPr>
              <w:t>的得3-2.1分；</w:t>
            </w:r>
          </w:p>
          <w:p>
            <w:pPr>
              <w:rPr>
                <w:rFonts w:ascii="宋体" w:hAnsi="宋体" w:cs="宋体"/>
                <w:kern w:val="0"/>
                <w:szCs w:val="21"/>
              </w:rPr>
            </w:pPr>
            <w:r>
              <w:rPr>
                <w:rFonts w:hint="eastAsia" w:ascii="宋体" w:hAnsi="宋体" w:cs="宋体"/>
                <w:kern w:val="0"/>
                <w:szCs w:val="21"/>
              </w:rPr>
              <w:t>②方案合理、</w:t>
            </w:r>
            <w:r>
              <w:rPr>
                <w:rFonts w:hint="eastAsia" w:ascii="宋体" w:hAnsi="宋体" w:cs="宋体"/>
                <w:kern w:val="0"/>
                <w:szCs w:val="21"/>
                <w:lang w:val="zh-CN"/>
              </w:rPr>
              <w:t>内容常规、操作性一般</w:t>
            </w:r>
            <w:r>
              <w:rPr>
                <w:rFonts w:hint="eastAsia" w:ascii="宋体" w:hAnsi="宋体" w:cs="宋体"/>
                <w:kern w:val="0"/>
                <w:szCs w:val="21"/>
              </w:rPr>
              <w:t>的得2-1.1分；</w:t>
            </w:r>
          </w:p>
          <w:p>
            <w:pPr>
              <w:rPr>
                <w:rFonts w:ascii="宋体" w:hAnsi="宋体" w:cs="宋体"/>
                <w:kern w:val="0"/>
                <w:szCs w:val="21"/>
              </w:rPr>
            </w:pPr>
            <w:r>
              <w:rPr>
                <w:rFonts w:hint="eastAsia" w:ascii="宋体" w:hAnsi="宋体" w:cs="宋体"/>
                <w:kern w:val="0"/>
                <w:szCs w:val="21"/>
              </w:rPr>
              <w:t>③方案粗糙、</w:t>
            </w:r>
            <w:r>
              <w:rPr>
                <w:rFonts w:hint="eastAsia" w:ascii="宋体" w:hAnsi="宋体" w:cs="宋体"/>
                <w:kern w:val="0"/>
                <w:szCs w:val="21"/>
                <w:lang w:val="zh-CN"/>
              </w:rPr>
              <w:t>内容缺漏、操作性差</w:t>
            </w:r>
            <w:r>
              <w:rPr>
                <w:rFonts w:hint="eastAsia" w:ascii="宋体" w:hAnsi="宋体" w:cs="宋体"/>
                <w:kern w:val="0"/>
                <w:szCs w:val="21"/>
              </w:rPr>
              <w:t>的得1-0分。</w:t>
            </w:r>
          </w:p>
        </w:tc>
        <w:tc>
          <w:tcPr>
            <w:tcW w:w="720" w:type="dxa"/>
            <w:vAlign w:val="center"/>
          </w:tcPr>
          <w:p>
            <w:pPr>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250" w:type="dxa"/>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价 格</w:t>
            </w:r>
          </w:p>
          <w:p>
            <w:pPr>
              <w:adjustRightInd w:val="0"/>
              <w:snapToGrid w:val="0"/>
              <w:jc w:val="center"/>
              <w:rPr>
                <w:rFonts w:ascii="宋体" w:hAnsi="宋体" w:cs="宋体"/>
                <w:kern w:val="0"/>
                <w:szCs w:val="21"/>
              </w:rPr>
            </w:pPr>
            <w:r>
              <w:rPr>
                <w:rFonts w:hint="eastAsia" w:ascii="宋体" w:hAnsi="宋体" w:cs="宋体"/>
                <w:b/>
                <w:bCs/>
                <w:kern w:val="0"/>
                <w:szCs w:val="21"/>
              </w:rPr>
              <w:t>（20分)</w:t>
            </w:r>
          </w:p>
        </w:tc>
        <w:tc>
          <w:tcPr>
            <w:tcW w:w="7165" w:type="dxa"/>
            <w:gridSpan w:val="2"/>
            <w:vAlign w:val="center"/>
          </w:tcPr>
          <w:p>
            <w:pPr>
              <w:rPr>
                <w:rFonts w:ascii="宋体" w:hAnsi="宋体" w:cs="宋体"/>
                <w:kern w:val="0"/>
                <w:szCs w:val="21"/>
              </w:rPr>
            </w:pPr>
            <w:r>
              <w:rPr>
                <w:rFonts w:hint="eastAsia" w:ascii="宋体" w:hAnsi="宋体" w:cs="宋体"/>
                <w:kern w:val="0"/>
                <w:szCs w:val="21"/>
              </w:rPr>
              <w:t>以合格投标人有效总报价中的最低价为基准价，基准价为 分。报价得分＝（评标基准价/最终报价）</w:t>
            </w:r>
            <w:r>
              <w:rPr>
                <w:rFonts w:hint="eastAsia" w:ascii="宋体" w:hAnsi="宋体" w:cs="宋体"/>
                <w:bCs/>
                <w:kern w:val="0"/>
                <w:szCs w:val="21"/>
              </w:rPr>
              <w:t>×</w:t>
            </w:r>
            <w:r>
              <w:rPr>
                <w:rFonts w:hint="eastAsia" w:ascii="宋体" w:hAnsi="宋体" w:cs="宋体"/>
                <w:kern w:val="0"/>
                <w:szCs w:val="21"/>
              </w:rPr>
              <w:t>20%</w:t>
            </w:r>
            <w:r>
              <w:rPr>
                <w:rFonts w:hint="eastAsia" w:ascii="宋体" w:hAnsi="宋体" w:cs="宋体"/>
                <w:bCs/>
                <w:kern w:val="0"/>
                <w:szCs w:val="21"/>
              </w:rPr>
              <w:t>×</w:t>
            </w:r>
            <w:r>
              <w:rPr>
                <w:rFonts w:hint="eastAsia" w:ascii="宋体" w:hAnsi="宋体" w:cs="宋体"/>
                <w:kern w:val="0"/>
                <w:szCs w:val="21"/>
              </w:rPr>
              <w:t>100（小数点后保留2位小数）。（注：对于小型和微型企业产品的价格给予6%的扣除，用扣除后的价格参与评审。)</w:t>
            </w:r>
          </w:p>
        </w:tc>
        <w:tc>
          <w:tcPr>
            <w:tcW w:w="720" w:type="dxa"/>
            <w:vAlign w:val="center"/>
          </w:tcPr>
          <w:p>
            <w:pPr>
              <w:jc w:val="center"/>
              <w:rPr>
                <w:rFonts w:ascii="宋体" w:hAnsi="宋体" w:cs="宋体"/>
                <w:kern w:val="0"/>
                <w:szCs w:val="21"/>
              </w:rPr>
            </w:pPr>
            <w:r>
              <w:rPr>
                <w:rFonts w:hint="eastAsia" w:ascii="宋体" w:hAnsi="宋体" w:cs="宋体"/>
                <w:kern w:val="0"/>
                <w:szCs w:val="21"/>
              </w:rPr>
              <w:t>20</w:t>
            </w:r>
          </w:p>
        </w:tc>
      </w:tr>
    </w:tbl>
    <w:p>
      <w:pPr>
        <w:pStyle w:val="18"/>
        <w:ind w:left="0" w:leftChars="0" w:firstLine="0"/>
        <w:rPr>
          <w:rFonts w:ascii="宋体" w:hAnsi="宋体"/>
          <w:sz w:val="24"/>
        </w:rPr>
      </w:pPr>
    </w:p>
    <w:p>
      <w:pPr>
        <w:pStyle w:val="3"/>
        <w:tabs>
          <w:tab w:val="clear" w:pos="8280"/>
        </w:tabs>
        <w:jc w:val="center"/>
        <w:rPr>
          <w:rFonts w:cs="宋体"/>
          <w:bCs/>
          <w:kern w:val="0"/>
          <w:sz w:val="24"/>
          <w:szCs w:val="24"/>
        </w:rPr>
      </w:pPr>
      <w:r>
        <w:rPr>
          <w:rFonts w:hint="eastAsia"/>
          <w:sz w:val="24"/>
          <w:szCs w:val="24"/>
        </w:rPr>
        <w:t>标</w:t>
      </w:r>
      <w:r>
        <w:rPr>
          <w:sz w:val="24"/>
          <w:szCs w:val="24"/>
        </w:rPr>
        <w:t>段</w:t>
      </w:r>
      <w:r>
        <w:rPr>
          <w:rFonts w:hint="eastAsia"/>
          <w:sz w:val="24"/>
          <w:szCs w:val="24"/>
        </w:rPr>
        <w:t>二</w:t>
      </w:r>
      <w:r>
        <w:rPr>
          <w:rFonts w:hint="eastAsia" w:cs="宋体"/>
          <w:bCs/>
          <w:kern w:val="0"/>
          <w:sz w:val="24"/>
          <w:szCs w:val="24"/>
        </w:rPr>
        <w:t xml:space="preserve">  台州市政务服务一体化“数智大厅”硬件设备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187"/>
        <w:gridCol w:w="5875"/>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szCs w:val="21"/>
              </w:rPr>
            </w:pPr>
            <w:r>
              <w:rPr>
                <w:rFonts w:hint="eastAsia" w:ascii="宋体" w:hAnsi="宋体" w:cs="宋体"/>
                <w:b/>
                <w:szCs w:val="21"/>
              </w:rPr>
              <w:t>打分项目</w:t>
            </w:r>
          </w:p>
        </w:tc>
        <w:tc>
          <w:tcPr>
            <w:tcW w:w="7062" w:type="dxa"/>
            <w:gridSpan w:val="2"/>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szCs w:val="21"/>
              </w:rPr>
            </w:pPr>
            <w:r>
              <w:rPr>
                <w:rFonts w:hint="eastAsia" w:ascii="宋体" w:hAnsi="宋体" w:cs="宋体"/>
                <w:b/>
                <w:szCs w:val="21"/>
              </w:rPr>
              <w:t>打分细则</w:t>
            </w:r>
          </w:p>
        </w:tc>
        <w:tc>
          <w:tcPr>
            <w:tcW w:w="783"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jc w:val="center"/>
        </w:trPr>
        <w:tc>
          <w:tcPr>
            <w:tcW w:w="1283" w:type="dxa"/>
            <w:vMerge w:val="restart"/>
            <w:tcBorders>
              <w:top w:val="single" w:color="auto" w:sz="4" w:space="0"/>
              <w:left w:val="single" w:color="auto" w:sz="4" w:space="0"/>
              <w:right w:val="single" w:color="auto" w:sz="4" w:space="0"/>
            </w:tcBorders>
            <w:vAlign w:val="center"/>
          </w:tcPr>
          <w:p>
            <w:pPr>
              <w:pStyle w:val="11"/>
              <w:ind w:firstLine="0"/>
              <w:jc w:val="center"/>
              <w:rPr>
                <w:rFonts w:ascii="宋体" w:hAnsi="宋体" w:cs="宋体"/>
                <w:b/>
                <w:bCs/>
                <w:szCs w:val="21"/>
              </w:rPr>
            </w:pPr>
            <w:r>
              <w:rPr>
                <w:rFonts w:hint="eastAsia" w:ascii="宋体" w:hAnsi="宋体" w:cs="宋体"/>
                <w:b/>
                <w:bCs/>
                <w:szCs w:val="21"/>
              </w:rPr>
              <w:t>技术性能(38分)</w:t>
            </w:r>
          </w:p>
        </w:tc>
        <w:tc>
          <w:tcPr>
            <w:tcW w:w="1187" w:type="dxa"/>
            <w:tcBorders>
              <w:top w:val="single" w:color="auto" w:sz="4" w:space="0"/>
              <w:left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整体技术方案</w:t>
            </w:r>
          </w:p>
        </w:tc>
        <w:tc>
          <w:tcPr>
            <w:tcW w:w="5875" w:type="dxa"/>
            <w:tcBorders>
              <w:top w:val="single" w:color="auto" w:sz="4" w:space="0"/>
              <w:left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根据投标人对采购项目现状和招标方案需求的理解，提供的项目总体思路，系统构架，功能模块，应用系统设计方案，根据方案的成熟度、科学性和可靠性进行综合评分：</w:t>
            </w:r>
          </w:p>
          <w:p>
            <w:pPr>
              <w:jc w:val="left"/>
              <w:rPr>
                <w:rFonts w:ascii="宋体" w:hAnsi="宋体" w:cs="宋体"/>
                <w:szCs w:val="21"/>
              </w:rPr>
            </w:pPr>
            <w:r>
              <w:rPr>
                <w:rFonts w:hint="eastAsia" w:ascii="宋体" w:hAnsi="宋体" w:cs="宋体"/>
                <w:szCs w:val="21"/>
              </w:rPr>
              <w:t>①对项目现状和招标方案需求了解深入，项目总体思路清晰，设计方案合理得6-4.1分；</w:t>
            </w:r>
          </w:p>
          <w:p>
            <w:pPr>
              <w:jc w:val="left"/>
              <w:rPr>
                <w:rFonts w:ascii="宋体" w:hAnsi="宋体" w:cs="宋体"/>
                <w:szCs w:val="21"/>
              </w:rPr>
            </w:pPr>
            <w:r>
              <w:rPr>
                <w:rFonts w:hint="eastAsia" w:ascii="宋体" w:hAnsi="宋体" w:cs="宋体"/>
                <w:szCs w:val="21"/>
              </w:rPr>
              <w:t>②项目现状和招标方案需求了解较深入，项目总体思路较清晰，设计方案较合理得4-2.1分；</w:t>
            </w:r>
          </w:p>
          <w:p>
            <w:pPr>
              <w:jc w:val="left"/>
              <w:rPr>
                <w:rFonts w:ascii="宋体" w:hAnsi="宋体" w:cs="宋体"/>
                <w:szCs w:val="21"/>
              </w:rPr>
            </w:pPr>
            <w:r>
              <w:rPr>
                <w:rFonts w:hint="eastAsia" w:ascii="宋体" w:hAnsi="宋体" w:cs="宋体"/>
                <w:szCs w:val="21"/>
              </w:rPr>
              <w:t>③项目现状和招标方案需求了解一般，项目总体思路一般，设计方案一般2-0.1分。</w:t>
            </w:r>
          </w:p>
          <w:p>
            <w:pPr>
              <w:pStyle w:val="31"/>
              <w:widowControl w:val="0"/>
              <w:jc w:val="both"/>
              <w:rPr>
                <w:rFonts w:ascii="宋体" w:hAnsi="宋体" w:eastAsia="宋体" w:cs="宋体"/>
                <w:spacing w:val="-2"/>
                <w:sz w:val="21"/>
                <w:szCs w:val="21"/>
              </w:rPr>
            </w:pPr>
            <w:r>
              <w:rPr>
                <w:rFonts w:hint="eastAsia" w:ascii="宋体" w:hAnsi="宋体" w:eastAsia="宋体" w:cs="宋体"/>
                <w:sz w:val="21"/>
                <w:szCs w:val="21"/>
              </w:rPr>
              <w:t>④未做方案不得分。</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jc w:val="center"/>
        </w:trPr>
        <w:tc>
          <w:tcPr>
            <w:tcW w:w="1283"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187" w:type="dxa"/>
            <w:vMerge w:val="restart"/>
            <w:tcBorders>
              <w:left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szCs w:val="21"/>
              </w:rPr>
              <w:t>综合性能</w:t>
            </w:r>
          </w:p>
        </w:tc>
        <w:tc>
          <w:tcPr>
            <w:tcW w:w="5875" w:type="dxa"/>
            <w:tcBorders>
              <w:top w:val="single" w:color="auto" w:sz="4" w:space="0"/>
              <w:left w:val="single" w:color="auto" w:sz="4" w:space="0"/>
              <w:right w:val="single" w:color="auto" w:sz="4" w:space="0"/>
            </w:tcBorders>
            <w:vAlign w:val="center"/>
          </w:tcPr>
          <w:p>
            <w:pPr>
              <w:pStyle w:val="31"/>
              <w:widowControl w:val="0"/>
              <w:jc w:val="both"/>
              <w:rPr>
                <w:rFonts w:ascii="宋体" w:hAnsi="宋体" w:eastAsia="宋体" w:cs="宋体"/>
                <w:spacing w:val="-2"/>
                <w:sz w:val="21"/>
                <w:szCs w:val="21"/>
              </w:rPr>
            </w:pPr>
            <w:r>
              <w:rPr>
                <w:rFonts w:hint="eastAsia" w:ascii="宋体" w:hAnsi="宋体" w:eastAsia="宋体" w:cs="宋体"/>
                <w:spacing w:val="-2"/>
                <w:sz w:val="21"/>
                <w:szCs w:val="21"/>
              </w:rPr>
              <w:t>根据所投设备的综合性能、技术参数的先进性、质量稳定性、安全性等综合评分：</w:t>
            </w:r>
          </w:p>
          <w:p>
            <w:pPr>
              <w:jc w:val="left"/>
              <w:rPr>
                <w:rFonts w:ascii="宋体" w:hAnsi="宋体" w:cs="宋体"/>
                <w:szCs w:val="21"/>
              </w:rPr>
            </w:pPr>
            <w:r>
              <w:rPr>
                <w:rFonts w:hint="eastAsia" w:ascii="宋体" w:hAnsi="宋体" w:cs="宋体"/>
                <w:szCs w:val="21"/>
              </w:rPr>
              <w:t>①所投产品整体性能优秀，技术先进，安全性及稳定性好的得3-2.1分；</w:t>
            </w:r>
          </w:p>
          <w:p>
            <w:pPr>
              <w:jc w:val="left"/>
              <w:rPr>
                <w:rFonts w:ascii="宋体" w:hAnsi="宋体" w:cs="宋体"/>
                <w:szCs w:val="21"/>
              </w:rPr>
            </w:pPr>
            <w:r>
              <w:rPr>
                <w:rFonts w:hint="eastAsia" w:ascii="宋体" w:hAnsi="宋体" w:cs="宋体"/>
                <w:szCs w:val="21"/>
              </w:rPr>
              <w:t>②所投产品整体性能良好，技术参数常规，安全且稳定的得2-1.1分；</w:t>
            </w:r>
          </w:p>
          <w:p>
            <w:pPr>
              <w:pStyle w:val="31"/>
              <w:widowControl w:val="0"/>
              <w:jc w:val="both"/>
              <w:rPr>
                <w:rFonts w:ascii="宋体" w:hAnsi="宋体" w:eastAsia="宋体" w:cs="宋体"/>
                <w:spacing w:val="-2"/>
                <w:sz w:val="21"/>
                <w:szCs w:val="21"/>
              </w:rPr>
            </w:pPr>
            <w:r>
              <w:rPr>
                <w:rFonts w:hint="eastAsia" w:ascii="宋体" w:hAnsi="宋体" w:eastAsia="宋体" w:cs="宋体"/>
                <w:sz w:val="21"/>
                <w:szCs w:val="21"/>
              </w:rPr>
              <w:t>③所投产品整体性能一般，技术性能一般但安全稳定的得1-0分。</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yellow"/>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6" w:hRule="atLeast"/>
          <w:jc w:val="center"/>
        </w:trPr>
        <w:tc>
          <w:tcPr>
            <w:tcW w:w="1283"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187" w:type="dxa"/>
            <w:vMerge w:val="continue"/>
            <w:tcBorders>
              <w:left w:val="single" w:color="auto" w:sz="4" w:space="0"/>
              <w:right w:val="single" w:color="auto" w:sz="4" w:space="0"/>
            </w:tcBorders>
            <w:vAlign w:val="center"/>
          </w:tcPr>
          <w:p>
            <w:pPr>
              <w:jc w:val="center"/>
              <w:rPr>
                <w:rFonts w:ascii="宋体" w:hAnsi="宋体" w:cs="宋体"/>
                <w:b/>
                <w:bCs/>
                <w:kern w:val="0"/>
                <w:szCs w:val="21"/>
              </w:rPr>
            </w:pPr>
          </w:p>
        </w:tc>
        <w:tc>
          <w:tcPr>
            <w:tcW w:w="5875" w:type="dxa"/>
            <w:tcBorders>
              <w:top w:val="single" w:color="auto" w:sz="4" w:space="0"/>
              <w:left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对投标产品的性能指标及技术参数满足程度进行评分，完全满足或高于招标文件要求的，得20分；</w:t>
            </w:r>
          </w:p>
          <w:p>
            <w:pPr>
              <w:jc w:val="left"/>
              <w:rPr>
                <w:rFonts w:ascii="宋体" w:hAnsi="宋体" w:cs="宋体"/>
                <w:szCs w:val="21"/>
              </w:rPr>
            </w:pPr>
            <w:r>
              <w:rPr>
                <w:rFonts w:hint="eastAsia" w:ascii="宋体" w:hAnsi="宋体" w:cs="宋体"/>
                <w:szCs w:val="21"/>
              </w:rPr>
              <w:t>①</w:t>
            </w:r>
            <w:r>
              <w:rPr>
                <w:rFonts w:hint="eastAsia" w:ascii="宋体" w:hAnsi="宋体" w:cs="宋体"/>
                <w:b/>
                <w:bCs/>
                <w:szCs w:val="21"/>
              </w:rPr>
              <w:t>室内全彩显示屏</w:t>
            </w:r>
            <w:r>
              <w:rPr>
                <w:rFonts w:hint="eastAsia" w:ascii="宋体" w:hAnsi="宋体" w:cs="宋体"/>
                <w:szCs w:val="21"/>
              </w:rPr>
              <w:t>的重要性能指标（★），每有一项负偏离的扣2分，其他性能指标每有一项负偏离或未响应的扣1.5分；</w:t>
            </w:r>
          </w:p>
          <w:p>
            <w:pPr>
              <w:jc w:val="left"/>
              <w:rPr>
                <w:rFonts w:ascii="宋体" w:hAnsi="宋体" w:cs="宋体"/>
                <w:szCs w:val="21"/>
              </w:rPr>
            </w:pPr>
            <w:r>
              <w:rPr>
                <w:rFonts w:hint="eastAsia" w:ascii="宋体" w:hAnsi="宋体" w:cs="宋体"/>
                <w:szCs w:val="21"/>
              </w:rPr>
              <w:t>②</w:t>
            </w:r>
            <w:r>
              <w:rPr>
                <w:rFonts w:hint="eastAsia" w:ascii="宋体" w:hAnsi="宋体" w:cs="宋体"/>
                <w:b/>
                <w:bCs/>
                <w:szCs w:val="21"/>
              </w:rPr>
              <w:t>室内全彩屏以外的其他产品</w:t>
            </w:r>
            <w:r>
              <w:rPr>
                <w:rFonts w:hint="eastAsia" w:ascii="宋体" w:hAnsi="宋体" w:cs="宋体"/>
                <w:szCs w:val="21"/>
              </w:rPr>
              <w:t>的重要性能指标（★），每有一项负偏离的扣1.5分，其他性能指标每有一项负偏离或未响应的扣1分。</w:t>
            </w:r>
          </w:p>
          <w:p>
            <w:pPr>
              <w:pStyle w:val="31"/>
              <w:widowControl w:val="0"/>
              <w:jc w:val="both"/>
              <w:rPr>
                <w:rFonts w:ascii="宋体" w:hAnsi="宋体" w:eastAsia="宋体" w:cs="宋体"/>
                <w:spacing w:val="-2"/>
                <w:sz w:val="21"/>
                <w:szCs w:val="21"/>
              </w:rPr>
            </w:pPr>
            <w:r>
              <w:rPr>
                <w:rFonts w:hint="eastAsia" w:ascii="宋体" w:hAnsi="宋体" w:eastAsia="宋体" w:cs="宋体"/>
                <w:b/>
                <w:bCs/>
                <w:spacing w:val="-2"/>
                <w:sz w:val="21"/>
                <w:szCs w:val="21"/>
              </w:rPr>
              <w:t>注：技术参数中要求提供相关部门检验报告或证明文件的，投标文件中必须按要求提供，否则视为技术参数负偏离。</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9" w:hRule="atLeast"/>
          <w:jc w:val="center"/>
        </w:trPr>
        <w:tc>
          <w:tcPr>
            <w:tcW w:w="1283" w:type="dxa"/>
            <w:vMerge w:val="continue"/>
            <w:tcBorders>
              <w:left w:val="single" w:color="auto" w:sz="4" w:space="0"/>
              <w:right w:val="single" w:color="auto" w:sz="4" w:space="0"/>
            </w:tcBorders>
            <w:vAlign w:val="center"/>
          </w:tcPr>
          <w:p>
            <w:pPr>
              <w:widowControl/>
              <w:jc w:val="center"/>
              <w:rPr>
                <w:rFonts w:ascii="宋体" w:hAnsi="宋体" w:cs="宋体"/>
                <w:b/>
                <w:szCs w:val="21"/>
              </w:rPr>
            </w:pPr>
          </w:p>
        </w:tc>
        <w:tc>
          <w:tcPr>
            <w:tcW w:w="1187" w:type="dxa"/>
            <w:vMerge w:val="restart"/>
            <w:tcBorders>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实施方案</w:t>
            </w:r>
          </w:p>
        </w:tc>
        <w:tc>
          <w:tcPr>
            <w:tcW w:w="5875" w:type="dxa"/>
            <w:tcBorders>
              <w:right w:val="single" w:color="auto" w:sz="4" w:space="0"/>
            </w:tcBorders>
            <w:vAlign w:val="center"/>
          </w:tcPr>
          <w:p>
            <w:pPr>
              <w:pStyle w:val="11"/>
              <w:ind w:firstLine="0"/>
              <w:rPr>
                <w:rFonts w:ascii="宋体" w:hAnsi="宋体" w:cs="宋体"/>
                <w:szCs w:val="21"/>
              </w:rPr>
            </w:pPr>
            <w:r>
              <w:rPr>
                <w:rFonts w:hint="eastAsia" w:ascii="宋体" w:hAnsi="宋体" w:cs="宋体"/>
                <w:szCs w:val="21"/>
              </w:rPr>
              <w:t>根据本项目特点制定的实施组织方案（包括质量保证措施、进度保证措施、现有系统扩容升级等）的科学性、合理性进行综合打分：</w:t>
            </w:r>
          </w:p>
          <w:p>
            <w:pPr>
              <w:jc w:val="left"/>
              <w:rPr>
                <w:rFonts w:ascii="宋体" w:hAnsi="宋体" w:cs="宋体"/>
                <w:szCs w:val="21"/>
              </w:rPr>
            </w:pPr>
            <w:r>
              <w:rPr>
                <w:rFonts w:hint="eastAsia" w:ascii="宋体" w:hAnsi="宋体" w:cs="宋体"/>
                <w:szCs w:val="21"/>
              </w:rPr>
              <w:t>①方案详实、</w:t>
            </w:r>
            <w:r>
              <w:rPr>
                <w:rFonts w:hint="eastAsia" w:ascii="宋体" w:hAnsi="宋体" w:cs="宋体"/>
                <w:kern w:val="0"/>
                <w:szCs w:val="21"/>
              </w:rPr>
              <w:t>内容完整、操作性强</w:t>
            </w:r>
            <w:r>
              <w:rPr>
                <w:rFonts w:hint="eastAsia" w:ascii="宋体" w:hAnsi="宋体" w:cs="宋体"/>
                <w:szCs w:val="21"/>
              </w:rPr>
              <w:t>的得6-4.1分；</w:t>
            </w:r>
          </w:p>
          <w:p>
            <w:pPr>
              <w:pStyle w:val="11"/>
              <w:ind w:firstLine="0"/>
              <w:rPr>
                <w:rFonts w:ascii="宋体" w:hAnsi="宋体" w:cs="宋体"/>
                <w:szCs w:val="21"/>
              </w:rPr>
            </w:pPr>
            <w:r>
              <w:rPr>
                <w:rFonts w:hint="eastAsia" w:ascii="宋体" w:hAnsi="宋体" w:cs="宋体"/>
                <w:szCs w:val="21"/>
              </w:rPr>
              <w:t>②方案合理、内容常规、操作性一般的得4-2.1分；</w:t>
            </w:r>
          </w:p>
          <w:p>
            <w:pPr>
              <w:pStyle w:val="11"/>
              <w:ind w:firstLine="0"/>
              <w:rPr>
                <w:rFonts w:ascii="宋体" w:hAnsi="宋体" w:cs="宋体"/>
                <w:szCs w:val="21"/>
              </w:rPr>
            </w:pPr>
            <w:r>
              <w:rPr>
                <w:rFonts w:hint="eastAsia" w:ascii="宋体" w:hAnsi="宋体" w:cs="宋体"/>
                <w:szCs w:val="21"/>
              </w:rPr>
              <w:t>③方案粗糙、内容缺漏、操作性差的得2-0.1分;</w:t>
            </w:r>
          </w:p>
          <w:p>
            <w:pPr>
              <w:pStyle w:val="13"/>
              <w:ind w:left="0" w:leftChars="0"/>
              <w:rPr>
                <w:rFonts w:ascii="宋体" w:hAnsi="宋体" w:cs="宋体"/>
                <w:szCs w:val="21"/>
              </w:rPr>
            </w:pPr>
            <w:r>
              <w:rPr>
                <w:rFonts w:hint="eastAsia" w:ascii="宋体" w:hAnsi="宋体" w:cs="宋体"/>
                <w:kern w:val="0"/>
                <w:szCs w:val="21"/>
              </w:rPr>
              <w:t>④未提供方案不得分</w:t>
            </w:r>
            <w:r>
              <w:rPr>
                <w:rFonts w:hint="eastAsia" w:ascii="宋体" w:hAnsi="宋体" w:cs="宋体"/>
                <w:szCs w:val="21"/>
              </w:rPr>
              <w:t>。</w:t>
            </w:r>
          </w:p>
        </w:tc>
        <w:tc>
          <w:tcPr>
            <w:tcW w:w="78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1283" w:type="dxa"/>
            <w:vMerge w:val="continue"/>
            <w:tcBorders>
              <w:left w:val="single" w:color="auto" w:sz="4" w:space="0"/>
              <w:right w:val="single" w:color="auto" w:sz="4" w:space="0"/>
            </w:tcBorders>
            <w:vAlign w:val="center"/>
          </w:tcPr>
          <w:p>
            <w:pPr>
              <w:widowControl/>
              <w:jc w:val="center"/>
              <w:rPr>
                <w:rFonts w:ascii="宋体" w:hAnsi="宋体" w:cs="宋体"/>
                <w:b/>
                <w:szCs w:val="21"/>
              </w:rPr>
            </w:pPr>
          </w:p>
        </w:tc>
        <w:tc>
          <w:tcPr>
            <w:tcW w:w="1187" w:type="dxa"/>
            <w:vMerge w:val="continue"/>
            <w:tcBorders>
              <w:right w:val="single" w:color="auto" w:sz="4" w:space="0"/>
            </w:tcBorders>
            <w:vAlign w:val="center"/>
          </w:tcPr>
          <w:p>
            <w:pPr>
              <w:widowControl/>
              <w:jc w:val="center"/>
              <w:rPr>
                <w:rFonts w:ascii="宋体" w:hAnsi="宋体" w:cs="宋体"/>
                <w:b/>
                <w:bCs/>
                <w:szCs w:val="21"/>
              </w:rPr>
            </w:pPr>
          </w:p>
        </w:tc>
        <w:tc>
          <w:tcPr>
            <w:tcW w:w="5875" w:type="dxa"/>
            <w:tcBorders>
              <w:right w:val="single" w:color="auto" w:sz="4" w:space="0"/>
            </w:tcBorders>
            <w:vAlign w:val="center"/>
          </w:tcPr>
          <w:p>
            <w:pPr>
              <w:pStyle w:val="11"/>
              <w:ind w:firstLine="0"/>
              <w:rPr>
                <w:rFonts w:ascii="宋体" w:hAnsi="宋体" w:cs="宋体"/>
                <w:szCs w:val="21"/>
              </w:rPr>
            </w:pPr>
            <w:r>
              <w:rPr>
                <w:rFonts w:hint="eastAsia" w:ascii="宋体" w:hAnsi="宋体" w:cs="宋体"/>
                <w:szCs w:val="21"/>
              </w:rPr>
              <w:t>根据投标人对本项目安排的管理制度及措施、测试和验收方案（应完全满足软件运行的环境要求）的科学性、合理性进行综合打分：</w:t>
            </w:r>
          </w:p>
          <w:p>
            <w:pPr>
              <w:pStyle w:val="11"/>
              <w:ind w:firstLine="0"/>
              <w:rPr>
                <w:rFonts w:ascii="宋体" w:hAnsi="宋体" w:cs="宋体"/>
                <w:szCs w:val="21"/>
              </w:rPr>
            </w:pPr>
            <w:r>
              <w:rPr>
                <w:rFonts w:hint="eastAsia" w:ascii="宋体" w:hAnsi="宋体" w:cs="宋体"/>
                <w:szCs w:val="21"/>
              </w:rPr>
              <w:t>①方案详实、内容完整、操作性强的得3-2.1分；</w:t>
            </w:r>
          </w:p>
          <w:p>
            <w:pPr>
              <w:pStyle w:val="11"/>
              <w:ind w:firstLine="0"/>
              <w:rPr>
                <w:rFonts w:ascii="宋体" w:hAnsi="宋体" w:cs="宋体"/>
                <w:szCs w:val="21"/>
              </w:rPr>
            </w:pPr>
            <w:r>
              <w:rPr>
                <w:rFonts w:hint="eastAsia" w:ascii="宋体" w:hAnsi="宋体" w:cs="宋体"/>
                <w:szCs w:val="21"/>
              </w:rPr>
              <w:t>②方案合理、内容常规、操作性一般的得2-1.1分；</w:t>
            </w:r>
          </w:p>
          <w:p>
            <w:pPr>
              <w:pStyle w:val="11"/>
              <w:ind w:firstLine="0"/>
              <w:rPr>
                <w:rFonts w:ascii="宋体" w:hAnsi="宋体" w:cs="宋体"/>
                <w:szCs w:val="21"/>
              </w:rPr>
            </w:pPr>
            <w:r>
              <w:rPr>
                <w:rFonts w:hint="eastAsia" w:ascii="宋体" w:hAnsi="宋体" w:cs="宋体"/>
                <w:szCs w:val="21"/>
              </w:rPr>
              <w:t>③方案粗糙、内容缺漏、操作性差的得1-0.1分;</w:t>
            </w:r>
          </w:p>
          <w:p>
            <w:pPr>
              <w:pStyle w:val="31"/>
              <w:widowControl w:val="0"/>
              <w:jc w:val="both"/>
              <w:rPr>
                <w:rFonts w:ascii="宋体" w:hAnsi="宋体" w:eastAsia="宋体" w:cs="宋体"/>
                <w:spacing w:val="-2"/>
                <w:sz w:val="21"/>
                <w:szCs w:val="21"/>
              </w:rPr>
            </w:pPr>
            <w:r>
              <w:rPr>
                <w:rFonts w:hint="eastAsia" w:ascii="宋体" w:hAnsi="宋体" w:eastAsia="宋体" w:cs="宋体"/>
                <w:sz w:val="21"/>
                <w:szCs w:val="21"/>
              </w:rPr>
              <w:t>④未提供方案不得分。</w:t>
            </w:r>
          </w:p>
        </w:tc>
        <w:tc>
          <w:tcPr>
            <w:tcW w:w="78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283" w:type="dxa"/>
            <w:vMerge w:val="restart"/>
            <w:tcBorders>
              <w:left w:val="single" w:color="auto" w:sz="4" w:space="0"/>
              <w:right w:val="single" w:color="auto" w:sz="4" w:space="0"/>
            </w:tcBorders>
            <w:vAlign w:val="center"/>
          </w:tcPr>
          <w:p>
            <w:pPr>
              <w:pStyle w:val="11"/>
              <w:ind w:firstLine="0"/>
              <w:jc w:val="center"/>
              <w:rPr>
                <w:rFonts w:ascii="宋体" w:hAnsi="宋体" w:cs="宋体"/>
                <w:b/>
                <w:bCs/>
                <w:kern w:val="0"/>
                <w:szCs w:val="21"/>
              </w:rPr>
            </w:pPr>
            <w:r>
              <w:rPr>
                <w:rFonts w:hint="eastAsia" w:ascii="宋体" w:hAnsi="宋体" w:cs="宋体"/>
                <w:b/>
                <w:bCs/>
                <w:kern w:val="0"/>
                <w:szCs w:val="21"/>
              </w:rPr>
              <w:t>实力信誉</w:t>
            </w:r>
          </w:p>
          <w:p>
            <w:pPr>
              <w:pStyle w:val="11"/>
              <w:ind w:firstLine="0"/>
              <w:jc w:val="center"/>
              <w:rPr>
                <w:rFonts w:ascii="宋体" w:hAnsi="宋体" w:cs="宋体"/>
                <w:b/>
                <w:bCs/>
                <w:kern w:val="0"/>
                <w:szCs w:val="21"/>
              </w:rPr>
            </w:pPr>
            <w:r>
              <w:rPr>
                <w:rFonts w:hint="eastAsia" w:ascii="宋体" w:hAnsi="宋体" w:cs="宋体"/>
                <w:b/>
                <w:bCs/>
                <w:kern w:val="0"/>
                <w:szCs w:val="21"/>
              </w:rPr>
              <w:t>及业绩</w:t>
            </w:r>
          </w:p>
          <w:p>
            <w:pPr>
              <w:pStyle w:val="11"/>
              <w:ind w:firstLine="0"/>
              <w:jc w:val="center"/>
              <w:rPr>
                <w:rFonts w:ascii="宋体" w:hAnsi="宋体" w:cs="宋体"/>
                <w:b/>
                <w:bCs/>
                <w:kern w:val="0"/>
                <w:szCs w:val="21"/>
              </w:rPr>
            </w:pPr>
            <w:r>
              <w:rPr>
                <w:rFonts w:hint="eastAsia" w:ascii="宋体" w:hAnsi="宋体" w:cs="宋体"/>
                <w:b/>
                <w:bCs/>
                <w:kern w:val="0"/>
                <w:szCs w:val="21"/>
              </w:rPr>
              <w:t>(21分)</w:t>
            </w:r>
          </w:p>
        </w:tc>
        <w:tc>
          <w:tcPr>
            <w:tcW w:w="1187"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供应商实力</w:t>
            </w:r>
          </w:p>
        </w:tc>
        <w:tc>
          <w:tcPr>
            <w:tcW w:w="5875" w:type="dxa"/>
            <w:tcBorders>
              <w:top w:val="single" w:color="auto" w:sz="4" w:space="0"/>
              <w:left w:val="single" w:color="auto" w:sz="4" w:space="0"/>
              <w:bottom w:val="single" w:color="auto" w:sz="4" w:space="0"/>
            </w:tcBorders>
            <w:vAlign w:val="center"/>
          </w:tcPr>
          <w:p>
            <w:pPr>
              <w:pStyle w:val="31"/>
              <w:rPr>
                <w:rFonts w:ascii="宋体" w:hAnsi="宋体" w:eastAsia="宋体" w:cs="宋体"/>
                <w:spacing w:val="-2"/>
                <w:sz w:val="21"/>
                <w:szCs w:val="21"/>
              </w:rPr>
            </w:pPr>
            <w:r>
              <w:rPr>
                <w:rFonts w:hint="eastAsia" w:ascii="宋体" w:hAnsi="宋体" w:eastAsia="宋体" w:cs="宋体"/>
                <w:spacing w:val="-2"/>
                <w:sz w:val="21"/>
                <w:szCs w:val="21"/>
              </w:rPr>
              <w:t>投标人具备：</w:t>
            </w:r>
          </w:p>
          <w:p>
            <w:pPr>
              <w:pStyle w:val="31"/>
              <w:widowControl w:val="0"/>
              <w:jc w:val="both"/>
              <w:rPr>
                <w:rFonts w:ascii="宋体" w:hAnsi="宋体" w:eastAsia="宋体" w:cs="宋体"/>
                <w:sz w:val="21"/>
                <w:szCs w:val="21"/>
              </w:rPr>
            </w:pPr>
            <w:r>
              <w:rPr>
                <w:rFonts w:hint="eastAsia" w:ascii="宋体" w:hAnsi="宋体" w:eastAsia="宋体" w:cs="宋体"/>
                <w:spacing w:val="-2"/>
                <w:sz w:val="21"/>
                <w:szCs w:val="21"/>
              </w:rPr>
              <w:t>质量管理体系认证证书、信息技术服务管理体系认证证书、信息安全管理体系认证证书、ITSS证书；每具备一项得1分，最高得4分。</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1283"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187" w:type="dxa"/>
            <w:tcBorders>
              <w:top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项目团队</w:t>
            </w:r>
          </w:p>
          <w:p>
            <w:pPr>
              <w:jc w:val="center"/>
              <w:rPr>
                <w:rFonts w:ascii="宋体" w:hAnsi="宋体" w:cs="宋体"/>
                <w:b/>
                <w:bCs/>
                <w:szCs w:val="21"/>
              </w:rPr>
            </w:pPr>
            <w:r>
              <w:rPr>
                <w:rFonts w:hint="eastAsia" w:ascii="宋体" w:hAnsi="宋体" w:cs="宋体"/>
                <w:b/>
                <w:bCs/>
                <w:szCs w:val="21"/>
              </w:rPr>
              <w:t>能力</w:t>
            </w:r>
          </w:p>
        </w:tc>
        <w:tc>
          <w:tcPr>
            <w:tcW w:w="5875" w:type="dxa"/>
            <w:tcBorders>
              <w:top w:val="single" w:color="auto" w:sz="4" w:space="0"/>
              <w:left w:val="single" w:color="auto" w:sz="4" w:space="0"/>
              <w:bottom w:val="single" w:color="auto" w:sz="4" w:space="0"/>
            </w:tcBorders>
            <w:vAlign w:val="center"/>
          </w:tcPr>
          <w:p>
            <w:pPr>
              <w:rPr>
                <w:rFonts w:ascii="宋体" w:hAnsi="宋体" w:cs="宋体"/>
                <w:kern w:val="0"/>
                <w:szCs w:val="21"/>
              </w:rPr>
            </w:pPr>
            <w:r>
              <w:rPr>
                <w:rFonts w:hint="eastAsia" w:ascii="宋体" w:hAnsi="宋体" w:cs="宋体"/>
                <w:kern w:val="0"/>
                <w:szCs w:val="21"/>
              </w:rPr>
              <w:t>1、投标人拟派项目经理具备信息系统项目管理师、系统集成项目管理工程师、网络工程师、二级建造师的，每提供一个得1分，最高得4分。</w:t>
            </w:r>
          </w:p>
          <w:p>
            <w:pPr>
              <w:rPr>
                <w:rFonts w:ascii="宋体" w:hAnsi="宋体" w:cs="宋体"/>
                <w:kern w:val="0"/>
                <w:szCs w:val="21"/>
              </w:rPr>
            </w:pPr>
            <w:r>
              <w:rPr>
                <w:rFonts w:hint="eastAsia" w:ascii="宋体" w:hAnsi="宋体" w:cs="宋体"/>
                <w:kern w:val="0"/>
                <w:szCs w:val="21"/>
              </w:rPr>
              <w:t>2、拟投入本项目的技术负责人具有信息系统项目管理师、二级建造师、高级弱电系统工程师、高级网络优化工程师的，每提供一个得1分，最高得4分。</w:t>
            </w:r>
          </w:p>
          <w:p>
            <w:pPr>
              <w:rPr>
                <w:rFonts w:ascii="宋体" w:hAnsi="宋体" w:cs="宋体"/>
                <w:kern w:val="0"/>
                <w:szCs w:val="21"/>
              </w:rPr>
            </w:pPr>
            <w:r>
              <w:rPr>
                <w:rFonts w:hint="eastAsia" w:ascii="宋体" w:hAnsi="宋体" w:cs="宋体"/>
                <w:kern w:val="0"/>
                <w:szCs w:val="21"/>
              </w:rPr>
              <w:t>3、拟投入本项目的</w:t>
            </w:r>
            <w:r>
              <w:rPr>
                <w:rFonts w:ascii="宋体" w:hAnsi="宋体" w:cs="宋体"/>
                <w:kern w:val="0"/>
                <w:szCs w:val="21"/>
              </w:rPr>
              <w:t>现场负责人</w:t>
            </w:r>
            <w:r>
              <w:rPr>
                <w:rFonts w:hint="eastAsia" w:ascii="宋体" w:hAnsi="宋体" w:cs="宋体"/>
                <w:kern w:val="0"/>
                <w:szCs w:val="21"/>
              </w:rPr>
              <w:t>具有信息系统项目管理师、网络工程师、信息安全工程师的，每提供一个得1分，最高得3分。</w:t>
            </w:r>
          </w:p>
          <w:p>
            <w:pPr>
              <w:rPr>
                <w:rFonts w:ascii="宋体" w:hAnsi="宋体" w:cs="宋体"/>
                <w:kern w:val="0"/>
                <w:szCs w:val="21"/>
              </w:rPr>
            </w:pPr>
            <w:r>
              <w:rPr>
                <w:rFonts w:hint="eastAsia" w:ascii="宋体" w:hAnsi="宋体" w:cs="宋体"/>
                <w:kern w:val="0"/>
                <w:szCs w:val="21"/>
              </w:rPr>
              <w:t>4、项目团队成员（除上述人员外）人员具有信息系统项目管理师、网络工程师、系统集成项目管理工程师、信息安全工程师等认证，每具备一项得1分，最高得3分。一人有多项证书的，只按一次得分。</w:t>
            </w:r>
          </w:p>
          <w:p>
            <w:pPr>
              <w:rPr>
                <w:rFonts w:ascii="宋体" w:hAnsi="宋体" w:cs="宋体"/>
                <w:spacing w:val="-2"/>
                <w:szCs w:val="21"/>
              </w:rPr>
            </w:pPr>
            <w:r>
              <w:rPr>
                <w:rFonts w:hint="eastAsia" w:ascii="宋体" w:hAnsi="宋体" w:cs="宋体"/>
                <w:b/>
                <w:bCs/>
                <w:kern w:val="0"/>
                <w:szCs w:val="21"/>
              </w:rPr>
              <w:t>以上人员提供最近3个月社保缴纳证明材料、相应的资质证书</w:t>
            </w:r>
            <w:r>
              <w:rPr>
                <w:rFonts w:ascii="宋体" w:hAnsi="宋体" w:cs="宋体"/>
                <w:b/>
                <w:bCs/>
                <w:kern w:val="0"/>
                <w:szCs w:val="21"/>
              </w:rPr>
              <w:t>扫描</w:t>
            </w:r>
            <w:r>
              <w:rPr>
                <w:rFonts w:hint="eastAsia" w:ascii="宋体" w:hAnsi="宋体" w:cs="宋体"/>
                <w:b/>
                <w:bCs/>
                <w:kern w:val="0"/>
                <w:szCs w:val="21"/>
              </w:rPr>
              <w:t>件，并加盖投标人公章。</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jc w:val="center"/>
        </w:trPr>
        <w:tc>
          <w:tcPr>
            <w:tcW w:w="1283"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187" w:type="dxa"/>
            <w:tcBorders>
              <w:top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项目业绩</w:t>
            </w:r>
          </w:p>
          <w:p>
            <w:pPr>
              <w:jc w:val="center"/>
              <w:rPr>
                <w:rFonts w:ascii="宋体" w:hAnsi="宋体" w:cs="宋体"/>
                <w:szCs w:val="21"/>
              </w:rPr>
            </w:pPr>
            <w:r>
              <w:rPr>
                <w:rFonts w:hint="eastAsia" w:ascii="宋体" w:hAnsi="宋体" w:cs="宋体"/>
                <w:b/>
                <w:bCs/>
                <w:szCs w:val="21"/>
              </w:rPr>
              <w:t>（客观分）</w:t>
            </w:r>
          </w:p>
        </w:tc>
        <w:tc>
          <w:tcPr>
            <w:tcW w:w="5875" w:type="dxa"/>
            <w:tcBorders>
              <w:top w:val="single" w:color="auto" w:sz="4" w:space="0"/>
              <w:left w:val="single" w:color="auto" w:sz="4" w:space="0"/>
              <w:bottom w:val="single" w:color="auto" w:sz="4" w:space="0"/>
            </w:tcBorders>
            <w:vAlign w:val="center"/>
          </w:tcPr>
          <w:p>
            <w:pPr>
              <w:pStyle w:val="31"/>
              <w:widowControl w:val="0"/>
              <w:jc w:val="both"/>
              <w:rPr>
                <w:rFonts w:ascii="宋体" w:hAnsi="宋体" w:eastAsia="宋体" w:cs="宋体"/>
                <w:sz w:val="21"/>
                <w:szCs w:val="21"/>
              </w:rPr>
            </w:pPr>
            <w:r>
              <w:rPr>
                <w:rFonts w:hint="eastAsia" w:ascii="宋体" w:hAnsi="宋体" w:eastAsia="宋体" w:cs="宋体"/>
                <w:sz w:val="21"/>
                <w:szCs w:val="21"/>
              </w:rPr>
              <w:t>投标人自2020年1月以来（以合同签订时间为准）的类似信息化项目业绩，进行打分，每提供一个得1分，最高得3分。（需提供合同</w:t>
            </w:r>
            <w:r>
              <w:rPr>
                <w:rFonts w:ascii="宋体" w:hAnsi="宋体" w:eastAsia="宋体" w:cs="宋体"/>
                <w:sz w:val="21"/>
                <w:szCs w:val="21"/>
              </w:rPr>
              <w:t>扫描</w:t>
            </w:r>
            <w:r>
              <w:rPr>
                <w:rFonts w:hint="eastAsia" w:ascii="宋体" w:hAnsi="宋体" w:eastAsia="宋体" w:cs="宋体"/>
                <w:sz w:val="21"/>
                <w:szCs w:val="21"/>
              </w:rPr>
              <w:t>件等证明材料并加盖公章）</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1283" w:type="dxa"/>
            <w:vMerge w:val="restart"/>
            <w:tcBorders>
              <w:left w:val="single" w:color="auto" w:sz="4" w:space="0"/>
              <w:right w:val="single" w:color="auto" w:sz="4" w:space="0"/>
            </w:tcBorders>
            <w:vAlign w:val="center"/>
          </w:tcPr>
          <w:p>
            <w:pPr>
              <w:pStyle w:val="11"/>
              <w:ind w:firstLine="0"/>
              <w:jc w:val="center"/>
              <w:rPr>
                <w:rFonts w:ascii="宋体" w:hAnsi="宋体" w:cs="宋体"/>
                <w:b/>
                <w:bCs/>
                <w:szCs w:val="21"/>
              </w:rPr>
            </w:pPr>
            <w:r>
              <w:rPr>
                <w:rFonts w:hint="eastAsia" w:ascii="宋体" w:hAnsi="宋体" w:cs="宋体"/>
                <w:b/>
                <w:bCs/>
                <w:szCs w:val="21"/>
              </w:rPr>
              <w:t>售后服务</w:t>
            </w:r>
          </w:p>
          <w:p>
            <w:pPr>
              <w:pStyle w:val="11"/>
              <w:ind w:firstLine="0"/>
              <w:jc w:val="center"/>
              <w:rPr>
                <w:rFonts w:ascii="宋体" w:hAnsi="宋体" w:cs="宋体"/>
                <w:b/>
                <w:bCs/>
                <w:szCs w:val="21"/>
              </w:rPr>
            </w:pPr>
            <w:r>
              <w:rPr>
                <w:rFonts w:hint="eastAsia" w:ascii="宋体" w:hAnsi="宋体" w:cs="宋体"/>
                <w:b/>
                <w:bCs/>
                <w:szCs w:val="21"/>
              </w:rPr>
              <w:t>承诺</w:t>
            </w:r>
          </w:p>
          <w:p>
            <w:pPr>
              <w:pStyle w:val="11"/>
              <w:ind w:firstLine="0"/>
              <w:jc w:val="center"/>
              <w:rPr>
                <w:rFonts w:ascii="宋体" w:hAnsi="宋体" w:cs="宋体"/>
                <w:b/>
                <w:bCs/>
                <w:szCs w:val="21"/>
              </w:rPr>
            </w:pPr>
            <w:r>
              <w:rPr>
                <w:rFonts w:hint="eastAsia" w:ascii="宋体" w:hAnsi="宋体" w:cs="宋体"/>
                <w:b/>
                <w:bCs/>
                <w:szCs w:val="21"/>
              </w:rPr>
              <w:t>(11分)</w:t>
            </w:r>
          </w:p>
        </w:tc>
        <w:tc>
          <w:tcPr>
            <w:tcW w:w="1187" w:type="dxa"/>
            <w:tcBorders>
              <w:top w:val="single" w:color="auto" w:sz="4" w:space="0"/>
              <w:right w:val="single" w:color="auto" w:sz="4" w:space="0"/>
            </w:tcBorders>
            <w:vAlign w:val="center"/>
          </w:tcPr>
          <w:p>
            <w:pPr>
              <w:jc w:val="center"/>
              <w:rPr>
                <w:rFonts w:ascii="宋体" w:hAnsi="宋体" w:cs="宋体"/>
                <w:szCs w:val="21"/>
              </w:rPr>
            </w:pPr>
            <w:r>
              <w:rPr>
                <w:rFonts w:hint="eastAsia" w:ascii="宋体" w:hAnsi="宋体" w:cs="宋体"/>
                <w:b/>
                <w:kern w:val="0"/>
                <w:szCs w:val="21"/>
              </w:rPr>
              <w:t>售后服务方案</w:t>
            </w:r>
          </w:p>
        </w:tc>
        <w:tc>
          <w:tcPr>
            <w:tcW w:w="5875" w:type="dxa"/>
            <w:tcBorders>
              <w:top w:val="single" w:color="auto" w:sz="4" w:space="0"/>
              <w:left w:val="single" w:color="auto" w:sz="4" w:space="0"/>
              <w:bottom w:val="single" w:color="auto" w:sz="4" w:space="0"/>
            </w:tcBorders>
          </w:tcPr>
          <w:p>
            <w:pPr>
              <w:rPr>
                <w:rFonts w:ascii="宋体" w:hAnsi="宋体" w:cs="宋体"/>
                <w:kern w:val="0"/>
                <w:szCs w:val="21"/>
              </w:rPr>
            </w:pPr>
            <w:r>
              <w:rPr>
                <w:rFonts w:hint="eastAsia" w:ascii="宋体" w:hAnsi="宋体" w:cs="宋体"/>
                <w:kern w:val="0"/>
                <w:szCs w:val="21"/>
              </w:rPr>
              <w:t>根据投标人的售后服务方案、本地化服务能力、响应时限等内容进行打分：</w:t>
            </w:r>
          </w:p>
          <w:p>
            <w:pPr>
              <w:rPr>
                <w:rFonts w:ascii="宋体" w:hAnsi="宋体" w:cs="宋体"/>
                <w:kern w:val="0"/>
                <w:szCs w:val="21"/>
              </w:rPr>
            </w:pPr>
            <w:r>
              <w:rPr>
                <w:rFonts w:hint="eastAsia" w:ascii="宋体" w:hAnsi="宋体" w:cs="宋体"/>
                <w:kern w:val="0"/>
                <w:szCs w:val="21"/>
              </w:rPr>
              <w:t>①方案详实、内容完整、操作性强的得6-4.1分；</w:t>
            </w:r>
          </w:p>
          <w:p>
            <w:pPr>
              <w:rPr>
                <w:rFonts w:ascii="宋体" w:hAnsi="宋体" w:cs="宋体"/>
                <w:kern w:val="0"/>
                <w:szCs w:val="21"/>
              </w:rPr>
            </w:pPr>
            <w:r>
              <w:rPr>
                <w:rFonts w:hint="eastAsia" w:ascii="宋体" w:hAnsi="宋体" w:cs="宋体"/>
                <w:kern w:val="0"/>
                <w:szCs w:val="21"/>
              </w:rPr>
              <w:t>②方案合理、内容常规、操作性一般的得4-2.1分；</w:t>
            </w:r>
          </w:p>
          <w:p>
            <w:pPr>
              <w:pStyle w:val="31"/>
              <w:widowControl w:val="0"/>
              <w:jc w:val="both"/>
              <w:rPr>
                <w:rFonts w:ascii="宋体" w:hAnsi="宋体" w:eastAsia="宋体" w:cs="宋体"/>
                <w:sz w:val="21"/>
                <w:szCs w:val="21"/>
              </w:rPr>
            </w:pPr>
            <w:r>
              <w:rPr>
                <w:rFonts w:hint="eastAsia" w:ascii="宋体" w:hAnsi="宋体" w:eastAsia="宋体" w:cs="宋体"/>
                <w:sz w:val="21"/>
                <w:szCs w:val="21"/>
              </w:rPr>
              <w:t>③方案粗糙、内容缺漏、操作性差的得2-0分；</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1283"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187" w:type="dxa"/>
            <w:tcBorders>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kern w:val="0"/>
                <w:szCs w:val="21"/>
              </w:rPr>
              <w:t>培训方案</w:t>
            </w:r>
          </w:p>
        </w:tc>
        <w:tc>
          <w:tcPr>
            <w:tcW w:w="5875" w:type="dxa"/>
            <w:tcBorders>
              <w:top w:val="single" w:color="auto" w:sz="4" w:space="0"/>
              <w:left w:val="single" w:color="auto" w:sz="4" w:space="0"/>
              <w:bottom w:val="single" w:color="auto" w:sz="4" w:space="0"/>
            </w:tcBorders>
          </w:tcPr>
          <w:p>
            <w:pPr>
              <w:pStyle w:val="31"/>
              <w:widowControl w:val="0"/>
              <w:jc w:val="both"/>
              <w:rPr>
                <w:rFonts w:ascii="宋体" w:hAnsi="宋体" w:eastAsia="宋体" w:cs="宋体"/>
                <w:sz w:val="21"/>
                <w:szCs w:val="21"/>
              </w:rPr>
            </w:pPr>
            <w:r>
              <w:rPr>
                <w:rFonts w:hint="eastAsia" w:ascii="宋体" w:hAnsi="宋体" w:eastAsia="宋体" w:cs="宋体"/>
                <w:sz w:val="21"/>
                <w:szCs w:val="21"/>
              </w:rPr>
              <w:t>根据投标人提供的培训计划分档打分：</w:t>
            </w:r>
          </w:p>
          <w:p>
            <w:pPr>
              <w:pStyle w:val="31"/>
              <w:widowControl w:val="0"/>
              <w:jc w:val="both"/>
              <w:rPr>
                <w:rFonts w:ascii="宋体" w:hAnsi="宋体" w:eastAsia="宋体" w:cs="宋体"/>
                <w:sz w:val="21"/>
                <w:szCs w:val="21"/>
              </w:rPr>
            </w:pPr>
            <w:r>
              <w:rPr>
                <w:rFonts w:hint="eastAsia" w:ascii="宋体" w:hAnsi="宋体" w:eastAsia="宋体" w:cs="宋体"/>
                <w:sz w:val="21"/>
                <w:szCs w:val="21"/>
              </w:rPr>
              <w:t>①培训计划科学全面，培训流程完善得2-1.1分；</w:t>
            </w:r>
          </w:p>
          <w:p>
            <w:pPr>
              <w:pStyle w:val="31"/>
              <w:widowControl w:val="0"/>
              <w:jc w:val="both"/>
              <w:rPr>
                <w:rFonts w:ascii="宋体" w:hAnsi="宋体" w:eastAsia="宋体" w:cs="宋体"/>
                <w:sz w:val="21"/>
                <w:szCs w:val="21"/>
              </w:rPr>
            </w:pPr>
            <w:r>
              <w:rPr>
                <w:rFonts w:hint="eastAsia" w:ascii="宋体" w:hAnsi="宋体" w:eastAsia="宋体" w:cs="宋体"/>
                <w:sz w:val="21"/>
                <w:szCs w:val="21"/>
              </w:rPr>
              <w:t>②培训计划一般，培训流程相对完善得1.1-0分。</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1283"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187" w:type="dxa"/>
            <w:tcBorders>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应急方案</w:t>
            </w:r>
          </w:p>
        </w:tc>
        <w:tc>
          <w:tcPr>
            <w:tcW w:w="5875" w:type="dxa"/>
            <w:tcBorders>
              <w:top w:val="single" w:color="auto" w:sz="4" w:space="0"/>
              <w:left w:val="single" w:color="auto" w:sz="4" w:space="0"/>
              <w:bottom w:val="single" w:color="auto" w:sz="4" w:space="0"/>
            </w:tcBorders>
          </w:tcPr>
          <w:p>
            <w:pPr>
              <w:rPr>
                <w:rFonts w:ascii="宋体" w:hAnsi="宋体" w:cs="宋体"/>
                <w:kern w:val="0"/>
                <w:szCs w:val="21"/>
              </w:rPr>
            </w:pPr>
            <w:r>
              <w:rPr>
                <w:rFonts w:hint="eastAsia" w:ascii="宋体" w:hAnsi="宋体" w:cs="宋体"/>
                <w:kern w:val="0"/>
                <w:szCs w:val="21"/>
              </w:rPr>
              <w:t>根据投标人提供的应急方案（包括</w:t>
            </w:r>
            <w:r>
              <w:rPr>
                <w:rFonts w:hint="eastAsia" w:ascii="宋体" w:hAnsi="宋体" w:cs="宋体"/>
                <w:kern w:val="0"/>
                <w:szCs w:val="21"/>
                <w:lang w:val="zh-CN"/>
              </w:rPr>
              <w:t>服务保障应急预案、对可能遇到的问题及其应对措施的考虑、故障处理的组织和联系机制</w:t>
            </w:r>
            <w:r>
              <w:rPr>
                <w:rFonts w:hint="eastAsia" w:ascii="宋体" w:hAnsi="宋体" w:cs="宋体"/>
                <w:kern w:val="0"/>
                <w:szCs w:val="21"/>
              </w:rPr>
              <w:t>）进行综合打分：</w:t>
            </w:r>
          </w:p>
          <w:p>
            <w:pPr>
              <w:jc w:val="left"/>
              <w:rPr>
                <w:rFonts w:ascii="宋体" w:hAnsi="宋体" w:cs="宋体"/>
                <w:szCs w:val="21"/>
              </w:rPr>
            </w:pPr>
            <w:r>
              <w:rPr>
                <w:rFonts w:hint="eastAsia" w:ascii="宋体" w:hAnsi="宋体" w:cs="宋体"/>
                <w:szCs w:val="21"/>
              </w:rPr>
              <w:t>①方案详实、</w:t>
            </w:r>
            <w:r>
              <w:rPr>
                <w:rFonts w:hint="eastAsia" w:ascii="宋体" w:hAnsi="宋体" w:cs="宋体"/>
                <w:kern w:val="0"/>
                <w:szCs w:val="21"/>
              </w:rPr>
              <w:t>内容完整、操作性强</w:t>
            </w:r>
            <w:r>
              <w:rPr>
                <w:rFonts w:hint="eastAsia" w:ascii="宋体" w:hAnsi="宋体" w:cs="宋体"/>
                <w:szCs w:val="21"/>
              </w:rPr>
              <w:t>的得3-2.1分；</w:t>
            </w:r>
          </w:p>
          <w:p>
            <w:pPr>
              <w:jc w:val="left"/>
              <w:rPr>
                <w:rFonts w:ascii="宋体" w:hAnsi="宋体" w:cs="宋体"/>
                <w:szCs w:val="21"/>
              </w:rPr>
            </w:pPr>
            <w:r>
              <w:rPr>
                <w:rFonts w:hint="eastAsia" w:ascii="宋体" w:hAnsi="宋体" w:cs="宋体"/>
                <w:szCs w:val="21"/>
              </w:rPr>
              <w:t>②方案合理、</w:t>
            </w:r>
            <w:r>
              <w:rPr>
                <w:rFonts w:hint="eastAsia" w:ascii="宋体" w:hAnsi="宋体" w:cs="宋体"/>
                <w:kern w:val="0"/>
                <w:szCs w:val="21"/>
              </w:rPr>
              <w:t>内容常规、操作性一般</w:t>
            </w:r>
            <w:r>
              <w:rPr>
                <w:rFonts w:hint="eastAsia" w:ascii="宋体" w:hAnsi="宋体" w:cs="宋体"/>
                <w:szCs w:val="21"/>
              </w:rPr>
              <w:t>的得2-1.1分；</w:t>
            </w:r>
          </w:p>
          <w:p>
            <w:pPr>
              <w:pStyle w:val="31"/>
              <w:widowControl w:val="0"/>
              <w:jc w:val="both"/>
              <w:rPr>
                <w:rFonts w:ascii="宋体" w:hAnsi="宋体" w:eastAsia="宋体" w:cs="宋体"/>
                <w:sz w:val="21"/>
                <w:szCs w:val="21"/>
              </w:rPr>
            </w:pPr>
            <w:r>
              <w:rPr>
                <w:rFonts w:hint="eastAsia" w:ascii="宋体" w:hAnsi="宋体" w:eastAsia="宋体" w:cs="宋体"/>
                <w:sz w:val="21"/>
                <w:szCs w:val="21"/>
              </w:rPr>
              <w:t>③方案粗糙、内容缺漏、操作性差的得1-0分。</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1283" w:type="dxa"/>
            <w:tcBorders>
              <w:left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价格</w:t>
            </w:r>
          </w:p>
          <w:p>
            <w:pPr>
              <w:adjustRightInd w:val="0"/>
              <w:snapToGrid w:val="0"/>
              <w:jc w:val="center"/>
              <w:rPr>
                <w:rFonts w:ascii="宋体" w:hAnsi="宋体" w:cs="宋体"/>
                <w:b/>
                <w:szCs w:val="21"/>
              </w:rPr>
            </w:pPr>
            <w:r>
              <w:rPr>
                <w:rFonts w:hint="eastAsia" w:ascii="宋体" w:hAnsi="宋体" w:cs="宋体"/>
                <w:b/>
                <w:bCs/>
                <w:szCs w:val="21"/>
              </w:rPr>
              <w:t>(30分)</w:t>
            </w:r>
          </w:p>
        </w:tc>
        <w:tc>
          <w:tcPr>
            <w:tcW w:w="7062" w:type="dxa"/>
            <w:gridSpan w:val="2"/>
            <w:tcBorders>
              <w:top w:val="single" w:color="auto" w:sz="4" w:space="0"/>
            </w:tcBorders>
            <w:vAlign w:val="center"/>
          </w:tcPr>
          <w:p>
            <w:pPr>
              <w:pStyle w:val="31"/>
              <w:widowControl w:val="0"/>
              <w:jc w:val="both"/>
              <w:rPr>
                <w:rFonts w:ascii="宋体" w:hAnsi="宋体" w:eastAsia="宋体" w:cs="宋体"/>
                <w:sz w:val="21"/>
                <w:szCs w:val="21"/>
              </w:rPr>
            </w:pPr>
            <w:r>
              <w:rPr>
                <w:rFonts w:hint="eastAsia" w:ascii="宋体" w:hAnsi="宋体" w:eastAsia="宋体" w:cs="宋体"/>
                <w:sz w:val="21"/>
                <w:szCs w:val="21"/>
              </w:rPr>
              <w:t>以合格投标人有效总报价中的最低价为基准价，基准价为 分。报价得分＝（评标基准价/最终报价）×30%×100（小数点后保留2位小数）。（注：对于小型和微型企业产品的价格给予6%的扣除，用扣除后的价格参与评审。)</w:t>
            </w:r>
          </w:p>
        </w:tc>
        <w:tc>
          <w:tcPr>
            <w:tcW w:w="78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30</w:t>
            </w:r>
          </w:p>
        </w:tc>
      </w:tr>
    </w:tbl>
    <w:p/>
    <w:p>
      <w:pPr>
        <w:spacing w:line="360" w:lineRule="auto"/>
      </w:pPr>
      <w:r>
        <w:rPr>
          <w:rFonts w:hint="eastAsia"/>
        </w:rPr>
        <w:t>注：①请扫描上传合同、证书、报告及其他相关证明材料的原件扫描件至投标文件，并加盖公章。</w:t>
      </w:r>
    </w:p>
    <w:p>
      <w:pPr>
        <w:spacing w:line="360" w:lineRule="auto"/>
      </w:pPr>
      <w:r>
        <w:rPr>
          <w:rFonts w:hint="eastAsia"/>
        </w:rPr>
        <w:t>②对省级以上主管部门认定的首台套产品，自纳入《省推广应用指导目录》起三年内参加政府采购活动时,视同已具备相应销售业绩，业绩分为满分。</w:t>
      </w:r>
    </w:p>
    <w:p>
      <w:pPr>
        <w:pStyle w:val="18"/>
      </w:pP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0"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0"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2"/>
        <w:spacing w:before="0" w:beforeAutospacing="0" w:after="0" w:afterAutospacing="0" w:line="360" w:lineRule="auto"/>
        <w:ind w:firstLine="480" w:firstLineChars="200"/>
        <w:jc w:val="both"/>
        <w:rPr>
          <w:rFonts w:hint="default" w:asciiTheme="minorEastAsia" w:hAnsiTheme="minorEastAsia" w:eastAsiaTheme="minorEastAsia"/>
          <w:b/>
          <w:bCs/>
        </w:rPr>
      </w:pPr>
    </w:p>
    <w:p>
      <w:pPr>
        <w:rPr>
          <w:rFonts w:asciiTheme="minorEastAsia" w:hAnsiTheme="minorEastAsia" w:eastAsiaTheme="minorEastAsia"/>
          <w:b/>
          <w:bCs/>
        </w:rPr>
      </w:pPr>
      <w:r>
        <w:rPr>
          <w:rFonts w:asciiTheme="minorEastAsia" w:hAnsiTheme="minorEastAsia" w:eastAsiaTheme="minorEastAsia"/>
          <w:b/>
          <w:bCs/>
        </w:rPr>
        <w:br w:type="page"/>
      </w:r>
    </w:p>
    <w:p>
      <w:pPr>
        <w:spacing w:line="360" w:lineRule="auto"/>
        <w:jc w:val="center"/>
        <w:rPr>
          <w:rFonts w:asciiTheme="minorEastAsia" w:hAnsiTheme="minorEastAsia" w:eastAsiaTheme="minorEastAsia"/>
          <w:b/>
          <w:sz w:val="36"/>
          <w:szCs w:val="36"/>
        </w:rPr>
      </w:pPr>
      <w:bookmarkStart w:id="49" w:name="_Toc27944_WPSOffice_Level1"/>
      <w:r>
        <w:rPr>
          <w:rFonts w:hint="eastAsia" w:asciiTheme="minorEastAsia" w:hAnsiTheme="minorEastAsia" w:eastAsiaTheme="minorEastAsia"/>
          <w:b/>
          <w:sz w:val="36"/>
          <w:szCs w:val="36"/>
        </w:rPr>
        <w:t xml:space="preserve">第五章 </w:t>
      </w:r>
      <w:bookmarkEnd w:id="49"/>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4"/>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4"/>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0"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4"/>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4"/>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4"/>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4"/>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4"/>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4"/>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4"/>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4"/>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4"/>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4"/>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4"/>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4"/>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4"/>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4"/>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4"/>
        <w:tabs>
          <w:tab w:val="left" w:pos="5790"/>
        </w:tabs>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cs="宋体"/>
        </w:rPr>
        <w:t>《</w:t>
      </w:r>
      <w:r>
        <w:rPr>
          <w:rFonts w:hint="eastAsia" w:ascii="宋体" w:hAnsi="宋体" w:cs="宋体"/>
          <w:color w:val="111F2C"/>
          <w:szCs w:val="21"/>
          <w:shd w:val="clear" w:color="auto" w:fill="FFFFFF"/>
        </w:rPr>
        <w:t>中华人民共和国民法典</w:t>
      </w:r>
      <w:r>
        <w:rPr>
          <w:rFonts w:hint="eastAsia" w:ascii="宋体" w:hAnsi="宋体" w:cs="宋体"/>
        </w:rPr>
        <w:t>》有关</w:t>
      </w:r>
      <w:r>
        <w:rPr>
          <w:rFonts w:asciiTheme="minorEastAsia" w:hAnsiTheme="minorEastAsia" w:eastAsiaTheme="minorEastAsia"/>
        </w:rPr>
        <w:t>条文执行。</w:t>
      </w:r>
    </w:p>
    <w:p>
      <w:pPr>
        <w:pStyle w:val="1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（三）本合同一式柒份，甲方执伍份，乙双方执贰份。本项目未尽事宜以招标文件、投标文件及澄清文件等为准。</w:t>
      </w:r>
    </w:p>
    <w:p>
      <w:pPr>
        <w:widowControl/>
        <w:spacing w:line="360" w:lineRule="auto"/>
        <w:ind w:firstLine="480" w:firstLineChars="200"/>
        <w:rPr>
          <w:rFonts w:asciiTheme="minorEastAsia" w:hAnsiTheme="minorEastAsia" w:eastAsiaTheme="minorEastAsia"/>
          <w:b/>
          <w:sz w:val="24"/>
        </w:rPr>
      </w:pPr>
    </w:p>
    <w:p>
      <w:pPr>
        <w:widowControl/>
        <w:spacing w:line="360" w:lineRule="auto"/>
        <w:ind w:firstLine="480"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Theme="minorEastAsia" w:hAnsiTheme="minorEastAsia" w:eastAsiaTheme="minorEastAsia"/>
          <w:b/>
          <w:sz w:val="36"/>
          <w:szCs w:val="36"/>
        </w:rPr>
      </w:pPr>
      <w:bookmarkStart w:id="50"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50"/>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51" w:name="_Toc32372_WPSOffice_Level1"/>
      <w:bookmarkStart w:id="52" w:name="_Toc19093_WPSOffice_Level1"/>
      <w:bookmarkStart w:id="53" w:name="_Toc4956_WPSOffice_Level1"/>
      <w:r>
        <w:rPr>
          <w:rFonts w:hint="eastAsia"/>
          <w:sz w:val="52"/>
          <w:szCs w:val="52"/>
        </w:rPr>
        <w:t>项目名称</w:t>
      </w:r>
      <w:bookmarkEnd w:id="51"/>
      <w:bookmarkEnd w:id="52"/>
      <w:bookmarkEnd w:id="5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8"/>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8"/>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18"/>
      </w:pPr>
    </w:p>
    <w:p>
      <w:pPr>
        <w:spacing w:line="360" w:lineRule="auto"/>
        <w:jc w:val="center"/>
        <w:rPr>
          <w:b/>
          <w:bCs/>
          <w:sz w:val="36"/>
          <w:szCs w:val="36"/>
        </w:rPr>
      </w:pPr>
      <w:r>
        <w:rPr>
          <w:rFonts w:hint="eastAsia"/>
          <w:b/>
          <w:bCs/>
          <w:sz w:val="36"/>
          <w:szCs w:val="36"/>
        </w:rPr>
        <w:t>资格证明文件目录</w:t>
      </w:r>
    </w:p>
    <w:p>
      <w:pPr>
        <w:pStyle w:val="11"/>
      </w:pPr>
    </w:p>
    <w:p/>
    <w:p>
      <w:pPr>
        <w:numPr>
          <w:ilvl w:val="0"/>
          <w:numId w:val="12"/>
        </w:numPr>
        <w:spacing w:line="360" w:lineRule="auto"/>
        <w:ind w:hanging="5"/>
        <w:rPr>
          <w:sz w:val="28"/>
          <w:szCs w:val="36"/>
        </w:rPr>
      </w:pPr>
      <w:bookmarkStart w:id="54" w:name="_Toc12587_WPSOffice_Level1"/>
      <w:bookmarkStart w:id="55" w:name="_Toc27049_WPSOffice_Level1"/>
      <w:r>
        <w:rPr>
          <w:rFonts w:hint="eastAsia"/>
          <w:sz w:val="28"/>
          <w:szCs w:val="36"/>
        </w:rPr>
        <w:t>投标声明书（附件1）</w:t>
      </w:r>
      <w:bookmarkEnd w:id="54"/>
      <w:bookmarkEnd w:id="55"/>
    </w:p>
    <w:p>
      <w:pPr>
        <w:numPr>
          <w:ilvl w:val="0"/>
          <w:numId w:val="12"/>
        </w:numPr>
        <w:spacing w:line="360" w:lineRule="auto"/>
        <w:ind w:hanging="5"/>
        <w:rPr>
          <w:sz w:val="28"/>
          <w:szCs w:val="36"/>
        </w:rPr>
      </w:pPr>
      <w:bookmarkStart w:id="56" w:name="_Toc25574_WPSOffice_Level1"/>
      <w:bookmarkStart w:id="57" w:name="_Toc28306_WPSOffice_Level1"/>
      <w:bookmarkStart w:id="58" w:name="_Toc32100_WPSOffice_Level1"/>
      <w:bookmarkStart w:id="59" w:name="_Toc29616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56"/>
      <w:bookmarkEnd w:id="57"/>
    </w:p>
    <w:p>
      <w:pPr>
        <w:numPr>
          <w:ilvl w:val="0"/>
          <w:numId w:val="12"/>
        </w:numPr>
        <w:spacing w:line="360" w:lineRule="auto"/>
        <w:ind w:hanging="5"/>
        <w:rPr>
          <w:sz w:val="28"/>
          <w:szCs w:val="36"/>
        </w:rPr>
      </w:pPr>
      <w:r>
        <w:rPr>
          <w:rFonts w:hint="eastAsia"/>
          <w:sz w:val="28"/>
          <w:szCs w:val="36"/>
        </w:rPr>
        <w:t>联合体共同投标协议书（以联合体形式投标时需提供）（附件3）</w:t>
      </w:r>
    </w:p>
    <w:p>
      <w:pPr>
        <w:numPr>
          <w:ilvl w:val="0"/>
          <w:numId w:val="12"/>
        </w:numPr>
        <w:spacing w:line="360" w:lineRule="auto"/>
        <w:ind w:hanging="5"/>
        <w:rPr>
          <w:sz w:val="28"/>
          <w:szCs w:val="36"/>
        </w:rPr>
      </w:pPr>
      <w:r>
        <w:rPr>
          <w:rFonts w:hint="eastAsia"/>
          <w:sz w:val="28"/>
          <w:szCs w:val="36"/>
        </w:rPr>
        <w:t>法人或者其他组织的营业执照等证明文件、自然人的身份证明</w:t>
      </w:r>
      <w:bookmarkEnd w:id="58"/>
      <w:bookmarkEnd w:id="59"/>
    </w:p>
    <w:p>
      <w:pPr>
        <w:numPr>
          <w:ilvl w:val="0"/>
          <w:numId w:val="12"/>
        </w:numPr>
        <w:spacing w:line="360" w:lineRule="auto"/>
        <w:ind w:hanging="5"/>
        <w:rPr>
          <w:sz w:val="28"/>
          <w:szCs w:val="36"/>
        </w:rPr>
      </w:pPr>
      <w:bookmarkStart w:id="60" w:name="_Toc30751_WPSOffice_Level1"/>
      <w:bookmarkStart w:id="61" w:name="_Toc2696_WPSOffice_Level1"/>
      <w:r>
        <w:rPr>
          <w:rFonts w:hint="eastAsia"/>
          <w:sz w:val="28"/>
          <w:szCs w:val="36"/>
        </w:rPr>
        <w:t>符合参与政府采购活动的资格条件并且没有税收缴纳、社会保障等方面的失信记录的承诺函</w:t>
      </w:r>
    </w:p>
    <w:p>
      <w:pPr>
        <w:numPr>
          <w:ilvl w:val="0"/>
          <w:numId w:val="12"/>
        </w:numPr>
        <w:spacing w:line="360" w:lineRule="auto"/>
        <w:ind w:hanging="5"/>
        <w:rPr>
          <w:sz w:val="28"/>
          <w:szCs w:val="36"/>
        </w:rPr>
      </w:pPr>
      <w:r>
        <w:rPr>
          <w:rFonts w:hint="eastAsia"/>
          <w:sz w:val="28"/>
          <w:szCs w:val="36"/>
        </w:rPr>
        <w:t>具备履行合同所必需的设备和专业技术能力的证明材料</w:t>
      </w:r>
      <w:bookmarkEnd w:id="60"/>
      <w:bookmarkEnd w:id="61"/>
    </w:p>
    <w:p>
      <w:pPr>
        <w:numPr>
          <w:ilvl w:val="0"/>
          <w:numId w:val="12"/>
        </w:numPr>
        <w:spacing w:line="360" w:lineRule="auto"/>
        <w:ind w:hanging="5"/>
        <w:rPr>
          <w:sz w:val="28"/>
          <w:szCs w:val="36"/>
        </w:rPr>
      </w:pPr>
      <w:bookmarkStart w:id="62" w:name="_Toc14150_WPSOffice_Level1"/>
      <w:bookmarkStart w:id="63" w:name="_Toc4587_WPSOffice_Level1"/>
      <w:r>
        <w:rPr>
          <w:rFonts w:hint="eastAsia"/>
          <w:sz w:val="28"/>
          <w:szCs w:val="36"/>
        </w:rPr>
        <w:t>本项目要求的特定资质证书</w:t>
      </w:r>
      <w:bookmarkEnd w:id="62"/>
      <w:bookmarkEnd w:id="63"/>
    </w:p>
    <w:p>
      <w:pPr>
        <w:spacing w:line="360" w:lineRule="auto"/>
        <w:ind w:firstLine="480" w:firstLineChars="200"/>
        <w:rPr>
          <w:rFonts w:ascii="宋体" w:hAnsi="宋体"/>
          <w:b/>
          <w:sz w:val="24"/>
        </w:rPr>
      </w:pPr>
    </w:p>
    <w:p>
      <w:pPr>
        <w:spacing w:line="360" w:lineRule="auto"/>
        <w:ind w:left="420"/>
        <w:rPr>
          <w:rFonts w:ascii="宋体" w:hAnsi="宋体"/>
          <w:b/>
          <w:sz w:val="28"/>
        </w:rPr>
      </w:pPr>
    </w:p>
    <w:p>
      <w:pPr>
        <w:pStyle w:val="29"/>
        <w:rPr>
          <w:rFonts w:ascii="宋体" w:hAnsi="宋体"/>
          <w:b/>
          <w:sz w:val="28"/>
        </w:rPr>
      </w:pPr>
    </w:p>
    <w:p>
      <w:pPr>
        <w:pStyle w:val="29"/>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64" w:name="_Toc31708_WPSOffice_Level1"/>
      <w:bookmarkStart w:id="65" w:name="_Toc30723_WPSOffice_Level1"/>
      <w:r>
        <w:rPr>
          <w:rFonts w:hint="eastAsia" w:ascii="宋体" w:hAnsi="宋体"/>
          <w:b/>
          <w:kern w:val="0"/>
          <w:sz w:val="32"/>
          <w:szCs w:val="32"/>
          <w:lang w:val="zh-CN"/>
        </w:rPr>
        <w:t>投标声明书</w:t>
      </w:r>
      <w:bookmarkEnd w:id="64"/>
      <w:bookmarkEnd w:id="65"/>
    </w:p>
    <w:p>
      <w:pPr>
        <w:snapToGrid w:val="0"/>
        <w:spacing w:beforeLines="50" w:after="50" w:line="288" w:lineRule="auto"/>
        <w:rPr>
          <w:rFonts w:ascii="宋体" w:hAnsi="宋体" w:cs="宋体"/>
          <w:kern w:val="0"/>
          <w:sz w:val="24"/>
        </w:rPr>
        <w:pPrChange w:id="0" w:author="sfse" w:date="2022-12-29T08:50:00Z">
          <w:pPr>
            <w:snapToGrid w:val="0"/>
            <w:spacing w:beforeLines="50" w:after="50" w:line="288" w:lineRule="auto"/>
          </w:pPr>
        </w:pPrChange>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3"/>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3"/>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3"/>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3"/>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0" w:firstLineChars="100"/>
        <w:jc w:val="center"/>
        <w:rPr>
          <w:rFonts w:hAnsi="宋体"/>
          <w:b/>
          <w:sz w:val="32"/>
          <w:szCs w:val="32"/>
          <w:u w:val="single"/>
        </w:rPr>
      </w:pPr>
      <w:bookmarkStart w:id="66" w:name="_Toc24373_WPSOffice_Level1"/>
      <w:bookmarkStart w:id="67" w:name="_Toc6870_WPSOffice_Level1"/>
      <w:r>
        <w:rPr>
          <w:b/>
          <w:sz w:val="32"/>
          <w:szCs w:val="32"/>
        </w:rPr>
        <w:t>授权</w:t>
      </w:r>
      <w:r>
        <w:rPr>
          <w:rFonts w:hint="eastAsia"/>
          <w:b/>
          <w:sz w:val="32"/>
          <w:szCs w:val="32"/>
        </w:rPr>
        <w:t>委托</w:t>
      </w:r>
      <w:r>
        <w:rPr>
          <w:b/>
          <w:sz w:val="32"/>
          <w:szCs w:val="32"/>
        </w:rPr>
        <w:t>书</w:t>
      </w:r>
      <w:bookmarkEnd w:id="66"/>
      <w:bookmarkEnd w:id="67"/>
    </w:p>
    <w:p>
      <w:pPr>
        <w:snapToGrid w:val="0"/>
        <w:spacing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0"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0"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0"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4"/>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0"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7"/>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0"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7"/>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0"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0"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14"/>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14"/>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14"/>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14"/>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14"/>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14"/>
        </w:numPr>
        <w:snapToGrid w:val="0"/>
        <w:spacing w:line="360" w:lineRule="auto"/>
        <w:ind w:firstLine="576"/>
        <w:rPr>
          <w:kern w:val="0"/>
          <w:sz w:val="24"/>
        </w:rPr>
      </w:pPr>
      <w:r>
        <w:rPr>
          <w:rFonts w:hint="eastAsia"/>
          <w:kern w:val="0"/>
          <w:sz w:val="24"/>
        </w:rPr>
        <w:t>各方具体的的责任、权利、义务，在中标后经各方协商后报采购人同意后在合同中明确。</w:t>
      </w:r>
    </w:p>
    <w:p>
      <w:pPr>
        <w:numPr>
          <w:ilvl w:val="0"/>
          <w:numId w:val="14"/>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4"/>
        </w:numPr>
        <w:snapToGrid w:val="0"/>
        <w:spacing w:line="360" w:lineRule="auto"/>
        <w:ind w:firstLine="576"/>
        <w:rPr>
          <w:kern w:val="0"/>
          <w:sz w:val="24"/>
          <w:lang w:val="zh-CN"/>
        </w:rPr>
      </w:pPr>
      <w:r>
        <w:rPr>
          <w:rFonts w:hint="eastAsia"/>
          <w:kern w:val="0"/>
          <w:sz w:val="24"/>
        </w:rPr>
        <w:t>未中标，本协议自动废止。</w:t>
      </w:r>
    </w:p>
    <w:p>
      <w:pPr>
        <w:pStyle w:val="11"/>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ascii="宋体" w:hAnsi="宋体"/>
          <w:b/>
          <w:sz w:val="28"/>
        </w:rPr>
      </w:pPr>
    </w:p>
    <w:p>
      <w:pPr>
        <w:jc w:val="center"/>
        <w:rPr>
          <w:sz w:val="52"/>
          <w:szCs w:val="52"/>
        </w:rPr>
      </w:pPr>
      <w:bookmarkStart w:id="68" w:name="_Toc26389_WPSOffice_Level1"/>
      <w:bookmarkStart w:id="69" w:name="_Toc12331_WPSOffice_Level1"/>
      <w:bookmarkStart w:id="70" w:name="_Toc16825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68"/>
      <w:bookmarkEnd w:id="69"/>
      <w:bookmarkEnd w:id="7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8"/>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18"/>
      </w:pPr>
    </w:p>
    <w:p>
      <w:pPr>
        <w:pStyle w:val="18"/>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18"/>
      </w:pPr>
    </w:p>
    <w:p>
      <w:pPr>
        <w:spacing w:line="360" w:lineRule="auto"/>
        <w:jc w:val="center"/>
        <w:rPr>
          <w:sz w:val="28"/>
          <w:szCs w:val="28"/>
        </w:rPr>
      </w:pPr>
      <w:bookmarkStart w:id="71" w:name="_Toc11308_WPSOffice_Level1"/>
      <w:bookmarkStart w:id="72" w:name="_Toc5889_WPSOffice_Level1"/>
      <w:r>
        <w:rPr>
          <w:rFonts w:hint="eastAsia"/>
          <w:b/>
          <w:bCs/>
          <w:sz w:val="36"/>
          <w:szCs w:val="36"/>
          <w:lang w:val="zh-CN"/>
        </w:rPr>
        <w:t>商务与技术文件目录</w:t>
      </w:r>
      <w:bookmarkEnd w:id="71"/>
      <w:bookmarkEnd w:id="72"/>
    </w:p>
    <w:p>
      <w:pPr>
        <w:spacing w:line="360" w:lineRule="auto"/>
        <w:ind w:firstLine="561" w:firstLineChars="200"/>
        <w:rPr>
          <w:b/>
          <w:bCs/>
          <w:sz w:val="28"/>
          <w:szCs w:val="28"/>
        </w:rPr>
      </w:pPr>
      <w:bookmarkStart w:id="73" w:name="_Toc21250_WPSOffice_Level1"/>
      <w:bookmarkStart w:id="74" w:name="_Toc20529_WPSOffice_Level1"/>
      <w:r>
        <w:rPr>
          <w:rFonts w:hint="eastAsia"/>
          <w:b/>
          <w:bCs/>
          <w:sz w:val="28"/>
          <w:szCs w:val="28"/>
        </w:rPr>
        <w:t>第一部分  技术方案描述部分</w:t>
      </w:r>
      <w:bookmarkEnd w:id="73"/>
      <w:bookmarkEnd w:id="74"/>
    </w:p>
    <w:p>
      <w:pPr>
        <w:numPr>
          <w:ilvl w:val="0"/>
          <w:numId w:val="15"/>
        </w:numPr>
        <w:spacing w:line="360" w:lineRule="auto"/>
        <w:ind w:left="405" w:firstLine="15"/>
        <w:rPr>
          <w:sz w:val="28"/>
          <w:szCs w:val="28"/>
        </w:rPr>
      </w:pPr>
      <w:r>
        <w:rPr>
          <w:rFonts w:hint="eastAsia"/>
          <w:sz w:val="28"/>
          <w:szCs w:val="28"/>
        </w:rPr>
        <w:t>投标人情况介绍（附件4）</w:t>
      </w:r>
    </w:p>
    <w:p>
      <w:pPr>
        <w:numPr>
          <w:ilvl w:val="0"/>
          <w:numId w:val="15"/>
        </w:numPr>
        <w:spacing w:line="360" w:lineRule="auto"/>
        <w:ind w:left="405" w:firstLine="15"/>
        <w:rPr>
          <w:sz w:val="28"/>
          <w:szCs w:val="28"/>
        </w:rPr>
      </w:pPr>
      <w:r>
        <w:rPr>
          <w:rFonts w:hint="eastAsia"/>
          <w:sz w:val="28"/>
          <w:szCs w:val="28"/>
        </w:rPr>
        <w:t>项目需求的理解与分析</w:t>
      </w:r>
    </w:p>
    <w:p>
      <w:pPr>
        <w:numPr>
          <w:ilvl w:val="0"/>
          <w:numId w:val="15"/>
        </w:numPr>
        <w:spacing w:line="360" w:lineRule="auto"/>
        <w:ind w:left="405" w:firstLine="15"/>
        <w:rPr>
          <w:sz w:val="28"/>
          <w:szCs w:val="28"/>
        </w:rPr>
      </w:pPr>
      <w:r>
        <w:rPr>
          <w:rFonts w:hint="eastAsia"/>
          <w:sz w:val="28"/>
          <w:szCs w:val="28"/>
        </w:rPr>
        <w:t>项目组织实施方案（可视情选用附件5、附件6）</w:t>
      </w:r>
    </w:p>
    <w:p>
      <w:pPr>
        <w:numPr>
          <w:ilvl w:val="0"/>
          <w:numId w:val="15"/>
        </w:numPr>
        <w:spacing w:line="360" w:lineRule="auto"/>
        <w:ind w:left="405" w:firstLine="15"/>
        <w:rPr>
          <w:sz w:val="28"/>
          <w:szCs w:val="28"/>
        </w:rPr>
      </w:pPr>
      <w:r>
        <w:rPr>
          <w:rFonts w:hint="eastAsia"/>
          <w:sz w:val="28"/>
          <w:szCs w:val="28"/>
        </w:rPr>
        <w:t>安装、调试及验收方案</w:t>
      </w:r>
    </w:p>
    <w:p>
      <w:pPr>
        <w:spacing w:line="360" w:lineRule="auto"/>
        <w:ind w:firstLine="561" w:firstLineChars="200"/>
        <w:rPr>
          <w:b/>
          <w:bCs/>
          <w:sz w:val="28"/>
          <w:szCs w:val="28"/>
        </w:rPr>
      </w:pPr>
      <w:bookmarkStart w:id="75" w:name="_Toc12004_WPSOffice_Level1"/>
      <w:bookmarkStart w:id="76" w:name="_Toc6008_WPSOffice_Level1"/>
      <w:r>
        <w:rPr>
          <w:rFonts w:hint="eastAsia"/>
          <w:b/>
          <w:bCs/>
          <w:sz w:val="28"/>
          <w:szCs w:val="28"/>
        </w:rPr>
        <w:t>第二部分  投标产品描述部分</w:t>
      </w:r>
      <w:bookmarkEnd w:id="75"/>
      <w:bookmarkEnd w:id="76"/>
    </w:p>
    <w:p>
      <w:pPr>
        <w:numPr>
          <w:ilvl w:val="0"/>
          <w:numId w:val="16"/>
        </w:numPr>
        <w:spacing w:line="360" w:lineRule="auto"/>
        <w:ind w:hanging="5"/>
        <w:rPr>
          <w:sz w:val="28"/>
          <w:szCs w:val="28"/>
        </w:rPr>
      </w:pPr>
      <w:r>
        <w:rPr>
          <w:rFonts w:hint="eastAsia"/>
          <w:sz w:val="28"/>
          <w:szCs w:val="28"/>
        </w:rPr>
        <w:t>投标产品描述及相关资料（可视情选用附件7）</w:t>
      </w:r>
    </w:p>
    <w:p>
      <w:pPr>
        <w:numPr>
          <w:ilvl w:val="0"/>
          <w:numId w:val="16"/>
        </w:numPr>
        <w:spacing w:line="360" w:lineRule="auto"/>
        <w:ind w:hanging="5"/>
        <w:rPr>
          <w:sz w:val="28"/>
          <w:szCs w:val="28"/>
        </w:rPr>
      </w:pPr>
      <w:r>
        <w:rPr>
          <w:rFonts w:hint="eastAsia"/>
          <w:sz w:val="28"/>
          <w:szCs w:val="28"/>
        </w:rPr>
        <w:t>技术需求响应表（附件8）</w:t>
      </w:r>
    </w:p>
    <w:p>
      <w:pPr>
        <w:numPr>
          <w:ilvl w:val="0"/>
          <w:numId w:val="16"/>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1" w:firstLineChars="200"/>
        <w:rPr>
          <w:b/>
          <w:bCs/>
          <w:sz w:val="28"/>
          <w:szCs w:val="28"/>
        </w:rPr>
      </w:pPr>
      <w:bookmarkStart w:id="77" w:name="_Toc20986_WPSOffice_Level1"/>
      <w:bookmarkStart w:id="78" w:name="_Toc30029_WPSOffice_Level1"/>
      <w:r>
        <w:rPr>
          <w:rFonts w:hint="eastAsia"/>
          <w:b/>
          <w:bCs/>
          <w:sz w:val="28"/>
          <w:szCs w:val="28"/>
        </w:rPr>
        <w:t>第三部分  商务及其他部分</w:t>
      </w:r>
      <w:bookmarkEnd w:id="77"/>
      <w:bookmarkEnd w:id="78"/>
    </w:p>
    <w:p>
      <w:pPr>
        <w:numPr>
          <w:ilvl w:val="0"/>
          <w:numId w:val="17"/>
        </w:numPr>
        <w:spacing w:line="360" w:lineRule="auto"/>
        <w:ind w:hanging="5"/>
        <w:rPr>
          <w:sz w:val="28"/>
          <w:szCs w:val="28"/>
        </w:rPr>
      </w:pPr>
      <w:r>
        <w:rPr>
          <w:rFonts w:hint="eastAsia"/>
          <w:sz w:val="28"/>
          <w:szCs w:val="28"/>
        </w:rPr>
        <w:t>证书一览表（附件9）</w:t>
      </w:r>
    </w:p>
    <w:p>
      <w:pPr>
        <w:numPr>
          <w:ilvl w:val="0"/>
          <w:numId w:val="17"/>
        </w:numPr>
        <w:spacing w:line="360" w:lineRule="auto"/>
        <w:ind w:hanging="5"/>
        <w:rPr>
          <w:sz w:val="28"/>
          <w:szCs w:val="28"/>
        </w:rPr>
      </w:pPr>
      <w:r>
        <w:rPr>
          <w:rFonts w:hint="eastAsia"/>
          <w:sz w:val="28"/>
          <w:szCs w:val="28"/>
        </w:rPr>
        <w:t>近三年来类似项目的成功案例（附件10）</w:t>
      </w:r>
    </w:p>
    <w:p>
      <w:pPr>
        <w:numPr>
          <w:ilvl w:val="0"/>
          <w:numId w:val="17"/>
        </w:numPr>
        <w:spacing w:line="360" w:lineRule="auto"/>
        <w:ind w:hanging="5"/>
        <w:rPr>
          <w:sz w:val="28"/>
          <w:szCs w:val="28"/>
        </w:rPr>
      </w:pPr>
      <w:r>
        <w:rPr>
          <w:rFonts w:hint="eastAsia"/>
          <w:sz w:val="28"/>
          <w:szCs w:val="28"/>
        </w:rPr>
        <w:t>售后服务描述及承诺（可视情选用附件11，附件12）</w:t>
      </w:r>
    </w:p>
    <w:p>
      <w:pPr>
        <w:numPr>
          <w:ilvl w:val="0"/>
          <w:numId w:val="17"/>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7"/>
        </w:numPr>
        <w:spacing w:line="360" w:lineRule="auto"/>
        <w:ind w:hanging="5"/>
        <w:rPr>
          <w:sz w:val="28"/>
          <w:szCs w:val="28"/>
        </w:rPr>
      </w:pPr>
      <w:r>
        <w:rPr>
          <w:rFonts w:hint="eastAsia"/>
          <w:sz w:val="28"/>
          <w:szCs w:val="28"/>
        </w:rPr>
        <w:t>主要货物用材响应表（类似家具类货物采用，附件13）</w:t>
      </w:r>
    </w:p>
    <w:p>
      <w:pPr>
        <w:pStyle w:val="33"/>
        <w:spacing w:before="0" w:beforeAutospacing="0" w:after="0" w:afterAutospacing="0" w:line="360" w:lineRule="auto"/>
        <w:ind w:firstLine="480" w:firstLineChars="200"/>
        <w:jc w:val="both"/>
        <w:rPr>
          <w:b/>
        </w:rPr>
      </w:pPr>
    </w:p>
    <w:p>
      <w:pPr>
        <w:pStyle w:val="33"/>
        <w:spacing w:before="0" w:beforeAutospacing="0" w:after="0" w:afterAutospacing="0" w:line="360" w:lineRule="auto"/>
        <w:rPr>
          <w:b/>
          <w:sz w:val="28"/>
        </w:rPr>
      </w:pPr>
    </w:p>
    <w:p>
      <w:pPr>
        <w:rPr>
          <w:b/>
          <w:sz w:val="28"/>
        </w:rPr>
      </w:pPr>
      <w:r>
        <w:rPr>
          <w:b/>
          <w:sz w:val="28"/>
        </w:rPr>
        <w:br w:type="page"/>
      </w:r>
    </w:p>
    <w:p>
      <w:pPr>
        <w:pStyle w:val="33"/>
        <w:spacing w:before="0" w:beforeAutospacing="0" w:after="0" w:afterAutospacing="0" w:line="360" w:lineRule="auto"/>
        <w:rPr>
          <w:b/>
          <w:sz w:val="28"/>
        </w:rPr>
      </w:pPr>
      <w:r>
        <w:rPr>
          <w:rFonts w:hint="eastAsia"/>
          <w:b/>
          <w:sz w:val="28"/>
        </w:rPr>
        <w:t>附件4</w:t>
      </w:r>
    </w:p>
    <w:p>
      <w:pPr>
        <w:pStyle w:val="33"/>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9" w:name="_Toc13307_WPSOffice_Level1"/>
      <w:bookmarkStart w:id="80" w:name="_Toc14261_WPSOffice_Level1"/>
      <w:r>
        <w:rPr>
          <w:rFonts w:hint="eastAsia"/>
          <w:b/>
          <w:sz w:val="32"/>
          <w:szCs w:val="32"/>
        </w:rPr>
        <w:t>投标</w:t>
      </w:r>
      <w:r>
        <w:rPr>
          <w:rFonts w:hint="eastAsia"/>
          <w:b/>
          <w:bCs/>
          <w:sz w:val="32"/>
          <w:szCs w:val="32"/>
        </w:rPr>
        <w:t>人基本情况表</w:t>
      </w:r>
      <w:bookmarkEnd w:id="79"/>
      <w:bookmarkEnd w:id="80"/>
    </w:p>
    <w:tbl>
      <w:tblPr>
        <w:tblStyle w:val="27"/>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822"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822"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jc w:val="center"/>
        </w:trPr>
        <w:tc>
          <w:tcPr>
            <w:tcW w:w="822" w:type="dxa"/>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822" w:type="dxa"/>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8"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3"/>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1"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7"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822" w:type="dxa"/>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822" w:type="dxa"/>
            <w:vMerge w:val="continue"/>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3"/>
              <w:spacing w:before="0" w:beforeAutospacing="0" w:after="0" w:afterAutospacing="0"/>
              <w:jc w:val="center"/>
              <w:rPr>
                <w:rFonts w:asciiTheme="minorEastAsia" w:hAnsiTheme="minorEastAsia" w:eastAsiaTheme="minorEastAsia" w:cstheme="minorEastAsia"/>
                <w:bCs/>
                <w:sz w:val="21"/>
                <w:szCs w:val="21"/>
              </w:rPr>
            </w:pPr>
          </w:p>
        </w:tc>
      </w:tr>
    </w:tbl>
    <w:p>
      <w:pPr>
        <w:pStyle w:val="33"/>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3"/>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3"/>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附件5</w:t>
      </w:r>
    </w:p>
    <w:p>
      <w:pPr>
        <w:snapToGrid w:val="0"/>
        <w:spacing w:beforeLines="50" w:after="50" w:line="360" w:lineRule="auto"/>
        <w:jc w:val="center"/>
        <w:rPr>
          <w:rFonts w:ascii="宋体" w:hAnsi="宋体"/>
          <w:b/>
          <w:sz w:val="36"/>
          <w:szCs w:val="36"/>
        </w:rPr>
      </w:pPr>
      <w:bookmarkStart w:id="81" w:name="_Toc23671_WPSOffice_Level1"/>
      <w:bookmarkStart w:id="82" w:name="_Toc20569_WPSOffice_Level1"/>
      <w:r>
        <w:rPr>
          <w:rFonts w:hint="eastAsia" w:ascii="宋体" w:hAnsi="宋体"/>
          <w:b/>
          <w:sz w:val="32"/>
          <w:szCs w:val="32"/>
        </w:rPr>
        <w:t>项目实施人员一览表</w:t>
      </w:r>
      <w:bookmarkEnd w:id="81"/>
      <w:bookmarkEnd w:id="82"/>
    </w:p>
    <w:p>
      <w:pPr>
        <w:snapToGrid w:val="0"/>
        <w:spacing w:beforeLines="50" w:after="50" w:line="360" w:lineRule="auto"/>
        <w:jc w:val="center"/>
        <w:rPr>
          <w:rFonts w:ascii="宋体" w:hAnsi="宋体"/>
          <w:sz w:val="24"/>
        </w:rPr>
        <w:pPrChange w:id="1" w:author="sfse" w:date="2022-12-29T08:55:00Z">
          <w:pPr>
            <w:snapToGrid w:val="0"/>
            <w:spacing w:beforeLines="50" w:after="50" w:line="360" w:lineRule="auto"/>
            <w:jc w:val="center"/>
          </w:pPr>
        </w:pPrChange>
      </w:pPr>
      <w:r>
        <w:rPr>
          <w:rFonts w:hint="eastAsia" w:ascii="宋体" w:hAnsi="宋体"/>
          <w:sz w:val="24"/>
        </w:rPr>
        <w:t>（主要从业人员及其技术资格）</w:t>
      </w:r>
    </w:p>
    <w:tbl>
      <w:tblPr>
        <w:tblStyle w:val="27"/>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Change w:id="2" w:author="sfse" w:date="2022-12-29T08:55:00Z">
                <w:pPr>
                  <w:snapToGrid w:val="0"/>
                  <w:spacing w:beforeLines="50" w:after="50" w:line="360" w:lineRule="auto"/>
                </w:pPr>
              </w:pPrChange>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 w:author="sfse" w:date="2022-12-29T08:55:00Z">
                <w:pPr>
                  <w:snapToGrid w:val="0"/>
                  <w:spacing w:beforeLines="50" w:after="50" w:line="360" w:lineRule="auto"/>
                </w:pPr>
              </w:pPrChange>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4" w:author="sfse" w:date="2022-12-29T08:50:00Z">
                <w:pPr>
                  <w:snapToGrid w:val="0"/>
                  <w:spacing w:beforeLines="50" w:after="50" w:line="360" w:lineRule="auto"/>
                </w:pPr>
              </w:pPrChange>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5" w:author="sfse" w:date="2022-12-29T08:50:00Z">
                <w:pPr>
                  <w:snapToGrid w:val="0"/>
                  <w:spacing w:beforeLines="50" w:after="50" w:line="360" w:lineRule="auto"/>
                </w:pPr>
              </w:pPrChange>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6" w:author="sfse" w:date="2022-12-29T08:50:00Z">
                <w:pPr>
                  <w:snapToGrid w:val="0"/>
                  <w:spacing w:beforeLines="50" w:after="50" w:line="360" w:lineRule="auto"/>
                </w:pPr>
              </w:pPrChange>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7" w:author="sfse" w:date="2022-12-29T08:50:00Z">
                <w:pPr>
                  <w:snapToGrid w:val="0"/>
                  <w:spacing w:beforeLines="50" w:after="50" w:line="360" w:lineRule="auto"/>
                </w:pPr>
              </w:pPrChange>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8" w:author="sfse" w:date="2022-12-29T08:50:00Z">
                <w:pPr>
                  <w:snapToGrid w:val="0"/>
                  <w:spacing w:beforeLines="50" w:after="50" w:line="360" w:lineRule="auto"/>
                </w:pPr>
              </w:pPrChange>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9" w:author="sfse" w:date="2022-12-29T08:50:00Z">
                <w:pPr>
                  <w:snapToGrid w:val="0"/>
                  <w:spacing w:beforeLines="50" w:after="50" w:line="360" w:lineRule="auto"/>
                </w:pPr>
              </w:pPrChang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Change w:id="10" w:author="sfse" w:date="2022-12-29T08:55:00Z">
                <w:pPr>
                  <w:snapToGrid w:val="0"/>
                  <w:spacing w:beforeLines="50" w:after="50" w:line="360" w:lineRule="auto"/>
                </w:pPr>
              </w:pPrChange>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11" w:author="sfse" w:date="2022-12-29T08:55:00Z">
                <w:pPr>
                  <w:snapToGrid w:val="0"/>
                  <w:spacing w:beforeLines="50" w:after="50" w:line="360" w:lineRule="auto"/>
                </w:pPr>
              </w:pPrChange>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12" w:author="sfse" w:date="2022-12-29T08:50:00Z">
                <w:pPr>
                  <w:snapToGrid w:val="0"/>
                  <w:spacing w:beforeLines="50" w:after="50" w:line="360" w:lineRule="auto"/>
                </w:pPr>
              </w:pPrChange>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13" w:author="sfse" w:date="2022-12-29T08:50:00Z">
                <w:pPr>
                  <w:snapToGrid w:val="0"/>
                  <w:spacing w:beforeLines="50" w:after="50" w:line="360" w:lineRule="auto"/>
                </w:pPr>
              </w:pPrChange>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14" w:author="sfse" w:date="2022-12-29T08:50:00Z">
                <w:pPr>
                  <w:snapToGrid w:val="0"/>
                  <w:spacing w:beforeLines="50" w:after="50" w:line="360" w:lineRule="auto"/>
                </w:pPr>
              </w:pPrChange>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15" w:author="sfse" w:date="2022-12-29T08:50:00Z">
                <w:pPr>
                  <w:snapToGrid w:val="0"/>
                  <w:spacing w:beforeLines="50" w:after="50" w:line="360" w:lineRule="auto"/>
                </w:pPr>
              </w:pPrChange>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16" w:author="sfse" w:date="2022-12-29T08:50:00Z">
                <w:pPr>
                  <w:snapToGrid w:val="0"/>
                  <w:spacing w:beforeLines="50" w:after="50" w:line="360" w:lineRule="auto"/>
                </w:pPr>
              </w:pPrChange>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17" w:author="sfse" w:date="2022-12-29T08:50:00Z">
                <w:pPr>
                  <w:snapToGrid w:val="0"/>
                  <w:spacing w:beforeLines="50" w:after="50" w:line="360" w:lineRule="auto"/>
                </w:pPr>
              </w:pPrChang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Change w:id="18" w:author="sfse" w:date="2022-12-29T08:55:00Z">
                <w:pPr>
                  <w:snapToGrid w:val="0"/>
                  <w:spacing w:beforeLines="50" w:after="50" w:line="360" w:lineRule="auto"/>
                </w:pPr>
              </w:pPrChange>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19" w:author="sfse" w:date="2022-12-29T08:55:00Z">
                <w:pPr>
                  <w:snapToGrid w:val="0"/>
                  <w:spacing w:beforeLines="50" w:after="50" w:line="360" w:lineRule="auto"/>
                </w:pPr>
              </w:pPrChange>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20" w:author="sfse" w:date="2022-12-29T08:50:00Z">
                <w:pPr>
                  <w:snapToGrid w:val="0"/>
                  <w:spacing w:beforeLines="50" w:after="50" w:line="360" w:lineRule="auto"/>
                </w:pPr>
              </w:pPrChange>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Theme="minorEastAsia" w:hAnsiTheme="minorEastAsia" w:eastAsiaTheme="minorEastAsia" w:cstheme="minorEastAsia"/>
                <w:b/>
                <w:kern w:val="44"/>
                <w:sz w:val="21"/>
                <w:szCs w:val="21"/>
              </w:rPr>
              <w:pPrChange w:id="21" w:author="sfse" w:date="2022-12-29T08:50:00Z">
                <w:pPr>
                  <w:pStyle w:val="15"/>
                  <w:snapToGrid w:val="0"/>
                  <w:spacing w:beforeLines="50" w:after="50" w:line="360" w:lineRule="auto"/>
                  <w:ind w:left="5250"/>
                </w:pPr>
              </w:pPrChange>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Theme="minorEastAsia" w:hAnsiTheme="minorEastAsia" w:eastAsiaTheme="minorEastAsia" w:cstheme="minorEastAsia"/>
                <w:b/>
                <w:kern w:val="44"/>
                <w:sz w:val="21"/>
                <w:szCs w:val="21"/>
              </w:rPr>
              <w:pPrChange w:id="22" w:author="sfse" w:date="2022-12-29T08:50:00Z">
                <w:pPr>
                  <w:pStyle w:val="15"/>
                  <w:snapToGrid w:val="0"/>
                  <w:spacing w:beforeLines="50" w:after="50" w:line="360" w:lineRule="auto"/>
                  <w:ind w:left="5250"/>
                </w:pPr>
              </w:pPrChange>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Change w:id="23" w:author="sfse" w:date="2022-12-29T08:55:00Z">
                <w:pPr>
                  <w:snapToGrid w:val="0"/>
                  <w:spacing w:beforeLines="50" w:after="50" w:line="360" w:lineRule="auto"/>
                </w:pPr>
              </w:pPrChange>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24" w:author="sfse" w:date="2022-12-29T08:55:00Z">
                <w:pPr>
                  <w:snapToGrid w:val="0"/>
                  <w:spacing w:beforeLines="50" w:after="50" w:line="360" w:lineRule="auto"/>
                </w:pPr>
              </w:pPrChang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Change w:id="25" w:author="sfse" w:date="2022-12-29T08:55:00Z">
                <w:pPr>
                  <w:snapToGrid w:val="0"/>
                  <w:spacing w:beforeLines="50" w:after="50" w:line="360" w:lineRule="auto"/>
                </w:pPr>
              </w:pPrChange>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26" w:author="sfse" w:date="2022-12-29T08:55:00Z">
                <w:pPr>
                  <w:snapToGrid w:val="0"/>
                  <w:spacing w:beforeLines="50" w:after="50" w:line="360" w:lineRule="auto"/>
                </w:pPr>
              </w:pPrChange>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27" w:author="sfse" w:date="2022-12-29T08:50:00Z">
                <w:pPr>
                  <w:snapToGrid w:val="0"/>
                  <w:spacing w:beforeLines="50" w:after="50" w:line="360" w:lineRule="auto"/>
                </w:pPr>
              </w:pPrChange>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28" w:author="sfse" w:date="2022-12-29T08:50:00Z">
                <w:pPr>
                  <w:snapToGrid w:val="0"/>
                  <w:spacing w:beforeLines="50" w:after="50" w:line="360" w:lineRule="auto"/>
                </w:pPr>
              </w:pPrChange>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29" w:author="sfse" w:date="2022-12-29T08:50:00Z">
                <w:pPr>
                  <w:snapToGrid w:val="0"/>
                  <w:spacing w:beforeLines="50" w:after="50" w:line="360" w:lineRule="auto"/>
                </w:pPr>
              </w:pPrChange>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0" w:author="sfse" w:date="2022-12-29T08:50:00Z">
                <w:pPr>
                  <w:snapToGrid w:val="0"/>
                  <w:spacing w:beforeLines="50" w:after="50" w:line="360" w:lineRule="auto"/>
                </w:pPr>
              </w:pPrChange>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1" w:author="sfse" w:date="2022-12-29T08:50:00Z">
                <w:pPr>
                  <w:snapToGrid w:val="0"/>
                  <w:spacing w:beforeLines="50" w:after="50" w:line="360" w:lineRule="auto"/>
                </w:pPr>
              </w:pPrChange>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2" w:author="sfse" w:date="2022-12-29T08:50:00Z">
                <w:pPr>
                  <w:snapToGrid w:val="0"/>
                  <w:spacing w:beforeLines="50" w:after="50" w:line="360" w:lineRule="auto"/>
                </w:pPr>
              </w:pPrChang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Change w:id="33" w:author="sfse" w:date="2022-12-29T08:55:00Z">
                <w:pPr>
                  <w:snapToGrid w:val="0"/>
                  <w:spacing w:beforeLines="50" w:after="50" w:line="360" w:lineRule="auto"/>
                </w:pPr>
              </w:pPrChange>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4" w:author="sfse" w:date="2022-12-29T08:55:00Z">
                <w:pPr>
                  <w:snapToGrid w:val="0"/>
                  <w:spacing w:beforeLines="50" w:after="50" w:line="360" w:lineRule="auto"/>
                </w:pPr>
              </w:pPrChange>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5" w:author="sfse" w:date="2022-12-29T08:50:00Z">
                <w:pPr>
                  <w:snapToGrid w:val="0"/>
                  <w:spacing w:beforeLines="50" w:after="50" w:line="360" w:lineRule="auto"/>
                </w:pPr>
              </w:pPrChange>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6" w:author="sfse" w:date="2022-12-29T08:50:00Z">
                <w:pPr>
                  <w:snapToGrid w:val="0"/>
                  <w:spacing w:beforeLines="50" w:after="50" w:line="360" w:lineRule="auto"/>
                </w:pPr>
              </w:pPrChange>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7" w:author="sfse" w:date="2022-12-29T08:50:00Z">
                <w:pPr>
                  <w:snapToGrid w:val="0"/>
                  <w:spacing w:beforeLines="50" w:after="50" w:line="360" w:lineRule="auto"/>
                </w:pPr>
              </w:pPrChange>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8" w:author="sfse" w:date="2022-12-29T08:50:00Z">
                <w:pPr>
                  <w:snapToGrid w:val="0"/>
                  <w:spacing w:beforeLines="50" w:after="50" w:line="360" w:lineRule="auto"/>
                </w:pPr>
              </w:pPrChange>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39" w:author="sfse" w:date="2022-12-29T08:50:00Z">
                <w:pPr>
                  <w:snapToGrid w:val="0"/>
                  <w:spacing w:beforeLines="50" w:after="50" w:line="360" w:lineRule="auto"/>
                </w:pPr>
              </w:pPrChange>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Change w:id="40" w:author="sfse" w:date="2022-12-29T08:50:00Z">
                <w:pPr>
                  <w:snapToGrid w:val="0"/>
                  <w:spacing w:beforeLines="50" w:after="50" w:line="360" w:lineRule="auto"/>
                </w:pPr>
              </w:pPrChange>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4"/>
        <w:spacing w:line="360" w:lineRule="auto"/>
        <w:ind w:left="424" w:leftChars="202"/>
        <w:rPr>
          <w:rFonts w:ascii="宋体" w:hAnsi="宋体"/>
          <w:szCs w:val="21"/>
        </w:rPr>
      </w:pPr>
      <w:r>
        <w:rPr>
          <w:rFonts w:hint="eastAsia" w:ascii="宋体" w:hAnsi="宋体"/>
          <w:szCs w:val="21"/>
        </w:rPr>
        <w:t>2.附人员证书。</w:t>
      </w:r>
    </w:p>
    <w:p>
      <w:pPr>
        <w:pStyle w:val="34"/>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Change w:id="41" w:author="sfse" w:date="2022-12-29T08:50:00Z">
          <w:pPr>
            <w:snapToGrid w:val="0"/>
            <w:spacing w:before="50" w:afterLines="50" w:line="360" w:lineRule="auto"/>
            <w:jc w:val="left"/>
          </w:pPr>
        </w:pPrChange>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附件6</w:t>
      </w:r>
    </w:p>
    <w:p>
      <w:pPr>
        <w:spacing w:beforeLines="50" w:afterLines="50" w:line="360" w:lineRule="auto"/>
        <w:ind w:right="-10"/>
        <w:jc w:val="center"/>
        <w:rPr>
          <w:rFonts w:ascii="宋体" w:hAnsi="宋体"/>
          <w:b/>
          <w:bCs/>
          <w:sz w:val="32"/>
          <w:szCs w:val="32"/>
        </w:rPr>
      </w:pPr>
      <w:bookmarkStart w:id="83" w:name="_Toc12710_WPSOffice_Level1"/>
      <w:bookmarkStart w:id="84" w:name="_Toc23055_WPSOffice_Level1"/>
      <w:r>
        <w:rPr>
          <w:rFonts w:hint="eastAsia" w:ascii="宋体" w:hAnsi="宋体"/>
          <w:b/>
          <w:bCs/>
          <w:sz w:val="32"/>
          <w:szCs w:val="32"/>
        </w:rPr>
        <w:t>项目负责人资格情况表</w:t>
      </w:r>
      <w:bookmarkEnd w:id="83"/>
      <w:bookmarkEnd w:id="84"/>
    </w:p>
    <w:tbl>
      <w:tblPr>
        <w:tblStyle w:val="27"/>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2"/>
        <w:jc w:val="center"/>
        <w:rPr>
          <w:rFonts w:ascii="宋体" w:hAnsi="宋体"/>
          <w:sz w:val="24"/>
        </w:rPr>
      </w:pPr>
      <w:bookmarkStart w:id="85" w:name="_Toc3591_WPSOffice_Level1"/>
      <w:bookmarkStart w:id="86" w:name="_Toc32718_WPSOffice_Level1"/>
      <w:r>
        <w:rPr>
          <w:rFonts w:hint="eastAsia" w:ascii="宋体" w:hAnsi="宋体"/>
          <w:b/>
          <w:sz w:val="32"/>
          <w:szCs w:val="32"/>
        </w:rPr>
        <w:t>供货</w:t>
      </w:r>
      <w:r>
        <w:rPr>
          <w:rFonts w:ascii="宋体" w:hAnsi="宋体"/>
          <w:b/>
          <w:sz w:val="32"/>
          <w:szCs w:val="32"/>
        </w:rPr>
        <w:t>清单</w:t>
      </w:r>
      <w:bookmarkEnd w:id="85"/>
      <w:bookmarkEnd w:id="86"/>
    </w:p>
    <w:tbl>
      <w:tblPr>
        <w:tblStyle w:val="27"/>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0" w:firstLineChars="200"/>
        <w:rPr>
          <w:rFonts w:ascii="宋体" w:hAnsi="宋体"/>
          <w:b/>
          <w:szCs w:val="21"/>
        </w:rPr>
      </w:pPr>
      <w:r>
        <w:rPr>
          <w:rFonts w:hint="eastAsia" w:ascii="宋体" w:hAnsi="宋体"/>
          <w:b/>
          <w:szCs w:val="21"/>
        </w:rPr>
        <w:t>要求：</w:t>
      </w:r>
    </w:p>
    <w:p>
      <w:pPr>
        <w:numPr>
          <w:ilvl w:val="0"/>
          <w:numId w:val="18"/>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8"/>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sz w:val="32"/>
          <w:szCs w:val="32"/>
        </w:rPr>
      </w:pPr>
      <w:bookmarkStart w:id="87" w:name="_Toc26601_WPSOffice_Level1"/>
      <w:bookmarkStart w:id="88"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87"/>
      <w:bookmarkEnd w:id="88"/>
    </w:p>
    <w:tbl>
      <w:tblPr>
        <w:tblStyle w:val="27"/>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5"/>
        <w:tabs>
          <w:tab w:val="left" w:pos="360"/>
        </w:tabs>
        <w:spacing w:line="360" w:lineRule="auto"/>
        <w:jc w:val="both"/>
        <w:rPr>
          <w:rFonts w:ascii="宋体"/>
          <w:b/>
          <w:szCs w:val="21"/>
        </w:rPr>
      </w:pPr>
      <w:r>
        <w:rPr>
          <w:rFonts w:hint="eastAsia" w:ascii="宋体"/>
          <w:b/>
          <w:szCs w:val="21"/>
        </w:rPr>
        <w:t>要求：</w:t>
      </w:r>
    </w:p>
    <w:p>
      <w:pPr>
        <w:pStyle w:val="35"/>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5"/>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5"/>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8"/>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6"/>
        <w:spacing w:line="360" w:lineRule="auto"/>
        <w:jc w:val="left"/>
        <w:rPr>
          <w:rFonts w:ascii="宋体" w:hAnsi="宋体"/>
          <w:b/>
          <w:sz w:val="28"/>
        </w:rPr>
      </w:pPr>
      <w:r>
        <w:rPr>
          <w:rFonts w:hint="eastAsia" w:ascii="宋体" w:hAnsi="宋体"/>
          <w:b/>
          <w:sz w:val="28"/>
        </w:rPr>
        <w:t>附件9</w:t>
      </w:r>
    </w:p>
    <w:p>
      <w:pPr>
        <w:pStyle w:val="37"/>
        <w:spacing w:line="360" w:lineRule="auto"/>
        <w:jc w:val="center"/>
        <w:rPr>
          <w:rFonts w:ascii="宋体" w:hAnsi="宋体"/>
          <w:b/>
          <w:sz w:val="32"/>
          <w:szCs w:val="32"/>
        </w:rPr>
      </w:pPr>
      <w:bookmarkStart w:id="89" w:name="_Toc11030_WPSOffice_Level1"/>
      <w:bookmarkStart w:id="90" w:name="_Toc17604_WPSOffice_Level1"/>
      <w:r>
        <w:rPr>
          <w:rFonts w:hint="eastAsia" w:ascii="宋体" w:hAnsi="宋体"/>
          <w:b/>
          <w:sz w:val="32"/>
          <w:szCs w:val="32"/>
        </w:rPr>
        <w:t>证书一览表</w:t>
      </w:r>
      <w:bookmarkEnd w:id="89"/>
      <w:bookmarkEnd w:id="90"/>
    </w:p>
    <w:tbl>
      <w:tblPr>
        <w:tblStyle w:val="27"/>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r>
    </w:tbl>
    <w:p>
      <w:pPr>
        <w:pStyle w:val="37"/>
        <w:tabs>
          <w:tab w:val="left" w:pos="1050"/>
        </w:tabs>
        <w:spacing w:line="360" w:lineRule="auto"/>
        <w:rPr>
          <w:rFonts w:ascii="宋体" w:hAnsi="宋体"/>
          <w:szCs w:val="21"/>
        </w:rPr>
      </w:pPr>
      <w:r>
        <w:rPr>
          <w:rFonts w:hint="eastAsia" w:ascii="宋体" w:hAnsi="宋体"/>
          <w:b/>
          <w:szCs w:val="21"/>
        </w:rPr>
        <w:t>要求：</w:t>
      </w:r>
    </w:p>
    <w:p>
      <w:pPr>
        <w:pStyle w:val="37"/>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7"/>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7"/>
        <w:tabs>
          <w:tab w:val="left" w:pos="1050"/>
        </w:tabs>
        <w:spacing w:line="360" w:lineRule="auto"/>
        <w:rPr>
          <w:rFonts w:ascii="仿宋_GB2312" w:hAnsi="宋体" w:eastAsia="仿宋_GB2312"/>
          <w:sz w:val="24"/>
        </w:rPr>
      </w:pPr>
    </w:p>
    <w:p>
      <w:pPr>
        <w:pStyle w:val="37"/>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3"/>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附件10</w:t>
      </w:r>
    </w:p>
    <w:p>
      <w:pPr>
        <w:pStyle w:val="36"/>
        <w:spacing w:line="360" w:lineRule="auto"/>
        <w:jc w:val="center"/>
        <w:rPr>
          <w:rFonts w:ascii="仿宋_GB2312" w:eastAsia="仿宋_GB2312"/>
          <w:b/>
          <w:sz w:val="28"/>
          <w:szCs w:val="28"/>
        </w:rPr>
      </w:pPr>
      <w:bookmarkStart w:id="91" w:name="_Toc7134_WPSOffice_Level1"/>
      <w:bookmarkStart w:id="92" w:name="_Toc19231_WPSOffice_Level1"/>
      <w:r>
        <w:rPr>
          <w:rFonts w:hint="eastAsia" w:ascii="宋体" w:hAnsi="宋体"/>
          <w:b/>
          <w:sz w:val="32"/>
          <w:szCs w:val="32"/>
        </w:rPr>
        <w:t>投标人类似项目实施情况一览表</w:t>
      </w:r>
      <w:bookmarkEnd w:id="91"/>
      <w:bookmarkEnd w:id="92"/>
    </w:p>
    <w:tbl>
      <w:tblPr>
        <w:tblStyle w:val="27"/>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7"/>
        <w:tabs>
          <w:tab w:val="left" w:pos="1050"/>
        </w:tabs>
        <w:spacing w:line="360" w:lineRule="auto"/>
        <w:rPr>
          <w:rFonts w:ascii="仿宋_GB2312" w:hAnsi="宋体"/>
          <w:sz w:val="24"/>
        </w:rPr>
      </w:pPr>
      <w:r>
        <w:rPr>
          <w:rFonts w:hint="eastAsia" w:ascii="宋体" w:hAnsi="宋体"/>
          <w:b/>
          <w:sz w:val="28"/>
        </w:rPr>
        <w:t>附件11</w:t>
      </w:r>
    </w:p>
    <w:p>
      <w:pPr>
        <w:spacing w:line="360" w:lineRule="auto"/>
        <w:ind w:hanging="9"/>
        <w:jc w:val="center"/>
        <w:rPr>
          <w:rFonts w:ascii="宋体" w:hAnsi="宋体"/>
          <w:b/>
          <w:sz w:val="18"/>
          <w:szCs w:val="18"/>
        </w:rPr>
      </w:pPr>
      <w:bookmarkStart w:id="93" w:name="_Toc21582_WPSOffice_Level1"/>
      <w:bookmarkStart w:id="94" w:name="_Toc3068_WPSOffice_Level1"/>
      <w:r>
        <w:rPr>
          <w:rFonts w:hint="eastAsia" w:ascii="宋体" w:hAnsi="宋体"/>
          <w:b/>
          <w:sz w:val="32"/>
          <w:szCs w:val="32"/>
        </w:rPr>
        <w:t>商务需求响应表</w:t>
      </w:r>
      <w:bookmarkEnd w:id="93"/>
      <w:bookmarkEnd w:id="94"/>
    </w:p>
    <w:tbl>
      <w:tblPr>
        <w:tblStyle w:val="27"/>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0"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附件12</w:t>
      </w:r>
      <w:r>
        <w:rPr>
          <w:rFonts w:ascii="宋体" w:hAnsi="宋体"/>
          <w:b/>
          <w:sz w:val="28"/>
        </w:rPr>
        <w:tab/>
      </w:r>
    </w:p>
    <w:p>
      <w:pPr>
        <w:spacing w:line="360" w:lineRule="auto"/>
        <w:jc w:val="center"/>
        <w:rPr>
          <w:rFonts w:ascii="宋体" w:hAnsi="宋体"/>
          <w:b/>
          <w:sz w:val="24"/>
        </w:rPr>
      </w:pPr>
      <w:bookmarkStart w:id="95" w:name="_Toc3463_WPSOffice_Level1"/>
      <w:bookmarkStart w:id="96" w:name="_Toc29652_WPSOffice_Level1"/>
      <w:r>
        <w:rPr>
          <w:rFonts w:hint="eastAsia" w:ascii="宋体" w:hAnsi="宋体"/>
          <w:b/>
          <w:sz w:val="32"/>
          <w:szCs w:val="32"/>
        </w:rPr>
        <w:t>售后服务情况表</w:t>
      </w:r>
      <w:bookmarkEnd w:id="95"/>
      <w:bookmarkEnd w:id="96"/>
    </w:p>
    <w:tbl>
      <w:tblPr>
        <w:tblStyle w:val="27"/>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8" w:hRule="atLeas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8"/>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258" w:hRule="atLeast"/>
          <w:jc w:val="center"/>
        </w:trPr>
        <w:tc>
          <w:tcPr>
            <w:tcW w:w="739" w:type="dxa"/>
            <w:vMerge w:val="restart"/>
            <w:tcMar>
              <w:top w:w="57" w:type="dxa"/>
              <w:left w:w="108" w:type="dxa"/>
              <w:bottom w:w="0" w:type="dxa"/>
              <w:right w:w="108" w:type="dxa"/>
            </w:tcMar>
            <w:vAlign w:val="center"/>
          </w:tcPr>
          <w:p>
            <w:pPr>
              <w:pStyle w:val="38"/>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8"/>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8"/>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090" w:hRule="atLeast"/>
          <w:jc w:val="center"/>
        </w:trPr>
        <w:tc>
          <w:tcPr>
            <w:tcW w:w="739" w:type="dxa"/>
            <w:vMerge w:val="continue"/>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8"/>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8"/>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21" w:hRule="exac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8"/>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8"/>
              <w:widowControl/>
              <w:spacing w:line="360" w:lineRule="auto"/>
              <w:jc w:val="left"/>
              <w:rPr>
                <w:rFonts w:ascii="宋体" w:hAnsi="宋体" w:cs="Arial"/>
                <w:bCs/>
                <w:szCs w:val="21"/>
              </w:rPr>
            </w:pPr>
          </w:p>
          <w:p>
            <w:pPr>
              <w:pStyle w:val="38"/>
              <w:widowControl/>
              <w:spacing w:line="360" w:lineRule="auto"/>
              <w:jc w:val="left"/>
              <w:rPr>
                <w:rFonts w:ascii="宋体" w:hAnsi="宋体" w:cs="Arial"/>
                <w:bCs/>
                <w:szCs w:val="21"/>
              </w:rPr>
            </w:pPr>
          </w:p>
          <w:p>
            <w:pPr>
              <w:pStyle w:val="38"/>
              <w:spacing w:line="360" w:lineRule="auto"/>
              <w:rPr>
                <w:rFonts w:ascii="宋体" w:hAnsi="宋体" w:cs="Arial"/>
                <w:bCs/>
                <w:szCs w:val="21"/>
              </w:rPr>
            </w:pPr>
          </w:p>
        </w:tc>
        <w:tc>
          <w:tcPr>
            <w:tcW w:w="1301" w:type="dxa"/>
            <w:tcMar>
              <w:top w:w="57" w:type="dxa"/>
              <w:left w:w="108" w:type="dxa"/>
              <w:bottom w:w="0" w:type="dxa"/>
              <w:right w:w="108" w:type="dxa"/>
            </w:tcMar>
          </w:tcPr>
          <w:p>
            <w:pPr>
              <w:pStyle w:val="38"/>
              <w:widowControl/>
              <w:spacing w:line="360" w:lineRule="auto"/>
              <w:jc w:val="left"/>
              <w:rPr>
                <w:rFonts w:ascii="宋体" w:hAnsi="宋体" w:cs="Arial"/>
                <w:bCs/>
                <w:szCs w:val="21"/>
              </w:rPr>
            </w:pPr>
          </w:p>
          <w:p>
            <w:pPr>
              <w:pStyle w:val="38"/>
              <w:widowControl/>
              <w:spacing w:line="360" w:lineRule="auto"/>
              <w:jc w:val="left"/>
              <w:rPr>
                <w:rFonts w:ascii="宋体" w:hAnsi="宋体" w:cs="Arial"/>
                <w:bCs/>
                <w:szCs w:val="21"/>
              </w:rPr>
            </w:pPr>
          </w:p>
          <w:p>
            <w:pPr>
              <w:pStyle w:val="38"/>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860" w:hRule="exact"/>
          <w:jc w:val="center"/>
        </w:trPr>
        <w:tc>
          <w:tcPr>
            <w:tcW w:w="73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p>
            <w:pPr>
              <w:pStyle w:val="38"/>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89" w:hRule="exact"/>
          <w:jc w:val="center"/>
        </w:trPr>
        <w:tc>
          <w:tcPr>
            <w:tcW w:w="73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8"/>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8"/>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8"/>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11"/>
        <w:rPr>
          <w:rFonts w:ascii="宋体" w:hAnsi="宋体"/>
          <w:sz w:val="24"/>
          <w:u w:val="single"/>
        </w:rPr>
      </w:pPr>
    </w:p>
    <w:p>
      <w:pPr>
        <w:pStyle w:val="11"/>
        <w:rPr>
          <w:rFonts w:ascii="宋体" w:hAnsi="宋体"/>
          <w:sz w:val="24"/>
          <w:u w:val="single"/>
        </w:rPr>
      </w:pPr>
    </w:p>
    <w:p>
      <w:pPr>
        <w:pStyle w:val="11"/>
        <w:rPr>
          <w:rFonts w:ascii="宋体" w:hAnsi="宋体"/>
          <w:sz w:val="24"/>
          <w:u w:val="single"/>
        </w:rPr>
      </w:pPr>
    </w:p>
    <w:p>
      <w:pPr>
        <w:pStyle w:val="11"/>
        <w:ind w:firstLine="0"/>
        <w:rPr>
          <w:rFonts w:ascii="宋体" w:hAnsi="宋体"/>
          <w:sz w:val="24"/>
          <w:u w:val="single"/>
        </w:rPr>
      </w:pPr>
    </w:p>
    <w:p>
      <w:pPr>
        <w:pStyle w:val="11"/>
        <w:ind w:firstLine="0"/>
        <w:rPr>
          <w:rFonts w:ascii="宋体" w:hAnsi="宋体"/>
          <w:sz w:val="24"/>
          <w:u w:val="single"/>
        </w:rPr>
      </w:pPr>
    </w:p>
    <w:p>
      <w:pPr>
        <w:pStyle w:val="11"/>
        <w:ind w:firstLine="0"/>
        <w:rPr>
          <w:rFonts w:ascii="宋体" w:hAnsi="宋体"/>
          <w:sz w:val="24"/>
          <w:u w:val="single"/>
        </w:rPr>
      </w:pPr>
    </w:p>
    <w:p>
      <w:pPr>
        <w:pStyle w:val="39"/>
        <w:spacing w:line="360" w:lineRule="auto"/>
        <w:rPr>
          <w:rFonts w:hAnsi="宋体"/>
          <w:b/>
          <w:sz w:val="28"/>
          <w:szCs w:val="28"/>
        </w:rPr>
      </w:pPr>
      <w:r>
        <w:rPr>
          <w:rFonts w:hint="eastAsia" w:hAnsi="宋体"/>
          <w:b/>
          <w:sz w:val="28"/>
          <w:szCs w:val="28"/>
        </w:rPr>
        <w:t>附件13</w:t>
      </w:r>
    </w:p>
    <w:p>
      <w:pPr>
        <w:pStyle w:val="39"/>
        <w:spacing w:line="360" w:lineRule="auto"/>
        <w:jc w:val="center"/>
        <w:rPr>
          <w:rFonts w:hAnsi="宋体"/>
          <w:b/>
          <w:sz w:val="32"/>
          <w:szCs w:val="32"/>
          <w:lang w:val="en-GB"/>
        </w:rPr>
      </w:pPr>
      <w:bookmarkStart w:id="97" w:name="_Toc15536_WPSOffice_Level1"/>
      <w:bookmarkStart w:id="98" w:name="_Toc16175_WPSOffice_Level1"/>
      <w:r>
        <w:rPr>
          <w:rFonts w:hint="eastAsia" w:hAnsi="宋体"/>
          <w:b/>
          <w:sz w:val="32"/>
          <w:szCs w:val="32"/>
        </w:rPr>
        <w:t>主要货物用材响应表(类似家具类货物采用)</w:t>
      </w:r>
      <w:bookmarkEnd w:id="97"/>
      <w:bookmarkEnd w:id="98"/>
    </w:p>
    <w:tbl>
      <w:tblPr>
        <w:tblStyle w:val="27"/>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8"/>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8"/>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8"/>
        <w:spacing w:line="360" w:lineRule="auto"/>
        <w:ind w:firstLine="480" w:firstLineChars="200"/>
        <w:rPr>
          <w:rFonts w:ascii="仿宋_GB2312" w:eastAsia="仿宋_GB2312"/>
          <w:sz w:val="24"/>
        </w:rPr>
      </w:pPr>
    </w:p>
    <w:p>
      <w:pPr>
        <w:pStyle w:val="38"/>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sz w:val="52"/>
          <w:szCs w:val="52"/>
        </w:rPr>
      </w:pPr>
      <w:bookmarkStart w:id="99" w:name="_Toc21322_WPSOffice_Level1"/>
      <w:bookmarkStart w:id="100" w:name="_Toc4615_WPSOffice_Level1"/>
      <w:bookmarkStart w:id="101" w:name="_Toc30468_WPSOffice_Level1"/>
    </w:p>
    <w:p>
      <w:pPr>
        <w:pStyle w:val="18"/>
      </w:pPr>
    </w:p>
    <w:p>
      <w:pPr>
        <w:jc w:val="center"/>
        <w:rPr>
          <w:sz w:val="52"/>
          <w:szCs w:val="52"/>
        </w:rPr>
      </w:pPr>
    </w:p>
    <w:p>
      <w:pPr>
        <w:jc w:val="center"/>
        <w:rPr>
          <w:sz w:val="52"/>
          <w:szCs w:val="52"/>
        </w:rPr>
      </w:pPr>
      <w:r>
        <w:rPr>
          <w:rFonts w:hint="eastAsia"/>
          <w:sz w:val="52"/>
          <w:szCs w:val="52"/>
        </w:rPr>
        <w:t>项目名称</w:t>
      </w:r>
      <w:bookmarkEnd w:id="99"/>
      <w:bookmarkEnd w:id="100"/>
      <w:bookmarkEnd w:id="10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8"/>
      </w:pPr>
    </w:p>
    <w:p>
      <w:pPr>
        <w:jc w:val="center"/>
        <w:rPr>
          <w:sz w:val="84"/>
          <w:szCs w:val="84"/>
        </w:rPr>
      </w:pPr>
      <w:bookmarkStart w:id="102" w:name="_Toc9453_WPSOffice_Level1"/>
      <w:bookmarkStart w:id="103" w:name="_Toc8885_WPSOffice_Level1"/>
      <w:r>
        <w:rPr>
          <w:rFonts w:hint="eastAsia"/>
          <w:sz w:val="84"/>
          <w:szCs w:val="84"/>
        </w:rPr>
        <w:t>报</w:t>
      </w:r>
      <w:bookmarkEnd w:id="102"/>
      <w:bookmarkEnd w:id="103"/>
    </w:p>
    <w:p>
      <w:pPr>
        <w:jc w:val="center"/>
        <w:rPr>
          <w:sz w:val="84"/>
          <w:szCs w:val="84"/>
        </w:rPr>
      </w:pPr>
      <w:bookmarkStart w:id="104" w:name="_Toc7485_WPSOffice_Level1"/>
      <w:bookmarkStart w:id="105" w:name="_Toc10910_WPSOffice_Level1"/>
      <w:r>
        <w:rPr>
          <w:rFonts w:hint="eastAsia"/>
          <w:sz w:val="84"/>
          <w:szCs w:val="84"/>
        </w:rPr>
        <w:t>价</w:t>
      </w:r>
      <w:bookmarkEnd w:id="104"/>
      <w:bookmarkEnd w:id="105"/>
    </w:p>
    <w:p>
      <w:pPr>
        <w:jc w:val="center"/>
        <w:rPr>
          <w:sz w:val="84"/>
          <w:szCs w:val="84"/>
        </w:rPr>
      </w:pPr>
      <w:bookmarkStart w:id="106" w:name="_Toc3932_WPSOffice_Level1"/>
      <w:bookmarkStart w:id="107" w:name="_Toc14572_WPSOffice_Level1"/>
      <w:r>
        <w:rPr>
          <w:rFonts w:hint="eastAsia"/>
          <w:sz w:val="84"/>
          <w:szCs w:val="84"/>
        </w:rPr>
        <w:t>文</w:t>
      </w:r>
      <w:bookmarkEnd w:id="106"/>
      <w:bookmarkEnd w:id="107"/>
    </w:p>
    <w:p>
      <w:pPr>
        <w:jc w:val="center"/>
        <w:rPr>
          <w:sz w:val="84"/>
          <w:szCs w:val="84"/>
        </w:rPr>
      </w:pPr>
      <w:bookmarkStart w:id="108" w:name="_Toc7562_WPSOffice_Level1"/>
      <w:bookmarkStart w:id="109" w:name="_Toc16973_WPSOffice_Level1"/>
      <w:r>
        <w:rPr>
          <w:rFonts w:hint="eastAsia"/>
          <w:sz w:val="84"/>
          <w:szCs w:val="84"/>
        </w:rPr>
        <w:t>件</w:t>
      </w:r>
      <w:bookmarkEnd w:id="108"/>
      <w:bookmarkEnd w:id="109"/>
    </w:p>
    <w:p>
      <w:pPr>
        <w:spacing w:line="360" w:lineRule="auto"/>
        <w:ind w:right="532"/>
        <w:rPr>
          <w:rFonts w:ascii="宋体" w:hAnsi="宋体"/>
          <w:sz w:val="36"/>
          <w:szCs w:val="36"/>
        </w:rPr>
      </w:pPr>
    </w:p>
    <w:p>
      <w:pPr>
        <w:pStyle w:val="18"/>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10" w:name="_Toc4603_WPSOffice_Level1"/>
      <w:bookmarkStart w:id="111" w:name="_Toc26700_WPSOffice_Level1"/>
      <w:r>
        <w:rPr>
          <w:rFonts w:hint="eastAsia" w:ascii="宋体" w:hAnsi="宋体"/>
          <w:sz w:val="36"/>
          <w:szCs w:val="36"/>
        </w:rPr>
        <w:t>投标人全称（公章）：</w:t>
      </w:r>
      <w:bookmarkEnd w:id="110"/>
      <w:bookmarkEnd w:id="111"/>
    </w:p>
    <w:p>
      <w:pPr>
        <w:spacing w:line="360" w:lineRule="auto"/>
        <w:ind w:right="-108" w:firstLine="720" w:firstLineChars="200"/>
        <w:rPr>
          <w:rFonts w:ascii="宋体" w:hAnsi="宋体"/>
          <w:sz w:val="36"/>
          <w:szCs w:val="36"/>
        </w:rPr>
      </w:pPr>
      <w:bookmarkStart w:id="112" w:name="_Toc1391_WPSOffice_Level1"/>
      <w:bookmarkStart w:id="113" w:name="_Toc32593_WPSOffice_Level1"/>
      <w:r>
        <w:rPr>
          <w:rFonts w:hint="eastAsia" w:ascii="宋体" w:hAnsi="宋体"/>
          <w:sz w:val="36"/>
          <w:szCs w:val="36"/>
        </w:rPr>
        <w:t>地    址：</w:t>
      </w:r>
      <w:bookmarkEnd w:id="112"/>
      <w:bookmarkEnd w:id="113"/>
    </w:p>
    <w:p>
      <w:pPr>
        <w:spacing w:line="360" w:lineRule="auto"/>
        <w:ind w:right="-108" w:firstLine="720" w:firstLineChars="200"/>
        <w:rPr>
          <w:rFonts w:ascii="宋体" w:hAnsi="宋体"/>
          <w:sz w:val="36"/>
          <w:szCs w:val="36"/>
        </w:rPr>
      </w:pPr>
      <w:bookmarkStart w:id="114" w:name="_Toc3791_WPSOffice_Level1"/>
      <w:bookmarkStart w:id="115" w:name="_Toc20938_WPSOffice_Level1"/>
      <w:r>
        <w:rPr>
          <w:rFonts w:hint="eastAsia" w:ascii="宋体" w:hAnsi="宋体"/>
          <w:sz w:val="36"/>
          <w:szCs w:val="36"/>
        </w:rPr>
        <w:t>时    间：</w:t>
      </w:r>
      <w:bookmarkEnd w:id="114"/>
      <w:bookmarkEnd w:id="115"/>
    </w:p>
    <w:p>
      <w:pPr>
        <w:spacing w:line="360" w:lineRule="auto"/>
        <w:ind w:right="-108"/>
        <w:jc w:val="center"/>
        <w:rPr>
          <w:rFonts w:ascii="仿宋_GB2312" w:hAnsi="宋体" w:eastAsia="仿宋_GB2312"/>
          <w:b/>
          <w:sz w:val="36"/>
          <w:szCs w:val="36"/>
        </w:rPr>
      </w:pPr>
    </w:p>
    <w:p>
      <w:pPr>
        <w:pStyle w:val="18"/>
      </w:pPr>
    </w:p>
    <w:p>
      <w:pPr>
        <w:pStyle w:val="18"/>
      </w:pPr>
    </w:p>
    <w:p>
      <w:pPr>
        <w:pStyle w:val="18"/>
      </w:pPr>
    </w:p>
    <w:p>
      <w:pPr>
        <w:pStyle w:val="11"/>
        <w:ind w:firstLine="0"/>
        <w:rPr>
          <w:rFonts w:ascii="仿宋_GB2312" w:hAnsi="宋体" w:eastAsia="仿宋_GB2312"/>
          <w:b/>
          <w:sz w:val="36"/>
          <w:szCs w:val="36"/>
        </w:rPr>
      </w:pPr>
    </w:p>
    <w:p>
      <w:pPr>
        <w:pStyle w:val="11"/>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16" w:name="_Toc29537_WPSOffice_Level1"/>
      <w:bookmarkStart w:id="117" w:name="_Toc19972_WPSOffice_Level1"/>
      <w:r>
        <w:rPr>
          <w:rFonts w:hint="eastAsia" w:ascii="宋体" w:hAnsi="宋体"/>
          <w:b/>
          <w:bCs/>
          <w:sz w:val="36"/>
          <w:szCs w:val="36"/>
        </w:rPr>
        <w:t>报价文件目录</w:t>
      </w:r>
      <w:bookmarkEnd w:id="116"/>
      <w:bookmarkEnd w:id="117"/>
    </w:p>
    <w:p>
      <w:pPr>
        <w:pStyle w:val="18"/>
      </w:pPr>
    </w:p>
    <w:p>
      <w:pPr>
        <w:spacing w:line="360" w:lineRule="auto"/>
        <w:ind w:firstLine="480" w:firstLineChars="200"/>
        <w:rPr>
          <w:sz w:val="24"/>
        </w:rPr>
      </w:pPr>
    </w:p>
    <w:p>
      <w:pPr>
        <w:numPr>
          <w:ilvl w:val="0"/>
          <w:numId w:val="19"/>
        </w:numPr>
        <w:spacing w:line="360" w:lineRule="auto"/>
        <w:rPr>
          <w:rFonts w:asciiTheme="minorEastAsia" w:hAnsiTheme="minorEastAsia" w:eastAsiaTheme="minorEastAsia" w:cstheme="minorEastAsia"/>
          <w:sz w:val="28"/>
          <w:szCs w:val="28"/>
        </w:rPr>
      </w:pPr>
      <w:bookmarkStart w:id="118" w:name="_Toc6778_WPSOffice_Level1"/>
      <w:bookmarkStart w:id="119" w:name="_Toc29988_WPSOffice_Level1"/>
      <w:r>
        <w:rPr>
          <w:rFonts w:hint="eastAsia" w:asciiTheme="minorEastAsia" w:hAnsiTheme="minorEastAsia" w:eastAsiaTheme="minorEastAsia" w:cstheme="minorEastAsia"/>
          <w:sz w:val="28"/>
          <w:szCs w:val="28"/>
        </w:rPr>
        <w:t>开标一览表（附件14）</w:t>
      </w:r>
      <w:bookmarkEnd w:id="118"/>
      <w:bookmarkEnd w:id="119"/>
    </w:p>
    <w:p>
      <w:pPr>
        <w:numPr>
          <w:ilvl w:val="0"/>
          <w:numId w:val="19"/>
        </w:numPr>
        <w:spacing w:line="360" w:lineRule="auto"/>
        <w:rPr>
          <w:rFonts w:asciiTheme="minorEastAsia" w:hAnsiTheme="minorEastAsia" w:eastAsiaTheme="minorEastAsia" w:cstheme="minorEastAsia"/>
          <w:sz w:val="28"/>
          <w:szCs w:val="28"/>
        </w:rPr>
      </w:pPr>
      <w:bookmarkStart w:id="120" w:name="_Toc15601_WPSOffice_Level1"/>
      <w:bookmarkStart w:id="121" w:name="_Toc11601_WPSOffice_Level1"/>
      <w:r>
        <w:rPr>
          <w:rFonts w:hint="eastAsia" w:asciiTheme="minorEastAsia" w:hAnsiTheme="minorEastAsia" w:eastAsiaTheme="minorEastAsia" w:cstheme="minorEastAsia"/>
          <w:sz w:val="28"/>
          <w:szCs w:val="28"/>
        </w:rPr>
        <w:t>报价明细表（附件15）</w:t>
      </w:r>
      <w:bookmarkEnd w:id="120"/>
      <w:bookmarkEnd w:id="121"/>
    </w:p>
    <w:p>
      <w:pPr>
        <w:numPr>
          <w:ilvl w:val="0"/>
          <w:numId w:val="19"/>
        </w:numPr>
        <w:spacing w:line="360" w:lineRule="auto"/>
        <w:rPr>
          <w:rFonts w:asciiTheme="minorEastAsia" w:hAnsiTheme="minorEastAsia" w:eastAsiaTheme="minorEastAsia" w:cstheme="minorEastAsia"/>
          <w:sz w:val="28"/>
          <w:szCs w:val="28"/>
        </w:rPr>
      </w:pPr>
      <w:bookmarkStart w:id="122" w:name="_Toc17543_WPSOffice_Level1"/>
      <w:bookmarkStart w:id="123"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（附件16）</w:t>
      </w:r>
      <w:bookmarkEnd w:id="122"/>
      <w:bookmarkEnd w:id="123"/>
    </w:p>
    <w:p>
      <w:pPr>
        <w:numPr>
          <w:ilvl w:val="0"/>
          <w:numId w:val="19"/>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0" w:firstLineChars="200"/>
        <w:rPr>
          <w:rFonts w:ascii="宋体" w:hAnsi="宋体"/>
          <w:b/>
          <w:sz w:val="24"/>
        </w:rPr>
      </w:pPr>
    </w:p>
    <w:p>
      <w:pPr>
        <w:spacing w:line="360" w:lineRule="auto"/>
        <w:ind w:firstLine="480"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24" w:name="_Toc30363_WPSOffice_Level1"/>
      <w:bookmarkStart w:id="125" w:name="_Toc16144_WPSOffice_Level1"/>
      <w:r>
        <w:rPr>
          <w:rFonts w:hint="eastAsia" w:ascii="宋体" w:hAnsi="宋体"/>
          <w:b/>
          <w:sz w:val="32"/>
          <w:szCs w:val="32"/>
        </w:rPr>
        <w:t>开标一览表</w:t>
      </w:r>
      <w:bookmarkEnd w:id="124"/>
      <w:bookmarkEnd w:id="125"/>
    </w:p>
    <w:p>
      <w:pPr>
        <w:pStyle w:val="18"/>
      </w:pPr>
    </w:p>
    <w:p>
      <w:pPr>
        <w:pStyle w:val="14"/>
        <w:spacing w:line="360" w:lineRule="auto"/>
        <w:ind w:firstLine="480" w:firstLineChars="200"/>
        <w:rPr>
          <w:rFonts w:hAnsi="宋体"/>
          <w:b/>
          <w:sz w:val="24"/>
        </w:rPr>
      </w:pPr>
      <w:r>
        <w:rPr>
          <w:rFonts w:hAnsi="宋体"/>
          <w:b/>
          <w:sz w:val="24"/>
        </w:rPr>
        <w:t>项目编号：</w:t>
      </w:r>
    </w:p>
    <w:p>
      <w:pPr>
        <w:pStyle w:val="42"/>
        <w:spacing w:line="360" w:lineRule="auto"/>
        <w:ind w:right="480" w:firstLine="480"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7"/>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0"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18"/>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sz w:val="24"/>
        </w:rPr>
      </w:pPr>
      <w:bookmarkStart w:id="126" w:name="_Toc8975_WPSOffice_Level1"/>
      <w:bookmarkStart w:id="127" w:name="_Toc22412_WPSOffice_Level1"/>
      <w:r>
        <w:rPr>
          <w:rFonts w:hint="eastAsia" w:ascii="宋体" w:hAnsi="宋体"/>
          <w:b/>
          <w:sz w:val="32"/>
          <w:szCs w:val="32"/>
        </w:rPr>
        <w:t>报价明细表</w:t>
      </w:r>
      <w:bookmarkEnd w:id="126"/>
      <w:bookmarkEnd w:id="127"/>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2"/>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7"/>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Lines="50" w:after="50" w:line="360" w:lineRule="auto"/>
        <w:rPr>
          <w:rFonts w:ascii="宋体" w:hAnsi="宋体"/>
          <w:b/>
          <w:sz w:val="28"/>
          <w:szCs w:val="28"/>
        </w:rPr>
      </w:pPr>
      <w:r>
        <w:rPr>
          <w:rFonts w:hint="eastAsia" w:ascii="宋体" w:hAnsi="宋体"/>
          <w:b/>
          <w:sz w:val="28"/>
        </w:rPr>
        <w:t>附件16</w:t>
      </w:r>
    </w:p>
    <w:p>
      <w:pPr>
        <w:pStyle w:val="11"/>
        <w:spacing w:line="360" w:lineRule="auto"/>
        <w:ind w:firstLine="0"/>
        <w:jc w:val="center"/>
        <w:rPr>
          <w:rFonts w:ascii="宋体" w:hAnsi="宋体" w:cs="宋体"/>
          <w:b/>
          <w:sz w:val="32"/>
          <w:szCs w:val="32"/>
        </w:rPr>
      </w:pPr>
      <w:bookmarkStart w:id="128" w:name="_Toc12654_WPSOffice_Level1"/>
      <w:bookmarkStart w:id="129" w:name="_Toc29357_WPSOffice_Level1"/>
      <w:r>
        <w:rPr>
          <w:rFonts w:hint="eastAsia" w:ascii="宋体" w:hAnsi="宋体" w:cs="宋体"/>
          <w:b/>
          <w:sz w:val="32"/>
          <w:szCs w:val="32"/>
        </w:rPr>
        <w:t>中小企业声明函（货物）</w:t>
      </w:r>
      <w:bookmarkEnd w:id="128"/>
      <w:bookmarkEnd w:id="129"/>
    </w:p>
    <w:p>
      <w:pPr>
        <w:pStyle w:val="11"/>
        <w:spacing w:line="360" w:lineRule="auto"/>
        <w:ind w:firstLine="641"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w:pict>
          <v:line id="_x0000_s1026" o:spid="_x0000_s1026" o:spt="20" style="position:absolute;left:0pt;margin-left:0.4pt;margin-top:16.5pt;height:0pt;width:235pt;z-index:251659264;mso-width-relative:page;mso-height-relative:page;" coordsize="21600,21600" o:gfxdata="UEsFBgAAAAAAAAAAAAAAAAAAAAAAAFBLAwQKAAAAAACHTuJAAAAAAAAAAAAAAAAABAAAAGRycy9Q&#10;SwMEFAAAAAgAh07iQM0UqpXTAAAABgEAAA8AAABkcnMvZG93bnJldi54bWxNj8FOwzAQRO9I/IO1&#10;SNyoHQoFpXEqgYQEFyTSHjhuk20Saq+j2G3D37OIQznOzGrmbbGavFNHGmMf2EI2M6CI69D03FrY&#10;rF9uHkHFhNygC0wWvinCqry8KDBvwok/6FilVkkJxxwtdCkNudax7shjnIWBWLJdGD0mkWOrmxFP&#10;Uu6dvjVmoT32LAsdDvTcUb2vDt7Ce7XZv+lsuv+K7vOJF5itzauz9voqM0tQiaZ0PoZffEGHUpi2&#10;4cBNVM6CcCcL87k8JOndgxFj+2fostD/8csfUEsDBBQAAAAIAIdO4kDmdDmD2wEAAIYDAAAOAAAA&#10;ZHJzL2Uyb0RvYy54bWytU81uEzEQviPxDpbvZNO0pWGVTQ+N2guCSJQHmHrtXUv+k8fNJi/BCyBx&#10;gxNH7rxN28fo2ElDaG+IHJwZj+fzfJ+/nZ2vrWErGVF71/Cj0Zgz6YRvtesa/vn68s2UM0zgWjDe&#10;yYZvJPLz+etXsyHUcuJ7b1oZGYE4rIfQ8D6lUFcVil5awJEP0lFR+WghURq7qo0wELo11WQ8flsN&#10;PrYheiERaXexLfJ5wVdKivRRKZSJmYbTbKmssaw3ea3mM6i7CKHXYjcG/MMUFrSjS/dQC0jAbqN+&#10;AWW1iB69SiPhbeWV0kIWDsTmaPyMzacegixcSBwMe5nw/8GKD6tlZLpt+DFnDiw90f3XX3dfvj/8&#10;/kbr/c8f7DiLNASs6eyFW8ZdhmEZM+O1ijb/Exe2LsJu9sLKdWKCNifvpidnJ6S/eKpVfxpDxHQl&#10;vWU5aLjRLnOGGlbvMdFldPTpSN52/lIbU97NODaQ6U6nZ6cEDWQfZSBRaAMRQtdxBqYjX4oUCyR6&#10;o9vcnoFwgxcmshWQNchRrR+uaV7ODGCiApEov8yeRvirNc+zAOy3zaW0dZLViexstG349LDbuHyj&#10;LIbcscqKbjXM0Y1vN0XaKmf02OXSnTGzmw5zig8/n/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RSqldMAAAAGAQAADwAAAAAAAAABACAAAAA4AAAAZHJzL2Rvd25yZXYueG1sUEsBAhQAFAAAAAgA&#10;h07iQOZ0OYPbAQAAhgMAAA4AAAAAAAAAAQAgAAAAOAEAAGRycy9lMm9Eb2MueG1sUEsFBgAAAAAG&#10;AAYAWQEAAIUFAAAAAA==&#10;">
            <v:path arrowok="t"/>
            <v:fill focussize="0,0"/>
            <v:stroke weight="1.25pt" joinstyle="miter"/>
            <v:imagedata o:title=""/>
            <o:lock v:ext="edit"/>
          </v:line>
        </w:pic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footerReference r:id="rId6" w:type="first"/>
          <w:headerReference r:id="rId3" w:type="default"/>
          <w:footerReference r:id="rId5"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Ansi="宋体" w:cs="宋体"/>
          <w:b/>
          <w:sz w:val="32"/>
          <w:szCs w:val="32"/>
          <w:lang w:val="en-GB"/>
        </w:rPr>
      </w:pPr>
      <w:bookmarkStart w:id="130" w:name="_Toc27483_WPSOffice_Level1"/>
      <w:bookmarkStart w:id="131" w:name="_Toc17646_WPSOffice_Level1"/>
      <w:r>
        <w:rPr>
          <w:rFonts w:hint="eastAsia" w:hAnsi="宋体" w:cs="宋体"/>
          <w:b/>
          <w:sz w:val="32"/>
          <w:szCs w:val="32"/>
          <w:lang w:val="en-GB"/>
        </w:rPr>
        <w:t>残疾人福利性单位声明函</w:t>
      </w:r>
      <w:bookmarkEnd w:id="130"/>
      <w:bookmarkEnd w:id="131"/>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3"/>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3"/>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3"/>
        <w:spacing w:line="360" w:lineRule="auto"/>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ourier New">
    <w:panose1 w:val="02070309020205020404"/>
    <w:charset w:val="00"/>
    <w:family w:val="modern"/>
    <w:pitch w:val="default"/>
    <w:sig w:usb0="E0002AFF" w:usb1="C0007843" w:usb2="00000009" w:usb3="00000000" w:csb0="400001FF" w:csb1="FFFF0000"/>
  </w:font>
  <w:font w:name="楷体_GB2312">
    <w:altName w:val="汉仪楷体KW"/>
    <w:panose1 w:val="00000000000000000000"/>
    <w:charset w:val="86"/>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微软雅黑">
    <w:altName w:val="汉仪旗黑KW"/>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altName w:val="汉仪仿宋KW"/>
    <w:panose1 w:val="00000000000000000000"/>
    <w:charset w:val="00"/>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0" w:usb3="00000000" w:csb0="0000019F" w:csb1="00000000"/>
  </w:font>
  <w:font w:name="冬青黑体简体中文">
    <w:panose1 w:val="020B0300000000000000"/>
    <w:charset w:val="86"/>
    <w:family w:val="auto"/>
    <w:pitch w:val="default"/>
    <w:sig w:usb0="A00002BF" w:usb1="1ACF7CFA" w:usb2="00000016" w:usb3="00000000" w:csb0="00060007" w:csb1="00000000"/>
  </w:font>
  <w:font w:name="汉仪仿宋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Light">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00" w:usb3="00000000" w:csb0="00040000" w:csb1="00000000"/>
  </w:font>
  <w:font w:name="MS PGothic">
    <w:altName w:val="Hiragino Sans"/>
    <w:panose1 w:val="020B0600070205080204"/>
    <w:charset w:val="80"/>
    <w:family w:val="auto"/>
    <w:pitch w:val="default"/>
    <w:sig w:usb0="00000000" w:usb1="00000000"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ACpVFgIAABUEAAAOAAAAZHJz&#10;L2Uyb0RvYy54bWytU82O0zAQviPxDpbvNGkRu1XVdFV2VYRUsSsVxNl1nCaS/2S7TcoDwBtw4sKd&#10;5+pz8NlpumiXE+Jijz3jzzPffDO/6ZQkB+F8Y3RBx6OcEqG5KRu9K+inj6tXU0p8YLpk0mhR0KPw&#10;9Gbx8sW8tTMxMbWRpXAEINrPWlvQOgQ7yzLPa6GYHxkrNJyVcYoFHN0uKx1rga5kNsnzq6w1rrTO&#10;cOE9bu96J10k/KoSPNxXlReByIIit5BWl9ZtXLPFnM12jtm64ec02D9koVij8ekF6o4FRvaueQal&#10;Gu6MN1UYcaMyU1UNF6kGVDPOn1SzqZkVqRaQ4+2FJv//YPmHw4MjTVnQa0o0U2jR6fu3049fp59f&#10;yXWkp7V+hqiNRVzo3poObR7uPS5j1V3lVNxRD4EfRB8v5IouEB4fTSfTaQ4Xh284AD97fG6dD++E&#10;USQaBXXoXiKVHdY+9KFDSPxNm1UjZeqg1KQt6NXrN3l6cPEAXOoYK5IWzjCxpD71aIVu253r3Jry&#10;iDKd6XXiLV81SGXNfHhgDsJA+hB7uMdSSYMvzdmipDbuy9/uYzz6BS8lLYRWUI1JoES+1+hj1ORg&#10;uMHYDobeq1sD5Y4xRJYnEw9ckINZOaM+YwKW8Q+4mOb4qaBhMG9DL3ZMEBfLZQqC8iwLa72xPEJH&#10;erxd7gPoTCxHUnom0J14gPZSn85zEsX95zlFPU7z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mQAqVRYCAAAVBAAADgAAAAAAAAABACAAAAA1AQAAZHJzL2Uyb0RvYy54bWxQSwUGAAAAAAYA&#10;BgBZAQAAv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72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olusFQIAABUEAAAOAAAAZHJz&#10;L2Uyb0RvYy54bWytU82O0zAQviPxDpbvNGkRq6hquiq7KkKq2JUK4uw6ThPJf7LdJuUB4A04ceHO&#10;c/U5+Ow0XQScEBd77Bl/nvnmm8VtryQ5Cudbo0s6neSUCM1N1ep9ST+8X78oKPGB6YpJo0VJT8LT&#10;2+XzZ4vOzsXMNEZWwhGAaD/vbEmbEOw8yzxvhGJ+YqzQcNbGKRZwdPuscqwDupLZLM9vss64yjrD&#10;hfe4vR+cdJnw61rw8FDXXgQiS4rcQlpdWndxzZYLNt87ZpuWX9Jg/5CFYq3Gp1eoexYYObj2DyjV&#10;cme8qcOEG5WZum65SDWgmmn+WzXbhlmRagE53l5p8v8Plr87PjrSViVFozRTaNH565fztx/n759J&#10;EenprJ8jamsRF/rXpkebx3uPy1h1XzsVd9RD4AfRpyu5og+Ex0fFrChyuDh84wH42dNz63x4I4wi&#10;0SipQ/cSqey48WEIHUPib9qsWylTB6UmXUlvXr7K04OrB+BSx1iRtHCBiSUNqUcr9Lv+UufOVCeU&#10;6cygE2/5ukUqG+bDI3MQBtKH2MMDlloafGkuFiWNcZ/+dh/j0S94KekgtJJqTAIl8q1GH6MmR8ON&#10;xm409EHdGSh3iiGyPJl44IIczdoZ9RETsIp/wMU0x08lDaN5FwaxY4K4WK1SEJRnWdjoreUROtLj&#10;7eoQQGdiOZIyMIHuxAO0l/p0mZMo7l/PKeppmp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VolusFQIAABUEAAAOAAAAAAAAAAEAIAAAADUBAABkcnMvZTJvRG9jLnhtbFBLBQYAAAAABgAG&#10;AFkBAAC8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73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政府采购文件公开招标货物类示范文本（试行）                                              </w:t>
    </w:r>
    <w:r>
      <w:rPr>
        <w:rFonts w:hint="eastAsia"/>
        <w:b/>
        <w:i/>
        <w:color w:val="000000" w:themeColor="text1"/>
        <w:spacing w:val="-20"/>
        <w:kern w:val="0"/>
        <w:sz w:val="18"/>
        <w:u w:val="single"/>
      </w:rPr>
      <w:t xml:space="preserve">第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72</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页 共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72</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页</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XXX政府采购招标文件--货物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73</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73</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931D4A4"/>
    <w:multiLevelType w:val="singleLevel"/>
    <w:tmpl w:val="F931D4A4"/>
    <w:lvl w:ilvl="0" w:tentative="0">
      <w:start w:val="1"/>
      <w:numFmt w:val="decimal"/>
      <w:lvlText w:val="%1."/>
      <w:lvlJc w:val="left"/>
      <w:pPr>
        <w:tabs>
          <w:tab w:val="left" w:pos="312"/>
        </w:tabs>
      </w:pPr>
    </w:lvl>
  </w:abstractNum>
  <w:abstractNum w:abstractNumId="6">
    <w:nsid w:val="FF4D4BA8"/>
    <w:multiLevelType w:val="singleLevel"/>
    <w:tmpl w:val="FF4D4BA8"/>
    <w:lvl w:ilvl="0" w:tentative="0">
      <w:start w:val="1"/>
      <w:numFmt w:val="decimal"/>
      <w:lvlText w:val="%1."/>
      <w:lvlJc w:val="left"/>
      <w:pPr>
        <w:ind w:left="425" w:hanging="425"/>
      </w:pPr>
      <w:rPr>
        <w:rFonts w:hint="default"/>
      </w:rPr>
    </w:lvl>
  </w:abstractNum>
  <w:abstractNum w:abstractNumId="7">
    <w:nsid w:val="0ED2C79B"/>
    <w:multiLevelType w:val="singleLevel"/>
    <w:tmpl w:val="0ED2C79B"/>
    <w:lvl w:ilvl="0" w:tentative="0">
      <w:start w:val="1"/>
      <w:numFmt w:val="decimal"/>
      <w:pStyle w:val="10"/>
      <w:lvlText w:val="%1."/>
      <w:lvlJc w:val="left"/>
      <w:pPr>
        <w:tabs>
          <w:tab w:val="left" w:pos="360"/>
        </w:tabs>
        <w:ind w:left="360" w:hanging="360"/>
      </w:pPr>
    </w:lvl>
  </w:abstractNum>
  <w:abstractNum w:abstractNumId="8">
    <w:nsid w:val="289F1F1C"/>
    <w:multiLevelType w:val="singleLevel"/>
    <w:tmpl w:val="289F1F1C"/>
    <w:lvl w:ilvl="0" w:tentative="0">
      <w:start w:val="1"/>
      <w:numFmt w:val="decimal"/>
      <w:lvlText w:val="%1."/>
      <w:lvlJc w:val="left"/>
      <w:pPr>
        <w:ind w:left="425" w:hanging="425"/>
      </w:pPr>
      <w:rPr>
        <w:rFonts w:hint="default"/>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6037E5CE"/>
    <w:multiLevelType w:val="singleLevel"/>
    <w:tmpl w:val="6037E5CE"/>
    <w:lvl w:ilvl="0" w:tentative="0">
      <w:start w:val="1"/>
      <w:numFmt w:val="decimal"/>
      <w:lvlText w:val="%1."/>
      <w:lvlJc w:val="left"/>
      <w:pPr>
        <w:tabs>
          <w:tab w:val="left" w:pos="312"/>
        </w:tabs>
      </w:pPr>
    </w:lvl>
  </w:abstractNum>
  <w:abstractNum w:abstractNumId="11">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3A3EE72"/>
    <w:multiLevelType w:val="singleLevel"/>
    <w:tmpl w:val="63A3EE72"/>
    <w:lvl w:ilvl="0" w:tentative="0">
      <w:start w:val="2"/>
      <w:numFmt w:val="chineseCounting"/>
      <w:suff w:val="nothing"/>
      <w:lvlText w:val="（%1）"/>
      <w:lvlJc w:val="left"/>
    </w:lvl>
  </w:abstractNum>
  <w:abstractNum w:abstractNumId="13">
    <w:nsid w:val="63A3F2C5"/>
    <w:multiLevelType w:val="singleLevel"/>
    <w:tmpl w:val="63A3F2C5"/>
    <w:lvl w:ilvl="0" w:tentative="0">
      <w:start w:val="2"/>
      <w:numFmt w:val="decimal"/>
      <w:suff w:val="nothing"/>
      <w:lvlText w:val="%1、"/>
      <w:lvlJc w:val="left"/>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23BC5A6"/>
    <w:multiLevelType w:val="singleLevel"/>
    <w:tmpl w:val="723BC5A6"/>
    <w:lvl w:ilvl="0" w:tentative="0">
      <w:start w:val="1"/>
      <w:numFmt w:val="decimal"/>
      <w:pStyle w:val="9"/>
      <w:lvlText w:val="%1."/>
      <w:lvlJc w:val="left"/>
      <w:pPr>
        <w:tabs>
          <w:tab w:val="left" w:pos="780"/>
        </w:tabs>
        <w:ind w:left="780" w:hanging="360"/>
      </w:pPr>
    </w:lvl>
  </w:abstractNum>
  <w:abstractNum w:abstractNumId="16">
    <w:nsid w:val="7488A27B"/>
    <w:multiLevelType w:val="singleLevel"/>
    <w:tmpl w:val="7488A27B"/>
    <w:lvl w:ilvl="0" w:tentative="0">
      <w:start w:val="1"/>
      <w:numFmt w:val="decimal"/>
      <w:lvlText w:val="%1."/>
      <w:lvlJc w:val="left"/>
      <w:pPr>
        <w:ind w:left="425" w:hanging="425"/>
      </w:pPr>
      <w:rPr>
        <w:rFonts w:hint="default"/>
      </w:rPr>
    </w:lvl>
  </w:abstractNum>
  <w:abstractNum w:abstractNumId="17">
    <w:nsid w:val="77670C6E"/>
    <w:multiLevelType w:val="multilevel"/>
    <w:tmpl w:val="77670C6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rPr>
        <w:rFonts w:ascii="Times New Roman" w:hAnsi="Times New Roman" w:cs="Times New Roman"/>
        <w:b/>
        <w:bCs/>
        <w:i w:val="0"/>
        <w:iCs w:val="0"/>
        <w:caps w:val="0"/>
        <w:smallCaps w:val="0"/>
        <w:strike w:val="0"/>
        <w:dstrike w:val="0"/>
        <w:vanish w:val="0"/>
        <w:spacing w:val="0"/>
        <w:position w:val="0"/>
        <w:u w:val="none"/>
        <w:vertAlign w:val="baseline"/>
        <w:lang w:bidi="zh-CN"/>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8">
    <w:nsid w:val="7E92F494"/>
    <w:multiLevelType w:val="singleLevel"/>
    <w:tmpl w:val="7E92F494"/>
    <w:lvl w:ilvl="0" w:tentative="0">
      <w:start w:val="1"/>
      <w:numFmt w:val="decimal"/>
      <w:lvlText w:val="%1."/>
      <w:lvlJc w:val="left"/>
      <w:pPr>
        <w:ind w:left="425" w:hanging="425"/>
      </w:pPr>
      <w:rPr>
        <w:rFonts w:hint="default"/>
      </w:rPr>
    </w:lvl>
  </w:abstractNum>
  <w:num w:numId="1">
    <w:abstractNumId w:val="11"/>
  </w:num>
  <w:num w:numId="2">
    <w:abstractNumId w:val="17"/>
  </w:num>
  <w:num w:numId="3">
    <w:abstractNumId w:val="15"/>
  </w:num>
  <w:num w:numId="4">
    <w:abstractNumId w:val="7"/>
  </w:num>
  <w:num w:numId="5">
    <w:abstractNumId w:val="14"/>
  </w:num>
  <w:num w:numId="6">
    <w:abstractNumId w:val="9"/>
  </w:num>
  <w:num w:numId="7">
    <w:abstractNumId w:val="5"/>
  </w:num>
  <w:num w:numId="8">
    <w:abstractNumId w:val="4"/>
  </w:num>
  <w:num w:numId="9">
    <w:abstractNumId w:val="12"/>
  </w:num>
  <w:num w:numId="10">
    <w:abstractNumId w:val="13"/>
  </w:num>
  <w:num w:numId="11">
    <w:abstractNumId w:val="10"/>
  </w:num>
  <w:num w:numId="12">
    <w:abstractNumId w:val="0"/>
  </w:num>
  <w:num w:numId="13">
    <w:abstractNumId w:val="18"/>
  </w:num>
  <w:num w:numId="14">
    <w:abstractNumId w:val="1"/>
  </w:num>
  <w:num w:numId="15">
    <w:abstractNumId w:val="16"/>
  </w:num>
  <w:num w:numId="16">
    <w:abstractNumId w:val="2"/>
  </w:num>
  <w:num w:numId="17">
    <w:abstractNumId w:val="8"/>
  </w:num>
  <w:num w:numId="18">
    <w:abstractNumId w:val="3"/>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fse">
    <w15:presenceInfo w15:providerId="None" w15:userId="sf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RkOWFiN2RiMzkzNDk5ZGMwZjViNzVlYjhkMzAwMmUifQ=="/>
  </w:docVars>
  <w:rsids>
    <w:rsidRoot w:val="685F2B0C"/>
    <w:rsid w:val="0002799D"/>
    <w:rsid w:val="00037F4A"/>
    <w:rsid w:val="0006425B"/>
    <w:rsid w:val="00072A3F"/>
    <w:rsid w:val="000E538F"/>
    <w:rsid w:val="001136A2"/>
    <w:rsid w:val="001B51C8"/>
    <w:rsid w:val="001C4F91"/>
    <w:rsid w:val="001E6CF9"/>
    <w:rsid w:val="002114C6"/>
    <w:rsid w:val="00242A20"/>
    <w:rsid w:val="002A4418"/>
    <w:rsid w:val="00312C7C"/>
    <w:rsid w:val="00315916"/>
    <w:rsid w:val="003201FA"/>
    <w:rsid w:val="00330F75"/>
    <w:rsid w:val="003869C9"/>
    <w:rsid w:val="003C4BB8"/>
    <w:rsid w:val="003E7404"/>
    <w:rsid w:val="00401AC8"/>
    <w:rsid w:val="00494691"/>
    <w:rsid w:val="004B2D97"/>
    <w:rsid w:val="005240D4"/>
    <w:rsid w:val="00565F77"/>
    <w:rsid w:val="005A67AA"/>
    <w:rsid w:val="005B7FA6"/>
    <w:rsid w:val="005E00EC"/>
    <w:rsid w:val="0060053B"/>
    <w:rsid w:val="00623A21"/>
    <w:rsid w:val="00627077"/>
    <w:rsid w:val="00627D71"/>
    <w:rsid w:val="0066350B"/>
    <w:rsid w:val="006638C0"/>
    <w:rsid w:val="006F24A9"/>
    <w:rsid w:val="006F679D"/>
    <w:rsid w:val="0072317A"/>
    <w:rsid w:val="007E4962"/>
    <w:rsid w:val="009317DF"/>
    <w:rsid w:val="0093255C"/>
    <w:rsid w:val="00987EDA"/>
    <w:rsid w:val="009E3520"/>
    <w:rsid w:val="00A15C55"/>
    <w:rsid w:val="00A921FD"/>
    <w:rsid w:val="00A97E75"/>
    <w:rsid w:val="00AA020C"/>
    <w:rsid w:val="00AB49B7"/>
    <w:rsid w:val="00B023A2"/>
    <w:rsid w:val="00B44061"/>
    <w:rsid w:val="00B83C6E"/>
    <w:rsid w:val="00BD378A"/>
    <w:rsid w:val="00C07006"/>
    <w:rsid w:val="00C4791F"/>
    <w:rsid w:val="00C902F2"/>
    <w:rsid w:val="00CF3329"/>
    <w:rsid w:val="00D00C48"/>
    <w:rsid w:val="00D0546E"/>
    <w:rsid w:val="00D07E9B"/>
    <w:rsid w:val="00DB1E3F"/>
    <w:rsid w:val="00DC1336"/>
    <w:rsid w:val="00E32B23"/>
    <w:rsid w:val="00E41EBA"/>
    <w:rsid w:val="00E448AC"/>
    <w:rsid w:val="00E66CDC"/>
    <w:rsid w:val="00EC04A9"/>
    <w:rsid w:val="00EF43FF"/>
    <w:rsid w:val="00F26F1C"/>
    <w:rsid w:val="00F3374D"/>
    <w:rsid w:val="00F65D4C"/>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063A29"/>
    <w:rsid w:val="0219353F"/>
    <w:rsid w:val="022115FB"/>
    <w:rsid w:val="02292E42"/>
    <w:rsid w:val="022C3095"/>
    <w:rsid w:val="02375009"/>
    <w:rsid w:val="02536BAE"/>
    <w:rsid w:val="0277756A"/>
    <w:rsid w:val="0294584C"/>
    <w:rsid w:val="029A4E8A"/>
    <w:rsid w:val="02BD7D6C"/>
    <w:rsid w:val="02C73731"/>
    <w:rsid w:val="032A675A"/>
    <w:rsid w:val="032C58C3"/>
    <w:rsid w:val="036059A4"/>
    <w:rsid w:val="037628ED"/>
    <w:rsid w:val="03804F1D"/>
    <w:rsid w:val="038D5F87"/>
    <w:rsid w:val="03936CF0"/>
    <w:rsid w:val="03996F9E"/>
    <w:rsid w:val="03A92BAF"/>
    <w:rsid w:val="03AD4EC4"/>
    <w:rsid w:val="03DC5B25"/>
    <w:rsid w:val="041155D0"/>
    <w:rsid w:val="04315D2A"/>
    <w:rsid w:val="04431C4F"/>
    <w:rsid w:val="044D523C"/>
    <w:rsid w:val="04604D98"/>
    <w:rsid w:val="046212F9"/>
    <w:rsid w:val="04663F34"/>
    <w:rsid w:val="04686D1E"/>
    <w:rsid w:val="04E746F0"/>
    <w:rsid w:val="04E87471"/>
    <w:rsid w:val="04EB6681"/>
    <w:rsid w:val="050A0D5B"/>
    <w:rsid w:val="050D23B9"/>
    <w:rsid w:val="05162537"/>
    <w:rsid w:val="051E7487"/>
    <w:rsid w:val="053F0EAC"/>
    <w:rsid w:val="053F23D3"/>
    <w:rsid w:val="056B3DBF"/>
    <w:rsid w:val="057D6BFC"/>
    <w:rsid w:val="057E41A9"/>
    <w:rsid w:val="05B01B1D"/>
    <w:rsid w:val="05BC5BB6"/>
    <w:rsid w:val="05C96C50"/>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70629A"/>
    <w:rsid w:val="07841DA9"/>
    <w:rsid w:val="079F3EE7"/>
    <w:rsid w:val="07AE41DE"/>
    <w:rsid w:val="07D85507"/>
    <w:rsid w:val="07DF5164"/>
    <w:rsid w:val="07E50580"/>
    <w:rsid w:val="07F46C10"/>
    <w:rsid w:val="07F9224F"/>
    <w:rsid w:val="07FA589D"/>
    <w:rsid w:val="082E5DF2"/>
    <w:rsid w:val="085403A4"/>
    <w:rsid w:val="085E020A"/>
    <w:rsid w:val="086951C1"/>
    <w:rsid w:val="08696EDC"/>
    <w:rsid w:val="086A34E3"/>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341EC"/>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44265"/>
    <w:rsid w:val="0A4573B3"/>
    <w:rsid w:val="0A53599E"/>
    <w:rsid w:val="0A6071C9"/>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70939"/>
    <w:rsid w:val="0BCC7711"/>
    <w:rsid w:val="0BCD0049"/>
    <w:rsid w:val="0BE83010"/>
    <w:rsid w:val="0BEA0DB9"/>
    <w:rsid w:val="0BF8534E"/>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911303"/>
    <w:rsid w:val="0FC27645"/>
    <w:rsid w:val="101F02CE"/>
    <w:rsid w:val="1056557C"/>
    <w:rsid w:val="105C5738"/>
    <w:rsid w:val="107907CC"/>
    <w:rsid w:val="10843C5D"/>
    <w:rsid w:val="109909D1"/>
    <w:rsid w:val="10B73F1D"/>
    <w:rsid w:val="10BE1B05"/>
    <w:rsid w:val="10C07DE3"/>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AD29BA"/>
    <w:rsid w:val="12B83A98"/>
    <w:rsid w:val="12BB4641"/>
    <w:rsid w:val="12BF6231"/>
    <w:rsid w:val="12CD4F26"/>
    <w:rsid w:val="12CE1F8E"/>
    <w:rsid w:val="12D31F47"/>
    <w:rsid w:val="13024F62"/>
    <w:rsid w:val="1307442E"/>
    <w:rsid w:val="130B3F40"/>
    <w:rsid w:val="13244721"/>
    <w:rsid w:val="13285985"/>
    <w:rsid w:val="133A1A09"/>
    <w:rsid w:val="133C703D"/>
    <w:rsid w:val="13494163"/>
    <w:rsid w:val="134C77A5"/>
    <w:rsid w:val="134D2BB6"/>
    <w:rsid w:val="135D3F89"/>
    <w:rsid w:val="135E6A8D"/>
    <w:rsid w:val="1366603A"/>
    <w:rsid w:val="13731B39"/>
    <w:rsid w:val="137E1974"/>
    <w:rsid w:val="1381791C"/>
    <w:rsid w:val="13A11F77"/>
    <w:rsid w:val="13A75515"/>
    <w:rsid w:val="13A86B85"/>
    <w:rsid w:val="13C30E6E"/>
    <w:rsid w:val="140769BE"/>
    <w:rsid w:val="141259D8"/>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572EB"/>
    <w:rsid w:val="15080B89"/>
    <w:rsid w:val="150F0D42"/>
    <w:rsid w:val="151C2838"/>
    <w:rsid w:val="15374EFD"/>
    <w:rsid w:val="153E582F"/>
    <w:rsid w:val="1563128D"/>
    <w:rsid w:val="159016BB"/>
    <w:rsid w:val="15E30196"/>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231033"/>
    <w:rsid w:val="184F29B3"/>
    <w:rsid w:val="18810539"/>
    <w:rsid w:val="18876B88"/>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C76890"/>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1A3993"/>
    <w:rsid w:val="1F280F4B"/>
    <w:rsid w:val="1F3E1D5D"/>
    <w:rsid w:val="1F441C9D"/>
    <w:rsid w:val="1F4F3DC6"/>
    <w:rsid w:val="1F6E3177"/>
    <w:rsid w:val="1F6F04BA"/>
    <w:rsid w:val="1F6F7A87"/>
    <w:rsid w:val="1F7742A1"/>
    <w:rsid w:val="1F826B36"/>
    <w:rsid w:val="1F832B7E"/>
    <w:rsid w:val="1F8C15A6"/>
    <w:rsid w:val="1F986F45"/>
    <w:rsid w:val="1F9F6666"/>
    <w:rsid w:val="1FCD6552"/>
    <w:rsid w:val="1FE07634"/>
    <w:rsid w:val="1FF829ED"/>
    <w:rsid w:val="20027E74"/>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160C9C"/>
    <w:rsid w:val="2225605D"/>
    <w:rsid w:val="222A72A4"/>
    <w:rsid w:val="222F2404"/>
    <w:rsid w:val="22423882"/>
    <w:rsid w:val="227334E7"/>
    <w:rsid w:val="22734646"/>
    <w:rsid w:val="227F6D14"/>
    <w:rsid w:val="22AE1EDE"/>
    <w:rsid w:val="22C23296"/>
    <w:rsid w:val="22DD6CC1"/>
    <w:rsid w:val="2307360A"/>
    <w:rsid w:val="230F0CC5"/>
    <w:rsid w:val="23243D93"/>
    <w:rsid w:val="232931CF"/>
    <w:rsid w:val="233E3FBC"/>
    <w:rsid w:val="23444415"/>
    <w:rsid w:val="234D2AE9"/>
    <w:rsid w:val="23505F5A"/>
    <w:rsid w:val="235F3612"/>
    <w:rsid w:val="23623E35"/>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5301D"/>
    <w:rsid w:val="24372605"/>
    <w:rsid w:val="24426206"/>
    <w:rsid w:val="247921D2"/>
    <w:rsid w:val="24813D65"/>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9319D"/>
    <w:rsid w:val="260B3061"/>
    <w:rsid w:val="26205FC9"/>
    <w:rsid w:val="262931EB"/>
    <w:rsid w:val="262E591A"/>
    <w:rsid w:val="263771C4"/>
    <w:rsid w:val="26400EA4"/>
    <w:rsid w:val="265B4748"/>
    <w:rsid w:val="26622CD9"/>
    <w:rsid w:val="266372C2"/>
    <w:rsid w:val="267961DB"/>
    <w:rsid w:val="268C7D4E"/>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FD3CE9"/>
    <w:rsid w:val="28025678"/>
    <w:rsid w:val="2831638E"/>
    <w:rsid w:val="284F457A"/>
    <w:rsid w:val="28503B39"/>
    <w:rsid w:val="285117F8"/>
    <w:rsid w:val="287A7E0E"/>
    <w:rsid w:val="288445F5"/>
    <w:rsid w:val="28883EBB"/>
    <w:rsid w:val="28885F5E"/>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9FE68A2"/>
    <w:rsid w:val="2A081208"/>
    <w:rsid w:val="2A19132F"/>
    <w:rsid w:val="2A1E3A2B"/>
    <w:rsid w:val="2A3714C4"/>
    <w:rsid w:val="2A4E1459"/>
    <w:rsid w:val="2A5E24DB"/>
    <w:rsid w:val="2A907A77"/>
    <w:rsid w:val="2A926984"/>
    <w:rsid w:val="2AA908E7"/>
    <w:rsid w:val="2AC017A8"/>
    <w:rsid w:val="2AC36155"/>
    <w:rsid w:val="2ADB62C9"/>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D236A"/>
    <w:rsid w:val="2D74780B"/>
    <w:rsid w:val="2DAB174B"/>
    <w:rsid w:val="2DAC3053"/>
    <w:rsid w:val="2DB21AB3"/>
    <w:rsid w:val="2DC70AE2"/>
    <w:rsid w:val="2DCA6026"/>
    <w:rsid w:val="2DCD4928"/>
    <w:rsid w:val="2DDB423B"/>
    <w:rsid w:val="2DE96603"/>
    <w:rsid w:val="2E096E66"/>
    <w:rsid w:val="2E1729D6"/>
    <w:rsid w:val="2E1A0C6A"/>
    <w:rsid w:val="2E30569D"/>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9C0730"/>
    <w:rsid w:val="2FA53047"/>
    <w:rsid w:val="2FAF333B"/>
    <w:rsid w:val="2FBCE216"/>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0DC319E"/>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8246AE"/>
    <w:rsid w:val="32C25872"/>
    <w:rsid w:val="32D473D1"/>
    <w:rsid w:val="32DA51AD"/>
    <w:rsid w:val="32DC671C"/>
    <w:rsid w:val="33091096"/>
    <w:rsid w:val="33232830"/>
    <w:rsid w:val="33247F6A"/>
    <w:rsid w:val="33442827"/>
    <w:rsid w:val="33462AFF"/>
    <w:rsid w:val="334B63B9"/>
    <w:rsid w:val="337E52FC"/>
    <w:rsid w:val="33843CA1"/>
    <w:rsid w:val="338604C2"/>
    <w:rsid w:val="338F2A0F"/>
    <w:rsid w:val="33996246"/>
    <w:rsid w:val="33DC7649"/>
    <w:rsid w:val="340639D6"/>
    <w:rsid w:val="34105AD1"/>
    <w:rsid w:val="346C4839"/>
    <w:rsid w:val="34731AFC"/>
    <w:rsid w:val="347728F4"/>
    <w:rsid w:val="348B54C8"/>
    <w:rsid w:val="34915550"/>
    <w:rsid w:val="349D56AC"/>
    <w:rsid w:val="349D6BA5"/>
    <w:rsid w:val="34A11B7B"/>
    <w:rsid w:val="34A6697A"/>
    <w:rsid w:val="34AF7E71"/>
    <w:rsid w:val="34B33A72"/>
    <w:rsid w:val="34B97200"/>
    <w:rsid w:val="34BF1760"/>
    <w:rsid w:val="34D5280E"/>
    <w:rsid w:val="34E20D20"/>
    <w:rsid w:val="350C7DB7"/>
    <w:rsid w:val="3562042D"/>
    <w:rsid w:val="356608C9"/>
    <w:rsid w:val="35850AE6"/>
    <w:rsid w:val="35BB5066"/>
    <w:rsid w:val="35DE1818"/>
    <w:rsid w:val="35E06871"/>
    <w:rsid w:val="36146F55"/>
    <w:rsid w:val="36787E34"/>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8E6892"/>
    <w:rsid w:val="37E5BC8E"/>
    <w:rsid w:val="37EA244F"/>
    <w:rsid w:val="3801691A"/>
    <w:rsid w:val="38053C44"/>
    <w:rsid w:val="3816564C"/>
    <w:rsid w:val="38166F6B"/>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881CA1"/>
    <w:rsid w:val="3AB971E4"/>
    <w:rsid w:val="3ADF78F0"/>
    <w:rsid w:val="3AE00107"/>
    <w:rsid w:val="3AE428CE"/>
    <w:rsid w:val="3AEA5687"/>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45DB6"/>
    <w:rsid w:val="3BFA06DC"/>
    <w:rsid w:val="3C2E5ED4"/>
    <w:rsid w:val="3C40766B"/>
    <w:rsid w:val="3C7F621D"/>
    <w:rsid w:val="3C8B47EB"/>
    <w:rsid w:val="3CBB6AC9"/>
    <w:rsid w:val="3CBD35C8"/>
    <w:rsid w:val="3D1456AE"/>
    <w:rsid w:val="3D145DCC"/>
    <w:rsid w:val="3D1C0002"/>
    <w:rsid w:val="3D202664"/>
    <w:rsid w:val="3D2962ED"/>
    <w:rsid w:val="3D2D7B94"/>
    <w:rsid w:val="3D340B81"/>
    <w:rsid w:val="3D4E706F"/>
    <w:rsid w:val="3D8311E9"/>
    <w:rsid w:val="3DAA319C"/>
    <w:rsid w:val="3E036111"/>
    <w:rsid w:val="3E4C3B76"/>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2F4C8C"/>
    <w:rsid w:val="403B55F7"/>
    <w:rsid w:val="403D5505"/>
    <w:rsid w:val="404C5FC4"/>
    <w:rsid w:val="40580367"/>
    <w:rsid w:val="40632B44"/>
    <w:rsid w:val="408853C4"/>
    <w:rsid w:val="408B24EB"/>
    <w:rsid w:val="40D75E60"/>
    <w:rsid w:val="40F2437B"/>
    <w:rsid w:val="40FD48E0"/>
    <w:rsid w:val="40FE1BCF"/>
    <w:rsid w:val="40FE520F"/>
    <w:rsid w:val="41226153"/>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2F695E"/>
    <w:rsid w:val="423B1FA8"/>
    <w:rsid w:val="424E4424"/>
    <w:rsid w:val="429325D1"/>
    <w:rsid w:val="429B53DF"/>
    <w:rsid w:val="429E3CF8"/>
    <w:rsid w:val="42A653BA"/>
    <w:rsid w:val="42BC7452"/>
    <w:rsid w:val="42D12138"/>
    <w:rsid w:val="42F7079D"/>
    <w:rsid w:val="430D4AC0"/>
    <w:rsid w:val="431E047F"/>
    <w:rsid w:val="431E65EF"/>
    <w:rsid w:val="43522956"/>
    <w:rsid w:val="43624EAD"/>
    <w:rsid w:val="437750CA"/>
    <w:rsid w:val="438D45B9"/>
    <w:rsid w:val="43985D00"/>
    <w:rsid w:val="43986BA3"/>
    <w:rsid w:val="43AB2F4E"/>
    <w:rsid w:val="43AC3F44"/>
    <w:rsid w:val="43B1210D"/>
    <w:rsid w:val="43C53F65"/>
    <w:rsid w:val="43DE77F3"/>
    <w:rsid w:val="43EF7EFB"/>
    <w:rsid w:val="43FA2050"/>
    <w:rsid w:val="4400649E"/>
    <w:rsid w:val="441910A9"/>
    <w:rsid w:val="444F0E73"/>
    <w:rsid w:val="44500782"/>
    <w:rsid w:val="446871A0"/>
    <w:rsid w:val="4478624B"/>
    <w:rsid w:val="447B6681"/>
    <w:rsid w:val="4493367B"/>
    <w:rsid w:val="44961F17"/>
    <w:rsid w:val="44A84176"/>
    <w:rsid w:val="44AB74B4"/>
    <w:rsid w:val="44BB301C"/>
    <w:rsid w:val="450A3185"/>
    <w:rsid w:val="450E61CB"/>
    <w:rsid w:val="451037D6"/>
    <w:rsid w:val="452905F3"/>
    <w:rsid w:val="45491D1C"/>
    <w:rsid w:val="45582FC6"/>
    <w:rsid w:val="4568103F"/>
    <w:rsid w:val="4571731D"/>
    <w:rsid w:val="45801D53"/>
    <w:rsid w:val="45953C0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4E47D0"/>
    <w:rsid w:val="486B4E85"/>
    <w:rsid w:val="48801F0A"/>
    <w:rsid w:val="488C6B30"/>
    <w:rsid w:val="48913C4F"/>
    <w:rsid w:val="489757F5"/>
    <w:rsid w:val="489C3512"/>
    <w:rsid w:val="489C7EA5"/>
    <w:rsid w:val="48AF592F"/>
    <w:rsid w:val="48DB5184"/>
    <w:rsid w:val="48DC4BB3"/>
    <w:rsid w:val="48F11175"/>
    <w:rsid w:val="48FC5916"/>
    <w:rsid w:val="48FF6D99"/>
    <w:rsid w:val="49035E3C"/>
    <w:rsid w:val="4913028B"/>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AA1366"/>
    <w:rsid w:val="4AD018B4"/>
    <w:rsid w:val="4AD122F6"/>
    <w:rsid w:val="4AF76671"/>
    <w:rsid w:val="4AFB6678"/>
    <w:rsid w:val="4B12483C"/>
    <w:rsid w:val="4B281AD9"/>
    <w:rsid w:val="4B286964"/>
    <w:rsid w:val="4B462533"/>
    <w:rsid w:val="4B497516"/>
    <w:rsid w:val="4B5F395F"/>
    <w:rsid w:val="4B887ABD"/>
    <w:rsid w:val="4B927D05"/>
    <w:rsid w:val="4BA71700"/>
    <w:rsid w:val="4BAF3531"/>
    <w:rsid w:val="4BC40127"/>
    <w:rsid w:val="4BCF7C38"/>
    <w:rsid w:val="4BD1718E"/>
    <w:rsid w:val="4BD95ACE"/>
    <w:rsid w:val="4C000F41"/>
    <w:rsid w:val="4C1E38AF"/>
    <w:rsid w:val="4C1F09E8"/>
    <w:rsid w:val="4C5C31EE"/>
    <w:rsid w:val="4C6A4F05"/>
    <w:rsid w:val="4C6B7BE3"/>
    <w:rsid w:val="4C771D65"/>
    <w:rsid w:val="4C783020"/>
    <w:rsid w:val="4C9743B6"/>
    <w:rsid w:val="4CD104DB"/>
    <w:rsid w:val="4CEE4DA0"/>
    <w:rsid w:val="4CFA5EBA"/>
    <w:rsid w:val="4CFB7F02"/>
    <w:rsid w:val="4D0B09F5"/>
    <w:rsid w:val="4D243AE6"/>
    <w:rsid w:val="4D3006A2"/>
    <w:rsid w:val="4D362180"/>
    <w:rsid w:val="4D3C4079"/>
    <w:rsid w:val="4D4152D2"/>
    <w:rsid w:val="4D420722"/>
    <w:rsid w:val="4D5D2973"/>
    <w:rsid w:val="4D670A85"/>
    <w:rsid w:val="4D743D70"/>
    <w:rsid w:val="4D806473"/>
    <w:rsid w:val="4D9809CB"/>
    <w:rsid w:val="4DA27E03"/>
    <w:rsid w:val="4DB87F6B"/>
    <w:rsid w:val="4DD13E40"/>
    <w:rsid w:val="4DE22211"/>
    <w:rsid w:val="4DF85FC0"/>
    <w:rsid w:val="4E001052"/>
    <w:rsid w:val="4E015B9A"/>
    <w:rsid w:val="4E2B135E"/>
    <w:rsid w:val="4E3F2EE6"/>
    <w:rsid w:val="4E457068"/>
    <w:rsid w:val="4E4E4B6D"/>
    <w:rsid w:val="4E625DA3"/>
    <w:rsid w:val="4E7B029B"/>
    <w:rsid w:val="4E94139D"/>
    <w:rsid w:val="4ED36E10"/>
    <w:rsid w:val="4ED61833"/>
    <w:rsid w:val="4EDA18B9"/>
    <w:rsid w:val="4EDD2163"/>
    <w:rsid w:val="4EEA1FB8"/>
    <w:rsid w:val="4F1214F9"/>
    <w:rsid w:val="4F37236C"/>
    <w:rsid w:val="4F400F3C"/>
    <w:rsid w:val="4F573543"/>
    <w:rsid w:val="4FA24E56"/>
    <w:rsid w:val="4FA613D6"/>
    <w:rsid w:val="4FAE4B93"/>
    <w:rsid w:val="4FB43984"/>
    <w:rsid w:val="4FB80520"/>
    <w:rsid w:val="4FCE557D"/>
    <w:rsid w:val="4FCF67B8"/>
    <w:rsid w:val="4FF534DD"/>
    <w:rsid w:val="4FFE7F33"/>
    <w:rsid w:val="500E331C"/>
    <w:rsid w:val="500F7F8E"/>
    <w:rsid w:val="5010363B"/>
    <w:rsid w:val="50174E50"/>
    <w:rsid w:val="501802EF"/>
    <w:rsid w:val="501A6EB3"/>
    <w:rsid w:val="501C4E89"/>
    <w:rsid w:val="50401C90"/>
    <w:rsid w:val="50520469"/>
    <w:rsid w:val="50705EA7"/>
    <w:rsid w:val="508A0BD0"/>
    <w:rsid w:val="508E4B33"/>
    <w:rsid w:val="50CB3E82"/>
    <w:rsid w:val="50DC644B"/>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C52C01"/>
    <w:rsid w:val="54DE257B"/>
    <w:rsid w:val="55081F04"/>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4A0AC3"/>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17E86"/>
    <w:rsid w:val="5B46719F"/>
    <w:rsid w:val="5B5C0955"/>
    <w:rsid w:val="5B60313C"/>
    <w:rsid w:val="5B705B09"/>
    <w:rsid w:val="5B9331F3"/>
    <w:rsid w:val="5B983712"/>
    <w:rsid w:val="5B997CCC"/>
    <w:rsid w:val="5B9D7438"/>
    <w:rsid w:val="5BA269DE"/>
    <w:rsid w:val="5BA42A14"/>
    <w:rsid w:val="5BC52ADE"/>
    <w:rsid w:val="5BC55F40"/>
    <w:rsid w:val="5C1E7608"/>
    <w:rsid w:val="5C60141A"/>
    <w:rsid w:val="5C691962"/>
    <w:rsid w:val="5C8D4642"/>
    <w:rsid w:val="5C9866C4"/>
    <w:rsid w:val="5CA70BEA"/>
    <w:rsid w:val="5CFA70E0"/>
    <w:rsid w:val="5CFF3634"/>
    <w:rsid w:val="5D0B0214"/>
    <w:rsid w:val="5D194CF3"/>
    <w:rsid w:val="5D1A0A42"/>
    <w:rsid w:val="5D282771"/>
    <w:rsid w:val="5D3A4C89"/>
    <w:rsid w:val="5D42151C"/>
    <w:rsid w:val="5D4F1710"/>
    <w:rsid w:val="5D5D43F4"/>
    <w:rsid w:val="5D71045F"/>
    <w:rsid w:val="5D9A4060"/>
    <w:rsid w:val="5DAB19D1"/>
    <w:rsid w:val="5DBE340A"/>
    <w:rsid w:val="5DD263B9"/>
    <w:rsid w:val="5DE41D76"/>
    <w:rsid w:val="5DE555FC"/>
    <w:rsid w:val="5DF27C61"/>
    <w:rsid w:val="5E3C79A5"/>
    <w:rsid w:val="5E4A015A"/>
    <w:rsid w:val="5E617327"/>
    <w:rsid w:val="5E6A778C"/>
    <w:rsid w:val="5E772D56"/>
    <w:rsid w:val="5E843AB7"/>
    <w:rsid w:val="5E9A1FB9"/>
    <w:rsid w:val="5EB11CC9"/>
    <w:rsid w:val="5EB7165F"/>
    <w:rsid w:val="5EDA2E6C"/>
    <w:rsid w:val="5EDF49B6"/>
    <w:rsid w:val="5EE659E4"/>
    <w:rsid w:val="5EF029BA"/>
    <w:rsid w:val="5EF2401E"/>
    <w:rsid w:val="5EF37A12"/>
    <w:rsid w:val="5F19063B"/>
    <w:rsid w:val="5F2922FF"/>
    <w:rsid w:val="5F2A58BF"/>
    <w:rsid w:val="5F2D2E3D"/>
    <w:rsid w:val="5F3F28CF"/>
    <w:rsid w:val="5F4D6034"/>
    <w:rsid w:val="5FBE3FE5"/>
    <w:rsid w:val="5FC03792"/>
    <w:rsid w:val="5FC939D5"/>
    <w:rsid w:val="5FDA399F"/>
    <w:rsid w:val="5FF22D36"/>
    <w:rsid w:val="5FFA79ED"/>
    <w:rsid w:val="60075E39"/>
    <w:rsid w:val="600D0AF4"/>
    <w:rsid w:val="60107F08"/>
    <w:rsid w:val="60273573"/>
    <w:rsid w:val="60276DC2"/>
    <w:rsid w:val="602A54A3"/>
    <w:rsid w:val="60315C67"/>
    <w:rsid w:val="60370997"/>
    <w:rsid w:val="604F40FC"/>
    <w:rsid w:val="605A259A"/>
    <w:rsid w:val="6060154E"/>
    <w:rsid w:val="606D0EF6"/>
    <w:rsid w:val="608C4224"/>
    <w:rsid w:val="60A8478B"/>
    <w:rsid w:val="60B07C9E"/>
    <w:rsid w:val="60D06270"/>
    <w:rsid w:val="60EA7F29"/>
    <w:rsid w:val="61013040"/>
    <w:rsid w:val="611128E5"/>
    <w:rsid w:val="611C35B8"/>
    <w:rsid w:val="61240930"/>
    <w:rsid w:val="61315EF6"/>
    <w:rsid w:val="613A0A49"/>
    <w:rsid w:val="614E56CB"/>
    <w:rsid w:val="615440FF"/>
    <w:rsid w:val="616E368F"/>
    <w:rsid w:val="6184566A"/>
    <w:rsid w:val="619012C2"/>
    <w:rsid w:val="61AE7556"/>
    <w:rsid w:val="61CD69BE"/>
    <w:rsid w:val="61D41854"/>
    <w:rsid w:val="61E3363C"/>
    <w:rsid w:val="62053A53"/>
    <w:rsid w:val="62282B27"/>
    <w:rsid w:val="623743B3"/>
    <w:rsid w:val="623E2D21"/>
    <w:rsid w:val="623E7108"/>
    <w:rsid w:val="625A6442"/>
    <w:rsid w:val="626A1CE1"/>
    <w:rsid w:val="626C134E"/>
    <w:rsid w:val="629B22CB"/>
    <w:rsid w:val="62A3229B"/>
    <w:rsid w:val="62A45588"/>
    <w:rsid w:val="62A57C35"/>
    <w:rsid w:val="62B952CA"/>
    <w:rsid w:val="62E07553"/>
    <w:rsid w:val="62FD1F58"/>
    <w:rsid w:val="63081C9E"/>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C1009F"/>
    <w:rsid w:val="64FB2F8F"/>
    <w:rsid w:val="65077676"/>
    <w:rsid w:val="651722E7"/>
    <w:rsid w:val="65347231"/>
    <w:rsid w:val="656A546E"/>
    <w:rsid w:val="65740427"/>
    <w:rsid w:val="6577651D"/>
    <w:rsid w:val="658C66C4"/>
    <w:rsid w:val="65A05658"/>
    <w:rsid w:val="65AC2EFD"/>
    <w:rsid w:val="65B46375"/>
    <w:rsid w:val="65D37A5B"/>
    <w:rsid w:val="65F4511D"/>
    <w:rsid w:val="65F47DC0"/>
    <w:rsid w:val="65FF7596"/>
    <w:rsid w:val="66096B05"/>
    <w:rsid w:val="6627721E"/>
    <w:rsid w:val="66513AB4"/>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CF435F"/>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E24AEE"/>
    <w:rsid w:val="68F77559"/>
    <w:rsid w:val="690A7BA1"/>
    <w:rsid w:val="693053C2"/>
    <w:rsid w:val="69577852"/>
    <w:rsid w:val="697A46A8"/>
    <w:rsid w:val="69AA61FA"/>
    <w:rsid w:val="69B022B6"/>
    <w:rsid w:val="69B63885"/>
    <w:rsid w:val="69B72806"/>
    <w:rsid w:val="69B83AE8"/>
    <w:rsid w:val="69C21FC2"/>
    <w:rsid w:val="69D05774"/>
    <w:rsid w:val="69DD68EF"/>
    <w:rsid w:val="69EA0A29"/>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2291D"/>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CCD33BF"/>
    <w:rsid w:val="6CDD58C8"/>
    <w:rsid w:val="6D042B59"/>
    <w:rsid w:val="6D1075E9"/>
    <w:rsid w:val="6D2F4343"/>
    <w:rsid w:val="6D353D8C"/>
    <w:rsid w:val="6D4E6285"/>
    <w:rsid w:val="6D5C18AC"/>
    <w:rsid w:val="6D6B1613"/>
    <w:rsid w:val="6D886D51"/>
    <w:rsid w:val="6DC73391"/>
    <w:rsid w:val="6DCC4C0D"/>
    <w:rsid w:val="6DEA0A67"/>
    <w:rsid w:val="6DEC6437"/>
    <w:rsid w:val="6DFC561D"/>
    <w:rsid w:val="6E0F76B0"/>
    <w:rsid w:val="6E283F73"/>
    <w:rsid w:val="6E2F3C06"/>
    <w:rsid w:val="6E382FA7"/>
    <w:rsid w:val="6E395E9E"/>
    <w:rsid w:val="6E4341AC"/>
    <w:rsid w:val="6E5126B4"/>
    <w:rsid w:val="6E567C0C"/>
    <w:rsid w:val="6E5D6868"/>
    <w:rsid w:val="6E683231"/>
    <w:rsid w:val="6E7C1EB5"/>
    <w:rsid w:val="6EB5540B"/>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23626"/>
    <w:rsid w:val="6FE31AA8"/>
    <w:rsid w:val="6FFF3BAF"/>
    <w:rsid w:val="70045D42"/>
    <w:rsid w:val="700A0D6E"/>
    <w:rsid w:val="70344DE8"/>
    <w:rsid w:val="704D2ABA"/>
    <w:rsid w:val="706717CB"/>
    <w:rsid w:val="707200F0"/>
    <w:rsid w:val="707663A9"/>
    <w:rsid w:val="707F274F"/>
    <w:rsid w:val="70950CE0"/>
    <w:rsid w:val="709D2458"/>
    <w:rsid w:val="70A2698B"/>
    <w:rsid w:val="70AA312E"/>
    <w:rsid w:val="70C24A2F"/>
    <w:rsid w:val="70CC0C4C"/>
    <w:rsid w:val="70E071C4"/>
    <w:rsid w:val="70E41087"/>
    <w:rsid w:val="70E65326"/>
    <w:rsid w:val="70E80F60"/>
    <w:rsid w:val="70F11D57"/>
    <w:rsid w:val="71014D29"/>
    <w:rsid w:val="710A2B65"/>
    <w:rsid w:val="71191A27"/>
    <w:rsid w:val="711F713E"/>
    <w:rsid w:val="71217371"/>
    <w:rsid w:val="712E54D4"/>
    <w:rsid w:val="71321C7C"/>
    <w:rsid w:val="7146231D"/>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22BE7"/>
    <w:rsid w:val="755E6626"/>
    <w:rsid w:val="75714F21"/>
    <w:rsid w:val="75801690"/>
    <w:rsid w:val="75841DF5"/>
    <w:rsid w:val="75883FFE"/>
    <w:rsid w:val="759118EE"/>
    <w:rsid w:val="759A0BFF"/>
    <w:rsid w:val="75A62B5C"/>
    <w:rsid w:val="75B660D9"/>
    <w:rsid w:val="75DA056C"/>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3547FB"/>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6E1890"/>
    <w:rsid w:val="79880110"/>
    <w:rsid w:val="79894347"/>
    <w:rsid w:val="799447B2"/>
    <w:rsid w:val="79993DEC"/>
    <w:rsid w:val="79A91848"/>
    <w:rsid w:val="79B155D3"/>
    <w:rsid w:val="79BE02AE"/>
    <w:rsid w:val="79C44E91"/>
    <w:rsid w:val="79D75B18"/>
    <w:rsid w:val="79F9227E"/>
    <w:rsid w:val="7A03141B"/>
    <w:rsid w:val="7A0348C4"/>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D83B2F"/>
    <w:rsid w:val="7BED154E"/>
    <w:rsid w:val="7BED6B05"/>
    <w:rsid w:val="7C1946E0"/>
    <w:rsid w:val="7C42078B"/>
    <w:rsid w:val="7C953CBE"/>
    <w:rsid w:val="7C9C6D51"/>
    <w:rsid w:val="7CA326C8"/>
    <w:rsid w:val="7CAA5F0D"/>
    <w:rsid w:val="7CC500B7"/>
    <w:rsid w:val="7CEB64E0"/>
    <w:rsid w:val="7D25417D"/>
    <w:rsid w:val="7D2B7FA9"/>
    <w:rsid w:val="7D470375"/>
    <w:rsid w:val="7D5A124C"/>
    <w:rsid w:val="7D6B3C9C"/>
    <w:rsid w:val="7D6C7837"/>
    <w:rsid w:val="7D7F4B0A"/>
    <w:rsid w:val="7D87483A"/>
    <w:rsid w:val="7D886B89"/>
    <w:rsid w:val="7D8A3047"/>
    <w:rsid w:val="7D92427A"/>
    <w:rsid w:val="7DA653E8"/>
    <w:rsid w:val="7DAB4450"/>
    <w:rsid w:val="7DAE4568"/>
    <w:rsid w:val="7DC3009F"/>
    <w:rsid w:val="7DC80DDA"/>
    <w:rsid w:val="7DDC30D5"/>
    <w:rsid w:val="7DE442E9"/>
    <w:rsid w:val="7E0B16A2"/>
    <w:rsid w:val="7E12506E"/>
    <w:rsid w:val="7E1B5179"/>
    <w:rsid w:val="7E3610F8"/>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36CA1"/>
    <w:rsid w:val="7F676C28"/>
    <w:rsid w:val="7F751E64"/>
    <w:rsid w:val="7F7A4953"/>
    <w:rsid w:val="7F806C96"/>
    <w:rsid w:val="7F90721E"/>
    <w:rsid w:val="7F990359"/>
    <w:rsid w:val="7FAC08C1"/>
    <w:rsid w:val="7FAD0277"/>
    <w:rsid w:val="7FB44E0C"/>
    <w:rsid w:val="7FBFADBD"/>
    <w:rsid w:val="7FCF5193"/>
    <w:rsid w:val="7FD06104"/>
    <w:rsid w:val="7FE21DCB"/>
    <w:rsid w:val="7FF03D02"/>
    <w:rsid w:val="7FFF289D"/>
    <w:rsid w:val="9A7D4A20"/>
    <w:rsid w:val="9E6E4B87"/>
    <w:rsid w:val="AFB36B32"/>
    <w:rsid w:val="B7EA5EB4"/>
    <w:rsid w:val="BEFF9544"/>
    <w:rsid w:val="BFFDD078"/>
    <w:rsid w:val="DB3FDEF0"/>
    <w:rsid w:val="E7BD6D1E"/>
    <w:rsid w:val="EE8C7D4E"/>
    <w:rsid w:val="F17B1919"/>
    <w:rsid w:val="F2BE2078"/>
    <w:rsid w:val="F5FF8C1C"/>
    <w:rsid w:val="F95F4B98"/>
    <w:rsid w:val="FAE7C169"/>
    <w:rsid w:val="FB1798DD"/>
    <w:rsid w:val="FB2FB980"/>
    <w:rsid w:val="FBFF1DD6"/>
    <w:rsid w:val="FDF38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780"/>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unhideWhenUsed/>
    <w:qFormat/>
    <w:uiPriority w:val="0"/>
    <w:pPr>
      <w:keepNext/>
      <w:keepLines/>
      <w:numPr>
        <w:ilvl w:val="3"/>
        <w:numId w:val="2"/>
      </w:numPr>
      <w:spacing w:after="290" w:line="376" w:lineRule="auto"/>
      <w:ind w:firstLine="0"/>
      <w:outlineLvl w:val="3"/>
    </w:pPr>
    <w:rPr>
      <w:b/>
      <w:bCs/>
      <w:sz w:val="28"/>
      <w:szCs w:val="28"/>
    </w:rPr>
  </w:style>
  <w:style w:type="character" w:default="1" w:styleId="23">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annotation subject"/>
    <w:basedOn w:val="7"/>
    <w:next w:val="7"/>
    <w:link w:val="55"/>
    <w:qFormat/>
    <w:uiPriority w:val="0"/>
    <w:rPr>
      <w:b/>
      <w:bCs/>
    </w:rPr>
  </w:style>
  <w:style w:type="paragraph" w:styleId="7">
    <w:name w:val="annotation text"/>
    <w:basedOn w:val="1"/>
    <w:link w:val="54"/>
    <w:qFormat/>
    <w:uiPriority w:val="0"/>
    <w:pPr>
      <w:jc w:val="left"/>
    </w:pPr>
  </w:style>
  <w:style w:type="paragraph" w:styleId="8">
    <w:name w:val="Body Text First Indent"/>
    <w:basedOn w:val="1"/>
    <w:qFormat/>
    <w:uiPriority w:val="0"/>
    <w:pPr>
      <w:ind w:firstLine="200" w:firstLineChars="200"/>
    </w:pPr>
  </w:style>
  <w:style w:type="paragraph" w:styleId="9">
    <w:name w:val="List Number 2"/>
    <w:basedOn w:val="1"/>
    <w:qFormat/>
    <w:uiPriority w:val="0"/>
    <w:pPr>
      <w:numPr>
        <w:ilvl w:val="0"/>
        <w:numId w:val="3"/>
      </w:numPr>
    </w:pPr>
  </w:style>
  <w:style w:type="paragraph" w:styleId="10">
    <w:name w:val="List Number"/>
    <w:basedOn w:val="1"/>
    <w:qFormat/>
    <w:uiPriority w:val="0"/>
    <w:pPr>
      <w:numPr>
        <w:ilvl w:val="0"/>
        <w:numId w:val="4"/>
      </w:numPr>
    </w:pPr>
  </w:style>
  <w:style w:type="paragraph" w:styleId="11">
    <w:name w:val="Normal Indent"/>
    <w:basedOn w:val="1"/>
    <w:next w:val="1"/>
    <w:qFormat/>
    <w:uiPriority w:val="0"/>
    <w:pPr>
      <w:ind w:firstLine="420"/>
    </w:pPr>
    <w:rPr>
      <w:szCs w:val="20"/>
    </w:rPr>
  </w:style>
  <w:style w:type="paragraph" w:styleId="12">
    <w:name w:val="Body Text"/>
    <w:basedOn w:val="1"/>
    <w:next w:val="8"/>
    <w:qFormat/>
    <w:uiPriority w:val="0"/>
    <w:pPr>
      <w:spacing w:line="360" w:lineRule="exact"/>
    </w:pPr>
    <w:rPr>
      <w:sz w:val="24"/>
    </w:r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Body Text First Indent 2"/>
    <w:basedOn w:val="13"/>
    <w:qFormat/>
    <w:uiPriority w:val="0"/>
    <w:pPr>
      <w:ind w:firstLine="420"/>
    </w:p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toc 6"/>
    <w:basedOn w:val="1"/>
    <w:next w:val="1"/>
    <w:qFormat/>
    <w:uiPriority w:val="0"/>
    <w:pPr>
      <w:ind w:left="2100" w:leftChars="1000"/>
    </w:pPr>
    <w:rPr>
      <w:rFonts w:ascii="Calibri" w:hAnsi="Calibri"/>
      <w:szCs w:val="22"/>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4">
    <w:name w:val="FollowedHyperlink"/>
    <w:basedOn w:val="23"/>
    <w:qFormat/>
    <w:uiPriority w:val="0"/>
    <w:rPr>
      <w:color w:val="800080"/>
      <w:u w:val="single"/>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table" w:styleId="28">
    <w:name w:val="Table Grid"/>
    <w:basedOn w:val="27"/>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0">
    <w:name w:val="列表段落1"/>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3"/>
    <w:qFormat/>
    <w:uiPriority w:val="0"/>
    <w:rPr>
      <w:rFonts w:hint="default" w:ascii="Arial" w:hAnsi="Arial" w:cs="Arial"/>
      <w:color w:val="000000"/>
      <w:sz w:val="20"/>
      <w:szCs w:val="20"/>
      <w:u w:val="none"/>
    </w:rPr>
  </w:style>
  <w:style w:type="character" w:customStyle="1" w:styleId="46">
    <w:name w:val="font01"/>
    <w:basedOn w:val="23"/>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character" w:customStyle="1" w:styleId="51">
    <w:name w:val="标题 1 Char Char"/>
    <w:basedOn w:val="23"/>
    <w:qFormat/>
    <w:uiPriority w:val="0"/>
    <w:rPr>
      <w:rFonts w:eastAsia="宋体"/>
      <w:b/>
      <w:spacing w:val="-2"/>
      <w:sz w:val="24"/>
      <w:lang w:val="en-US" w:eastAsia="zh-CN" w:bidi="ar-SA"/>
    </w:rPr>
  </w:style>
  <w:style w:type="character" w:customStyle="1" w:styleId="52">
    <w:name w:val="批注框文本 Char"/>
    <w:basedOn w:val="23"/>
    <w:link w:val="16"/>
    <w:qFormat/>
    <w:uiPriority w:val="0"/>
    <w:rPr>
      <w:kern w:val="2"/>
      <w:sz w:val="18"/>
      <w:szCs w:val="18"/>
    </w:rPr>
  </w:style>
  <w:style w:type="paragraph" w:customStyle="1" w:styleId="53">
    <w:name w:val="*正文"/>
    <w:basedOn w:val="1"/>
    <w:qFormat/>
    <w:uiPriority w:val="0"/>
    <w:pPr>
      <w:widowControl/>
      <w:contextualSpacing/>
    </w:pPr>
    <w:rPr>
      <w:szCs w:val="28"/>
    </w:rPr>
  </w:style>
  <w:style w:type="character" w:customStyle="1" w:styleId="54">
    <w:name w:val="批注文字 Char"/>
    <w:basedOn w:val="23"/>
    <w:link w:val="7"/>
    <w:qFormat/>
    <w:uiPriority w:val="0"/>
    <w:rPr>
      <w:kern w:val="2"/>
      <w:sz w:val="21"/>
      <w:szCs w:val="24"/>
    </w:rPr>
  </w:style>
  <w:style w:type="character" w:customStyle="1" w:styleId="55">
    <w:name w:val="批注主题 Char"/>
    <w:basedOn w:val="54"/>
    <w:link w:val="6"/>
    <w:qFormat/>
    <w:uiPriority w:val="0"/>
    <w:rPr>
      <w:b/>
      <w:bCs/>
      <w:kern w:val="2"/>
      <w:sz w:val="21"/>
      <w:szCs w:val="24"/>
    </w:rPr>
  </w:style>
  <w:style w:type="paragraph" w:customStyle="1" w:styleId="56">
    <w:name w:val="p1"/>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7090</Words>
  <Characters>40416</Characters>
  <Lines>336</Lines>
  <Paragraphs>94</Paragraphs>
  <ScaleCrop>false</ScaleCrop>
  <LinksUpToDate>false</LinksUpToDate>
  <CharactersWithSpaces>47412</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2021-02-07T17:06:00Z</dcterms:created>
  <dc:creator>Thorpe521</dc:creator>
  <cp:lastModifiedBy>zxy</cp:lastModifiedBy>
  <cp:lastPrinted>2022-09-10T15:55:00Z</cp:lastPrinted>
  <dcterms:modified xsi:type="dcterms:W3CDTF">2022-12-30T16:08:53Z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y fmtid="{D5CDD505-2E9C-101B-9397-08002B2CF9AE}" pid="3" name="ICV">
    <vt:lpwstr>FD6F3ACCBF19418AB2A523CB750B9120</vt:lpwstr>
  </property>
</Properties>
</file>