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CG-20</w:t>
      </w:r>
      <w:r>
        <w:rPr>
          <w:rFonts w:hint="eastAsia" w:ascii="宋体"/>
          <w:b/>
          <w:kern w:val="0"/>
          <w:sz w:val="32"/>
        </w:rPr>
        <w:t>21</w:t>
      </w:r>
      <w:r>
        <w:rPr>
          <w:rFonts w:ascii="宋体"/>
          <w:b/>
          <w:kern w:val="0"/>
          <w:sz w:val="32"/>
        </w:rPr>
        <w:t>-</w:t>
      </w:r>
      <w:r>
        <w:rPr>
          <w:rFonts w:hint="eastAsia" w:ascii="宋体"/>
          <w:b/>
          <w:kern w:val="0"/>
          <w:sz w:val="32"/>
        </w:rPr>
        <w:t>GK0</w:t>
      </w:r>
      <w:r>
        <w:rPr>
          <w:rFonts w:hint="eastAsia" w:ascii="宋体"/>
          <w:b/>
          <w:kern w:val="0"/>
          <w:sz w:val="32"/>
          <w:lang w:val="en-US" w:eastAsia="zh-CN"/>
        </w:rPr>
        <w:t>12</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2077" w:firstLineChars="742"/>
        <w:jc w:val="left"/>
        <w:rPr>
          <w:rFonts w:hint="eastAsia" w:ascii="宋体"/>
          <w:kern w:val="0"/>
          <w:sz w:val="28"/>
        </w:rPr>
      </w:pPr>
      <w:r>
        <w:rPr>
          <w:rFonts w:hint="eastAsia" w:ascii="宋体"/>
          <w:kern w:val="0"/>
          <w:sz w:val="28"/>
        </w:rPr>
        <w:t xml:space="preserve">采购项目： </w:t>
      </w:r>
      <w:r>
        <w:rPr>
          <w:rFonts w:hint="eastAsia" w:ascii="宋体"/>
          <w:kern w:val="0"/>
          <w:sz w:val="28"/>
          <w:lang w:val="zh-CN"/>
        </w:rPr>
        <w:t>台州市政务大厅2.0数字化改造项目</w:t>
      </w:r>
    </w:p>
    <w:p>
      <w:pPr>
        <w:autoSpaceDE w:val="0"/>
        <w:autoSpaceDN w:val="0"/>
        <w:adjustRightInd w:val="0"/>
        <w:spacing w:line="360" w:lineRule="auto"/>
        <w:ind w:firstLine="2077" w:firstLineChars="742"/>
        <w:jc w:val="left"/>
        <w:rPr>
          <w:rFonts w:hint="eastAsia" w:ascii="宋体"/>
          <w:kern w:val="0"/>
          <w:sz w:val="28"/>
          <w:lang w:val="zh-CN"/>
        </w:rPr>
      </w:pPr>
      <w:r>
        <w:rPr>
          <w:rFonts w:hint="eastAsia" w:ascii="宋体"/>
          <w:kern w:val="0"/>
          <w:sz w:val="28"/>
          <w:lang w:val="zh-CN"/>
        </w:rPr>
        <w:t>采购人： 台州市人民政府行政服务中心</w:t>
      </w:r>
    </w:p>
    <w:p>
      <w:pPr>
        <w:autoSpaceDE w:val="0"/>
        <w:autoSpaceDN w:val="0"/>
        <w:adjustRightInd w:val="0"/>
        <w:spacing w:line="360" w:lineRule="auto"/>
        <w:ind w:firstLine="2077" w:firstLineChars="742"/>
        <w:jc w:val="left"/>
        <w:rPr>
          <w:rFonts w:ascii="宋体"/>
          <w:kern w:val="0"/>
          <w:sz w:val="28"/>
        </w:rPr>
      </w:pP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rPr>
        <w:t>2021年 0</w:t>
      </w:r>
      <w:r>
        <w:rPr>
          <w:rFonts w:hint="eastAsia" w:ascii="宋体" w:hAnsi="宋体" w:cs="宋体"/>
          <w:kern w:val="0"/>
          <w:sz w:val="28"/>
          <w:szCs w:val="28"/>
          <w:lang w:val="en-US" w:eastAsia="zh-CN"/>
        </w:rPr>
        <w:t>8</w:t>
      </w:r>
      <w:r>
        <w:rPr>
          <w:rFonts w:hint="eastAsia" w:ascii="宋体" w:hAnsi="宋体" w:cs="宋体"/>
          <w:kern w:val="0"/>
          <w:sz w:val="28"/>
          <w:szCs w:val="28"/>
        </w:rPr>
        <w:t xml:space="preserve"> 月</w:t>
      </w:r>
      <w:r>
        <w:rPr>
          <w:rFonts w:hint="eastAsia" w:ascii="宋体" w:hAnsi="宋体" w:cs="宋体"/>
          <w:kern w:val="0"/>
          <w:sz w:val="28"/>
          <w:szCs w:val="28"/>
          <w:lang w:val="en-US" w:eastAsia="zh-CN"/>
        </w:rPr>
        <w:t xml:space="preserve"> 12 </w:t>
      </w:r>
      <w:r>
        <w:rPr>
          <w:rFonts w:hint="eastAsia" w:ascii="宋体" w:hAnsi="宋体" w:cs="宋体"/>
          <w:kern w:val="0"/>
          <w:sz w:val="28"/>
          <w:szCs w:val="28"/>
        </w:rPr>
        <w:t>日</w:t>
      </w:r>
    </w:p>
    <w:p>
      <w:pPr>
        <w:spacing w:line="360" w:lineRule="auto"/>
      </w:pPr>
    </w:p>
    <w:p>
      <w:pPr>
        <w:pStyle w:val="24"/>
      </w:pPr>
    </w:p>
    <w:p>
      <w:pPr>
        <w:spacing w:line="360" w:lineRule="auto"/>
      </w:pPr>
    </w:p>
    <w:p>
      <w:pPr>
        <w:jc w:val="center"/>
        <w:rPr>
          <w:rFonts w:ascii="宋体" w:hAnsi="宋体" w:cs="Arial"/>
          <w:b/>
          <w:bCs/>
          <w:sz w:val="36"/>
          <w:szCs w:val="36"/>
        </w:rPr>
      </w:pPr>
      <w:r>
        <w:rPr>
          <w:rFonts w:hint="eastAsia" w:ascii="宋体" w:hAnsi="宋体" w:cs="Arial"/>
          <w:b/>
          <w:bCs/>
          <w:sz w:val="36"/>
          <w:szCs w:val="36"/>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sz w:val="36"/>
        </w:rPr>
      </w:pPr>
    </w:p>
    <w:p>
      <w:pPr>
        <w:spacing w:line="360" w:lineRule="auto"/>
        <w:rPr>
          <w:rFonts w:ascii="新宋体" w:hAnsi="新宋体" w:eastAsia="新宋体"/>
          <w:sz w:val="28"/>
          <w:szCs w:val="28"/>
        </w:rPr>
      </w:pPr>
    </w:p>
    <w:p>
      <w:pPr>
        <w:numPr>
          <w:ilvl w:val="0"/>
          <w:numId w:val="4"/>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公开招标采购公告</w:t>
      </w:r>
    </w:p>
    <w:p>
      <w:pPr>
        <w:numPr>
          <w:ilvl w:val="0"/>
          <w:numId w:val="4"/>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投标人须知</w:t>
      </w:r>
    </w:p>
    <w:p>
      <w:pPr>
        <w:numPr>
          <w:ilvl w:val="0"/>
          <w:numId w:val="4"/>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评标办法及评分标准</w:t>
      </w:r>
    </w:p>
    <w:p>
      <w:pPr>
        <w:numPr>
          <w:ilvl w:val="0"/>
          <w:numId w:val="4"/>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公开招标需求</w:t>
      </w:r>
    </w:p>
    <w:p>
      <w:pPr>
        <w:numPr>
          <w:ilvl w:val="0"/>
          <w:numId w:val="4"/>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政府采购合同主要条款指引</w:t>
      </w:r>
    </w:p>
    <w:p>
      <w:pPr>
        <w:numPr>
          <w:ilvl w:val="0"/>
          <w:numId w:val="4"/>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电子投标文件格式附件</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numPr>
          <w:ilvl w:val="0"/>
          <w:numId w:val="5"/>
        </w:numPr>
        <w:tabs>
          <w:tab w:val="left" w:pos="180"/>
          <w:tab w:val="left" w:pos="360"/>
          <w:tab w:val="left" w:pos="540"/>
          <w:tab w:val="left" w:pos="8280"/>
        </w:tabs>
        <w:autoSpaceDE w:val="0"/>
        <w:autoSpaceDN w:val="0"/>
        <w:adjustRightInd w:val="0"/>
        <w:spacing w:line="360" w:lineRule="auto"/>
        <w:ind w:right="23"/>
        <w:jc w:val="cente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t xml:space="preserve"> 公开</w:t>
      </w:r>
      <w:r>
        <w:rPr>
          <w:rFonts w:hint="eastAsia" w:asciiTheme="majorEastAsia" w:hAnsiTheme="majorEastAsia" w:eastAsiaTheme="majorEastAsia"/>
          <w:b/>
          <w:sz w:val="36"/>
          <w:szCs w:val="36"/>
        </w:rPr>
        <w:t>招标采购公告</w:t>
      </w:r>
    </w:p>
    <w:p>
      <w:pPr>
        <w:pStyle w:val="10"/>
        <w:ind w:firstLine="0"/>
      </w:pPr>
    </w:p>
    <w:p>
      <w:pPr>
        <w:pStyle w:val="4"/>
        <w:numPr>
          <w:ilvl w:val="0"/>
          <w:numId w:val="0"/>
        </w:numPr>
        <w:tabs>
          <w:tab w:val="left" w:pos="0"/>
          <w:tab w:val="left" w:pos="3165"/>
          <w:tab w:val="center" w:pos="4153"/>
        </w:tabs>
        <w:autoSpaceDE w:val="0"/>
        <w:autoSpaceDN w:val="0"/>
        <w:adjustRightInd w:val="0"/>
        <w:spacing w:before="0" w:after="0"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560" w:firstLineChars="200"/>
        <w:rPr>
          <w:rFonts w:asciiTheme="minorEastAsia" w:hAnsiTheme="minorEastAsia" w:eastAsiaTheme="minorEastAsia" w:cstheme="minorEastAsia"/>
          <w:b w:val="0"/>
          <w:sz w:val="28"/>
        </w:rPr>
      </w:pPr>
      <w:r>
        <w:rPr>
          <w:rFonts w:hint="eastAsia" w:ascii="宋体"/>
          <w:kern w:val="0"/>
          <w:sz w:val="28"/>
          <w:lang w:val="zh-CN"/>
        </w:rPr>
        <w:t>台州市人民政府行政服务中心台州市政务大厅2.0数字化改造</w:t>
      </w:r>
      <w:r>
        <w:rPr>
          <w:rFonts w:hint="eastAsia" w:ascii="宋体"/>
          <w:kern w:val="0"/>
          <w:sz w:val="28"/>
        </w:rPr>
        <w:t>项目</w:t>
      </w:r>
      <w:r>
        <w:rPr>
          <w:rFonts w:hint="eastAsia" w:cs="Arial" w:asciiTheme="minorEastAsia" w:hAnsiTheme="minorEastAsia" w:eastAsiaTheme="minorEastAsia"/>
          <w:sz w:val="28"/>
          <w:szCs w:val="28"/>
        </w:rPr>
        <w:t xml:space="preserve">的潜在投标人应在“浙江省政府采购网”（http:// www.zjzfcg.gov.cn）和“台州市公共资源交易中心”（ </w:t>
      </w:r>
      <w:r>
        <w:fldChar w:fldCharType="begin"/>
      </w:r>
      <w:r>
        <w:instrText xml:space="preserve"> HYPERLINK "http://www.xjztb.cn" </w:instrText>
      </w:r>
      <w:r>
        <w:fldChar w:fldCharType="separate"/>
      </w:r>
      <w:r>
        <w:rPr>
          <w:rFonts w:hint="eastAsia" w:cs="Arial" w:asciiTheme="minorEastAsia" w:hAnsiTheme="minorEastAsia" w:eastAsiaTheme="minorEastAsia"/>
          <w:sz w:val="28"/>
          <w:szCs w:val="28"/>
        </w:rPr>
        <w:t>http://www.tzztb.com</w:t>
      </w:r>
      <w:r>
        <w:rPr>
          <w:rFonts w:hint="eastAsia" w:cs="Arial" w:asciiTheme="minorEastAsia" w:hAnsiTheme="minorEastAsia" w:eastAsiaTheme="minorEastAsia"/>
          <w:sz w:val="28"/>
          <w:szCs w:val="28"/>
        </w:rPr>
        <w:fldChar w:fldCharType="end"/>
      </w:r>
      <w:r>
        <w:rPr>
          <w:rFonts w:hint="eastAsia" w:cs="Arial" w:asciiTheme="minorEastAsia" w:hAnsiTheme="minorEastAsia" w:eastAsiaTheme="minorEastAsia"/>
          <w:sz w:val="28"/>
          <w:szCs w:val="28"/>
        </w:rPr>
        <w:t>）获取招标文件，并于</w:t>
      </w:r>
      <w:r>
        <w:rPr>
          <w:rFonts w:hint="eastAsia" w:cs="Arial" w:asciiTheme="minorEastAsia" w:hAnsiTheme="minorEastAsia" w:eastAsiaTheme="minorEastAsia"/>
          <w:color w:val="0000FF"/>
          <w:sz w:val="28"/>
          <w:szCs w:val="28"/>
        </w:rPr>
        <w:t xml:space="preserve"> 2021年</w:t>
      </w:r>
      <w:r>
        <w:rPr>
          <w:rFonts w:hint="eastAsia" w:cs="Arial" w:asciiTheme="minorEastAsia" w:hAnsiTheme="minorEastAsia" w:eastAsiaTheme="minorEastAsia"/>
          <w:color w:val="0000FF"/>
          <w:sz w:val="28"/>
          <w:szCs w:val="28"/>
          <w:lang w:val="en-US" w:eastAsia="zh-CN"/>
        </w:rPr>
        <w:t>10</w:t>
      </w:r>
      <w:r>
        <w:rPr>
          <w:rFonts w:hint="eastAsia" w:cs="Arial" w:asciiTheme="minorEastAsia" w:hAnsiTheme="minorEastAsia" w:eastAsiaTheme="minorEastAsia"/>
          <w:color w:val="0000FF"/>
          <w:sz w:val="28"/>
          <w:szCs w:val="28"/>
        </w:rPr>
        <w:t>月</w:t>
      </w:r>
      <w:r>
        <w:rPr>
          <w:rFonts w:hint="eastAsia" w:cs="Arial" w:asciiTheme="minorEastAsia" w:hAnsiTheme="minorEastAsia" w:eastAsiaTheme="minorEastAsia"/>
          <w:color w:val="0000FF"/>
          <w:sz w:val="28"/>
          <w:szCs w:val="28"/>
          <w:lang w:val="en-US" w:eastAsia="zh-CN"/>
        </w:rPr>
        <w:t>9</w:t>
      </w:r>
      <w:bookmarkStart w:id="65" w:name="_GoBack"/>
      <w:bookmarkEnd w:id="65"/>
      <w:r>
        <w:rPr>
          <w:rFonts w:hint="eastAsia" w:cs="Arial" w:asciiTheme="minorEastAsia" w:hAnsiTheme="minorEastAsia" w:eastAsiaTheme="minorEastAsia"/>
          <w:color w:val="0000FF"/>
          <w:sz w:val="28"/>
          <w:szCs w:val="28"/>
        </w:rPr>
        <w:t>日 9点</w:t>
      </w:r>
      <w:r>
        <w:rPr>
          <w:rFonts w:hint="eastAsia" w:cs="Arial" w:asciiTheme="minorEastAsia" w:hAnsiTheme="minorEastAsia" w:eastAsiaTheme="minorEastAsia"/>
          <w:sz w:val="28"/>
          <w:szCs w:val="28"/>
        </w:rPr>
        <w:t xml:space="preserve"> 00 分（北京时间）前在浙江政府采购云平台递</w:t>
      </w:r>
      <w:r>
        <w:rPr>
          <w:rFonts w:hint="eastAsia"/>
          <w:sz w:val="28"/>
          <w:szCs w:val="28"/>
        </w:rPr>
        <w:t>交电</w:t>
      </w:r>
      <w:r>
        <w:rPr>
          <w:rFonts w:hint="eastAsia" w:cs="Arial" w:asciiTheme="minorEastAsia" w:hAnsiTheme="minorEastAsia" w:eastAsiaTheme="minorEastAsia"/>
          <w:sz w:val="28"/>
          <w:szCs w:val="28"/>
        </w:rPr>
        <w:t>子投标文件。</w:t>
      </w:r>
      <w:bookmarkStart w:id="0" w:name="_Toc28359079"/>
      <w:bookmarkStart w:id="1" w:name="_Toc35393621"/>
      <w:bookmarkStart w:id="2" w:name="_Toc28359002"/>
      <w:bookmarkStart w:id="3" w:name="_Toc35393790"/>
      <w:bookmarkStart w:id="4" w:name="_Hlk24379207"/>
    </w:p>
    <w:p>
      <w:pPr>
        <w:pStyle w:val="5"/>
        <w:rPr>
          <w:rFonts w:asciiTheme="minorEastAsia" w:hAnsiTheme="minorEastAsia" w:eastAsiaTheme="minorEastAsia" w:cstheme="minorEastAsia"/>
          <w:b w:val="0"/>
          <w:sz w:val="28"/>
        </w:rPr>
      </w:pPr>
      <w:r>
        <w:rPr>
          <w:rFonts w:hint="eastAsia" w:asciiTheme="minorEastAsia" w:hAnsiTheme="minorEastAsia" w:eastAsiaTheme="minorEastAsia" w:cstheme="minorEastAsia"/>
          <w:b w:val="0"/>
          <w:sz w:val="28"/>
        </w:rPr>
        <w:t>一、项目基本情况</w:t>
      </w:r>
      <w:bookmarkEnd w:id="0"/>
      <w:bookmarkEnd w:id="1"/>
      <w:bookmarkEnd w:id="2"/>
      <w:bookmarkEnd w:id="3"/>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项目编号：TZCG-2021-GK0</w:t>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号</w:t>
      </w:r>
    </w:p>
    <w:bookmarkEnd w:id="4"/>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采购需求：</w:t>
      </w:r>
      <w:r>
        <w:rPr>
          <w:rFonts w:hint="eastAsia" w:ascii="宋体"/>
          <w:kern w:val="0"/>
          <w:sz w:val="28"/>
          <w:lang w:val="zh-CN"/>
        </w:rPr>
        <w:t>台州市政务大厅2.0数字化改造</w:t>
      </w:r>
      <w:r>
        <w:rPr>
          <w:rFonts w:hint="eastAsia" w:ascii="宋体"/>
          <w:kern w:val="0"/>
          <w:sz w:val="28"/>
        </w:rPr>
        <w:t>项目</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项目名称：</w:t>
      </w:r>
    </w:p>
    <w:tbl>
      <w:tblPr>
        <w:tblStyle w:val="19"/>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040"/>
        <w:gridCol w:w="1650"/>
        <w:gridCol w:w="690"/>
        <w:gridCol w:w="675"/>
        <w:gridCol w:w="1125"/>
        <w:gridCol w:w="1215"/>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654"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标段号</w:t>
            </w:r>
          </w:p>
        </w:tc>
        <w:tc>
          <w:tcPr>
            <w:tcW w:w="2040" w:type="dxa"/>
            <w:vAlign w:val="center"/>
          </w:tcPr>
          <w:p>
            <w:pPr>
              <w:tabs>
                <w:tab w:val="left" w:pos="8280"/>
              </w:tabs>
              <w:autoSpaceDE w:val="0"/>
              <w:autoSpaceDN w:val="0"/>
              <w:adjustRightInd w:val="0"/>
              <w:spacing w:line="360" w:lineRule="auto"/>
              <w:ind w:right="25" w:firstLine="120" w:firstLineChars="50"/>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项目名称</w:t>
            </w:r>
          </w:p>
        </w:tc>
        <w:tc>
          <w:tcPr>
            <w:tcW w:w="1650"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kern w:val="0"/>
                <w:sz w:val="24"/>
                <w:szCs w:val="24"/>
              </w:rPr>
              <w:t>简要技术要求</w:t>
            </w:r>
            <w:r>
              <w:rPr>
                <w:rFonts w:hint="eastAsia" w:asciiTheme="minorEastAsia" w:hAnsiTheme="minorEastAsia" w:eastAsiaTheme="minorEastAsia" w:cstheme="minorEastAsia"/>
                <w:b/>
                <w:kern w:val="0"/>
                <w:sz w:val="24"/>
                <w:szCs w:val="24"/>
                <w:lang w:eastAsia="zh-CN"/>
              </w:rPr>
              <w:t>、</w:t>
            </w:r>
            <w:r>
              <w:rPr>
                <w:rFonts w:hint="eastAsia" w:asciiTheme="minorEastAsia" w:hAnsiTheme="minorEastAsia" w:eastAsiaTheme="minorEastAsia" w:cstheme="minorEastAsia"/>
                <w:b/>
                <w:kern w:val="0"/>
                <w:sz w:val="24"/>
                <w:szCs w:val="24"/>
              </w:rPr>
              <w:t>服务要求</w:t>
            </w:r>
            <w:r>
              <w:rPr>
                <w:rFonts w:hint="eastAsia" w:asciiTheme="minorEastAsia" w:hAnsiTheme="minorEastAsia" w:eastAsiaTheme="minorEastAsia" w:cstheme="minorEastAsia"/>
                <w:b/>
                <w:kern w:val="0"/>
                <w:sz w:val="24"/>
                <w:szCs w:val="24"/>
                <w:lang w:val="en-US" w:eastAsia="zh-CN"/>
              </w:rPr>
              <w:t>等</w:t>
            </w:r>
          </w:p>
        </w:tc>
        <w:tc>
          <w:tcPr>
            <w:tcW w:w="690"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kern w:val="0"/>
                <w:sz w:val="24"/>
                <w:szCs w:val="24"/>
              </w:rPr>
              <w:t>数量</w:t>
            </w:r>
          </w:p>
        </w:tc>
        <w:tc>
          <w:tcPr>
            <w:tcW w:w="67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单位</w:t>
            </w:r>
          </w:p>
        </w:tc>
        <w:tc>
          <w:tcPr>
            <w:tcW w:w="112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预算（万元）</w:t>
            </w:r>
          </w:p>
        </w:tc>
        <w:tc>
          <w:tcPr>
            <w:tcW w:w="1215" w:type="dxa"/>
            <w:vAlign w:val="center"/>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建设期、</w:t>
            </w:r>
            <w:r>
              <w:rPr>
                <w:rFonts w:hint="eastAsia" w:asciiTheme="minorEastAsia" w:hAnsiTheme="minorEastAsia" w:eastAsiaTheme="minorEastAsia" w:cstheme="minorEastAsia"/>
                <w:b/>
                <w:sz w:val="24"/>
                <w:szCs w:val="24"/>
              </w:rPr>
              <w:t>交货期</w:t>
            </w:r>
          </w:p>
        </w:tc>
        <w:tc>
          <w:tcPr>
            <w:tcW w:w="1208" w:type="dxa"/>
            <w:vAlign w:val="center"/>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jc w:val="center"/>
        </w:trPr>
        <w:tc>
          <w:tcPr>
            <w:tcW w:w="654" w:type="dxa"/>
            <w:vAlign w:val="center"/>
          </w:tcPr>
          <w:p>
            <w:pPr>
              <w:tabs>
                <w:tab w:val="left" w:pos="8280"/>
              </w:tabs>
              <w:autoSpaceDE w:val="0"/>
              <w:autoSpaceDN w:val="0"/>
              <w:adjustRightInd w:val="0"/>
              <w:spacing w:line="360" w:lineRule="auto"/>
              <w:ind w:right="25" w:firstLine="240"/>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w:t>
            </w:r>
          </w:p>
        </w:tc>
        <w:tc>
          <w:tcPr>
            <w:tcW w:w="2040"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台州市政务大厅2.0数字化改造项目-</w:t>
            </w:r>
            <w:r>
              <w:rPr>
                <w:rFonts w:hint="eastAsia" w:asciiTheme="minorEastAsia" w:hAnsiTheme="minorEastAsia" w:eastAsiaTheme="minorEastAsia"/>
                <w:sz w:val="24"/>
                <w:szCs w:val="24"/>
                <w:lang w:eastAsia="zh-Hans"/>
              </w:rPr>
              <w:t>软件平台</w:t>
            </w:r>
          </w:p>
        </w:tc>
        <w:tc>
          <w:tcPr>
            <w:tcW w:w="1650"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详见第四章技术需求</w:t>
            </w:r>
          </w:p>
        </w:tc>
        <w:tc>
          <w:tcPr>
            <w:tcW w:w="690"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675"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w:t>
            </w:r>
          </w:p>
        </w:tc>
        <w:tc>
          <w:tcPr>
            <w:tcW w:w="1125"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lang w:val="en-US" w:eastAsia="zh-CN"/>
              </w:rPr>
              <w:t>45</w:t>
            </w:r>
            <w:r>
              <w:rPr>
                <w:rFonts w:hint="eastAsia" w:asciiTheme="minorEastAsia" w:hAnsiTheme="minorEastAsia" w:eastAsiaTheme="minorEastAsia"/>
                <w:sz w:val="24"/>
                <w:szCs w:val="24"/>
              </w:rPr>
              <w:t>.35</w:t>
            </w:r>
          </w:p>
        </w:tc>
        <w:tc>
          <w:tcPr>
            <w:tcW w:w="1215" w:type="dxa"/>
            <w:vAlign w:val="center"/>
          </w:tcPr>
          <w:p>
            <w:pPr>
              <w:tabs>
                <w:tab w:val="left" w:pos="8280"/>
              </w:tabs>
              <w:autoSpaceDE w:val="0"/>
              <w:autoSpaceDN w:val="0"/>
              <w:adjustRightInd w:val="0"/>
              <w:spacing w:line="360" w:lineRule="auto"/>
              <w:ind w:right="25"/>
              <w:rPr>
                <w:rFonts w:hint="default"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Cs/>
                <w:sz w:val="24"/>
                <w:szCs w:val="24"/>
                <w:lang w:val="en-US" w:eastAsia="zh-CN"/>
              </w:rPr>
              <w:t>详见第四章商务需求</w:t>
            </w:r>
          </w:p>
        </w:tc>
        <w:tc>
          <w:tcPr>
            <w:tcW w:w="1208" w:type="dxa"/>
            <w:vMerge w:val="restart"/>
            <w:vAlign w:val="center"/>
          </w:tcPr>
          <w:p>
            <w:pPr>
              <w:autoSpaceDE w:val="0"/>
              <w:autoSpaceDN w:val="0"/>
              <w:adjustRightInd w:val="0"/>
              <w:spacing w:line="360" w:lineRule="auto"/>
              <w:ind w:right="25"/>
              <w:jc w:val="left"/>
              <w:rPr>
                <w:rFonts w:asciiTheme="minorEastAsia" w:hAnsiTheme="minorEastAsia" w:eastAsiaTheme="minorEastAsia" w:cstheme="minorEastAsia"/>
                <w:b/>
                <w:sz w:val="28"/>
                <w:szCs w:val="28"/>
              </w:rPr>
            </w:pPr>
            <w:r>
              <w:rPr>
                <w:rFonts w:hint="eastAsia" w:ascii="宋体"/>
                <w:kern w:val="0"/>
                <w:sz w:val="24"/>
                <w:szCs w:val="22"/>
                <w:lang w:val="zh-CN"/>
              </w:rPr>
              <w:t>台州市人民政府行政服务中心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vAlign w:val="center"/>
          </w:tcPr>
          <w:p>
            <w:pPr>
              <w:tabs>
                <w:tab w:val="left" w:pos="8280"/>
              </w:tabs>
              <w:autoSpaceDE w:val="0"/>
              <w:autoSpaceDN w:val="0"/>
              <w:adjustRightInd w:val="0"/>
              <w:spacing w:line="360" w:lineRule="auto"/>
              <w:ind w:right="25" w:firstLine="240"/>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2</w:t>
            </w:r>
          </w:p>
        </w:tc>
        <w:tc>
          <w:tcPr>
            <w:tcW w:w="2040"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台州市政务大厅2.0数字化改造项目-</w:t>
            </w:r>
            <w:r>
              <w:rPr>
                <w:rFonts w:hint="eastAsia" w:asciiTheme="minorEastAsia" w:hAnsiTheme="minorEastAsia" w:eastAsiaTheme="minorEastAsia"/>
                <w:sz w:val="24"/>
                <w:szCs w:val="24"/>
                <w:lang w:eastAsia="zh-Hans"/>
              </w:rPr>
              <w:t>政务2.0硬件升级</w:t>
            </w:r>
          </w:p>
        </w:tc>
        <w:tc>
          <w:tcPr>
            <w:tcW w:w="1650"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详见第四章技术需求</w:t>
            </w:r>
          </w:p>
        </w:tc>
        <w:tc>
          <w:tcPr>
            <w:tcW w:w="690"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675"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w:t>
            </w:r>
          </w:p>
        </w:tc>
        <w:tc>
          <w:tcPr>
            <w:tcW w:w="1125"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75.01</w:t>
            </w:r>
          </w:p>
        </w:tc>
        <w:tc>
          <w:tcPr>
            <w:tcW w:w="1215" w:type="dxa"/>
            <w:vAlign w:val="center"/>
          </w:tcPr>
          <w:p>
            <w:pPr>
              <w:tabs>
                <w:tab w:val="left" w:pos="8280"/>
              </w:tabs>
              <w:autoSpaceDE w:val="0"/>
              <w:autoSpaceDN w:val="0"/>
              <w:adjustRightInd w:val="0"/>
              <w:spacing w:line="360" w:lineRule="auto"/>
              <w:ind w:right="25"/>
              <w:jc w:val="both"/>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Cs/>
                <w:sz w:val="24"/>
                <w:szCs w:val="24"/>
                <w:lang w:val="en-US" w:eastAsia="zh-CN"/>
              </w:rPr>
              <w:t>合同签订之日起60日内</w:t>
            </w:r>
          </w:p>
        </w:tc>
        <w:tc>
          <w:tcPr>
            <w:tcW w:w="1208" w:type="dxa"/>
            <w:vMerge w:val="continue"/>
            <w:vAlign w:val="center"/>
          </w:tcPr>
          <w:p>
            <w:pPr>
              <w:tabs>
                <w:tab w:val="left" w:pos="8280"/>
              </w:tabs>
              <w:autoSpaceDE w:val="0"/>
              <w:autoSpaceDN w:val="0"/>
              <w:adjustRightInd w:val="0"/>
              <w:spacing w:line="360" w:lineRule="auto"/>
              <w:ind w:right="25" w:firstLine="240"/>
              <w:rPr>
                <w:rFonts w:asciiTheme="minorEastAsia" w:hAnsiTheme="minorEastAsia" w:eastAsiaTheme="minorEastAsia" w:cstheme="minorEastAsia"/>
                <w:b/>
                <w:sz w:val="28"/>
                <w:szCs w:val="28"/>
              </w:rPr>
            </w:pPr>
          </w:p>
        </w:tc>
      </w:tr>
    </w:tbl>
    <w:p>
      <w:pPr>
        <w:widowControl/>
        <w:tabs>
          <w:tab w:val="left" w:pos="0"/>
        </w:tabs>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1、本次采购产品为非进口产品。</w:t>
      </w:r>
    </w:p>
    <w:p>
      <w:pPr>
        <w:spacing w:line="360" w:lineRule="auto"/>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2、本项目不接受联合体投标</w:t>
      </w:r>
      <w:r>
        <w:rPr>
          <w:rFonts w:hint="eastAsia" w:asciiTheme="minorEastAsia" w:hAnsiTheme="minorEastAsia" w:eastAsiaTheme="minorEastAsia" w:cstheme="minorEastAsia"/>
          <w:sz w:val="28"/>
          <w:szCs w:val="28"/>
          <w:highlight w:val="none"/>
          <w:lang w:eastAsia="zh-CN"/>
        </w:rPr>
        <w:t>。</w:t>
      </w:r>
    </w:p>
    <w:p>
      <w:pPr>
        <w:pStyle w:val="5"/>
        <w:rPr>
          <w:rFonts w:asciiTheme="minorEastAsia" w:hAnsiTheme="minorEastAsia" w:eastAsiaTheme="minorEastAsia" w:cstheme="minorEastAsia"/>
          <w:b w:val="0"/>
          <w:sz w:val="28"/>
        </w:rPr>
      </w:pPr>
      <w:bookmarkStart w:id="5" w:name="_Toc28359003"/>
      <w:bookmarkStart w:id="6" w:name="_Toc35393622"/>
      <w:bookmarkStart w:id="7" w:name="_Toc28359080"/>
      <w:bookmarkStart w:id="8" w:name="_Toc35393791"/>
      <w:r>
        <w:rPr>
          <w:rFonts w:hint="eastAsia" w:asciiTheme="minorEastAsia" w:hAnsiTheme="minorEastAsia" w:eastAsiaTheme="minorEastAsia" w:cstheme="minorEastAsia"/>
          <w:b w:val="0"/>
          <w:sz w:val="28"/>
        </w:rPr>
        <w:t>二、申请人的资格要求：</w:t>
      </w:r>
      <w:bookmarkEnd w:id="5"/>
      <w:bookmarkEnd w:id="6"/>
      <w:bookmarkEnd w:id="7"/>
      <w:bookmarkEnd w:id="8"/>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1.满足《中华人民共和国政府采购法》第二十二条规定；</w:t>
      </w:r>
    </w:p>
    <w:p>
      <w:pPr>
        <w:spacing w:line="360" w:lineRule="auto"/>
        <w:ind w:firstLine="560" w:firstLineChars="200"/>
        <w:rPr>
          <w:rFonts w:asciiTheme="minorEastAsia" w:hAnsiTheme="minorEastAsia" w:eastAsiaTheme="minorEastAsia" w:cstheme="minorEastAsia"/>
          <w:sz w:val="28"/>
          <w:szCs w:val="28"/>
          <w:u w:val="single"/>
        </w:rPr>
      </w:pPr>
      <w:bookmarkStart w:id="9" w:name="_Toc35393623"/>
      <w:bookmarkStart w:id="10" w:name="_Toc28359004"/>
      <w:bookmarkStart w:id="11" w:name="_Toc35393792"/>
      <w:bookmarkStart w:id="12" w:name="_Toc28359081"/>
      <w:r>
        <w:rPr>
          <w:rFonts w:hint="eastAsia" w:asciiTheme="minorEastAsia" w:hAnsiTheme="minorEastAsia" w:eastAsiaTheme="minorEastAsia" w:cstheme="minorEastAsia"/>
          <w:sz w:val="28"/>
          <w:szCs w:val="28"/>
        </w:rPr>
        <w:t>2.本项目的特定资格要求：无。</w:t>
      </w:r>
    </w:p>
    <w:p>
      <w:pPr>
        <w:pStyle w:val="5"/>
        <w:rPr>
          <w:rFonts w:asciiTheme="minorEastAsia" w:hAnsiTheme="minorEastAsia" w:eastAsiaTheme="minorEastAsia" w:cstheme="minorEastAsia"/>
          <w:b w:val="0"/>
          <w:sz w:val="28"/>
        </w:rPr>
      </w:pPr>
      <w:r>
        <w:rPr>
          <w:rFonts w:hint="eastAsia" w:asciiTheme="minorEastAsia" w:hAnsiTheme="minorEastAsia" w:eastAsiaTheme="minorEastAsia" w:cstheme="minorEastAsia"/>
          <w:b w:val="0"/>
          <w:sz w:val="28"/>
        </w:rPr>
        <w:t>三、获取招标文件</w:t>
      </w:r>
      <w:bookmarkEnd w:id="9"/>
      <w:bookmarkEnd w:id="10"/>
      <w:bookmarkEnd w:id="11"/>
      <w:bookmarkEnd w:id="12"/>
    </w:p>
    <w:p>
      <w:pPr>
        <w:spacing w:line="360" w:lineRule="auto"/>
        <w:ind w:firstLine="5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时间：</w:t>
      </w:r>
      <w:r>
        <w:rPr>
          <w:rFonts w:hint="eastAsia" w:asciiTheme="minorEastAsia" w:hAnsiTheme="minorEastAsia" w:eastAsiaTheme="minorEastAsia" w:cstheme="minorEastAsia"/>
          <w:color w:val="0000FF"/>
          <w:sz w:val="28"/>
          <w:szCs w:val="28"/>
          <w:u w:val="single"/>
        </w:rPr>
        <w:t>2021年</w:t>
      </w:r>
      <w:r>
        <w:rPr>
          <w:rFonts w:hint="eastAsia" w:asciiTheme="minorEastAsia" w:hAnsiTheme="minorEastAsia" w:eastAsiaTheme="minorEastAsia" w:cstheme="minorEastAsia"/>
          <w:color w:val="0000FF"/>
          <w:sz w:val="28"/>
          <w:szCs w:val="28"/>
          <w:u w:val="single"/>
          <w:lang w:val="en-US" w:eastAsia="zh-CN"/>
        </w:rPr>
        <w:t>9</w:t>
      </w:r>
      <w:r>
        <w:rPr>
          <w:rFonts w:hint="eastAsia" w:asciiTheme="minorEastAsia" w:hAnsiTheme="minorEastAsia" w:eastAsiaTheme="minorEastAsia" w:cstheme="minorEastAsia"/>
          <w:color w:val="0000FF"/>
          <w:sz w:val="28"/>
          <w:szCs w:val="28"/>
          <w:u w:val="single"/>
        </w:rPr>
        <w:t>月</w:t>
      </w:r>
      <w:r>
        <w:rPr>
          <w:rFonts w:hint="eastAsia" w:asciiTheme="minorEastAsia" w:hAnsiTheme="minorEastAsia" w:eastAsiaTheme="minorEastAsia" w:cstheme="minorEastAsia"/>
          <w:color w:val="0000FF"/>
          <w:sz w:val="28"/>
          <w:szCs w:val="28"/>
          <w:u w:val="single"/>
          <w:lang w:val="en-US" w:eastAsia="zh-CN"/>
        </w:rPr>
        <w:t xml:space="preserve">14 </w:t>
      </w:r>
      <w:r>
        <w:rPr>
          <w:rFonts w:hint="eastAsia" w:asciiTheme="minorEastAsia" w:hAnsiTheme="minorEastAsia" w:eastAsiaTheme="minorEastAsia" w:cstheme="minorEastAsia"/>
          <w:color w:val="0000FF"/>
          <w:sz w:val="28"/>
          <w:szCs w:val="28"/>
          <w:u w:val="single"/>
        </w:rPr>
        <w:t>日</w:t>
      </w:r>
      <w:r>
        <w:rPr>
          <w:rFonts w:hint="eastAsia" w:asciiTheme="minorEastAsia" w:hAnsiTheme="minorEastAsia" w:eastAsiaTheme="minorEastAsia" w:cstheme="minorEastAsia"/>
          <w:color w:val="0000FF"/>
          <w:sz w:val="28"/>
          <w:szCs w:val="28"/>
        </w:rPr>
        <w:t>至</w:t>
      </w:r>
      <w:r>
        <w:rPr>
          <w:rFonts w:hint="eastAsia" w:asciiTheme="minorEastAsia" w:hAnsiTheme="minorEastAsia" w:eastAsiaTheme="minorEastAsia" w:cstheme="minorEastAsia"/>
          <w:color w:val="0000FF"/>
          <w:sz w:val="28"/>
          <w:szCs w:val="28"/>
          <w:u w:val="single"/>
        </w:rPr>
        <w:t>2021年</w:t>
      </w:r>
      <w:r>
        <w:rPr>
          <w:rFonts w:hint="eastAsia" w:asciiTheme="minorEastAsia" w:hAnsiTheme="minorEastAsia" w:eastAsiaTheme="minorEastAsia" w:cstheme="minorEastAsia"/>
          <w:color w:val="0000FF"/>
          <w:sz w:val="28"/>
          <w:szCs w:val="28"/>
          <w:u w:val="single"/>
          <w:lang w:val="en-US" w:eastAsia="zh-CN"/>
        </w:rPr>
        <w:t>9</w:t>
      </w:r>
      <w:r>
        <w:rPr>
          <w:rFonts w:hint="eastAsia" w:asciiTheme="minorEastAsia" w:hAnsiTheme="minorEastAsia" w:eastAsiaTheme="minorEastAsia" w:cstheme="minorEastAsia"/>
          <w:color w:val="0000FF"/>
          <w:sz w:val="28"/>
          <w:szCs w:val="28"/>
          <w:u w:val="single"/>
        </w:rPr>
        <w:t>月</w:t>
      </w:r>
      <w:r>
        <w:rPr>
          <w:rFonts w:hint="eastAsia" w:asciiTheme="minorEastAsia" w:hAnsiTheme="minorEastAsia" w:eastAsiaTheme="minorEastAsia" w:cstheme="minorEastAsia"/>
          <w:color w:val="0000FF"/>
          <w:sz w:val="28"/>
          <w:szCs w:val="28"/>
          <w:u w:val="single"/>
          <w:lang w:val="en-US" w:eastAsia="zh-CN"/>
        </w:rPr>
        <w:t>22</w:t>
      </w:r>
      <w:r>
        <w:rPr>
          <w:rFonts w:hint="eastAsia" w:asciiTheme="minorEastAsia" w:hAnsiTheme="minorEastAsia" w:eastAsiaTheme="minorEastAsia" w:cstheme="minorEastAsia"/>
          <w:color w:val="0000FF"/>
          <w:sz w:val="28"/>
          <w:szCs w:val="28"/>
          <w:u w:val="single"/>
        </w:rPr>
        <w:t>日</w:t>
      </w:r>
      <w:r>
        <w:rPr>
          <w:rFonts w:hint="eastAsia" w:asciiTheme="minorEastAsia" w:hAnsiTheme="minorEastAsia" w:eastAsiaTheme="minorEastAsia" w:cstheme="minorEastAsia"/>
          <w:sz w:val="28"/>
          <w:szCs w:val="28"/>
          <w:u w:val="single"/>
        </w:rPr>
        <w:t>（提供期限自本公告发布之日起不得少于5个工作日）</w:t>
      </w:r>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方式：投标人在浙江政府采购云平台（</w:t>
      </w:r>
      <w:r>
        <w:rPr>
          <w:rStyle w:val="22"/>
          <w:rFonts w:hint="eastAsia" w:asciiTheme="minorEastAsia" w:hAnsiTheme="minorEastAsia" w:eastAsiaTheme="minorEastAsia" w:cstheme="minorEastAsia"/>
          <w:bCs/>
          <w:color w:val="auto"/>
          <w:sz w:val="28"/>
          <w:szCs w:val="28"/>
        </w:rPr>
        <w:t>http://www.zcygov.cn）</w:t>
      </w:r>
      <w:r>
        <w:rPr>
          <w:rFonts w:hint="eastAsia" w:asciiTheme="minorEastAsia" w:hAnsiTheme="minorEastAsia" w:eastAsiaTheme="minorEastAsia" w:cstheme="minorEastAsia"/>
          <w:sz w:val="28"/>
          <w:szCs w:val="28"/>
        </w:rPr>
        <w:t>进行网上报名后可免费下载。</w:t>
      </w:r>
      <w:r>
        <w:rPr>
          <w:rFonts w:hint="eastAsia" w:asciiTheme="minorEastAsia" w:hAnsiTheme="minorEastAsia" w:eastAsiaTheme="minorEastAsia" w:cstheme="minorEastAsia"/>
          <w:b/>
          <w:bCs/>
          <w:sz w:val="28"/>
          <w:szCs w:val="28"/>
        </w:rPr>
        <w:t>提示：采购机构将拒绝非报名供应商的电子投标文件。</w:t>
      </w:r>
    </w:p>
    <w:p>
      <w:pPr>
        <w:pStyle w:val="5"/>
        <w:rPr>
          <w:rFonts w:asciiTheme="minorEastAsia" w:hAnsiTheme="minorEastAsia" w:eastAsiaTheme="minorEastAsia" w:cstheme="minorEastAsia"/>
          <w:b w:val="0"/>
          <w:sz w:val="28"/>
        </w:rPr>
      </w:pPr>
      <w:bookmarkStart w:id="13" w:name="_Toc28359082"/>
      <w:bookmarkStart w:id="14" w:name="_Toc28359005"/>
      <w:bookmarkStart w:id="15" w:name="_Toc35393624"/>
      <w:bookmarkStart w:id="16" w:name="_Toc35393793"/>
      <w:r>
        <w:rPr>
          <w:rFonts w:hint="eastAsia" w:asciiTheme="minorEastAsia" w:hAnsiTheme="minorEastAsia" w:eastAsiaTheme="minorEastAsia" w:cstheme="minorEastAsia"/>
          <w:b w:val="0"/>
          <w:sz w:val="28"/>
        </w:rPr>
        <w:t>四、提交投标文件</w:t>
      </w:r>
      <w:bookmarkEnd w:id="13"/>
      <w:bookmarkEnd w:id="14"/>
      <w:r>
        <w:rPr>
          <w:rFonts w:hint="eastAsia" w:asciiTheme="minorEastAsia" w:hAnsiTheme="minorEastAsia" w:eastAsiaTheme="minorEastAsia" w:cstheme="minorEastAsia"/>
          <w:b w:val="0"/>
          <w:sz w:val="28"/>
        </w:rPr>
        <w:t>截止时间、开标时间和地点</w:t>
      </w:r>
      <w:bookmarkEnd w:id="15"/>
      <w:bookmarkEnd w:id="16"/>
    </w:p>
    <w:p>
      <w:pPr>
        <w:spacing w:line="360" w:lineRule="auto"/>
        <w:ind w:firstLine="560" w:firstLineChars="200"/>
        <w:rPr>
          <w:rFonts w:asciiTheme="minorEastAsia" w:hAnsiTheme="minorEastAsia" w:eastAsiaTheme="minorEastAsia" w:cstheme="minorEastAsia"/>
          <w:iCs/>
          <w:sz w:val="28"/>
          <w:szCs w:val="28"/>
          <w:u w:val="single"/>
        </w:rPr>
      </w:pPr>
      <w:r>
        <w:rPr>
          <w:rFonts w:hint="eastAsia" w:asciiTheme="minorEastAsia" w:hAnsiTheme="minorEastAsia" w:eastAsiaTheme="minorEastAsia" w:cstheme="minorEastAsia"/>
          <w:bCs/>
          <w:color w:val="0000FF"/>
          <w:sz w:val="28"/>
          <w:szCs w:val="28"/>
          <w:u w:val="single"/>
        </w:rPr>
        <w:t xml:space="preserve"> 2021年</w:t>
      </w:r>
      <w:r>
        <w:rPr>
          <w:rFonts w:hint="eastAsia" w:asciiTheme="minorEastAsia" w:hAnsiTheme="minorEastAsia" w:eastAsiaTheme="minorEastAsia" w:cstheme="minorEastAsia"/>
          <w:color w:val="0000FF"/>
          <w:sz w:val="28"/>
          <w:szCs w:val="28"/>
          <w:u w:val="single"/>
          <w:lang w:val="en-US" w:eastAsia="zh-CN"/>
        </w:rPr>
        <w:t>10</w:t>
      </w:r>
      <w:r>
        <w:rPr>
          <w:rFonts w:hint="eastAsia" w:asciiTheme="minorEastAsia" w:hAnsiTheme="minorEastAsia" w:eastAsiaTheme="minorEastAsia" w:cstheme="minorEastAsia"/>
          <w:bCs/>
          <w:color w:val="0000FF"/>
          <w:sz w:val="28"/>
          <w:szCs w:val="28"/>
          <w:u w:val="single"/>
        </w:rPr>
        <w:t>月</w:t>
      </w:r>
      <w:r>
        <w:rPr>
          <w:rFonts w:hint="eastAsia" w:asciiTheme="minorEastAsia" w:hAnsiTheme="minorEastAsia" w:eastAsiaTheme="minorEastAsia" w:cstheme="minorEastAsia"/>
          <w:color w:val="0000FF"/>
          <w:sz w:val="28"/>
          <w:szCs w:val="28"/>
          <w:u w:val="single"/>
          <w:lang w:val="en-US" w:eastAsia="zh-CN"/>
        </w:rPr>
        <w:t>9</w:t>
      </w:r>
      <w:r>
        <w:rPr>
          <w:rFonts w:hint="eastAsia" w:asciiTheme="minorEastAsia" w:hAnsiTheme="minorEastAsia" w:eastAsiaTheme="minorEastAsia" w:cstheme="minorEastAsia"/>
          <w:bCs/>
          <w:color w:val="0000FF"/>
          <w:sz w:val="28"/>
          <w:szCs w:val="28"/>
          <w:u w:val="single"/>
        </w:rPr>
        <w:t>日9点整</w:t>
      </w:r>
      <w:r>
        <w:rPr>
          <w:rFonts w:hint="eastAsia" w:asciiTheme="minorEastAsia" w:hAnsiTheme="minorEastAsia" w:eastAsiaTheme="minorEastAsia" w:cstheme="minorEastAsia"/>
          <w:bCs/>
          <w:sz w:val="28"/>
          <w:szCs w:val="28"/>
        </w:rPr>
        <w:t>（北京时间）</w:t>
      </w:r>
      <w:r>
        <w:rPr>
          <w:rFonts w:hint="eastAsia" w:asciiTheme="minorEastAsia" w:hAnsiTheme="minorEastAsia" w:eastAsiaTheme="minorEastAsia" w:cstheme="minorEastAsia"/>
          <w:iCs/>
          <w:sz w:val="28"/>
          <w:szCs w:val="28"/>
          <w:u w:val="single"/>
        </w:rPr>
        <w:t>（自招标文件开始发出之日起至投标人提交投标文件截止之日止，不得少于20日）</w:t>
      </w:r>
    </w:p>
    <w:p>
      <w:pPr>
        <w:pStyle w:val="1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投标网址：浙江政府采购云平台（</w:t>
      </w:r>
      <w:r>
        <w:rPr>
          <w:rFonts w:hint="eastAsia" w:asciiTheme="minorEastAsia" w:hAnsiTheme="minorEastAsia" w:eastAsiaTheme="minorEastAsia" w:cstheme="minorEastAsia"/>
          <w:sz w:val="28"/>
          <w:szCs w:val="28"/>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hint="eastAsia" w:asciiTheme="minorEastAsia" w:hAnsiTheme="minorEastAsia" w:eastAsiaTheme="minorEastAsia" w:cstheme="minorEastAsia"/>
          <w:sz w:val="28"/>
          <w:szCs w:val="28"/>
        </w:rPr>
        <w:t>http://www.zcygov.cn）。</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本项目只接受电子投标文件，具体操作要求见前附表。请在开标当日09:00至09:30完成电子投标文件解密。</w:t>
      </w:r>
    </w:p>
    <w:p>
      <w:pPr>
        <w:pStyle w:val="5"/>
        <w:rPr>
          <w:rFonts w:asciiTheme="minorEastAsia" w:hAnsiTheme="minorEastAsia" w:eastAsiaTheme="minorEastAsia" w:cstheme="minorEastAsia"/>
          <w:b w:val="0"/>
          <w:sz w:val="28"/>
        </w:rPr>
      </w:pPr>
      <w:bookmarkStart w:id="17" w:name="_Toc35393625"/>
      <w:bookmarkStart w:id="18" w:name="_Toc35393794"/>
      <w:bookmarkStart w:id="19" w:name="_Toc28359084"/>
      <w:bookmarkStart w:id="20" w:name="_Toc28359007"/>
      <w:r>
        <w:rPr>
          <w:rFonts w:hint="eastAsia" w:asciiTheme="minorEastAsia" w:hAnsiTheme="minorEastAsia" w:eastAsiaTheme="minorEastAsia" w:cstheme="minorEastAsia"/>
          <w:b w:val="0"/>
          <w:sz w:val="28"/>
        </w:rPr>
        <w:t>五、公告期限</w:t>
      </w:r>
      <w:bookmarkEnd w:id="17"/>
      <w:bookmarkEnd w:id="18"/>
      <w:bookmarkEnd w:id="19"/>
      <w:bookmarkEnd w:id="20"/>
    </w:p>
    <w:p>
      <w:pPr>
        <w:spacing w:line="360" w:lineRule="auto"/>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自本公告发布之日起5个工作日。</w:t>
      </w:r>
    </w:p>
    <w:p>
      <w:pPr>
        <w:pStyle w:val="5"/>
        <w:rPr>
          <w:rFonts w:asciiTheme="minorEastAsia" w:hAnsiTheme="minorEastAsia" w:eastAsiaTheme="minorEastAsia" w:cstheme="minorEastAsia"/>
          <w:b w:val="0"/>
          <w:sz w:val="28"/>
        </w:rPr>
      </w:pPr>
      <w:bookmarkStart w:id="21" w:name="_Toc35393626"/>
      <w:bookmarkStart w:id="22" w:name="_Toc35393795"/>
      <w:r>
        <w:rPr>
          <w:rFonts w:hint="eastAsia" w:asciiTheme="minorEastAsia" w:hAnsiTheme="minorEastAsia" w:eastAsiaTheme="minorEastAsia" w:cstheme="minorEastAsia"/>
          <w:b w:val="0"/>
          <w:sz w:val="28"/>
        </w:rPr>
        <w:t>六、其他补充事宜</w:t>
      </w:r>
      <w:bookmarkEnd w:id="21"/>
      <w:bookmarkEnd w:id="22"/>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供应商认为采购文件使自己的权益受到损害的，可以自收到采购文件之日（获取截止日之后收到采购文件的，以获取截止日为准）起7个工作日内且应当在采购投标截止时间之前，以书面形式一次性向采购人和集中</w:t>
      </w:r>
      <w:r>
        <w:rPr>
          <w:rFonts w:hint="eastAsia" w:asciiTheme="minorEastAsia" w:hAnsiTheme="minorEastAsia" w:eastAsiaTheme="minorEastAsia" w:cstheme="minorEastAsia"/>
          <w:sz w:val="28"/>
          <w:szCs w:val="28"/>
          <w:lang w:eastAsia="zh-CN"/>
        </w:rPr>
        <w:t>采购</w:t>
      </w:r>
      <w:r>
        <w:rPr>
          <w:rFonts w:hint="eastAsia" w:asciiTheme="minorEastAsia" w:hAnsiTheme="minorEastAsia" w:eastAsiaTheme="minorEastAsia" w:cstheme="minorEastAsia"/>
          <w:sz w:val="28"/>
          <w:szCs w:val="28"/>
        </w:rPr>
        <w:t>机构提出同一环节的质疑。否则，被质疑人可不予接受。质疑供应商对采购人、集中</w:t>
      </w:r>
      <w:r>
        <w:rPr>
          <w:rFonts w:hint="eastAsia" w:asciiTheme="minorEastAsia" w:hAnsiTheme="minorEastAsia" w:eastAsiaTheme="minorEastAsia" w:cstheme="minorEastAsia"/>
          <w:sz w:val="28"/>
          <w:szCs w:val="28"/>
          <w:lang w:eastAsia="zh-CN"/>
        </w:rPr>
        <w:t>采购</w:t>
      </w:r>
      <w:r>
        <w:rPr>
          <w:rFonts w:hint="eastAsia" w:asciiTheme="minorEastAsia" w:hAnsiTheme="minorEastAsia" w:eastAsiaTheme="minorEastAsia" w:cstheme="minorEastAsia"/>
          <w:sz w:val="28"/>
          <w:szCs w:val="28"/>
        </w:rPr>
        <w:t>机构的答复不满意或者采购人、集中</w:t>
      </w:r>
      <w:r>
        <w:rPr>
          <w:rFonts w:hint="eastAsia" w:asciiTheme="minorEastAsia" w:hAnsiTheme="minorEastAsia" w:eastAsiaTheme="minorEastAsia" w:cstheme="minorEastAsia"/>
          <w:sz w:val="28"/>
          <w:szCs w:val="28"/>
          <w:lang w:eastAsia="zh-CN"/>
        </w:rPr>
        <w:t>采购</w:t>
      </w:r>
      <w:r>
        <w:rPr>
          <w:rFonts w:hint="eastAsia" w:asciiTheme="minorEastAsia" w:hAnsiTheme="minorEastAsia" w:eastAsiaTheme="minorEastAsia" w:cstheme="minorEastAsia"/>
          <w:sz w:val="28"/>
          <w:szCs w:val="28"/>
        </w:rPr>
        <w:t>机构未在规定的时间内作出答复的，可以在答复期满后十五个工作日内向同级政府采购监督管理部门投诉。</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2、根据《浙江省政府采购供应商注册及诚信管理暂行办法》浙财采监【2009】28号文件，请各投标供应商及时办理浙江政府采购网“政府采购供应商注册”手续。</w:t>
      </w:r>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3、参与政府采购项目的注册供应商，需登录浙江省政府采购网（</w:t>
      </w:r>
      <w:r>
        <w:fldChar w:fldCharType="begin"/>
      </w:r>
      <w:r>
        <w:instrText xml:space="preserve"> HYPERLINK "http://www.tzztb.com/tzcms/zfcg.jhtml" </w:instrText>
      </w:r>
      <w:r>
        <w:fldChar w:fldCharType="separate"/>
      </w:r>
      <w:r>
        <w:rPr>
          <w:rFonts w:hint="eastAsia" w:asciiTheme="minorEastAsia" w:hAnsiTheme="minorEastAsia" w:eastAsiaTheme="minorEastAsia" w:cstheme="minorEastAsia"/>
          <w:sz w:val="28"/>
          <w:szCs w:val="28"/>
        </w:rPr>
        <w:t>http://www.zjzfcg.gov.cn</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）进行网上报名；尚未注册的供应商应当先在浙江政府采购网上申请注册，注册后再进行网上报名。</w:t>
      </w:r>
    </w:p>
    <w:p>
      <w:pPr>
        <w:pStyle w:val="5"/>
        <w:rPr>
          <w:rFonts w:asciiTheme="minorEastAsia" w:hAnsiTheme="minorEastAsia" w:eastAsiaTheme="minorEastAsia" w:cstheme="minorEastAsia"/>
          <w:b w:val="0"/>
          <w:sz w:val="28"/>
        </w:rPr>
      </w:pPr>
      <w:bookmarkStart w:id="23" w:name="_Toc35393627"/>
      <w:bookmarkStart w:id="24" w:name="_Toc28359085"/>
      <w:bookmarkStart w:id="25" w:name="_Toc35393796"/>
      <w:bookmarkStart w:id="26" w:name="_Toc28359008"/>
      <w:r>
        <w:rPr>
          <w:rFonts w:hint="eastAsia" w:asciiTheme="minorEastAsia" w:hAnsiTheme="minorEastAsia" w:eastAsiaTheme="minorEastAsia" w:cstheme="minorEastAsia"/>
          <w:b w:val="0"/>
          <w:sz w:val="28"/>
        </w:rPr>
        <w:t>七、对本次招标提出询问，请按以下方式联系。</w:t>
      </w:r>
      <w:bookmarkEnd w:id="23"/>
      <w:bookmarkEnd w:id="24"/>
      <w:bookmarkEnd w:id="25"/>
      <w:bookmarkEnd w:id="26"/>
    </w:p>
    <w:p>
      <w:pPr>
        <w:snapToGrid w:val="0"/>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xml:space="preserve">　1.采购人（受理采购文件相关质疑及答复） </w:t>
      </w:r>
    </w:p>
    <w:p>
      <w:pPr>
        <w:spacing w:line="360" w:lineRule="auto"/>
        <w:ind w:left="1079" w:leftChars="371" w:hanging="300" w:hangingChars="12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 称：</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zh-CN"/>
        </w:rPr>
        <w:t>台州市人民政府行政服务中心</w:t>
      </w:r>
      <w:r>
        <w:rPr>
          <w:rFonts w:hint="eastAsia" w:asciiTheme="minorEastAsia" w:hAnsiTheme="minorEastAsia" w:eastAsiaTheme="minorEastAsia" w:cstheme="minorEastAsia"/>
          <w:sz w:val="24"/>
          <w:u w:val="single"/>
        </w:rPr>
        <w:t>　　</w:t>
      </w:r>
    </w:p>
    <w:p>
      <w:pPr>
        <w:spacing w:line="360" w:lineRule="auto"/>
        <w:ind w:left="1079" w:leftChars="371" w:hanging="300" w:hangingChars="125"/>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lang w:val="zh-CN"/>
        </w:rPr>
        <w:t>浙江省台州市开发大道692号　　</w:t>
      </w:r>
    </w:p>
    <w:p>
      <w:pPr>
        <w:spacing w:line="360" w:lineRule="auto"/>
        <w:ind w:left="1079" w:leftChars="371" w:hanging="300" w:hangingChars="125"/>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 xml:space="preserve"> 杨老师  </w:t>
      </w:r>
      <w:r>
        <w:rPr>
          <w:rFonts w:hint="eastAsia" w:asciiTheme="minorEastAsia" w:hAnsiTheme="minorEastAsia" w:eastAsiaTheme="minorEastAsia" w:cstheme="minorEastAsia"/>
          <w:sz w:val="24"/>
          <w:u w:val="single"/>
        </w:rPr>
        <w:t>　　　　　　　　　　</w:t>
      </w:r>
      <w:bookmarkStart w:id="27" w:name="_Toc28359009"/>
      <w:bookmarkStart w:id="28" w:name="_Toc28359086"/>
    </w:p>
    <w:p>
      <w:pPr>
        <w:spacing w:line="360" w:lineRule="auto"/>
        <w:ind w:left="1079" w:leftChars="371" w:hanging="300" w:hangingChars="125"/>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single"/>
        </w:rPr>
        <w:t>　0576-88325502</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w:t>
      </w:r>
    </w:p>
    <w:p>
      <w:pPr>
        <w:pStyle w:val="10"/>
      </w:pPr>
    </w:p>
    <w:p>
      <w:pPr>
        <w:spacing w:line="360" w:lineRule="auto"/>
        <w:ind w:firstLine="840" w:firstLineChars="3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2.</w:t>
      </w:r>
      <w:bookmarkEnd w:id="27"/>
      <w:bookmarkEnd w:id="28"/>
      <w:r>
        <w:rPr>
          <w:rFonts w:hint="eastAsia" w:asciiTheme="minorEastAsia" w:hAnsiTheme="minorEastAsia" w:eastAsiaTheme="minorEastAsia" w:cstheme="minorEastAsia"/>
          <w:b/>
          <w:sz w:val="28"/>
          <w:szCs w:val="28"/>
        </w:rPr>
        <w:t>集中采购机构</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 称：</w:t>
      </w:r>
      <w:r>
        <w:rPr>
          <w:rFonts w:hint="eastAsia" w:asciiTheme="minorEastAsia" w:hAnsiTheme="minorEastAsia" w:eastAsiaTheme="minorEastAsia" w:cstheme="minorEastAsia"/>
          <w:sz w:val="24"/>
          <w:u w:val="single"/>
        </w:rPr>
        <w:t>　台州市公共资源交易中心</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台州市市府大道777号　</w:t>
      </w:r>
    </w:p>
    <w:p>
      <w:pPr>
        <w:spacing w:line="360" w:lineRule="auto"/>
        <w:ind w:firstLine="720" w:firstLineChars="3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项目联系人：</w:t>
      </w:r>
      <w:bookmarkStart w:id="29" w:name="_Toc28359087"/>
      <w:bookmarkStart w:id="30" w:name="_Toc28359010"/>
      <w:r>
        <w:rPr>
          <w:rFonts w:hint="eastAsia" w:asciiTheme="minorEastAsia" w:hAnsiTheme="minorEastAsia" w:eastAsiaTheme="minorEastAsia" w:cstheme="minorEastAsia"/>
          <w:sz w:val="24"/>
          <w:u w:val="single"/>
        </w:rPr>
        <w:t xml:space="preserve">　郑女士　　　　　  </w:t>
      </w:r>
    </w:p>
    <w:p>
      <w:pPr>
        <w:spacing w:line="360" w:lineRule="auto"/>
        <w:ind w:firstLine="720" w:firstLineChars="3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single"/>
        </w:rPr>
        <w:t>　0576-88685058　　　</w:t>
      </w:r>
    </w:p>
    <w:p>
      <w:pPr>
        <w:spacing w:line="360" w:lineRule="auto"/>
        <w:ind w:left="1558" w:leftChars="399" w:hanging="720" w:hanging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窗口联系人：</w:t>
      </w:r>
      <w:r>
        <w:rPr>
          <w:rFonts w:hint="eastAsia" w:asciiTheme="minorEastAsia" w:hAnsiTheme="minorEastAsia" w:eastAsiaTheme="minorEastAsia" w:cstheme="minorEastAsia"/>
          <w:sz w:val="24"/>
          <w:lang w:val="en-US" w:eastAsia="zh-CN"/>
        </w:rPr>
        <w:t>侯</w:t>
      </w:r>
      <w:r>
        <w:rPr>
          <w:rFonts w:hint="eastAsia" w:asciiTheme="minorEastAsia" w:hAnsiTheme="minorEastAsia" w:eastAsiaTheme="minorEastAsia" w:cstheme="minorEastAsia"/>
          <w:sz w:val="24"/>
        </w:rPr>
        <w:t>女士（受理供应商注册、中标结果相关质疑及答复）</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联系电话：0576-88685121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auto" w:fill="FFFFFF"/>
        </w:rPr>
        <w:t>台州市政府采购中心</w:t>
      </w:r>
      <w:r>
        <w:rPr>
          <w:rFonts w:hint="eastAsia" w:asciiTheme="minorEastAsia" w:hAnsiTheme="minorEastAsia" w:eastAsiaTheme="minorEastAsia" w:cstheme="minorEastAsia"/>
          <w:kern w:val="0"/>
          <w:sz w:val="28"/>
          <w:szCs w:val="28"/>
        </w:rPr>
        <w:t xml:space="preserve"> </w:t>
      </w:r>
    </w:p>
    <w:p>
      <w:pPr>
        <w:widowControl/>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 xml:space="preserve">                                          2021年</w:t>
      </w:r>
      <w:r>
        <w:rPr>
          <w:rFonts w:hint="eastAsia" w:asciiTheme="minorEastAsia" w:hAnsiTheme="minorEastAsia" w:eastAsiaTheme="minorEastAsia" w:cstheme="minorEastAsia"/>
          <w:sz w:val="28"/>
          <w:szCs w:val="28"/>
          <w:lang w:val="en-US" w:eastAsia="zh-CN"/>
        </w:rPr>
        <w:t>08</w:t>
      </w:r>
      <w:r>
        <w:rPr>
          <w:rFonts w:hint="eastAsia" w:asciiTheme="minorEastAsia" w:hAnsiTheme="minorEastAsia" w:eastAsiaTheme="minorEastAsia" w:cstheme="minorEastAsia"/>
          <w:kern w:val="0"/>
          <w:sz w:val="28"/>
          <w:szCs w:val="28"/>
        </w:rPr>
        <w:t>月</w:t>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kern w:val="0"/>
          <w:sz w:val="28"/>
          <w:szCs w:val="28"/>
        </w:rPr>
        <w:t>日</w:t>
      </w:r>
    </w:p>
    <w:p>
      <w:pPr>
        <w:rPr>
          <w:rFonts w:eastAsiaTheme="minorEastAsia"/>
        </w:rPr>
      </w:pPr>
      <w:r>
        <w:rPr>
          <w:rFonts w:eastAsiaTheme="minorEastAsia"/>
        </w:rPr>
        <w:br w:type="page"/>
      </w:r>
    </w:p>
    <w:p>
      <w:pPr>
        <w:pStyle w:val="10"/>
        <w:rPr>
          <w:rFonts w:eastAsiaTheme="minorEastAsia"/>
        </w:rPr>
      </w:pPr>
    </w:p>
    <w:bookmarkEnd w:id="29"/>
    <w:bookmarkEnd w:id="30"/>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前附表</w:t>
      </w:r>
    </w:p>
    <w:tbl>
      <w:tblPr>
        <w:tblStyle w:val="19"/>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954"/>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    目</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供应商特定</w:t>
            </w: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资格要求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答疑会或</w:t>
            </w: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现场踏勘</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sz w:val="24"/>
              </w:rPr>
              <w:t>电子投标要求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rPr>
            </w:pPr>
            <w:r>
              <w:rPr>
                <w:rFonts w:hint="eastAsia" w:ascii="宋体" w:hAnsi="宋体" w:cs="宋体"/>
                <w:sz w:val="24"/>
              </w:rPr>
              <w:t>投标人须按照采购文件和电子交易平台的要求编制并加密电子投标文件。截止时间：北京时</w:t>
            </w:r>
            <w:r>
              <w:rPr>
                <w:rFonts w:hint="eastAsia" w:ascii="宋体" w:hAnsi="宋体" w:cs="宋体"/>
                <w:color w:val="0000FF"/>
                <w:sz w:val="24"/>
              </w:rPr>
              <w:t>间20</w:t>
            </w:r>
            <w:r>
              <w:rPr>
                <w:rFonts w:hint="eastAsia" w:ascii="宋体" w:hAnsi="宋体" w:cs="Arial"/>
                <w:color w:val="0000FF"/>
                <w:sz w:val="24"/>
              </w:rPr>
              <w:t>21</w:t>
            </w:r>
            <w:r>
              <w:rPr>
                <w:rFonts w:hint="eastAsia" w:ascii="宋体" w:hAnsi="宋体" w:cs="宋体"/>
                <w:color w:val="0000FF"/>
                <w:sz w:val="24"/>
              </w:rPr>
              <w:t>年</w:t>
            </w:r>
            <w:r>
              <w:rPr>
                <w:rFonts w:hint="eastAsia" w:ascii="宋体" w:hAnsi="宋体" w:cs="宋体"/>
                <w:color w:val="0000FF"/>
                <w:sz w:val="24"/>
                <w:lang w:val="en-US" w:eastAsia="zh-CN"/>
              </w:rPr>
              <w:t>10</w:t>
            </w:r>
            <w:r>
              <w:rPr>
                <w:rFonts w:hint="eastAsia" w:ascii="宋体" w:hAnsi="宋体" w:cs="Arial"/>
                <w:color w:val="0000FF"/>
                <w:sz w:val="24"/>
              </w:rPr>
              <w:t>月</w:t>
            </w:r>
            <w:r>
              <w:rPr>
                <w:rFonts w:hint="eastAsia" w:ascii="宋体" w:hAnsi="宋体" w:cs="Arial"/>
                <w:color w:val="0000FF"/>
                <w:sz w:val="24"/>
                <w:lang w:val="en-US" w:eastAsia="zh-CN"/>
              </w:rPr>
              <w:t>9</w:t>
            </w:r>
            <w:r>
              <w:rPr>
                <w:rFonts w:hint="eastAsia" w:ascii="宋体" w:hAnsi="宋体" w:cs="Arial"/>
                <w:color w:val="0000FF"/>
                <w:sz w:val="24"/>
              </w:rPr>
              <w:t>日09:0</w:t>
            </w:r>
            <w:r>
              <w:rPr>
                <w:rFonts w:hint="eastAsia" w:ascii="宋体" w:hAnsi="宋体" w:cs="Arial"/>
                <w:sz w:val="24"/>
              </w:rPr>
              <w:t>0</w:t>
            </w:r>
          </w:p>
          <w:p>
            <w:pPr>
              <w:pStyle w:val="18"/>
              <w:spacing w:line="360" w:lineRule="auto"/>
              <w:ind w:left="0" w:leftChars="0" w:firstLine="0"/>
              <w:jc w:val="left"/>
              <w:rPr>
                <w:rFonts w:ascii="宋体" w:hAnsi="宋体" w:cs="宋体"/>
                <w:sz w:val="24"/>
              </w:rPr>
            </w:pPr>
            <w:r>
              <w:rPr>
                <w:rFonts w:hint="eastAsia" w:ascii="宋体" w:hAnsi="宋体" w:cs="宋体"/>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逾期上传的电子投标文件恕不接受。</w:t>
            </w:r>
          </w:p>
          <w:p>
            <w:pPr>
              <w:pStyle w:val="11"/>
              <w:spacing w:line="360" w:lineRule="auto"/>
            </w:pPr>
            <w:r>
              <w:rPr>
                <w:rFonts w:hint="eastAsia"/>
                <w:b/>
                <w:bCs/>
                <w:sz w:val="24"/>
              </w:rPr>
              <w:t>温馨提醒：供应商应提前上传，以便在上传时遇到技术问题，有充足的时间请教平台的技术人员。</w:t>
            </w:r>
            <w:r>
              <w:rPr>
                <w:rFonts w:hint="eastAsia"/>
                <w:sz w:val="24"/>
              </w:rPr>
              <w:t>平台技术人员联系人：徐女士；联系电话：0576-88685161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95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jc w:val="left"/>
              <w:rPr>
                <w:rFonts w:ascii="宋体" w:hAnsi="宋体" w:cs="宋体"/>
                <w:sz w:val="24"/>
              </w:rPr>
            </w:pPr>
            <w:r>
              <w:rPr>
                <w:rFonts w:hint="eastAsia" w:ascii="宋体" w:hAnsi="宋体" w:cs="宋体"/>
                <w:sz w:val="24"/>
              </w:rPr>
              <w:t>电子投标文件解密要求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jc w:val="left"/>
              <w:rPr>
                <w:rFonts w:ascii="宋体" w:hAnsi="宋体" w:cs="宋体"/>
                <w:sz w:val="24"/>
              </w:rPr>
            </w:pPr>
            <w:r>
              <w:rPr>
                <w:rFonts w:hint="eastAsia" w:ascii="宋体" w:hAnsi="宋体" w:cs="宋体"/>
                <w:sz w:val="24"/>
              </w:rPr>
              <w:t>电子投标文件在线解密时间：北京时间</w:t>
            </w:r>
            <w:r>
              <w:rPr>
                <w:rFonts w:hint="eastAsia" w:ascii="宋体" w:hAnsi="宋体" w:cs="宋体"/>
                <w:color w:val="0000FF"/>
                <w:sz w:val="24"/>
              </w:rPr>
              <w:t>2021年</w:t>
            </w:r>
            <w:r>
              <w:rPr>
                <w:rFonts w:hint="eastAsia" w:ascii="宋体" w:hAnsi="宋体" w:cs="宋体"/>
                <w:color w:val="0000FF"/>
                <w:sz w:val="24"/>
                <w:lang w:val="en-US" w:eastAsia="zh-CN"/>
              </w:rPr>
              <w:t>10</w:t>
            </w:r>
            <w:r>
              <w:rPr>
                <w:rFonts w:hint="eastAsia" w:ascii="宋体" w:hAnsi="宋体" w:cs="宋体"/>
                <w:color w:val="0000FF"/>
                <w:sz w:val="24"/>
              </w:rPr>
              <w:t>月</w:t>
            </w:r>
            <w:r>
              <w:rPr>
                <w:rFonts w:hint="eastAsia" w:ascii="宋体" w:hAnsi="宋体" w:cs="宋体"/>
                <w:color w:val="0000FF"/>
                <w:sz w:val="24"/>
                <w:lang w:val="en-US" w:eastAsia="zh-CN"/>
              </w:rPr>
              <w:t>9</w:t>
            </w:r>
            <w:r>
              <w:rPr>
                <w:rFonts w:hint="eastAsia" w:ascii="宋体" w:hAnsi="宋体" w:cs="宋体"/>
                <w:color w:val="0000FF"/>
                <w:sz w:val="24"/>
              </w:rPr>
              <w:t>日09:</w:t>
            </w:r>
            <w:r>
              <w:rPr>
                <w:rFonts w:hint="eastAsia" w:ascii="宋体" w:hAnsi="宋体" w:cs="宋体"/>
                <w:sz w:val="24"/>
              </w:rPr>
              <w:t>00至09:30；</w:t>
            </w:r>
          </w:p>
          <w:p>
            <w:pPr>
              <w:pStyle w:val="18"/>
              <w:spacing w:line="360" w:lineRule="auto"/>
              <w:ind w:left="0" w:leftChars="0" w:firstLine="0"/>
              <w:jc w:val="left"/>
              <w:rPr>
                <w:rFonts w:ascii="宋体" w:hAnsi="宋体" w:cs="宋体"/>
                <w:sz w:val="24"/>
              </w:rPr>
            </w:pPr>
            <w:r>
              <w:rPr>
                <w:rFonts w:hint="eastAsia" w:ascii="宋体" w:hAnsi="宋体" w:cs="宋体"/>
                <w:sz w:val="24"/>
              </w:rPr>
              <w:t>投标人应当按规定及时解密，若因技术原因导致电子投标文件未能及时解密的，应联系我中心技术人员（徐工：18806862938）在采监处的监督下远程协助其完成解密，仍无法完成解密的，应按规定及时递交备份电子投标文件，否则，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w:t>
            </w:r>
          </w:p>
        </w:tc>
        <w:tc>
          <w:tcPr>
            <w:tcW w:w="195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jc w:val="left"/>
              <w:rPr>
                <w:rFonts w:ascii="宋体" w:hAnsi="宋体" w:cs="宋体"/>
                <w:sz w:val="24"/>
              </w:rPr>
            </w:pPr>
            <w:r>
              <w:rPr>
                <w:rFonts w:hint="eastAsia" w:ascii="宋体" w:hAnsi="宋体" w:cs="宋体"/>
                <w:sz w:val="24"/>
              </w:rPr>
              <w:t>备份电子投标</w:t>
            </w:r>
          </w:p>
          <w:p>
            <w:pPr>
              <w:pStyle w:val="18"/>
              <w:spacing w:line="360" w:lineRule="auto"/>
              <w:ind w:left="0" w:leftChars="0" w:firstLine="0"/>
              <w:jc w:val="left"/>
              <w:rPr>
                <w:rFonts w:asciiTheme="majorEastAsia" w:hAnsiTheme="majorEastAsia" w:eastAsiaTheme="majorEastAsia" w:cstheme="majorEastAsia"/>
                <w:sz w:val="24"/>
              </w:rPr>
            </w:pPr>
            <w:r>
              <w:rPr>
                <w:rFonts w:hint="eastAsia" w:ascii="宋体" w:hAnsi="宋体" w:cs="宋体"/>
                <w:sz w:val="24"/>
              </w:rPr>
              <w:t>文件制作要求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jc w:val="left"/>
              <w:rPr>
                <w:rFonts w:asciiTheme="majorEastAsia" w:hAnsiTheme="majorEastAsia" w:eastAsiaTheme="majorEastAsia" w:cstheme="majorEastAsia"/>
                <w:b/>
                <w:bCs/>
                <w:sz w:val="24"/>
              </w:rPr>
            </w:pPr>
            <w:r>
              <w:rPr>
                <w:rFonts w:hint="eastAsia" w:ascii="宋体" w:hAnsi="宋体" w:cs="宋体"/>
                <w:sz w:val="24"/>
              </w:rPr>
              <w:t>备份电子投标文件是通过“政采云”平台电子投标工具制作电子投标文件产生的备份文件，请投标人自行妥善保管。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195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jc w:val="left"/>
              <w:rPr>
                <w:rFonts w:asciiTheme="majorEastAsia" w:hAnsiTheme="majorEastAsia" w:eastAsiaTheme="majorEastAsia" w:cstheme="majorEastAsia"/>
                <w:sz w:val="24"/>
              </w:rPr>
            </w:pPr>
            <w:r>
              <w:rPr>
                <w:rFonts w:hint="eastAsia" w:ascii="宋体" w:hAnsi="宋体" w:cs="宋体"/>
                <w:sz w:val="24"/>
              </w:rPr>
              <w:t>备份电子投标文件使用、递交有关规定</w:t>
            </w:r>
          </w:p>
        </w:tc>
        <w:tc>
          <w:tcPr>
            <w:tcW w:w="672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jc w:val="left"/>
              <w:rPr>
                <w:rFonts w:ascii="宋体" w:hAnsi="宋体" w:cs="宋体"/>
                <w:sz w:val="24"/>
              </w:rPr>
            </w:pPr>
            <w:r>
              <w:rPr>
                <w:rFonts w:hint="eastAsia" w:ascii="宋体" w:hAnsi="宋体" w:cs="宋体"/>
                <w:sz w:val="24"/>
              </w:rPr>
              <w:t>1.使用前提：投标人自行在线解密操作失败无法按时寻求技术人员帮助解密，或者投标人寻求技术人员帮助仍无法按时完成解密；</w:t>
            </w:r>
          </w:p>
          <w:p>
            <w:pPr>
              <w:pStyle w:val="18"/>
              <w:spacing w:line="360" w:lineRule="auto"/>
              <w:ind w:left="0" w:leftChars="0" w:firstLine="0"/>
              <w:jc w:val="left"/>
              <w:rPr>
                <w:rFonts w:ascii="宋体" w:hAnsi="宋体" w:cs="宋体"/>
                <w:sz w:val="24"/>
              </w:rPr>
            </w:pPr>
            <w:r>
              <w:rPr>
                <w:rFonts w:hint="eastAsia" w:ascii="宋体" w:hAnsi="宋体" w:cs="宋体"/>
                <w:sz w:val="24"/>
              </w:rPr>
              <w:t>2.递交截止时间：</w:t>
            </w:r>
            <w:r>
              <w:rPr>
                <w:rFonts w:hint="eastAsia" w:ascii="宋体" w:hAnsi="宋体" w:cs="宋体"/>
                <w:sz w:val="24"/>
                <w:lang w:val="en-US" w:eastAsia="zh-CN"/>
              </w:rPr>
              <w:t>10</w:t>
            </w:r>
            <w:r>
              <w:rPr>
                <w:rFonts w:hint="eastAsia" w:ascii="宋体" w:hAnsi="宋体" w:cs="宋体"/>
                <w:color w:val="0000FF"/>
                <w:sz w:val="24"/>
              </w:rPr>
              <w:t>月</w:t>
            </w:r>
            <w:r>
              <w:rPr>
                <w:rFonts w:hint="eastAsia" w:ascii="宋体" w:hAnsi="宋体" w:cs="宋体"/>
                <w:color w:val="0000FF"/>
                <w:sz w:val="24"/>
                <w:lang w:val="en-US" w:eastAsia="zh-CN"/>
              </w:rPr>
              <w:t>9</w:t>
            </w:r>
            <w:r>
              <w:rPr>
                <w:rFonts w:hint="eastAsia" w:ascii="宋体" w:hAnsi="宋体" w:cs="宋体"/>
                <w:color w:val="0000FF"/>
                <w:sz w:val="24"/>
              </w:rPr>
              <w:t>日09:50；</w:t>
            </w:r>
          </w:p>
          <w:p>
            <w:pPr>
              <w:pStyle w:val="18"/>
              <w:spacing w:line="360" w:lineRule="auto"/>
              <w:ind w:left="0" w:leftChars="0" w:firstLine="0"/>
              <w:jc w:val="left"/>
              <w:rPr>
                <w:rFonts w:ascii="宋体" w:hAnsi="宋体" w:cs="宋体"/>
                <w:sz w:val="24"/>
              </w:rPr>
            </w:pPr>
            <w:r>
              <w:rPr>
                <w:rFonts w:hint="eastAsia" w:ascii="宋体" w:hAnsi="宋体" w:cs="宋体"/>
                <w:sz w:val="24"/>
              </w:rPr>
              <w:t>3.投递邮箱：开标当日钉钉直播群公布的指定邮箱；</w:t>
            </w:r>
          </w:p>
          <w:p>
            <w:pPr>
              <w:pStyle w:val="18"/>
              <w:spacing w:line="360" w:lineRule="auto"/>
              <w:ind w:left="0" w:leftChars="0" w:firstLine="0"/>
              <w:jc w:val="left"/>
              <w:rPr>
                <w:rFonts w:ascii="宋体" w:hAnsi="宋体" w:cs="宋体"/>
                <w:sz w:val="24"/>
              </w:rPr>
            </w:pPr>
            <w:r>
              <w:rPr>
                <w:rFonts w:hint="eastAsia" w:ascii="宋体" w:hAnsi="宋体" w:cs="宋体"/>
                <w:sz w:val="24"/>
              </w:rPr>
              <w:t>4.未按上述要求递交备份电子投标文件或所提供的的备份电子投标文件不符合要求的视同放弃投标。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投标有效期为开标后90天，</w:t>
            </w:r>
            <w:r>
              <w:rPr>
                <w:rFonts w:hint="eastAsia" w:asciiTheme="majorEastAsia" w:hAnsiTheme="majorEastAsia" w:eastAsiaTheme="majorEastAsia" w:cstheme="majorEastAsia"/>
                <w:kern w:val="0"/>
                <w:sz w:val="24"/>
              </w:rPr>
              <w:t>投标有效期从提交电子投标文件的截止之日起算。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w:t>
            </w:r>
          </w:p>
        </w:tc>
        <w:tc>
          <w:tcPr>
            <w:tcW w:w="1954" w:type="dxa"/>
            <w:tcBorders>
              <w:top w:val="single" w:color="auto" w:sz="4" w:space="0"/>
              <w:left w:val="single" w:color="auto" w:sz="4" w:space="0"/>
              <w:bottom w:val="single" w:color="auto" w:sz="4" w:space="0"/>
              <w:right w:val="single" w:color="auto" w:sz="4" w:space="0"/>
            </w:tcBorders>
            <w:vAlign w:val="center"/>
          </w:tcPr>
          <w:p>
            <w:pPr>
              <w:pStyle w:val="10"/>
              <w:spacing w:line="360" w:lineRule="auto"/>
              <w:ind w:firstLine="0"/>
              <w:rPr>
                <w:rFonts w:ascii="宋体" w:hAnsi="宋体" w:cs="宋体"/>
                <w:sz w:val="24"/>
                <w:szCs w:val="24"/>
              </w:rPr>
            </w:pPr>
            <w:r>
              <w:rPr>
                <w:rFonts w:hint="eastAsia" w:ascii="宋体" w:hAnsi="宋体" w:cs="宋体"/>
                <w:sz w:val="24"/>
                <w:szCs w:val="24"/>
              </w:rPr>
              <w:t>不见面开标直播</w:t>
            </w:r>
          </w:p>
          <w:p>
            <w:pPr>
              <w:spacing w:line="360" w:lineRule="auto"/>
              <w:jc w:val="center"/>
              <w:rPr>
                <w:rFonts w:asciiTheme="majorEastAsia" w:hAnsiTheme="majorEastAsia" w:eastAsiaTheme="majorEastAsia" w:cstheme="majorEastAsia"/>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line="360" w:lineRule="auto"/>
              <w:rPr>
                <w:rFonts w:hint="default" w:asciiTheme="majorEastAsia" w:hAnsiTheme="majorEastAsia" w:eastAsiaTheme="majorEastAsia" w:cstheme="majorEastAsia"/>
              </w:rPr>
            </w:pPr>
            <w:r>
              <w:rPr>
                <w:rFonts w:cs="宋体"/>
              </w:rPr>
              <w:t>本项目开评标环节实行全流程电子化，采取不见面钉钉直播开标，投标人可自行下载“钉钉软件”观看。（钉钉直播群号为：31340930，投标人只能于开标当天8：30以后搜索到群号，并申请进群。采购组织机构按照采购文件规定的时间通过电子交易平台组织开标、开启响应文件，所有供应商均应当准时在线参加。</w:t>
            </w:r>
            <w:r>
              <w:rPr>
                <w:rFonts w:cs="宋体"/>
                <w:color w:val="FF0000"/>
              </w:rPr>
              <w:t>如未参加，</w:t>
            </w:r>
            <w:r>
              <w:rPr>
                <w:rFonts w:cs="宋体"/>
                <w:bCs/>
                <w:color w:val="FF0000"/>
              </w:rPr>
              <w:t>造成无法投标或投标失败等后果由供应商自行承担。</w:t>
            </w:r>
            <w:r>
              <w:rPr>
                <w:rFonts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cs="Arial" w:asciiTheme="minorEastAsia" w:hAnsiTheme="minorEastAsia" w:eastAsiaTheme="minorEastAsia"/>
                <w:sz w:val="24"/>
              </w:rPr>
              <w:t>投标与开标注意事项</w:t>
            </w:r>
          </w:p>
        </w:tc>
        <w:tc>
          <w:tcPr>
            <w:tcW w:w="6729"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440" w:lineRule="exact"/>
              <w:rPr>
                <w:rFonts w:hAnsi="宋体" w:cs="宋体"/>
                <w:bCs/>
                <w:sz w:val="24"/>
              </w:rPr>
            </w:pPr>
            <w:r>
              <w:rPr>
                <w:rFonts w:hint="eastAsia" w:hAnsi="宋体" w:cs="宋体"/>
                <w:bCs/>
                <w:sz w:val="24"/>
              </w:rPr>
              <w:t>1.本项目实行电子采购，采用电子投标文件。若供应商参与投标，自行承担投标一切费用。</w:t>
            </w:r>
          </w:p>
          <w:p>
            <w:pPr>
              <w:pStyle w:val="13"/>
              <w:adjustRightInd w:val="0"/>
              <w:snapToGrid w:val="0"/>
              <w:spacing w:line="440" w:lineRule="exact"/>
              <w:rPr>
                <w:rFonts w:hAnsi="宋体" w:cs="宋体"/>
                <w:bCs/>
                <w:sz w:val="24"/>
              </w:rPr>
            </w:pPr>
            <w:r>
              <w:rPr>
                <w:rFonts w:hint="eastAsia" w:hAnsi="宋体" w:cs="宋体"/>
                <w:bCs/>
                <w:sz w:val="24"/>
              </w:rPr>
              <w:t>2.标前准备：各供应商在开标前确保成为浙江省政府采购网正式注册供应商，并完成CA数字证书办理。（办理流程详见本招标公告附件：“政采云CA签章申领操作流程.pdf”）。因未注册入库、未办理CA数字证书等原因造成无法投标或投标失败等后果由供应商自行承担。</w:t>
            </w:r>
          </w:p>
          <w:p>
            <w:pPr>
              <w:spacing w:line="440" w:lineRule="exact"/>
              <w:rPr>
                <w:rFonts w:ascii="宋体" w:hAnsi="宋体" w:cs="宋体"/>
                <w:bCs/>
                <w:sz w:val="24"/>
              </w:rPr>
            </w:pPr>
            <w:r>
              <w:rPr>
                <w:rFonts w:hint="eastAsia" w:ascii="宋体" w:hAnsi="宋体" w:cs="宋体"/>
                <w:bCs/>
                <w:sz w:val="24"/>
              </w:rPr>
              <w:t>3.电子投标文件制作：</w:t>
            </w:r>
          </w:p>
          <w:p>
            <w:pPr>
              <w:spacing w:line="440" w:lineRule="exact"/>
              <w:rPr>
                <w:rFonts w:ascii="宋体" w:hAnsi="宋体" w:cs="宋体"/>
                <w:bCs/>
                <w:sz w:val="24"/>
              </w:rPr>
            </w:pPr>
            <w:r>
              <w:rPr>
                <w:rFonts w:hint="eastAsia" w:ascii="宋体" w:hAnsi="宋体" w:cs="宋体"/>
                <w:bCs/>
                <w:sz w:val="24"/>
              </w:rPr>
              <w:t>3.1应按照本项目招标文件和政采云平台的要求编制、加密并递交电子投标文件。供应商在使用系统进行投标的过程中遇到涉及平台使用的任何问题，可致电政采云平台技术支持热线咨询，联系方式：400-881-7190。</w:t>
            </w:r>
          </w:p>
          <w:p>
            <w:pPr>
              <w:spacing w:line="440" w:lineRule="exact"/>
              <w:rPr>
                <w:rFonts w:asciiTheme="majorEastAsia" w:hAnsiTheme="majorEastAsia" w:eastAsiaTheme="majorEastAsia" w:cstheme="majorEastAsia"/>
                <w:sz w:val="24"/>
              </w:rPr>
            </w:pPr>
            <w:r>
              <w:rPr>
                <w:rFonts w:hint="eastAsia" w:ascii="宋体" w:hAnsi="宋体" w:cs="宋体"/>
                <w:bCs/>
                <w:sz w:val="24"/>
              </w:rPr>
              <w:t>3.2投标人通过“政采云”平台电子投标工具制作电子投标文件，电子投标工具请供应商自行前往浙江省政府采购网下载并安装，（下载网址：http://www.zjzfcg.gov.cn/bidClientTemplate/2019-09-24/12975.html），电子投标文件制作具体流程详见本招标公告附件：“政采云供应商项目采购-电子招投标操作指南.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w:t>
            </w: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Arial" w:asciiTheme="minorEastAsia" w:hAnsiTheme="minorEastAsia" w:eastAsiaTheme="minorEastAsia"/>
                <w:bCs/>
                <w:sz w:val="24"/>
              </w:rPr>
            </w:pPr>
            <w:r>
              <w:rPr>
                <w:rFonts w:cs="Arial" w:asciiTheme="minorEastAsia" w:hAnsiTheme="minorEastAsia" w:eastAsiaTheme="minorEastAsia"/>
                <w:bCs/>
                <w:sz w:val="24"/>
              </w:rPr>
              <w:t>投标人信用信息查询渠道及截止时点、信用信息查询记录和证据留存的具体方式、信用信息的使用规则</w:t>
            </w:r>
          </w:p>
          <w:p>
            <w:pPr>
              <w:autoSpaceDE w:val="0"/>
              <w:autoSpaceDN w:val="0"/>
              <w:adjustRightInd w:val="0"/>
              <w:spacing w:line="360" w:lineRule="auto"/>
              <w:jc w:val="center"/>
              <w:rPr>
                <w:rFonts w:asciiTheme="majorEastAsia" w:hAnsiTheme="majorEastAsia" w:eastAsiaTheme="majorEastAsia" w:cstheme="majorEastAsia"/>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sz w:val="24"/>
              </w:rPr>
            </w:pPr>
            <w:r>
              <w:rPr>
                <w:rFonts w:hint="eastAsia" w:cs="Arial" w:asciiTheme="minorEastAsia" w:hAnsiTheme="minorEastAsia" w:eastAsiaTheme="minorEastAsia"/>
                <w:sz w:val="24"/>
              </w:rPr>
              <w:t>1、查询渠道：信用中国（网址：</w:t>
            </w:r>
            <w:r>
              <w:fldChar w:fldCharType="begin"/>
            </w:r>
            <w:r>
              <w:instrText xml:space="preserve"> HYPERLINK "http://www.creditchina.gov.cn" </w:instrText>
            </w:r>
            <w:r>
              <w:fldChar w:fldCharType="separate"/>
            </w:r>
            <w:r>
              <w:rPr>
                <w:rFonts w:cs="Arial" w:asciiTheme="minorEastAsia" w:hAnsiTheme="minorEastAsia" w:eastAsiaTheme="minorEastAsia"/>
                <w:sz w:val="24"/>
              </w:rPr>
              <w:t>http://www.creditchina.gov.cn</w:t>
            </w:r>
            <w:r>
              <w:rPr>
                <w:rFonts w:cs="Arial" w:asciiTheme="minorEastAsia" w:hAnsiTheme="minorEastAsia" w:eastAsiaTheme="minorEastAsia"/>
                <w:sz w:val="24"/>
              </w:rPr>
              <w:fldChar w:fldCharType="end"/>
            </w:r>
            <w:r>
              <w:rPr>
                <w:rFonts w:hint="eastAsia" w:cs="Arial" w:asciiTheme="minorEastAsia" w:hAnsiTheme="minorEastAsia" w:eastAsiaTheme="minorEastAsia"/>
                <w:sz w:val="24"/>
              </w:rPr>
              <w:t>）、中国政府采购网(网址：</w:t>
            </w:r>
            <w:r>
              <w:rPr>
                <w:rFonts w:cs="Arial" w:asciiTheme="minorEastAsia" w:hAnsiTheme="minorEastAsia" w:eastAsiaTheme="minorEastAsia"/>
                <w:sz w:val="24"/>
              </w:rPr>
              <w:t>http://www.ccgp.gov.cn</w:t>
            </w:r>
            <w:r>
              <w:rPr>
                <w:rFonts w:hint="eastAsia" w:cs="Arial" w:asciiTheme="minorEastAsia" w:hAnsiTheme="minorEastAsia" w:eastAsiaTheme="minorEastAsia"/>
                <w:sz w:val="24"/>
              </w:rPr>
              <w:t>）、</w:t>
            </w:r>
            <w:r>
              <w:rPr>
                <w:rFonts w:hint="eastAsia" w:ascii="宋体" w:hAnsi="宋体" w:cs="Arial"/>
                <w:sz w:val="24"/>
              </w:rPr>
              <w:t>国家企业信用信息公示系统（http://www.gsxt.gov.cn/index.html）等。</w:t>
            </w:r>
          </w:p>
          <w:p>
            <w:pPr>
              <w:snapToGrid w:val="0"/>
              <w:spacing w:line="360" w:lineRule="auto"/>
              <w:rPr>
                <w:rFonts w:cs="Arial" w:asciiTheme="minorEastAsia" w:hAnsiTheme="minorEastAsia" w:eastAsiaTheme="minorEastAsia"/>
                <w:b/>
                <w:bCs/>
                <w:sz w:val="24"/>
                <w:shd w:val="clear" w:color="FFFFFF" w:fill="D9D9D9"/>
              </w:rPr>
            </w:pPr>
            <w:r>
              <w:rPr>
                <w:rFonts w:hint="eastAsia" w:cs="Arial" w:asciiTheme="minorEastAsia" w:hAnsiTheme="minorEastAsia" w:eastAsiaTheme="minorEastAsia"/>
                <w:sz w:val="24"/>
              </w:rPr>
              <w:t>2、截止时点：评审结束前。</w:t>
            </w:r>
          </w:p>
          <w:p>
            <w:pPr>
              <w:snapToGrid w:val="0"/>
              <w:spacing w:line="360" w:lineRule="auto"/>
              <w:rPr>
                <w:rFonts w:cs="Arial" w:asciiTheme="minorEastAsia" w:hAnsiTheme="minorEastAsia" w:eastAsiaTheme="minorEastAsia"/>
                <w:sz w:val="24"/>
              </w:rPr>
            </w:pPr>
            <w:r>
              <w:rPr>
                <w:rFonts w:hint="eastAsia" w:cs="Arial" w:asciiTheme="minorEastAsia" w:hAnsiTheme="minorEastAsia" w:eastAsiaTheme="minorEastAsia"/>
                <w:sz w:val="24"/>
              </w:rPr>
              <w:t>3、</w:t>
            </w:r>
            <w:r>
              <w:rPr>
                <w:rFonts w:cs="Arial" w:asciiTheme="minorEastAsia" w:hAnsiTheme="minorEastAsia" w:eastAsiaTheme="minorEastAsia"/>
                <w:sz w:val="24"/>
              </w:rPr>
              <w:t>信用信息查询记录和证据留存的具体方式</w:t>
            </w:r>
            <w:r>
              <w:rPr>
                <w:rFonts w:hint="eastAsia" w:cs="Arial" w:asciiTheme="minorEastAsia" w:hAnsiTheme="minorEastAsia" w:eastAsiaTheme="minorEastAsia"/>
                <w:sz w:val="24"/>
              </w:rPr>
              <w:t>：由采购组织机构在规定查询时间内打印信用信息查询记录并归入项目档案。</w:t>
            </w:r>
          </w:p>
          <w:p>
            <w:pPr>
              <w:snapToGrid w:val="0"/>
              <w:spacing w:line="360" w:lineRule="auto"/>
              <w:rPr>
                <w:rFonts w:asciiTheme="majorEastAsia" w:hAnsiTheme="majorEastAsia" w:cstheme="majorEastAsia"/>
                <w:sz w:val="24"/>
              </w:rPr>
            </w:pPr>
            <w:r>
              <w:rPr>
                <w:rFonts w:hint="eastAsia" w:cs="Arial" w:asciiTheme="minorEastAsia" w:hAnsiTheme="minorEastAsia" w:eastAsiaTheme="minorEastAsia"/>
                <w:sz w:val="24"/>
              </w:rPr>
              <w:t>4、使用规则：对列入失信被执行人、重大税收违法案件当事人名单、政府采购严重违法失信行为记录名单及其他不符合《中华人民共和国政府采购法》第二十二条规定条件的供应商，</w:t>
            </w:r>
            <w:r>
              <w:rPr>
                <w:rFonts w:cs="Arial" w:asciiTheme="minorEastAsia" w:hAnsiTheme="minorEastAsia" w:eastAsiaTheme="minorEastAsia"/>
                <w:sz w:val="24"/>
              </w:rPr>
              <w:t>将被</w:t>
            </w:r>
            <w:r>
              <w:rPr>
                <w:rFonts w:hint="eastAsia" w:cs="Arial" w:asciiTheme="minorEastAsia" w:hAnsiTheme="minorEastAsia" w:eastAsiaTheme="minorEastAsia"/>
                <w:sz w:val="24"/>
              </w:rPr>
              <w:t>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小微企业查询</w:t>
            </w:r>
          </w:p>
        </w:tc>
        <w:tc>
          <w:tcPr>
            <w:tcW w:w="67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cs="Arial" w:asciiTheme="minorEastAsia" w:hAnsiTheme="minorEastAsia" w:eastAsiaTheme="minorEastAsia"/>
                <w:sz w:val="24"/>
              </w:rPr>
            </w:pPr>
            <w:r>
              <w:rPr>
                <w:rFonts w:hint="eastAsia" w:cs="Arial" w:asciiTheme="minorEastAsia" w:hAnsiTheme="minorEastAsia" w:eastAsiaTheme="minorEastAsia"/>
                <w:color w:val="FF0000"/>
                <w:sz w:val="24"/>
              </w:rPr>
              <w:t>核查渠道：http://xwqy.gsxt.gov.cn/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投标保证金</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sz w:val="24"/>
              </w:rPr>
              <w:t>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履约保证金</w:t>
            </w:r>
          </w:p>
        </w:tc>
        <w:tc>
          <w:tcPr>
            <w:tcW w:w="6729" w:type="dxa"/>
            <w:tcBorders>
              <w:top w:val="single" w:color="auto" w:sz="4" w:space="0"/>
              <w:left w:val="single" w:color="auto" w:sz="4" w:space="0"/>
              <w:bottom w:val="single" w:color="auto" w:sz="4" w:space="0"/>
              <w:right w:val="single" w:color="auto" w:sz="4" w:space="0"/>
            </w:tcBorders>
            <w:vAlign w:val="center"/>
          </w:tcPr>
          <w:p>
            <w:pPr>
              <w:pStyle w:val="11"/>
              <w:rPr>
                <w:rFonts w:asciiTheme="majorEastAsia" w:hAnsiTheme="majorEastAsia" w:cstheme="majorEastAsia"/>
                <w:sz w:val="24"/>
              </w:rPr>
            </w:pPr>
            <w:r>
              <w:rPr>
                <w:rFonts w:hint="eastAsia" w:asciiTheme="majorEastAsia" w:hAnsiTheme="majorEastAsia" w:cstheme="majorEastAsia"/>
                <w:b w:val="0"/>
                <w:bCs w:val="0"/>
                <w:color w:val="auto"/>
                <w:sz w:val="24"/>
                <w:szCs w:val="24"/>
                <w:lang w:val="en-US" w:eastAsia="zh-CN"/>
              </w:rPr>
              <w:t>中标人需在合同签署后七天内按照合同总价的5%缴付履约保证金，采购人在质保期满后7个工作日内无息退还。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14</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zh-CN"/>
              </w:rPr>
              <w:t>实质性条款</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kern w:val="0"/>
                <w:sz w:val="24"/>
                <w:lang w:val="zh-CN"/>
              </w:rPr>
              <w:t>带“</w:t>
            </w:r>
            <w:r>
              <w:rPr>
                <w:rFonts w:hint="eastAsia" w:asciiTheme="majorEastAsia" w:hAnsiTheme="majorEastAsia" w:eastAsiaTheme="majorEastAsia" w:cstheme="majorEastAsia"/>
                <w:bCs/>
                <w:sz w:val="24"/>
              </w:rPr>
              <w:t>▲”的条款是实质性条款，电子投标文件须作出实质性响应，否则作无效投标处理。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15</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解释权</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本招标文件解释权属于采购人和</w:t>
            </w:r>
            <w:r>
              <w:rPr>
                <w:rFonts w:hint="eastAsia" w:ascii="宋体" w:hAnsi="宋体" w:cs="Arial"/>
                <w:sz w:val="24"/>
              </w:rPr>
              <w:t>台州市政府采购中心</w:t>
            </w:r>
          </w:p>
        </w:tc>
      </w:tr>
    </w:tbl>
    <w:p>
      <w:pPr>
        <w:pStyle w:val="11"/>
        <w:spacing w:line="360" w:lineRule="auto"/>
        <w:ind w:firstLine="480" w:firstLineChars="200"/>
        <w:rPr>
          <w:rFonts w:ascii="宋体" w:hAnsi="宋体" w:cs="Arial"/>
          <w:sz w:val="24"/>
        </w:rPr>
      </w:pP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一 、总  则</w:t>
      </w:r>
    </w:p>
    <w:p>
      <w:pPr>
        <w:snapToGrid w:val="0"/>
        <w:spacing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（一）</w:t>
      </w:r>
      <w:r>
        <w:rPr>
          <w:rFonts w:asciiTheme="minorEastAsia" w:hAnsiTheme="minorEastAsia" w:eastAsiaTheme="minorEastAsia"/>
          <w:b/>
          <w:sz w:val="24"/>
        </w:rPr>
        <w:t xml:space="preserve">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snapToGrid w:val="0"/>
        <w:spacing w:before="156" w:beforeLines="50" w:line="360" w:lineRule="auto"/>
        <w:ind w:firstLine="354" w:firstLineChars="147"/>
        <w:jc w:val="left"/>
        <w:outlineLvl w:val="1"/>
        <w:rPr>
          <w:rFonts w:asciiTheme="minorEastAsia" w:hAnsiTheme="minorEastAsia" w:eastAsiaTheme="minorEastAsia"/>
          <w:b/>
          <w:sz w:val="24"/>
        </w:rPr>
      </w:pPr>
      <w:r>
        <w:rPr>
          <w:rFonts w:hint="eastAsia" w:asciiTheme="minorEastAsia" w:hAnsiTheme="minorEastAsia" w:eastAsiaTheme="minorEastAsia"/>
          <w:b/>
          <w:sz w:val="24"/>
        </w:rPr>
        <w:t>（二）定义</w:t>
      </w:r>
    </w:p>
    <w:p>
      <w:pPr>
        <w:pStyle w:val="6"/>
        <w:keepNext w:val="0"/>
        <w:keepLines w:val="0"/>
        <w:tabs>
          <w:tab w:val="left" w:pos="0"/>
          <w:tab w:val="left" w:pos="851"/>
        </w:tabs>
        <w:snapToGrid w:val="0"/>
        <w:spacing w:before="0" w:after="0"/>
        <w:ind w:firstLine="569" w:firstLineChars="236"/>
        <w:jc w:val="left"/>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“采购组织机构”指采购人委托组织招标的集中采购机构</w:t>
      </w:r>
      <w:r>
        <w:rPr>
          <w:rFonts w:hint="eastAsia" w:cs="Arial"/>
          <w:bCs w:val="0"/>
          <w:sz w:val="24"/>
          <w:szCs w:val="24"/>
        </w:rPr>
        <w:t>/</w:t>
      </w:r>
      <w:r>
        <w:rPr>
          <w:rFonts w:hint="eastAsia"/>
          <w:bCs w:val="0"/>
          <w:sz w:val="24"/>
          <w:szCs w:val="24"/>
          <w:lang w:val="zh-CN"/>
        </w:rPr>
        <w:t>采购代理机构。</w:t>
      </w:r>
    </w:p>
    <w:p>
      <w:pPr>
        <w:snapToGrid w:val="0"/>
        <w:spacing w:line="360" w:lineRule="auto"/>
        <w:ind w:firstLine="566" w:firstLineChars="236"/>
        <w:rPr>
          <w:rFonts w:asciiTheme="minorEastAsia" w:hAnsiTheme="minorEastAsia" w:eastAsiaTheme="minorEastAsia"/>
          <w:sz w:val="24"/>
        </w:rPr>
      </w:pPr>
      <w:r>
        <w:rPr>
          <w:rFonts w:hint="eastAsia" w:asciiTheme="minorEastAsia" w:hAnsiTheme="minorEastAsia" w:eastAsiaTheme="minorEastAsia"/>
          <w:sz w:val="24"/>
        </w:rPr>
        <w:t>2、采购人：是指委托</w:t>
      </w:r>
      <w:r>
        <w:rPr>
          <w:rFonts w:hint="eastAsia" w:ascii="宋体" w:hAnsi="宋体"/>
          <w:sz w:val="24"/>
          <w:lang w:val="zh-CN"/>
        </w:rPr>
        <w:t>集中采购机构</w:t>
      </w:r>
      <w:r>
        <w:rPr>
          <w:rFonts w:hint="eastAsia" w:ascii="宋体" w:hAnsi="宋体" w:cs="Arial"/>
          <w:sz w:val="24"/>
        </w:rPr>
        <w:t>/</w:t>
      </w:r>
      <w:r>
        <w:rPr>
          <w:rFonts w:hint="eastAsia" w:asciiTheme="minorEastAsia" w:hAnsiTheme="minorEastAsia" w:eastAsiaTheme="minorEastAsia"/>
          <w:sz w:val="24"/>
        </w:rPr>
        <w:t>采购代理机构采购本次项目的国家机关、事业单位和团体组织。</w:t>
      </w:r>
    </w:p>
    <w:p>
      <w:pPr>
        <w:snapToGrid w:val="0"/>
        <w:spacing w:line="360" w:lineRule="auto"/>
        <w:ind w:left="424" w:leftChars="202" w:firstLine="141" w:firstLineChars="59"/>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指向</w:t>
      </w:r>
      <w:r>
        <w:rPr>
          <w:rFonts w:hint="eastAsia" w:asciiTheme="minorEastAsia" w:hAnsiTheme="minorEastAsia" w:eastAsiaTheme="minorEastAsia"/>
          <w:sz w:val="24"/>
        </w:rPr>
        <w:t>采购</w:t>
      </w:r>
      <w:r>
        <w:rPr>
          <w:rFonts w:hint="eastAsia" w:ascii="宋体" w:hAnsi="宋体"/>
          <w:sz w:val="24"/>
          <w:lang w:val="zh-CN"/>
        </w:rPr>
        <w:t>组织</w:t>
      </w:r>
      <w:r>
        <w:rPr>
          <w:rFonts w:hint="eastAsia" w:asciiTheme="minorEastAsia" w:hAnsiTheme="minorEastAsia" w:eastAsiaTheme="minorEastAsia"/>
          <w:sz w:val="24"/>
        </w:rPr>
        <w:t>机构</w:t>
      </w:r>
      <w:r>
        <w:rPr>
          <w:rFonts w:asciiTheme="minorEastAsia" w:hAnsiTheme="minorEastAsia" w:eastAsiaTheme="minorEastAsia"/>
          <w:sz w:val="24"/>
        </w:rPr>
        <w:t>提交</w:t>
      </w:r>
      <w:r>
        <w:rPr>
          <w:rFonts w:hint="eastAsia" w:asciiTheme="minorEastAsia" w:hAnsiTheme="minorEastAsia" w:eastAsiaTheme="minorEastAsia"/>
          <w:sz w:val="24"/>
        </w:rPr>
        <w:t>电子投标文件</w:t>
      </w:r>
      <w:r>
        <w:rPr>
          <w:rFonts w:asciiTheme="minorEastAsia" w:hAnsiTheme="minorEastAsia" w:eastAsiaTheme="minorEastAsia"/>
          <w:sz w:val="24"/>
        </w:rPr>
        <w:t>的单位或个人。</w:t>
      </w:r>
    </w:p>
    <w:p>
      <w:pPr>
        <w:snapToGrid w:val="0"/>
        <w:spacing w:line="360" w:lineRule="auto"/>
        <w:ind w:left="424" w:leftChars="202" w:firstLine="143"/>
        <w:jc w:val="left"/>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货物</w:t>
      </w:r>
      <w:r>
        <w:rPr>
          <w:rFonts w:hint="eastAsia" w:asciiTheme="minorEastAsia" w:hAnsiTheme="minorEastAsia" w:eastAsiaTheme="minorEastAsia"/>
          <w:sz w:val="24"/>
        </w:rPr>
        <w:t>：</w:t>
      </w:r>
      <w:r>
        <w:rPr>
          <w:rFonts w:asciiTheme="minorEastAsia" w:hAnsiTheme="minorEastAsia" w:eastAsiaTheme="minorEastAsia"/>
          <w:sz w:val="24"/>
        </w:rPr>
        <w:t>是指各种形态和种类的物品，包括原材料、燃料、设备、产品等。</w:t>
      </w:r>
    </w:p>
    <w:p>
      <w:pPr>
        <w:snapToGrid w:val="0"/>
        <w:spacing w:line="360" w:lineRule="auto"/>
        <w:ind w:firstLine="566" w:firstLineChars="236"/>
        <w:jc w:val="left"/>
        <w:rPr>
          <w:rFonts w:asciiTheme="minorEastAsia" w:hAnsiTheme="minorEastAsia" w:eastAsiaTheme="minorEastAsia"/>
          <w:b/>
          <w:sz w:val="24"/>
        </w:rPr>
      </w:pPr>
      <w:r>
        <w:rPr>
          <w:rFonts w:hint="eastAsia" w:asciiTheme="minorEastAsia" w:hAnsiTheme="minorEastAsia" w:eastAsiaTheme="minorEastAsia"/>
          <w:sz w:val="24"/>
        </w:rPr>
        <w:t>5、</w:t>
      </w:r>
      <w:r>
        <w:rPr>
          <w:rFonts w:asciiTheme="minorEastAsia" w:hAnsiTheme="minorEastAsia" w:eastAsiaTheme="minorEastAsia"/>
          <w:sz w:val="24"/>
        </w:rPr>
        <w:t>服务</w:t>
      </w:r>
      <w:r>
        <w:rPr>
          <w:rFonts w:hint="eastAsia" w:asciiTheme="minorEastAsia" w:hAnsiTheme="minorEastAsia" w:eastAsiaTheme="minorEastAsia"/>
          <w:sz w:val="24"/>
        </w:rPr>
        <w:t>：</w:t>
      </w:r>
      <w:r>
        <w:rPr>
          <w:rFonts w:asciiTheme="minorEastAsia" w:hAnsiTheme="minorEastAsia" w:eastAsiaTheme="minorEastAsia"/>
          <w:sz w:val="24"/>
        </w:rPr>
        <w:t>是指除货物和工程以外的政府采购对象，包括各类专业服务、信息网络开发服务、金融保险服务、运输服务，以及维修与维护服务等。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“书面形式”包括信函、传真等。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“▲”系指实质性要求条款。</w:t>
      </w:r>
    </w:p>
    <w:p>
      <w:pPr>
        <w:snapToGrid w:val="0"/>
        <w:spacing w:before="156" w:beforeLines="50"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（三）投标费用</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不论投标结果如何，投标人均应自行承担所有与投标有关的全部费用（招标文件有相关规定除外）。</w:t>
      </w:r>
    </w:p>
    <w:p>
      <w:pPr>
        <w:pStyle w:val="13"/>
        <w:snapToGrid w:val="0"/>
        <w:spacing w:line="360" w:lineRule="auto"/>
        <w:ind w:left="2" w:leftChars="1" w:firstLine="482" w:firstLineChars="200"/>
        <w:rPr>
          <w:rFonts w:hAnsi="宋体"/>
          <w:b/>
          <w:sz w:val="24"/>
        </w:rPr>
      </w:pPr>
      <w:r>
        <w:rPr>
          <w:rFonts w:hint="eastAsia" w:hAnsi="宋体"/>
          <w:b/>
          <w:sz w:val="24"/>
        </w:rPr>
        <w:t>（四）特别说明</w:t>
      </w:r>
    </w:p>
    <w:p>
      <w:pPr>
        <w:pStyle w:val="13"/>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sz w:val="24"/>
        </w:rPr>
        <w:t>指</w:t>
      </w:r>
      <w:r>
        <w:rPr>
          <w:rFonts w:asciiTheme="minorEastAsia" w:hAnsiTheme="minorEastAsia" w:eastAsiaTheme="minorEastAsia"/>
          <w:sz w:val="24"/>
        </w:rPr>
        <w:t>本法人或控股公司正式员工）。</w:t>
      </w:r>
    </w:p>
    <w:p>
      <w:pPr>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投标供应商所投产品除招标文件中明确规定要求“提供官网截图或相应检测报告的证明材料”以外，所有技术参数描述均以电子投标文件为准。投标供应商对所投产品技术参数的真实性承担法律责任。项目招标结束后、质疑期限内，如有质疑供应商认为中标供应商所投产品、电子投标文件技术参数与招标需求存在重大偏离、错误、甚至造假的情况，应提供具体有效的证明材料。</w:t>
      </w:r>
      <w:r>
        <w:rPr>
          <w:rFonts w:hint="eastAsia" w:asciiTheme="minorEastAsia" w:hAnsiTheme="minorEastAsia" w:eastAsiaTheme="minorEastAsia" w:cstheme="minorBidi"/>
          <w:sz w:val="24"/>
        </w:rPr>
        <w:tab/>
      </w:r>
    </w:p>
    <w:p>
      <w:pPr>
        <w:pStyle w:val="25"/>
        <w:snapToGrid w:val="0"/>
        <w:spacing w:line="360" w:lineRule="auto"/>
        <w:ind w:firstLine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3、</w:t>
      </w:r>
      <w:r>
        <w:rPr>
          <w:rFonts w:asciiTheme="minorEastAsia" w:hAnsiTheme="minorEastAsia" w:eastAsiaTheme="minorEastAsia" w:cstheme="minorBidi"/>
          <w:sz w:val="24"/>
          <w:szCs w:val="24"/>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sz w:val="24"/>
          <w:szCs w:val="24"/>
        </w:rPr>
        <w:t>，</w:t>
      </w:r>
      <w:r>
        <w:rPr>
          <w:rFonts w:asciiTheme="minorEastAsia" w:hAnsiTheme="minorEastAsia" w:eastAsiaTheme="minorEastAsia" w:cstheme="minorBidi"/>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sz w:val="24"/>
          <w:szCs w:val="24"/>
        </w:rPr>
        <w:t>。</w:t>
      </w:r>
    </w:p>
    <w:p>
      <w:pPr>
        <w:pStyle w:val="6"/>
        <w:keepNext w:val="0"/>
        <w:keepLines w:val="0"/>
        <w:tabs>
          <w:tab w:val="left" w:pos="851"/>
        </w:tabs>
        <w:snapToGrid w:val="0"/>
        <w:spacing w:before="0" w:after="0" w:line="360" w:lineRule="auto"/>
        <w:ind w:firstLine="482" w:firstLineChars="200"/>
        <w:rPr>
          <w:rFonts w:asciiTheme="minorEastAsia" w:hAnsiTheme="minorEastAsia" w:eastAsiaTheme="minorEastAsia" w:cstheme="minorBidi"/>
          <w:sz w:val="24"/>
          <w:szCs w:val="24"/>
        </w:rPr>
      </w:pPr>
      <w:r>
        <w:rPr>
          <w:rFonts w:hint="eastAsia" w:asciiTheme="minorEastAsia" w:hAnsiTheme="minorEastAsia" w:eastAsiaTheme="minorEastAsia"/>
          <w:sz w:val="24"/>
          <w:szCs w:val="24"/>
        </w:rPr>
        <w:t>4、投标人被列入“黑名单”的，采购组织单位将根据《浙江省政府采购供应商注册及诚信管理暂行办法》第四十六条之规定，在处罚有效期内，资格审查时不予通过。</w:t>
      </w:r>
    </w:p>
    <w:p>
      <w:pPr>
        <w:pStyle w:val="6"/>
        <w:keepNext w:val="0"/>
        <w:keepLines w:val="0"/>
        <w:tabs>
          <w:tab w:val="left" w:pos="851"/>
        </w:tabs>
        <w:snapToGrid w:val="0"/>
        <w:spacing w:before="0" w:after="0" w:line="360" w:lineRule="auto"/>
        <w:ind w:firstLine="482"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pPr>
        <w:pStyle w:val="6"/>
        <w:keepNext w:val="0"/>
        <w:keepLines w:val="0"/>
        <w:tabs>
          <w:tab w:val="left" w:pos="851"/>
        </w:tabs>
        <w:snapToGrid w:val="0"/>
        <w:spacing w:before="0" w:after="0" w:line="360" w:lineRule="auto"/>
        <w:ind w:firstLine="482"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6、为采购项目提供整体设计、规范编制或者项目管理、监理、检测等服务的供应商，不得再参加该采购项目的其他采购活动。</w:t>
      </w:r>
    </w:p>
    <w:p>
      <w:pPr>
        <w:pStyle w:val="6"/>
        <w:keepNext w:val="0"/>
        <w:keepLines w:val="0"/>
        <w:tabs>
          <w:tab w:val="left" w:pos="851"/>
        </w:tabs>
        <w:snapToGrid w:val="0"/>
        <w:spacing w:before="0" w:after="0" w:line="360" w:lineRule="auto"/>
        <w:ind w:firstLine="482"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7、电子投标文件格式中的表格式样可以根据项目差别做适当调整,但应当保持表格样式基本形态不变。</w:t>
      </w:r>
    </w:p>
    <w:p>
      <w:pPr>
        <w:pStyle w:val="6"/>
        <w:keepNext w:val="0"/>
        <w:keepLines w:val="0"/>
        <w:tabs>
          <w:tab w:val="left" w:pos="851"/>
        </w:tabs>
        <w:snapToGrid w:val="0"/>
        <w:spacing w:before="0" w:after="0" w:line="360" w:lineRule="auto"/>
        <w:ind w:firstLine="482"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8、单位负责人为同一人或者存在直接控股、管理关系的不同供应商，不得参加同一合同项下的政府采购活动。</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二、招标文件</w:t>
      </w:r>
    </w:p>
    <w:p>
      <w:pPr>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   （一）招标文件由招标文件总目录所列内容组成。</w:t>
      </w:r>
    </w:p>
    <w:p>
      <w:pPr>
        <w:autoSpaceDE w:val="0"/>
        <w:autoSpaceDN w:val="0"/>
        <w:adjustRightIn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（二）招标文件的澄清或修改</w:t>
      </w:r>
    </w:p>
    <w:p>
      <w:pPr>
        <w:autoSpaceDE w:val="0"/>
        <w:autoSpaceDN w:val="0"/>
        <w:adjustRightInd w:val="0"/>
        <w:spacing w:line="360" w:lineRule="auto"/>
        <w:ind w:firstLine="420" w:firstLineChars="175"/>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1、采购组织机构可视采购具体情况对已发出的招标文件进行必要的澄清或者修改。澄清或者修改的内容可能影响电子投标文件编制的，采购人或者采购组织机构应当在投标截止时间至少15日前，在原公告发布媒体上发布澄清公告，澄清或者修改的内容为招标文件的组成部分；不足15日的，采购人或者采购组织机构应当顺延提交电子投标文件的截止时间。 </w:t>
      </w:r>
    </w:p>
    <w:p>
      <w:pPr>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2、</w:t>
      </w:r>
      <w:r>
        <w:rPr>
          <w:rFonts w:asciiTheme="minorEastAsia" w:hAnsiTheme="minorEastAsia" w:eastAsiaTheme="minorEastAsia"/>
          <w:kern w:val="0"/>
          <w:sz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kern w:val="0"/>
          <w:sz w:val="24"/>
        </w:rPr>
        <w:t>。</w:t>
      </w:r>
    </w:p>
    <w:p>
      <w:pPr>
        <w:tabs>
          <w:tab w:val="left" w:pos="141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 xml:space="preserve"> 三、投标文件</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宋体"/>
          <w:b/>
          <w:sz w:val="24"/>
          <w:lang w:val="zh-CN"/>
        </w:rPr>
        <w:t>（一）</w:t>
      </w:r>
      <w:r>
        <w:rPr>
          <w:rFonts w:hint="eastAsia" w:asciiTheme="minorEastAsia" w:hAnsiTheme="minorEastAsia" w:eastAsiaTheme="minorEastAsia"/>
          <w:b/>
          <w:bCs/>
          <w:kern w:val="0"/>
          <w:sz w:val="24"/>
        </w:rPr>
        <w:t>投标文件的组成</w:t>
      </w:r>
    </w:p>
    <w:p>
      <w:pPr>
        <w:snapToGrid w:val="0"/>
        <w:spacing w:line="360" w:lineRule="auto"/>
        <w:ind w:firstLine="480" w:firstLineChars="200"/>
        <w:rPr>
          <w:rFonts w:ascii="仿宋_GB2312" w:hAnsi="仿宋_GB2312" w:eastAsia="仿宋_GB2312" w:cs="仿宋_GB2312"/>
          <w:sz w:val="24"/>
          <w:lang w:val="zh-CN"/>
        </w:rPr>
      </w:pPr>
      <w:r>
        <w:rPr>
          <w:rFonts w:hint="eastAsia" w:asciiTheme="minorEastAsia" w:hAnsiTheme="minorEastAsia" w:eastAsiaTheme="minorEastAsia"/>
          <w:kern w:val="0"/>
          <w:sz w:val="24"/>
        </w:rPr>
        <w:t xml:space="preserve">  投标人接到招标文件后，按照采购组织机构的要求提供：资格证明文件、商务与技术文件和报价文件。</w:t>
      </w:r>
      <w:r>
        <w:rPr>
          <w:rFonts w:hint="eastAsia" w:asciiTheme="minorEastAsia" w:hAnsiTheme="minorEastAsia" w:eastAsiaTheme="minorEastAsia"/>
          <w:kern w:val="0"/>
          <w:sz w:val="24"/>
          <w:lang w:val="zh-CN"/>
        </w:rPr>
        <w:t>【特别提示：如在投标时有要求提供资料原件的，将原件扫描放入投标文件。】</w:t>
      </w:r>
    </w:p>
    <w:p>
      <w:pPr>
        <w:snapToGrid w:val="0"/>
        <w:spacing w:line="360" w:lineRule="auto"/>
        <w:ind w:firstLine="482" w:firstLineChars="200"/>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投标声明书；</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授权委托书（法定代表人亲自办理投标事宜的，则无需提交)；</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法人或者其他组织的营业执照等证明文件，自然人的身份证明；</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财务状况报告，依法缴纳税收和社会保障资金的相关材料；</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具备履行合同所必需的设备和专业技术能力的证明材料(根据项目性质提供)；</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提供采购公告中符合供应商特定条件的有效资质证书扫描件（投标供应商特定条件中有要求的必须提供），以及需要说明的其他资料；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10"/>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（1）投标人情况介绍（人员与技术力量、企业规模、经营业绩等）。</w:t>
      </w:r>
    </w:p>
    <w:p>
      <w:pPr>
        <w:pStyle w:val="10"/>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（2）投标方案描述：</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B.项目组织实施方案（包括项目工期、确保项目供货的措施或方案、项目实施进度安排、项目实施人员及项目负责人的资质、类似经验及社保证明等）。</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10"/>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（3）投标产品描述及相关资料：</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w:t>
      </w:r>
      <w:r>
        <w:rPr>
          <w:rFonts w:asciiTheme="minorEastAsia" w:hAnsiTheme="minorEastAsia" w:eastAsiaTheme="minorEastAsia"/>
          <w:sz w:val="24"/>
          <w:szCs w:val="24"/>
        </w:rPr>
        <w:t>设备配置</w:t>
      </w:r>
      <w:r>
        <w:rPr>
          <w:rFonts w:hint="eastAsia" w:asciiTheme="minorEastAsia" w:hAnsiTheme="minorEastAsia" w:eastAsiaTheme="minorEastAsia"/>
          <w:sz w:val="24"/>
          <w:szCs w:val="24"/>
        </w:rPr>
        <w:t>（或服务事项）</w:t>
      </w:r>
      <w:r>
        <w:rPr>
          <w:rFonts w:asciiTheme="minorEastAsia" w:hAnsiTheme="minorEastAsia" w:eastAsiaTheme="minorEastAsia"/>
          <w:sz w:val="24"/>
          <w:szCs w:val="24"/>
        </w:rPr>
        <w:t>清单（</w:t>
      </w:r>
      <w:r>
        <w:rPr>
          <w:rFonts w:hint="eastAsia" w:asciiTheme="minorEastAsia" w:hAnsiTheme="minorEastAsia" w:eastAsiaTheme="minorEastAsia"/>
          <w:sz w:val="24"/>
          <w:szCs w:val="24"/>
        </w:rPr>
        <w:t>均</w:t>
      </w:r>
      <w:r>
        <w:rPr>
          <w:rFonts w:asciiTheme="minorEastAsia" w:hAnsiTheme="minorEastAsia" w:eastAsiaTheme="minorEastAsia"/>
          <w:sz w:val="24"/>
          <w:szCs w:val="24"/>
        </w:rPr>
        <w:t>不含报价）</w:t>
      </w:r>
      <w:r>
        <w:rPr>
          <w:rFonts w:hint="eastAsia" w:asciiTheme="minorEastAsia" w:hAnsiTheme="minorEastAsia" w:eastAsiaTheme="minorEastAsia"/>
          <w:sz w:val="24"/>
          <w:szCs w:val="24"/>
        </w:rPr>
        <w:t>。</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B.产品品牌及型号、技术参数指标、性能特点、图片资料以及所遵循的技术规范、产品质保期、出厂标准、产品质量相关检测报告等内容。</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注：该项视产品或服务内容设置提供。</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C.商务及技术响应表。</w:t>
      </w:r>
    </w:p>
    <w:p>
      <w:pPr>
        <w:spacing w:line="360" w:lineRule="auto"/>
        <w:ind w:left="218" w:leftChars="104" w:firstLine="619" w:firstLineChars="258"/>
        <w:rPr>
          <w:rFonts w:ascii="宋体" w:hAnsi="宋体" w:cs="宋体"/>
          <w:sz w:val="24"/>
        </w:rPr>
      </w:pPr>
      <w:r>
        <w:rPr>
          <w:rFonts w:hint="eastAsia" w:ascii="宋体" w:hAnsi="宋体" w:cs="宋体"/>
          <w:sz w:val="24"/>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left="218" w:leftChars="104" w:firstLine="619" w:firstLineChars="258"/>
        <w:rPr>
          <w:rFonts w:ascii="宋体" w:hAnsi="宋体" w:cs="宋体"/>
          <w:sz w:val="24"/>
        </w:rPr>
      </w:pPr>
      <w:r>
        <w:rPr>
          <w:rFonts w:hint="eastAsia" w:ascii="宋体" w:hAnsi="宋体" w:cs="宋体"/>
          <w:sz w:val="24"/>
        </w:rPr>
        <w:t>【特别提示：节能和环境标志产品最新一期政府采购清单，可在“中国政府采购网”中查看】</w:t>
      </w:r>
    </w:p>
    <w:p>
      <w:pPr>
        <w:autoSpaceDE w:val="0"/>
        <w:autoSpaceDN w:val="0"/>
        <w:adjustRightInd w:val="0"/>
        <w:spacing w:line="360" w:lineRule="auto"/>
        <w:ind w:firstLine="424" w:firstLineChars="177"/>
        <w:rPr>
          <w:rFonts w:ascii="宋体" w:hAnsi="宋体" w:cs="宋体"/>
          <w:sz w:val="24"/>
        </w:rPr>
      </w:pPr>
      <w:r>
        <w:rPr>
          <w:rFonts w:hint="eastAsia" w:asciiTheme="minorEastAsia" w:hAnsiTheme="minorEastAsia" w:eastAsiaTheme="minorEastAsia"/>
          <w:kern w:val="0"/>
          <w:sz w:val="24"/>
        </w:rPr>
        <w:t>（4）</w:t>
      </w:r>
      <w:r>
        <w:rPr>
          <w:rFonts w:asciiTheme="minorEastAsia" w:hAnsiTheme="minorEastAsia" w:eastAsiaTheme="minorEastAsia"/>
          <w:kern w:val="0"/>
          <w:sz w:val="24"/>
        </w:rPr>
        <w:t>投标人通过的</w:t>
      </w:r>
      <w:r>
        <w:rPr>
          <w:rFonts w:hint="eastAsia" w:asciiTheme="minorEastAsia" w:hAnsiTheme="minorEastAsia" w:eastAsiaTheme="minorEastAsia"/>
          <w:kern w:val="0"/>
          <w:sz w:val="24"/>
        </w:rPr>
        <w:t>质量管理和</w:t>
      </w:r>
      <w:r>
        <w:rPr>
          <w:rFonts w:asciiTheme="minorEastAsia" w:hAnsiTheme="minorEastAsia" w:eastAsiaTheme="minorEastAsia"/>
          <w:kern w:val="0"/>
          <w:sz w:val="24"/>
        </w:rPr>
        <w:t>质量</w:t>
      </w:r>
      <w:r>
        <w:rPr>
          <w:rFonts w:hint="eastAsia" w:asciiTheme="minorEastAsia" w:hAnsiTheme="minorEastAsia" w:eastAsiaTheme="minorEastAsia"/>
          <w:kern w:val="0"/>
          <w:sz w:val="24"/>
        </w:rPr>
        <w:t>保证</w:t>
      </w:r>
      <w:r>
        <w:rPr>
          <w:rFonts w:asciiTheme="minorEastAsia" w:hAnsiTheme="minorEastAsia" w:eastAsiaTheme="minorEastAsia"/>
          <w:kern w:val="0"/>
          <w:sz w:val="24"/>
        </w:rPr>
        <w:t>体系、环保体系、</w:t>
      </w:r>
      <w:r>
        <w:rPr>
          <w:rFonts w:hint="eastAsia" w:asciiTheme="minorEastAsia" w:hAnsiTheme="minorEastAsia" w:eastAsiaTheme="minorEastAsia"/>
          <w:sz w:val="24"/>
        </w:rPr>
        <w:t>自主创新相关证书、软件著作权证等等与本项目相关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p>
    <w:p>
      <w:pPr>
        <w:pStyle w:val="10"/>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（5）近三年来类似项目的成功案例（投标人类似项目实施情况一览表、合同复印件及其相应的发票、用户验收报告等；</w:t>
      </w:r>
    </w:p>
    <w:p>
      <w:pPr>
        <w:snapToGrid w:val="0"/>
        <w:spacing w:line="360" w:lineRule="auto"/>
        <w:ind w:firstLine="480" w:firstLineChars="200"/>
        <w:rPr>
          <w:rFonts w:ascii="宋体"/>
          <w:sz w:val="24"/>
          <w:lang w:val="zh-CN"/>
        </w:rPr>
      </w:pPr>
      <w:r>
        <w:rPr>
          <w:rFonts w:hint="eastAsia" w:ascii="宋体" w:hAnsi="宋体" w:cs="宋体"/>
          <w:sz w:val="24"/>
        </w:rPr>
        <w:t>（6）投标人认为需要提供的其他资料（包括可能影响投标人商务与技术文件评分的各类证明材料）。</w:t>
      </w:r>
    </w:p>
    <w:p>
      <w:pPr>
        <w:pStyle w:val="10"/>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（7）售后服务描述及承诺：</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B.针对本项目的售后服务措施及承诺（售后技术服务方案、人员配备、故障响应时间、技术培训方案等）。</w:t>
      </w: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（1）报价文件由开标一览表、报价明细表、小微企业等声明函、产品适用政府采购政策情况表，以及投标人认为其他需要说明的内容组成。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（2）此报价为投标人一次性报出唯一的最终价格，包含其它一切所要涉及到的费用，有选择的报价将被拒绝。</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3</w:t>
      </w:r>
      <w:r>
        <w:rPr>
          <w:rFonts w:hint="eastAsia" w:asciiTheme="minorEastAsia" w:hAnsiTheme="minorEastAsia" w:eastAsiaTheme="minorEastAsia"/>
          <w:kern w:val="0"/>
          <w:sz w:val="24"/>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4</w:t>
      </w: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政府采购优惠政策相关资料、产品适用政府采购政策情况表（如有）。</w:t>
      </w:r>
    </w:p>
    <w:p>
      <w:pPr>
        <w:pStyle w:val="11"/>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（5）投标报价单填写需清楚明了，并加盖电子印章。因表达不清引起的后果由投标人负责。</w:t>
      </w:r>
    </w:p>
    <w:p>
      <w:pPr>
        <w:autoSpaceDE w:val="0"/>
        <w:autoSpaceDN w:val="0"/>
        <w:adjustRightIn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kern w:val="0"/>
          <w:sz w:val="24"/>
        </w:rPr>
        <w:t>6</w:t>
      </w:r>
      <w:r>
        <w:rPr>
          <w:rFonts w:hint="eastAsia" w:asciiTheme="minorEastAsia" w:hAnsiTheme="minorEastAsia" w:eastAsiaTheme="minorEastAsia"/>
          <w:sz w:val="24"/>
        </w:rPr>
        <w:t>）</w:t>
      </w:r>
      <w:r>
        <w:rPr>
          <w:rFonts w:asciiTheme="minorEastAsia" w:hAnsiTheme="minorEastAsia" w:eastAsiaTheme="minorEastAsia"/>
          <w:sz w:val="24"/>
        </w:rPr>
        <w:t>投标报价应按招标文件中相关附表格式填写。</w:t>
      </w:r>
    </w:p>
    <w:p>
      <w:pPr>
        <w:numPr>
          <w:ilvl w:val="0"/>
          <w:numId w:val="8"/>
        </w:numPr>
        <w:rPr>
          <w:rFonts w:asciiTheme="minorEastAsia" w:hAnsiTheme="minorEastAsia" w:eastAsiaTheme="minorEastAsia"/>
          <w:b/>
          <w:bCs/>
          <w:kern w:val="0"/>
          <w:sz w:val="24"/>
        </w:rPr>
      </w:pPr>
      <w:r>
        <w:rPr>
          <w:rFonts w:hint="eastAsia" w:asciiTheme="minorEastAsia" w:hAnsiTheme="minorEastAsia" w:eastAsiaTheme="minorEastAsia"/>
          <w:b/>
          <w:bCs/>
          <w:kern w:val="0"/>
          <w:sz w:val="24"/>
        </w:rPr>
        <w:t>投标方式：本项目采用电子投标。</w:t>
      </w:r>
    </w:p>
    <w:p>
      <w:pPr>
        <w:autoSpaceDE w:val="0"/>
        <w:autoSpaceDN w:val="0"/>
        <w:adjustRightInd w:val="0"/>
        <w:spacing w:line="360" w:lineRule="auto"/>
        <w:ind w:firstLine="482" w:firstLineChars="200"/>
        <w:rPr>
          <w:rFonts w:asciiTheme="minorEastAsia" w:hAnsiTheme="minorEastAsia" w:eastAsiaTheme="minorEastAsia"/>
          <w:b/>
          <w:bCs/>
          <w:sz w:val="24"/>
        </w:rPr>
      </w:pPr>
      <w:r>
        <w:rPr>
          <w:rFonts w:hint="eastAsia" w:asciiTheme="minorEastAsia" w:hAnsiTheme="minorEastAsia"/>
          <w:b/>
          <w:bCs/>
          <w:sz w:val="24"/>
        </w:rPr>
        <w:t>1、电子投标文件的制作要求</w:t>
      </w:r>
    </w:p>
    <w:p>
      <w:pPr>
        <w:spacing w:line="440" w:lineRule="exact"/>
        <w:ind w:firstLine="480" w:firstLineChars="200"/>
        <w:jc w:val="left"/>
        <w:rPr>
          <w:rFonts w:asciiTheme="minorEastAsia" w:hAnsiTheme="minorEastAsia"/>
          <w:kern w:val="0"/>
          <w:sz w:val="24"/>
        </w:rPr>
      </w:pPr>
      <w:r>
        <w:rPr>
          <w:rFonts w:hint="eastAsia" w:asciiTheme="minorEastAsia" w:hAnsiTheme="minorEastAsia"/>
          <w:sz w:val="24"/>
        </w:rPr>
        <w:t>（1）</w:t>
      </w:r>
      <w:r>
        <w:rPr>
          <w:rFonts w:hint="eastAsia" w:asciiTheme="minorEastAsia" w:hAnsiTheme="minorEastAsia" w:eastAsiaTheme="minorEastAsia"/>
          <w:sz w:val="24"/>
        </w:rPr>
        <w:t>投标人</w:t>
      </w:r>
      <w:r>
        <w:rPr>
          <w:rFonts w:hint="eastAsia" w:asciiTheme="minorEastAsia" w:hAnsiTheme="minorEastAsia"/>
          <w:sz w:val="24"/>
        </w:rPr>
        <w:t>应</w:t>
      </w:r>
      <w:r>
        <w:rPr>
          <w:rFonts w:hint="eastAsia" w:asciiTheme="minorEastAsia" w:hAnsiTheme="minorEastAsia" w:eastAsiaTheme="minorEastAsia"/>
          <w:sz w:val="24"/>
        </w:rPr>
        <w:t>按照电子投标文件</w:t>
      </w:r>
      <w:r>
        <w:rPr>
          <w:rFonts w:hint="eastAsia" w:asciiTheme="minorEastAsia" w:hAnsiTheme="minorEastAsia"/>
          <w:sz w:val="24"/>
        </w:rPr>
        <w:t>组成内容</w:t>
      </w:r>
      <w:r>
        <w:rPr>
          <w:rFonts w:hint="eastAsia" w:asciiTheme="minorEastAsia" w:hAnsiTheme="minorEastAsia" w:eastAsiaTheme="minorEastAsia"/>
          <w:sz w:val="24"/>
        </w:rPr>
        <w:t>及项目招标需求和浙江政府采购云平台要求制作电子投标文件，</w:t>
      </w:r>
      <w:r>
        <w:rPr>
          <w:rFonts w:hint="eastAsia" w:asciiTheme="minorEastAsia" w:hAnsiTheme="minorEastAsia" w:eastAsiaTheme="minorEastAsia"/>
          <w:kern w:val="0"/>
          <w:sz w:val="24"/>
        </w:rPr>
        <w:t>不按招标文件</w:t>
      </w:r>
      <w:r>
        <w:rPr>
          <w:rFonts w:hint="eastAsia" w:asciiTheme="minorEastAsia" w:hAnsiTheme="minorEastAsia" w:eastAsiaTheme="minorEastAsia"/>
          <w:sz w:val="24"/>
        </w:rPr>
        <w:t>和浙江政府采购云平台</w:t>
      </w:r>
      <w:r>
        <w:rPr>
          <w:rFonts w:hint="eastAsia" w:asciiTheme="minorEastAsia" w:hAnsiTheme="minorEastAsia" w:eastAsiaTheme="minorEastAsia"/>
          <w:kern w:val="0"/>
          <w:sz w:val="24"/>
        </w:rPr>
        <w:t>要求制作电子投标文件的将视情</w:t>
      </w:r>
      <w:r>
        <w:rPr>
          <w:rFonts w:hint="eastAsia" w:asciiTheme="minorEastAsia" w:hAnsiTheme="minorEastAsia"/>
          <w:kern w:val="0"/>
          <w:sz w:val="24"/>
        </w:rPr>
        <w:t>处理（拒收、扣分等），由此产生的责任由投标人自行承担。</w:t>
      </w:r>
    </w:p>
    <w:p>
      <w:pPr>
        <w:spacing w:line="440" w:lineRule="exact"/>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电子投标文件部分：投标人应根据“政采云供应商项目采购-电子招投标操作指南”及本招标文件规定的格式和顺序编制电子投标文件并进行关联定位。</w:t>
      </w:r>
    </w:p>
    <w:p>
      <w:pPr>
        <w:spacing w:line="440" w:lineRule="exact"/>
        <w:ind w:firstLine="480" w:firstLineChars="200"/>
        <w:jc w:val="left"/>
        <w:rPr>
          <w:rFonts w:ascii="宋体" w:hAnsi="宋体" w:cs="宋体"/>
          <w:bCs/>
          <w:sz w:val="24"/>
        </w:rPr>
      </w:pPr>
      <w:r>
        <w:rPr>
          <w:rFonts w:hint="eastAsia" w:ascii="宋体" w:hAnsi="宋体"/>
          <w:kern w:val="0"/>
          <w:sz w:val="24"/>
        </w:rPr>
        <w:t>备份电子投标文件：</w:t>
      </w:r>
      <w:r>
        <w:rPr>
          <w:rFonts w:hint="eastAsia" w:ascii="宋体" w:hAnsi="宋体" w:cs="宋体"/>
          <w:bCs/>
          <w:sz w:val="24"/>
        </w:rPr>
        <w:t>通过“政采云”平台电子投标工具制作电子投标文件所产生的备份文件</w:t>
      </w:r>
    </w:p>
    <w:p>
      <w:pPr>
        <w:pStyle w:val="11"/>
        <w:spacing w:line="360" w:lineRule="auto"/>
        <w:ind w:firstLine="480" w:firstLineChars="200"/>
      </w:pPr>
      <w:r>
        <w:rPr>
          <w:rFonts w:hint="eastAsia" w:ascii="宋体" w:hAnsi="宋体"/>
          <w:sz w:val="24"/>
        </w:rPr>
        <w:t>（2）投标人应对所提供的全部资料的真实性、有效性承担法律责任，电子投标文件中盖章之处必须加盖电子印章。</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kern w:val="0"/>
          <w:sz w:val="24"/>
          <w:lang w:val="zh-CN"/>
        </w:rPr>
        <w:t>（</w:t>
      </w:r>
      <w:r>
        <w:rPr>
          <w:rFonts w:hint="eastAsia" w:asciiTheme="minorEastAsia" w:hAnsiTheme="minorEastAsia"/>
          <w:kern w:val="0"/>
          <w:sz w:val="24"/>
        </w:rPr>
        <w:t>3</w:t>
      </w:r>
      <w:r>
        <w:rPr>
          <w:rFonts w:hint="eastAsia" w:asciiTheme="minorEastAsia" w:hAnsiTheme="minorEastAsia"/>
          <w:kern w:val="0"/>
          <w:sz w:val="24"/>
          <w:lang w:val="zh-CN"/>
        </w:rPr>
        <w:t>）</w:t>
      </w:r>
      <w:r>
        <w:rPr>
          <w:rFonts w:hint="eastAsia" w:asciiTheme="minorEastAsia" w:hAnsiTheme="minorEastAsia" w:eastAsiaTheme="minorEastAsia"/>
          <w:sz w:val="24"/>
        </w:rPr>
        <w:t>电子投标文件</w:t>
      </w:r>
      <w:r>
        <w:rPr>
          <w:rFonts w:asciiTheme="minorEastAsia" w:hAnsiTheme="minorEastAsia" w:eastAsiaTheme="minorEastAsia"/>
          <w:sz w:val="24"/>
        </w:rPr>
        <w:t>以及投标人与</w:t>
      </w:r>
      <w:r>
        <w:rPr>
          <w:rFonts w:hint="eastAsia" w:asciiTheme="minorEastAsia" w:hAnsiTheme="minorEastAsia" w:eastAsiaTheme="minorEastAsia"/>
          <w:sz w:val="24"/>
        </w:rPr>
        <w:t>采购组织机构</w:t>
      </w:r>
      <w:r>
        <w:rPr>
          <w:rFonts w:asciiTheme="minorEastAsia" w:hAnsiTheme="minorEastAsia" w:eastAsiaTheme="minorEastAsia"/>
          <w:sz w:val="24"/>
        </w:rPr>
        <w:t>就有关投标事宜的所有来往函电，均应以中文汉语书写。除</w:t>
      </w:r>
      <w:r>
        <w:rPr>
          <w:rFonts w:hint="eastAsia" w:asciiTheme="minorEastAsia" w:hAnsiTheme="minorEastAsia" w:eastAsiaTheme="minorEastAsia"/>
          <w:sz w:val="24"/>
        </w:rPr>
        <w:t>签字</w:t>
      </w:r>
      <w:r>
        <w:rPr>
          <w:rFonts w:asciiTheme="minorEastAsia" w:hAnsiTheme="minorEastAsia" w:eastAsiaTheme="minorEastAsia"/>
          <w:sz w:val="24"/>
        </w:rPr>
        <w:t>、盖章、专用名称等特殊情形外，以中文汉语以外的文字表述的</w:t>
      </w:r>
      <w:r>
        <w:rPr>
          <w:rFonts w:hint="eastAsia" w:asciiTheme="minorEastAsia" w:hAnsiTheme="minorEastAsia" w:eastAsiaTheme="minorEastAsia"/>
          <w:sz w:val="24"/>
        </w:rPr>
        <w:t>电子投标文件</w:t>
      </w:r>
      <w:r>
        <w:rPr>
          <w:rFonts w:asciiTheme="minorEastAsia" w:hAnsiTheme="minorEastAsia" w:eastAsiaTheme="minorEastAsia"/>
          <w:sz w:val="24"/>
        </w:rPr>
        <w:t>视同未提供。</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sz w:val="24"/>
        </w:rPr>
        <w:t>（4）</w:t>
      </w:r>
      <w:r>
        <w:rPr>
          <w:rFonts w:asciiTheme="minorEastAsia" w:hAnsiTheme="minorEastAsia" w:eastAsiaTheme="minorEastAsia"/>
          <w:sz w:val="24"/>
        </w:rPr>
        <w:t>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sz w:val="24"/>
        </w:rPr>
        <w:t>（5）</w:t>
      </w:r>
      <w:r>
        <w:rPr>
          <w:rFonts w:asciiTheme="minorEastAsia" w:hAnsiTheme="minorEastAsia" w:eastAsiaTheme="minorEastAsia"/>
          <w:sz w:val="24"/>
        </w:rPr>
        <w:t>若投标人不按招标文件的要求提供资格审查材料，其风险由投标人自行承担。</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kern w:val="0"/>
          <w:sz w:val="24"/>
        </w:rPr>
        <w:t>（6）</w:t>
      </w:r>
      <w:r>
        <w:rPr>
          <w:rFonts w:hint="eastAsia" w:asciiTheme="minorEastAsia" w:hAnsiTheme="minorEastAsia" w:eastAsiaTheme="minorEastAsia"/>
          <w:sz w:val="24"/>
        </w:rPr>
        <w:t>与本次投标无关的内容请不要制作在内，确保电子投标文件有针对性、简洁明了。</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2、</w:t>
      </w:r>
      <w:r>
        <w:rPr>
          <w:rFonts w:hint="eastAsia" w:asciiTheme="minorEastAsia" w:hAnsiTheme="minorEastAsia" w:eastAsiaTheme="minorEastAsia"/>
          <w:b/>
          <w:bCs/>
          <w:sz w:val="24"/>
        </w:rPr>
        <w:t>电子投标文件</w:t>
      </w:r>
      <w:r>
        <w:rPr>
          <w:rFonts w:hint="eastAsia" w:asciiTheme="minorEastAsia" w:hAnsiTheme="minorEastAsia"/>
          <w:b/>
          <w:bCs/>
          <w:sz w:val="24"/>
        </w:rPr>
        <w:t>的递交要求</w:t>
      </w:r>
    </w:p>
    <w:p>
      <w:pPr>
        <w:spacing w:line="360" w:lineRule="auto"/>
        <w:ind w:firstLine="480" w:firstLineChars="200"/>
      </w:pPr>
      <w:r>
        <w:rPr>
          <w:rFonts w:hint="eastAsia" w:asciiTheme="majorEastAsia" w:hAnsiTheme="majorEastAsia" w:eastAsiaTheme="majorEastAsia" w:cstheme="majorEastAsia"/>
          <w:sz w:val="24"/>
        </w:rPr>
        <w:t>（1）投标人须按照采购文件和政采云平台的要求编制并加密电子投标文件。在电子投标文件递交截止时间以前完成电子投标文件的传输递交。</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（2）如有特殊情况，采购组织机构延长截止时间和开标时间，采购组织机构和投标人的权利和义务将受到新的截止时间和开标时间的约束。</w:t>
      </w:r>
    </w:p>
    <w:p>
      <w:pPr>
        <w:tabs>
          <w:tab w:val="left" w:pos="189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3、电子投标文件的补充、修改和撤回。</w:t>
      </w:r>
    </w:p>
    <w:p>
      <w:pPr>
        <w:tabs>
          <w:tab w:val="left" w:pos="960"/>
          <w:tab w:val="left" w:pos="1418"/>
        </w:tabs>
        <w:autoSpaceDE w:val="0"/>
        <w:autoSpaceDN w:val="0"/>
        <w:adjustRightInd w:val="0"/>
        <w:spacing w:line="360" w:lineRule="auto"/>
        <w:ind w:firstLine="440" w:firstLineChars="200"/>
        <w:rPr>
          <w:rFonts w:ascii="宋体" w:hAnsi="宋体" w:cs="宋体"/>
          <w:sz w:val="22"/>
          <w:szCs w:val="22"/>
        </w:rPr>
      </w:pPr>
      <w:r>
        <w:rPr>
          <w:rFonts w:hint="eastAsia" w:ascii="宋体" w:hAnsi="宋体" w:cs="宋体"/>
          <w:sz w:val="22"/>
          <w:szCs w:val="22"/>
        </w:rPr>
        <w:t>（1）</w:t>
      </w:r>
      <w:r>
        <w:rPr>
          <w:rFonts w:hint="eastAsia" w:asciiTheme="minorEastAsia" w:hAnsiTheme="minorEastAsia" w:eastAsiaTheme="minorEastAsia"/>
          <w:kern w:val="0"/>
          <w:sz w:val="24"/>
        </w:rPr>
        <w:t>补充或者修改电子投标文件的，应当先行撤回原文件，补充、修改后重新传输递交。投标截止时间前未完成传输的，视为撤回电子投标文件。</w:t>
      </w:r>
    </w:p>
    <w:p>
      <w:pPr>
        <w:tabs>
          <w:tab w:val="left" w:pos="189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（三）电子投标文件的有效期</w:t>
      </w:r>
    </w:p>
    <w:p>
      <w:pPr>
        <w:pStyle w:val="9"/>
        <w:tabs>
          <w:tab w:val="left" w:pos="454"/>
          <w:tab w:val="left" w:pos="720"/>
          <w:tab w:val="left" w:pos="1200"/>
        </w:tabs>
        <w:snapToGrid w:val="0"/>
        <w:spacing w:line="360" w:lineRule="auto"/>
        <w:ind w:left="0" w:firstLine="480" w:firstLineChars="200"/>
        <w:rPr>
          <w:rFonts w:ascii="仿宋_GB2312" w:hAnsi="仿宋_GB2312" w:eastAsia="仿宋_GB2312" w:cs="仿宋_GB2312"/>
          <w:sz w:val="24"/>
          <w:lang w:val="en-GB"/>
        </w:rPr>
      </w:pPr>
      <w:r>
        <w:rPr>
          <w:rFonts w:hint="eastAsia" w:ascii="宋体" w:hAnsi="宋体"/>
          <w:sz w:val="24"/>
          <w:lang w:val="en-GB"/>
        </w:rPr>
        <w:t>自投标截止日起90天电子投标文件应保持有效。有效期不足的电子投标文件将被拒绝。</w:t>
      </w:r>
    </w:p>
    <w:p>
      <w:pPr>
        <w:pStyle w:val="9"/>
        <w:tabs>
          <w:tab w:val="left" w:pos="454"/>
          <w:tab w:val="left" w:pos="720"/>
          <w:tab w:val="left" w:pos="1200"/>
        </w:tabs>
        <w:snapToGrid w:val="0"/>
        <w:spacing w:line="360" w:lineRule="auto"/>
        <w:ind w:left="0" w:firstLine="480" w:firstLineChars="200"/>
        <w:rPr>
          <w:rFonts w:ascii="宋体" w:hAnsi="宋体"/>
          <w:sz w:val="24"/>
          <w:lang w:val="en-GB"/>
        </w:rPr>
      </w:pPr>
      <w:r>
        <w:rPr>
          <w:rFonts w:hint="eastAsia" w:ascii="宋体" w:hAnsi="宋体"/>
          <w:sz w:val="24"/>
          <w:lang w:val="en-GB"/>
        </w:rPr>
        <w:t>在特殊情况下，采购人可与投标人协商延长电子投标文件的有效期，这种要求和答复均以书面形式进行。</w:t>
      </w:r>
    </w:p>
    <w:p>
      <w:pPr>
        <w:snapToGrid w:val="0"/>
        <w:spacing w:line="360" w:lineRule="auto"/>
        <w:ind w:firstLine="480" w:firstLineChars="200"/>
        <w:jc w:val="left"/>
        <w:outlineLvl w:val="0"/>
        <w:rPr>
          <w:rFonts w:asciiTheme="minorEastAsia" w:hAnsiTheme="minorEastAsia" w:eastAsiaTheme="minorEastAsia"/>
          <w:b/>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电子投标文件</w:t>
      </w:r>
      <w:r>
        <w:rPr>
          <w:rFonts w:asciiTheme="minorEastAsia" w:hAnsiTheme="minorEastAsia" w:eastAsiaTheme="minorEastAsia"/>
          <w:sz w:val="24"/>
        </w:rPr>
        <w:t>自开标之日起至合同履行完毕均应保持有效。</w:t>
      </w:r>
    </w:p>
    <w:p>
      <w:pPr>
        <w:snapToGrid w:val="0"/>
        <w:spacing w:line="360" w:lineRule="auto"/>
        <w:ind w:firstLine="472" w:firstLineChars="196"/>
        <w:rPr>
          <w:rFonts w:asciiTheme="minorEastAsia" w:hAnsiTheme="minorEastAsia" w:eastAsiaTheme="minorEastAsia"/>
          <w:b/>
          <w:kern w:val="0"/>
          <w:sz w:val="24"/>
        </w:rPr>
      </w:pPr>
      <w:r>
        <w:rPr>
          <w:rFonts w:hint="eastAsia" w:asciiTheme="minorEastAsia" w:hAnsiTheme="minorEastAsia" w:eastAsiaTheme="minorEastAsia"/>
          <w:b/>
          <w:kern w:val="0"/>
          <w:sz w:val="24"/>
        </w:rPr>
        <w:t>四、开标</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（一）开标事项</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kern w:val="0"/>
          <w:sz w:val="24"/>
        </w:rPr>
        <w:t>采购组织机构在“招标公告”规定的时间和地点公开开标，</w:t>
      </w:r>
      <w:r>
        <w:rPr>
          <w:rFonts w:hint="eastAsia" w:asciiTheme="minorEastAsia" w:hAnsiTheme="minorEastAsia" w:eastAsiaTheme="minorEastAsia"/>
          <w:bCs/>
          <w:sz w:val="24"/>
        </w:rPr>
        <w:t>采购组织机构</w:t>
      </w:r>
      <w:r>
        <w:rPr>
          <w:rFonts w:asciiTheme="minorEastAsia" w:hAnsiTheme="minorEastAsia" w:eastAsiaTheme="minorEastAsia"/>
          <w:bCs/>
          <w:sz w:val="24"/>
        </w:rPr>
        <w:t>工作人员接收</w:t>
      </w:r>
      <w:r>
        <w:rPr>
          <w:rFonts w:hint="eastAsia" w:asciiTheme="minorEastAsia" w:hAnsiTheme="minorEastAsia" w:eastAsiaTheme="minorEastAsia"/>
          <w:bCs/>
          <w:sz w:val="24"/>
        </w:rPr>
        <w:t>电子投标文件</w:t>
      </w:r>
      <w:r>
        <w:rPr>
          <w:rFonts w:asciiTheme="minorEastAsia" w:hAnsiTheme="minorEastAsia" w:eastAsiaTheme="minorEastAsia"/>
          <w:bCs/>
          <w:sz w:val="24"/>
        </w:rPr>
        <w:t>并登记。</w:t>
      </w:r>
      <w:r>
        <w:rPr>
          <w:rFonts w:hint="eastAsia" w:asciiTheme="minorEastAsia" w:hAnsiTheme="minorEastAsia" w:eastAsiaTheme="minorEastAsia"/>
          <w:bCs/>
          <w:sz w:val="24"/>
        </w:rPr>
        <w:t>评标委员会成员不得参加开标活动。</w:t>
      </w:r>
      <w:r>
        <w:rPr>
          <w:rFonts w:hint="eastAsia" w:asciiTheme="minorEastAsia" w:hAnsiTheme="minorEastAsia" w:eastAsiaTheme="minorEastAsia"/>
          <w:b/>
          <w:bCs/>
          <w:kern w:val="0"/>
          <w:sz w:val="24"/>
        </w:rPr>
        <w:t>（本次招标</w:t>
      </w:r>
      <w:r>
        <w:rPr>
          <w:rFonts w:cs="Arial" w:asciiTheme="minorEastAsia" w:hAnsiTheme="minorEastAsia" w:eastAsiaTheme="minorEastAsia"/>
          <w:b/>
          <w:bCs/>
          <w:sz w:val="24"/>
        </w:rPr>
        <w:t>采用先评审商务资格</w:t>
      </w:r>
      <w:r>
        <w:rPr>
          <w:rFonts w:hint="eastAsia" w:cs="Arial" w:asciiTheme="minorEastAsia" w:hAnsiTheme="minorEastAsia" w:eastAsiaTheme="minorEastAsia"/>
          <w:b/>
          <w:bCs/>
          <w:sz w:val="24"/>
        </w:rPr>
        <w:t>和</w:t>
      </w:r>
      <w:r>
        <w:rPr>
          <w:rFonts w:cs="Arial" w:asciiTheme="minorEastAsia" w:hAnsiTheme="minorEastAsia" w:eastAsiaTheme="minorEastAsia"/>
          <w:b/>
          <w:bCs/>
          <w:sz w:val="24"/>
        </w:rPr>
        <w:t>技术服务方案</w:t>
      </w:r>
      <w:r>
        <w:rPr>
          <w:rFonts w:hint="eastAsia" w:cs="Arial" w:asciiTheme="minorEastAsia" w:hAnsiTheme="minorEastAsia" w:eastAsiaTheme="minorEastAsia"/>
          <w:b/>
          <w:bCs/>
          <w:sz w:val="24"/>
        </w:rPr>
        <w:t>，</w:t>
      </w:r>
      <w:r>
        <w:rPr>
          <w:rFonts w:cs="Arial" w:asciiTheme="minorEastAsia" w:hAnsiTheme="minorEastAsia" w:eastAsiaTheme="minorEastAsia"/>
          <w:b/>
          <w:bCs/>
          <w:sz w:val="24"/>
        </w:rPr>
        <w:t>后公开并评审商务报价的办法</w:t>
      </w:r>
      <w:r>
        <w:rPr>
          <w:rFonts w:hint="eastAsia" w:asciiTheme="minorEastAsia" w:hAnsiTheme="minorEastAsia" w:eastAsiaTheme="minorEastAsia"/>
          <w:b/>
          <w:bCs/>
          <w:kern w:val="0"/>
          <w:sz w:val="24"/>
        </w:rPr>
        <w:t>实施。各位供应商投标时必须根据菜单对应上传，切勿误传，否则一切后果自行承担）</w:t>
      </w:r>
      <w:r>
        <w:rPr>
          <w:rFonts w:hint="eastAsia" w:asciiTheme="minorEastAsia" w:hAnsiTheme="minorEastAsia" w:eastAsiaTheme="minorEastAsia"/>
          <w:kern w:val="0"/>
          <w:sz w:val="24"/>
        </w:rPr>
        <w:t>。</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（二） 开</w:t>
      </w:r>
      <w:r>
        <w:rPr>
          <w:rFonts w:hint="eastAsia" w:asciiTheme="minorEastAsia" w:hAnsiTheme="minorEastAsia" w:eastAsiaTheme="minorEastAsia"/>
          <w:bCs/>
          <w:sz w:val="24"/>
        </w:rPr>
        <w:t>标</w:t>
      </w:r>
      <w:r>
        <w:rPr>
          <w:rFonts w:asciiTheme="minorEastAsia" w:hAnsiTheme="minorEastAsia" w:eastAsiaTheme="minorEastAsia"/>
          <w:bCs/>
          <w:sz w:val="24"/>
        </w:rPr>
        <w:t>程序：</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1、开标时间到后，招标项目负责人准时组织开标；</w:t>
      </w:r>
    </w:p>
    <w:p>
      <w:pPr>
        <w:snapToGrid w:val="0"/>
        <w:spacing w:line="480" w:lineRule="exact"/>
        <w:ind w:firstLine="480" w:firstLineChars="200"/>
        <w:jc w:val="left"/>
        <w:rPr>
          <w:rFonts w:ascii="宋体" w:hAnsi="宋体" w:cs="宋体"/>
          <w:sz w:val="24"/>
        </w:rPr>
      </w:pPr>
      <w:r>
        <w:rPr>
          <w:rFonts w:hint="eastAsia" w:ascii="宋体" w:hAnsi="宋体" w:cs="宋体"/>
          <w:sz w:val="24"/>
        </w:rPr>
        <w:t>2、投标人登录政采云平台，用“项目采购-开标评标”功能对电子投标文件进行在线解密。在线解密电子投标文件时间为开标时间起半个小时内。</w:t>
      </w:r>
    </w:p>
    <w:p>
      <w:pPr>
        <w:snapToGrid w:val="0"/>
        <w:spacing w:line="480" w:lineRule="exact"/>
        <w:ind w:firstLine="480" w:firstLineChars="200"/>
        <w:jc w:val="left"/>
        <w:rPr>
          <w:rFonts w:ascii="宋体" w:hAnsi="宋体" w:cs="宋体"/>
          <w:sz w:val="24"/>
        </w:rPr>
      </w:pPr>
      <w:r>
        <w:rPr>
          <w:rFonts w:hint="eastAsia" w:ascii="宋体" w:hAnsi="宋体" w:cs="宋体"/>
          <w:sz w:val="24"/>
        </w:rPr>
        <w:t>3、公布开标结果。</w:t>
      </w:r>
    </w:p>
    <w:p>
      <w:pPr>
        <w:snapToGrid w:val="0"/>
        <w:spacing w:line="480" w:lineRule="exact"/>
        <w:ind w:firstLine="480" w:firstLineChars="200"/>
        <w:jc w:val="left"/>
        <w:rPr>
          <w:rFonts w:ascii="宋体" w:hAnsi="宋体" w:cs="宋体"/>
          <w:sz w:val="24"/>
        </w:rPr>
      </w:pPr>
      <w:r>
        <w:rPr>
          <w:rFonts w:hint="eastAsia" w:ascii="宋体" w:hAnsi="宋体" w:cs="宋体"/>
          <w:sz w:val="24"/>
        </w:rPr>
        <w:t>4、特别说明：本项目原则上采用政采云电子招投标开标及评审程序，但有下情形之一的，按以下情况处理：</w:t>
      </w:r>
    </w:p>
    <w:p>
      <w:pPr>
        <w:numPr>
          <w:ilvl w:val="0"/>
          <w:numId w:val="9"/>
        </w:numPr>
        <w:snapToGrid w:val="0"/>
        <w:spacing w:line="480" w:lineRule="exact"/>
        <w:ind w:firstLine="480" w:firstLineChars="200"/>
        <w:jc w:val="left"/>
        <w:rPr>
          <w:rFonts w:ascii="宋体" w:hAnsi="宋体" w:cs="宋体"/>
          <w:sz w:val="24"/>
        </w:rPr>
      </w:pPr>
      <w:r>
        <w:rPr>
          <w:rFonts w:hint="eastAsia" w:ascii="宋体" w:hAnsi="宋体" w:cs="宋体"/>
          <w:sz w:val="24"/>
        </w:rPr>
        <w:t>投标人应当按规定及时解密，若因技术原因导致电子投标文件未能及时解密的，应联系我中心技术人员在采监处的监督下远程协助其完成解密，仍无法完成解密的，应按规定及时递交备份电子投标文件，否则，视同放弃投标。</w:t>
      </w:r>
    </w:p>
    <w:p>
      <w:pPr>
        <w:snapToGrid w:val="0"/>
        <w:spacing w:line="480" w:lineRule="exact"/>
        <w:ind w:firstLine="480" w:firstLineChars="200"/>
        <w:jc w:val="left"/>
        <w:rPr>
          <w:rFonts w:ascii="仿宋_GB2312" w:hAnsi="宋体" w:eastAsia="仿宋_GB2312"/>
          <w:b/>
          <w:sz w:val="24"/>
        </w:rPr>
      </w:pPr>
      <w:r>
        <w:rPr>
          <w:rFonts w:hint="eastAsia" w:ascii="宋体" w:hAnsi="宋体" w:cs="宋体"/>
          <w:sz w:val="24"/>
        </w:rPr>
        <w:t>（2）</w:t>
      </w:r>
      <w:r>
        <w:rPr>
          <w:rFonts w:hint="eastAsia" w:asciiTheme="minorEastAsia" w:hAnsiTheme="minorEastAsia" w:eastAsiaTheme="minorEastAsia"/>
          <w:sz w:val="24"/>
        </w:rPr>
        <w:t>开评标细则按政采云电子评标流程进行。</w:t>
      </w:r>
      <w:r>
        <w:rPr>
          <w:rFonts w:hint="eastAsia" w:ascii="仿宋_GB2312" w:hAnsi="宋体" w:eastAsia="仿宋_GB2312"/>
          <w:b/>
          <w:sz w:val="24"/>
        </w:rPr>
        <w:t>特别说明：政采云公司如对电子化开标及评审程序有调整的，按调整后的程序操作。</w:t>
      </w:r>
    </w:p>
    <w:p>
      <w:pPr>
        <w:pStyle w:val="13"/>
        <w:snapToGrid w:val="0"/>
        <w:spacing w:line="360" w:lineRule="auto"/>
        <w:ind w:firstLine="420" w:firstLineChars="200"/>
      </w:pPr>
    </w:p>
    <w:p>
      <w:pPr>
        <w:pStyle w:val="13"/>
        <w:snapToGrid w:val="0"/>
        <w:spacing w:line="360" w:lineRule="auto"/>
        <w:outlineLvl w:val="1"/>
        <w:rPr>
          <w:rFonts w:asciiTheme="minorEastAsia" w:hAnsiTheme="minorEastAsia" w:eastAsiaTheme="minorEastAsia"/>
          <w:b/>
          <w:sz w:val="24"/>
        </w:rPr>
      </w:pPr>
      <w:r>
        <w:rPr>
          <w:rFonts w:hint="eastAsia" w:asciiTheme="minorEastAsia" w:hAnsiTheme="minorEastAsia" w:eastAsiaTheme="minorEastAsia"/>
          <w:b/>
          <w:sz w:val="24"/>
        </w:rPr>
        <w:t>五、评标</w:t>
      </w:r>
    </w:p>
    <w:p>
      <w:pPr>
        <w:pStyle w:val="13"/>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（一）组建评标委员会</w:t>
      </w:r>
    </w:p>
    <w:p>
      <w:pPr>
        <w:pStyle w:val="13"/>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本项目评标委员会由政府采购评审专家</w:t>
      </w:r>
      <w:r>
        <w:rPr>
          <w:rFonts w:hint="eastAsia" w:asciiTheme="minorEastAsia" w:hAnsiTheme="minorEastAsia" w:eastAsiaTheme="minorEastAsia"/>
          <w:sz w:val="24"/>
        </w:rPr>
        <w:t>和采购单位评审代表</w:t>
      </w:r>
      <w:r>
        <w:rPr>
          <w:rFonts w:asciiTheme="minorEastAsia" w:hAnsiTheme="minorEastAsia" w:eastAsiaTheme="minorEastAsia"/>
          <w:sz w:val="24"/>
        </w:rPr>
        <w:t>组成。</w:t>
      </w:r>
    </w:p>
    <w:p>
      <w:pPr>
        <w:pStyle w:val="13"/>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二</w:t>
      </w:r>
      <w:r>
        <w:rPr>
          <w:rFonts w:asciiTheme="minorEastAsia" w:hAnsiTheme="minorEastAsia" w:eastAsiaTheme="minorEastAsia"/>
          <w:b/>
          <w:sz w:val="24"/>
        </w:rPr>
        <w:t>）</w:t>
      </w:r>
      <w:r>
        <w:rPr>
          <w:rFonts w:asciiTheme="minorEastAsia" w:hAnsiTheme="minorEastAsia" w:eastAsiaTheme="minorEastAsia"/>
          <w:b/>
          <w:bCs/>
          <w:sz w:val="24"/>
        </w:rPr>
        <w:t>评标程序</w:t>
      </w:r>
    </w:p>
    <w:p>
      <w:pPr>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1、资格</w:t>
      </w:r>
      <w:r>
        <w:rPr>
          <w:rFonts w:asciiTheme="minorEastAsia" w:hAnsiTheme="minorEastAsia" w:eastAsiaTheme="minorEastAsia"/>
          <w:b/>
          <w:bCs/>
          <w:sz w:val="24"/>
        </w:rPr>
        <w:t>审查</w:t>
      </w:r>
    </w:p>
    <w:p>
      <w:pPr>
        <w:pStyle w:val="11"/>
        <w:spacing w:line="360" w:lineRule="auto"/>
        <w:jc w:val="both"/>
        <w:rPr>
          <w:rFonts w:asciiTheme="minorEastAsia" w:hAnsiTheme="minorEastAsia" w:eastAsiaTheme="minorEastAsia"/>
          <w:sz w:val="24"/>
        </w:rPr>
      </w:pPr>
      <w:r>
        <w:rPr>
          <w:rFonts w:asciiTheme="minorEastAsia" w:hAnsiTheme="minorEastAsia" w:eastAsiaTheme="minorEastAsia"/>
          <w:sz w:val="24"/>
        </w:rPr>
        <w:t>公开招标采购项目开标结束后，采购人或者采购组织机构应当依法对投标人的资格进行审查，对审查发现无效的进行必要的询标，</w:t>
      </w:r>
      <w:r>
        <w:rPr>
          <w:rFonts w:hint="eastAsia"/>
          <w:sz w:val="24"/>
        </w:rPr>
        <w:t>由政采云在线公布</w:t>
      </w:r>
      <w:r>
        <w:rPr>
          <w:rFonts w:asciiTheme="minorEastAsia" w:hAnsiTheme="minorEastAsia" w:eastAsiaTheme="minorEastAsia"/>
          <w:sz w:val="24"/>
        </w:rPr>
        <w:t>无效投标的投标人名单、投标无效的原因。</w:t>
      </w:r>
      <w:r>
        <w:rPr>
          <w:rFonts w:hint="eastAsia"/>
          <w:sz w:val="24"/>
        </w:rPr>
        <w:t>（若系统原因无法公布的，将由录音电话代为公布）</w:t>
      </w:r>
    </w:p>
    <w:p>
      <w:pPr>
        <w:pStyle w:val="11"/>
        <w:numPr>
          <w:ilvl w:val="0"/>
          <w:numId w:val="10"/>
        </w:numPr>
        <w:spacing w:line="360" w:lineRule="auto"/>
        <w:rPr>
          <w:rFonts w:asciiTheme="minorEastAsia" w:hAnsiTheme="minorEastAsia" w:eastAsiaTheme="minorEastAsia"/>
          <w:b/>
          <w:bCs/>
        </w:rPr>
      </w:pPr>
      <w:r>
        <w:rPr>
          <w:rFonts w:asciiTheme="minorEastAsia" w:hAnsiTheme="minorEastAsia" w:eastAsiaTheme="minorEastAsia"/>
          <w:b/>
          <w:bCs/>
        </w:rPr>
        <w:t>符合性审查</w:t>
      </w:r>
    </w:p>
    <w:p>
      <w:pPr>
        <w:pStyle w:val="11"/>
        <w:spacing w:line="360" w:lineRule="auto"/>
        <w:rPr>
          <w:rFonts w:eastAsiaTheme="minorEastAsia"/>
          <w:sz w:val="24"/>
        </w:rPr>
      </w:pPr>
      <w:r>
        <w:rPr>
          <w:rFonts w:asciiTheme="minorEastAsia" w:hAnsiTheme="minorEastAsia" w:eastAsiaTheme="minorEastAsia"/>
          <w:sz w:val="24"/>
        </w:rPr>
        <w:t>评标委员会应当对符合资格的投标人的</w:t>
      </w:r>
      <w:r>
        <w:rPr>
          <w:rFonts w:hint="eastAsia" w:asciiTheme="minorEastAsia" w:hAnsiTheme="minorEastAsia" w:eastAsiaTheme="minorEastAsia"/>
          <w:sz w:val="24"/>
        </w:rPr>
        <w:t>电子</w:t>
      </w:r>
      <w:r>
        <w:rPr>
          <w:rFonts w:asciiTheme="minorEastAsia" w:hAnsiTheme="minorEastAsia" w:eastAsiaTheme="minorEastAsia"/>
          <w:sz w:val="24"/>
        </w:rPr>
        <w:t>投标文件进行符合性审查，以确定其是否满足招标文件的实质性要求，对审查发现无效的进行必要的询标，</w:t>
      </w:r>
      <w:r>
        <w:rPr>
          <w:rFonts w:hint="eastAsia"/>
          <w:sz w:val="24"/>
        </w:rPr>
        <w:t>对</w:t>
      </w:r>
      <w:r>
        <w:rPr>
          <w:rFonts w:asciiTheme="minorEastAsia" w:hAnsiTheme="minorEastAsia" w:eastAsiaTheme="minorEastAsia"/>
          <w:sz w:val="24"/>
        </w:rPr>
        <w:t>无效投标的投标人名单</w:t>
      </w:r>
      <w:r>
        <w:rPr>
          <w:rFonts w:hint="eastAsia" w:asciiTheme="minorEastAsia" w:hAnsiTheme="minorEastAsia" w:eastAsiaTheme="minorEastAsia"/>
          <w:sz w:val="24"/>
        </w:rPr>
        <w:t>及</w:t>
      </w:r>
      <w:r>
        <w:rPr>
          <w:rFonts w:asciiTheme="minorEastAsia" w:hAnsiTheme="minorEastAsia" w:eastAsiaTheme="minorEastAsia"/>
          <w:sz w:val="24"/>
        </w:rPr>
        <w:t>投标无效原因</w:t>
      </w:r>
      <w:r>
        <w:rPr>
          <w:rFonts w:hint="eastAsia" w:asciiTheme="minorEastAsia" w:hAnsiTheme="minorEastAsia" w:eastAsiaTheme="minorEastAsia"/>
          <w:sz w:val="24"/>
        </w:rPr>
        <w:t>的公布方式同上。</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b/>
          <w:bCs/>
        </w:rPr>
        <w:t>3、</w:t>
      </w:r>
      <w:r>
        <w:rPr>
          <w:rFonts w:hint="default" w:ascii="Arial" w:hAnsi="Arial" w:cs="Arial"/>
          <w:b/>
          <w:bCs/>
        </w:rPr>
        <w:t>综合比较与评价</w:t>
      </w:r>
    </w:p>
    <w:p>
      <w:pPr>
        <w:pStyle w:val="17"/>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（1）对于电子投标文件中含义不明确、同类问题表述不一致或者有明显文字和计算错误的内容，评标委员会应当以在线询标形式要求投标人作出必要的澄清、说明或者补正。</w:t>
      </w:r>
    </w:p>
    <w:p>
      <w:pPr>
        <w:pStyle w:val="17"/>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（3）评标时，评标委员会各成员应当独立对每个投标人的电子投标文件进行评价，并汇总每个投标人的得分。</w:t>
      </w:r>
    </w:p>
    <w:p>
      <w:pPr>
        <w:numPr>
          <w:ilvl w:val="255"/>
          <w:numId w:val="0"/>
        </w:numPr>
        <w:snapToGrid w:val="0"/>
        <w:spacing w:line="360" w:lineRule="auto"/>
        <w:ind w:firstLine="482" w:firstLineChars="200"/>
        <w:rPr>
          <w:rFonts w:ascii="Arial" w:hAnsi="Arial" w:cs="Arial"/>
          <w:b/>
          <w:bCs/>
          <w:sz w:val="24"/>
        </w:rPr>
      </w:pPr>
      <w:r>
        <w:rPr>
          <w:rFonts w:hint="eastAsia" w:ascii="Arial" w:hAnsi="Arial" w:cs="Arial"/>
          <w:b/>
          <w:bCs/>
          <w:sz w:val="24"/>
        </w:rPr>
        <w:t>4、得分确认及评审报告编写</w:t>
      </w:r>
    </w:p>
    <w:p>
      <w:pPr>
        <w:pStyle w:val="13"/>
        <w:snapToGrid w:val="0"/>
        <w:spacing w:line="360" w:lineRule="auto"/>
        <w:ind w:firstLine="420" w:firstLineChars="175"/>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评标委员会对报价文件进行复核，对于系统计算出的价格分及总得分进行确认；</w:t>
      </w:r>
    </w:p>
    <w:p>
      <w:pPr>
        <w:pStyle w:val="17"/>
        <w:spacing w:before="0" w:beforeAutospacing="0" w:after="0" w:afterAutospacing="0" w:line="360" w:lineRule="auto"/>
        <w:ind w:firstLine="420" w:firstLineChars="175"/>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480" w:firstLineChars="200"/>
        <w:rPr>
          <w:rFonts w:ascii="Arial" w:hAnsi="Arial" w:cs="Arial"/>
          <w:b/>
          <w:bCs/>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kern w:val="0"/>
          <w:sz w:val="24"/>
        </w:rPr>
        <w:t>评标委员会</w:t>
      </w:r>
      <w:r>
        <w:rPr>
          <w:rFonts w:asciiTheme="minorEastAsia" w:hAnsiTheme="minorEastAsia" w:eastAsiaTheme="minorEastAsia"/>
          <w:sz w:val="24"/>
        </w:rPr>
        <w:t>按评标原则</w:t>
      </w:r>
      <w:r>
        <w:rPr>
          <w:rFonts w:hint="eastAsia" w:asciiTheme="minorEastAsia" w:hAnsiTheme="minorEastAsia" w:eastAsiaTheme="minorEastAsia"/>
          <w:sz w:val="24"/>
        </w:rPr>
        <w:t>及得分情况编写评审报告。</w:t>
      </w:r>
    </w:p>
    <w:p>
      <w:pPr>
        <w:numPr>
          <w:ilvl w:val="255"/>
          <w:numId w:val="0"/>
        </w:num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5、评价</w:t>
      </w:r>
    </w:p>
    <w:p>
      <w:pPr>
        <w:snapToGrid w:val="0"/>
        <w:spacing w:line="360" w:lineRule="auto"/>
        <w:ind w:firstLine="480" w:firstLineChars="200"/>
        <w:rPr>
          <w:rFonts w:asciiTheme="minorEastAsia" w:hAnsiTheme="minorEastAsia" w:eastAsiaTheme="minorEastAsia"/>
          <w:b/>
          <w:kern w:val="0"/>
          <w:sz w:val="24"/>
        </w:rPr>
      </w:pPr>
      <w:r>
        <w:rPr>
          <w:rFonts w:hint="eastAsia" w:asciiTheme="minorEastAsia" w:hAnsiTheme="minorEastAsia" w:eastAsiaTheme="minorEastAsia"/>
          <w:sz w:val="24"/>
        </w:rPr>
        <w:t>采购组织机构对评标委员会评审专家进行评价。</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b/>
          <w:sz w:val="24"/>
        </w:rPr>
        <w:t>（三）澄清问题的形式</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sz w:val="24"/>
        </w:rPr>
        <w:t>投标人的澄清、说明或者补正应当采用电子询标形式，并加盖公章（电子印章），并不得超出电子投标文件的范围或者改变电子投标文件的实质性内容。</w:t>
      </w:r>
    </w:p>
    <w:p>
      <w:pPr>
        <w:pStyle w:val="13"/>
        <w:snapToGrid w:val="0"/>
        <w:spacing w:line="360" w:lineRule="auto"/>
        <w:ind w:left="720" w:leftChars="228" w:hanging="241" w:hangingChars="100"/>
        <w:rPr>
          <w:rFonts w:asciiTheme="minorEastAsia" w:hAnsiTheme="minorEastAsia" w:eastAsiaTheme="minorEastAsia"/>
          <w:b/>
          <w:sz w:val="24"/>
        </w:rPr>
      </w:pPr>
      <w:r>
        <w:rPr>
          <w:rFonts w:hint="eastAsia" w:asciiTheme="minorEastAsia" w:hAnsiTheme="minorEastAsia" w:eastAsiaTheme="minorEastAsia"/>
          <w:b/>
          <w:sz w:val="24"/>
        </w:rPr>
        <w:t>（四）错误修正</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电子投标文件报价出现前后不一致的，除招标文件另有规定外，按照下列规定修正：</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1、电子投标文件中开标一览表（报价表）内容与电子投标文件中相应内容不一致的，以开标一览表（报价表）为准；</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2、大写金额和小写金额不一致的，以大写金额为准；</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3、单价金额小数点或者百分比有明显错位的，以开标一览表的总价为准，并修改单价；</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4、总价金额与按单价汇总金额不一致的，以单价金额计算结果为准。</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同时出现两种以上不一致的，按照前款规定的顺序修正。修正应当采用电子询标的形式，并加盖公章</w:t>
      </w:r>
      <w:r>
        <w:rPr>
          <w:rFonts w:asciiTheme="minorEastAsia" w:hAnsiTheme="minorEastAsia"/>
        </w:rPr>
        <w:t>（电子印章）</w:t>
      </w:r>
      <w:r>
        <w:rPr>
          <w:rFonts w:asciiTheme="minorEastAsia" w:hAnsiTheme="minorEastAsia" w:eastAsiaTheme="minorEastAsia"/>
        </w:rPr>
        <w:t>。</w:t>
      </w:r>
    </w:p>
    <w:p>
      <w:pPr>
        <w:pStyle w:val="17"/>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bCs/>
        </w:rPr>
        <w:t>（五）</w:t>
      </w:r>
      <w:r>
        <w:rPr>
          <w:rFonts w:asciiTheme="minorEastAsia" w:hAnsiTheme="minorEastAsia" w:eastAsiaTheme="minorEastAsia"/>
          <w:b/>
        </w:rPr>
        <w:t>投标人存在下列情况之一的，投标无效</w:t>
      </w:r>
    </w:p>
    <w:p>
      <w:pPr>
        <w:adjustRightInd w:val="0"/>
        <w:snapToGrid w:val="0"/>
        <w:spacing w:line="360" w:lineRule="auto"/>
        <w:ind w:left="4" w:firstLine="411" w:firstLineChars="196"/>
        <w:jc w:val="left"/>
        <w:rPr>
          <w:rFonts w:asciiTheme="minorEastAsia" w:hAnsiTheme="minorEastAsia" w:eastAsiaTheme="minorEastAsia"/>
          <w:b/>
          <w:bCs/>
          <w:sz w:val="24"/>
        </w:rPr>
      </w:pPr>
      <w:r>
        <w:rPr>
          <w:rFonts w:asciiTheme="minorEastAsia" w:hAnsiTheme="minorEastAsia" w:eastAsiaTheme="minorEastAsia"/>
        </w:rPr>
        <w:t>1、</w:t>
      </w:r>
      <w:r>
        <w:rPr>
          <w:rFonts w:hint="eastAsia" w:asciiTheme="minorEastAsia" w:hAnsiTheme="minorEastAsia" w:eastAsiaTheme="minorEastAsia"/>
          <w:b/>
          <w:bCs/>
          <w:kern w:val="0"/>
          <w:sz w:val="24"/>
        </w:rPr>
        <w:t>在资格证明模块或商务与技术模块中出现投标报价的</w:t>
      </w:r>
      <w:r>
        <w:rPr>
          <w:rFonts w:hint="eastAsia" w:asciiTheme="minorEastAsia" w:hAnsiTheme="minorEastAsia" w:eastAsiaTheme="minorEastAsia"/>
          <w:kern w:val="0"/>
          <w:sz w:val="24"/>
        </w:rPr>
        <w:t>，或者报价文件中报价的货物跟商务与技术文件中的投标货物出现重大偏差的；</w:t>
      </w:r>
    </w:p>
    <w:p>
      <w:pPr>
        <w:pStyle w:val="17"/>
        <w:tabs>
          <w:tab w:val="left" w:pos="7380"/>
        </w:tabs>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2、不具备招标文件中规定的资格要求的。</w:t>
      </w:r>
      <w:r>
        <w:rPr>
          <w:rFonts w:hint="default" w:asciiTheme="minorEastAsia" w:hAnsiTheme="minorEastAsia" w:eastAsiaTheme="minorEastAsia"/>
        </w:rPr>
        <w:tab/>
      </w:r>
    </w:p>
    <w:p>
      <w:pPr>
        <w:pStyle w:val="17"/>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3、电子投标文件含有采购人不能接受的附加条件的。</w:t>
      </w:r>
    </w:p>
    <w:p>
      <w:pPr>
        <w:pStyle w:val="11"/>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4</w:t>
      </w:r>
      <w:r>
        <w:rPr>
          <w:rFonts w:hint="eastAsia" w:asciiTheme="minorEastAsia" w:hAnsiTheme="minorEastAsia" w:eastAsiaTheme="minorEastAsia"/>
          <w:sz w:val="24"/>
        </w:rPr>
        <w:t>、</w:t>
      </w:r>
      <w:r>
        <w:rPr>
          <w:rFonts w:asciiTheme="minorEastAsia" w:hAnsiTheme="minorEastAsia" w:eastAsiaTheme="minorEastAsia"/>
          <w:sz w:val="24"/>
        </w:rPr>
        <w:t>评标委员会认为投标人的报价明显低于其他通过符合性审查投标人的报价，有可能影响产品质量或者不能诚信履约的，应当要求其在合理的时间内提供</w:t>
      </w:r>
      <w:r>
        <w:rPr>
          <w:rFonts w:hint="eastAsia"/>
          <w:sz w:val="24"/>
        </w:rPr>
        <w:t>进行电子答复</w:t>
      </w:r>
      <w:r>
        <w:rPr>
          <w:rFonts w:asciiTheme="minorEastAsia" w:hAnsiTheme="minorEastAsia" w:eastAsiaTheme="minorEastAsia"/>
          <w:sz w:val="24"/>
        </w:rPr>
        <w:t>，必要时提交相关证明材料；投标人不能证明其报价合理性的，评标委员会应当将其作为无效投标处理。</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5、报价超过招标文件中规定的预算金额/最高限价。 </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6、主要性能参数指标负偏离</w:t>
      </w:r>
      <w:r>
        <w:rPr>
          <w:rFonts w:asciiTheme="minorEastAsia" w:hAnsiTheme="minorEastAsia" w:eastAsiaTheme="minorEastAsia"/>
          <w:u w:val="single"/>
        </w:rPr>
        <w:t xml:space="preserve"> 8 </w:t>
      </w:r>
      <w:r>
        <w:rPr>
          <w:rFonts w:asciiTheme="minorEastAsia" w:hAnsiTheme="minorEastAsia" w:eastAsiaTheme="minorEastAsia"/>
        </w:rPr>
        <w:t>项（含）以上的。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7、投标参数未如实填写，完全复制粘贴招标参数的。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8、电子投标文件提供虚假材料的。 </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9</w:t>
      </w:r>
      <w:r>
        <w:rPr>
          <w:rFonts w:asciiTheme="minorEastAsia" w:hAnsiTheme="minorEastAsia" w:eastAsiaTheme="minorEastAsia"/>
          <w:kern w:val="0"/>
          <w:sz w:val="24"/>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（1）不同投标人的电子投标文件由同一单位或者个人编制；</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（2）不同投标人委托同一单位或者个人办理投标事宜；</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（3）不同投标人的电子投标文件载明的项目管理成员或者联系人员为同一人；</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（4）不同投标人的电子投标文件异常一致或者投标报价呈规律性差异；</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10、不符合法律、法规和招标文件中规定的其他实质性要求的（招标文件</w:t>
      </w:r>
    </w:p>
    <w:p>
      <w:pPr>
        <w:tabs>
          <w:tab w:val="right" w:pos="8306"/>
        </w:tabs>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中打“▲”内容及被拒绝的条款）。</w:t>
      </w:r>
    </w:p>
    <w:p>
      <w:pPr>
        <w:pStyle w:val="10"/>
        <w:rPr>
          <w:rFonts w:eastAsiaTheme="minorEastAsia"/>
        </w:rPr>
      </w:pPr>
      <w:r>
        <w:rPr>
          <w:rFonts w:hint="eastAsia" w:asciiTheme="minorEastAsia" w:hAnsiTheme="minorEastAsia" w:eastAsiaTheme="minorEastAsia"/>
          <w:kern w:val="0"/>
          <w:sz w:val="24"/>
        </w:rPr>
        <w:t>11、商务条款不响应。</w:t>
      </w:r>
    </w:p>
    <w:p>
      <w:pPr>
        <w:numPr>
          <w:ilvl w:val="0"/>
          <w:numId w:val="11"/>
        </w:numPr>
        <w:tabs>
          <w:tab w:val="right" w:pos="8306"/>
        </w:tabs>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供应商仅提交备份电子电子投标文件的。</w:t>
      </w:r>
    </w:p>
    <w:p>
      <w:pPr>
        <w:autoSpaceDE w:val="0"/>
        <w:autoSpaceDN w:val="0"/>
        <w:adjustRightInd w:val="0"/>
        <w:spacing w:line="360" w:lineRule="auto"/>
        <w:ind w:left="480"/>
        <w:rPr>
          <w:rFonts w:asciiTheme="minorEastAsia" w:hAnsiTheme="minorEastAsia" w:eastAsiaTheme="minorEastAsia"/>
          <w:kern w:val="0"/>
          <w:sz w:val="24"/>
        </w:rPr>
      </w:pPr>
      <w:r>
        <w:rPr>
          <w:rFonts w:hint="eastAsia" w:asciiTheme="minorEastAsia" w:hAnsiTheme="minorEastAsia" w:eastAsiaTheme="minorEastAsia"/>
          <w:b/>
          <w:kern w:val="0"/>
          <w:sz w:val="24"/>
        </w:rPr>
        <w:t>（六）有下列情况之一的，本次招标作为废标处理</w:t>
      </w:r>
    </w:p>
    <w:p>
      <w:pPr>
        <w:pStyle w:val="17"/>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1、出现影响采购公正的违法、违规行为的；</w:t>
      </w:r>
    </w:p>
    <w:p>
      <w:pPr>
        <w:pStyle w:val="17"/>
        <w:spacing w:before="0" w:beforeAutospacing="0" w:after="0" w:afterAutospacing="0" w:line="360" w:lineRule="auto"/>
        <w:ind w:firstLine="600" w:firstLineChars="250"/>
        <w:jc w:val="both"/>
        <w:rPr>
          <w:rFonts w:hint="default" w:asciiTheme="minorEastAsia" w:hAnsiTheme="minorEastAsia" w:eastAsiaTheme="minorEastAsia"/>
          <w:b/>
          <w:bCs/>
        </w:rPr>
      </w:pPr>
      <w:r>
        <w:rPr>
          <w:rFonts w:asciiTheme="minorEastAsia" w:hAnsiTheme="minorEastAsia" w:eastAsiaTheme="minorEastAsia"/>
        </w:rPr>
        <w:t xml:space="preserve">2、评标委员会发现招标文件存在歧义、重大缺陷导致评标工作无法进行，或者招标文件内容违反国家有关强制性规定的； </w:t>
      </w:r>
    </w:p>
    <w:p>
      <w:pPr>
        <w:pStyle w:val="17"/>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3、因重大变故，采购任务取消的；</w:t>
      </w:r>
    </w:p>
    <w:p>
      <w:pPr>
        <w:pStyle w:val="17"/>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4、法律、法规和招标文件规定的其他导致评标结果无效的。</w:t>
      </w:r>
    </w:p>
    <w:p>
      <w:pPr>
        <w:pStyle w:val="13"/>
        <w:tabs>
          <w:tab w:val="left" w:pos="630"/>
        </w:tabs>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七</w:t>
      </w:r>
      <w:r>
        <w:rPr>
          <w:rFonts w:asciiTheme="minorEastAsia" w:hAnsiTheme="minorEastAsia" w:eastAsiaTheme="minorEastAsia"/>
          <w:b/>
          <w:sz w:val="24"/>
        </w:rPr>
        <w:t>）评标原则和评标办法</w:t>
      </w:r>
    </w:p>
    <w:p>
      <w:pPr>
        <w:pStyle w:val="13"/>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评标办法。具体评标内容及评分标准等详见《第</w:t>
      </w:r>
      <w:r>
        <w:rPr>
          <w:rFonts w:hint="eastAsia" w:asciiTheme="minorEastAsia" w:hAnsiTheme="minorEastAsia" w:eastAsiaTheme="minorEastAsia"/>
          <w:sz w:val="24"/>
        </w:rPr>
        <w:t>三章</w:t>
      </w:r>
      <w:r>
        <w:rPr>
          <w:rFonts w:asciiTheme="minorEastAsia" w:hAnsiTheme="minorEastAsia" w:eastAsiaTheme="minorEastAsia"/>
          <w:sz w:val="24"/>
        </w:rPr>
        <w:t>：评标</w:t>
      </w:r>
      <w:r>
        <w:rPr>
          <w:rFonts w:hint="eastAsia" w:asciiTheme="minorEastAsia" w:hAnsiTheme="minorEastAsia" w:eastAsiaTheme="minorEastAsia"/>
          <w:sz w:val="24"/>
        </w:rPr>
        <w:t>方</w:t>
      </w:r>
      <w:r>
        <w:rPr>
          <w:rFonts w:asciiTheme="minorEastAsia" w:hAnsiTheme="minorEastAsia" w:eastAsiaTheme="minorEastAsia"/>
          <w:sz w:val="24"/>
        </w:rPr>
        <w:t>法及评分标准》。</w:t>
      </w:r>
    </w:p>
    <w:p>
      <w:pPr>
        <w:pStyle w:val="13"/>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八</w:t>
      </w:r>
      <w:r>
        <w:rPr>
          <w:rFonts w:asciiTheme="minorEastAsia" w:hAnsiTheme="minorEastAsia" w:eastAsiaTheme="minorEastAsia"/>
          <w:b/>
          <w:sz w:val="24"/>
        </w:rPr>
        <w:t>）评标过程的监控</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本项目评标过程实行全程录音、录像监控，政府采购监管部门视情进行现场监督，投标人在评标过程中所进行的试图影响评标结果的不公正活动，可能导致其投标被拒绝。</w:t>
      </w:r>
    </w:p>
    <w:p>
      <w:pPr>
        <w:pStyle w:val="17"/>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rPr>
        <w:t>六、定标</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1、</w:t>
      </w:r>
      <w:r>
        <w:t>确定中标供应商。</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kern w:val="0"/>
          <w:sz w:val="24"/>
        </w:rPr>
      </w:pPr>
      <w:r>
        <w:rPr>
          <w:rFonts w:asciiTheme="minorEastAsia" w:hAnsiTheme="minorEastAsia" w:eastAsiaTheme="minorEastAsia"/>
          <w:sz w:val="24"/>
        </w:rPr>
        <w:t>2、</w:t>
      </w:r>
      <w:r>
        <w:rPr>
          <w:rFonts w:hint="eastAsia" w:ascii="宋体" w:hAnsi="宋体"/>
          <w:kern w:val="0"/>
          <w:sz w:val="24"/>
        </w:rPr>
        <w:t>发布</w:t>
      </w:r>
      <w:r>
        <w:rPr>
          <w:sz w:val="24"/>
        </w:rPr>
        <w:t>中标</w:t>
      </w:r>
      <w:r>
        <w:rPr>
          <w:rFonts w:hint="eastAsia" w:ascii="宋体" w:hAnsi="宋体"/>
          <w:kern w:val="0"/>
          <w:sz w:val="24"/>
        </w:rPr>
        <w:t>结果公告。采购组织机构应当自中标人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在省级以上财政部门指定的媒体及相关网站</w:t>
      </w:r>
      <w:r>
        <w:rPr>
          <w:rFonts w:hint="eastAsia" w:ascii="宋体" w:hAnsi="宋体"/>
          <w:kern w:val="0"/>
          <w:sz w:val="24"/>
        </w:rPr>
        <w:t>上</w:t>
      </w:r>
      <w:r>
        <w:rPr>
          <w:rFonts w:ascii="宋体" w:hAnsi="宋体"/>
          <w:kern w:val="0"/>
          <w:sz w:val="24"/>
        </w:rPr>
        <w:t>公告</w:t>
      </w:r>
      <w:r>
        <w:rPr>
          <w:rFonts w:hint="eastAsia" w:ascii="宋体" w:hAnsi="宋体"/>
          <w:kern w:val="0"/>
          <w:sz w:val="24"/>
        </w:rPr>
        <w:t>中标结果，招标文件应当随中标结果同时公告。</w:t>
      </w:r>
    </w:p>
    <w:p>
      <w:pPr>
        <w:pStyle w:val="11"/>
        <w:spacing w:line="360" w:lineRule="auto"/>
        <w:ind w:firstLine="480" w:firstLineChars="200"/>
      </w:pPr>
      <w:r>
        <w:rPr>
          <w:rFonts w:hint="eastAsia" w:ascii="宋体" w:hAnsi="宋体"/>
          <w:kern w:val="0"/>
          <w:sz w:val="24"/>
        </w:rPr>
        <w:t>3、</w:t>
      </w:r>
      <w:r>
        <w:rPr>
          <w:rFonts w:hint="eastAsia"/>
          <w:sz w:val="24"/>
        </w:rPr>
        <w:t>通过政采云平台发放电子中标通知书</w:t>
      </w:r>
      <w:r>
        <w:rPr>
          <w:rFonts w:hint="eastAsia" w:ascii="宋体" w:hAnsi="宋体"/>
          <w:kern w:val="0"/>
          <w:sz w:val="24"/>
        </w:rPr>
        <w:t>。采购组织机构在发布中标结果</w:t>
      </w:r>
      <w:r>
        <w:rPr>
          <w:rFonts w:hint="eastAsia" w:ascii="宋体" w:hAnsi="宋体"/>
          <w:color w:val="FF0000"/>
          <w:kern w:val="0"/>
          <w:sz w:val="24"/>
        </w:rPr>
        <w:t>公告</w:t>
      </w:r>
      <w:r>
        <w:rPr>
          <w:rFonts w:hint="eastAsia" w:ascii="宋体" w:hAnsi="宋体"/>
          <w:kern w:val="0"/>
          <w:sz w:val="24"/>
        </w:rPr>
        <w:t>的同时，向中标人发出中标通知书。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7"/>
        <w:spacing w:before="0" w:beforeAutospacing="0" w:after="0" w:afterAutospacing="0" w:line="360" w:lineRule="auto"/>
        <w:ind w:firstLine="600" w:firstLineChars="250"/>
        <w:jc w:val="both"/>
        <w:rPr>
          <w:rFonts w:hint="default"/>
        </w:rPr>
      </w:pPr>
      <w:r>
        <w:t>1、采购人应当自中标通知书发出之日起10个工作日内，按照招标文件和中标人电子投标文件的规定，与中标人签订书面合同或者电子合同。所签订的合同不得对招标文件确定的事项和中标人电子投标文件作实质性修改。</w:t>
      </w:r>
    </w:p>
    <w:p>
      <w:pPr>
        <w:pStyle w:val="17"/>
        <w:spacing w:before="0" w:beforeAutospacing="0" w:after="0" w:afterAutospacing="0" w:line="360" w:lineRule="auto"/>
        <w:ind w:firstLine="600" w:firstLineChars="250"/>
        <w:jc w:val="both"/>
        <w:rPr>
          <w:rFonts w:hint="default"/>
        </w:rPr>
      </w:pPr>
      <w:r>
        <w:t>2、采购人不得向中标人提出任何不合理的要求作为签订合同的条件。</w:t>
      </w:r>
    </w:p>
    <w:p>
      <w:pPr>
        <w:pStyle w:val="17"/>
        <w:spacing w:before="0" w:beforeAutospacing="0" w:after="0" w:afterAutospacing="0" w:line="360" w:lineRule="auto"/>
        <w:ind w:firstLine="420" w:firstLineChars="175"/>
        <w:jc w:val="both"/>
        <w:rPr>
          <w:rFonts w:hint="default"/>
        </w:rPr>
      </w:pPr>
      <w:r>
        <w:t>3、中标供应商无故拖延、拒签合同的,将取消中标资格。</w:t>
      </w:r>
    </w:p>
    <w:p>
      <w:pPr>
        <w:pStyle w:val="17"/>
        <w:spacing w:before="0" w:beforeAutospacing="0" w:after="0" w:afterAutospacing="0" w:line="360" w:lineRule="auto"/>
        <w:ind w:firstLine="480" w:firstLineChars="200"/>
        <w:jc w:val="both"/>
        <w:rPr>
          <w:rFonts w:hint="default"/>
        </w:rPr>
      </w:pPr>
      <w: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17"/>
        <w:spacing w:line="360" w:lineRule="auto"/>
        <w:ind w:firstLine="480" w:firstLineChars="200"/>
        <w:rPr>
          <w:rFonts w:hint="default" w:cs="仿宋_GB2312"/>
        </w:rPr>
      </w:pPr>
      <w:r>
        <w:t>5、询问或者质疑事项可能影响中标结果的，采购人应当暂停签订合同，已经签订合同的，应当中止履行合同（中标结果的质疑期为中标结果公告期限届满之日起七个工作日）。</w:t>
      </w:r>
    </w:p>
    <w:p>
      <w:pPr>
        <w:pStyle w:val="17"/>
        <w:spacing w:line="360" w:lineRule="auto"/>
        <w:ind w:firstLine="424" w:firstLineChars="176"/>
        <w:rPr>
          <w:rFonts w:hint="default" w:cs="仿宋_GB2312"/>
          <w:b/>
        </w:rPr>
      </w:pPr>
      <w:r>
        <w:rPr>
          <w:b/>
        </w:rPr>
        <w:t>（二）合同公告及备案</w:t>
      </w:r>
    </w:p>
    <w:p>
      <w:pPr>
        <w:pStyle w:val="12"/>
        <w:spacing w:line="360" w:lineRule="auto"/>
        <w:ind w:left="0" w:leftChars="0" w:firstLine="480" w:firstLineChars="200"/>
        <w:jc w:val="left"/>
        <w:rPr>
          <w:rFonts w:ascii="宋体" w:hAnsi="宋体"/>
          <w:sz w:val="24"/>
        </w:rPr>
      </w:pPr>
      <w:r>
        <w:rPr>
          <w:rFonts w:hint="eastAsia" w:ascii="宋体" w:hAnsi="宋体"/>
          <w:sz w:val="24"/>
        </w:rPr>
        <w:t>1、采购人应当自政府采购合同签订之日起2个工作日内，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1"/>
        <w:spacing w:line="360" w:lineRule="auto"/>
        <w:ind w:firstLine="420" w:firstLineChars="175"/>
        <w:rPr>
          <w:rFonts w:ascii="宋体" w:hAnsi="宋体"/>
          <w:sz w:val="24"/>
        </w:rPr>
      </w:pPr>
      <w:r>
        <w:rPr>
          <w:rFonts w:hint="eastAsia" w:ascii="宋体" w:hAnsi="宋体"/>
          <w:sz w:val="24"/>
        </w:rPr>
        <w:t>2、采购人应当自政府采购合同签订之日起7个工作日内，</w:t>
      </w:r>
      <w:r>
        <w:rPr>
          <w:rFonts w:hint="eastAsia"/>
          <w:sz w:val="24"/>
        </w:rPr>
        <w:t>将政府采购合同通过政采云网站提交至</w:t>
      </w:r>
      <w:r>
        <w:rPr>
          <w:rFonts w:hint="eastAsia" w:ascii="宋体" w:hAnsi="宋体"/>
          <w:sz w:val="24"/>
        </w:rPr>
        <w:t>同级人民政府财政部门备案存档。</w:t>
      </w:r>
    </w:p>
    <w:p>
      <w:pPr>
        <w:rPr>
          <w:rFonts w:ascii="宋体" w:hAnsi="宋体"/>
          <w:sz w:val="24"/>
        </w:rPr>
      </w:pPr>
      <w:r>
        <w:rPr>
          <w:rFonts w:hint="eastAsia" w:ascii="宋体" w:hAnsi="宋体"/>
          <w:sz w:val="24"/>
        </w:rPr>
        <w:br w:type="page"/>
      </w:r>
    </w:p>
    <w:p>
      <w:pPr>
        <w:pStyle w:val="11"/>
        <w:spacing w:line="360" w:lineRule="auto"/>
        <w:rPr>
          <w:rFonts w:ascii="宋体" w:hAnsi="宋体"/>
          <w:sz w:val="24"/>
        </w:rPr>
      </w:pP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评标办法及评分标准</w:t>
      </w:r>
    </w:p>
    <w:p>
      <w:pPr>
        <w:autoSpaceDE w:val="0"/>
        <w:autoSpaceDN w:val="0"/>
        <w:spacing w:line="360" w:lineRule="auto"/>
        <w:ind w:firstLine="480" w:firstLineChars="200"/>
        <w:rPr>
          <w:rFonts w:asciiTheme="minorEastAsia" w:hAnsiTheme="minorEastAsia" w:eastAsiaTheme="minorEastAsia"/>
          <w:b/>
          <w:i/>
          <w:kern w:val="0"/>
          <w:sz w:val="24"/>
        </w:rPr>
      </w:pPr>
      <w:r>
        <w:rPr>
          <w:rFonts w:hint="eastAsia" w:asciiTheme="minorEastAsia" w:hAnsiTheme="minorEastAsia" w:eastAsiaTheme="minorEastAsia"/>
          <w:kern w:val="0"/>
          <w:sz w:val="24"/>
        </w:rPr>
        <w:t>一、采购组织机构将组织评标委员会，对投标人提供的电子投标文件进行综合评审。</w:t>
      </w:r>
    </w:p>
    <w:p>
      <w:pPr>
        <w:autoSpaceDE w:val="0"/>
        <w:autoSpaceDN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二、本次招标项目的评标方法为综合评分法，总计100分。评标标准按以下6项内容及分值进行评审。</w:t>
      </w:r>
    </w:p>
    <w:tbl>
      <w:tblPr>
        <w:tblStyle w:val="19"/>
        <w:tblW w:w="7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2708"/>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24" w:type="dxa"/>
            <w:tcBorders>
              <w:tl2br w:val="single" w:color="auto" w:sz="4" w:space="0"/>
            </w:tcBorders>
          </w:tcPr>
          <w:p>
            <w:pPr>
              <w:autoSpaceDE w:val="0"/>
              <w:autoSpaceDN w:val="0"/>
              <w:adjustRightInd w:val="0"/>
              <w:jc w:val="left"/>
              <w:rPr>
                <w:rFonts w:ascii="宋体" w:hAnsi="宋体" w:cs="Arial"/>
                <w:sz w:val="24"/>
              </w:rPr>
            </w:pPr>
            <w:r>
              <w:rPr>
                <w:rFonts w:hint="eastAsia" w:ascii="宋体" w:hAnsi="宋体" w:cs="Arial"/>
                <w:sz w:val="24"/>
              </w:rPr>
              <w:t xml:space="preserve">          标段</w:t>
            </w:r>
          </w:p>
          <w:p>
            <w:pPr>
              <w:autoSpaceDE w:val="0"/>
              <w:autoSpaceDN w:val="0"/>
              <w:adjustRightInd w:val="0"/>
              <w:jc w:val="left"/>
              <w:rPr>
                <w:rFonts w:ascii="宋体" w:hAnsi="宋体" w:cs="Arial"/>
                <w:sz w:val="24"/>
              </w:rPr>
            </w:pPr>
            <w:r>
              <w:rPr>
                <w:rFonts w:hint="eastAsia" w:ascii="宋体" w:hAnsi="宋体" w:cs="Arial"/>
                <w:sz w:val="24"/>
              </w:rPr>
              <w:t>类别</w:t>
            </w:r>
          </w:p>
        </w:tc>
        <w:tc>
          <w:tcPr>
            <w:tcW w:w="2708" w:type="dxa"/>
            <w:vAlign w:val="center"/>
          </w:tcPr>
          <w:p>
            <w:pPr>
              <w:autoSpaceDE w:val="0"/>
              <w:autoSpaceDN w:val="0"/>
              <w:adjustRightInd w:val="0"/>
              <w:spacing w:line="480" w:lineRule="auto"/>
              <w:jc w:val="center"/>
              <w:rPr>
                <w:rFonts w:ascii="宋体" w:hAnsi="宋体" w:cs="Arial"/>
                <w:sz w:val="24"/>
              </w:rPr>
            </w:pPr>
            <w:r>
              <w:rPr>
                <w:rFonts w:hint="eastAsia" w:ascii="宋体" w:hAnsi="宋体" w:cs="Arial"/>
                <w:sz w:val="24"/>
              </w:rPr>
              <w:t>一</w:t>
            </w:r>
          </w:p>
        </w:tc>
        <w:tc>
          <w:tcPr>
            <w:tcW w:w="2635" w:type="dxa"/>
            <w:vAlign w:val="center"/>
          </w:tcPr>
          <w:p>
            <w:pPr>
              <w:autoSpaceDE w:val="0"/>
              <w:autoSpaceDN w:val="0"/>
              <w:adjustRightInd w:val="0"/>
              <w:spacing w:line="480" w:lineRule="auto"/>
              <w:jc w:val="center"/>
              <w:rPr>
                <w:rFonts w:ascii="宋体" w:hAnsi="宋体" w:cs="Arial"/>
                <w:sz w:val="24"/>
              </w:rPr>
            </w:pPr>
            <w:r>
              <w:rPr>
                <w:rFonts w:hint="eastAsia" w:ascii="宋体" w:hAnsi="宋体" w:cs="Arial"/>
                <w:sz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技术评分</w:t>
            </w:r>
          </w:p>
        </w:tc>
        <w:tc>
          <w:tcPr>
            <w:tcW w:w="2708"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45</w:t>
            </w:r>
          </w:p>
        </w:tc>
        <w:tc>
          <w:tcPr>
            <w:tcW w:w="2635"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实力信誉及业绩评分</w:t>
            </w:r>
          </w:p>
        </w:tc>
        <w:tc>
          <w:tcPr>
            <w:tcW w:w="2708"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21</w:t>
            </w:r>
          </w:p>
        </w:tc>
        <w:tc>
          <w:tcPr>
            <w:tcW w:w="2635"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售后服务评分</w:t>
            </w:r>
          </w:p>
        </w:tc>
        <w:tc>
          <w:tcPr>
            <w:tcW w:w="2708"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12</w:t>
            </w:r>
          </w:p>
        </w:tc>
        <w:tc>
          <w:tcPr>
            <w:tcW w:w="2635" w:type="dxa"/>
            <w:vAlign w:val="center"/>
          </w:tcPr>
          <w:p>
            <w:pPr>
              <w:autoSpaceDE w:val="0"/>
              <w:autoSpaceDN w:val="0"/>
              <w:adjustRightInd w:val="0"/>
              <w:jc w:val="center"/>
              <w:rPr>
                <w:rFonts w:hint="eastAsia" w:ascii="宋体" w:hAnsi="宋体" w:eastAsia="宋体" w:cs="Arial"/>
                <w:sz w:val="24"/>
                <w:lang w:eastAsia="zh-CN"/>
              </w:rPr>
            </w:pPr>
            <w:r>
              <w:rPr>
                <w:rFonts w:hint="eastAsia" w:ascii="宋体" w:hAnsi="宋体" w:cs="Arial"/>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投标文件制作评分</w:t>
            </w:r>
          </w:p>
        </w:tc>
        <w:tc>
          <w:tcPr>
            <w:tcW w:w="2708" w:type="dxa"/>
            <w:vAlign w:val="center"/>
          </w:tcPr>
          <w:p>
            <w:pPr>
              <w:autoSpaceDE w:val="0"/>
              <w:autoSpaceDN w:val="0"/>
              <w:adjustRightInd w:val="0"/>
              <w:jc w:val="center"/>
              <w:rPr>
                <w:rFonts w:ascii="宋体" w:hAnsi="宋体" w:cs="Arial"/>
                <w:sz w:val="24"/>
              </w:rPr>
            </w:pPr>
            <w:r>
              <w:rPr>
                <w:rFonts w:hint="eastAsia" w:ascii="宋体" w:hAnsi="宋体" w:cs="Arial"/>
                <w:sz w:val="24"/>
              </w:rPr>
              <w:t>2</w:t>
            </w:r>
          </w:p>
        </w:tc>
        <w:tc>
          <w:tcPr>
            <w:tcW w:w="2635" w:type="dxa"/>
            <w:vAlign w:val="center"/>
          </w:tcPr>
          <w:p>
            <w:pPr>
              <w:autoSpaceDE w:val="0"/>
              <w:autoSpaceDN w:val="0"/>
              <w:adjustRightInd w:val="0"/>
              <w:jc w:val="center"/>
              <w:rPr>
                <w:rFonts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价格分</w:t>
            </w:r>
          </w:p>
        </w:tc>
        <w:tc>
          <w:tcPr>
            <w:tcW w:w="2708"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20</w:t>
            </w:r>
          </w:p>
        </w:tc>
        <w:tc>
          <w:tcPr>
            <w:tcW w:w="2635" w:type="dxa"/>
            <w:vAlign w:val="center"/>
          </w:tcPr>
          <w:p>
            <w:pPr>
              <w:autoSpaceDE w:val="0"/>
              <w:autoSpaceDN w:val="0"/>
              <w:adjustRightInd w:val="0"/>
              <w:jc w:val="center"/>
              <w:rPr>
                <w:rFonts w:ascii="宋体" w:hAnsi="宋体" w:cs="Arial"/>
                <w:sz w:val="24"/>
              </w:rPr>
            </w:pPr>
            <w:r>
              <w:rPr>
                <w:rFonts w:hint="eastAsia" w:ascii="宋体" w:hAnsi="宋体" w:cs="Arial"/>
                <w:sz w:val="24"/>
              </w:rPr>
              <w:t>30</w:t>
            </w:r>
          </w:p>
        </w:tc>
      </w:tr>
    </w:tbl>
    <w:p>
      <w:pPr>
        <w:autoSpaceDE w:val="0"/>
        <w:autoSpaceDN w:val="0"/>
        <w:adjustRightInd w:val="0"/>
        <w:spacing w:line="360" w:lineRule="auto"/>
        <w:ind w:right="84" w:firstLine="472"/>
        <w:rPr>
          <w:rFonts w:ascii="宋体"/>
          <w:bCs/>
          <w:sz w:val="24"/>
          <w:lang w:val="zh-CN"/>
        </w:rPr>
      </w:pPr>
      <w:r>
        <w:rPr>
          <w:rFonts w:hint="eastAsia" w:ascii="宋体"/>
          <w:bCs/>
          <w:sz w:val="24"/>
          <w:lang w:val="zh-CN"/>
        </w:rPr>
        <w:t>（一）商务与技术文件中的客观分由评标委员会讨论后统一打分；其余在规定的分值内单独评定打分。</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bCs/>
          <w:sz w:val="24"/>
          <w:lang w:val="zh-CN"/>
        </w:rPr>
        <w:t>（二）各投标人商务与技术文件</w:t>
      </w:r>
      <w:r>
        <w:rPr>
          <w:rFonts w:hint="eastAsia" w:ascii="宋体"/>
          <w:kern w:val="0"/>
          <w:sz w:val="24"/>
          <w:lang w:val="zh-CN"/>
        </w:rPr>
        <w:t>得分按照评标委员会成</w:t>
      </w:r>
      <w:r>
        <w:rPr>
          <w:rFonts w:hint="eastAsia" w:ascii="宋体"/>
          <w:bCs/>
          <w:sz w:val="24"/>
          <w:lang w:val="zh-CN"/>
        </w:rPr>
        <w:t>员的独立评分结果汇总后的算术平均分计算，计算公式为：</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hAnsi="宋体"/>
          <w:sz w:val="24"/>
        </w:rPr>
        <w:t>商务与技术文件得分</w:t>
      </w:r>
      <w:r>
        <w:rPr>
          <w:rFonts w:hint="eastAsia" w:ascii="宋体"/>
          <w:bCs/>
          <w:sz w:val="24"/>
          <w:lang w:val="zh-CN"/>
        </w:rPr>
        <w:t>=评标委员会所有成员评分合计数/评标委员会组成人员数。</w:t>
      </w:r>
    </w:p>
    <w:p>
      <w:pPr>
        <w:autoSpaceDE w:val="0"/>
        <w:autoSpaceDN w:val="0"/>
        <w:adjustRightInd w:val="0"/>
        <w:spacing w:line="360" w:lineRule="auto"/>
        <w:ind w:right="85" w:firstLine="480" w:firstLineChars="200"/>
        <w:rPr>
          <w:rFonts w:ascii="宋体"/>
          <w:sz w:val="24"/>
          <w:lang w:val="zh-CN"/>
        </w:rPr>
      </w:pPr>
      <w:r>
        <w:rPr>
          <w:rFonts w:hint="eastAsia" w:ascii="宋体"/>
          <w:bCs/>
          <w:sz w:val="24"/>
          <w:lang w:val="zh-CN"/>
        </w:rPr>
        <w:t>（三）</w:t>
      </w:r>
      <w:r>
        <w:rPr>
          <w:rFonts w:hint="eastAsia" w:ascii="宋体"/>
          <w:sz w:val="24"/>
          <w:lang w:val="zh-CN"/>
        </w:rPr>
        <w:t>投标报价得分采用低价优先法计算，即满足招标文件要求且投标价格最低的投标报价为评标基准价，其报价得满分。其他投标人的投标报价得分按下列公式计算：</w:t>
      </w:r>
    </w:p>
    <w:p>
      <w:pPr>
        <w:autoSpaceDE w:val="0"/>
        <w:autoSpaceDN w:val="0"/>
        <w:adjustRightInd w:val="0"/>
        <w:spacing w:line="360" w:lineRule="auto"/>
        <w:ind w:right="85" w:firstLine="480" w:firstLineChars="200"/>
        <w:rPr>
          <w:rFonts w:hint="eastAsia" w:ascii="宋体" w:hAnsi="宋体" w:eastAsia="宋体" w:cs="宋体"/>
          <w:sz w:val="24"/>
          <w:szCs w:val="24"/>
          <w:u w:val="single"/>
        </w:rPr>
      </w:pPr>
      <w:r>
        <w:rPr>
          <w:rFonts w:hint="eastAsia" w:ascii="宋体" w:hAnsi="宋体" w:eastAsia="宋体" w:cs="宋体"/>
          <w:sz w:val="24"/>
          <w:szCs w:val="24"/>
          <w:u w:val="single"/>
        </w:rPr>
        <w:t>标段一：投标报价得分=(评标基准价／投标报价)×20%×100 。</w:t>
      </w:r>
    </w:p>
    <w:p>
      <w:pPr>
        <w:autoSpaceDE w:val="0"/>
        <w:autoSpaceDN w:val="0"/>
        <w:adjustRightInd w:val="0"/>
        <w:spacing w:line="360" w:lineRule="auto"/>
        <w:ind w:right="85" w:firstLine="480" w:firstLineChars="200"/>
        <w:rPr>
          <w:rFonts w:ascii="宋体" w:hAnsi="宋体"/>
          <w:sz w:val="24"/>
          <w:u w:val="single"/>
        </w:rPr>
      </w:pPr>
      <w:r>
        <w:rPr>
          <w:rFonts w:hint="eastAsia" w:ascii="宋体" w:hAnsi="宋体" w:eastAsia="宋体" w:cs="宋体"/>
          <w:sz w:val="24"/>
          <w:szCs w:val="24"/>
          <w:u w:val="single"/>
        </w:rPr>
        <w:t>标段二：投标报价得分=(评标基准价／投标报价)×30%×100 。</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产品适用政府采购政策情况表》（见附件）、《小微企业声明函》，如投标人提供其他小微企业制造的货物，应同时提供制造商的《小微企业声明函（制造商）》，</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rPr>
        <w:t>相应的</w:t>
      </w:r>
      <w:r>
        <w:rPr>
          <w:rFonts w:hint="eastAsia" w:ascii="宋体"/>
          <w:sz w:val="24"/>
        </w:rPr>
        <w:t>小微企业优惠政策。</w:t>
      </w:r>
      <w:r>
        <w:rPr>
          <w:rFonts w:hint="eastAsia" w:ascii="宋体"/>
          <w:sz w:val="24"/>
          <w:lang w:val="zh-CN"/>
        </w:rPr>
        <w:t>（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具体优惠：对于小型微型企业产品的价格给予</w:t>
      </w:r>
      <w:r>
        <w:rPr>
          <w:rFonts w:hint="eastAsia" w:ascii="宋体"/>
          <w:sz w:val="24"/>
          <w:u w:val="single"/>
          <w:lang w:val="zh-CN"/>
        </w:rPr>
        <w:t xml:space="preserve"> </w:t>
      </w:r>
      <w:r>
        <w:rPr>
          <w:rFonts w:hint="eastAsia" w:ascii="宋体"/>
          <w:sz w:val="24"/>
          <w:u w:val="single"/>
        </w:rPr>
        <w:t>6</w:t>
      </w:r>
      <w:r>
        <w:rPr>
          <w:rFonts w:hint="eastAsia" w:ascii="宋体"/>
          <w:sz w:val="24"/>
          <w:u w:val="single"/>
          <w:lang w:val="zh-CN"/>
        </w:rPr>
        <w:t xml:space="preserve">  </w:t>
      </w:r>
      <w:r>
        <w:rPr>
          <w:rFonts w:hint="eastAsia" w:ascii="宋体"/>
          <w:sz w:val="24"/>
          <w:lang w:val="zh-CN"/>
        </w:rPr>
        <w:t>%的扣除，用扣除后的价格计算评标基准价和投标报价。同一投标人（包括联合体），小微企业、监狱企业、残疾人福利性单位价格扣除优惠只享受一次，不得重复享受。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sz w:val="24"/>
          <w:lang w:val="zh-CN"/>
        </w:rPr>
        <w:t>注：得分以系统计算为准，保留2位小数。</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四、如综合得分相同，投标报价低者为先；如综合得分且投标报价相同的，货物类采购项目以技术性能得分较高者为先，服务类采购项目以实力信誉及业绩得分较高者为先。</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pStyle w:val="24"/>
        <w:ind w:firstLine="480" w:firstLineChars="200"/>
        <w:rPr>
          <w:rFonts w:ascii="宋体"/>
          <w:b/>
          <w:bCs/>
          <w:sz w:val="24"/>
        </w:rPr>
      </w:pPr>
      <w:r>
        <w:rPr>
          <w:rFonts w:hint="eastAsia" w:asciiTheme="minorEastAsia" w:hAnsiTheme="minorEastAsia" w:eastAsiaTheme="minorEastAsia"/>
          <w:sz w:val="24"/>
          <w:szCs w:val="24"/>
        </w:rPr>
        <w:t>六、本次评分具体分值细化条款如下表：</w:t>
      </w:r>
    </w:p>
    <w:p>
      <w:pPr>
        <w:autoSpaceDE w:val="0"/>
        <w:autoSpaceDN w:val="0"/>
        <w:adjustRightInd w:val="0"/>
        <w:spacing w:line="360" w:lineRule="auto"/>
        <w:ind w:right="85"/>
        <w:rPr>
          <w:rFonts w:ascii="宋体"/>
          <w:b/>
          <w:bCs/>
          <w:sz w:val="24"/>
        </w:rPr>
      </w:pPr>
    </w:p>
    <w:p>
      <w:pPr>
        <w:pStyle w:val="24"/>
        <w:rPr>
          <w:rFonts w:ascii="宋体"/>
          <w:b/>
          <w:bCs/>
          <w:sz w:val="24"/>
        </w:rPr>
      </w:pPr>
    </w:p>
    <w:p>
      <w:pPr>
        <w:pStyle w:val="24"/>
        <w:rPr>
          <w:rFonts w:ascii="宋体"/>
          <w:b/>
          <w:bCs/>
          <w:sz w:val="24"/>
        </w:rPr>
      </w:pPr>
    </w:p>
    <w:p>
      <w:pPr>
        <w:pStyle w:val="24"/>
        <w:rPr>
          <w:rFonts w:ascii="宋体"/>
          <w:b/>
          <w:bCs/>
          <w:sz w:val="24"/>
        </w:rPr>
      </w:pPr>
    </w:p>
    <w:p>
      <w:pPr>
        <w:pStyle w:val="24"/>
        <w:rPr>
          <w:rFonts w:ascii="宋体"/>
          <w:b/>
          <w:bCs/>
          <w:sz w:val="24"/>
        </w:rPr>
      </w:pPr>
    </w:p>
    <w:p>
      <w:pPr>
        <w:autoSpaceDE w:val="0"/>
        <w:autoSpaceDN w:val="0"/>
        <w:adjustRightInd w:val="0"/>
        <w:spacing w:line="360" w:lineRule="auto"/>
        <w:ind w:right="85"/>
        <w:rPr>
          <w:rFonts w:ascii="宋体"/>
          <w:b/>
          <w:bCs/>
          <w:sz w:val="24"/>
          <w:lang w:val="zh-CN"/>
        </w:rPr>
      </w:pPr>
      <w:r>
        <w:rPr>
          <w:rFonts w:hint="eastAsia" w:ascii="宋体"/>
          <w:b/>
          <w:bCs/>
          <w:sz w:val="24"/>
        </w:rPr>
        <w:t>标段</w:t>
      </w:r>
      <w:r>
        <w:rPr>
          <w:rFonts w:hint="eastAsia" w:ascii="宋体"/>
          <w:b/>
          <w:bCs/>
          <w:sz w:val="24"/>
          <w:lang w:val="en-US" w:eastAsia="zh-CN"/>
        </w:rPr>
        <w:t>一</w:t>
      </w:r>
      <w:r>
        <w:rPr>
          <w:rFonts w:hint="eastAsia" w:ascii="宋体"/>
          <w:b/>
          <w:bCs/>
          <w:sz w:val="24"/>
        </w:rPr>
        <w:t>：</w:t>
      </w:r>
      <w:r>
        <w:rPr>
          <w:rFonts w:hint="eastAsia" w:ascii="宋体"/>
          <w:b/>
          <w:bCs/>
          <w:sz w:val="24"/>
          <w:lang w:val="zh-CN"/>
        </w:rPr>
        <w:t>台州市政务大厅2.0数字化改造项目-</w:t>
      </w:r>
      <w:r>
        <w:rPr>
          <w:rFonts w:hint="eastAsia" w:ascii="宋体"/>
          <w:b/>
          <w:bCs/>
          <w:sz w:val="24"/>
          <w:lang w:val="zh-CN" w:eastAsia="zh-Hans"/>
        </w:rPr>
        <w:t>软件平</w:t>
      </w:r>
      <w:r>
        <w:rPr>
          <w:rFonts w:hint="eastAsia" w:ascii="宋体"/>
          <w:b/>
          <w:bCs/>
          <w:sz w:val="24"/>
          <w:lang w:eastAsia="zh-Hans"/>
        </w:rPr>
        <w:t>台</w:t>
      </w:r>
      <w:r>
        <w:rPr>
          <w:rFonts w:hint="eastAsia" w:ascii="宋体"/>
          <w:b/>
          <w:bCs/>
          <w:sz w:val="24"/>
          <w:lang w:val="zh-CN"/>
        </w:rPr>
        <w:t>评分标准及内容</w:t>
      </w:r>
    </w:p>
    <w:tbl>
      <w:tblPr>
        <w:tblStyle w:val="20"/>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1240"/>
        <w:gridCol w:w="592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50" w:type="dxa"/>
            <w:shd w:val="clear" w:color="auto" w:fill="BEBEBE"/>
            <w:noWrap w:val="0"/>
            <w:vAlign w:val="center"/>
          </w:tcPr>
          <w:p>
            <w:pPr>
              <w:spacing w:line="360" w:lineRule="auto"/>
              <w:jc w:val="center"/>
              <w:rPr>
                <w:rFonts w:hint="eastAsia" w:ascii="宋体" w:hAnsi="宋体" w:eastAsia="宋体" w:cs="宋体"/>
                <w:b/>
                <w:bCs/>
                <w:color w:val="000000"/>
                <w:sz w:val="21"/>
                <w:szCs w:val="21"/>
                <w:lang w:eastAsia="zh-CN"/>
              </w:rPr>
            </w:pPr>
            <w:r>
              <w:rPr>
                <w:rFonts w:hint="eastAsia" w:ascii="宋体" w:hAnsi="宋体" w:eastAsia="宋体" w:cs="宋体"/>
                <w:b/>
                <w:color w:val="000000"/>
                <w:sz w:val="21"/>
                <w:szCs w:val="21"/>
                <w:lang w:eastAsia="zh-CN"/>
              </w:rPr>
              <w:t>打分项目</w:t>
            </w:r>
          </w:p>
        </w:tc>
        <w:tc>
          <w:tcPr>
            <w:tcW w:w="7165" w:type="dxa"/>
            <w:gridSpan w:val="2"/>
            <w:shd w:val="clear" w:color="auto" w:fill="BEBEBE"/>
            <w:noWrap w:val="0"/>
            <w:vAlign w:val="center"/>
          </w:tcPr>
          <w:p>
            <w:pPr>
              <w:spacing w:line="360" w:lineRule="auto"/>
              <w:jc w:val="center"/>
              <w:rPr>
                <w:rFonts w:hint="eastAsia" w:ascii="宋体" w:hAnsi="宋体" w:eastAsia="宋体" w:cs="宋体"/>
                <w:b/>
                <w:bCs/>
                <w:color w:val="000000"/>
                <w:sz w:val="21"/>
                <w:szCs w:val="21"/>
                <w:lang w:eastAsia="zh-CN"/>
              </w:rPr>
            </w:pPr>
            <w:r>
              <w:rPr>
                <w:rFonts w:hint="eastAsia" w:ascii="宋体" w:hAnsi="宋体" w:eastAsia="宋体" w:cs="宋体"/>
                <w:b/>
                <w:color w:val="000000"/>
                <w:sz w:val="21"/>
                <w:szCs w:val="21"/>
                <w:lang w:eastAsia="zh-CN"/>
              </w:rPr>
              <w:t>打</w:t>
            </w:r>
            <w:r>
              <w:rPr>
                <w:rFonts w:hint="eastAsia" w:ascii="宋体" w:hAnsi="宋体" w:eastAsia="宋体" w:cs="宋体"/>
                <w:b/>
                <w:color w:val="000000"/>
                <w:sz w:val="21"/>
                <w:szCs w:val="21"/>
                <w:lang w:val="en-US" w:eastAsia="zh-CN"/>
              </w:rPr>
              <w:t xml:space="preserve"> </w:t>
            </w:r>
            <w:r>
              <w:rPr>
                <w:rFonts w:hint="eastAsia" w:ascii="宋体" w:hAnsi="宋体" w:eastAsia="宋体" w:cs="宋体"/>
                <w:b/>
                <w:color w:val="000000"/>
                <w:sz w:val="21"/>
                <w:szCs w:val="21"/>
                <w:lang w:eastAsia="zh-CN"/>
              </w:rPr>
              <w:t>分</w:t>
            </w:r>
            <w:r>
              <w:rPr>
                <w:rFonts w:hint="eastAsia" w:ascii="宋体" w:hAnsi="宋体" w:eastAsia="宋体" w:cs="宋体"/>
                <w:b/>
                <w:color w:val="000000"/>
                <w:sz w:val="21"/>
                <w:szCs w:val="21"/>
                <w:lang w:val="en-US" w:eastAsia="zh-CN"/>
              </w:rPr>
              <w:t xml:space="preserve"> </w:t>
            </w:r>
            <w:r>
              <w:rPr>
                <w:rFonts w:hint="eastAsia" w:ascii="宋体" w:hAnsi="宋体" w:eastAsia="宋体" w:cs="宋体"/>
                <w:b/>
                <w:color w:val="000000"/>
                <w:sz w:val="21"/>
                <w:szCs w:val="21"/>
                <w:lang w:eastAsia="zh-CN"/>
              </w:rPr>
              <w:t>细</w:t>
            </w:r>
            <w:r>
              <w:rPr>
                <w:rFonts w:hint="eastAsia" w:ascii="宋体" w:hAnsi="宋体" w:eastAsia="宋体" w:cs="宋体"/>
                <w:b/>
                <w:color w:val="000000"/>
                <w:sz w:val="21"/>
                <w:szCs w:val="21"/>
                <w:lang w:val="en-US" w:eastAsia="zh-CN"/>
              </w:rPr>
              <w:t xml:space="preserve"> </w:t>
            </w:r>
            <w:r>
              <w:rPr>
                <w:rFonts w:hint="eastAsia" w:ascii="宋体" w:hAnsi="宋体" w:eastAsia="宋体" w:cs="宋体"/>
                <w:b/>
                <w:color w:val="000000"/>
                <w:sz w:val="21"/>
                <w:szCs w:val="21"/>
                <w:lang w:eastAsia="zh-CN"/>
              </w:rPr>
              <w:t>则</w:t>
            </w:r>
          </w:p>
        </w:tc>
        <w:tc>
          <w:tcPr>
            <w:tcW w:w="720" w:type="dxa"/>
            <w:shd w:val="clear" w:color="auto" w:fill="BEBEBE"/>
            <w:noWrap w:val="0"/>
            <w:vAlign w:val="center"/>
          </w:tcPr>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color w:val="00000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250" w:type="dxa"/>
            <w:vMerge w:val="restart"/>
            <w:noWrap w:val="0"/>
            <w:vAlign w:val="center"/>
          </w:tcPr>
          <w:p>
            <w:pPr>
              <w:spacing w:line="36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技术性能</w:t>
            </w:r>
          </w:p>
          <w:p>
            <w:pPr>
              <w:pStyle w:val="10"/>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b/>
                <w:bCs/>
                <w:color w:val="000000"/>
                <w:sz w:val="21"/>
                <w:szCs w:val="21"/>
                <w:lang w:val="en-US" w:eastAsia="zh-CN"/>
              </w:rPr>
              <w:t>（4</w:t>
            </w:r>
            <w:r>
              <w:rPr>
                <w:rFonts w:hint="eastAsia" w:ascii="宋体" w:hAnsi="宋体" w:cs="宋体"/>
                <w:b/>
                <w:bCs/>
                <w:color w:val="000000"/>
                <w:sz w:val="21"/>
                <w:szCs w:val="21"/>
                <w:lang w:val="en-US" w:eastAsia="zh-CN"/>
              </w:rPr>
              <w:t>5</w:t>
            </w:r>
            <w:r>
              <w:rPr>
                <w:rFonts w:hint="eastAsia" w:ascii="宋体" w:hAnsi="宋体" w:eastAsia="宋体" w:cs="宋体"/>
                <w:b/>
                <w:bCs/>
                <w:color w:val="000000"/>
                <w:sz w:val="21"/>
                <w:szCs w:val="21"/>
                <w:lang w:eastAsia="zh-CN"/>
              </w:rPr>
              <w:t>分）</w:t>
            </w:r>
          </w:p>
        </w:tc>
        <w:tc>
          <w:tcPr>
            <w:tcW w:w="1240" w:type="dxa"/>
            <w:vMerge w:val="restart"/>
            <w:noWrap w:val="0"/>
            <w:vAlign w:val="center"/>
          </w:tcPr>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需求理解</w:t>
            </w:r>
          </w:p>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与分析</w:t>
            </w:r>
          </w:p>
        </w:tc>
        <w:tc>
          <w:tcPr>
            <w:tcW w:w="5925" w:type="dxa"/>
            <w:noWrap w:val="0"/>
            <w:vAlign w:val="center"/>
          </w:tcPr>
          <w:p>
            <w:pPr>
              <w:spacing w:line="360"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投标人对项目现状及需求描述的全面性、准确性、针对性，进行分档打分。第一档3-2.1，第二档2-1.1分，第三档1-0分。</w:t>
            </w:r>
          </w:p>
        </w:tc>
        <w:tc>
          <w:tcPr>
            <w:tcW w:w="720" w:type="dxa"/>
            <w:noWrap w:val="0"/>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250" w:type="dxa"/>
            <w:vMerge w:val="continue"/>
            <w:noWrap w:val="0"/>
            <w:vAlign w:val="center"/>
          </w:tcPr>
          <w:p>
            <w:pPr>
              <w:spacing w:line="360" w:lineRule="auto"/>
              <w:jc w:val="center"/>
              <w:rPr>
                <w:rFonts w:hint="eastAsia" w:ascii="宋体" w:hAnsi="宋体" w:eastAsia="宋体" w:cs="宋体"/>
                <w:b/>
                <w:bCs/>
                <w:color w:val="000000"/>
                <w:sz w:val="21"/>
                <w:szCs w:val="21"/>
              </w:rPr>
            </w:pPr>
          </w:p>
        </w:tc>
        <w:tc>
          <w:tcPr>
            <w:tcW w:w="1240" w:type="dxa"/>
            <w:vMerge w:val="continue"/>
            <w:noWrap w:val="0"/>
            <w:vAlign w:val="center"/>
          </w:tcPr>
          <w:p>
            <w:pPr>
              <w:spacing w:line="360" w:lineRule="auto"/>
              <w:jc w:val="center"/>
              <w:rPr>
                <w:rFonts w:hint="eastAsia" w:ascii="宋体" w:hAnsi="宋体" w:eastAsia="宋体" w:cs="宋体"/>
                <w:b/>
                <w:bCs/>
                <w:color w:val="000000"/>
                <w:sz w:val="21"/>
                <w:szCs w:val="21"/>
              </w:rPr>
            </w:pPr>
          </w:p>
        </w:tc>
        <w:tc>
          <w:tcPr>
            <w:tcW w:w="5925" w:type="dxa"/>
            <w:noWrap w:val="0"/>
            <w:vAlign w:val="center"/>
          </w:tcPr>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投标人</w:t>
            </w:r>
            <w:r>
              <w:rPr>
                <w:rFonts w:hint="eastAsia" w:ascii="宋体" w:hAnsi="宋体" w:eastAsia="宋体" w:cs="宋体"/>
                <w:color w:val="000000"/>
                <w:sz w:val="21"/>
                <w:szCs w:val="21"/>
              </w:rPr>
              <w:t>对项目重点、难点的把握，</w:t>
            </w:r>
            <w:r>
              <w:rPr>
                <w:rFonts w:hint="eastAsia" w:ascii="宋体" w:hAnsi="宋体" w:eastAsia="宋体" w:cs="宋体"/>
                <w:color w:val="000000"/>
                <w:sz w:val="21"/>
                <w:szCs w:val="21"/>
                <w:lang w:val="en-US" w:eastAsia="zh-CN"/>
              </w:rPr>
              <w:t>原有系统的了解情况及</w:t>
            </w:r>
            <w:r>
              <w:rPr>
                <w:rFonts w:hint="eastAsia" w:ascii="宋体" w:hAnsi="宋体" w:eastAsia="宋体" w:cs="宋体"/>
                <w:color w:val="000000"/>
                <w:sz w:val="21"/>
                <w:szCs w:val="21"/>
              </w:rPr>
              <w:t>合理化建议</w:t>
            </w:r>
            <w:r>
              <w:rPr>
                <w:rFonts w:hint="eastAsia" w:ascii="宋体" w:hAnsi="宋体" w:eastAsia="宋体" w:cs="宋体"/>
                <w:color w:val="000000"/>
                <w:sz w:val="21"/>
                <w:szCs w:val="21"/>
                <w:lang w:val="en-US" w:eastAsia="zh-CN"/>
              </w:rPr>
              <w:t>情况，进行分档打分。第一档3-2.1，第二档2-1.1分，第三档1-0分</w:t>
            </w:r>
            <w:r>
              <w:rPr>
                <w:rFonts w:hint="eastAsia" w:ascii="宋体" w:hAnsi="宋体" w:eastAsia="宋体" w:cs="宋体"/>
                <w:color w:val="000000"/>
                <w:sz w:val="21"/>
                <w:szCs w:val="21"/>
              </w:rPr>
              <w:t>。</w:t>
            </w:r>
          </w:p>
        </w:tc>
        <w:tc>
          <w:tcPr>
            <w:tcW w:w="720" w:type="dxa"/>
            <w:noWrap w:val="0"/>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0" w:hRule="atLeast"/>
          <w:jc w:val="center"/>
        </w:trPr>
        <w:tc>
          <w:tcPr>
            <w:tcW w:w="1250" w:type="dxa"/>
            <w:vMerge w:val="continue"/>
            <w:noWrap w:val="0"/>
            <w:vAlign w:val="center"/>
          </w:tcPr>
          <w:p>
            <w:pPr>
              <w:spacing w:line="360" w:lineRule="auto"/>
              <w:jc w:val="center"/>
              <w:rPr>
                <w:rFonts w:hint="eastAsia" w:ascii="宋体" w:hAnsi="宋体" w:eastAsia="宋体" w:cs="宋体"/>
                <w:b/>
                <w:bCs/>
                <w:color w:val="000000"/>
                <w:sz w:val="21"/>
                <w:szCs w:val="21"/>
              </w:rPr>
            </w:pPr>
          </w:p>
        </w:tc>
        <w:tc>
          <w:tcPr>
            <w:tcW w:w="1240" w:type="dxa"/>
            <w:noWrap w:val="0"/>
            <w:vAlign w:val="center"/>
          </w:tcPr>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技术及服务方案</w:t>
            </w:r>
          </w:p>
        </w:tc>
        <w:tc>
          <w:tcPr>
            <w:tcW w:w="5925" w:type="dxa"/>
            <w:noWrap w:val="0"/>
            <w:vAlign w:val="center"/>
          </w:tcPr>
          <w:p>
            <w:pPr>
              <w:pStyle w:val="11"/>
              <w:snapToGrid w:val="0"/>
              <w:spacing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2"/>
                <w:sz w:val="21"/>
                <w:szCs w:val="21"/>
                <w:highlight w:val="none"/>
              </w:rPr>
              <w:t>根据投</w:t>
            </w:r>
            <w:r>
              <w:rPr>
                <w:rFonts w:hint="eastAsia" w:ascii="宋体" w:hAnsi="宋体" w:eastAsia="宋体" w:cs="宋体"/>
                <w:color w:val="000000"/>
                <w:kern w:val="0"/>
                <w:sz w:val="21"/>
                <w:szCs w:val="21"/>
                <w:highlight w:val="none"/>
              </w:rPr>
              <w:t>标人对智慧政务大厅的理解及整体设计方案</w:t>
            </w:r>
            <w:r>
              <w:rPr>
                <w:rFonts w:hint="eastAsia" w:ascii="宋体" w:hAnsi="宋体" w:eastAsia="宋体" w:cs="宋体"/>
                <w:color w:val="000000"/>
                <w:kern w:val="0"/>
                <w:sz w:val="21"/>
                <w:szCs w:val="21"/>
                <w:highlight w:val="none"/>
                <w:lang w:val="en-US" w:eastAsia="zh-CN"/>
              </w:rPr>
              <w:t>的完整性、先进性、可操作性进行打分。</w:t>
            </w:r>
          </w:p>
          <w:p>
            <w:pPr>
              <w:pStyle w:val="11"/>
              <w:numPr>
                <w:ilvl w:val="0"/>
                <w:numId w:val="0"/>
              </w:numPr>
              <w:snapToGrid w:val="0"/>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 xml:space="preserve">   1、整体设计方案合理，内容全面详实，结合项目实际情况，可操作性强的，得</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en-US" w:eastAsia="zh-CN"/>
              </w:rPr>
              <w:t>.1分；方案内容一般的，得</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1</w: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6</w:t>
            </w:r>
            <w:r>
              <w:rPr>
                <w:rFonts w:hint="eastAsia" w:ascii="宋体" w:hAnsi="宋体" w:eastAsia="宋体" w:cs="宋体"/>
                <w:color w:val="000000"/>
                <w:sz w:val="21"/>
                <w:szCs w:val="21"/>
                <w:lang w:val="en-US" w:eastAsia="zh-CN"/>
              </w:rPr>
              <w:t>分；方案内容差的，得</w:t>
            </w:r>
            <w:r>
              <w:rPr>
                <w:rFonts w:hint="eastAsia" w:ascii="宋体" w:hAnsi="宋体" w:cs="宋体"/>
                <w:color w:val="000000"/>
                <w:sz w:val="21"/>
                <w:szCs w:val="21"/>
                <w:lang w:val="en-US" w:eastAsia="zh-CN"/>
              </w:rPr>
              <w:t>1.5</w:t>
            </w:r>
            <w:r>
              <w:rPr>
                <w:rFonts w:hint="eastAsia" w:ascii="宋体" w:hAnsi="宋体" w:eastAsia="宋体" w:cs="宋体"/>
                <w:color w:val="000000"/>
                <w:sz w:val="21"/>
                <w:szCs w:val="21"/>
                <w:lang w:val="en-US" w:eastAsia="zh-CN"/>
              </w:rPr>
              <w:t>-0分。</w:t>
            </w:r>
          </w:p>
          <w:p>
            <w:pPr>
              <w:pStyle w:val="11"/>
              <w:numPr>
                <w:ilvl w:val="0"/>
                <w:numId w:val="0"/>
              </w:num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highlight w:val="none"/>
                <w:lang w:val="en-US" w:eastAsia="zh-CN"/>
              </w:rPr>
              <w:t>2、根据</w:t>
            </w:r>
            <w:r>
              <w:rPr>
                <w:rFonts w:hint="eastAsia" w:ascii="宋体" w:hAnsi="宋体" w:eastAsia="宋体" w:cs="宋体"/>
                <w:color w:val="000000"/>
                <w:kern w:val="0"/>
                <w:sz w:val="21"/>
                <w:szCs w:val="21"/>
                <w:highlight w:val="none"/>
              </w:rPr>
              <w:t>政务服务2.0</w:t>
            </w:r>
            <w:r>
              <w:rPr>
                <w:rFonts w:hint="eastAsia" w:ascii="宋体" w:hAnsi="宋体" w:eastAsia="宋体" w:cs="宋体"/>
                <w:color w:val="000000"/>
                <w:kern w:val="0"/>
                <w:sz w:val="21"/>
                <w:szCs w:val="21"/>
                <w:highlight w:val="none"/>
                <w:lang w:val="en-US" w:eastAsia="zh-CN"/>
              </w:rPr>
              <w:t>在方案中的体现情况</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结合项目实际情况，可操作性强的，得3-2.1分；方案内容一般的，得2-1.1分；方案内容差的，得1-0分。</w:t>
            </w:r>
          </w:p>
          <w:p>
            <w:pPr>
              <w:pStyle w:val="11"/>
              <w:numPr>
                <w:ilvl w:val="0"/>
                <w:numId w:val="0"/>
              </w:num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3、根据所提供的与</w:t>
            </w:r>
            <w:r>
              <w:rPr>
                <w:rFonts w:hint="eastAsia" w:ascii="宋体" w:hAnsi="宋体" w:eastAsia="宋体" w:cs="宋体"/>
                <w:color w:val="000000"/>
                <w:kern w:val="0"/>
                <w:sz w:val="21"/>
                <w:szCs w:val="21"/>
                <w:highlight w:val="none"/>
              </w:rPr>
              <w:t>台州市</w:t>
            </w:r>
            <w:r>
              <w:rPr>
                <w:rFonts w:hint="eastAsia" w:ascii="宋体" w:hAnsi="宋体" w:eastAsia="宋体" w:cs="宋体"/>
                <w:color w:val="000000"/>
                <w:kern w:val="0"/>
                <w:sz w:val="21"/>
                <w:szCs w:val="21"/>
                <w:highlight w:val="none"/>
                <w:lang w:val="en-US" w:eastAsia="zh-CN"/>
              </w:rPr>
              <w:t>原有</w:t>
            </w:r>
            <w:r>
              <w:rPr>
                <w:rFonts w:hint="eastAsia" w:ascii="宋体" w:hAnsi="宋体" w:eastAsia="宋体" w:cs="宋体"/>
                <w:color w:val="000000"/>
                <w:kern w:val="0"/>
                <w:sz w:val="21"/>
                <w:szCs w:val="21"/>
                <w:highlight w:val="none"/>
              </w:rPr>
              <w:t>平台的</w:t>
            </w:r>
            <w:r>
              <w:rPr>
                <w:rFonts w:hint="eastAsia" w:ascii="宋体" w:hAnsi="宋体" w:eastAsia="宋体" w:cs="宋体"/>
                <w:color w:val="000000"/>
                <w:kern w:val="0"/>
                <w:sz w:val="21"/>
                <w:szCs w:val="21"/>
                <w:highlight w:val="none"/>
                <w:lang w:val="en-US" w:eastAsia="zh-CN"/>
              </w:rPr>
              <w:t>升级和</w:t>
            </w:r>
            <w:r>
              <w:rPr>
                <w:rFonts w:hint="eastAsia" w:ascii="宋体" w:hAnsi="宋体" w:eastAsia="宋体" w:cs="宋体"/>
                <w:color w:val="000000"/>
                <w:kern w:val="0"/>
                <w:sz w:val="21"/>
                <w:szCs w:val="21"/>
                <w:highlight w:val="none"/>
              </w:rPr>
              <w:t>数据对接</w:t>
            </w:r>
            <w:r>
              <w:rPr>
                <w:rFonts w:hint="eastAsia" w:ascii="宋体" w:hAnsi="宋体" w:eastAsia="宋体" w:cs="宋体"/>
                <w:color w:val="000000"/>
                <w:kern w:val="0"/>
                <w:sz w:val="21"/>
                <w:szCs w:val="21"/>
                <w:highlight w:val="none"/>
                <w:lang w:val="en-US" w:eastAsia="zh-CN"/>
              </w:rPr>
              <w:t>方案情况</w:t>
            </w:r>
            <w:r>
              <w:rPr>
                <w:rFonts w:hint="eastAsia" w:ascii="宋体" w:hAnsi="宋体" w:eastAsia="宋体" w:cs="宋体"/>
                <w:color w:val="000000"/>
                <w:kern w:val="0"/>
                <w:sz w:val="21"/>
                <w:szCs w:val="21"/>
                <w:highlight w:val="none"/>
              </w:rPr>
              <w:t>进行分档打分</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sz w:val="21"/>
                <w:szCs w:val="21"/>
                <w:lang w:val="en-US" w:eastAsia="zh-CN"/>
              </w:rPr>
              <w:t>结合项目实际情况，可操作性强的，得3-2.1分；方案内容一般的，得2-1.1分；方案内容差的，得1-0分。</w:t>
            </w:r>
          </w:p>
        </w:tc>
        <w:tc>
          <w:tcPr>
            <w:tcW w:w="720" w:type="dxa"/>
            <w:noWrap w:val="0"/>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r>
              <w:rPr>
                <w:rFonts w:hint="eastAsia" w:ascii="宋体" w:hAnsi="宋体" w:cs="宋体"/>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1250" w:type="dxa"/>
            <w:vMerge w:val="continue"/>
            <w:noWrap w:val="0"/>
            <w:vAlign w:val="center"/>
          </w:tcPr>
          <w:p>
            <w:pPr>
              <w:spacing w:line="360" w:lineRule="auto"/>
              <w:jc w:val="center"/>
              <w:rPr>
                <w:rFonts w:hint="eastAsia" w:ascii="宋体" w:hAnsi="宋体" w:eastAsia="宋体" w:cs="宋体"/>
                <w:b/>
                <w:bCs/>
                <w:color w:val="000000"/>
                <w:sz w:val="21"/>
                <w:szCs w:val="21"/>
              </w:rPr>
            </w:pPr>
          </w:p>
        </w:tc>
        <w:tc>
          <w:tcPr>
            <w:tcW w:w="1240" w:type="dxa"/>
            <w:noWrap w:val="0"/>
            <w:vAlign w:val="center"/>
          </w:tcPr>
          <w:p>
            <w:pPr>
              <w:spacing w:line="360" w:lineRule="auto"/>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实施方案</w:t>
            </w:r>
          </w:p>
        </w:tc>
        <w:tc>
          <w:tcPr>
            <w:tcW w:w="5925" w:type="dxa"/>
            <w:noWrap w:val="0"/>
            <w:vAlign w:val="center"/>
          </w:tcPr>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根据项目组织措施、实施进度计划、项目风险分析、测试与验收方案</w:t>
            </w:r>
            <w:r>
              <w:rPr>
                <w:rFonts w:hint="eastAsia" w:ascii="宋体" w:hAnsi="宋体" w:eastAsia="宋体" w:cs="宋体"/>
                <w:sz w:val="21"/>
                <w:szCs w:val="21"/>
                <w:lang w:val="en-US" w:eastAsia="zh-CN"/>
              </w:rPr>
              <w:t>及</w:t>
            </w:r>
            <w:r>
              <w:rPr>
                <w:rFonts w:hint="eastAsia" w:ascii="宋体" w:hAnsi="宋体" w:eastAsia="宋体" w:cs="宋体"/>
                <w:sz w:val="21"/>
                <w:szCs w:val="21"/>
              </w:rPr>
              <w:t>与台州市相关平台的数据对接</w:t>
            </w:r>
            <w:r>
              <w:rPr>
                <w:rFonts w:hint="eastAsia" w:ascii="宋体" w:hAnsi="宋体" w:eastAsia="宋体" w:cs="宋体"/>
                <w:sz w:val="21"/>
                <w:szCs w:val="21"/>
                <w:lang w:val="en-US" w:eastAsia="zh-CN"/>
              </w:rPr>
              <w:t>实施</w:t>
            </w:r>
            <w:r>
              <w:rPr>
                <w:rFonts w:hint="eastAsia" w:ascii="宋体" w:hAnsi="宋体" w:eastAsia="宋体" w:cs="宋体"/>
                <w:sz w:val="21"/>
                <w:szCs w:val="21"/>
              </w:rPr>
              <w:t>等内容的针对性、科学性、合理性、完整性等</w:t>
            </w:r>
            <w:r>
              <w:rPr>
                <w:rFonts w:hint="eastAsia" w:ascii="宋体" w:hAnsi="宋体" w:eastAsia="宋体" w:cs="宋体"/>
                <w:sz w:val="21"/>
                <w:szCs w:val="21"/>
                <w:lang w:val="en-US" w:eastAsia="zh-CN"/>
              </w:rPr>
              <w:t>情况</w:t>
            </w:r>
            <w:r>
              <w:rPr>
                <w:rFonts w:hint="eastAsia" w:ascii="宋体" w:hAnsi="宋体" w:eastAsia="宋体" w:cs="宋体"/>
                <w:sz w:val="21"/>
                <w:szCs w:val="21"/>
              </w:rPr>
              <w:t>进行分档打分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第一档</w:t>
            </w:r>
            <w:r>
              <w:rPr>
                <w:rFonts w:hint="eastAsia" w:ascii="宋体" w:hAnsi="宋体" w:cs="宋体"/>
                <w:sz w:val="21"/>
                <w:szCs w:val="21"/>
                <w:lang w:val="en-US" w:eastAsia="zh-CN"/>
              </w:rPr>
              <w:t>6</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4</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6</w:t>
            </w:r>
            <w:r>
              <w:rPr>
                <w:rFonts w:hint="eastAsia" w:ascii="宋体" w:hAnsi="宋体" w:eastAsia="宋体" w:cs="宋体"/>
                <w:sz w:val="21"/>
                <w:szCs w:val="21"/>
                <w:lang w:val="en-US" w:eastAsia="zh-CN"/>
              </w:rPr>
              <w:t>，</w:t>
            </w:r>
            <w:r>
              <w:rPr>
                <w:rFonts w:hint="eastAsia" w:ascii="宋体" w:hAnsi="宋体" w:eastAsia="宋体" w:cs="宋体"/>
                <w:sz w:val="21"/>
                <w:szCs w:val="21"/>
              </w:rPr>
              <w:t>第</w:t>
            </w:r>
            <w:r>
              <w:rPr>
                <w:rFonts w:hint="eastAsia" w:ascii="宋体" w:hAnsi="宋体" w:eastAsia="宋体" w:cs="宋体"/>
                <w:sz w:val="21"/>
                <w:szCs w:val="21"/>
                <w:lang w:val="en-US" w:eastAsia="zh-CN"/>
              </w:rPr>
              <w:t>二</w:t>
            </w:r>
            <w:r>
              <w:rPr>
                <w:rFonts w:hint="eastAsia" w:ascii="宋体" w:hAnsi="宋体" w:eastAsia="宋体" w:cs="宋体"/>
                <w:sz w:val="21"/>
                <w:szCs w:val="21"/>
              </w:rPr>
              <w:t>档</w:t>
            </w:r>
            <w:r>
              <w:rPr>
                <w:rFonts w:hint="eastAsia" w:ascii="宋体" w:hAnsi="宋体" w:cs="宋体"/>
                <w:sz w:val="21"/>
                <w:szCs w:val="21"/>
                <w:lang w:val="en-US" w:eastAsia="zh-CN"/>
              </w:rPr>
              <w:t>4.5</w:t>
            </w:r>
            <w:r>
              <w:rPr>
                <w:rFonts w:hint="eastAsia" w:ascii="宋体" w:hAnsi="宋体" w:eastAsia="宋体" w:cs="宋体"/>
                <w:sz w:val="21"/>
                <w:szCs w:val="21"/>
                <w:lang w:val="en-US" w:eastAsia="zh-CN"/>
              </w:rPr>
              <w:t>-3.1</w:t>
            </w:r>
            <w:r>
              <w:rPr>
                <w:rFonts w:hint="eastAsia" w:ascii="宋体" w:hAnsi="宋体" w:eastAsia="宋体" w:cs="宋体"/>
                <w:sz w:val="21"/>
                <w:szCs w:val="21"/>
              </w:rPr>
              <w:t>分，第</w:t>
            </w:r>
            <w:r>
              <w:rPr>
                <w:rFonts w:hint="eastAsia" w:ascii="宋体" w:hAnsi="宋体" w:eastAsia="宋体" w:cs="宋体"/>
                <w:sz w:val="21"/>
                <w:szCs w:val="21"/>
                <w:lang w:val="en-US" w:eastAsia="zh-CN"/>
              </w:rPr>
              <w:t>三</w:t>
            </w:r>
            <w:r>
              <w:rPr>
                <w:rFonts w:hint="eastAsia" w:ascii="宋体" w:hAnsi="宋体" w:eastAsia="宋体" w:cs="宋体"/>
                <w:sz w:val="21"/>
                <w:szCs w:val="21"/>
              </w:rPr>
              <w:t>档</w:t>
            </w: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1.6</w:t>
            </w:r>
            <w:r>
              <w:rPr>
                <w:rFonts w:hint="eastAsia" w:ascii="宋体" w:hAnsi="宋体" w:eastAsia="宋体" w:cs="宋体"/>
                <w:sz w:val="21"/>
                <w:szCs w:val="21"/>
              </w:rPr>
              <w:t>分，第</w:t>
            </w:r>
            <w:r>
              <w:rPr>
                <w:rFonts w:hint="eastAsia" w:ascii="宋体" w:hAnsi="宋体" w:eastAsia="宋体" w:cs="宋体"/>
                <w:sz w:val="21"/>
                <w:szCs w:val="21"/>
                <w:lang w:val="en-US" w:eastAsia="zh-CN"/>
              </w:rPr>
              <w:t>四</w:t>
            </w:r>
            <w:r>
              <w:rPr>
                <w:rFonts w:hint="eastAsia" w:ascii="宋体" w:hAnsi="宋体" w:eastAsia="宋体" w:cs="宋体"/>
                <w:sz w:val="21"/>
                <w:szCs w:val="21"/>
              </w:rPr>
              <w:t>档</w:t>
            </w:r>
            <w:r>
              <w:rPr>
                <w:rFonts w:hint="eastAsia" w:ascii="宋体" w:hAnsi="宋体" w:eastAsia="宋体" w:cs="宋体"/>
                <w:sz w:val="21"/>
                <w:szCs w:val="21"/>
                <w:lang w:val="en-US" w:eastAsia="zh-CN"/>
              </w:rPr>
              <w:t>1.5</w:t>
            </w:r>
            <w:r>
              <w:rPr>
                <w:rFonts w:hint="eastAsia" w:ascii="宋体" w:hAnsi="宋体" w:eastAsia="宋体" w:cs="宋体"/>
                <w:sz w:val="21"/>
                <w:szCs w:val="21"/>
              </w:rPr>
              <w:t>-</w:t>
            </w:r>
            <w:r>
              <w:rPr>
                <w:rFonts w:hint="eastAsia" w:ascii="宋体" w:hAnsi="宋体" w:eastAsia="宋体" w:cs="宋体"/>
                <w:sz w:val="21"/>
                <w:szCs w:val="21"/>
                <w:lang w:val="en-US" w:eastAsia="zh-CN"/>
              </w:rPr>
              <w:t>0</w:t>
            </w:r>
            <w:r>
              <w:rPr>
                <w:rFonts w:hint="eastAsia" w:ascii="宋体" w:hAnsi="宋体" w:eastAsia="宋体" w:cs="宋体"/>
                <w:sz w:val="21"/>
                <w:szCs w:val="21"/>
              </w:rPr>
              <w:t>分</w:t>
            </w:r>
            <w:r>
              <w:rPr>
                <w:rFonts w:hint="eastAsia" w:ascii="宋体" w:hAnsi="宋体" w:eastAsia="宋体" w:cs="宋体"/>
                <w:sz w:val="21"/>
                <w:szCs w:val="21"/>
                <w:lang w:eastAsia="zh-CN"/>
              </w:rPr>
              <w:t>。</w:t>
            </w:r>
          </w:p>
        </w:tc>
        <w:tc>
          <w:tcPr>
            <w:tcW w:w="720" w:type="dxa"/>
            <w:noWrap w:val="0"/>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1250" w:type="dxa"/>
            <w:vMerge w:val="continue"/>
            <w:noWrap w:val="0"/>
            <w:vAlign w:val="center"/>
          </w:tcPr>
          <w:p>
            <w:pPr>
              <w:spacing w:line="360" w:lineRule="auto"/>
              <w:jc w:val="center"/>
              <w:rPr>
                <w:rFonts w:hint="eastAsia" w:ascii="宋体" w:hAnsi="宋体" w:eastAsia="宋体" w:cs="宋体"/>
                <w:b/>
                <w:bCs/>
                <w:color w:val="000000"/>
                <w:sz w:val="21"/>
                <w:szCs w:val="21"/>
              </w:rPr>
            </w:pPr>
          </w:p>
        </w:tc>
        <w:tc>
          <w:tcPr>
            <w:tcW w:w="1240" w:type="dxa"/>
            <w:vMerge w:val="restart"/>
            <w:noWrap w:val="0"/>
            <w:vAlign w:val="center"/>
          </w:tcPr>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方案讲解及</w:t>
            </w:r>
          </w:p>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功能演示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建议用系统软件进行演示，如采用非原型演示最高不超过10分，演示时采用钉钉群直播形式，如非原型演示，投标人可以提前录屏并现场播放，视频播放时间不超过10分钟</w:t>
            </w:r>
            <w:r>
              <w:rPr>
                <w:rFonts w:hint="eastAsia" w:ascii="宋体" w:hAnsi="宋体" w:eastAsia="宋体" w:cs="宋体"/>
                <w:color w:val="auto"/>
                <w:sz w:val="21"/>
                <w:szCs w:val="21"/>
                <w:lang w:eastAsia="zh-CN"/>
              </w:rPr>
              <w:t>）</w:t>
            </w:r>
          </w:p>
        </w:tc>
        <w:tc>
          <w:tcPr>
            <w:tcW w:w="5925" w:type="dxa"/>
            <w:noWrap w:val="0"/>
            <w:vAlign w:val="center"/>
          </w:tcPr>
          <w:p>
            <w:pPr>
              <w:snapToGrid w:val="0"/>
              <w:spacing w:line="360" w:lineRule="auto"/>
              <w:ind w:firstLine="422" w:firstLineChars="200"/>
              <w:rPr>
                <w:rFonts w:hint="eastAsia" w:ascii="宋体" w:hAnsi="宋体" w:eastAsia="宋体" w:cs="宋体"/>
                <w:color w:val="auto"/>
                <w:sz w:val="21"/>
                <w:szCs w:val="21"/>
                <w:lang w:val="en-US" w:eastAsia="zh-Hans"/>
              </w:rPr>
            </w:pPr>
            <w:r>
              <w:rPr>
                <w:rFonts w:hint="eastAsia" w:ascii="宋体" w:hAnsi="宋体" w:eastAsia="宋体" w:cs="宋体"/>
                <w:b/>
                <w:bCs/>
                <w:color w:val="auto"/>
                <w:sz w:val="21"/>
                <w:szCs w:val="21"/>
                <w:lang w:val="en-US" w:eastAsia="zh-CN"/>
              </w:rPr>
              <w:t>政务服务地图</w:t>
            </w:r>
            <w:r>
              <w:rPr>
                <w:rFonts w:hint="eastAsia" w:ascii="宋体" w:hAnsi="宋体" w:eastAsia="宋体" w:cs="宋体"/>
                <w:b/>
                <w:bCs/>
                <w:color w:val="auto"/>
                <w:sz w:val="21"/>
                <w:szCs w:val="21"/>
                <w:lang w:val="en-US" w:eastAsia="zh-Hans"/>
              </w:rPr>
              <w:t>（</w:t>
            </w:r>
            <w:r>
              <w:rPr>
                <w:rFonts w:hint="eastAsia" w:ascii="宋体" w:hAnsi="宋体" w:eastAsia="宋体" w:cs="宋体"/>
                <w:b/>
                <w:bCs/>
                <w:color w:val="auto"/>
                <w:sz w:val="21"/>
                <w:szCs w:val="21"/>
                <w:lang w:eastAsia="zh-Hans"/>
              </w:rPr>
              <w:t>1</w:t>
            </w:r>
            <w:r>
              <w:rPr>
                <w:rFonts w:hint="eastAsia" w:ascii="宋体" w:hAnsi="宋体" w:eastAsia="宋体" w:cs="宋体"/>
                <w:b/>
                <w:bCs/>
                <w:color w:val="auto"/>
                <w:sz w:val="21"/>
                <w:szCs w:val="21"/>
                <w:lang w:val="en-US" w:eastAsia="zh-CN"/>
              </w:rPr>
              <w:t>0</w:t>
            </w:r>
            <w:r>
              <w:rPr>
                <w:rFonts w:hint="eastAsia" w:ascii="宋体" w:hAnsi="宋体" w:eastAsia="宋体" w:cs="宋体"/>
                <w:b/>
                <w:bCs/>
                <w:color w:val="auto"/>
                <w:sz w:val="21"/>
                <w:szCs w:val="21"/>
                <w:lang w:val="en-US" w:eastAsia="zh-Hans"/>
              </w:rPr>
              <w:t>分）：</w:t>
            </w:r>
            <w:r>
              <w:rPr>
                <w:rFonts w:hint="eastAsia" w:ascii="宋体" w:hAnsi="宋体" w:eastAsia="宋体" w:cs="宋体"/>
                <w:color w:val="auto"/>
                <w:sz w:val="21"/>
                <w:szCs w:val="21"/>
                <w:lang w:val="en-US" w:eastAsia="zh-Hans"/>
              </w:rPr>
              <w:t>根据采购需求演示政务服务地图功能，展示以下内容：</w:t>
            </w:r>
          </w:p>
          <w:p>
            <w:pPr>
              <w:numPr>
                <w:ilvl w:val="0"/>
                <w:numId w:val="0"/>
              </w:numPr>
              <w:snapToGrid w:val="0"/>
              <w:spacing w:line="360" w:lineRule="auto"/>
              <w:ind w:firstLine="420" w:firstLineChars="200"/>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en-US" w:eastAsia="zh-Hans"/>
              </w:rPr>
              <w:t>规划模块：</w:t>
            </w:r>
            <w:r>
              <w:rPr>
                <w:rFonts w:hint="eastAsia" w:ascii="宋体" w:hAnsi="宋体" w:eastAsia="宋体" w:cs="宋体"/>
                <w:color w:val="auto"/>
                <w:sz w:val="21"/>
                <w:szCs w:val="21"/>
                <w:lang w:val="en-US" w:eastAsia="zh-CN"/>
              </w:rPr>
              <w:t>①</w:t>
            </w:r>
            <w:r>
              <w:rPr>
                <w:rFonts w:hint="eastAsia" w:ascii="宋体" w:hAnsi="宋体" w:eastAsia="宋体" w:cs="宋体"/>
                <w:color w:val="auto"/>
                <w:sz w:val="21"/>
                <w:szCs w:val="21"/>
                <w:lang w:val="en-US" w:eastAsia="zh-Hans"/>
              </w:rPr>
              <w:t>演示规划模块区域网点布点情况，</w:t>
            </w:r>
            <w:r>
              <w:rPr>
                <w:rFonts w:hint="eastAsia" w:ascii="宋体" w:hAnsi="宋体" w:eastAsia="宋体" w:cs="宋体"/>
                <w:color w:val="auto"/>
                <w:sz w:val="21"/>
                <w:szCs w:val="21"/>
                <w:lang w:val="en-US" w:eastAsia="zh-CN"/>
              </w:rPr>
              <w:t>②</w:t>
            </w:r>
            <w:r>
              <w:rPr>
                <w:rFonts w:hint="eastAsia" w:ascii="宋体" w:hAnsi="宋体" w:eastAsia="宋体" w:cs="宋体"/>
                <w:color w:val="auto"/>
                <w:sz w:val="21"/>
                <w:szCs w:val="21"/>
                <w:lang w:val="en-US" w:eastAsia="zh-Hans"/>
              </w:rPr>
              <w:t>网点基本信息展示，</w:t>
            </w:r>
            <w:r>
              <w:rPr>
                <w:rFonts w:hint="eastAsia" w:ascii="宋体" w:hAnsi="宋体" w:eastAsia="宋体" w:cs="宋体"/>
                <w:color w:val="auto"/>
                <w:sz w:val="21"/>
                <w:szCs w:val="21"/>
                <w:lang w:val="en-US" w:eastAsia="zh-CN"/>
              </w:rPr>
              <w:t>③</w:t>
            </w:r>
            <w:r>
              <w:rPr>
                <w:rFonts w:hint="eastAsia" w:ascii="宋体" w:hAnsi="宋体" w:eastAsia="宋体" w:cs="宋体"/>
                <w:color w:val="auto"/>
                <w:sz w:val="21"/>
                <w:szCs w:val="21"/>
                <w:lang w:val="en-US" w:eastAsia="zh-Hans"/>
              </w:rPr>
              <w:t>网点15分钟办理圈显示，</w:t>
            </w:r>
            <w:r>
              <w:rPr>
                <w:rFonts w:hint="eastAsia" w:ascii="宋体" w:hAnsi="宋体" w:eastAsia="宋体" w:cs="宋体"/>
                <w:color w:val="auto"/>
                <w:sz w:val="21"/>
                <w:szCs w:val="21"/>
                <w:lang w:val="en-US" w:eastAsia="zh-CN"/>
              </w:rPr>
              <w:t>④</w:t>
            </w:r>
            <w:r>
              <w:rPr>
                <w:rFonts w:hint="eastAsia" w:ascii="宋体" w:hAnsi="宋体" w:eastAsia="宋体" w:cs="宋体"/>
                <w:color w:val="auto"/>
                <w:sz w:val="21"/>
                <w:szCs w:val="21"/>
                <w:lang w:val="en-US" w:eastAsia="zh-Hans"/>
              </w:rPr>
              <w:t>事项下放配置展示；本项</w:t>
            </w:r>
            <w:r>
              <w:rPr>
                <w:rFonts w:hint="eastAsia" w:ascii="宋体" w:hAnsi="宋体" w:eastAsia="宋体" w:cs="宋体"/>
                <w:color w:val="auto"/>
                <w:sz w:val="21"/>
                <w:szCs w:val="21"/>
                <w:lang w:val="en-US" w:eastAsia="zh-CN"/>
              </w:rPr>
              <w:t>满分4</w:t>
            </w:r>
            <w:r>
              <w:rPr>
                <w:rFonts w:hint="eastAsia" w:ascii="宋体" w:hAnsi="宋体" w:eastAsia="宋体" w:cs="宋体"/>
                <w:color w:val="auto"/>
                <w:sz w:val="21"/>
                <w:szCs w:val="21"/>
                <w:lang w:val="en-US" w:eastAsia="zh-Hans"/>
              </w:rPr>
              <w:t>分，</w:t>
            </w:r>
            <w:r>
              <w:rPr>
                <w:rFonts w:hint="eastAsia" w:ascii="宋体" w:hAnsi="宋体" w:eastAsia="宋体" w:cs="宋体"/>
                <w:color w:val="auto"/>
                <w:sz w:val="21"/>
                <w:szCs w:val="21"/>
                <w:lang w:val="en-US" w:eastAsia="zh-CN"/>
              </w:rPr>
              <w:t>每</w:t>
            </w:r>
            <w:r>
              <w:rPr>
                <w:rFonts w:hint="eastAsia" w:ascii="宋体" w:hAnsi="宋体" w:eastAsia="宋体" w:cs="宋体"/>
                <w:color w:val="auto"/>
                <w:sz w:val="21"/>
                <w:szCs w:val="21"/>
                <w:lang w:val="en-US" w:eastAsia="zh-Hans"/>
              </w:rPr>
              <w:t>缺少一个功能点扣</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en-US" w:eastAsia="zh-Hans"/>
              </w:rPr>
              <w:t>分，扣完为止；</w:t>
            </w:r>
          </w:p>
          <w:p>
            <w:pPr>
              <w:numPr>
                <w:ilvl w:val="0"/>
                <w:numId w:val="0"/>
              </w:numPr>
              <w:snapToGrid w:val="0"/>
              <w:spacing w:line="360" w:lineRule="auto"/>
              <w:ind w:firstLine="420" w:firstLineChars="200"/>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en-US" w:eastAsia="zh-Hans"/>
              </w:rPr>
              <w:t>监管模块：演示</w:t>
            </w:r>
            <w:r>
              <w:rPr>
                <w:rFonts w:hint="eastAsia" w:ascii="宋体" w:hAnsi="宋体" w:eastAsia="宋体" w:cs="宋体"/>
                <w:color w:val="auto"/>
                <w:sz w:val="21"/>
                <w:szCs w:val="21"/>
                <w:lang w:val="en-US" w:eastAsia="zh-CN"/>
              </w:rPr>
              <w:t>①</w:t>
            </w:r>
            <w:r>
              <w:rPr>
                <w:rFonts w:hint="eastAsia" w:ascii="宋体" w:hAnsi="宋体" w:eastAsia="宋体" w:cs="宋体"/>
                <w:color w:val="auto"/>
                <w:sz w:val="21"/>
                <w:szCs w:val="21"/>
                <w:lang w:val="en-US" w:eastAsia="zh-Hans"/>
              </w:rPr>
              <w:t>监管模块网点基本信息，</w:t>
            </w:r>
            <w:r>
              <w:rPr>
                <w:rFonts w:hint="eastAsia" w:ascii="宋体" w:hAnsi="宋体" w:eastAsia="宋体" w:cs="宋体"/>
                <w:color w:val="auto"/>
                <w:sz w:val="21"/>
                <w:szCs w:val="21"/>
                <w:lang w:val="en-US" w:eastAsia="zh-CN"/>
              </w:rPr>
              <w:t>②</w:t>
            </w:r>
            <w:r>
              <w:rPr>
                <w:rFonts w:hint="eastAsia" w:ascii="宋体" w:hAnsi="宋体" w:eastAsia="宋体" w:cs="宋体"/>
                <w:color w:val="auto"/>
                <w:sz w:val="21"/>
                <w:szCs w:val="21"/>
                <w:lang w:val="en-US" w:eastAsia="zh-Hans"/>
              </w:rPr>
              <w:t>监控接入点和监控拟调取界面；本项</w:t>
            </w:r>
            <w:r>
              <w:rPr>
                <w:rFonts w:hint="eastAsia" w:ascii="宋体" w:hAnsi="宋体" w:eastAsia="宋体" w:cs="宋体"/>
                <w:color w:val="auto"/>
                <w:sz w:val="21"/>
                <w:szCs w:val="21"/>
                <w:lang w:val="en-US" w:eastAsia="zh-CN"/>
              </w:rPr>
              <w:t>满分2</w:t>
            </w:r>
            <w:r>
              <w:rPr>
                <w:rFonts w:hint="eastAsia" w:ascii="宋体" w:hAnsi="宋体" w:eastAsia="宋体" w:cs="宋体"/>
                <w:color w:val="auto"/>
                <w:sz w:val="21"/>
                <w:szCs w:val="21"/>
                <w:lang w:val="en-US" w:eastAsia="zh-Hans"/>
              </w:rPr>
              <w:t>分，</w:t>
            </w:r>
            <w:r>
              <w:rPr>
                <w:rFonts w:hint="eastAsia" w:ascii="宋体" w:hAnsi="宋体" w:eastAsia="宋体" w:cs="宋体"/>
                <w:color w:val="auto"/>
                <w:sz w:val="21"/>
                <w:szCs w:val="21"/>
                <w:lang w:val="en-US" w:eastAsia="zh-CN"/>
              </w:rPr>
              <w:t>每</w:t>
            </w:r>
            <w:r>
              <w:rPr>
                <w:rFonts w:hint="eastAsia" w:ascii="宋体" w:hAnsi="宋体" w:eastAsia="宋体" w:cs="宋体"/>
                <w:color w:val="auto"/>
                <w:sz w:val="21"/>
                <w:szCs w:val="21"/>
                <w:lang w:val="en-US" w:eastAsia="zh-Hans"/>
              </w:rPr>
              <w:t>缺少一个功能点扣</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en-US" w:eastAsia="zh-Hans"/>
              </w:rPr>
              <w:t>分，扣完为止；</w:t>
            </w:r>
          </w:p>
          <w:p>
            <w:pPr>
              <w:numPr>
                <w:ilvl w:val="0"/>
                <w:numId w:val="0"/>
              </w:numPr>
              <w:snapToGrid w:val="0"/>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en-US" w:eastAsia="zh-Hans"/>
              </w:rPr>
              <w:t>服务模块：手机端演示</w:t>
            </w:r>
            <w:r>
              <w:rPr>
                <w:rFonts w:hint="eastAsia" w:ascii="宋体" w:hAnsi="宋体" w:eastAsia="宋体" w:cs="宋体"/>
                <w:color w:val="auto"/>
                <w:sz w:val="21"/>
                <w:szCs w:val="21"/>
                <w:lang w:val="en-US" w:eastAsia="zh-CN"/>
              </w:rPr>
              <w:t>①</w:t>
            </w:r>
            <w:r>
              <w:rPr>
                <w:rFonts w:hint="eastAsia" w:ascii="宋体" w:hAnsi="宋体" w:eastAsia="宋体" w:cs="宋体"/>
                <w:color w:val="auto"/>
                <w:sz w:val="21"/>
                <w:szCs w:val="21"/>
                <w:lang w:val="en-US" w:eastAsia="zh-Hans"/>
              </w:rPr>
              <w:t>就近大厅网点列表及网点信息，</w:t>
            </w:r>
            <w:r>
              <w:rPr>
                <w:rFonts w:hint="eastAsia" w:ascii="宋体" w:hAnsi="宋体" w:eastAsia="宋体" w:cs="宋体"/>
                <w:color w:val="auto"/>
                <w:sz w:val="21"/>
                <w:szCs w:val="21"/>
                <w:lang w:val="en-US" w:eastAsia="zh-CN"/>
              </w:rPr>
              <w:t>②</w:t>
            </w:r>
            <w:r>
              <w:rPr>
                <w:rFonts w:hint="eastAsia" w:ascii="宋体" w:hAnsi="宋体" w:eastAsia="宋体" w:cs="宋体"/>
                <w:color w:val="auto"/>
                <w:sz w:val="21"/>
                <w:szCs w:val="21"/>
                <w:lang w:val="en-US" w:eastAsia="zh-Hans"/>
              </w:rPr>
              <w:t>可通过事项搜索到办理网点，</w:t>
            </w:r>
            <w:r>
              <w:rPr>
                <w:rFonts w:hint="eastAsia" w:ascii="宋体" w:hAnsi="宋体" w:eastAsia="宋体" w:cs="宋体"/>
                <w:color w:val="auto"/>
                <w:sz w:val="21"/>
                <w:szCs w:val="21"/>
                <w:lang w:val="en-US" w:eastAsia="zh-CN"/>
              </w:rPr>
              <w:t>③</w:t>
            </w:r>
            <w:r>
              <w:rPr>
                <w:rFonts w:hint="eastAsia" w:ascii="宋体" w:hAnsi="宋体" w:eastAsia="宋体" w:cs="宋体"/>
                <w:color w:val="auto"/>
                <w:sz w:val="21"/>
                <w:szCs w:val="21"/>
                <w:lang w:val="en-US" w:eastAsia="zh-Hans"/>
              </w:rPr>
              <w:t>可通过办理网点查看办理事项，</w:t>
            </w:r>
            <w:r>
              <w:rPr>
                <w:rFonts w:hint="eastAsia" w:ascii="宋体" w:hAnsi="宋体" w:eastAsia="宋体" w:cs="宋体"/>
                <w:color w:val="auto"/>
                <w:sz w:val="21"/>
                <w:szCs w:val="21"/>
                <w:lang w:val="en-US" w:eastAsia="zh-CN"/>
              </w:rPr>
              <w:t>④查看</w:t>
            </w:r>
            <w:r>
              <w:rPr>
                <w:rFonts w:hint="eastAsia" w:ascii="宋体" w:hAnsi="宋体" w:eastAsia="宋体" w:cs="宋体"/>
                <w:color w:val="auto"/>
                <w:sz w:val="21"/>
                <w:szCs w:val="21"/>
                <w:lang w:val="en-US" w:eastAsia="zh-Hans"/>
              </w:rPr>
              <w:t>推荐办理信息；本项</w:t>
            </w:r>
            <w:r>
              <w:rPr>
                <w:rFonts w:hint="eastAsia" w:ascii="宋体" w:hAnsi="宋体" w:eastAsia="宋体" w:cs="宋体"/>
                <w:color w:val="auto"/>
                <w:sz w:val="21"/>
                <w:szCs w:val="21"/>
                <w:lang w:val="en-US" w:eastAsia="zh-CN"/>
              </w:rPr>
              <w:t>满分4</w:t>
            </w:r>
            <w:r>
              <w:rPr>
                <w:rFonts w:hint="eastAsia" w:ascii="宋体" w:hAnsi="宋体" w:eastAsia="宋体" w:cs="宋体"/>
                <w:color w:val="auto"/>
                <w:sz w:val="21"/>
                <w:szCs w:val="21"/>
                <w:lang w:val="en-US" w:eastAsia="zh-Hans"/>
              </w:rPr>
              <w:t>分，</w:t>
            </w:r>
            <w:r>
              <w:rPr>
                <w:rFonts w:hint="eastAsia" w:ascii="宋体" w:hAnsi="宋体" w:eastAsia="宋体" w:cs="宋体"/>
                <w:color w:val="auto"/>
                <w:sz w:val="21"/>
                <w:szCs w:val="21"/>
                <w:lang w:val="en-US" w:eastAsia="zh-CN"/>
              </w:rPr>
              <w:t>每</w:t>
            </w:r>
            <w:r>
              <w:rPr>
                <w:rFonts w:hint="eastAsia" w:ascii="宋体" w:hAnsi="宋体" w:eastAsia="宋体" w:cs="宋体"/>
                <w:color w:val="auto"/>
                <w:sz w:val="21"/>
                <w:szCs w:val="21"/>
                <w:lang w:val="en-US" w:eastAsia="zh-Hans"/>
              </w:rPr>
              <w:t>缺少一个功能点扣</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en-US" w:eastAsia="zh-Hans"/>
              </w:rPr>
              <w:t>分，扣完为止</w:t>
            </w:r>
            <w:r>
              <w:rPr>
                <w:rFonts w:hint="eastAsia" w:ascii="宋体" w:hAnsi="宋体" w:eastAsia="宋体" w:cs="宋体"/>
                <w:color w:val="auto"/>
                <w:sz w:val="21"/>
                <w:szCs w:val="21"/>
                <w:lang w:val="en-US" w:eastAsia="zh-CN"/>
              </w:rPr>
              <w:t>。</w:t>
            </w:r>
          </w:p>
        </w:tc>
        <w:tc>
          <w:tcPr>
            <w:tcW w:w="720" w:type="dxa"/>
            <w:noWrap w:val="0"/>
            <w:vAlign w:val="center"/>
          </w:tcPr>
          <w:p>
            <w:pPr>
              <w:spacing w:line="36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1250" w:type="dxa"/>
            <w:vMerge w:val="continue"/>
            <w:noWrap w:val="0"/>
            <w:vAlign w:val="center"/>
          </w:tcPr>
          <w:p>
            <w:pPr>
              <w:spacing w:line="360" w:lineRule="auto"/>
              <w:jc w:val="center"/>
              <w:rPr>
                <w:rFonts w:hint="eastAsia" w:ascii="宋体" w:hAnsi="宋体" w:eastAsia="宋体" w:cs="宋体"/>
                <w:b/>
                <w:bCs/>
                <w:color w:val="000000"/>
                <w:sz w:val="21"/>
                <w:szCs w:val="21"/>
              </w:rPr>
            </w:pPr>
          </w:p>
        </w:tc>
        <w:tc>
          <w:tcPr>
            <w:tcW w:w="1240" w:type="dxa"/>
            <w:vMerge w:val="continue"/>
            <w:noWrap w:val="0"/>
            <w:vAlign w:val="center"/>
          </w:tcPr>
          <w:p>
            <w:pPr>
              <w:spacing w:line="360" w:lineRule="auto"/>
              <w:jc w:val="center"/>
              <w:rPr>
                <w:rFonts w:hint="eastAsia" w:ascii="宋体" w:hAnsi="宋体" w:eastAsia="宋体" w:cs="宋体"/>
                <w:b/>
                <w:bCs/>
                <w:color w:val="000000"/>
                <w:sz w:val="21"/>
                <w:szCs w:val="21"/>
              </w:rPr>
            </w:pPr>
          </w:p>
        </w:tc>
        <w:tc>
          <w:tcPr>
            <w:tcW w:w="5925" w:type="dxa"/>
            <w:noWrap w:val="0"/>
            <w:vAlign w:val="center"/>
          </w:tcPr>
          <w:p>
            <w:pPr>
              <w:snapToGrid w:val="0"/>
              <w:spacing w:line="360" w:lineRule="auto"/>
              <w:ind w:firstLine="422" w:firstLineChars="200"/>
              <w:rPr>
                <w:rFonts w:hint="eastAsia" w:ascii="宋体" w:hAnsi="宋体" w:eastAsia="宋体" w:cs="宋体"/>
                <w:color w:val="auto"/>
                <w:sz w:val="21"/>
                <w:szCs w:val="21"/>
                <w:lang w:val="en-US" w:eastAsia="zh-Hans"/>
              </w:rPr>
            </w:pPr>
            <w:r>
              <w:rPr>
                <w:rFonts w:hint="eastAsia" w:ascii="宋体" w:hAnsi="宋体" w:eastAsia="宋体" w:cs="宋体"/>
                <w:b/>
                <w:bCs/>
                <w:color w:val="auto"/>
                <w:sz w:val="21"/>
                <w:szCs w:val="21"/>
                <w:lang w:val="en-US" w:eastAsia="zh-Hans"/>
              </w:rPr>
              <w:t>政务数据分析（</w:t>
            </w:r>
            <w:r>
              <w:rPr>
                <w:rFonts w:hint="eastAsia" w:ascii="宋体" w:hAnsi="宋体" w:eastAsia="宋体" w:cs="宋体"/>
                <w:b/>
                <w:bCs/>
                <w:color w:val="auto"/>
                <w:sz w:val="21"/>
                <w:szCs w:val="21"/>
                <w:lang w:eastAsia="zh-Hans"/>
              </w:rPr>
              <w:t>1</w:t>
            </w:r>
            <w:r>
              <w:rPr>
                <w:rFonts w:hint="eastAsia" w:ascii="宋体" w:hAnsi="宋体" w:cs="宋体"/>
                <w:b/>
                <w:bCs/>
                <w:color w:val="auto"/>
                <w:sz w:val="21"/>
                <w:szCs w:val="21"/>
                <w:lang w:val="en-US" w:eastAsia="zh-CN"/>
              </w:rPr>
              <w:t>2</w:t>
            </w:r>
            <w:r>
              <w:rPr>
                <w:rFonts w:hint="eastAsia" w:ascii="宋体" w:hAnsi="宋体" w:eastAsia="宋体" w:cs="宋体"/>
                <w:b/>
                <w:bCs/>
                <w:color w:val="auto"/>
                <w:sz w:val="21"/>
                <w:szCs w:val="21"/>
                <w:lang w:val="en-US" w:eastAsia="zh-Hans"/>
              </w:rPr>
              <w:t>分）：</w:t>
            </w:r>
            <w:r>
              <w:rPr>
                <w:rFonts w:hint="eastAsia" w:ascii="宋体" w:hAnsi="宋体" w:eastAsia="宋体" w:cs="宋体"/>
                <w:color w:val="auto"/>
                <w:sz w:val="21"/>
                <w:szCs w:val="21"/>
                <w:lang w:val="en-US" w:eastAsia="zh-Hans"/>
              </w:rPr>
              <w:t>根据采购需求演示政务数据分析功能，展示以下内容：</w:t>
            </w:r>
          </w:p>
          <w:p>
            <w:pPr>
              <w:pStyle w:val="24"/>
              <w:spacing w:line="360" w:lineRule="auto"/>
              <w:ind w:firstLine="420" w:firstLineChars="200"/>
              <w:jc w:val="both"/>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en-US" w:eastAsia="zh-Hans"/>
              </w:rPr>
              <w:t>在可视化编辑页面中，演示</w:t>
            </w:r>
            <w:r>
              <w:rPr>
                <w:rFonts w:hint="eastAsia" w:ascii="宋体" w:hAnsi="宋体" w:eastAsia="宋体" w:cs="宋体"/>
                <w:color w:val="auto"/>
                <w:sz w:val="21"/>
                <w:szCs w:val="21"/>
                <w:lang w:val="en-US" w:eastAsia="zh-CN"/>
              </w:rPr>
              <w:t>①</w:t>
            </w:r>
            <w:r>
              <w:rPr>
                <w:rFonts w:hint="eastAsia" w:ascii="宋体" w:hAnsi="宋体" w:eastAsia="宋体" w:cs="宋体"/>
                <w:color w:val="auto"/>
                <w:sz w:val="21"/>
                <w:szCs w:val="21"/>
                <w:lang w:val="en-US" w:eastAsia="zh-Hans"/>
              </w:rPr>
              <w:t>具备120个以上的组件，组件分组支持10个分组</w:t>
            </w:r>
            <w:r>
              <w:rPr>
                <w:rFonts w:hint="eastAsia" w:ascii="宋体" w:hAnsi="宋体" w:eastAsia="宋体" w:cs="宋体"/>
                <w:color w:val="auto"/>
                <w:sz w:val="21"/>
                <w:szCs w:val="21"/>
                <w:lang w:val="en-US" w:eastAsia="zh-CN"/>
              </w:rPr>
              <w:t>；②</w:t>
            </w:r>
            <w:r>
              <w:rPr>
                <w:rFonts w:hint="eastAsia" w:ascii="宋体" w:hAnsi="宋体" w:eastAsia="宋体" w:cs="宋体"/>
                <w:color w:val="auto"/>
                <w:sz w:val="21"/>
                <w:szCs w:val="21"/>
                <w:lang w:val="en-US" w:eastAsia="zh-Hans"/>
              </w:rPr>
              <w:t>演示普通图表组件具备平均60项以上不同的参数设置，细化到图上的每个色系、标签值、标签颜色、字体大小、X轴属性、Y轴属性等</w:t>
            </w:r>
            <w:r>
              <w:rPr>
                <w:rFonts w:hint="eastAsia" w:ascii="宋体" w:hAnsi="宋体" w:eastAsia="宋体" w:cs="宋体"/>
                <w:color w:val="auto"/>
                <w:sz w:val="21"/>
                <w:szCs w:val="21"/>
                <w:lang w:val="en-US" w:eastAsia="zh-CN"/>
              </w:rPr>
              <w:t>；③</w:t>
            </w:r>
            <w:r>
              <w:rPr>
                <w:rFonts w:hint="eastAsia" w:ascii="宋体" w:hAnsi="宋体" w:eastAsia="宋体" w:cs="宋体"/>
                <w:color w:val="auto"/>
                <w:sz w:val="21"/>
                <w:szCs w:val="21"/>
                <w:lang w:val="en-US" w:eastAsia="zh-Hans"/>
              </w:rPr>
              <w:t>演示组件中的日历组件、数据源组件、查询组件、下载组件</w:t>
            </w:r>
            <w:r>
              <w:rPr>
                <w:rFonts w:hint="eastAsia" w:ascii="宋体" w:hAnsi="宋体" w:eastAsia="宋体" w:cs="宋体"/>
                <w:color w:val="auto"/>
                <w:sz w:val="21"/>
                <w:szCs w:val="21"/>
                <w:lang w:val="en-US" w:eastAsia="zh-CN"/>
              </w:rPr>
              <w:t>；④</w:t>
            </w:r>
            <w:r>
              <w:rPr>
                <w:rFonts w:hint="eastAsia" w:ascii="宋体" w:hAnsi="宋体" w:eastAsia="宋体" w:cs="宋体"/>
                <w:color w:val="auto"/>
                <w:sz w:val="21"/>
                <w:szCs w:val="21"/>
                <w:lang w:val="en-US" w:eastAsia="zh-Hans"/>
              </w:rPr>
              <w:t>演示组件中的轮播容器、时间轴组件的配置及用法</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val="en-US" w:eastAsia="zh-Hans"/>
              </w:rPr>
              <w:t>本项</w:t>
            </w:r>
            <w:r>
              <w:rPr>
                <w:rFonts w:hint="eastAsia" w:ascii="宋体" w:hAnsi="宋体" w:eastAsia="宋体" w:cs="宋体"/>
                <w:color w:val="auto"/>
                <w:sz w:val="21"/>
                <w:szCs w:val="21"/>
                <w:lang w:val="en-US" w:eastAsia="zh-CN"/>
              </w:rPr>
              <w:t>满分4</w:t>
            </w:r>
            <w:r>
              <w:rPr>
                <w:rFonts w:hint="eastAsia" w:ascii="宋体" w:hAnsi="宋体" w:eastAsia="宋体" w:cs="宋体"/>
                <w:color w:val="auto"/>
                <w:sz w:val="21"/>
                <w:szCs w:val="21"/>
                <w:lang w:val="en-US" w:eastAsia="zh-Hans"/>
              </w:rPr>
              <w:t>分，</w:t>
            </w:r>
            <w:r>
              <w:rPr>
                <w:rFonts w:hint="eastAsia" w:ascii="宋体" w:hAnsi="宋体" w:eastAsia="宋体" w:cs="宋体"/>
                <w:color w:val="auto"/>
                <w:sz w:val="21"/>
                <w:szCs w:val="21"/>
                <w:lang w:val="en-US" w:eastAsia="zh-CN"/>
              </w:rPr>
              <w:t>每</w:t>
            </w:r>
            <w:r>
              <w:rPr>
                <w:rFonts w:hint="eastAsia" w:ascii="宋体" w:hAnsi="宋体" w:eastAsia="宋体" w:cs="宋体"/>
                <w:color w:val="auto"/>
                <w:sz w:val="21"/>
                <w:szCs w:val="21"/>
                <w:lang w:val="en-US" w:eastAsia="zh-Hans"/>
              </w:rPr>
              <w:t>缺少一个功能点扣</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en-US" w:eastAsia="zh-Hans"/>
              </w:rPr>
              <w:t>分，扣完为止；</w:t>
            </w:r>
          </w:p>
          <w:p>
            <w:pPr>
              <w:numPr>
                <w:ilvl w:val="0"/>
                <w:numId w:val="0"/>
              </w:numPr>
              <w:snapToGrid w:val="0"/>
              <w:spacing w:line="360" w:lineRule="auto"/>
              <w:ind w:firstLine="420" w:firstLineChars="200"/>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en-US" w:eastAsia="zh-Hans"/>
              </w:rPr>
              <w:t>演示</w:t>
            </w:r>
            <w:r>
              <w:rPr>
                <w:rFonts w:hint="eastAsia" w:ascii="宋体" w:hAnsi="宋体" w:eastAsia="宋体" w:cs="宋体"/>
                <w:color w:val="auto"/>
                <w:sz w:val="21"/>
                <w:szCs w:val="21"/>
                <w:lang w:val="en-US" w:eastAsia="zh-CN"/>
              </w:rPr>
              <w:t>①</w:t>
            </w:r>
            <w:r>
              <w:rPr>
                <w:rFonts w:hint="eastAsia" w:ascii="宋体" w:hAnsi="宋体" w:eastAsia="宋体" w:cs="宋体"/>
                <w:color w:val="auto"/>
                <w:sz w:val="21"/>
                <w:szCs w:val="21"/>
                <w:lang w:val="en-US" w:eastAsia="zh-Hans"/>
              </w:rPr>
              <w:t>PSD文件导入平台后自动生成页面的能力</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②</w:t>
            </w:r>
            <w:r>
              <w:rPr>
                <w:rFonts w:hint="eastAsia" w:ascii="宋体" w:hAnsi="宋体" w:eastAsia="宋体" w:cs="宋体"/>
                <w:color w:val="auto"/>
                <w:sz w:val="21"/>
                <w:szCs w:val="21"/>
                <w:lang w:val="en-US" w:eastAsia="zh-Hans"/>
              </w:rPr>
              <w:t>上传PSD源文件到编辑器中，平台自动解析源文件内容并生成页面，不需要手动设置组件位置、大小、颜色等属性</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Hans"/>
              </w:rPr>
              <w:t>本项</w:t>
            </w:r>
            <w:r>
              <w:rPr>
                <w:rFonts w:hint="eastAsia" w:ascii="宋体" w:hAnsi="宋体" w:eastAsia="宋体" w:cs="宋体"/>
                <w:color w:val="auto"/>
                <w:sz w:val="21"/>
                <w:szCs w:val="21"/>
                <w:lang w:val="en-US" w:eastAsia="zh-CN"/>
              </w:rPr>
              <w:t>满分2</w:t>
            </w:r>
            <w:r>
              <w:rPr>
                <w:rFonts w:hint="eastAsia" w:ascii="宋体" w:hAnsi="宋体" w:eastAsia="宋体" w:cs="宋体"/>
                <w:color w:val="auto"/>
                <w:sz w:val="21"/>
                <w:szCs w:val="21"/>
                <w:lang w:val="en-US" w:eastAsia="zh-Hans"/>
              </w:rPr>
              <w:t>分，</w:t>
            </w:r>
            <w:r>
              <w:rPr>
                <w:rFonts w:hint="eastAsia" w:ascii="宋体" w:hAnsi="宋体" w:eastAsia="宋体" w:cs="宋体"/>
                <w:color w:val="auto"/>
                <w:sz w:val="21"/>
                <w:szCs w:val="21"/>
                <w:lang w:val="en-US" w:eastAsia="zh-CN"/>
              </w:rPr>
              <w:t>不满足不得分</w:t>
            </w:r>
            <w:r>
              <w:rPr>
                <w:rFonts w:hint="eastAsia" w:ascii="宋体" w:hAnsi="宋体" w:eastAsia="宋体" w:cs="宋体"/>
                <w:color w:val="auto"/>
                <w:sz w:val="21"/>
                <w:szCs w:val="21"/>
                <w:lang w:val="en-US" w:eastAsia="zh-Hans"/>
              </w:rPr>
              <w:t>；</w:t>
            </w:r>
          </w:p>
          <w:p>
            <w:pPr>
              <w:numPr>
                <w:ilvl w:val="0"/>
                <w:numId w:val="0"/>
              </w:numPr>
              <w:snapToGrid w:val="0"/>
              <w:spacing w:line="360" w:lineRule="auto"/>
              <w:ind w:firstLine="420" w:firstLineChars="200"/>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en-US" w:eastAsia="zh-Hans"/>
              </w:rPr>
              <w:t>演示数据分析组件在进行数据建模时，提供自定义计算字段，内置丰富的计算函数（不少于30个），包括：总体标准偏差、样本标准偏差、总体方差、样本方差、幂运算、IF条件、CASE条件、空值判断、转换为字符串等，并且这些函数能以逻辑表达式的方式组合使用</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Hans"/>
              </w:rPr>
              <w:t>本项</w:t>
            </w:r>
            <w:r>
              <w:rPr>
                <w:rFonts w:hint="eastAsia" w:ascii="宋体" w:hAnsi="宋体" w:eastAsia="宋体" w:cs="宋体"/>
                <w:color w:val="auto"/>
                <w:sz w:val="21"/>
                <w:szCs w:val="21"/>
                <w:lang w:val="en-US" w:eastAsia="zh-CN"/>
              </w:rPr>
              <w:t>满分</w:t>
            </w: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Hans"/>
              </w:rPr>
              <w:t>分，</w:t>
            </w:r>
            <w:r>
              <w:rPr>
                <w:rFonts w:hint="eastAsia" w:ascii="宋体" w:hAnsi="宋体" w:eastAsia="宋体" w:cs="宋体"/>
                <w:color w:val="auto"/>
                <w:sz w:val="21"/>
                <w:szCs w:val="21"/>
                <w:lang w:val="en-US" w:eastAsia="zh-CN"/>
              </w:rPr>
              <w:t>不满足不得分。</w:t>
            </w:r>
          </w:p>
          <w:p>
            <w:pPr>
              <w:numPr>
                <w:ilvl w:val="0"/>
                <w:numId w:val="0"/>
              </w:numPr>
              <w:snapToGrid w:val="0"/>
              <w:spacing w:line="360" w:lineRule="auto"/>
              <w:ind w:firstLine="420" w:firstLineChars="200"/>
              <w:rPr>
                <w:rFonts w:hint="eastAsia" w:ascii="宋体" w:hAnsi="宋体" w:eastAsia="宋体" w:cs="宋体"/>
                <w:color w:val="auto"/>
                <w:sz w:val="21"/>
                <w:szCs w:val="21"/>
                <w:lang w:val="en-US" w:eastAsia="zh-Hans"/>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val="en-US" w:eastAsia="zh-Hans"/>
              </w:rPr>
              <w:t>演示计算函数中的</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val="en-US" w:eastAsia="zh-Hans"/>
              </w:rPr>
              <w:t>种函数以及逻辑表达式</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Hans"/>
              </w:rPr>
              <w:t>本项</w:t>
            </w:r>
            <w:r>
              <w:rPr>
                <w:rFonts w:hint="eastAsia" w:ascii="宋体" w:hAnsi="宋体" w:eastAsia="宋体" w:cs="宋体"/>
                <w:color w:val="auto"/>
                <w:sz w:val="21"/>
                <w:szCs w:val="21"/>
                <w:lang w:val="en-US" w:eastAsia="zh-CN"/>
              </w:rPr>
              <w:t>满分2</w:t>
            </w:r>
            <w:r>
              <w:rPr>
                <w:rFonts w:hint="eastAsia" w:ascii="宋体" w:hAnsi="宋体" w:eastAsia="宋体" w:cs="宋体"/>
                <w:color w:val="auto"/>
                <w:sz w:val="21"/>
                <w:szCs w:val="21"/>
                <w:lang w:val="en-US" w:eastAsia="zh-Hans"/>
              </w:rPr>
              <w:t>分，</w:t>
            </w:r>
            <w:r>
              <w:rPr>
                <w:rFonts w:hint="eastAsia" w:ascii="宋体" w:hAnsi="宋体" w:eastAsia="宋体" w:cs="宋体"/>
                <w:color w:val="auto"/>
                <w:sz w:val="21"/>
                <w:szCs w:val="21"/>
                <w:lang w:val="en-US" w:eastAsia="zh-CN"/>
              </w:rPr>
              <w:t>演示每</w:t>
            </w:r>
            <w:r>
              <w:rPr>
                <w:rFonts w:hint="eastAsia" w:ascii="宋体" w:hAnsi="宋体" w:eastAsia="宋体" w:cs="宋体"/>
                <w:color w:val="auto"/>
                <w:sz w:val="21"/>
                <w:szCs w:val="21"/>
                <w:lang w:val="en-US" w:eastAsia="zh-Hans"/>
              </w:rPr>
              <w:t>缺少一个函数以及逻辑表达式扣</w:t>
            </w:r>
            <w:r>
              <w:rPr>
                <w:rFonts w:hint="eastAsia" w:ascii="宋体" w:hAnsi="宋体" w:eastAsia="宋体" w:cs="宋体"/>
                <w:color w:val="auto"/>
                <w:sz w:val="21"/>
                <w:szCs w:val="21"/>
                <w:lang w:val="en-US" w:eastAsia="zh-CN"/>
              </w:rPr>
              <w:t>0.5</w:t>
            </w:r>
            <w:r>
              <w:rPr>
                <w:rFonts w:hint="eastAsia" w:ascii="宋体" w:hAnsi="宋体" w:eastAsia="宋体" w:cs="宋体"/>
                <w:color w:val="auto"/>
                <w:sz w:val="21"/>
                <w:szCs w:val="21"/>
                <w:lang w:val="en-US" w:eastAsia="zh-Hans"/>
              </w:rPr>
              <w:t>分，扣完为止；</w:t>
            </w:r>
          </w:p>
          <w:p>
            <w:pPr>
              <w:snapToGrid w:val="0"/>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en-US" w:eastAsia="zh-Hans"/>
              </w:rPr>
              <w:t>演示遥控器组件实现跨工程、跨终端的页面控制的能力，配置一个移动端的远程控制页面，演示通过点击移动端的按钮，实现上一页、下一页、指定页面的翻页等控制</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Hans"/>
              </w:rPr>
              <w:t>本项</w:t>
            </w:r>
            <w:r>
              <w:rPr>
                <w:rFonts w:hint="eastAsia" w:ascii="宋体" w:hAnsi="宋体" w:eastAsia="宋体" w:cs="宋体"/>
                <w:color w:val="auto"/>
                <w:sz w:val="21"/>
                <w:szCs w:val="21"/>
                <w:lang w:val="en-US" w:eastAsia="zh-CN"/>
              </w:rPr>
              <w:t>满分2</w:t>
            </w:r>
            <w:r>
              <w:rPr>
                <w:rFonts w:hint="eastAsia" w:ascii="宋体" w:hAnsi="宋体" w:eastAsia="宋体" w:cs="宋体"/>
                <w:color w:val="auto"/>
                <w:sz w:val="21"/>
                <w:szCs w:val="21"/>
                <w:lang w:val="en-US" w:eastAsia="zh-Hans"/>
              </w:rPr>
              <w:t>分，</w:t>
            </w:r>
            <w:r>
              <w:rPr>
                <w:rFonts w:hint="eastAsia" w:ascii="宋体" w:hAnsi="宋体" w:eastAsia="宋体" w:cs="宋体"/>
                <w:color w:val="auto"/>
                <w:sz w:val="21"/>
                <w:szCs w:val="21"/>
                <w:lang w:val="en-US" w:eastAsia="zh-CN"/>
              </w:rPr>
              <w:t>不满足不得分。</w:t>
            </w:r>
          </w:p>
        </w:tc>
        <w:tc>
          <w:tcPr>
            <w:tcW w:w="720" w:type="dxa"/>
            <w:noWrap w:val="0"/>
            <w:vAlign w:val="center"/>
          </w:tcPr>
          <w:p>
            <w:pPr>
              <w:spacing w:line="36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250" w:type="dxa"/>
            <w:vMerge w:val="restart"/>
            <w:noWrap w:val="0"/>
            <w:vAlign w:val="center"/>
          </w:tcPr>
          <w:p>
            <w:pPr>
              <w:pStyle w:val="10"/>
              <w:spacing w:line="360" w:lineRule="auto"/>
              <w:ind w:left="0" w:leftChars="0" w:firstLine="0" w:firstLineChars="0"/>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实力信誉及业绩</w:t>
            </w:r>
          </w:p>
          <w:p>
            <w:pPr>
              <w:pStyle w:val="10"/>
              <w:spacing w:line="360" w:lineRule="auto"/>
              <w:ind w:left="0" w:leftChars="0" w:firstLine="0" w:firstLineChars="0"/>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val="en-US" w:eastAsia="zh-CN"/>
              </w:rPr>
              <w:t>（</w:t>
            </w:r>
            <w:r>
              <w:rPr>
                <w:rFonts w:hint="eastAsia" w:ascii="宋体" w:hAnsi="宋体" w:cs="宋体"/>
                <w:b/>
                <w:bCs/>
                <w:color w:val="000000"/>
                <w:sz w:val="21"/>
                <w:szCs w:val="21"/>
                <w:lang w:val="en-US" w:eastAsia="zh-CN"/>
              </w:rPr>
              <w:t>21</w:t>
            </w:r>
            <w:r>
              <w:rPr>
                <w:rFonts w:hint="eastAsia" w:ascii="宋体" w:hAnsi="宋体" w:eastAsia="宋体" w:cs="宋体"/>
                <w:b/>
                <w:bCs/>
                <w:color w:val="000000"/>
                <w:sz w:val="21"/>
                <w:szCs w:val="21"/>
                <w:lang w:eastAsia="zh-CN"/>
              </w:rPr>
              <w:t>分）</w:t>
            </w:r>
          </w:p>
        </w:tc>
        <w:tc>
          <w:tcPr>
            <w:tcW w:w="1240" w:type="dxa"/>
            <w:vMerge w:val="restart"/>
            <w:noWrap w:val="0"/>
            <w:vAlign w:val="center"/>
          </w:tcPr>
          <w:p>
            <w:pPr>
              <w:spacing w:line="36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投标人</w:t>
            </w:r>
          </w:p>
          <w:p>
            <w:pPr>
              <w:spacing w:line="360" w:lineRule="auto"/>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实力</w:t>
            </w:r>
          </w:p>
        </w:tc>
        <w:tc>
          <w:tcPr>
            <w:tcW w:w="5925" w:type="dxa"/>
            <w:noWrap w:val="0"/>
            <w:vAlign w:val="center"/>
          </w:tcPr>
          <w:p>
            <w:pPr>
              <w:spacing w:line="360" w:lineRule="auto"/>
              <w:ind w:firstLine="412"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pacing w:val="-2"/>
                <w:sz w:val="21"/>
                <w:szCs w:val="21"/>
                <w:lang w:val="en-US" w:eastAsia="zh-CN"/>
              </w:rPr>
              <w:t>根据投标人的企业经营和信誉等相关情况进行分档打分，</w:t>
            </w:r>
            <w:r>
              <w:rPr>
                <w:rFonts w:hint="eastAsia" w:ascii="宋体" w:hAnsi="宋体" w:eastAsia="宋体" w:cs="宋体"/>
                <w:color w:val="auto"/>
                <w:sz w:val="21"/>
                <w:szCs w:val="21"/>
                <w:lang w:val="en-US" w:eastAsia="zh-CN"/>
              </w:rPr>
              <w:t>第一档3-2.1分，第二档2-1.1分，第三档1-0分</w:t>
            </w:r>
            <w:r>
              <w:rPr>
                <w:rFonts w:hint="eastAsia" w:ascii="宋体" w:hAnsi="宋体" w:eastAsia="宋体" w:cs="宋体"/>
                <w:color w:val="auto"/>
                <w:sz w:val="21"/>
                <w:szCs w:val="21"/>
              </w:rPr>
              <w:t>。</w:t>
            </w:r>
          </w:p>
        </w:tc>
        <w:tc>
          <w:tcPr>
            <w:tcW w:w="72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0" w:type="dxa"/>
            <w:vMerge w:val="continue"/>
            <w:noWrap w:val="0"/>
            <w:vAlign w:val="center"/>
          </w:tcPr>
          <w:p>
            <w:pPr>
              <w:pStyle w:val="10"/>
              <w:spacing w:line="360" w:lineRule="auto"/>
              <w:ind w:left="0" w:leftChars="0" w:firstLine="0" w:firstLineChars="0"/>
              <w:jc w:val="center"/>
              <w:rPr>
                <w:rFonts w:hint="eastAsia" w:ascii="宋体" w:hAnsi="宋体" w:eastAsia="宋体" w:cs="宋体"/>
                <w:b/>
                <w:bCs/>
                <w:color w:val="000000"/>
                <w:sz w:val="21"/>
                <w:szCs w:val="21"/>
                <w:lang w:eastAsia="zh-CN"/>
              </w:rPr>
            </w:pPr>
          </w:p>
        </w:tc>
        <w:tc>
          <w:tcPr>
            <w:tcW w:w="1240" w:type="dxa"/>
            <w:vMerge w:val="continue"/>
            <w:noWrap w:val="0"/>
            <w:vAlign w:val="center"/>
          </w:tcPr>
          <w:p>
            <w:pPr>
              <w:spacing w:line="360" w:lineRule="auto"/>
              <w:jc w:val="center"/>
              <w:rPr>
                <w:rFonts w:hint="eastAsia" w:ascii="宋体" w:hAnsi="宋体" w:eastAsia="宋体" w:cs="宋体"/>
                <w:b/>
                <w:bCs/>
                <w:color w:val="000000"/>
                <w:sz w:val="21"/>
                <w:szCs w:val="21"/>
                <w:lang w:val="en-US" w:eastAsia="zh-CN"/>
              </w:rPr>
            </w:pPr>
          </w:p>
        </w:tc>
        <w:tc>
          <w:tcPr>
            <w:tcW w:w="5925" w:type="dxa"/>
            <w:noWrap w:val="0"/>
            <w:vAlign w:val="center"/>
          </w:tcPr>
          <w:p>
            <w:pPr>
              <w:spacing w:line="360" w:lineRule="auto"/>
              <w:ind w:firstLine="412" w:firstLineChars="200"/>
              <w:rPr>
                <w:rFonts w:hint="eastAsia" w:ascii="宋体" w:hAnsi="宋体" w:eastAsia="宋体" w:cs="宋体"/>
                <w:b w:val="0"/>
                <w:bCs w:val="0"/>
                <w:color w:val="0000FF"/>
                <w:spacing w:val="-2"/>
                <w:sz w:val="21"/>
                <w:szCs w:val="21"/>
                <w:lang w:val="en-US" w:eastAsia="zh-CN"/>
              </w:rPr>
            </w:pPr>
            <w:r>
              <w:rPr>
                <w:rFonts w:hint="eastAsia" w:ascii="宋体" w:hAnsi="宋体" w:eastAsia="宋体" w:cs="宋体"/>
                <w:b w:val="0"/>
                <w:bCs w:val="0"/>
                <w:color w:val="0000FF"/>
                <w:spacing w:val="-2"/>
                <w:sz w:val="21"/>
                <w:szCs w:val="21"/>
                <w:lang w:val="en-US" w:eastAsia="zh-CN"/>
              </w:rPr>
              <w:t>投标人具备：</w:t>
            </w:r>
          </w:p>
          <w:p>
            <w:pPr>
              <w:spacing w:line="360" w:lineRule="auto"/>
              <w:ind w:firstLine="412" w:firstLineChars="200"/>
              <w:rPr>
                <w:rFonts w:hint="eastAsia" w:ascii="宋体" w:hAnsi="宋体" w:eastAsia="宋体" w:cs="宋体"/>
                <w:b w:val="0"/>
                <w:bCs w:val="0"/>
                <w:color w:val="auto"/>
                <w:spacing w:val="-2"/>
                <w:sz w:val="21"/>
                <w:szCs w:val="21"/>
                <w:lang w:val="en-US" w:eastAsia="zh-CN"/>
              </w:rPr>
            </w:pPr>
            <w:r>
              <w:rPr>
                <w:rFonts w:hint="eastAsia" w:ascii="宋体" w:hAnsi="宋体" w:eastAsia="宋体" w:cs="宋体"/>
                <w:b w:val="0"/>
                <w:bCs w:val="0"/>
                <w:color w:val="0000FF"/>
                <w:spacing w:val="-2"/>
                <w:sz w:val="21"/>
                <w:szCs w:val="21"/>
                <w:lang w:val="en-US" w:eastAsia="zh-CN"/>
              </w:rPr>
              <w:t>ISO9001质量管理体系</w:t>
            </w:r>
            <w:r>
              <w:rPr>
                <w:rFonts w:hint="eastAsia" w:ascii="宋体" w:hAnsi="宋体" w:cs="宋体"/>
                <w:b w:val="0"/>
                <w:bCs w:val="0"/>
                <w:color w:val="0000FF"/>
                <w:spacing w:val="-2"/>
                <w:sz w:val="21"/>
                <w:szCs w:val="21"/>
                <w:lang w:val="en-US" w:eastAsia="zh-CN"/>
              </w:rPr>
              <w:t>、</w:t>
            </w:r>
            <w:r>
              <w:rPr>
                <w:rFonts w:hint="eastAsia" w:ascii="宋体" w:hAnsi="宋体" w:eastAsia="宋体" w:cs="宋体"/>
                <w:b w:val="0"/>
                <w:bCs w:val="0"/>
                <w:color w:val="0000FF"/>
                <w:spacing w:val="-2"/>
                <w:sz w:val="21"/>
                <w:szCs w:val="21"/>
                <w:lang w:val="en-US" w:eastAsia="zh-CN"/>
              </w:rPr>
              <w:t>OHSAS18001职业健康管理体系</w:t>
            </w:r>
            <w:r>
              <w:rPr>
                <w:rFonts w:hint="eastAsia" w:ascii="宋体" w:hAnsi="宋体" w:cs="宋体"/>
                <w:b w:val="0"/>
                <w:bCs w:val="0"/>
                <w:color w:val="0000FF"/>
                <w:spacing w:val="-2"/>
                <w:sz w:val="21"/>
                <w:szCs w:val="21"/>
                <w:lang w:val="en-US" w:eastAsia="zh-CN"/>
              </w:rPr>
              <w:t>、</w:t>
            </w:r>
            <w:r>
              <w:rPr>
                <w:rFonts w:hint="eastAsia" w:ascii="宋体" w:hAnsi="宋体" w:eastAsia="宋体" w:cs="宋体"/>
                <w:b w:val="0"/>
                <w:bCs w:val="0"/>
                <w:color w:val="0000FF"/>
                <w:spacing w:val="-2"/>
                <w:sz w:val="21"/>
                <w:szCs w:val="21"/>
                <w:lang w:val="en-US" w:eastAsia="zh-CN"/>
              </w:rPr>
              <w:t>ISO27001信息安全管理体系</w:t>
            </w:r>
            <w:r>
              <w:rPr>
                <w:rFonts w:hint="eastAsia" w:ascii="宋体" w:hAnsi="宋体" w:cs="宋体"/>
                <w:b w:val="0"/>
                <w:bCs w:val="0"/>
                <w:color w:val="0000FF"/>
                <w:spacing w:val="-2"/>
                <w:sz w:val="21"/>
                <w:szCs w:val="21"/>
                <w:lang w:val="en-US" w:eastAsia="zh-CN"/>
              </w:rPr>
              <w:t>、</w:t>
            </w:r>
            <w:r>
              <w:rPr>
                <w:rFonts w:hint="eastAsia" w:ascii="宋体" w:hAnsi="宋体" w:eastAsia="宋体" w:cs="宋体"/>
                <w:b w:val="0"/>
                <w:bCs w:val="0"/>
                <w:color w:val="0000FF"/>
                <w:spacing w:val="-2"/>
                <w:sz w:val="21"/>
                <w:szCs w:val="21"/>
                <w:lang w:val="en-US" w:eastAsia="zh-CN"/>
              </w:rPr>
              <w:t>ISO20000信息技术服务管理体系</w:t>
            </w:r>
            <w:r>
              <w:rPr>
                <w:rFonts w:hint="eastAsia" w:ascii="宋体" w:hAnsi="宋体" w:cs="宋体"/>
                <w:b w:val="0"/>
                <w:bCs w:val="0"/>
                <w:color w:val="0000FF"/>
                <w:spacing w:val="-2"/>
                <w:sz w:val="21"/>
                <w:szCs w:val="21"/>
                <w:lang w:val="en-US" w:eastAsia="zh-CN"/>
              </w:rPr>
              <w:t>认证证书的，</w:t>
            </w:r>
            <w:r>
              <w:rPr>
                <w:rFonts w:hint="eastAsia" w:ascii="宋体" w:hAnsi="宋体" w:eastAsia="宋体" w:cs="宋体"/>
                <w:b w:val="0"/>
                <w:bCs w:val="0"/>
                <w:color w:val="0000FF"/>
                <w:spacing w:val="-2"/>
                <w:sz w:val="21"/>
                <w:szCs w:val="21"/>
                <w:lang w:val="en-US" w:eastAsia="zh-CN"/>
              </w:rPr>
              <w:t>每具备一项得</w:t>
            </w:r>
            <w:r>
              <w:rPr>
                <w:rFonts w:hint="eastAsia" w:ascii="宋体" w:hAnsi="宋体" w:cs="宋体"/>
                <w:b w:val="0"/>
                <w:bCs w:val="0"/>
                <w:color w:val="0000FF"/>
                <w:spacing w:val="-2"/>
                <w:sz w:val="21"/>
                <w:szCs w:val="21"/>
                <w:lang w:val="en-US" w:eastAsia="zh-CN"/>
              </w:rPr>
              <w:t>0.5</w:t>
            </w:r>
            <w:r>
              <w:rPr>
                <w:rFonts w:hint="eastAsia" w:ascii="宋体" w:hAnsi="宋体" w:eastAsia="宋体" w:cs="宋体"/>
                <w:b w:val="0"/>
                <w:bCs w:val="0"/>
                <w:color w:val="0000FF"/>
                <w:spacing w:val="-2"/>
                <w:sz w:val="21"/>
                <w:szCs w:val="21"/>
                <w:lang w:val="en-US" w:eastAsia="zh-CN"/>
              </w:rPr>
              <w:t>分，最高得2分。</w:t>
            </w:r>
          </w:p>
        </w:tc>
        <w:tc>
          <w:tcPr>
            <w:tcW w:w="72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0" w:type="dxa"/>
            <w:vMerge w:val="continue"/>
            <w:noWrap w:val="0"/>
            <w:vAlign w:val="center"/>
          </w:tcPr>
          <w:p>
            <w:pPr>
              <w:pStyle w:val="10"/>
              <w:spacing w:line="360" w:lineRule="auto"/>
              <w:ind w:left="0" w:leftChars="0" w:firstLine="0" w:firstLineChars="0"/>
              <w:jc w:val="center"/>
              <w:rPr>
                <w:rFonts w:hint="eastAsia" w:ascii="宋体" w:hAnsi="宋体" w:eastAsia="宋体" w:cs="宋体"/>
                <w:b/>
                <w:bCs/>
                <w:color w:val="000000"/>
                <w:sz w:val="21"/>
                <w:szCs w:val="21"/>
                <w:lang w:eastAsia="zh-CN"/>
              </w:rPr>
            </w:pPr>
          </w:p>
        </w:tc>
        <w:tc>
          <w:tcPr>
            <w:tcW w:w="1240" w:type="dxa"/>
            <w:noWrap w:val="0"/>
            <w:vAlign w:val="center"/>
          </w:tcPr>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项目业绩</w:t>
            </w:r>
          </w:p>
          <w:p>
            <w:pPr>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b/>
                <w:bCs/>
                <w:color w:val="000000"/>
                <w:sz w:val="21"/>
                <w:szCs w:val="21"/>
              </w:rPr>
              <w:t>（客观分）</w:t>
            </w:r>
          </w:p>
        </w:tc>
        <w:tc>
          <w:tcPr>
            <w:tcW w:w="5925" w:type="dxa"/>
            <w:noWrap w:val="0"/>
            <w:vAlign w:val="center"/>
          </w:tcPr>
          <w:p>
            <w:pPr>
              <w:spacing w:line="360" w:lineRule="auto"/>
              <w:ind w:firstLine="420"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sz w:val="21"/>
                <w:szCs w:val="21"/>
                <w:lang w:eastAsia="zh-CN"/>
              </w:rPr>
              <w:t>投标人</w:t>
            </w:r>
            <w:r>
              <w:rPr>
                <w:rFonts w:hint="eastAsia" w:ascii="宋体" w:hAnsi="宋体" w:eastAsia="宋体" w:cs="宋体"/>
                <w:b w:val="0"/>
                <w:bCs w:val="0"/>
                <w:color w:val="auto"/>
                <w:sz w:val="21"/>
                <w:szCs w:val="21"/>
              </w:rPr>
              <w:t>自</w:t>
            </w:r>
            <w:r>
              <w:rPr>
                <w:rFonts w:hint="eastAsia" w:ascii="宋体" w:hAnsi="宋体" w:cs="宋体"/>
                <w:b w:val="0"/>
                <w:bCs w:val="0"/>
                <w:color w:val="auto"/>
                <w:sz w:val="21"/>
                <w:szCs w:val="21"/>
                <w:lang w:val="en-US" w:eastAsia="zh-CN"/>
              </w:rPr>
              <w:t>2020</w:t>
            </w:r>
            <w:r>
              <w:rPr>
                <w:rFonts w:hint="eastAsia" w:ascii="宋体" w:hAnsi="宋体" w:eastAsia="宋体" w:cs="宋体"/>
                <w:b w:val="0"/>
                <w:bCs w:val="0"/>
                <w:color w:val="auto"/>
                <w:sz w:val="21"/>
                <w:szCs w:val="21"/>
              </w:rPr>
              <w:t>年</w:t>
            </w: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rPr>
              <w:t>月以来（以合同签订时间为准）的</w:t>
            </w:r>
            <w:r>
              <w:rPr>
                <w:rFonts w:hint="eastAsia" w:ascii="宋体" w:hAnsi="宋体" w:eastAsia="宋体" w:cs="宋体"/>
                <w:b w:val="0"/>
                <w:bCs w:val="0"/>
                <w:color w:val="auto"/>
                <w:sz w:val="21"/>
                <w:szCs w:val="21"/>
                <w:lang w:val="en-US" w:eastAsia="zh-CN"/>
              </w:rPr>
              <w:t>与</w:t>
            </w:r>
            <w:r>
              <w:rPr>
                <w:rFonts w:hint="eastAsia" w:ascii="宋体" w:hAnsi="宋体" w:eastAsia="宋体" w:cs="宋体"/>
                <w:b w:val="0"/>
                <w:bCs w:val="0"/>
                <w:color w:val="auto"/>
                <w:sz w:val="21"/>
                <w:szCs w:val="21"/>
              </w:rPr>
              <w:t>政务服务2.0技术服务或改造类似</w:t>
            </w:r>
            <w:r>
              <w:rPr>
                <w:rFonts w:hint="eastAsia" w:ascii="宋体" w:hAnsi="宋体" w:eastAsia="宋体" w:cs="宋体"/>
                <w:b w:val="0"/>
                <w:bCs w:val="0"/>
                <w:color w:val="auto"/>
                <w:sz w:val="21"/>
                <w:szCs w:val="21"/>
                <w:lang w:val="en-US" w:eastAsia="zh-CN"/>
              </w:rPr>
              <w:t>的</w:t>
            </w:r>
            <w:r>
              <w:rPr>
                <w:rFonts w:hint="eastAsia" w:ascii="宋体" w:hAnsi="宋体" w:eastAsia="宋体" w:cs="宋体"/>
                <w:b w:val="0"/>
                <w:bCs w:val="0"/>
                <w:color w:val="auto"/>
                <w:sz w:val="21"/>
                <w:szCs w:val="21"/>
              </w:rPr>
              <w:t>项目业绩，根据类似程度，进行</w:t>
            </w:r>
            <w:r>
              <w:rPr>
                <w:rFonts w:hint="eastAsia" w:ascii="宋体" w:hAnsi="宋体" w:eastAsia="宋体" w:cs="宋体"/>
                <w:b w:val="0"/>
                <w:bCs w:val="0"/>
                <w:color w:val="auto"/>
                <w:sz w:val="21"/>
                <w:szCs w:val="21"/>
                <w:lang w:eastAsia="zh-CN"/>
              </w:rPr>
              <w:t>打分</w:t>
            </w:r>
            <w:r>
              <w:rPr>
                <w:rFonts w:hint="eastAsia" w:ascii="宋体" w:hAnsi="宋体" w:eastAsia="宋体" w:cs="宋体"/>
                <w:b w:val="0"/>
                <w:bCs w:val="0"/>
                <w:color w:val="auto"/>
                <w:sz w:val="21"/>
                <w:szCs w:val="21"/>
              </w:rPr>
              <w:t>，每提供一个得</w:t>
            </w: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rPr>
              <w:t>分，最高得</w:t>
            </w:r>
            <w:r>
              <w:rPr>
                <w:rFonts w:hint="eastAsia" w:ascii="宋体" w:hAnsi="宋体" w:cs="宋体"/>
                <w:b w:val="0"/>
                <w:bCs w:val="0"/>
                <w:color w:val="auto"/>
                <w:sz w:val="21"/>
                <w:szCs w:val="21"/>
                <w:lang w:val="en-US" w:eastAsia="zh-CN"/>
              </w:rPr>
              <w:t>6</w:t>
            </w:r>
            <w:r>
              <w:rPr>
                <w:rFonts w:hint="eastAsia" w:ascii="宋体" w:hAnsi="宋体" w:eastAsia="宋体" w:cs="宋体"/>
                <w:b w:val="0"/>
                <w:bCs w:val="0"/>
                <w:color w:val="auto"/>
                <w:sz w:val="21"/>
                <w:szCs w:val="21"/>
              </w:rPr>
              <w:t>分。（需提供合同复印件等证明材料）</w:t>
            </w:r>
          </w:p>
        </w:tc>
        <w:tc>
          <w:tcPr>
            <w:tcW w:w="72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250" w:type="dxa"/>
            <w:vMerge w:val="continue"/>
            <w:noWrap w:val="0"/>
            <w:vAlign w:val="center"/>
          </w:tcPr>
          <w:p>
            <w:pPr>
              <w:pStyle w:val="10"/>
              <w:spacing w:line="360" w:lineRule="auto"/>
              <w:ind w:left="0" w:leftChars="0" w:firstLine="0" w:firstLineChars="0"/>
              <w:jc w:val="center"/>
              <w:rPr>
                <w:rFonts w:hint="eastAsia" w:ascii="宋体" w:hAnsi="宋体" w:eastAsia="宋体" w:cs="宋体"/>
                <w:b/>
                <w:bCs/>
                <w:color w:val="000000"/>
                <w:sz w:val="21"/>
                <w:szCs w:val="21"/>
                <w:lang w:eastAsia="zh-CN"/>
              </w:rPr>
            </w:pPr>
          </w:p>
        </w:tc>
        <w:tc>
          <w:tcPr>
            <w:tcW w:w="1240" w:type="dxa"/>
            <w:vMerge w:val="restart"/>
            <w:noWrap w:val="0"/>
            <w:vAlign w:val="center"/>
          </w:tcPr>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项目团队能力</w:t>
            </w:r>
          </w:p>
          <w:p>
            <w:pPr>
              <w:spacing w:line="360" w:lineRule="auto"/>
              <w:jc w:val="center"/>
              <w:rPr>
                <w:rFonts w:hint="eastAsia" w:ascii="宋体" w:hAnsi="宋体" w:eastAsia="宋体" w:cs="宋体"/>
                <w:b/>
                <w:bCs/>
                <w:color w:val="000000"/>
                <w:kern w:val="2"/>
                <w:sz w:val="21"/>
                <w:szCs w:val="21"/>
                <w:lang w:val="en-US" w:eastAsia="zh-CN" w:bidi="ar-SA"/>
              </w:rPr>
            </w:pPr>
            <w:r>
              <w:rPr>
                <w:rFonts w:hint="eastAsia" w:ascii="宋体" w:hAnsi="宋体" w:eastAsia="宋体" w:cs="宋体"/>
                <w:b/>
                <w:bCs/>
                <w:color w:val="auto"/>
                <w:sz w:val="21"/>
                <w:szCs w:val="21"/>
              </w:rPr>
              <w:t>（客观分）</w:t>
            </w:r>
          </w:p>
        </w:tc>
        <w:tc>
          <w:tcPr>
            <w:tcW w:w="5925" w:type="dxa"/>
            <w:noWrap w:val="0"/>
            <w:vAlign w:val="center"/>
          </w:tcPr>
          <w:p>
            <w:pPr>
              <w:spacing w:line="360" w:lineRule="auto"/>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eastAsia="zh-CN"/>
              </w:rPr>
              <w:t>投标人</w:t>
            </w:r>
            <w:r>
              <w:rPr>
                <w:rFonts w:hint="eastAsia" w:ascii="宋体" w:hAnsi="宋体" w:eastAsia="宋体" w:cs="宋体"/>
                <w:b w:val="0"/>
                <w:bCs w:val="0"/>
                <w:color w:val="auto"/>
                <w:sz w:val="21"/>
                <w:szCs w:val="21"/>
              </w:rPr>
              <w:t>拟派项目经理具备与本项目相适应的资质类别</w:t>
            </w:r>
            <w:r>
              <w:rPr>
                <w:rFonts w:hint="eastAsia" w:ascii="宋体" w:hAnsi="宋体" w:eastAsia="宋体" w:cs="宋体"/>
                <w:b w:val="0"/>
                <w:bCs w:val="0"/>
                <w:color w:val="auto"/>
                <w:sz w:val="21"/>
                <w:szCs w:val="21"/>
                <w:lang w:val="en-US" w:eastAsia="zh-CN"/>
              </w:rPr>
              <w:t>证书</w:t>
            </w:r>
            <w:r>
              <w:rPr>
                <w:rFonts w:hint="eastAsia" w:ascii="宋体" w:hAnsi="宋体" w:eastAsia="宋体" w:cs="宋体"/>
                <w:b w:val="0"/>
                <w:bCs w:val="0"/>
                <w:color w:val="auto"/>
                <w:sz w:val="21"/>
                <w:szCs w:val="21"/>
              </w:rPr>
              <w:t>:信息安全类、软件开发类、项目管理类，</w:t>
            </w:r>
            <w:r>
              <w:rPr>
                <w:rFonts w:hint="eastAsia" w:ascii="宋体" w:hAnsi="宋体" w:eastAsia="宋体" w:cs="宋体"/>
                <w:b w:val="0"/>
                <w:bCs w:val="0"/>
                <w:color w:val="auto"/>
                <w:sz w:val="21"/>
                <w:szCs w:val="21"/>
                <w:lang w:val="en-US" w:eastAsia="zh-CN"/>
              </w:rPr>
              <w:t>每具备一项得1分，最高得3分。</w:t>
            </w:r>
          </w:p>
          <w:p>
            <w:pPr>
              <w:spacing w:line="360" w:lineRule="auto"/>
              <w:ind w:firstLine="422" w:firstLineChars="200"/>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bCs/>
                <w:color w:val="auto"/>
                <w:sz w:val="21"/>
                <w:szCs w:val="21"/>
              </w:rPr>
              <w:t>需要提供相关证书扫描件，对应人员在</w:t>
            </w:r>
            <w:r>
              <w:rPr>
                <w:rFonts w:hint="eastAsia" w:ascii="宋体" w:hAnsi="宋体" w:eastAsia="宋体" w:cs="宋体"/>
                <w:b/>
                <w:bCs/>
                <w:color w:val="auto"/>
                <w:sz w:val="21"/>
                <w:szCs w:val="21"/>
                <w:lang w:eastAsia="zh-CN"/>
              </w:rPr>
              <w:t>投标人</w:t>
            </w:r>
            <w:r>
              <w:rPr>
                <w:rFonts w:hint="eastAsia" w:ascii="宋体" w:hAnsi="宋体" w:eastAsia="宋体" w:cs="宋体"/>
                <w:b/>
                <w:bCs/>
                <w:color w:val="auto"/>
                <w:sz w:val="21"/>
                <w:szCs w:val="21"/>
              </w:rPr>
              <w:t>单位近</w:t>
            </w: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个月</w:t>
            </w:r>
            <w:r>
              <w:rPr>
                <w:rFonts w:hint="eastAsia" w:ascii="宋体" w:hAnsi="宋体" w:eastAsia="宋体" w:cs="宋体"/>
                <w:b/>
                <w:bCs/>
                <w:color w:val="auto"/>
                <w:sz w:val="21"/>
                <w:szCs w:val="21"/>
                <w:lang w:val="en-US" w:eastAsia="zh-CN"/>
              </w:rPr>
              <w:t>及以上</w:t>
            </w:r>
            <w:r>
              <w:rPr>
                <w:rFonts w:hint="eastAsia" w:ascii="宋体" w:hAnsi="宋体" w:eastAsia="宋体" w:cs="宋体"/>
                <w:b/>
                <w:bCs/>
                <w:color w:val="auto"/>
                <w:sz w:val="21"/>
                <w:szCs w:val="21"/>
              </w:rPr>
              <w:t>的社保证明（截止开标之日起）。</w:t>
            </w:r>
          </w:p>
        </w:tc>
        <w:tc>
          <w:tcPr>
            <w:tcW w:w="720" w:type="dxa"/>
            <w:noWrap w:val="0"/>
            <w:vAlign w:val="center"/>
          </w:tcPr>
          <w:p>
            <w:pPr>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1250" w:type="dxa"/>
            <w:vMerge w:val="continue"/>
            <w:noWrap w:val="0"/>
            <w:vAlign w:val="center"/>
          </w:tcPr>
          <w:p>
            <w:pPr>
              <w:pStyle w:val="10"/>
              <w:spacing w:line="360" w:lineRule="auto"/>
              <w:ind w:left="0" w:leftChars="0" w:firstLine="0" w:firstLineChars="0"/>
              <w:jc w:val="center"/>
              <w:rPr>
                <w:rFonts w:hint="eastAsia" w:ascii="宋体" w:hAnsi="宋体" w:eastAsia="宋体" w:cs="宋体"/>
                <w:b/>
                <w:bCs/>
                <w:color w:val="000000"/>
                <w:sz w:val="21"/>
                <w:szCs w:val="21"/>
                <w:lang w:eastAsia="zh-CN"/>
              </w:rPr>
            </w:pPr>
          </w:p>
        </w:tc>
        <w:tc>
          <w:tcPr>
            <w:tcW w:w="1240" w:type="dxa"/>
            <w:vMerge w:val="continue"/>
            <w:noWrap w:val="0"/>
            <w:vAlign w:val="center"/>
          </w:tcPr>
          <w:p>
            <w:pPr>
              <w:spacing w:line="360" w:lineRule="auto"/>
              <w:jc w:val="center"/>
              <w:rPr>
                <w:rFonts w:hint="eastAsia" w:ascii="宋体" w:hAnsi="宋体" w:eastAsia="宋体" w:cs="宋体"/>
                <w:b/>
                <w:bCs/>
                <w:color w:val="000000"/>
                <w:sz w:val="21"/>
                <w:szCs w:val="21"/>
              </w:rPr>
            </w:pPr>
          </w:p>
        </w:tc>
        <w:tc>
          <w:tcPr>
            <w:tcW w:w="5925" w:type="dxa"/>
            <w:noWrap w:val="0"/>
            <w:vAlign w:val="center"/>
          </w:tcPr>
          <w:p>
            <w:pPr>
              <w:spacing w:line="360" w:lineRule="auto"/>
              <w:ind w:firstLine="420" w:firstLineChars="200"/>
              <w:rPr>
                <w:rFonts w:hint="eastAsia"/>
              </w:rPr>
            </w:pPr>
            <w:r>
              <w:rPr>
                <w:rFonts w:hint="eastAsia"/>
              </w:rPr>
              <w:t>项目团队成员（除项目经理外）人员具有</w:t>
            </w:r>
            <w:r>
              <w:rPr>
                <w:rFonts w:hint="eastAsia"/>
                <w:lang w:val="en-US" w:eastAsia="zh-CN"/>
              </w:rPr>
              <w:t>与本项目相适应的</w:t>
            </w:r>
            <w:r>
              <w:rPr>
                <w:rFonts w:hint="eastAsia"/>
              </w:rPr>
              <w:t>证书</w:t>
            </w:r>
            <w:r>
              <w:rPr>
                <w:rFonts w:hint="eastAsia"/>
                <w:lang w:eastAsia="zh-CN"/>
              </w:rPr>
              <w:t>（</w:t>
            </w:r>
            <w:r>
              <w:rPr>
                <w:rFonts w:hint="eastAsia"/>
                <w:lang w:val="en-US" w:eastAsia="zh-CN"/>
              </w:rPr>
              <w:t>包括但不限于以下</w:t>
            </w:r>
            <w:r>
              <w:rPr>
                <w:rFonts w:hint="eastAsia"/>
                <w:lang w:eastAsia="zh-CN"/>
              </w:rPr>
              <w:t>）：</w:t>
            </w:r>
            <w:r>
              <w:rPr>
                <w:rFonts w:hint="eastAsia"/>
              </w:rPr>
              <w:t>H3CSCE、信息系统项目管理师、PMP、信息安全规划师、CISP、大数据高级分析师、系统分析师、ITIL、OCJP等认证，每具备一项得</w:t>
            </w:r>
            <w:r>
              <w:rPr>
                <w:rFonts w:hint="eastAsia"/>
                <w:lang w:val="en-US" w:eastAsia="zh-CN"/>
              </w:rPr>
              <w:t>1</w:t>
            </w:r>
            <w:r>
              <w:rPr>
                <w:rFonts w:hint="eastAsia"/>
                <w:lang w:eastAsia="zh-CN"/>
              </w:rPr>
              <w:t>分，</w:t>
            </w:r>
            <w:r>
              <w:rPr>
                <w:rFonts w:hint="eastAsia"/>
                <w:lang w:val="en-US" w:eastAsia="zh-CN"/>
              </w:rPr>
              <w:t>最高得7分</w:t>
            </w:r>
            <w:r>
              <w:rPr>
                <w:rFonts w:hint="eastAsia"/>
                <w:lang w:eastAsia="zh-CN"/>
              </w:rPr>
              <w:t>。</w:t>
            </w:r>
            <w:r>
              <w:rPr>
                <w:rFonts w:hint="eastAsia"/>
              </w:rPr>
              <w:t>一人有多项证书的，只按一次得分。</w:t>
            </w:r>
          </w:p>
          <w:p>
            <w:pPr>
              <w:pStyle w:val="10"/>
              <w:spacing w:line="360" w:lineRule="auto"/>
              <w:rPr>
                <w:rFonts w:hint="eastAsia"/>
              </w:rPr>
            </w:pPr>
            <w:r>
              <w:rPr>
                <w:rFonts w:hint="eastAsia" w:ascii="宋体" w:hAnsi="宋体" w:eastAsia="宋体" w:cs="宋体"/>
                <w:b/>
                <w:bCs/>
                <w:color w:val="auto"/>
                <w:sz w:val="21"/>
                <w:szCs w:val="21"/>
              </w:rPr>
              <w:t>需要提供相关证书扫描件，对应人员在</w:t>
            </w:r>
            <w:r>
              <w:rPr>
                <w:rFonts w:hint="eastAsia" w:ascii="宋体" w:hAnsi="宋体" w:eastAsia="宋体" w:cs="宋体"/>
                <w:b/>
                <w:bCs/>
                <w:color w:val="auto"/>
                <w:sz w:val="21"/>
                <w:szCs w:val="21"/>
                <w:lang w:eastAsia="zh-CN"/>
              </w:rPr>
              <w:t>投标人</w:t>
            </w:r>
            <w:r>
              <w:rPr>
                <w:rFonts w:hint="eastAsia" w:ascii="宋体" w:hAnsi="宋体" w:eastAsia="宋体" w:cs="宋体"/>
                <w:b/>
                <w:bCs/>
                <w:color w:val="auto"/>
                <w:sz w:val="21"/>
                <w:szCs w:val="21"/>
              </w:rPr>
              <w:t>单位近</w:t>
            </w: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个月</w:t>
            </w:r>
            <w:r>
              <w:rPr>
                <w:rFonts w:hint="eastAsia" w:ascii="宋体" w:hAnsi="宋体" w:eastAsia="宋体" w:cs="宋体"/>
                <w:b/>
                <w:bCs/>
                <w:color w:val="auto"/>
                <w:sz w:val="21"/>
                <w:szCs w:val="21"/>
                <w:lang w:val="en-US" w:eastAsia="zh-CN"/>
              </w:rPr>
              <w:t>及以上</w:t>
            </w:r>
            <w:r>
              <w:rPr>
                <w:rFonts w:hint="eastAsia" w:ascii="宋体" w:hAnsi="宋体" w:eastAsia="宋体" w:cs="宋体"/>
                <w:b/>
                <w:bCs/>
                <w:color w:val="auto"/>
                <w:sz w:val="21"/>
                <w:szCs w:val="21"/>
              </w:rPr>
              <w:t>的社保证明（截止开标之日起）。</w:t>
            </w:r>
          </w:p>
        </w:tc>
        <w:tc>
          <w:tcPr>
            <w:tcW w:w="720" w:type="dxa"/>
            <w:noWrap w:val="0"/>
            <w:vAlign w:val="center"/>
          </w:tcPr>
          <w:p>
            <w:pPr>
              <w:spacing w:line="36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250" w:type="dxa"/>
            <w:vMerge w:val="restart"/>
            <w:noWrap w:val="0"/>
            <w:vAlign w:val="center"/>
          </w:tcPr>
          <w:p>
            <w:pPr>
              <w:pStyle w:val="10"/>
              <w:spacing w:line="360" w:lineRule="auto"/>
              <w:ind w:left="0" w:leftChars="0" w:firstLine="0" w:firstLineChars="0"/>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售后服务承诺</w:t>
            </w:r>
          </w:p>
          <w:p>
            <w:pPr>
              <w:pStyle w:val="10"/>
              <w:spacing w:line="360" w:lineRule="auto"/>
              <w:ind w:left="0" w:leftChars="0" w:firstLine="0" w:firstLineChars="0"/>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val="en-US" w:eastAsia="zh-CN"/>
              </w:rPr>
              <w:t>（1</w:t>
            </w:r>
            <w:r>
              <w:rPr>
                <w:rFonts w:hint="eastAsia" w:ascii="宋体" w:hAnsi="宋体" w:cs="宋体"/>
                <w:b/>
                <w:bCs/>
                <w:color w:val="000000"/>
                <w:sz w:val="21"/>
                <w:szCs w:val="21"/>
                <w:lang w:val="en-US" w:eastAsia="zh-CN"/>
              </w:rPr>
              <w:t>2</w:t>
            </w:r>
            <w:r>
              <w:rPr>
                <w:rFonts w:hint="eastAsia" w:ascii="宋体" w:hAnsi="宋体" w:eastAsia="宋体" w:cs="宋体"/>
                <w:b/>
                <w:bCs/>
                <w:color w:val="000000"/>
                <w:sz w:val="21"/>
                <w:szCs w:val="21"/>
                <w:lang w:eastAsia="zh-CN"/>
              </w:rPr>
              <w:t>分）</w:t>
            </w:r>
          </w:p>
        </w:tc>
        <w:tc>
          <w:tcPr>
            <w:tcW w:w="1240" w:type="dxa"/>
            <w:noWrap w:val="0"/>
            <w:vAlign w:val="center"/>
          </w:tcPr>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服务方案</w:t>
            </w:r>
          </w:p>
        </w:tc>
        <w:tc>
          <w:tcPr>
            <w:tcW w:w="5925" w:type="dxa"/>
            <w:noWrap w:val="0"/>
            <w:vAlign w:val="center"/>
          </w:tcPr>
          <w:p>
            <w:pPr>
              <w:tabs>
                <w:tab w:val="left" w:pos="807"/>
              </w:tabs>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w:t>
            </w:r>
            <w:r>
              <w:rPr>
                <w:rFonts w:hint="eastAsia" w:ascii="宋体" w:hAnsi="宋体" w:eastAsia="宋体" w:cs="宋体"/>
                <w:color w:val="000000"/>
                <w:sz w:val="21"/>
                <w:szCs w:val="21"/>
                <w:lang w:eastAsia="zh-CN"/>
              </w:rPr>
              <w:t>投标人</w:t>
            </w:r>
            <w:r>
              <w:rPr>
                <w:rFonts w:hint="eastAsia" w:ascii="宋体" w:hAnsi="宋体" w:eastAsia="宋体" w:cs="宋体"/>
                <w:bCs/>
                <w:color w:val="000000"/>
                <w:kern w:val="0"/>
                <w:sz w:val="21"/>
                <w:szCs w:val="21"/>
              </w:rPr>
              <w:t>本地化服务能力、人员配备、人员驻场、日常运维等情况等进行分档打分</w:t>
            </w:r>
            <w:r>
              <w:rPr>
                <w:rFonts w:hint="eastAsia" w:ascii="宋体" w:hAnsi="宋体" w:cs="宋体"/>
                <w:bCs/>
                <w:color w:val="000000"/>
                <w:kern w:val="0"/>
                <w:sz w:val="21"/>
                <w:szCs w:val="21"/>
                <w:lang w:eastAsia="zh-CN"/>
              </w:rPr>
              <w:t>，</w:t>
            </w:r>
            <w:r>
              <w:rPr>
                <w:rFonts w:hint="eastAsia" w:ascii="宋体" w:hAnsi="宋体" w:eastAsia="宋体" w:cs="宋体"/>
                <w:sz w:val="21"/>
                <w:szCs w:val="21"/>
                <w:lang w:val="en-US" w:eastAsia="zh-CN"/>
              </w:rPr>
              <w:t>第一档</w:t>
            </w:r>
            <w:r>
              <w:rPr>
                <w:rFonts w:hint="eastAsia" w:ascii="宋体" w:hAnsi="宋体" w:cs="宋体"/>
                <w:sz w:val="21"/>
                <w:szCs w:val="21"/>
                <w:lang w:val="en-US" w:eastAsia="zh-CN"/>
              </w:rPr>
              <w:t>6</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4</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6</w:t>
            </w:r>
            <w:r>
              <w:rPr>
                <w:rFonts w:hint="eastAsia" w:ascii="宋体" w:hAnsi="宋体" w:eastAsia="宋体" w:cs="宋体"/>
                <w:sz w:val="21"/>
                <w:szCs w:val="21"/>
                <w:lang w:val="en-US" w:eastAsia="zh-CN"/>
              </w:rPr>
              <w:t>，</w:t>
            </w:r>
            <w:r>
              <w:rPr>
                <w:rFonts w:hint="eastAsia" w:ascii="宋体" w:hAnsi="宋体" w:eastAsia="宋体" w:cs="宋体"/>
                <w:sz w:val="21"/>
                <w:szCs w:val="21"/>
              </w:rPr>
              <w:t>第</w:t>
            </w:r>
            <w:r>
              <w:rPr>
                <w:rFonts w:hint="eastAsia" w:ascii="宋体" w:hAnsi="宋体" w:eastAsia="宋体" w:cs="宋体"/>
                <w:sz w:val="21"/>
                <w:szCs w:val="21"/>
                <w:lang w:val="en-US" w:eastAsia="zh-CN"/>
              </w:rPr>
              <w:t>二</w:t>
            </w:r>
            <w:r>
              <w:rPr>
                <w:rFonts w:hint="eastAsia" w:ascii="宋体" w:hAnsi="宋体" w:eastAsia="宋体" w:cs="宋体"/>
                <w:sz w:val="21"/>
                <w:szCs w:val="21"/>
              </w:rPr>
              <w:t>档</w:t>
            </w:r>
            <w:r>
              <w:rPr>
                <w:rFonts w:hint="eastAsia" w:ascii="宋体" w:hAnsi="宋体" w:cs="宋体"/>
                <w:sz w:val="21"/>
                <w:szCs w:val="21"/>
                <w:lang w:val="en-US" w:eastAsia="zh-CN"/>
              </w:rPr>
              <w:t>4.5</w:t>
            </w:r>
            <w:r>
              <w:rPr>
                <w:rFonts w:hint="eastAsia" w:ascii="宋体" w:hAnsi="宋体" w:eastAsia="宋体" w:cs="宋体"/>
                <w:sz w:val="21"/>
                <w:szCs w:val="21"/>
                <w:lang w:val="en-US" w:eastAsia="zh-CN"/>
              </w:rPr>
              <w:t>-3.1</w:t>
            </w:r>
            <w:r>
              <w:rPr>
                <w:rFonts w:hint="eastAsia" w:ascii="宋体" w:hAnsi="宋体" w:eastAsia="宋体" w:cs="宋体"/>
                <w:sz w:val="21"/>
                <w:szCs w:val="21"/>
              </w:rPr>
              <w:t>分，第</w:t>
            </w:r>
            <w:r>
              <w:rPr>
                <w:rFonts w:hint="eastAsia" w:ascii="宋体" w:hAnsi="宋体" w:eastAsia="宋体" w:cs="宋体"/>
                <w:sz w:val="21"/>
                <w:szCs w:val="21"/>
                <w:lang w:val="en-US" w:eastAsia="zh-CN"/>
              </w:rPr>
              <w:t>三</w:t>
            </w:r>
            <w:r>
              <w:rPr>
                <w:rFonts w:hint="eastAsia" w:ascii="宋体" w:hAnsi="宋体" w:eastAsia="宋体" w:cs="宋体"/>
                <w:sz w:val="21"/>
                <w:szCs w:val="21"/>
              </w:rPr>
              <w:t>档</w:t>
            </w: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1.6</w:t>
            </w:r>
            <w:r>
              <w:rPr>
                <w:rFonts w:hint="eastAsia" w:ascii="宋体" w:hAnsi="宋体" w:eastAsia="宋体" w:cs="宋体"/>
                <w:sz w:val="21"/>
                <w:szCs w:val="21"/>
              </w:rPr>
              <w:t>分，第</w:t>
            </w:r>
            <w:r>
              <w:rPr>
                <w:rFonts w:hint="eastAsia" w:ascii="宋体" w:hAnsi="宋体" w:eastAsia="宋体" w:cs="宋体"/>
                <w:sz w:val="21"/>
                <w:szCs w:val="21"/>
                <w:lang w:val="en-US" w:eastAsia="zh-CN"/>
              </w:rPr>
              <w:t>四</w:t>
            </w:r>
            <w:r>
              <w:rPr>
                <w:rFonts w:hint="eastAsia" w:ascii="宋体" w:hAnsi="宋体" w:eastAsia="宋体" w:cs="宋体"/>
                <w:sz w:val="21"/>
                <w:szCs w:val="21"/>
              </w:rPr>
              <w:t>档</w:t>
            </w:r>
            <w:r>
              <w:rPr>
                <w:rFonts w:hint="eastAsia" w:ascii="宋体" w:hAnsi="宋体" w:eastAsia="宋体" w:cs="宋体"/>
                <w:sz w:val="21"/>
                <w:szCs w:val="21"/>
                <w:lang w:val="en-US" w:eastAsia="zh-CN"/>
              </w:rPr>
              <w:t>1.5</w:t>
            </w:r>
            <w:r>
              <w:rPr>
                <w:rFonts w:hint="eastAsia" w:ascii="宋体" w:hAnsi="宋体" w:eastAsia="宋体" w:cs="宋体"/>
                <w:sz w:val="21"/>
                <w:szCs w:val="21"/>
              </w:rPr>
              <w:t>-</w:t>
            </w:r>
            <w:r>
              <w:rPr>
                <w:rFonts w:hint="eastAsia" w:ascii="宋体" w:hAnsi="宋体" w:eastAsia="宋体" w:cs="宋体"/>
                <w:sz w:val="21"/>
                <w:szCs w:val="21"/>
                <w:lang w:val="en-US" w:eastAsia="zh-CN"/>
              </w:rPr>
              <w:t>0</w:t>
            </w:r>
            <w:r>
              <w:rPr>
                <w:rFonts w:hint="eastAsia" w:ascii="宋体" w:hAnsi="宋体" w:eastAsia="宋体" w:cs="宋体"/>
                <w:sz w:val="21"/>
                <w:szCs w:val="21"/>
              </w:rPr>
              <w:t>分</w:t>
            </w:r>
            <w:r>
              <w:rPr>
                <w:rFonts w:hint="eastAsia" w:ascii="宋体" w:hAnsi="宋体" w:eastAsia="宋体" w:cs="宋体"/>
                <w:color w:val="auto"/>
                <w:sz w:val="21"/>
                <w:szCs w:val="21"/>
              </w:rPr>
              <w:t>。</w:t>
            </w:r>
          </w:p>
        </w:tc>
        <w:tc>
          <w:tcPr>
            <w:tcW w:w="720" w:type="dxa"/>
            <w:noWrap w:val="0"/>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250" w:type="dxa"/>
            <w:vMerge w:val="continue"/>
            <w:noWrap w:val="0"/>
            <w:vAlign w:val="center"/>
          </w:tcPr>
          <w:p>
            <w:pPr>
              <w:spacing w:line="360" w:lineRule="auto"/>
              <w:jc w:val="center"/>
              <w:rPr>
                <w:rFonts w:hint="eastAsia" w:ascii="宋体" w:hAnsi="宋体" w:eastAsia="宋体" w:cs="宋体"/>
                <w:b/>
                <w:bCs/>
                <w:color w:val="000000"/>
                <w:sz w:val="21"/>
                <w:szCs w:val="21"/>
              </w:rPr>
            </w:pPr>
          </w:p>
        </w:tc>
        <w:tc>
          <w:tcPr>
            <w:tcW w:w="1240" w:type="dxa"/>
            <w:noWrap w:val="0"/>
            <w:vAlign w:val="center"/>
          </w:tcPr>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培训方案</w:t>
            </w:r>
          </w:p>
        </w:tc>
        <w:tc>
          <w:tcPr>
            <w:tcW w:w="5925" w:type="dxa"/>
            <w:noWrap w:val="0"/>
            <w:vAlign w:val="center"/>
          </w:tcPr>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根据</w:t>
            </w:r>
            <w:r>
              <w:rPr>
                <w:rFonts w:hint="eastAsia" w:ascii="宋体" w:hAnsi="宋体" w:eastAsia="宋体" w:cs="宋体"/>
                <w:bCs/>
                <w:color w:val="000000"/>
                <w:kern w:val="0"/>
                <w:sz w:val="21"/>
                <w:szCs w:val="21"/>
              </w:rPr>
              <w:t>培训师资能力、培训内容及培训方式，培训效果预期等情况等进行分档打分</w:t>
            </w:r>
            <w:r>
              <w:rPr>
                <w:rFonts w:hint="eastAsia" w:ascii="宋体" w:hAnsi="宋体" w:cs="宋体"/>
                <w:bCs/>
                <w:color w:val="000000"/>
                <w:kern w:val="0"/>
                <w:sz w:val="21"/>
                <w:szCs w:val="21"/>
                <w:lang w:eastAsia="zh-CN"/>
              </w:rPr>
              <w:t>，</w:t>
            </w:r>
            <w:r>
              <w:rPr>
                <w:rFonts w:hint="eastAsia" w:ascii="宋体" w:hAnsi="宋体" w:eastAsia="宋体" w:cs="宋体"/>
                <w:color w:val="auto"/>
                <w:sz w:val="21"/>
                <w:szCs w:val="21"/>
                <w:lang w:val="en-US" w:eastAsia="zh-CN"/>
              </w:rPr>
              <w:t>第一档</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.1分，第二档</w:t>
            </w: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1分，第三档</w:t>
            </w:r>
            <w:r>
              <w:rPr>
                <w:rFonts w:hint="eastAsia" w:ascii="宋体" w:hAnsi="宋体" w:cs="宋体"/>
                <w:color w:val="auto"/>
                <w:sz w:val="21"/>
                <w:szCs w:val="21"/>
                <w:lang w:val="en-US" w:eastAsia="zh-CN"/>
              </w:rPr>
              <w:t>1-0</w:t>
            </w:r>
            <w:r>
              <w:rPr>
                <w:rFonts w:hint="eastAsia" w:ascii="宋体" w:hAnsi="宋体" w:eastAsia="宋体" w:cs="宋体"/>
                <w:color w:val="auto"/>
                <w:sz w:val="21"/>
                <w:szCs w:val="21"/>
                <w:lang w:val="en-US" w:eastAsia="zh-CN"/>
              </w:rPr>
              <w:t>分</w:t>
            </w:r>
            <w:r>
              <w:rPr>
                <w:rFonts w:hint="eastAsia" w:ascii="宋体" w:hAnsi="宋体" w:eastAsia="宋体" w:cs="宋体"/>
                <w:bCs/>
                <w:color w:val="000000"/>
                <w:kern w:val="0"/>
                <w:sz w:val="21"/>
                <w:szCs w:val="21"/>
              </w:rPr>
              <w:t>。</w:t>
            </w:r>
          </w:p>
        </w:tc>
        <w:tc>
          <w:tcPr>
            <w:tcW w:w="720" w:type="dxa"/>
            <w:noWrap w:val="0"/>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250" w:type="dxa"/>
            <w:vMerge w:val="continue"/>
            <w:noWrap w:val="0"/>
            <w:vAlign w:val="center"/>
          </w:tcPr>
          <w:p>
            <w:pPr>
              <w:spacing w:line="360" w:lineRule="auto"/>
              <w:jc w:val="center"/>
              <w:rPr>
                <w:rFonts w:hint="eastAsia" w:ascii="宋体" w:hAnsi="宋体" w:eastAsia="宋体" w:cs="宋体"/>
                <w:b/>
                <w:bCs/>
                <w:color w:val="000000"/>
                <w:sz w:val="21"/>
                <w:szCs w:val="21"/>
              </w:rPr>
            </w:pPr>
          </w:p>
        </w:tc>
        <w:tc>
          <w:tcPr>
            <w:tcW w:w="1240" w:type="dxa"/>
            <w:noWrap w:val="0"/>
            <w:vAlign w:val="center"/>
          </w:tcPr>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应急方案</w:t>
            </w:r>
          </w:p>
        </w:tc>
        <w:tc>
          <w:tcPr>
            <w:tcW w:w="5925" w:type="dxa"/>
            <w:noWrap w:val="0"/>
            <w:vAlign w:val="center"/>
          </w:tcPr>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kern w:val="0"/>
                <w:sz w:val="21"/>
                <w:szCs w:val="21"/>
              </w:rPr>
              <w:t>根据</w:t>
            </w:r>
            <w:r>
              <w:rPr>
                <w:rFonts w:hint="eastAsia" w:ascii="宋体" w:hAnsi="宋体" w:eastAsia="宋体" w:cs="宋体"/>
                <w:color w:val="000000"/>
                <w:kern w:val="0"/>
                <w:sz w:val="21"/>
                <w:szCs w:val="21"/>
                <w:lang w:eastAsia="zh-CN"/>
              </w:rPr>
              <w:t>投标人</w:t>
            </w:r>
            <w:r>
              <w:rPr>
                <w:rFonts w:hint="eastAsia" w:ascii="宋体" w:hAnsi="宋体" w:eastAsia="宋体" w:cs="宋体"/>
                <w:color w:val="000000"/>
                <w:kern w:val="0"/>
                <w:sz w:val="21"/>
                <w:szCs w:val="21"/>
              </w:rPr>
              <w:t>应对突发状况的应急举措、响应时间、后续处理方法</w:t>
            </w:r>
            <w:r>
              <w:rPr>
                <w:rFonts w:hint="eastAsia" w:ascii="宋体" w:hAnsi="宋体" w:eastAsia="宋体" w:cs="宋体"/>
                <w:color w:val="000000"/>
                <w:sz w:val="21"/>
                <w:szCs w:val="21"/>
              </w:rPr>
              <w:t>等实施</w:t>
            </w:r>
            <w:r>
              <w:rPr>
                <w:rFonts w:hint="eastAsia" w:ascii="宋体" w:hAnsi="宋体" w:eastAsia="宋体" w:cs="宋体"/>
                <w:color w:val="000000"/>
                <w:kern w:val="0"/>
                <w:sz w:val="21"/>
                <w:szCs w:val="21"/>
              </w:rPr>
              <w:t>方案的可行性</w:t>
            </w:r>
            <w:r>
              <w:rPr>
                <w:rFonts w:hint="eastAsia" w:ascii="宋体" w:hAnsi="宋体" w:eastAsia="宋体" w:cs="宋体"/>
                <w:bCs/>
                <w:color w:val="000000"/>
                <w:kern w:val="0"/>
                <w:sz w:val="21"/>
                <w:szCs w:val="21"/>
              </w:rPr>
              <w:t>等进行分档打分</w:t>
            </w:r>
            <w:r>
              <w:rPr>
                <w:rFonts w:hint="eastAsia" w:ascii="宋体" w:hAnsi="宋体" w:cs="宋体"/>
                <w:bCs/>
                <w:color w:val="000000"/>
                <w:kern w:val="0"/>
                <w:sz w:val="21"/>
                <w:szCs w:val="21"/>
                <w:lang w:eastAsia="zh-CN"/>
              </w:rPr>
              <w:t>，</w:t>
            </w:r>
            <w:r>
              <w:rPr>
                <w:rFonts w:hint="eastAsia" w:ascii="宋体" w:hAnsi="宋体" w:eastAsia="宋体" w:cs="宋体"/>
                <w:color w:val="auto"/>
                <w:sz w:val="21"/>
                <w:szCs w:val="21"/>
                <w:lang w:val="en-US" w:eastAsia="zh-CN"/>
              </w:rPr>
              <w:t>第一档</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.1分，第二档</w:t>
            </w: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1分，第三档</w:t>
            </w:r>
            <w:r>
              <w:rPr>
                <w:rFonts w:hint="eastAsia" w:ascii="宋体" w:hAnsi="宋体" w:cs="宋体"/>
                <w:color w:val="auto"/>
                <w:sz w:val="21"/>
                <w:szCs w:val="21"/>
                <w:lang w:val="en-US" w:eastAsia="zh-CN"/>
              </w:rPr>
              <w:t>1-0</w:t>
            </w:r>
            <w:r>
              <w:rPr>
                <w:rFonts w:hint="eastAsia" w:ascii="宋体" w:hAnsi="宋体" w:eastAsia="宋体" w:cs="宋体"/>
                <w:color w:val="auto"/>
                <w:sz w:val="21"/>
                <w:szCs w:val="21"/>
                <w:lang w:val="en-US" w:eastAsia="zh-CN"/>
              </w:rPr>
              <w:t>分</w:t>
            </w:r>
            <w:r>
              <w:rPr>
                <w:rFonts w:hint="eastAsia" w:ascii="宋体" w:hAnsi="宋体" w:eastAsia="宋体" w:cs="宋体"/>
                <w:bCs/>
                <w:color w:val="000000"/>
                <w:kern w:val="0"/>
                <w:sz w:val="21"/>
                <w:szCs w:val="21"/>
              </w:rPr>
              <w:t>。</w:t>
            </w:r>
          </w:p>
        </w:tc>
        <w:tc>
          <w:tcPr>
            <w:tcW w:w="720" w:type="dxa"/>
            <w:noWrap w:val="0"/>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250" w:type="dxa"/>
            <w:noWrap w:val="0"/>
            <w:vAlign w:val="center"/>
          </w:tcPr>
          <w:p>
            <w:pPr>
              <w:adjustRightInd w:val="0"/>
              <w:snapToGrid w:val="0"/>
              <w:spacing w:line="36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对采购</w:t>
            </w:r>
          </w:p>
          <w:p>
            <w:pPr>
              <w:adjustRightInd w:val="0"/>
              <w:snapToGrid w:val="0"/>
              <w:spacing w:line="36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 xml:space="preserve">文件响应程度 </w:t>
            </w:r>
          </w:p>
          <w:p>
            <w:pPr>
              <w:adjustRightInd w:val="0"/>
              <w:snapToGrid w:val="0"/>
              <w:spacing w:line="36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lang w:val="en-US" w:eastAsia="zh-CN"/>
              </w:rPr>
              <w:t>2</w:t>
            </w:r>
            <w:r>
              <w:rPr>
                <w:rFonts w:hint="eastAsia" w:ascii="宋体" w:hAnsi="宋体" w:eastAsia="宋体" w:cs="宋体"/>
                <w:b/>
                <w:bCs/>
                <w:color w:val="000000"/>
                <w:sz w:val="21"/>
                <w:szCs w:val="21"/>
                <w:lang w:eastAsia="zh-CN"/>
              </w:rPr>
              <w:t>分）</w:t>
            </w:r>
          </w:p>
        </w:tc>
        <w:tc>
          <w:tcPr>
            <w:tcW w:w="7165" w:type="dxa"/>
            <w:gridSpan w:val="2"/>
            <w:noWrap w:val="0"/>
            <w:vAlign w:val="center"/>
          </w:tcPr>
          <w:p>
            <w:pPr>
              <w:pStyle w:val="10"/>
              <w:spacing w:line="360" w:lineRule="auto"/>
              <w:rPr>
                <w:rFonts w:hint="eastAsia" w:ascii="宋体" w:hAnsi="宋体" w:eastAsia="宋体" w:cs="宋体"/>
                <w:color w:val="000000"/>
                <w:sz w:val="21"/>
                <w:szCs w:val="21"/>
              </w:rPr>
            </w:pPr>
            <w:r>
              <w:rPr>
                <w:rFonts w:hint="eastAsia" w:ascii="宋体" w:hAnsi="宋体" w:eastAsia="宋体" w:cs="宋体"/>
                <w:bCs/>
                <w:color w:val="000000"/>
                <w:sz w:val="21"/>
                <w:szCs w:val="21"/>
              </w:rPr>
              <w:t>根据</w:t>
            </w:r>
            <w:r>
              <w:rPr>
                <w:rFonts w:hint="eastAsia" w:ascii="宋体" w:hAnsi="宋体" w:eastAsia="宋体" w:cs="宋体"/>
                <w:bCs/>
                <w:color w:val="000000"/>
                <w:sz w:val="21"/>
                <w:szCs w:val="21"/>
                <w:lang w:eastAsia="zh-CN"/>
              </w:rPr>
              <w:t>投标文件</w:t>
            </w:r>
            <w:r>
              <w:rPr>
                <w:rFonts w:hint="eastAsia" w:ascii="宋体" w:hAnsi="宋体" w:eastAsia="宋体" w:cs="宋体"/>
                <w:bCs/>
                <w:color w:val="000000"/>
                <w:sz w:val="21"/>
                <w:szCs w:val="21"/>
              </w:rPr>
              <w:t>的完整性及与</w:t>
            </w:r>
            <w:r>
              <w:rPr>
                <w:rFonts w:hint="eastAsia" w:ascii="宋体" w:hAnsi="宋体" w:eastAsia="宋体" w:cs="宋体"/>
                <w:bCs/>
                <w:color w:val="000000"/>
                <w:sz w:val="21"/>
                <w:szCs w:val="21"/>
                <w:lang w:eastAsia="zh-CN"/>
              </w:rPr>
              <w:t>采购文件</w:t>
            </w:r>
            <w:r>
              <w:rPr>
                <w:rFonts w:hint="eastAsia" w:ascii="宋体" w:hAnsi="宋体" w:eastAsia="宋体" w:cs="宋体"/>
                <w:bCs/>
                <w:color w:val="000000"/>
                <w:sz w:val="21"/>
                <w:szCs w:val="21"/>
              </w:rPr>
              <w:t>的响应程度酌情打分。</w:t>
            </w:r>
          </w:p>
        </w:tc>
        <w:tc>
          <w:tcPr>
            <w:tcW w:w="720" w:type="dxa"/>
            <w:noWrap w:val="0"/>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250" w:type="dxa"/>
            <w:noWrap w:val="0"/>
            <w:vAlign w:val="center"/>
          </w:tcPr>
          <w:p>
            <w:pPr>
              <w:adjustRightInd w:val="0"/>
              <w:snapToGrid w:val="0"/>
              <w:spacing w:line="360" w:lineRule="auto"/>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价</w:t>
            </w:r>
            <w:r>
              <w:rPr>
                <w:rFonts w:hint="eastAsia" w:ascii="宋体" w:hAnsi="宋体" w:eastAsia="宋体" w:cs="宋体"/>
                <w:b/>
                <w:bCs/>
                <w:color w:val="000000"/>
                <w:sz w:val="21"/>
                <w:szCs w:val="21"/>
                <w:lang w:val="en-US" w:eastAsia="zh-CN"/>
              </w:rPr>
              <w:t xml:space="preserve"> </w:t>
            </w:r>
            <w:r>
              <w:rPr>
                <w:rFonts w:hint="eastAsia" w:ascii="宋体" w:hAnsi="宋体" w:eastAsia="宋体" w:cs="宋体"/>
                <w:b/>
                <w:bCs/>
                <w:color w:val="000000"/>
                <w:sz w:val="21"/>
                <w:szCs w:val="21"/>
                <w:lang w:eastAsia="zh-CN"/>
              </w:rPr>
              <w:t>格</w:t>
            </w:r>
          </w:p>
          <w:p>
            <w:pPr>
              <w:adjustRightInd w:val="0"/>
              <w:snapToGrid w:val="0"/>
              <w:spacing w:line="360" w:lineRule="auto"/>
              <w:jc w:val="center"/>
              <w:rPr>
                <w:rFonts w:hint="default" w:ascii="宋体" w:hAnsi="宋体" w:eastAsia="宋体" w:cs="宋体"/>
                <w:color w:val="000000"/>
                <w:sz w:val="21"/>
                <w:szCs w:val="21"/>
                <w:lang w:val="en-US" w:eastAsia="zh-CN"/>
              </w:rPr>
            </w:pP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lang w:val="en-US" w:eastAsia="zh-CN"/>
              </w:rPr>
              <w:t>20</w:t>
            </w:r>
            <w:r>
              <w:rPr>
                <w:rFonts w:hint="eastAsia" w:ascii="宋体" w:hAnsi="宋体" w:eastAsia="宋体" w:cs="宋体"/>
                <w:b/>
                <w:bCs/>
                <w:color w:val="000000"/>
                <w:sz w:val="21"/>
                <w:szCs w:val="21"/>
                <w:lang w:eastAsia="zh-CN"/>
              </w:rPr>
              <w:t>分</w:t>
            </w:r>
            <w:r>
              <w:rPr>
                <w:rFonts w:hint="eastAsia" w:ascii="宋体" w:hAnsi="宋体" w:eastAsia="宋体" w:cs="宋体"/>
                <w:b/>
                <w:bCs/>
                <w:color w:val="000000"/>
                <w:sz w:val="21"/>
                <w:szCs w:val="21"/>
                <w:lang w:val="en-US" w:eastAsia="zh-CN"/>
              </w:rPr>
              <w:t>)</w:t>
            </w:r>
          </w:p>
        </w:tc>
        <w:tc>
          <w:tcPr>
            <w:tcW w:w="7165" w:type="dxa"/>
            <w:gridSpan w:val="2"/>
            <w:noWrap w:val="0"/>
            <w:vAlign w:val="center"/>
          </w:tcPr>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以合格投标人有效总报价中的最低价为基准价，基准价为 分。报价得分＝（评标基准价/最终报价）</w:t>
            </w:r>
            <w:r>
              <w:rPr>
                <w:rFonts w:hint="eastAsia" w:ascii="宋体" w:hAnsi="宋体" w:eastAsia="宋体" w:cs="宋体"/>
                <w:bCs/>
                <w:color w:val="000000"/>
                <w:sz w:val="21"/>
                <w:szCs w:val="21"/>
              </w:rPr>
              <w:t>×</w:t>
            </w:r>
            <w:r>
              <w:rPr>
                <w:rFonts w:hint="eastAsia" w:ascii="宋体" w:hAnsi="宋体" w:eastAsia="宋体" w:cs="宋体"/>
                <w:color w:val="000000"/>
                <w:kern w:val="0"/>
                <w:sz w:val="21"/>
                <w:szCs w:val="21"/>
                <w:lang w:val="en-US" w:eastAsia="zh-CN"/>
              </w:rPr>
              <w:t>20</w:t>
            </w:r>
            <w:r>
              <w:rPr>
                <w:rFonts w:hint="eastAsia" w:ascii="宋体" w:hAnsi="宋体" w:eastAsia="宋体" w:cs="宋体"/>
                <w:color w:val="000000"/>
                <w:kern w:val="0"/>
                <w:sz w:val="21"/>
                <w:szCs w:val="21"/>
              </w:rPr>
              <w:t>%</w:t>
            </w:r>
            <w:r>
              <w:rPr>
                <w:rFonts w:hint="eastAsia" w:ascii="宋体" w:hAnsi="宋体" w:eastAsia="宋体" w:cs="宋体"/>
                <w:bCs/>
                <w:color w:val="000000"/>
                <w:sz w:val="21"/>
                <w:szCs w:val="21"/>
              </w:rPr>
              <w:t>×</w:t>
            </w:r>
            <w:r>
              <w:rPr>
                <w:rFonts w:hint="eastAsia" w:ascii="宋体" w:hAnsi="宋体" w:eastAsia="宋体" w:cs="宋体"/>
                <w:color w:val="000000"/>
                <w:kern w:val="0"/>
                <w:sz w:val="21"/>
                <w:szCs w:val="21"/>
              </w:rPr>
              <w:t>100</w:t>
            </w:r>
            <w:r>
              <w:rPr>
                <w:rFonts w:hint="eastAsia" w:ascii="宋体" w:hAnsi="宋体" w:eastAsia="宋体" w:cs="宋体"/>
                <w:color w:val="000000"/>
                <w:sz w:val="21"/>
                <w:szCs w:val="21"/>
              </w:rPr>
              <w:t>（小数点后保留2位小数）。（注：对于小型和微型企业产品的价格给予6%的扣除，用扣除后的价格参与评审。)</w:t>
            </w:r>
          </w:p>
        </w:tc>
        <w:tc>
          <w:tcPr>
            <w:tcW w:w="720" w:type="dxa"/>
            <w:noWrap w:val="0"/>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r>
    </w:tbl>
    <w:p>
      <w:pPr>
        <w:autoSpaceDE w:val="0"/>
        <w:autoSpaceDN w:val="0"/>
        <w:adjustRightInd w:val="0"/>
        <w:spacing w:line="360" w:lineRule="auto"/>
        <w:ind w:right="85"/>
        <w:rPr>
          <w:rFonts w:ascii="宋体"/>
          <w:b/>
          <w:bCs/>
          <w:sz w:val="24"/>
        </w:rPr>
      </w:pPr>
    </w:p>
    <w:p>
      <w:pPr>
        <w:pStyle w:val="24"/>
      </w:pPr>
    </w:p>
    <w:p>
      <w:pPr>
        <w:autoSpaceDE w:val="0"/>
        <w:autoSpaceDN w:val="0"/>
        <w:adjustRightInd w:val="0"/>
        <w:ind w:right="85"/>
        <w:rPr>
          <w:rFonts w:hint="eastAsia" w:ascii="宋体"/>
          <w:b/>
          <w:bCs/>
          <w:sz w:val="24"/>
        </w:rPr>
      </w:pPr>
      <w:r>
        <w:rPr>
          <w:rFonts w:hint="eastAsia" w:ascii="宋体"/>
          <w:b/>
          <w:bCs/>
          <w:sz w:val="24"/>
        </w:rPr>
        <w:t>标段</w:t>
      </w:r>
      <w:r>
        <w:rPr>
          <w:rFonts w:hint="eastAsia" w:ascii="宋体"/>
          <w:b/>
          <w:bCs/>
          <w:sz w:val="24"/>
          <w:lang w:val="en-US" w:eastAsia="zh-CN"/>
        </w:rPr>
        <w:t>二</w:t>
      </w:r>
      <w:r>
        <w:rPr>
          <w:rFonts w:hint="eastAsia" w:ascii="宋体"/>
          <w:b/>
          <w:bCs/>
          <w:sz w:val="24"/>
        </w:rPr>
        <w:t>：</w:t>
      </w:r>
      <w:r>
        <w:rPr>
          <w:rFonts w:hint="eastAsia" w:ascii="宋体"/>
          <w:b/>
          <w:bCs/>
          <w:sz w:val="24"/>
          <w:lang w:val="zh-CN"/>
        </w:rPr>
        <w:t>台州市政务大厅2.0数字化改造项目-</w:t>
      </w:r>
      <w:r>
        <w:rPr>
          <w:rFonts w:hint="eastAsia" w:ascii="宋体"/>
          <w:b/>
          <w:bCs/>
          <w:sz w:val="24"/>
          <w:lang w:eastAsia="zh-Hans"/>
        </w:rPr>
        <w:t>政务2.0硬件升级改造项目</w:t>
      </w:r>
      <w:r>
        <w:rPr>
          <w:rFonts w:hint="eastAsia" w:ascii="宋体"/>
          <w:b/>
          <w:bCs/>
          <w:sz w:val="24"/>
          <w:lang w:val="zh-CN"/>
        </w:rPr>
        <w:t>评分标准及内容</w:t>
      </w:r>
    </w:p>
    <w:tbl>
      <w:tblPr>
        <w:tblStyle w:val="19"/>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353"/>
        <w:gridCol w:w="651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360" w:type="dxa"/>
            <w:tcBorders>
              <w:top w:val="single" w:color="auto" w:sz="4" w:space="0"/>
              <w:left w:val="single" w:color="auto" w:sz="4" w:space="0"/>
              <w:bottom w:val="single" w:color="auto" w:sz="4" w:space="0"/>
              <w:right w:val="single" w:color="auto" w:sz="4" w:space="0"/>
            </w:tcBorders>
            <w:shd w:val="clear" w:color="auto" w:fill="B3B3B3"/>
            <w:noWrap w:val="0"/>
            <w:vAlign w:val="center"/>
          </w:tcPr>
          <w:p>
            <w:pPr>
              <w:spacing w:line="36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打分项目</w:t>
            </w:r>
          </w:p>
        </w:tc>
        <w:tc>
          <w:tcPr>
            <w:tcW w:w="7872" w:type="dxa"/>
            <w:gridSpan w:val="2"/>
            <w:tcBorders>
              <w:top w:val="single" w:color="auto" w:sz="4" w:space="0"/>
              <w:left w:val="single" w:color="auto" w:sz="4" w:space="0"/>
              <w:bottom w:val="single" w:color="auto" w:sz="4" w:space="0"/>
              <w:right w:val="single" w:color="auto" w:sz="4" w:space="0"/>
            </w:tcBorders>
            <w:shd w:val="clear" w:color="auto" w:fill="B3B3B3"/>
            <w:noWrap w:val="0"/>
            <w:vAlign w:val="center"/>
          </w:tcPr>
          <w:p>
            <w:pPr>
              <w:spacing w:line="36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打分细则</w:t>
            </w:r>
          </w:p>
        </w:tc>
        <w:tc>
          <w:tcPr>
            <w:tcW w:w="777" w:type="dxa"/>
            <w:tcBorders>
              <w:top w:val="single" w:color="auto" w:sz="4" w:space="0"/>
              <w:left w:val="single" w:color="auto" w:sz="4" w:space="0"/>
              <w:bottom w:val="single" w:color="auto" w:sz="4" w:space="0"/>
              <w:right w:val="single" w:color="auto" w:sz="4" w:space="0"/>
            </w:tcBorders>
            <w:shd w:val="clear" w:color="auto" w:fill="B3B3B3"/>
            <w:noWrap w:val="0"/>
            <w:vAlign w:val="center"/>
          </w:tcPr>
          <w:p>
            <w:pPr>
              <w:spacing w:line="36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1360" w:type="dxa"/>
            <w:vMerge w:val="restart"/>
            <w:tcBorders>
              <w:top w:val="single" w:color="auto" w:sz="4" w:space="0"/>
              <w:left w:val="single" w:color="auto" w:sz="4" w:space="0"/>
              <w:right w:val="single" w:color="auto" w:sz="4" w:space="0"/>
            </w:tcBorders>
            <w:noWrap w:val="0"/>
            <w:vAlign w:val="center"/>
          </w:tcPr>
          <w:p>
            <w:pPr>
              <w:pStyle w:val="10"/>
              <w:spacing w:line="360" w:lineRule="auto"/>
              <w:ind w:left="0" w:leftChars="0" w:firstLine="0" w:firstLineChars="0"/>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rPr>
              <w:t>技术性能</w:t>
            </w:r>
            <w:r>
              <w:rPr>
                <w:rFonts w:hint="eastAsia" w:ascii="宋体" w:hAnsi="宋体" w:eastAsia="宋体" w:cs="宋体"/>
                <w:b/>
                <w:bCs/>
                <w:color w:val="000000"/>
                <w:sz w:val="21"/>
                <w:szCs w:val="21"/>
                <w:lang w:val="en-US" w:eastAsia="zh-CN"/>
              </w:rPr>
              <w:t>(42</w:t>
            </w:r>
            <w:r>
              <w:rPr>
                <w:rFonts w:hint="eastAsia" w:ascii="宋体" w:hAnsi="宋体" w:eastAsia="宋体" w:cs="宋体"/>
                <w:b/>
                <w:bCs/>
                <w:color w:val="000000"/>
                <w:sz w:val="21"/>
                <w:szCs w:val="21"/>
              </w:rPr>
              <w:t>分</w:t>
            </w:r>
            <w:r>
              <w:rPr>
                <w:rFonts w:hint="eastAsia" w:ascii="宋体" w:hAnsi="宋体" w:eastAsia="宋体" w:cs="宋体"/>
                <w:b/>
                <w:bCs/>
                <w:color w:val="000000"/>
                <w:sz w:val="21"/>
                <w:szCs w:val="21"/>
                <w:lang w:val="en-US" w:eastAsia="zh-CN"/>
              </w:rPr>
              <w:t>)</w:t>
            </w:r>
          </w:p>
        </w:tc>
        <w:tc>
          <w:tcPr>
            <w:tcW w:w="135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技术方案</w:t>
            </w:r>
          </w:p>
        </w:tc>
        <w:tc>
          <w:tcPr>
            <w:tcW w:w="6519" w:type="dxa"/>
            <w:tcBorders>
              <w:top w:val="single" w:color="auto" w:sz="4" w:space="0"/>
              <w:left w:val="single" w:color="auto" w:sz="4" w:space="0"/>
              <w:right w:val="single" w:color="auto" w:sz="4" w:space="0"/>
            </w:tcBorders>
            <w:noWrap w:val="0"/>
            <w:vAlign w:val="center"/>
          </w:tcPr>
          <w:p>
            <w:pPr>
              <w:pStyle w:val="26"/>
              <w:widowControl w:val="0"/>
              <w:spacing w:line="360" w:lineRule="auto"/>
              <w:ind w:firstLine="412" w:firstLineChars="200"/>
              <w:jc w:val="both"/>
              <w:rPr>
                <w:rFonts w:hint="eastAsia" w:ascii="宋体" w:hAnsi="宋体" w:eastAsia="宋体" w:cs="宋体"/>
                <w:color w:val="000000"/>
                <w:spacing w:val="-2"/>
                <w:sz w:val="21"/>
                <w:szCs w:val="21"/>
                <w:lang w:val="en-US" w:eastAsia="zh-CN"/>
              </w:rPr>
            </w:pPr>
            <w:r>
              <w:rPr>
                <w:rFonts w:hint="eastAsia" w:ascii="宋体" w:hAnsi="宋体" w:eastAsia="宋体" w:cs="宋体"/>
                <w:color w:val="000000"/>
                <w:spacing w:val="-2"/>
                <w:sz w:val="21"/>
                <w:szCs w:val="21"/>
              </w:rPr>
              <w:t>根据技术方案的完整性、先进性、可行性、安全性，拓展性和可靠性，以及今后升级扩容的意见建议，实施进度及需要的配件清单等进行综合评分：第一档5-4.1分，第二档4-3.1分，第三档3-2.1分，第四档2-1.1分，第五档1-0分</w:t>
            </w:r>
            <w:r>
              <w:rPr>
                <w:rFonts w:hint="eastAsia" w:ascii="宋体" w:hAnsi="宋体" w:eastAsia="宋体" w:cs="宋体"/>
                <w:color w:val="000000"/>
                <w:spacing w:val="-2"/>
                <w:sz w:val="21"/>
                <w:szCs w:val="21"/>
                <w:lang w:eastAsia="zh-CN"/>
              </w:rPr>
              <w:t>。</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36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000000"/>
                <w:sz w:val="21"/>
                <w:szCs w:val="21"/>
              </w:rPr>
            </w:pPr>
          </w:p>
        </w:tc>
        <w:tc>
          <w:tcPr>
            <w:tcW w:w="1353" w:type="dxa"/>
            <w:vMerge w:val="restart"/>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kern w:val="0"/>
                <w:sz w:val="21"/>
                <w:szCs w:val="21"/>
              </w:rPr>
            </w:pPr>
            <w:r>
              <w:rPr>
                <w:rFonts w:hint="eastAsia" w:ascii="宋体" w:hAnsi="宋体" w:eastAsia="宋体" w:cs="宋体"/>
                <w:b/>
                <w:bCs/>
                <w:color w:val="000000"/>
                <w:sz w:val="21"/>
                <w:szCs w:val="21"/>
              </w:rPr>
              <w:t>综合性能</w:t>
            </w:r>
          </w:p>
        </w:tc>
        <w:tc>
          <w:tcPr>
            <w:tcW w:w="6519" w:type="dxa"/>
            <w:tcBorders>
              <w:top w:val="single" w:color="auto" w:sz="4" w:space="0"/>
              <w:left w:val="single" w:color="auto" w:sz="4" w:space="0"/>
              <w:right w:val="single" w:color="auto" w:sz="4" w:space="0"/>
            </w:tcBorders>
            <w:noWrap w:val="0"/>
            <w:vAlign w:val="center"/>
          </w:tcPr>
          <w:p>
            <w:pPr>
              <w:pStyle w:val="26"/>
              <w:widowControl w:val="0"/>
              <w:spacing w:line="360" w:lineRule="auto"/>
              <w:ind w:firstLine="412" w:firstLineChars="200"/>
              <w:jc w:val="both"/>
              <w:rPr>
                <w:rFonts w:hint="eastAsia" w:ascii="宋体" w:hAnsi="宋体" w:eastAsia="宋体" w:cs="宋体"/>
                <w:color w:val="000000"/>
                <w:spacing w:val="-2"/>
                <w:sz w:val="21"/>
                <w:szCs w:val="21"/>
              </w:rPr>
            </w:pPr>
            <w:r>
              <w:rPr>
                <w:rFonts w:hint="eastAsia" w:ascii="宋体" w:hAnsi="宋体" w:eastAsia="宋体" w:cs="宋体"/>
                <w:color w:val="0000FF"/>
                <w:spacing w:val="-2"/>
                <w:sz w:val="21"/>
                <w:szCs w:val="21"/>
                <w:lang w:val="en-US" w:eastAsia="zh-CN"/>
              </w:rPr>
              <w:t>根据所投设备的综合性能、技术参数的先进性、质量稳定性、安全性等综合评分，第一档12-9.7；第二档9.6-7.3；第三档7.2-4.9；第四档4.8-2.4，第五档2.3-0。</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auto"/>
                <w:sz w:val="21"/>
                <w:szCs w:val="21"/>
                <w:highlight w:val="yellow"/>
                <w:lang w:val="en-US" w:eastAsia="zh-CN"/>
              </w:rPr>
            </w:pPr>
            <w:r>
              <w:rPr>
                <w:rFonts w:hint="eastAsia" w:ascii="宋体" w:hAnsi="宋体" w:cs="宋体"/>
                <w:color w:val="auto"/>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136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000000"/>
                <w:sz w:val="21"/>
                <w:szCs w:val="21"/>
              </w:rPr>
            </w:pPr>
          </w:p>
        </w:tc>
        <w:tc>
          <w:tcPr>
            <w:tcW w:w="1353"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kern w:val="0"/>
                <w:sz w:val="21"/>
                <w:szCs w:val="21"/>
              </w:rPr>
            </w:pPr>
          </w:p>
        </w:tc>
        <w:tc>
          <w:tcPr>
            <w:tcW w:w="6519" w:type="dxa"/>
            <w:tcBorders>
              <w:top w:val="single" w:color="auto" w:sz="4" w:space="0"/>
              <w:left w:val="single" w:color="auto" w:sz="4" w:space="0"/>
              <w:right w:val="single" w:color="auto" w:sz="4" w:space="0"/>
            </w:tcBorders>
            <w:noWrap w:val="0"/>
            <w:vAlign w:val="center"/>
          </w:tcPr>
          <w:p>
            <w:pPr>
              <w:pStyle w:val="26"/>
              <w:spacing w:line="360" w:lineRule="auto"/>
              <w:ind w:firstLine="412" w:firstLineChars="200"/>
              <w:rPr>
                <w:rFonts w:hint="eastAsia" w:ascii="宋体" w:hAnsi="宋体" w:eastAsia="宋体" w:cs="宋体"/>
                <w:sz w:val="21"/>
                <w:szCs w:val="21"/>
              </w:rPr>
            </w:pPr>
            <w:r>
              <w:rPr>
                <w:rFonts w:hint="eastAsia" w:ascii="宋体" w:hAnsi="宋体" w:eastAsia="宋体" w:cs="宋体"/>
                <w:color w:val="000000"/>
                <w:spacing w:val="-2"/>
                <w:sz w:val="21"/>
                <w:szCs w:val="21"/>
              </w:rPr>
              <w:t>投标设备所有技术参数均符合招标文件的要求的或正偏离的得</w:t>
            </w:r>
            <w:r>
              <w:rPr>
                <w:rFonts w:hint="eastAsia" w:ascii="宋体" w:hAnsi="宋体" w:eastAsia="宋体" w:cs="宋体"/>
                <w:color w:val="000000"/>
                <w:spacing w:val="-2"/>
                <w:sz w:val="21"/>
                <w:szCs w:val="21"/>
                <w:lang w:val="en-US" w:eastAsia="zh-CN"/>
              </w:rPr>
              <w:t>16</w:t>
            </w:r>
            <w:r>
              <w:rPr>
                <w:rFonts w:hint="eastAsia" w:ascii="宋体" w:hAnsi="宋体" w:eastAsia="宋体" w:cs="宋体"/>
                <w:color w:val="000000"/>
                <w:spacing w:val="-2"/>
                <w:sz w:val="21"/>
                <w:szCs w:val="21"/>
              </w:rPr>
              <w:t>分；</w:t>
            </w:r>
            <w:r>
              <w:rPr>
                <w:rFonts w:hint="eastAsia" w:ascii="宋体" w:hAnsi="宋体" w:eastAsia="宋体" w:cs="宋体"/>
                <w:color w:val="0000FF"/>
                <w:spacing w:val="-2"/>
                <w:sz w:val="21"/>
                <w:szCs w:val="21"/>
              </w:rPr>
              <w:t>“★”每负偏离一条扣</w:t>
            </w:r>
            <w:r>
              <w:rPr>
                <w:rFonts w:hint="eastAsia" w:ascii="宋体" w:hAnsi="宋体" w:eastAsia="宋体" w:cs="宋体"/>
                <w:color w:val="0000FF"/>
                <w:spacing w:val="-2"/>
                <w:sz w:val="21"/>
                <w:szCs w:val="21"/>
                <w:lang w:val="en-US" w:eastAsia="zh-CN"/>
              </w:rPr>
              <w:t>2</w:t>
            </w:r>
            <w:r>
              <w:rPr>
                <w:rFonts w:hint="eastAsia" w:ascii="宋体" w:hAnsi="宋体" w:eastAsia="宋体" w:cs="宋体"/>
                <w:color w:val="0000FF"/>
                <w:spacing w:val="-2"/>
                <w:sz w:val="21"/>
                <w:szCs w:val="21"/>
              </w:rPr>
              <w:t>分；其他每负偏离一项扣</w:t>
            </w:r>
            <w:r>
              <w:rPr>
                <w:rFonts w:hint="eastAsia" w:ascii="宋体" w:hAnsi="宋体" w:eastAsia="宋体" w:cs="宋体"/>
                <w:color w:val="0000FF"/>
                <w:spacing w:val="-2"/>
                <w:sz w:val="21"/>
                <w:szCs w:val="21"/>
                <w:lang w:val="en-US" w:eastAsia="zh-CN"/>
              </w:rPr>
              <w:t>1</w:t>
            </w:r>
            <w:r>
              <w:rPr>
                <w:rFonts w:hint="eastAsia" w:ascii="宋体" w:hAnsi="宋体" w:eastAsia="宋体" w:cs="宋体"/>
                <w:color w:val="0000FF"/>
                <w:spacing w:val="-2"/>
                <w:sz w:val="21"/>
                <w:szCs w:val="21"/>
              </w:rPr>
              <w:t>分。</w:t>
            </w:r>
          </w:p>
          <w:p>
            <w:pPr>
              <w:pStyle w:val="26"/>
              <w:widowControl w:val="0"/>
              <w:spacing w:line="360" w:lineRule="auto"/>
              <w:ind w:firstLine="412" w:firstLineChars="200"/>
              <w:jc w:val="both"/>
              <w:rPr>
                <w:rFonts w:hint="eastAsia" w:ascii="宋体" w:hAnsi="宋体" w:eastAsia="宋体" w:cs="宋体"/>
                <w:color w:val="000000"/>
                <w:spacing w:val="-2"/>
                <w:sz w:val="21"/>
                <w:szCs w:val="21"/>
              </w:rPr>
            </w:pPr>
            <w:r>
              <w:rPr>
                <w:rFonts w:hint="eastAsia" w:ascii="宋体" w:hAnsi="宋体" w:eastAsia="宋体" w:cs="宋体"/>
                <w:color w:val="000000"/>
                <w:spacing w:val="-2"/>
                <w:sz w:val="21"/>
                <w:szCs w:val="21"/>
              </w:rPr>
              <w:t>注：技术参数中要求提供相关部门检验报告或证明文件的，投标文件中必须按要求提供，否则视为技术参数负偏离。</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lang w:eastAsia="zh-CN"/>
              </w:rPr>
            </w:pPr>
            <w:r>
              <w:rPr>
                <w:rFonts w:hint="eastAsia" w:ascii="宋体" w:hAnsi="宋体" w:cs="宋体"/>
                <w:color w:val="0000FF"/>
                <w:sz w:val="21"/>
                <w:szCs w:val="21"/>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360"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000000"/>
                <w:sz w:val="21"/>
                <w:szCs w:val="21"/>
              </w:rPr>
            </w:pPr>
          </w:p>
        </w:tc>
        <w:tc>
          <w:tcPr>
            <w:tcW w:w="1353" w:type="dxa"/>
            <w:vMerge w:val="restart"/>
            <w:tcBorders>
              <w:right w:val="single" w:color="auto" w:sz="4" w:space="0"/>
            </w:tcBorders>
            <w:noWrap w:val="0"/>
            <w:vAlign w:val="center"/>
          </w:tcPr>
          <w:p>
            <w:pPr>
              <w:widowControl/>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实施方案</w:t>
            </w:r>
          </w:p>
        </w:tc>
        <w:tc>
          <w:tcPr>
            <w:tcW w:w="6519" w:type="dxa"/>
            <w:tcBorders>
              <w:right w:val="single" w:color="auto" w:sz="4" w:space="0"/>
            </w:tcBorders>
            <w:noWrap w:val="0"/>
            <w:vAlign w:val="center"/>
          </w:tcPr>
          <w:p>
            <w:pPr>
              <w:spacing w:line="360" w:lineRule="auto"/>
              <w:ind w:firstLine="412" w:firstLineChars="200"/>
              <w:rPr>
                <w:rFonts w:hint="eastAsia" w:ascii="宋体" w:hAnsi="宋体" w:eastAsia="宋体" w:cs="宋体"/>
                <w:color w:val="000000"/>
                <w:spacing w:val="-2"/>
                <w:sz w:val="21"/>
                <w:szCs w:val="21"/>
              </w:rPr>
            </w:pPr>
            <w:r>
              <w:rPr>
                <w:rFonts w:hint="eastAsia" w:ascii="宋体" w:hAnsi="宋体" w:eastAsia="宋体" w:cs="宋体"/>
                <w:color w:val="000000"/>
                <w:spacing w:val="-2"/>
                <w:sz w:val="21"/>
                <w:szCs w:val="21"/>
              </w:rPr>
              <w:t>投标人</w:t>
            </w:r>
            <w:r>
              <w:rPr>
                <w:rFonts w:hint="eastAsia" w:ascii="宋体" w:hAnsi="宋体" w:eastAsia="宋体" w:cs="宋体"/>
                <w:color w:val="000000"/>
                <w:spacing w:val="-2"/>
                <w:sz w:val="21"/>
                <w:szCs w:val="21"/>
                <w:lang w:val="en-US" w:eastAsia="zh-CN"/>
              </w:rPr>
              <w:t>根据客户需求及项目现场情况编制</w:t>
            </w:r>
            <w:r>
              <w:rPr>
                <w:rFonts w:hint="eastAsia" w:ascii="宋体" w:hAnsi="宋体" w:eastAsia="宋体" w:cs="宋体"/>
                <w:color w:val="000000"/>
                <w:spacing w:val="-2"/>
                <w:sz w:val="21"/>
                <w:szCs w:val="21"/>
              </w:rPr>
              <w:t>项目组织实施方案</w:t>
            </w: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包括</w:t>
            </w:r>
            <w:r>
              <w:rPr>
                <w:rFonts w:hint="eastAsia" w:ascii="宋体" w:hAnsi="宋体" w:eastAsia="宋体" w:cs="宋体"/>
                <w:color w:val="000000"/>
                <w:spacing w:val="-2"/>
                <w:sz w:val="21"/>
                <w:szCs w:val="21"/>
              </w:rPr>
              <w:t>安装调试、原有系统扩容升级、试运行等</w:t>
            </w:r>
            <w:r>
              <w:rPr>
                <w:rFonts w:hint="eastAsia" w:ascii="宋体" w:hAnsi="宋体" w:eastAsia="宋体" w:cs="宋体"/>
                <w:color w:val="000000"/>
                <w:spacing w:val="-2"/>
                <w:sz w:val="21"/>
                <w:szCs w:val="21"/>
                <w:lang w:val="en-US" w:eastAsia="zh-CN"/>
              </w:rPr>
              <w:t>内容，根据方案</w:t>
            </w:r>
            <w:r>
              <w:rPr>
                <w:rFonts w:hint="eastAsia" w:ascii="宋体" w:hAnsi="宋体" w:eastAsia="宋体" w:cs="宋体"/>
                <w:color w:val="000000"/>
                <w:spacing w:val="-2"/>
                <w:sz w:val="21"/>
                <w:szCs w:val="21"/>
              </w:rPr>
              <w:t>的科学性、合理性、规范性和可操作性，进行综合评价打分</w:t>
            </w: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第一档：6-4.1，第二档4-2.1，第三档2-0。</w:t>
            </w:r>
          </w:p>
        </w:tc>
        <w:tc>
          <w:tcPr>
            <w:tcW w:w="777"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360" w:type="dxa"/>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000000"/>
                <w:sz w:val="21"/>
                <w:szCs w:val="21"/>
              </w:rPr>
            </w:pPr>
          </w:p>
        </w:tc>
        <w:tc>
          <w:tcPr>
            <w:tcW w:w="1353" w:type="dxa"/>
            <w:vMerge w:val="continue"/>
            <w:tcBorders>
              <w:right w:val="single" w:color="auto" w:sz="4" w:space="0"/>
            </w:tcBorders>
            <w:noWrap w:val="0"/>
            <w:vAlign w:val="center"/>
          </w:tcPr>
          <w:p>
            <w:pPr>
              <w:widowControl/>
              <w:spacing w:line="360" w:lineRule="auto"/>
              <w:jc w:val="center"/>
              <w:rPr>
                <w:rFonts w:hint="eastAsia" w:ascii="宋体" w:hAnsi="宋体" w:eastAsia="宋体" w:cs="宋体"/>
                <w:b/>
                <w:bCs/>
                <w:color w:val="000000"/>
                <w:sz w:val="21"/>
                <w:szCs w:val="21"/>
              </w:rPr>
            </w:pPr>
          </w:p>
        </w:tc>
        <w:tc>
          <w:tcPr>
            <w:tcW w:w="6519" w:type="dxa"/>
            <w:tcBorders>
              <w:right w:val="single" w:color="auto" w:sz="4" w:space="0"/>
            </w:tcBorders>
            <w:noWrap w:val="0"/>
            <w:vAlign w:val="center"/>
          </w:tcPr>
          <w:p>
            <w:pPr>
              <w:pStyle w:val="26"/>
              <w:widowControl w:val="0"/>
              <w:spacing w:line="360" w:lineRule="auto"/>
              <w:ind w:firstLine="412" w:firstLineChars="200"/>
              <w:jc w:val="both"/>
              <w:rPr>
                <w:rFonts w:hint="eastAsia" w:ascii="宋体" w:hAnsi="宋体" w:eastAsia="宋体" w:cs="宋体"/>
                <w:color w:val="000000"/>
                <w:spacing w:val="-2"/>
                <w:sz w:val="21"/>
                <w:szCs w:val="21"/>
              </w:rPr>
            </w:pPr>
            <w:r>
              <w:rPr>
                <w:rFonts w:hint="eastAsia" w:ascii="宋体" w:hAnsi="宋体" w:eastAsia="宋体" w:cs="宋体"/>
                <w:color w:val="000000"/>
                <w:spacing w:val="-2"/>
                <w:sz w:val="21"/>
                <w:szCs w:val="21"/>
                <w:lang w:val="en-US" w:eastAsia="zh-CN"/>
              </w:rPr>
              <w:t>根据</w:t>
            </w:r>
            <w:r>
              <w:rPr>
                <w:rFonts w:hint="eastAsia" w:ascii="宋体" w:hAnsi="宋体" w:eastAsia="宋体" w:cs="宋体"/>
                <w:color w:val="000000"/>
                <w:spacing w:val="-2"/>
                <w:sz w:val="21"/>
                <w:szCs w:val="21"/>
              </w:rPr>
              <w:t>投标人对本项目安排的项目管理制度及措施、测试和验收方案（应完全满足软件运行的环境要求）进行</w:t>
            </w:r>
            <w:r>
              <w:rPr>
                <w:rFonts w:hint="eastAsia" w:ascii="宋体" w:hAnsi="宋体" w:eastAsia="宋体" w:cs="宋体"/>
                <w:color w:val="000000"/>
                <w:spacing w:val="-2"/>
                <w:sz w:val="21"/>
                <w:szCs w:val="21"/>
                <w:lang w:val="en-US" w:eastAsia="zh-CN"/>
              </w:rPr>
              <w:t>分档</w:t>
            </w:r>
            <w:r>
              <w:rPr>
                <w:rFonts w:hint="eastAsia" w:ascii="宋体" w:hAnsi="宋体" w:eastAsia="宋体" w:cs="宋体"/>
                <w:color w:val="000000"/>
                <w:spacing w:val="-2"/>
                <w:sz w:val="21"/>
                <w:szCs w:val="21"/>
              </w:rPr>
              <w:t>打分，</w:t>
            </w:r>
            <w:r>
              <w:rPr>
                <w:rFonts w:hint="eastAsia" w:ascii="宋体" w:hAnsi="宋体" w:eastAsia="宋体" w:cs="宋体"/>
                <w:color w:val="000000"/>
                <w:spacing w:val="-2"/>
                <w:sz w:val="21"/>
                <w:szCs w:val="21"/>
                <w:lang w:val="en-US" w:eastAsia="zh-CN"/>
              </w:rPr>
              <w:t>第一档：3-2.1，第二档2-1.1，第三档1-0</w:t>
            </w:r>
            <w:r>
              <w:rPr>
                <w:rFonts w:hint="eastAsia" w:ascii="宋体" w:hAnsi="宋体" w:eastAsia="宋体" w:cs="宋体"/>
                <w:color w:val="000000"/>
                <w:spacing w:val="-2"/>
                <w:sz w:val="21"/>
                <w:szCs w:val="21"/>
              </w:rPr>
              <w:t>。</w:t>
            </w:r>
          </w:p>
        </w:tc>
        <w:tc>
          <w:tcPr>
            <w:tcW w:w="777"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360" w:type="dxa"/>
            <w:vMerge w:val="restart"/>
            <w:tcBorders>
              <w:left w:val="single" w:color="auto" w:sz="4" w:space="0"/>
              <w:right w:val="single" w:color="auto" w:sz="4" w:space="0"/>
            </w:tcBorders>
            <w:noWrap w:val="0"/>
            <w:vAlign w:val="center"/>
          </w:tcPr>
          <w:p>
            <w:pPr>
              <w:pStyle w:val="10"/>
              <w:spacing w:line="360" w:lineRule="auto"/>
              <w:ind w:left="0" w:lef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实力信誉</w:t>
            </w:r>
          </w:p>
          <w:p>
            <w:pPr>
              <w:pStyle w:val="10"/>
              <w:spacing w:line="360" w:lineRule="auto"/>
              <w:ind w:left="0" w:leftChars="0" w:firstLine="0" w:firstLineChars="0"/>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及业绩</w:t>
            </w:r>
          </w:p>
          <w:p>
            <w:pPr>
              <w:pStyle w:val="10"/>
              <w:spacing w:line="360" w:lineRule="auto"/>
              <w:ind w:left="0" w:leftChars="0" w:firstLine="0" w:firstLineChars="0"/>
              <w:jc w:val="center"/>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w:t>
            </w:r>
            <w:r>
              <w:rPr>
                <w:rFonts w:hint="eastAsia" w:ascii="宋体" w:hAnsi="宋体" w:eastAsia="宋体" w:cs="宋体"/>
                <w:b/>
                <w:bCs/>
                <w:color w:val="auto"/>
                <w:kern w:val="0"/>
                <w:sz w:val="21"/>
                <w:szCs w:val="21"/>
              </w:rPr>
              <w:t>17分</w:t>
            </w:r>
            <w:r>
              <w:rPr>
                <w:rFonts w:hint="eastAsia" w:ascii="宋体" w:hAnsi="宋体" w:eastAsia="宋体" w:cs="宋体"/>
                <w:b/>
                <w:bCs/>
                <w:color w:val="auto"/>
                <w:kern w:val="0"/>
                <w:sz w:val="21"/>
                <w:szCs w:val="21"/>
                <w:lang w:val="en-US" w:eastAsia="zh-CN"/>
              </w:rPr>
              <w:t>)</w:t>
            </w:r>
          </w:p>
        </w:tc>
        <w:tc>
          <w:tcPr>
            <w:tcW w:w="1353"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供应商实力</w:t>
            </w:r>
          </w:p>
        </w:tc>
        <w:tc>
          <w:tcPr>
            <w:tcW w:w="6519" w:type="dxa"/>
            <w:tcBorders>
              <w:top w:val="single" w:color="auto" w:sz="4" w:space="0"/>
              <w:left w:val="single" w:color="auto" w:sz="4" w:space="0"/>
              <w:bottom w:val="single" w:color="auto" w:sz="4" w:space="0"/>
            </w:tcBorders>
            <w:noWrap w:val="0"/>
            <w:vAlign w:val="center"/>
          </w:tcPr>
          <w:p>
            <w:pPr>
              <w:pStyle w:val="26"/>
              <w:widowControl w:val="0"/>
              <w:spacing w:line="360" w:lineRule="auto"/>
              <w:ind w:firstLine="412" w:firstLineChars="200"/>
              <w:jc w:val="both"/>
              <w:rPr>
                <w:rFonts w:hint="eastAsia" w:ascii="宋体" w:hAnsi="宋体" w:eastAsia="宋体" w:cs="宋体"/>
                <w:color w:val="000000"/>
                <w:sz w:val="21"/>
                <w:szCs w:val="21"/>
              </w:rPr>
            </w:pPr>
            <w:r>
              <w:rPr>
                <w:rFonts w:hint="eastAsia" w:ascii="宋体" w:hAnsi="宋体" w:eastAsia="宋体" w:cs="宋体"/>
                <w:color w:val="000000"/>
                <w:spacing w:val="-2"/>
                <w:sz w:val="21"/>
                <w:szCs w:val="21"/>
              </w:rPr>
              <w:t>根据</w:t>
            </w:r>
            <w:r>
              <w:rPr>
                <w:rFonts w:hint="eastAsia" w:ascii="宋体" w:hAnsi="宋体" w:eastAsia="宋体" w:cs="宋体"/>
                <w:color w:val="000000"/>
                <w:spacing w:val="-2"/>
                <w:sz w:val="21"/>
                <w:szCs w:val="21"/>
                <w:lang w:val="en-US" w:eastAsia="zh-CN"/>
              </w:rPr>
              <w:t>投标人</w:t>
            </w:r>
            <w:r>
              <w:rPr>
                <w:rFonts w:hint="eastAsia" w:ascii="宋体" w:hAnsi="宋体" w:eastAsia="宋体" w:cs="宋体"/>
                <w:color w:val="000000"/>
                <w:spacing w:val="-2"/>
                <w:sz w:val="21"/>
                <w:szCs w:val="21"/>
              </w:rPr>
              <w:t>的企业经营情况（包括财务状况、履约能力等）进行打分。</w:t>
            </w:r>
            <w:r>
              <w:rPr>
                <w:rFonts w:hint="eastAsia" w:ascii="宋体" w:hAnsi="宋体" w:eastAsia="宋体" w:cs="宋体"/>
                <w:color w:val="000000"/>
                <w:kern w:val="2"/>
                <w:sz w:val="21"/>
                <w:szCs w:val="21"/>
              </w:rPr>
              <w:t>（需提供上一年的财务报表）</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36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1"/>
                <w:szCs w:val="21"/>
              </w:rPr>
            </w:pPr>
          </w:p>
        </w:tc>
        <w:tc>
          <w:tcPr>
            <w:tcW w:w="1353"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供应商信誉</w:t>
            </w:r>
          </w:p>
          <w:p>
            <w:pPr>
              <w:spacing w:line="360" w:lineRule="auto"/>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（客观分）</w:t>
            </w:r>
          </w:p>
        </w:tc>
        <w:tc>
          <w:tcPr>
            <w:tcW w:w="6519" w:type="dxa"/>
            <w:tcBorders>
              <w:top w:val="single" w:color="auto" w:sz="4" w:space="0"/>
              <w:left w:val="single" w:color="auto" w:sz="4" w:space="0"/>
              <w:bottom w:val="single" w:color="auto" w:sz="4" w:space="0"/>
            </w:tcBorders>
            <w:noWrap w:val="0"/>
            <w:vAlign w:val="center"/>
          </w:tcPr>
          <w:p>
            <w:pPr>
              <w:pStyle w:val="26"/>
              <w:widowControl w:val="0"/>
              <w:spacing w:line="360" w:lineRule="auto"/>
              <w:ind w:firstLine="412" w:firstLineChars="200"/>
              <w:jc w:val="both"/>
              <w:rPr>
                <w:rFonts w:hint="eastAsia" w:ascii="宋体" w:hAnsi="宋体" w:eastAsia="宋体" w:cs="宋体"/>
                <w:color w:val="000000"/>
                <w:sz w:val="21"/>
                <w:szCs w:val="21"/>
              </w:rPr>
            </w:pPr>
            <w:r>
              <w:rPr>
                <w:rFonts w:hint="eastAsia" w:ascii="宋体" w:hAnsi="宋体" w:eastAsia="宋体" w:cs="宋体"/>
                <w:color w:val="000000"/>
                <w:spacing w:val="-2"/>
                <w:sz w:val="21"/>
                <w:szCs w:val="21"/>
              </w:rPr>
              <w:t>投标人具有</w:t>
            </w:r>
            <w:r>
              <w:rPr>
                <w:rFonts w:hint="eastAsia" w:ascii="宋体" w:hAnsi="宋体" w:eastAsia="宋体" w:cs="宋体"/>
                <w:b w:val="0"/>
                <w:bCs w:val="0"/>
                <w:color w:val="auto"/>
                <w:spacing w:val="-2"/>
                <w:sz w:val="21"/>
                <w:szCs w:val="21"/>
                <w:lang w:val="en-US" w:eastAsia="zh-CN"/>
              </w:rPr>
              <w:t>ISO9001</w:t>
            </w:r>
            <w:r>
              <w:rPr>
                <w:rFonts w:hint="eastAsia" w:ascii="宋体" w:hAnsi="宋体" w:eastAsia="宋体" w:cs="宋体"/>
                <w:color w:val="000000"/>
                <w:spacing w:val="-2"/>
                <w:sz w:val="21"/>
                <w:szCs w:val="21"/>
              </w:rPr>
              <w:t>质量管理体系、</w:t>
            </w:r>
            <w:r>
              <w:rPr>
                <w:rFonts w:hint="eastAsia" w:ascii="宋体" w:hAnsi="宋体" w:eastAsia="宋体" w:cs="宋体"/>
                <w:b w:val="0"/>
                <w:bCs w:val="0"/>
                <w:color w:val="0000FF"/>
                <w:spacing w:val="-2"/>
                <w:sz w:val="21"/>
                <w:szCs w:val="21"/>
                <w:lang w:val="en-US" w:eastAsia="zh-CN"/>
              </w:rPr>
              <w:t>ISO27001信息安全管理体系认证证书的</w:t>
            </w:r>
            <w:r>
              <w:rPr>
                <w:rFonts w:hint="eastAsia" w:ascii="宋体" w:hAnsi="宋体" w:eastAsia="宋体" w:cs="宋体"/>
                <w:color w:val="000000"/>
                <w:spacing w:val="-2"/>
                <w:sz w:val="21"/>
                <w:szCs w:val="21"/>
              </w:rPr>
              <w:t>，每一个得1分，最高得2分。</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136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1"/>
                <w:szCs w:val="21"/>
              </w:rPr>
            </w:pPr>
          </w:p>
        </w:tc>
        <w:tc>
          <w:tcPr>
            <w:tcW w:w="1353" w:type="dxa"/>
            <w:vMerge w:val="restart"/>
            <w:tcBorders>
              <w:top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项目团队</w:t>
            </w:r>
          </w:p>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能力</w:t>
            </w:r>
          </w:p>
        </w:tc>
        <w:tc>
          <w:tcPr>
            <w:tcW w:w="6519" w:type="dxa"/>
            <w:tcBorders>
              <w:top w:val="single" w:color="auto" w:sz="4" w:space="0"/>
              <w:left w:val="single" w:color="auto" w:sz="4" w:space="0"/>
              <w:bottom w:val="single" w:color="auto" w:sz="4" w:space="0"/>
            </w:tcBorders>
            <w:noWrap w:val="0"/>
            <w:vAlign w:val="center"/>
          </w:tcPr>
          <w:p>
            <w:pPr>
              <w:pStyle w:val="26"/>
              <w:widowControl w:val="0"/>
              <w:spacing w:line="360" w:lineRule="auto"/>
              <w:ind w:firstLine="412" w:firstLineChars="200"/>
              <w:jc w:val="both"/>
              <w:rPr>
                <w:rFonts w:hint="eastAsia" w:ascii="宋体" w:hAnsi="宋体" w:eastAsia="宋体" w:cs="宋体"/>
                <w:color w:val="000000"/>
                <w:spacing w:val="-2"/>
                <w:sz w:val="21"/>
                <w:szCs w:val="21"/>
              </w:rPr>
            </w:pPr>
            <w:r>
              <w:rPr>
                <w:rFonts w:hint="eastAsia" w:ascii="宋体" w:hAnsi="宋体" w:eastAsia="宋体" w:cs="宋体"/>
                <w:color w:val="000000"/>
                <w:spacing w:val="-2"/>
                <w:sz w:val="21"/>
                <w:szCs w:val="21"/>
              </w:rPr>
              <w:t>项目负责人具备与本项目相适应的资质类别:项目管理类、网络工程类，具备一个类别证书得1分，最高得2分。</w:t>
            </w:r>
          </w:p>
          <w:p>
            <w:pPr>
              <w:pStyle w:val="26"/>
              <w:widowControl w:val="0"/>
              <w:spacing w:line="360" w:lineRule="auto"/>
              <w:jc w:val="both"/>
              <w:rPr>
                <w:rFonts w:hint="eastAsia" w:ascii="宋体" w:hAnsi="宋体" w:eastAsia="宋体" w:cs="宋体"/>
                <w:color w:val="000000"/>
                <w:spacing w:val="-2"/>
                <w:sz w:val="21"/>
                <w:szCs w:val="21"/>
              </w:rPr>
            </w:pPr>
            <w:r>
              <w:rPr>
                <w:rFonts w:hint="eastAsia" w:ascii="宋体" w:hAnsi="宋体" w:eastAsia="宋体" w:cs="宋体"/>
                <w:b/>
                <w:bCs/>
                <w:color w:val="auto"/>
                <w:sz w:val="21"/>
                <w:szCs w:val="21"/>
              </w:rPr>
              <w:t>需要提供相关证书扫描件，对应人员在</w:t>
            </w:r>
            <w:r>
              <w:rPr>
                <w:rFonts w:hint="eastAsia" w:ascii="宋体" w:hAnsi="宋体" w:eastAsia="宋体" w:cs="宋体"/>
                <w:b/>
                <w:bCs/>
                <w:color w:val="auto"/>
                <w:sz w:val="21"/>
                <w:szCs w:val="21"/>
                <w:lang w:eastAsia="zh-CN"/>
              </w:rPr>
              <w:t>投标人</w:t>
            </w:r>
            <w:r>
              <w:rPr>
                <w:rFonts w:hint="eastAsia" w:ascii="宋体" w:hAnsi="宋体" w:eastAsia="宋体" w:cs="宋体"/>
                <w:b/>
                <w:bCs/>
                <w:color w:val="auto"/>
                <w:sz w:val="21"/>
                <w:szCs w:val="21"/>
              </w:rPr>
              <w:t>单位近</w:t>
            </w: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个月</w:t>
            </w:r>
            <w:r>
              <w:rPr>
                <w:rFonts w:hint="eastAsia" w:ascii="宋体" w:hAnsi="宋体" w:eastAsia="宋体" w:cs="宋体"/>
                <w:b/>
                <w:bCs/>
                <w:color w:val="auto"/>
                <w:sz w:val="21"/>
                <w:szCs w:val="21"/>
                <w:lang w:val="en-US" w:eastAsia="zh-CN"/>
              </w:rPr>
              <w:t>及以上</w:t>
            </w:r>
            <w:r>
              <w:rPr>
                <w:rFonts w:hint="eastAsia" w:ascii="宋体" w:hAnsi="宋体" w:eastAsia="宋体" w:cs="宋体"/>
                <w:b/>
                <w:bCs/>
                <w:color w:val="auto"/>
                <w:sz w:val="21"/>
                <w:szCs w:val="21"/>
              </w:rPr>
              <w:t>的社保证明（截止开标之日起）。</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jc w:val="center"/>
        </w:trPr>
        <w:tc>
          <w:tcPr>
            <w:tcW w:w="136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1"/>
                <w:szCs w:val="21"/>
              </w:rPr>
            </w:pPr>
          </w:p>
        </w:tc>
        <w:tc>
          <w:tcPr>
            <w:tcW w:w="1353" w:type="dxa"/>
            <w:vMerge w:val="continue"/>
            <w:tcBorders>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rPr>
            </w:pPr>
          </w:p>
        </w:tc>
        <w:tc>
          <w:tcPr>
            <w:tcW w:w="6519" w:type="dxa"/>
            <w:tcBorders>
              <w:top w:val="single" w:color="auto" w:sz="4" w:space="0"/>
              <w:left w:val="single" w:color="auto" w:sz="4" w:space="0"/>
              <w:bottom w:val="single" w:color="auto" w:sz="4" w:space="0"/>
            </w:tcBorders>
            <w:noWrap w:val="0"/>
            <w:vAlign w:val="center"/>
          </w:tcPr>
          <w:p>
            <w:pPr>
              <w:pStyle w:val="26"/>
              <w:widowControl w:val="0"/>
              <w:spacing w:line="360" w:lineRule="auto"/>
              <w:ind w:firstLine="412" w:firstLineChars="200"/>
              <w:jc w:val="both"/>
              <w:rPr>
                <w:rFonts w:hint="eastAsia" w:ascii="宋体" w:hAnsi="宋体" w:eastAsia="宋体" w:cs="宋体"/>
                <w:color w:val="000000"/>
                <w:spacing w:val="-2"/>
                <w:sz w:val="21"/>
                <w:szCs w:val="21"/>
              </w:rPr>
            </w:pPr>
            <w:r>
              <w:rPr>
                <w:rFonts w:hint="eastAsia" w:ascii="宋体" w:hAnsi="宋体" w:eastAsia="宋体" w:cs="宋体"/>
                <w:color w:val="000000"/>
                <w:spacing w:val="-2"/>
                <w:sz w:val="21"/>
                <w:szCs w:val="21"/>
              </w:rPr>
              <w:t>项目实施团队成员具备与本项目相适应或高于的资质证书（包括但不限于以下），如应具备信息系统项目管理师、PMP、信息安全规划师、CISP、网络工程师、ITIL、H3CSCE等认证，每有1个团队成员具备其中1项认证证书的得1分，最</w:t>
            </w:r>
            <w:r>
              <w:rPr>
                <w:rFonts w:hint="eastAsia" w:ascii="宋体" w:hAnsi="宋体" w:eastAsia="宋体" w:cs="宋体"/>
                <w:color w:val="000000"/>
                <w:spacing w:val="-2"/>
                <w:sz w:val="21"/>
                <w:szCs w:val="21"/>
                <w:lang w:val="en-US" w:eastAsia="zh-CN"/>
              </w:rPr>
              <w:t>高得</w:t>
            </w:r>
            <w:r>
              <w:rPr>
                <w:rFonts w:hint="eastAsia" w:ascii="宋体" w:hAnsi="宋体" w:eastAsia="宋体" w:cs="宋体"/>
                <w:color w:val="000000"/>
                <w:spacing w:val="-2"/>
                <w:sz w:val="21"/>
                <w:szCs w:val="21"/>
              </w:rPr>
              <w:t>6分。</w:t>
            </w:r>
          </w:p>
          <w:p>
            <w:pPr>
              <w:pStyle w:val="26"/>
              <w:widowControl w:val="0"/>
              <w:spacing w:line="360" w:lineRule="auto"/>
              <w:jc w:val="both"/>
              <w:rPr>
                <w:rFonts w:hint="eastAsia" w:ascii="宋体" w:hAnsi="宋体" w:eastAsia="宋体" w:cs="宋体"/>
                <w:color w:val="000000"/>
                <w:spacing w:val="-2"/>
                <w:sz w:val="21"/>
                <w:szCs w:val="21"/>
              </w:rPr>
            </w:pPr>
            <w:r>
              <w:rPr>
                <w:rFonts w:hint="eastAsia" w:ascii="宋体" w:hAnsi="宋体" w:eastAsia="宋体" w:cs="宋体"/>
                <w:b/>
                <w:bCs/>
                <w:color w:val="auto"/>
                <w:sz w:val="21"/>
                <w:szCs w:val="21"/>
              </w:rPr>
              <w:t>需要提供相关证书扫描件，对应人员在</w:t>
            </w:r>
            <w:r>
              <w:rPr>
                <w:rFonts w:hint="eastAsia" w:ascii="宋体" w:hAnsi="宋体" w:eastAsia="宋体" w:cs="宋体"/>
                <w:b/>
                <w:bCs/>
                <w:color w:val="auto"/>
                <w:sz w:val="21"/>
                <w:szCs w:val="21"/>
                <w:lang w:eastAsia="zh-CN"/>
              </w:rPr>
              <w:t>投标人</w:t>
            </w:r>
            <w:r>
              <w:rPr>
                <w:rFonts w:hint="eastAsia" w:ascii="宋体" w:hAnsi="宋体" w:eastAsia="宋体" w:cs="宋体"/>
                <w:b/>
                <w:bCs/>
                <w:color w:val="auto"/>
                <w:sz w:val="21"/>
                <w:szCs w:val="21"/>
              </w:rPr>
              <w:t>单位近</w:t>
            </w: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个月</w:t>
            </w:r>
            <w:r>
              <w:rPr>
                <w:rFonts w:hint="eastAsia" w:ascii="宋体" w:hAnsi="宋体" w:eastAsia="宋体" w:cs="宋体"/>
                <w:b/>
                <w:bCs/>
                <w:color w:val="auto"/>
                <w:sz w:val="21"/>
                <w:szCs w:val="21"/>
                <w:lang w:val="en-US" w:eastAsia="zh-CN"/>
              </w:rPr>
              <w:t>及以上</w:t>
            </w:r>
            <w:r>
              <w:rPr>
                <w:rFonts w:hint="eastAsia" w:ascii="宋体" w:hAnsi="宋体" w:eastAsia="宋体" w:cs="宋体"/>
                <w:b/>
                <w:bCs/>
                <w:color w:val="auto"/>
                <w:sz w:val="21"/>
                <w:szCs w:val="21"/>
              </w:rPr>
              <w:t>的社保证明（截止开标之日起）。</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36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sz w:val="21"/>
                <w:szCs w:val="21"/>
              </w:rPr>
            </w:pPr>
          </w:p>
        </w:tc>
        <w:tc>
          <w:tcPr>
            <w:tcW w:w="1353"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项目业绩</w:t>
            </w:r>
          </w:p>
          <w:p>
            <w:pPr>
              <w:spacing w:line="360" w:lineRule="auto"/>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（客观分）</w:t>
            </w:r>
          </w:p>
        </w:tc>
        <w:tc>
          <w:tcPr>
            <w:tcW w:w="6519" w:type="dxa"/>
            <w:tcBorders>
              <w:top w:val="single" w:color="auto" w:sz="4" w:space="0"/>
              <w:left w:val="single" w:color="auto" w:sz="4" w:space="0"/>
              <w:bottom w:val="single" w:color="auto" w:sz="4" w:space="0"/>
            </w:tcBorders>
            <w:noWrap w:val="0"/>
            <w:vAlign w:val="center"/>
          </w:tcPr>
          <w:p>
            <w:pPr>
              <w:pStyle w:val="26"/>
              <w:widowControl w:val="0"/>
              <w:spacing w:line="360" w:lineRule="auto"/>
              <w:ind w:firstLine="420" w:firstLineChars="200"/>
              <w:jc w:val="both"/>
              <w:rPr>
                <w:rFonts w:hint="eastAsia" w:ascii="宋体" w:hAnsi="宋体" w:eastAsia="宋体" w:cs="宋体"/>
                <w:color w:val="000000"/>
                <w:sz w:val="21"/>
                <w:szCs w:val="21"/>
              </w:rPr>
            </w:pPr>
            <w:r>
              <w:rPr>
                <w:rFonts w:hint="eastAsia" w:ascii="宋体" w:hAnsi="宋体" w:eastAsia="宋体" w:cs="宋体"/>
                <w:color w:val="000000"/>
                <w:sz w:val="21"/>
                <w:szCs w:val="21"/>
              </w:rPr>
              <w:t>根据投标投标人提供的自</w:t>
            </w:r>
            <w:r>
              <w:rPr>
                <w:rFonts w:hint="eastAsia" w:ascii="宋体" w:hAnsi="宋体" w:eastAsia="宋体" w:cs="宋体"/>
                <w:color w:val="0000FF"/>
                <w:sz w:val="21"/>
                <w:szCs w:val="21"/>
              </w:rPr>
              <w:t>20</w:t>
            </w:r>
            <w:r>
              <w:rPr>
                <w:rFonts w:hint="eastAsia" w:ascii="宋体" w:hAnsi="宋体" w:eastAsia="宋体" w:cs="宋体"/>
                <w:color w:val="0000FF"/>
                <w:sz w:val="21"/>
                <w:szCs w:val="21"/>
                <w:lang w:val="en-US" w:eastAsia="zh-CN"/>
              </w:rPr>
              <w:t>18</w:t>
            </w:r>
            <w:r>
              <w:rPr>
                <w:rFonts w:hint="eastAsia" w:ascii="宋体" w:hAnsi="宋体" w:eastAsia="宋体" w:cs="宋体"/>
                <w:color w:val="0000FF"/>
                <w:sz w:val="21"/>
                <w:szCs w:val="21"/>
              </w:rPr>
              <w:t>年1月</w:t>
            </w:r>
            <w:r>
              <w:rPr>
                <w:rFonts w:hint="eastAsia" w:ascii="宋体" w:hAnsi="宋体" w:eastAsia="宋体" w:cs="宋体"/>
                <w:color w:val="000000"/>
                <w:sz w:val="21"/>
                <w:szCs w:val="21"/>
              </w:rPr>
              <w:t>（以合同签订时间为准）至今的同类项目业绩，每提供一个合同得1分，最高得5分，需提供合同复印件。</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360" w:type="dxa"/>
            <w:vMerge w:val="restart"/>
            <w:tcBorders>
              <w:left w:val="single" w:color="auto" w:sz="4" w:space="0"/>
              <w:right w:val="single" w:color="auto" w:sz="4" w:space="0"/>
            </w:tcBorders>
            <w:noWrap w:val="0"/>
            <w:vAlign w:val="center"/>
          </w:tcPr>
          <w:p>
            <w:pPr>
              <w:pStyle w:val="10"/>
              <w:spacing w:line="360" w:lineRule="auto"/>
              <w:ind w:left="0" w:leftChars="0" w:firstLine="0" w:firstLineChars="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售后服务</w:t>
            </w:r>
          </w:p>
          <w:p>
            <w:pPr>
              <w:pStyle w:val="10"/>
              <w:spacing w:line="360" w:lineRule="auto"/>
              <w:ind w:left="0" w:leftChars="0" w:firstLine="0" w:firstLineChars="0"/>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承诺</w:t>
            </w:r>
          </w:p>
          <w:p>
            <w:pPr>
              <w:pStyle w:val="10"/>
              <w:spacing w:line="360" w:lineRule="auto"/>
              <w:ind w:left="0" w:leftChars="0" w:firstLine="0" w:firstLineChars="0"/>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(9</w:t>
            </w:r>
            <w:r>
              <w:rPr>
                <w:rFonts w:hint="eastAsia" w:ascii="宋体" w:hAnsi="宋体" w:eastAsia="宋体" w:cs="宋体"/>
                <w:b/>
                <w:bCs/>
                <w:color w:val="000000"/>
                <w:sz w:val="21"/>
                <w:szCs w:val="21"/>
              </w:rPr>
              <w:t>分</w:t>
            </w:r>
            <w:r>
              <w:rPr>
                <w:rFonts w:hint="eastAsia" w:ascii="宋体" w:hAnsi="宋体" w:eastAsia="宋体" w:cs="宋体"/>
                <w:b/>
                <w:bCs/>
                <w:color w:val="000000"/>
                <w:sz w:val="21"/>
                <w:szCs w:val="21"/>
                <w:lang w:val="en-US" w:eastAsia="zh-CN"/>
              </w:rPr>
              <w:t>)</w:t>
            </w:r>
          </w:p>
        </w:tc>
        <w:tc>
          <w:tcPr>
            <w:tcW w:w="1353" w:type="dxa"/>
            <w:vMerge w:val="restart"/>
            <w:tcBorders>
              <w:top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b/>
                <w:color w:val="000000"/>
                <w:kern w:val="0"/>
                <w:sz w:val="21"/>
                <w:szCs w:val="21"/>
              </w:rPr>
              <w:t>服务方案</w:t>
            </w:r>
          </w:p>
        </w:tc>
        <w:tc>
          <w:tcPr>
            <w:tcW w:w="6519" w:type="dxa"/>
            <w:tcBorders>
              <w:top w:val="single" w:color="auto" w:sz="4" w:space="0"/>
              <w:left w:val="single" w:color="auto" w:sz="4" w:space="0"/>
              <w:bottom w:val="single" w:color="auto" w:sz="4" w:space="0"/>
            </w:tcBorders>
            <w:noWrap w:val="0"/>
            <w:vAlign w:val="top"/>
          </w:tcPr>
          <w:p>
            <w:pPr>
              <w:pStyle w:val="26"/>
              <w:widowControl w:val="0"/>
              <w:spacing w:line="360" w:lineRule="auto"/>
              <w:ind w:firstLine="420" w:firstLineChars="200"/>
              <w:jc w:val="both"/>
              <w:rPr>
                <w:rFonts w:hint="eastAsia" w:ascii="宋体" w:hAnsi="宋体" w:eastAsia="宋体" w:cs="宋体"/>
                <w:color w:val="000000"/>
                <w:sz w:val="21"/>
                <w:szCs w:val="21"/>
              </w:rPr>
            </w:pPr>
            <w:r>
              <w:rPr>
                <w:rFonts w:hint="eastAsia" w:ascii="宋体" w:hAnsi="宋体" w:eastAsia="宋体" w:cs="宋体"/>
                <w:color w:val="0000FF"/>
                <w:sz w:val="21"/>
                <w:szCs w:val="21"/>
              </w:rPr>
              <w:t>根据投标</w:t>
            </w:r>
            <w:r>
              <w:rPr>
                <w:rFonts w:hint="eastAsia" w:ascii="宋体" w:hAnsi="宋体" w:eastAsia="宋体" w:cs="宋体"/>
                <w:color w:val="0000FF"/>
                <w:sz w:val="21"/>
                <w:szCs w:val="21"/>
                <w:lang w:val="en-US" w:eastAsia="zh-CN"/>
              </w:rPr>
              <w:t>人</w:t>
            </w:r>
            <w:r>
              <w:rPr>
                <w:rFonts w:hint="eastAsia" w:ascii="宋体" w:hAnsi="宋体" w:eastAsia="宋体" w:cs="宋体"/>
                <w:color w:val="0000FF"/>
                <w:sz w:val="21"/>
                <w:szCs w:val="21"/>
              </w:rPr>
              <w:t>的售后技术服务方案</w:t>
            </w:r>
            <w:r>
              <w:rPr>
                <w:rFonts w:hint="eastAsia" w:ascii="宋体" w:hAnsi="宋体" w:eastAsia="宋体" w:cs="宋体"/>
                <w:color w:val="0000FF"/>
                <w:sz w:val="21"/>
                <w:szCs w:val="21"/>
                <w:lang w:val="en-US" w:eastAsia="zh-CN"/>
              </w:rPr>
              <w:t>及</w:t>
            </w:r>
            <w:r>
              <w:rPr>
                <w:rFonts w:hint="eastAsia" w:ascii="宋体" w:hAnsi="宋体" w:eastAsia="宋体" w:cs="宋体"/>
                <w:color w:val="0000FF"/>
                <w:sz w:val="21"/>
                <w:szCs w:val="21"/>
              </w:rPr>
              <w:t>本地化服务能力</w:t>
            </w:r>
            <w:r>
              <w:rPr>
                <w:rFonts w:hint="eastAsia" w:ascii="宋体" w:hAnsi="宋体" w:eastAsia="宋体" w:cs="宋体"/>
                <w:color w:val="000000"/>
                <w:sz w:val="21"/>
                <w:szCs w:val="21"/>
              </w:rPr>
              <w:t>进行酌情打分，包括</w:t>
            </w:r>
            <w:r>
              <w:rPr>
                <w:rFonts w:hint="eastAsia" w:ascii="宋体" w:hAnsi="宋体" w:eastAsia="宋体" w:cs="宋体"/>
                <w:color w:val="000000"/>
                <w:sz w:val="21"/>
                <w:szCs w:val="21"/>
                <w:lang w:val="en-US" w:eastAsia="zh-CN"/>
              </w:rPr>
              <w:t>投标人</w:t>
            </w:r>
            <w:r>
              <w:rPr>
                <w:rFonts w:hint="eastAsia" w:ascii="宋体" w:hAnsi="宋体" w:eastAsia="宋体" w:cs="宋体"/>
                <w:color w:val="000000"/>
                <w:sz w:val="21"/>
                <w:szCs w:val="21"/>
              </w:rPr>
              <w:t>本地综合服务支撑方案</w:t>
            </w:r>
            <w:r>
              <w:rPr>
                <w:rFonts w:hint="eastAsia" w:ascii="宋体" w:hAnsi="宋体" w:eastAsia="宋体" w:cs="宋体"/>
                <w:color w:val="000000"/>
                <w:sz w:val="21"/>
                <w:szCs w:val="21"/>
                <w:lang w:val="en-US" w:eastAsia="zh-CN"/>
              </w:rPr>
              <w:t>等分档打分，</w:t>
            </w:r>
            <w:r>
              <w:rPr>
                <w:rFonts w:hint="eastAsia" w:ascii="宋体" w:hAnsi="宋体" w:eastAsia="宋体" w:cs="宋体"/>
                <w:color w:val="000000"/>
                <w:sz w:val="21"/>
                <w:szCs w:val="21"/>
              </w:rPr>
              <w:t>第一档4-3.1分，第二档3-2.1分，第三档2-1.1分，第四档1-0分。</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360"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000000"/>
                <w:sz w:val="21"/>
                <w:szCs w:val="21"/>
              </w:rPr>
            </w:pPr>
          </w:p>
        </w:tc>
        <w:tc>
          <w:tcPr>
            <w:tcW w:w="1353" w:type="dxa"/>
            <w:vMerge w:val="continue"/>
            <w:tcBorders>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p>
        </w:tc>
        <w:tc>
          <w:tcPr>
            <w:tcW w:w="6519" w:type="dxa"/>
            <w:tcBorders>
              <w:top w:val="single" w:color="auto" w:sz="4" w:space="0"/>
              <w:left w:val="single" w:color="auto" w:sz="4" w:space="0"/>
              <w:bottom w:val="single" w:color="auto" w:sz="4" w:space="0"/>
            </w:tcBorders>
            <w:noWrap w:val="0"/>
            <w:vAlign w:val="top"/>
          </w:tcPr>
          <w:p>
            <w:pPr>
              <w:pStyle w:val="26"/>
              <w:widowControl w:val="0"/>
              <w:spacing w:line="360" w:lineRule="auto"/>
              <w:ind w:firstLine="420" w:firstLineChars="200"/>
              <w:jc w:val="both"/>
              <w:rPr>
                <w:rFonts w:hint="eastAsia" w:ascii="宋体" w:hAnsi="宋体" w:eastAsia="宋体" w:cs="宋体"/>
                <w:color w:val="000000"/>
                <w:sz w:val="21"/>
                <w:szCs w:val="21"/>
              </w:rPr>
            </w:pPr>
            <w:r>
              <w:rPr>
                <w:rFonts w:hint="eastAsia" w:ascii="宋体" w:hAnsi="宋体" w:eastAsia="宋体" w:cs="宋体"/>
                <w:color w:val="0000FF"/>
                <w:sz w:val="21"/>
                <w:szCs w:val="21"/>
              </w:rPr>
              <w:t>根据</w:t>
            </w:r>
            <w:r>
              <w:rPr>
                <w:rFonts w:hint="eastAsia" w:ascii="宋体" w:hAnsi="宋体" w:eastAsia="宋体" w:cs="宋体"/>
                <w:color w:val="0000FF"/>
                <w:sz w:val="21"/>
                <w:szCs w:val="21"/>
                <w:lang w:val="en-US" w:eastAsia="zh-CN"/>
              </w:rPr>
              <w:t>投标人应急处理方案</w:t>
            </w:r>
            <w:r>
              <w:rPr>
                <w:rFonts w:hint="eastAsia" w:ascii="宋体" w:hAnsi="宋体" w:eastAsia="宋体" w:cs="宋体"/>
                <w:color w:val="000000"/>
                <w:sz w:val="21"/>
                <w:szCs w:val="21"/>
                <w:lang w:val="en-US" w:eastAsia="zh-CN"/>
              </w:rPr>
              <w:t>，包括</w:t>
            </w:r>
            <w:r>
              <w:rPr>
                <w:rFonts w:hint="eastAsia" w:ascii="宋体" w:hAnsi="宋体" w:eastAsia="宋体" w:cs="宋体"/>
                <w:color w:val="000000"/>
                <w:sz w:val="21"/>
                <w:szCs w:val="21"/>
                <w:highlight w:val="none"/>
              </w:rPr>
              <w:t>故障响应时间、应</w:t>
            </w:r>
            <w:r>
              <w:rPr>
                <w:rFonts w:hint="eastAsia" w:ascii="宋体" w:hAnsi="宋体" w:eastAsia="宋体" w:cs="宋体"/>
                <w:color w:val="000000"/>
                <w:sz w:val="21"/>
                <w:szCs w:val="21"/>
              </w:rPr>
              <w:t>急举措</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后续处理方法等情况</w:t>
            </w:r>
            <w:r>
              <w:rPr>
                <w:rFonts w:hint="eastAsia" w:ascii="宋体" w:hAnsi="宋体" w:eastAsia="宋体" w:cs="宋体"/>
                <w:color w:val="000000"/>
                <w:sz w:val="21"/>
                <w:szCs w:val="21"/>
                <w:lang w:val="en-US" w:eastAsia="zh-CN"/>
              </w:rPr>
              <w:t>分档</w:t>
            </w:r>
            <w:r>
              <w:rPr>
                <w:rFonts w:hint="eastAsia" w:ascii="宋体" w:hAnsi="宋体" w:eastAsia="宋体" w:cs="宋体"/>
                <w:color w:val="000000"/>
                <w:sz w:val="21"/>
                <w:szCs w:val="21"/>
              </w:rPr>
              <w:t>评分，第一档5-4.1分，第二档4-3.1分，第三档3-2.1分，第四档2-1.1分，第五档1-0分。</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360" w:type="dxa"/>
            <w:tcBorders>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对采购文件响应程度</w:t>
            </w:r>
          </w:p>
          <w:p>
            <w:pPr>
              <w:adjustRightInd w:val="0"/>
              <w:snapToGrid w:val="0"/>
              <w:spacing w:line="360" w:lineRule="auto"/>
              <w:jc w:val="center"/>
              <w:rPr>
                <w:rFonts w:hint="eastAsia" w:ascii="宋体" w:hAnsi="宋体" w:eastAsia="宋体" w:cs="宋体"/>
                <w:b/>
                <w:color w:val="000000"/>
                <w:sz w:val="21"/>
                <w:szCs w:val="21"/>
                <w:lang w:val="en-US" w:eastAsia="zh-CN"/>
              </w:rPr>
            </w:pPr>
            <w:r>
              <w:rPr>
                <w:rFonts w:hint="eastAsia" w:ascii="宋体" w:hAnsi="宋体" w:eastAsia="宋体" w:cs="宋体"/>
                <w:b/>
                <w:bCs/>
                <w:color w:val="000000"/>
                <w:sz w:val="21"/>
                <w:szCs w:val="21"/>
                <w:lang w:val="en-US" w:eastAsia="zh-CN"/>
              </w:rPr>
              <w:t>(</w:t>
            </w:r>
            <w:r>
              <w:rPr>
                <w:rFonts w:hint="eastAsia" w:ascii="宋体" w:hAnsi="宋体" w:eastAsia="宋体" w:cs="宋体"/>
                <w:b/>
                <w:bCs/>
                <w:color w:val="000000"/>
                <w:sz w:val="21"/>
                <w:szCs w:val="21"/>
              </w:rPr>
              <w:t>2分</w:t>
            </w:r>
            <w:r>
              <w:rPr>
                <w:rFonts w:hint="eastAsia" w:ascii="宋体" w:hAnsi="宋体" w:eastAsia="宋体" w:cs="宋体"/>
                <w:b/>
                <w:bCs/>
                <w:color w:val="000000"/>
                <w:sz w:val="21"/>
                <w:szCs w:val="21"/>
                <w:lang w:val="en-US" w:eastAsia="zh-CN"/>
              </w:rPr>
              <w:t>)</w:t>
            </w:r>
          </w:p>
        </w:tc>
        <w:tc>
          <w:tcPr>
            <w:tcW w:w="7872" w:type="dxa"/>
            <w:gridSpan w:val="2"/>
            <w:tcBorders>
              <w:top w:val="single" w:color="auto" w:sz="4" w:space="0"/>
              <w:bottom w:val="single" w:color="auto" w:sz="4" w:space="0"/>
            </w:tcBorders>
            <w:noWrap w:val="0"/>
            <w:vAlign w:val="center"/>
          </w:tcPr>
          <w:p>
            <w:pPr>
              <w:pStyle w:val="26"/>
              <w:widowControl w:val="0"/>
              <w:spacing w:line="360" w:lineRule="auto"/>
              <w:ind w:firstLine="420" w:firstLineChars="200"/>
              <w:jc w:val="both"/>
              <w:rPr>
                <w:rFonts w:hint="eastAsia" w:ascii="宋体" w:hAnsi="宋体" w:eastAsia="宋体" w:cs="宋体"/>
                <w:color w:val="000000"/>
                <w:sz w:val="21"/>
                <w:szCs w:val="21"/>
              </w:rPr>
            </w:pPr>
            <w:r>
              <w:rPr>
                <w:rFonts w:hint="eastAsia" w:ascii="宋体" w:hAnsi="宋体" w:eastAsia="宋体" w:cs="宋体"/>
                <w:color w:val="000000"/>
                <w:sz w:val="21"/>
                <w:szCs w:val="21"/>
              </w:rPr>
              <w:t>根据投标文件的完整性及与采购文件的响应程度酌情打分。</w:t>
            </w:r>
          </w:p>
        </w:tc>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60" w:type="dxa"/>
            <w:tcBorders>
              <w:left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价格</w:t>
            </w:r>
          </w:p>
          <w:p>
            <w:pPr>
              <w:adjustRightInd w:val="0"/>
              <w:snapToGrid w:val="0"/>
              <w:spacing w:line="360" w:lineRule="auto"/>
              <w:jc w:val="center"/>
              <w:rPr>
                <w:rFonts w:hint="eastAsia" w:ascii="宋体" w:hAnsi="宋体" w:eastAsia="宋体" w:cs="宋体"/>
                <w:b/>
                <w:color w:val="000000"/>
                <w:sz w:val="21"/>
                <w:szCs w:val="21"/>
                <w:lang w:val="en-US" w:eastAsia="zh-CN"/>
              </w:rPr>
            </w:pPr>
            <w:r>
              <w:rPr>
                <w:rFonts w:hint="eastAsia" w:ascii="宋体" w:hAnsi="宋体" w:eastAsia="宋体" w:cs="宋体"/>
                <w:b/>
                <w:bCs/>
                <w:color w:val="000000"/>
                <w:sz w:val="21"/>
                <w:szCs w:val="21"/>
                <w:lang w:val="en-US" w:eastAsia="zh-CN"/>
              </w:rPr>
              <w:t>(</w:t>
            </w:r>
            <w:r>
              <w:rPr>
                <w:rFonts w:hint="eastAsia" w:ascii="宋体" w:hAnsi="宋体" w:eastAsia="宋体" w:cs="宋体"/>
                <w:b/>
                <w:bCs/>
                <w:color w:val="000000"/>
                <w:sz w:val="21"/>
                <w:szCs w:val="21"/>
              </w:rPr>
              <w:t>30分</w:t>
            </w:r>
            <w:r>
              <w:rPr>
                <w:rFonts w:hint="eastAsia" w:ascii="宋体" w:hAnsi="宋体" w:eastAsia="宋体" w:cs="宋体"/>
                <w:b/>
                <w:bCs/>
                <w:color w:val="000000"/>
                <w:sz w:val="21"/>
                <w:szCs w:val="21"/>
                <w:lang w:val="en-US" w:eastAsia="zh-CN"/>
              </w:rPr>
              <w:t>)</w:t>
            </w:r>
          </w:p>
        </w:tc>
        <w:tc>
          <w:tcPr>
            <w:tcW w:w="7872" w:type="dxa"/>
            <w:gridSpan w:val="2"/>
            <w:tcBorders>
              <w:top w:val="single" w:color="auto" w:sz="4" w:space="0"/>
            </w:tcBorders>
            <w:noWrap w:val="0"/>
            <w:vAlign w:val="center"/>
          </w:tcPr>
          <w:p>
            <w:pPr>
              <w:pStyle w:val="26"/>
              <w:widowControl w:val="0"/>
              <w:spacing w:line="360" w:lineRule="auto"/>
              <w:ind w:firstLine="420" w:firstLineChars="200"/>
              <w:jc w:val="both"/>
              <w:rPr>
                <w:rFonts w:hint="eastAsia" w:ascii="宋体" w:hAnsi="宋体" w:eastAsia="宋体" w:cs="宋体"/>
                <w:color w:val="000000"/>
                <w:sz w:val="21"/>
                <w:szCs w:val="21"/>
              </w:rPr>
            </w:pPr>
            <w:r>
              <w:rPr>
                <w:rFonts w:hint="eastAsia" w:ascii="宋体" w:hAnsi="宋体" w:eastAsia="宋体" w:cs="宋体"/>
                <w:color w:val="000000"/>
                <w:sz w:val="21"/>
                <w:szCs w:val="21"/>
              </w:rPr>
              <w:t>以合格</w:t>
            </w:r>
            <w:r>
              <w:rPr>
                <w:rFonts w:hint="eastAsia" w:ascii="宋体" w:hAnsi="宋体" w:eastAsia="宋体" w:cs="宋体"/>
                <w:color w:val="000000"/>
                <w:sz w:val="21"/>
                <w:szCs w:val="21"/>
                <w:lang w:val="en-US" w:eastAsia="zh-CN"/>
              </w:rPr>
              <w:t>投标人</w:t>
            </w:r>
            <w:r>
              <w:rPr>
                <w:rFonts w:hint="eastAsia" w:ascii="宋体" w:hAnsi="宋体" w:eastAsia="宋体" w:cs="宋体"/>
                <w:color w:val="000000"/>
                <w:sz w:val="21"/>
                <w:szCs w:val="21"/>
              </w:rPr>
              <w:t>有效总报价中的最低价为基准价，基准价为 分。报价得分＝（评标基准价/最终报价）×30%×100（小数点后保留2位小数）。（注：对于小型和微型企业产品的价格给予6%的扣除，用扣除后的价格参与评审。)</w:t>
            </w:r>
          </w:p>
        </w:tc>
        <w:tc>
          <w:tcPr>
            <w:tcW w:w="777"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30</w:t>
            </w:r>
          </w:p>
        </w:tc>
      </w:tr>
    </w:tbl>
    <w:p>
      <w:pPr>
        <w:pStyle w:val="10"/>
        <w:ind w:left="0" w:leftChars="0" w:firstLine="0" w:firstLineChars="0"/>
      </w:pPr>
    </w:p>
    <w:p>
      <w:pPr>
        <w:autoSpaceDE w:val="0"/>
        <w:autoSpaceDN w:val="0"/>
        <w:adjustRightInd w:val="0"/>
        <w:spacing w:line="360" w:lineRule="auto"/>
        <w:jc w:val="left"/>
        <w:rPr>
          <w:rFonts w:ascii="宋体" w:hAnsi="宋体" w:cs="宋体"/>
          <w:b/>
          <w:sz w:val="24"/>
        </w:rPr>
      </w:pPr>
      <w:r>
        <w:rPr>
          <w:rFonts w:hint="eastAsia" w:ascii="宋体" w:hAnsi="宋体" w:cs="宋体"/>
          <w:b/>
          <w:sz w:val="24"/>
        </w:rPr>
        <w:t>注：1、合同、证书、报告及其他相关证明材料，将原件扫描上传至电子投标文件，并加盖电子印章。</w:t>
      </w:r>
    </w:p>
    <w:p>
      <w:pPr>
        <w:autoSpaceDE w:val="0"/>
        <w:autoSpaceDN w:val="0"/>
        <w:adjustRightInd w:val="0"/>
        <w:spacing w:line="360" w:lineRule="auto"/>
        <w:jc w:val="left"/>
        <w:rPr>
          <w:rFonts w:asciiTheme="minorEastAsia" w:hAnsiTheme="minorEastAsia" w:eastAsiaTheme="minorEastAsia"/>
          <w:sz w:val="24"/>
        </w:rPr>
      </w:pPr>
      <w:r>
        <w:rPr>
          <w:rFonts w:hint="eastAsia" w:ascii="宋体" w:hAnsi="宋体" w:cs="宋体"/>
          <w:b/>
          <w:sz w:val="24"/>
        </w:rPr>
        <w:t>2、得分为第一档的指的是各细项指标全部满足甚至优于采购需求的；第二档指的是与采购人目标需求相比，稍有瑕疵的；第三、四、五档依次类推。</w:t>
      </w:r>
    </w:p>
    <w:p>
      <w:pPr>
        <w:rPr>
          <w:rFonts w:asciiTheme="minorEastAsia" w:hAnsiTheme="minorEastAsia" w:eastAsiaTheme="minorEastAsia"/>
          <w:b/>
          <w:sz w:val="36"/>
          <w:szCs w:val="36"/>
        </w:rPr>
      </w:pP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公开招标需求</w:t>
      </w:r>
    </w:p>
    <w:p>
      <w:pPr>
        <w:tabs>
          <w:tab w:val="left" w:pos="8280"/>
        </w:tabs>
        <w:autoSpaceDE w:val="0"/>
        <w:autoSpaceDN w:val="0"/>
        <w:adjustRightInd w:val="0"/>
        <w:spacing w:line="360" w:lineRule="auto"/>
        <w:ind w:right="25"/>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28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2</w:t>
      </w:r>
      <w:r>
        <w:rPr>
          <w:rFonts w:hint="eastAsia" w:asciiTheme="minorEastAsia" w:hAnsiTheme="minorEastAsia" w:eastAsiaTheme="minorEastAsia"/>
          <w:sz w:val="24"/>
        </w:rPr>
        <w:t>个标段，具体内容如下表：</w:t>
      </w:r>
    </w:p>
    <w:tbl>
      <w:tblPr>
        <w:tblStyle w:val="19"/>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639"/>
        <w:gridCol w:w="1155"/>
        <w:gridCol w:w="825"/>
        <w:gridCol w:w="825"/>
        <w:gridCol w:w="1110"/>
        <w:gridCol w:w="1515"/>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572" w:type="dxa"/>
            <w:vAlign w:val="center"/>
          </w:tcPr>
          <w:p>
            <w:pPr>
              <w:tabs>
                <w:tab w:val="left" w:pos="8280"/>
              </w:tabs>
              <w:autoSpaceDE w:val="0"/>
              <w:autoSpaceDN w:val="0"/>
              <w:adjustRightInd w:val="0"/>
              <w:ind w:right="25"/>
              <w:jc w:val="center"/>
              <w:rPr>
                <w:rFonts w:ascii="宋体"/>
                <w:b/>
                <w:sz w:val="24"/>
              </w:rPr>
            </w:pPr>
            <w:r>
              <w:rPr>
                <w:rFonts w:hint="eastAsia" w:ascii="宋体" w:hAnsi="宋体"/>
                <w:b/>
                <w:sz w:val="24"/>
              </w:rPr>
              <w:t>标段号</w:t>
            </w:r>
          </w:p>
        </w:tc>
        <w:tc>
          <w:tcPr>
            <w:tcW w:w="1639" w:type="dxa"/>
            <w:vAlign w:val="center"/>
          </w:tcPr>
          <w:p>
            <w:pPr>
              <w:tabs>
                <w:tab w:val="left" w:pos="8280"/>
              </w:tabs>
              <w:autoSpaceDE w:val="0"/>
              <w:autoSpaceDN w:val="0"/>
              <w:adjustRightInd w:val="0"/>
              <w:ind w:right="25" w:firstLine="120" w:firstLineChars="50"/>
              <w:jc w:val="center"/>
              <w:rPr>
                <w:rFonts w:ascii="宋体"/>
                <w:b/>
                <w:sz w:val="24"/>
              </w:rPr>
            </w:pPr>
            <w:r>
              <w:rPr>
                <w:rFonts w:hint="eastAsia" w:ascii="宋体" w:hAnsi="宋体"/>
                <w:b/>
                <w:sz w:val="24"/>
              </w:rPr>
              <w:t>项目名称</w:t>
            </w:r>
          </w:p>
        </w:tc>
        <w:tc>
          <w:tcPr>
            <w:tcW w:w="1155" w:type="dxa"/>
            <w:vAlign w:val="center"/>
          </w:tcPr>
          <w:p>
            <w:pPr>
              <w:tabs>
                <w:tab w:val="left" w:pos="8280"/>
              </w:tabs>
              <w:autoSpaceDE w:val="0"/>
              <w:autoSpaceDN w:val="0"/>
              <w:adjustRightInd w:val="0"/>
              <w:ind w:right="25"/>
              <w:jc w:val="center"/>
              <w:rPr>
                <w:rFonts w:ascii="宋体"/>
                <w:b/>
                <w:sz w:val="24"/>
              </w:rPr>
            </w:pPr>
            <w:r>
              <w:rPr>
                <w:rFonts w:hint="eastAsia" w:ascii="宋体" w:hAnsi="宋体" w:cs="宋体"/>
                <w:b/>
                <w:kern w:val="0"/>
                <w:sz w:val="24"/>
              </w:rPr>
              <w:t>简要技术要求</w:t>
            </w:r>
          </w:p>
        </w:tc>
        <w:tc>
          <w:tcPr>
            <w:tcW w:w="825" w:type="dxa"/>
            <w:vAlign w:val="center"/>
          </w:tcPr>
          <w:p>
            <w:pPr>
              <w:tabs>
                <w:tab w:val="left" w:pos="8280"/>
              </w:tabs>
              <w:autoSpaceDE w:val="0"/>
              <w:autoSpaceDN w:val="0"/>
              <w:adjustRightInd w:val="0"/>
              <w:ind w:right="25"/>
              <w:jc w:val="center"/>
              <w:rPr>
                <w:rFonts w:ascii="宋体"/>
                <w:b/>
                <w:sz w:val="24"/>
              </w:rPr>
            </w:pPr>
            <w:r>
              <w:rPr>
                <w:rFonts w:hint="eastAsia" w:ascii="宋体" w:hAnsi="宋体"/>
                <w:b/>
                <w:sz w:val="24"/>
              </w:rPr>
              <w:t>数量</w:t>
            </w:r>
          </w:p>
        </w:tc>
        <w:tc>
          <w:tcPr>
            <w:tcW w:w="825" w:type="dxa"/>
            <w:vAlign w:val="center"/>
          </w:tcPr>
          <w:p>
            <w:pPr>
              <w:tabs>
                <w:tab w:val="left" w:pos="8280"/>
              </w:tabs>
              <w:autoSpaceDE w:val="0"/>
              <w:autoSpaceDN w:val="0"/>
              <w:adjustRightInd w:val="0"/>
              <w:ind w:right="25"/>
              <w:jc w:val="center"/>
              <w:rPr>
                <w:rFonts w:ascii="宋体"/>
                <w:b/>
                <w:sz w:val="24"/>
              </w:rPr>
            </w:pPr>
            <w:r>
              <w:rPr>
                <w:rFonts w:hint="eastAsia" w:ascii="宋体" w:hAnsi="宋体"/>
                <w:b/>
                <w:sz w:val="24"/>
              </w:rPr>
              <w:t>单位</w:t>
            </w:r>
          </w:p>
        </w:tc>
        <w:tc>
          <w:tcPr>
            <w:tcW w:w="1110" w:type="dxa"/>
            <w:vAlign w:val="center"/>
          </w:tcPr>
          <w:p>
            <w:pPr>
              <w:tabs>
                <w:tab w:val="left" w:pos="8280"/>
              </w:tabs>
              <w:autoSpaceDE w:val="0"/>
              <w:autoSpaceDN w:val="0"/>
              <w:adjustRightInd w:val="0"/>
              <w:ind w:right="25"/>
              <w:rPr>
                <w:rFonts w:ascii="宋体"/>
                <w:b/>
                <w:sz w:val="24"/>
              </w:rPr>
            </w:pPr>
            <w:r>
              <w:rPr>
                <w:rFonts w:hint="eastAsia" w:ascii="宋体" w:hAnsi="宋体"/>
                <w:b/>
                <w:sz w:val="24"/>
              </w:rPr>
              <w:t>总预算（万元）</w:t>
            </w:r>
          </w:p>
        </w:tc>
        <w:tc>
          <w:tcPr>
            <w:tcW w:w="1515" w:type="dxa"/>
            <w:vAlign w:val="center"/>
          </w:tcPr>
          <w:p>
            <w:pPr>
              <w:tabs>
                <w:tab w:val="left" w:pos="8280"/>
              </w:tabs>
              <w:autoSpaceDE w:val="0"/>
              <w:autoSpaceDN w:val="0"/>
              <w:adjustRightInd w:val="0"/>
              <w:ind w:right="25"/>
              <w:jc w:val="center"/>
              <w:rPr>
                <w:rFonts w:hint="default" w:ascii="宋体" w:hAnsi="宋体" w:eastAsia="宋体"/>
                <w:b/>
                <w:sz w:val="24"/>
                <w:lang w:val="en-US" w:eastAsia="zh-CN"/>
              </w:rPr>
            </w:pPr>
            <w:r>
              <w:rPr>
                <w:rFonts w:hint="eastAsia" w:asciiTheme="minorEastAsia" w:hAnsiTheme="minorEastAsia" w:eastAsiaTheme="minorEastAsia" w:cstheme="minorEastAsia"/>
                <w:b/>
                <w:sz w:val="24"/>
                <w:szCs w:val="24"/>
                <w:lang w:val="en-US" w:eastAsia="zh-CN"/>
              </w:rPr>
              <w:t>建设期、</w:t>
            </w:r>
            <w:r>
              <w:rPr>
                <w:rFonts w:hint="eastAsia" w:asciiTheme="minorEastAsia" w:hAnsiTheme="minorEastAsia" w:eastAsiaTheme="minorEastAsia" w:cstheme="minorEastAsia"/>
                <w:b/>
                <w:sz w:val="24"/>
                <w:szCs w:val="24"/>
              </w:rPr>
              <w:t>交货期</w:t>
            </w:r>
          </w:p>
        </w:tc>
        <w:tc>
          <w:tcPr>
            <w:tcW w:w="1355" w:type="dxa"/>
            <w:vAlign w:val="center"/>
          </w:tcPr>
          <w:p>
            <w:pPr>
              <w:tabs>
                <w:tab w:val="left" w:pos="8280"/>
              </w:tabs>
              <w:autoSpaceDE w:val="0"/>
              <w:autoSpaceDN w:val="0"/>
              <w:adjustRightInd w:val="0"/>
              <w:ind w:right="25"/>
              <w:jc w:val="center"/>
              <w:rPr>
                <w:rFonts w:ascii="宋体" w:hAnsi="宋体"/>
                <w:b/>
                <w:sz w:val="24"/>
              </w:rPr>
            </w:pPr>
            <w:r>
              <w:rPr>
                <w:rFonts w:hint="eastAsia" w:ascii="宋体" w:hAnsi="宋体"/>
                <w:b/>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572" w:type="dxa"/>
            <w:vAlign w:val="center"/>
          </w:tcPr>
          <w:p>
            <w:pPr>
              <w:tabs>
                <w:tab w:val="left" w:pos="8280"/>
              </w:tabs>
              <w:autoSpaceDE w:val="0"/>
              <w:autoSpaceDN w:val="0"/>
              <w:adjustRightInd w:val="0"/>
              <w:ind w:right="25"/>
              <w:jc w:val="center"/>
              <w:rPr>
                <w:rFonts w:ascii="宋体" w:hAnsi="宋体"/>
                <w:sz w:val="24"/>
              </w:rPr>
            </w:pPr>
            <w:r>
              <w:rPr>
                <w:rFonts w:hint="eastAsia" w:ascii="宋体" w:hAnsi="宋体"/>
                <w:sz w:val="24"/>
              </w:rPr>
              <w:t>1</w:t>
            </w:r>
          </w:p>
        </w:tc>
        <w:tc>
          <w:tcPr>
            <w:tcW w:w="1639"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4"/>
              </w:rPr>
            </w:pPr>
            <w:r>
              <w:rPr>
                <w:rFonts w:hint="eastAsia" w:ascii="宋体" w:hAnsi="宋体" w:eastAsia="宋体" w:cs="宋体"/>
              </w:rPr>
              <w:t>台州市政务大厅2.0数字化改造项目-</w:t>
            </w:r>
            <w:r>
              <w:rPr>
                <w:rFonts w:hint="eastAsia" w:ascii="宋体" w:hAnsi="宋体" w:eastAsia="宋体" w:cs="宋体"/>
                <w:lang w:eastAsia="zh-Hans"/>
              </w:rPr>
              <w:t>软件平台</w:t>
            </w:r>
          </w:p>
        </w:tc>
        <w:tc>
          <w:tcPr>
            <w:tcW w:w="115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4"/>
              </w:rPr>
            </w:pPr>
            <w:r>
              <w:rPr>
                <w:rFonts w:hint="eastAsia" w:asciiTheme="minorEastAsia" w:hAnsiTheme="minorEastAsia" w:eastAsiaTheme="minorEastAsia"/>
                <w:sz w:val="24"/>
              </w:rPr>
              <w:t>详见技术需求</w:t>
            </w:r>
          </w:p>
        </w:tc>
        <w:tc>
          <w:tcPr>
            <w:tcW w:w="825" w:type="dxa"/>
            <w:vAlign w:val="center"/>
          </w:tcPr>
          <w:p>
            <w:pPr>
              <w:tabs>
                <w:tab w:val="left" w:pos="8280"/>
              </w:tabs>
              <w:autoSpaceDE w:val="0"/>
              <w:autoSpaceDN w:val="0"/>
              <w:adjustRightInd w:val="0"/>
              <w:spacing w:line="360" w:lineRule="auto"/>
              <w:ind w:right="25" w:firstLine="24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p>
        </w:tc>
        <w:tc>
          <w:tcPr>
            <w:tcW w:w="82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w:t>
            </w:r>
          </w:p>
        </w:tc>
        <w:tc>
          <w:tcPr>
            <w:tcW w:w="1110"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Cs/>
                <w:sz w:val="24"/>
              </w:rPr>
            </w:pPr>
            <w:r>
              <w:rPr>
                <w:rFonts w:hint="eastAsia" w:ascii="宋体" w:hAnsi="宋体" w:eastAsia="宋体" w:cs="宋体"/>
                <w:sz w:val="24"/>
                <w:szCs w:val="24"/>
              </w:rPr>
              <w:t>2</w:t>
            </w:r>
            <w:r>
              <w:rPr>
                <w:rFonts w:hint="eastAsia" w:ascii="宋体" w:hAnsi="宋体" w:cs="宋体"/>
                <w:sz w:val="24"/>
                <w:szCs w:val="24"/>
                <w:lang w:val="en-US" w:eastAsia="zh-CN"/>
              </w:rPr>
              <w:t>45</w:t>
            </w:r>
            <w:r>
              <w:rPr>
                <w:rFonts w:hint="eastAsia" w:ascii="宋体" w:hAnsi="宋体" w:eastAsia="宋体" w:cs="宋体"/>
                <w:sz w:val="24"/>
                <w:szCs w:val="24"/>
              </w:rPr>
              <w:t>.35</w:t>
            </w:r>
          </w:p>
        </w:tc>
        <w:tc>
          <w:tcPr>
            <w:tcW w:w="1515" w:type="dxa"/>
            <w:vAlign w:val="center"/>
          </w:tcPr>
          <w:p>
            <w:pPr>
              <w:tabs>
                <w:tab w:val="left" w:pos="8280"/>
              </w:tabs>
              <w:autoSpaceDE w:val="0"/>
              <w:autoSpaceDN w:val="0"/>
              <w:adjustRightInd w:val="0"/>
              <w:ind w:right="25"/>
              <w:jc w:val="center"/>
              <w:rPr>
                <w:rFonts w:ascii="宋体" w:hAnsi="宋体"/>
                <w:sz w:val="24"/>
              </w:rPr>
            </w:pPr>
            <w:r>
              <w:rPr>
                <w:rFonts w:hint="eastAsia" w:asciiTheme="minorEastAsia" w:hAnsiTheme="minorEastAsia" w:eastAsiaTheme="minorEastAsia" w:cstheme="minorEastAsia"/>
                <w:bCs/>
                <w:sz w:val="24"/>
                <w:szCs w:val="24"/>
                <w:lang w:val="en-US" w:eastAsia="zh-CN"/>
              </w:rPr>
              <w:t>详见下方商务需求</w:t>
            </w:r>
          </w:p>
        </w:tc>
        <w:tc>
          <w:tcPr>
            <w:tcW w:w="1355" w:type="dxa"/>
            <w:vMerge w:val="restart"/>
            <w:vAlign w:val="center"/>
          </w:tcPr>
          <w:p>
            <w:pPr>
              <w:tabs>
                <w:tab w:val="left" w:pos="8280"/>
              </w:tabs>
              <w:autoSpaceDE w:val="0"/>
              <w:autoSpaceDN w:val="0"/>
              <w:adjustRightInd w:val="0"/>
              <w:ind w:right="25"/>
              <w:jc w:val="both"/>
              <w:rPr>
                <w:rFonts w:hint="eastAsia" w:ascii="宋体" w:hAnsi="宋体" w:eastAsia="宋体"/>
                <w:sz w:val="24"/>
                <w:lang w:val="en-US" w:eastAsia="zh-CN"/>
              </w:rPr>
            </w:pPr>
            <w:r>
              <w:rPr>
                <w:rFonts w:hint="eastAsia" w:asciiTheme="minorEastAsia" w:hAnsiTheme="minorEastAsia" w:eastAsiaTheme="minorEastAsia" w:cstheme="minorEastAsia"/>
                <w:bCs/>
                <w:sz w:val="24"/>
                <w:szCs w:val="24"/>
                <w:lang w:val="zh-CN" w:eastAsia="zh-CN"/>
              </w:rPr>
              <w:t>台州市人民政府行政服务中心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572" w:type="dxa"/>
            <w:vAlign w:val="center"/>
          </w:tcPr>
          <w:p>
            <w:pPr>
              <w:tabs>
                <w:tab w:val="left" w:pos="8280"/>
              </w:tabs>
              <w:autoSpaceDE w:val="0"/>
              <w:autoSpaceDN w:val="0"/>
              <w:adjustRightInd w:val="0"/>
              <w:ind w:right="25"/>
              <w:jc w:val="center"/>
              <w:rPr>
                <w:rFonts w:ascii="宋体" w:hAnsi="宋体"/>
                <w:sz w:val="24"/>
              </w:rPr>
            </w:pPr>
            <w:r>
              <w:rPr>
                <w:rFonts w:hint="eastAsia" w:ascii="宋体" w:hAnsi="宋体"/>
                <w:sz w:val="24"/>
              </w:rPr>
              <w:t>2</w:t>
            </w:r>
          </w:p>
        </w:tc>
        <w:tc>
          <w:tcPr>
            <w:tcW w:w="1639"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4"/>
              </w:rPr>
            </w:pPr>
            <w:r>
              <w:rPr>
                <w:rFonts w:hint="eastAsia" w:ascii="宋体" w:hAnsi="宋体" w:eastAsia="宋体" w:cs="宋体"/>
              </w:rPr>
              <w:t>台州市政务大厅2.0数字化改造项目-</w:t>
            </w:r>
            <w:r>
              <w:rPr>
                <w:rFonts w:hint="eastAsia" w:ascii="宋体" w:hAnsi="宋体" w:eastAsia="宋体" w:cs="宋体"/>
                <w:lang w:eastAsia="zh-Hans"/>
              </w:rPr>
              <w:t>政务2.0硬件升级</w:t>
            </w:r>
          </w:p>
        </w:tc>
        <w:tc>
          <w:tcPr>
            <w:tcW w:w="115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
                <w:sz w:val="24"/>
              </w:rPr>
            </w:pPr>
            <w:r>
              <w:rPr>
                <w:rFonts w:hint="eastAsia" w:asciiTheme="minorEastAsia" w:hAnsiTheme="minorEastAsia" w:eastAsiaTheme="minorEastAsia"/>
                <w:sz w:val="24"/>
              </w:rPr>
              <w:t>详见技术需求</w:t>
            </w:r>
          </w:p>
        </w:tc>
        <w:tc>
          <w:tcPr>
            <w:tcW w:w="825" w:type="dxa"/>
            <w:vAlign w:val="center"/>
          </w:tcPr>
          <w:p>
            <w:pPr>
              <w:tabs>
                <w:tab w:val="left" w:pos="8280"/>
              </w:tabs>
              <w:autoSpaceDE w:val="0"/>
              <w:autoSpaceDN w:val="0"/>
              <w:adjustRightInd w:val="0"/>
              <w:spacing w:line="360" w:lineRule="auto"/>
              <w:ind w:right="25" w:firstLine="24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p>
        </w:tc>
        <w:tc>
          <w:tcPr>
            <w:tcW w:w="82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w:t>
            </w:r>
          </w:p>
        </w:tc>
        <w:tc>
          <w:tcPr>
            <w:tcW w:w="1110"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stheme="minorEastAsia"/>
                <w:bCs/>
                <w:sz w:val="24"/>
              </w:rPr>
            </w:pPr>
            <w:r>
              <w:rPr>
                <w:rFonts w:hint="eastAsia" w:ascii="宋体" w:hAnsi="宋体" w:eastAsia="宋体" w:cs="宋体"/>
                <w:sz w:val="24"/>
                <w:szCs w:val="24"/>
              </w:rPr>
              <w:t>75.01</w:t>
            </w:r>
          </w:p>
        </w:tc>
        <w:tc>
          <w:tcPr>
            <w:tcW w:w="1515" w:type="dxa"/>
            <w:vAlign w:val="center"/>
          </w:tcPr>
          <w:p>
            <w:pPr>
              <w:tabs>
                <w:tab w:val="left" w:pos="8280"/>
              </w:tabs>
              <w:autoSpaceDE w:val="0"/>
              <w:autoSpaceDN w:val="0"/>
              <w:adjustRightInd w:val="0"/>
              <w:ind w:right="25"/>
              <w:jc w:val="center"/>
              <w:rPr>
                <w:rFonts w:ascii="宋体" w:hAnsi="宋体"/>
                <w:b/>
                <w:bCs/>
                <w:sz w:val="24"/>
              </w:rPr>
            </w:pPr>
            <w:r>
              <w:rPr>
                <w:rFonts w:hint="eastAsia" w:asciiTheme="minorEastAsia" w:hAnsiTheme="minorEastAsia" w:eastAsiaTheme="minorEastAsia" w:cstheme="minorEastAsia"/>
                <w:bCs/>
                <w:sz w:val="24"/>
                <w:szCs w:val="24"/>
                <w:lang w:val="en-US" w:eastAsia="zh-CN"/>
              </w:rPr>
              <w:t>合同签订之日起60日内</w:t>
            </w:r>
          </w:p>
        </w:tc>
        <w:tc>
          <w:tcPr>
            <w:tcW w:w="1355" w:type="dxa"/>
            <w:vMerge w:val="continue"/>
            <w:vAlign w:val="center"/>
          </w:tcPr>
          <w:p>
            <w:pPr>
              <w:tabs>
                <w:tab w:val="left" w:pos="8280"/>
              </w:tabs>
              <w:autoSpaceDE w:val="0"/>
              <w:autoSpaceDN w:val="0"/>
              <w:adjustRightInd w:val="0"/>
              <w:ind w:right="25" w:firstLine="240"/>
              <w:jc w:val="center"/>
              <w:rPr>
                <w:rFonts w:ascii="宋体" w:hAnsi="宋体"/>
                <w:sz w:val="24"/>
              </w:rPr>
            </w:pPr>
          </w:p>
        </w:tc>
      </w:tr>
    </w:tbl>
    <w:p>
      <w:pPr>
        <w:pStyle w:val="10"/>
        <w:rPr>
          <w:rFonts w:asciiTheme="minorEastAsia" w:hAnsiTheme="minorEastAsia" w:eastAsiaTheme="minorEastAsia"/>
          <w:sz w:val="24"/>
          <w:szCs w:val="24"/>
        </w:rPr>
      </w:pPr>
    </w:p>
    <w:p>
      <w:pPr>
        <w:pStyle w:val="10"/>
        <w:rPr>
          <w:rFonts w:asciiTheme="minorEastAsia" w:hAnsiTheme="minorEastAsia" w:eastAsiaTheme="minorEastAsia"/>
          <w:sz w:val="24"/>
          <w:szCs w:val="24"/>
        </w:rPr>
      </w:pPr>
    </w:p>
    <w:p>
      <w:pPr>
        <w:pStyle w:val="10"/>
        <w:numPr>
          <w:ilvl w:val="0"/>
          <w:numId w:val="12"/>
        </w:numPr>
        <w:tabs>
          <w:tab w:val="left" w:pos="2728"/>
        </w:tabs>
        <w:ind w:left="0" w:leftChars="0" w:firstLine="0" w:firstLineChars="0"/>
        <w:rPr>
          <w:rFonts w:hint="eastAsia" w:asciiTheme="minorEastAsia" w:hAnsiTheme="minorEastAsia" w:eastAsiaTheme="minorEastAsia"/>
          <w:b/>
          <w:sz w:val="24"/>
        </w:rPr>
      </w:pPr>
      <w:r>
        <w:rPr>
          <w:rFonts w:hint="eastAsia" w:asciiTheme="minorEastAsia" w:hAnsiTheme="minorEastAsia" w:eastAsiaTheme="minorEastAsia"/>
          <w:b/>
          <w:sz w:val="24"/>
        </w:rPr>
        <w:t>技术需求：</w:t>
      </w:r>
    </w:p>
    <w:p>
      <w:pPr>
        <w:pStyle w:val="6"/>
        <w:numPr>
          <w:ilvl w:val="0"/>
          <w:numId w:val="0"/>
        </w:numPr>
        <w:rPr>
          <w:rFonts w:ascii="宋体" w:hAnsi="宋体" w:eastAsia="宋体" w:cs="宋体"/>
          <w:b/>
          <w:bCs w:val="0"/>
          <w:sz w:val="24"/>
          <w:szCs w:val="24"/>
        </w:rPr>
      </w:pPr>
      <w:bookmarkStart w:id="31" w:name="_Toc51757558"/>
      <w:r>
        <w:rPr>
          <w:rFonts w:hint="eastAsia" w:ascii="宋体" w:hAnsi="宋体" w:cs="宋体"/>
          <w:b/>
          <w:bCs w:val="0"/>
          <w:sz w:val="24"/>
          <w:szCs w:val="24"/>
          <w:lang w:eastAsia="zh-CN"/>
        </w:rPr>
        <w:t>（</w:t>
      </w:r>
      <w:r>
        <w:rPr>
          <w:rFonts w:hint="eastAsia" w:ascii="宋体" w:hAnsi="宋体" w:cs="宋体"/>
          <w:b/>
          <w:bCs w:val="0"/>
          <w:sz w:val="24"/>
          <w:szCs w:val="24"/>
          <w:lang w:val="en-US" w:eastAsia="zh-CN"/>
        </w:rPr>
        <w:t>一</w:t>
      </w:r>
      <w:r>
        <w:rPr>
          <w:rFonts w:hint="eastAsia" w:ascii="宋体" w:hAnsi="宋体" w:cs="宋体"/>
          <w:b/>
          <w:bCs w:val="0"/>
          <w:sz w:val="24"/>
          <w:szCs w:val="24"/>
          <w:lang w:eastAsia="zh-CN"/>
        </w:rPr>
        <w:t>）</w:t>
      </w:r>
      <w:r>
        <w:rPr>
          <w:rFonts w:hint="eastAsia" w:ascii="宋体" w:hAnsi="宋体" w:eastAsia="宋体" w:cs="宋体"/>
          <w:b/>
          <w:bCs w:val="0"/>
          <w:sz w:val="24"/>
          <w:szCs w:val="24"/>
        </w:rPr>
        <w:t>项目背景介绍</w:t>
      </w:r>
      <w:bookmarkEnd w:id="31"/>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在2020年，中共浙江省委办公厅和浙江省人民政府办公厅联合印发《关于加强行政服务中心建设的实施意见》的通知，文件中提到行政服务中心是直接为群众和企业集中办理各类政务服务事项的综合服务平台，是转变政府职能、优化营商环境的重要支撑，对于提升台州市行政服务现代化具有重要作用</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2021年4月，台州市营商环境建设突破年专班办公室提出《台州市营商环境建设突破年“窗口形象”工程工作方案》，方案中指出要根据全省数字化改革大会和全市优化营商环境大会精神，以数字化改革为牵引，坚持便企为民的理念，推进政务服务全方位、系统性、重塑性变革，推动办事层级最优、服务形象最佳、政务通办最广、企业办事最近，实现政务服务事项无差别受理、同标准办理、全过程监控、“好差评”闭环，打造全国“受办”分离的台州模式，努力让企业在台州投资审批像网购一样简单、像回家一样暖心，让每一处政务大厅、每一个“窗口”都成为展示台州营商环境的亮丽风景。</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2021年5月，台州市发展和改革委员会也提出关于提高台州市营商环境市场活力实时监测平台的建设方案。要贯彻落实数字化改革中关于“企业减负和数字赋能”的具体要求，根据省、市两级政府工作报告中明确的优化营商环境各项目标任务，运用数字化技术和数字化思维，引入大数据理念、建立指标体系、促进各系统的业务协同和数据共享，在省内率先构建营商环境市场活力实时监测平台。方案中指出“要实现对我市各级政务大厅服务和落实省市两级等重点场景应用的实时监测，助力各项子任务按时、保质保量落地，助推我市营商环境水平迭代提升，促进我市民营经济高质量发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针对上述文件要求，台州市人民政府行政服务中心需进行各个方面的数字化改革工作。</w:t>
      </w:r>
      <w:bookmarkStart w:id="32" w:name="_Toc51757559"/>
    </w:p>
    <w:p>
      <w:pPr>
        <w:pStyle w:val="6"/>
        <w:numPr>
          <w:ilvl w:val="0"/>
          <w:numId w:val="0"/>
        </w:numPr>
        <w:rPr>
          <w:rFonts w:ascii="宋体" w:hAnsi="宋体" w:eastAsia="宋体" w:cs="宋体"/>
          <w:b/>
          <w:bCs w:val="0"/>
          <w:sz w:val="24"/>
          <w:szCs w:val="24"/>
        </w:rPr>
      </w:pPr>
      <w:r>
        <w:rPr>
          <w:rFonts w:hint="eastAsia" w:ascii="宋体" w:hAnsi="宋体" w:cs="宋体"/>
          <w:b/>
          <w:bCs w:val="0"/>
          <w:sz w:val="24"/>
          <w:szCs w:val="24"/>
          <w:lang w:eastAsia="zh-CN"/>
        </w:rPr>
        <w:t>（</w:t>
      </w:r>
      <w:r>
        <w:rPr>
          <w:rFonts w:hint="eastAsia" w:ascii="宋体" w:hAnsi="宋体" w:cs="宋体"/>
          <w:b/>
          <w:bCs w:val="0"/>
          <w:sz w:val="24"/>
          <w:szCs w:val="24"/>
          <w:lang w:val="en-US" w:eastAsia="zh-CN"/>
        </w:rPr>
        <w:t>二</w:t>
      </w:r>
      <w:r>
        <w:rPr>
          <w:rFonts w:hint="eastAsia" w:ascii="宋体" w:hAnsi="宋体" w:cs="宋体"/>
          <w:b/>
          <w:bCs w:val="0"/>
          <w:sz w:val="24"/>
          <w:szCs w:val="24"/>
          <w:lang w:eastAsia="zh-CN"/>
        </w:rPr>
        <w:t>）</w:t>
      </w:r>
      <w:r>
        <w:rPr>
          <w:rFonts w:hint="eastAsia" w:ascii="宋体" w:hAnsi="宋体" w:eastAsia="宋体" w:cs="宋体"/>
          <w:b/>
          <w:bCs w:val="0"/>
          <w:sz w:val="24"/>
          <w:szCs w:val="24"/>
        </w:rPr>
        <w:t>项目建设目标</w:t>
      </w:r>
      <w:bookmarkEnd w:id="32"/>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行政服务中心是直接为群众和企业集中办理各类政务服务事项的综合服务平台，是转变政府职能、优化营商环境的重要支撑，对于提升省域治理现代化具有重要作用。为深入实践“整体智治”理念，加快政务服务数字化改革，充分发挥行政服务中心在全面数字化改革和“整体智治”现代政府建设中的重要基础作用。</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本次建设目标以数字化改革为牵引，坚持便企为民的理念，推进政务服务全方位、系统性、重塑性变革，推动办事层级最优、服务形象最佳、企业办事最近，实现政务服务事项无差别受理、同标准办理、全过程监控、“好差评”闭环，打造全国“受办分离”的台州模式，努力让企业在台州投资审批像网购一样简单、像回家一样缓心，让每一处政务大厅、每一个“窗口”都成为展示台州营商环境的亮丽风景。</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业务流程从企业和群众角度出发，实现“便捷咨询”和“高效办事”，通过智能终端和线上咨询服务，实现远程咨询、在线预约、网上申报、服务“好差评”、办事全流程跟踪，群众可以足不出户享受各类办事服务；</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服务人员和政务大厅实现“智慧化管理”，终端硬件全接入，随时随地查看终端运行健康度；入驻人员智慧化考核，做有温度的考核人；群众办事流程全掌握，洞悉办事的所有堵点；大厅运行管理无障碍，信息化工单上报更及时。</w:t>
      </w:r>
    </w:p>
    <w:p>
      <w:pPr>
        <w:spacing w:line="360" w:lineRule="auto"/>
        <w:ind w:firstLine="480" w:firstLineChars="200"/>
        <w:rPr>
          <w:rFonts w:ascii="宋体" w:hAnsi="宋体" w:eastAsia="宋体" w:cs="宋体"/>
          <w:sz w:val="24"/>
          <w:szCs w:val="24"/>
        </w:rPr>
      </w:pPr>
      <w:r>
        <w:rPr>
          <w:rFonts w:hint="eastAsia" w:ascii="宋体" w:hAnsi="宋体" w:eastAsia="宋体" w:cs="宋体"/>
          <w:color w:val="000000"/>
          <w:sz w:val="24"/>
          <w:szCs w:val="24"/>
        </w:rPr>
        <w:t>政务数据实现“智慧化治理”，汇聚大厅管理数据和业务办理数据，建立业务数据模型、智慧大厅模型、部门政务展示等，通过驾驶舱、仪表盘等直观方式，进行多维度的数据展示和分析，提高政务治管能力。</w:t>
      </w:r>
      <w:bookmarkStart w:id="33" w:name="_Toc51757560"/>
    </w:p>
    <w:p>
      <w:pPr>
        <w:pStyle w:val="6"/>
        <w:numPr>
          <w:ilvl w:val="0"/>
          <w:numId w:val="0"/>
        </w:numPr>
        <w:rPr>
          <w:rFonts w:ascii="宋体" w:hAnsi="宋体" w:eastAsia="宋体" w:cs="宋体"/>
          <w:b/>
          <w:bCs w:val="0"/>
          <w:sz w:val="24"/>
          <w:szCs w:val="24"/>
        </w:rPr>
      </w:pPr>
      <w:r>
        <w:rPr>
          <w:rFonts w:hint="eastAsia" w:ascii="宋体" w:hAnsi="宋体" w:cs="宋体"/>
          <w:b/>
          <w:bCs w:val="0"/>
          <w:sz w:val="24"/>
          <w:szCs w:val="24"/>
          <w:lang w:eastAsia="zh-CN"/>
        </w:rPr>
        <w:t>（</w:t>
      </w:r>
      <w:r>
        <w:rPr>
          <w:rFonts w:hint="eastAsia" w:ascii="宋体" w:hAnsi="宋体" w:cs="宋体"/>
          <w:b/>
          <w:bCs w:val="0"/>
          <w:sz w:val="24"/>
          <w:szCs w:val="24"/>
          <w:lang w:val="en-US" w:eastAsia="zh-CN"/>
        </w:rPr>
        <w:t>三</w:t>
      </w:r>
      <w:r>
        <w:rPr>
          <w:rFonts w:hint="eastAsia" w:ascii="宋体" w:hAnsi="宋体" w:cs="宋体"/>
          <w:b/>
          <w:bCs w:val="0"/>
          <w:sz w:val="24"/>
          <w:szCs w:val="24"/>
          <w:lang w:eastAsia="zh-CN"/>
        </w:rPr>
        <w:t>）</w:t>
      </w:r>
      <w:r>
        <w:rPr>
          <w:rFonts w:hint="eastAsia" w:ascii="宋体" w:hAnsi="宋体" w:eastAsia="宋体" w:cs="宋体"/>
          <w:b/>
          <w:bCs w:val="0"/>
          <w:sz w:val="24"/>
          <w:szCs w:val="24"/>
        </w:rPr>
        <w:t>项目建设内容</w:t>
      </w:r>
      <w:bookmarkEnd w:id="33"/>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推进政务服务事项智慧化办理，行政服务中心智慧化管理，充分发挥行政服务中心在“整体智治”现代政府建设中的重要基础作用，加快建设即时感知、科学决策、主动服务、高效运行、智能监管的新型行政服务中心，而本次项目从事项层级合理划分、便捷咨询、高效办事、数字化管理、大数据分析闭环五个层面进行改造，具体建设内容如下：</w:t>
      </w:r>
    </w:p>
    <w:p>
      <w:pPr>
        <w:spacing w:line="360" w:lineRule="auto"/>
        <w:ind w:firstLine="482" w:firstLineChars="200"/>
        <w:outlineLvl w:val="3"/>
        <w:rPr>
          <w:rFonts w:ascii="宋体" w:hAnsi="宋体" w:eastAsia="宋体" w:cs="宋体"/>
          <w:b/>
          <w:bCs/>
          <w:sz w:val="24"/>
          <w:szCs w:val="24"/>
        </w:rPr>
      </w:pPr>
      <w:r>
        <w:rPr>
          <w:rFonts w:hint="eastAsia" w:ascii="宋体" w:hAnsi="宋体" w:eastAsia="宋体" w:cs="宋体"/>
          <w:b/>
          <w:bCs/>
          <w:sz w:val="24"/>
          <w:szCs w:val="24"/>
        </w:rPr>
        <w:t>1、政务服务地图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利用地理信息系统、百度地图等载体，绘制群众企业办事的导航图、事项层级合理划分的规划图，规划力量后续的监管图，覆盖政务大厅（点），清晰展示窗口形象、事项信息，丰富办事场景，提升办事体验。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事项规划确定后，不断优化办事流程，加强各环节业务对接，市、县两级业务部门尽可能的简政放权、减少环节、缩短时间，保障事项便捷顺利办理。与此相应，科学配置前台窗口人员、部门审批人员，进行宣传推介，并逐步减少窗口。调动资源，提升乡镇街道一级办事能力，方便群众“就近办”。</w:t>
      </w:r>
    </w:p>
    <w:p>
      <w:pPr>
        <w:spacing w:line="360" w:lineRule="auto"/>
        <w:ind w:firstLine="482" w:firstLineChars="200"/>
        <w:outlineLvl w:val="3"/>
        <w:rPr>
          <w:rFonts w:ascii="宋体" w:hAnsi="宋体" w:eastAsia="宋体" w:cs="宋体"/>
          <w:b/>
          <w:bCs/>
          <w:sz w:val="24"/>
          <w:szCs w:val="24"/>
        </w:rPr>
      </w:pPr>
      <w:r>
        <w:rPr>
          <w:rFonts w:hint="eastAsia" w:ascii="宋体" w:hAnsi="宋体" w:eastAsia="宋体" w:cs="宋体"/>
          <w:b/>
          <w:bCs/>
          <w:sz w:val="24"/>
          <w:szCs w:val="24"/>
        </w:rPr>
        <w:t>2、便捷咨询</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用大数据、人工智能，依托市、县两级共享咨询库，建设线上咨询客服平台，实现对“热线”、“在线”两个政务咨询主渠道的技术支撑，提供精准化、智能化、规范化的咨询服务。借助部门进驻、业务集成等优势，强化12345统一政务咨询热线电话保障力量；以“智能机器人+人工坐席”联合模式提供咨询、材料预审、网办掌办指导等淘宝客服式的在线政务咨询服务。以数据“标签”关联事项官方标准化名称和办事企业群众的口语化称呼，通过真实场景积累、沉淀咨询问答，逐步扩充完善政务知识库。</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应用需要上架浙江省政府服务网、浙里办，实现电脑端、移动端的在线咨询、音视频连线服务，为群众提供多渠道，便捷的远程咨询服务。</w:t>
      </w:r>
    </w:p>
    <w:p>
      <w:pPr>
        <w:spacing w:line="360" w:lineRule="auto"/>
        <w:ind w:firstLine="482" w:firstLineChars="200"/>
        <w:outlineLvl w:val="3"/>
        <w:rPr>
          <w:rFonts w:ascii="宋体" w:hAnsi="宋体" w:eastAsia="宋体" w:cs="宋体"/>
          <w:b/>
          <w:bCs/>
          <w:sz w:val="24"/>
          <w:szCs w:val="24"/>
        </w:rPr>
      </w:pPr>
      <w:r>
        <w:rPr>
          <w:rFonts w:hint="eastAsia" w:ascii="宋体" w:hAnsi="宋体" w:eastAsia="宋体" w:cs="宋体"/>
          <w:b/>
          <w:bCs/>
          <w:sz w:val="24"/>
          <w:szCs w:val="24"/>
        </w:rPr>
        <w:t>3、高效办事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业务办理系统优化升级，对台州市权力运行系统进行改造，进行印章2.0升级、浙江省数字政府统一用户中心对接，推行无纸化办公；</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强化线上线下政务服务平台融合，多渠道多入口提供服务，如浙里办、微信公众号上线指导视频列表、停车扫码、办事材料查询等功能。</w:t>
      </w:r>
    </w:p>
    <w:p>
      <w:pPr>
        <w:spacing w:line="360" w:lineRule="auto"/>
        <w:ind w:firstLine="482" w:firstLineChars="200"/>
        <w:outlineLvl w:val="3"/>
        <w:rPr>
          <w:rFonts w:ascii="宋体" w:hAnsi="宋体" w:eastAsia="宋体" w:cs="宋体"/>
          <w:b/>
          <w:bCs/>
          <w:sz w:val="24"/>
          <w:szCs w:val="24"/>
        </w:rPr>
      </w:pPr>
      <w:r>
        <w:rPr>
          <w:rFonts w:hint="eastAsia" w:ascii="宋体" w:hAnsi="宋体" w:eastAsia="宋体" w:cs="宋体"/>
          <w:b/>
          <w:bCs/>
          <w:sz w:val="24"/>
          <w:szCs w:val="24"/>
        </w:rPr>
        <w:t>4、人员、大厅智慧化管理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（1）建立智慧大厅管理平台，对大厅设备进行统一管控和终端登记，接入大厅各项信息化智能终端，实现统一调用、发布、监控、分析等功能，提高对信息化智能终端运行状态监控、功能调用的管理水平。</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对大厅运营进行智慧化部署、一体化管控，利用数字技术分析大厅实时运行情况，进行动态调优。整合并归集大厅内摄像头、拾音器、取叫号系统、业务办理系统、好差评系统等设备、系统数据，实现停车、取号、排队等候、受理、办理、取件全过程数据记录，为大厅管理者提供即时的车流量、人流量、等候时长、受理时长、办理时长等数据，保障管理者根据大厅实时运行情况，快速反应，动态调整，以精准化的服务化解矛盾、减少等待、高效办事，全面提升线下办事体验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对现有积分系统、人员库、培训库、考试库进行一体化升级改造，面向范围从市本级转换成全市，同时为每个系统增加部分功能模块。建设中心办公门户，统一管理咨询库、考试库等板块，满足全市行政服务中心人员一体化管理需求，为政务大厅数字化改革提供信息化支撑。</w:t>
      </w:r>
    </w:p>
    <w:p>
      <w:pPr>
        <w:spacing w:line="360" w:lineRule="auto"/>
        <w:ind w:firstLine="482" w:firstLineChars="200"/>
        <w:outlineLvl w:val="3"/>
        <w:rPr>
          <w:rFonts w:ascii="宋体" w:hAnsi="宋体" w:eastAsia="宋体" w:cs="宋体"/>
          <w:b/>
          <w:bCs/>
          <w:sz w:val="24"/>
          <w:szCs w:val="24"/>
        </w:rPr>
      </w:pPr>
      <w:r>
        <w:rPr>
          <w:rFonts w:hint="eastAsia" w:ascii="宋体" w:hAnsi="宋体" w:eastAsia="宋体" w:cs="宋体"/>
          <w:b/>
          <w:bCs/>
          <w:sz w:val="24"/>
          <w:szCs w:val="24"/>
        </w:rPr>
        <w:t>5、政务数据分析平台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汇聚大厅智能化设备采集的数据，结合数据共享平台、数据高铁的共享数据，以现有数据化支撑提供各级行政服务中心服务效能、部门服务效能、综合受理员服务效能、政务大厅营商环境下的数据分析及监测能力；</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针对上述四大核心指标建立细化指标项，并梳理指标数据，定期自动进行指标数据计算分析，以图文、报表和建模的形式展示数据，让精细化管理、智慧化管理成为日常管理工作的常态。</w:t>
      </w:r>
    </w:p>
    <w:p>
      <w:pPr>
        <w:spacing w:line="360" w:lineRule="auto"/>
        <w:ind w:firstLine="482" w:firstLineChars="200"/>
        <w:outlineLvl w:val="3"/>
        <w:rPr>
          <w:rFonts w:ascii="宋体" w:hAnsi="宋体" w:eastAsia="宋体" w:cs="宋体"/>
          <w:b/>
          <w:bCs/>
          <w:sz w:val="24"/>
          <w:szCs w:val="24"/>
        </w:rPr>
      </w:pPr>
      <w:r>
        <w:rPr>
          <w:rFonts w:hint="eastAsia" w:ascii="宋体" w:hAnsi="宋体" w:eastAsia="宋体" w:cs="宋体"/>
          <w:b/>
          <w:bCs/>
          <w:sz w:val="24"/>
          <w:szCs w:val="24"/>
        </w:rPr>
        <w:t>6、硬件采购</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为行政服务中心新增一批硬件采购，具体设备部署规划详见</w:t>
      </w:r>
      <w:r>
        <w:rPr>
          <w:rFonts w:hint="eastAsia" w:ascii="宋体" w:hAnsi="宋体" w:cs="宋体"/>
          <w:sz w:val="24"/>
          <w:szCs w:val="24"/>
          <w:lang w:val="en-US" w:eastAsia="zh-CN"/>
        </w:rPr>
        <w:t>标段二：</w:t>
      </w:r>
      <w:r>
        <w:rPr>
          <w:rFonts w:hint="eastAsia" w:ascii="宋体" w:hAnsi="宋体" w:eastAsia="宋体" w:cs="宋体"/>
          <w:sz w:val="24"/>
          <w:szCs w:val="24"/>
        </w:rPr>
        <w:t>“硬件系统建设方案”。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新增部分半球型和筒型摄像机以及功能型摄像头，用于中心大厅、地下车库监控，人流量、车流量测试、轨迹追踪等功能；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新增5套咨询终端（含视频摄像头和话务耳麦）；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新增标签打印机1台，用于中心设备的登记；8台立式广告机，进行实时政策的宣传；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为行政服务中心一楼UPS间增加1套温湿度记录器，增强UPS间安全管控能力；</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为中心大厅办事员工对应工位补充智能终端PAD。</w:t>
      </w:r>
    </w:p>
    <w:p>
      <w:pPr>
        <w:pStyle w:val="6"/>
        <w:numPr>
          <w:ilvl w:val="0"/>
          <w:numId w:val="0"/>
        </w:numPr>
        <w:rPr>
          <w:rFonts w:ascii="宋体" w:hAnsi="宋体" w:eastAsia="宋体" w:cs="宋体"/>
          <w:b/>
          <w:bCs w:val="0"/>
          <w:i w:val="0"/>
          <w:iCs w:val="0"/>
          <w:sz w:val="24"/>
          <w:szCs w:val="24"/>
          <w:u w:val="none"/>
        </w:rPr>
      </w:pPr>
      <w:bookmarkStart w:id="34" w:name="_Toc71654617"/>
      <w:bookmarkStart w:id="35" w:name="_Toc72764423"/>
      <w:bookmarkStart w:id="36" w:name="_Toc72400835"/>
      <w:bookmarkStart w:id="37" w:name="_Toc67933874"/>
      <w:r>
        <w:rPr>
          <w:rFonts w:hint="eastAsia" w:ascii="宋体" w:hAnsi="宋体" w:eastAsia="宋体" w:cs="宋体"/>
          <w:b/>
          <w:bCs w:val="0"/>
          <w:i w:val="0"/>
          <w:iCs w:val="0"/>
          <w:sz w:val="24"/>
          <w:szCs w:val="24"/>
          <w:u w:val="none"/>
          <w:lang w:eastAsia="zh-Hans"/>
        </w:rPr>
        <w:t>标项一：软件平台建设内容</w:t>
      </w:r>
      <w:bookmarkEnd w:id="34"/>
      <w:bookmarkEnd w:id="35"/>
      <w:bookmarkEnd w:id="36"/>
      <w:bookmarkEnd w:id="37"/>
    </w:p>
    <w:p>
      <w:pPr>
        <w:spacing w:line="360" w:lineRule="auto"/>
        <w:ind w:firstLine="480" w:firstLineChars="200"/>
        <w:rPr>
          <w:rFonts w:ascii="宋体" w:hAnsi="宋体" w:cs="宋体"/>
          <w:sz w:val="24"/>
          <w:szCs w:val="24"/>
        </w:rPr>
      </w:pPr>
      <w:r>
        <w:rPr>
          <w:rFonts w:hint="eastAsia" w:ascii="宋体" w:hAnsi="宋体" w:cs="宋体"/>
          <w:sz w:val="24"/>
          <w:szCs w:val="24"/>
        </w:rPr>
        <w:t>行政服务中心是直接为群众和企业集中办理各类政务服务事项的综合服务平台，是转变政府职能、优化营商环境的重要支撑，对于提升省域治理现代化具有重要作用。为深入实践“整体智治”理念，加快政务服务数字化改革，充分发挥行政服务中心在全面数字化改革和“整体智治”现代政府建设中的重要基础作用。本次项目建设软件系统集约高效，全市共建共享为原则；硬件设施市本级示范样板打造区。</w:t>
      </w:r>
    </w:p>
    <w:p>
      <w:pPr>
        <w:pStyle w:val="7"/>
        <w:numPr>
          <w:ilvl w:val="3"/>
          <w:numId w:val="0"/>
        </w:numPr>
        <w:rPr>
          <w:rFonts w:ascii="宋体" w:hAnsi="宋体" w:eastAsia="宋体" w:cs="宋体"/>
          <w:b/>
          <w:bCs w:val="0"/>
          <w:szCs w:val="24"/>
        </w:rPr>
      </w:pPr>
      <w:bookmarkStart w:id="38" w:name="_Toc72400836"/>
      <w:bookmarkStart w:id="39" w:name="_Toc72764424"/>
      <w:r>
        <w:rPr>
          <w:rFonts w:hint="eastAsia" w:ascii="宋体" w:hAnsi="宋体" w:eastAsia="宋体" w:cs="宋体"/>
          <w:b/>
          <w:bCs w:val="0"/>
          <w:szCs w:val="24"/>
        </w:rPr>
        <w:t>1</w:t>
      </w:r>
      <w:r>
        <w:rPr>
          <w:rFonts w:hint="eastAsia" w:ascii="宋体" w:hAnsi="宋体" w:cs="宋体"/>
          <w:b/>
          <w:bCs w:val="0"/>
          <w:szCs w:val="24"/>
          <w:lang w:eastAsia="zh-CN"/>
        </w:rPr>
        <w:t>、</w:t>
      </w:r>
      <w:r>
        <w:rPr>
          <w:rFonts w:hint="eastAsia" w:ascii="宋体" w:hAnsi="宋体" w:eastAsia="宋体" w:cs="宋体"/>
          <w:b/>
          <w:bCs w:val="0"/>
          <w:szCs w:val="24"/>
        </w:rPr>
        <w:t>政务服务地图</w:t>
      </w:r>
      <w:bookmarkEnd w:id="38"/>
      <w:bookmarkEnd w:id="39"/>
    </w:p>
    <w:p>
      <w:pPr>
        <w:spacing w:line="360" w:lineRule="auto"/>
        <w:ind w:firstLine="480" w:firstLineChars="200"/>
        <w:rPr>
          <w:rFonts w:ascii="宋体" w:hAnsi="宋体" w:cs="宋体"/>
          <w:sz w:val="24"/>
          <w:szCs w:val="24"/>
        </w:rPr>
      </w:pPr>
      <w:r>
        <w:rPr>
          <w:rFonts w:hint="eastAsia" w:ascii="宋体" w:hAnsi="宋体" w:cs="宋体"/>
          <w:sz w:val="24"/>
          <w:szCs w:val="24"/>
        </w:rPr>
        <w:t>集成地理信息系统、政务服务地图等基础数据，进一步归集全域政务资源信息，对接省办件库、政务服务2.0系统办件数据、视频监控系统、咨询平台、预约系统等，建成政务资源、能级与事项匹配的规划图、群众查询办事网点的服务图、办件和人员等信息的分析图、办事力量落实情况的监管图，实现市县镇村各级行政服务中心人员管理、事项办件、动态调派的一体化智能化。</w:t>
      </w:r>
    </w:p>
    <w:p>
      <w:pPr>
        <w:pStyle w:val="8"/>
        <w:numPr>
          <w:ilvl w:val="0"/>
          <w:numId w:val="13"/>
        </w:numPr>
        <w:ind w:left="400" w:firstLine="0"/>
        <w:rPr>
          <w:rFonts w:ascii="宋体" w:hAnsi="宋体" w:eastAsia="宋体" w:cs="宋体"/>
        </w:rPr>
      </w:pPr>
      <w:r>
        <w:rPr>
          <w:rFonts w:hint="eastAsia" w:ascii="宋体" w:hAnsi="宋体" w:eastAsia="宋体" w:cs="宋体"/>
        </w:rPr>
        <w:t>规划图</w:t>
      </w:r>
    </w:p>
    <w:p>
      <w:pPr>
        <w:pStyle w:val="8"/>
        <w:numPr>
          <w:ilvl w:val="4"/>
          <w:numId w:val="0"/>
        </w:numPr>
        <w:ind w:firstLine="480" w:firstLineChars="200"/>
        <w:rPr>
          <w:rFonts w:ascii="宋体" w:hAnsi="宋体" w:eastAsia="宋体" w:cs="宋体"/>
          <w:b w:val="0"/>
          <w:bCs w:val="0"/>
        </w:rPr>
      </w:pPr>
      <w:r>
        <w:rPr>
          <w:rFonts w:hint="eastAsia" w:ascii="宋体" w:hAnsi="宋体" w:eastAsia="宋体" w:cs="宋体"/>
          <w:b w:val="0"/>
          <w:bCs w:val="0"/>
        </w:rPr>
        <w:t>显示网点基本信息，网点所属区域的人口信息、产业特点等信息，可进行网点可办事项的配置，根据梳理的各层级标准版事项，进行新增和删除；</w:t>
      </w:r>
    </w:p>
    <w:p>
      <w:pPr>
        <w:spacing w:line="360" w:lineRule="auto"/>
        <w:ind w:firstLine="480" w:firstLineChars="200"/>
        <w:rPr>
          <w:rFonts w:ascii="宋体" w:hAnsi="宋体" w:cs="宋体"/>
          <w:sz w:val="24"/>
          <w:szCs w:val="24"/>
        </w:rPr>
      </w:pPr>
      <w:r>
        <w:rPr>
          <w:rFonts w:hint="eastAsia" w:ascii="宋体" w:hAnsi="宋体" w:cs="宋体"/>
          <w:sz w:val="24"/>
          <w:szCs w:val="24"/>
        </w:rPr>
        <w:t>网点区域15分钟办事圈展示；</w:t>
      </w:r>
    </w:p>
    <w:p>
      <w:pPr>
        <w:spacing w:line="360" w:lineRule="auto"/>
        <w:ind w:firstLine="480" w:firstLineChars="200"/>
        <w:rPr>
          <w:rFonts w:ascii="宋体" w:hAnsi="宋体" w:cs="宋体"/>
          <w:sz w:val="24"/>
          <w:szCs w:val="24"/>
        </w:rPr>
      </w:pPr>
      <w:r>
        <w:rPr>
          <w:rFonts w:hint="eastAsia" w:ascii="宋体" w:hAnsi="宋体" w:cs="宋体"/>
          <w:sz w:val="24"/>
          <w:szCs w:val="24"/>
        </w:rPr>
        <w:t>事项同源于省事项库；</w:t>
      </w:r>
    </w:p>
    <w:p>
      <w:pPr>
        <w:spacing w:line="360" w:lineRule="auto"/>
        <w:ind w:firstLine="482" w:firstLineChars="200"/>
        <w:outlineLvl w:val="4"/>
        <w:rPr>
          <w:rFonts w:ascii="宋体" w:hAnsi="宋体" w:cs="宋体"/>
          <w:b/>
          <w:bCs/>
          <w:sz w:val="24"/>
          <w:szCs w:val="24"/>
        </w:rPr>
      </w:pPr>
      <w:r>
        <w:rPr>
          <w:rFonts w:hint="eastAsia" w:ascii="宋体" w:hAnsi="宋体" w:cs="宋体"/>
          <w:b/>
          <w:bCs/>
          <w:sz w:val="24"/>
          <w:szCs w:val="24"/>
        </w:rPr>
        <w:t>（2）监管图</w:t>
      </w:r>
    </w:p>
    <w:p>
      <w:pPr>
        <w:spacing w:line="360" w:lineRule="auto"/>
        <w:ind w:firstLine="480" w:firstLineChars="200"/>
        <w:rPr>
          <w:rFonts w:ascii="宋体" w:hAnsi="宋体" w:cs="宋体"/>
          <w:sz w:val="24"/>
          <w:szCs w:val="24"/>
        </w:rPr>
      </w:pPr>
      <w:r>
        <w:rPr>
          <w:rFonts w:hint="eastAsia" w:ascii="宋体" w:hAnsi="宋体" w:cs="宋体"/>
          <w:sz w:val="24"/>
          <w:szCs w:val="24"/>
        </w:rPr>
        <w:t>办事大厅图片可切换为视频监控，有条件的办事大厅，可接入实时监控，用于远程观察办事大厅办事情况、大厅饱和度；</w:t>
      </w:r>
    </w:p>
    <w:p>
      <w:pPr>
        <w:spacing w:line="360" w:lineRule="auto"/>
        <w:ind w:firstLine="482" w:firstLineChars="200"/>
        <w:outlineLvl w:val="4"/>
        <w:rPr>
          <w:rFonts w:ascii="宋体" w:hAnsi="宋体" w:cs="宋体"/>
          <w:b/>
          <w:bCs/>
          <w:sz w:val="24"/>
          <w:szCs w:val="24"/>
        </w:rPr>
      </w:pPr>
      <w:r>
        <w:rPr>
          <w:rFonts w:hint="eastAsia" w:ascii="宋体" w:hAnsi="宋体" w:cs="宋体"/>
          <w:b/>
          <w:bCs/>
          <w:sz w:val="24"/>
          <w:szCs w:val="24"/>
        </w:rPr>
        <w:t>（3）服务图</w:t>
      </w:r>
    </w:p>
    <w:p>
      <w:pPr>
        <w:spacing w:line="360" w:lineRule="auto"/>
        <w:ind w:firstLine="480" w:firstLineChars="200"/>
        <w:rPr>
          <w:rFonts w:ascii="宋体" w:hAnsi="宋体" w:cs="宋体"/>
          <w:sz w:val="24"/>
          <w:szCs w:val="24"/>
        </w:rPr>
      </w:pPr>
      <w:r>
        <w:rPr>
          <w:rFonts w:hint="eastAsia" w:ascii="宋体" w:hAnsi="宋体" w:cs="宋体"/>
          <w:sz w:val="24"/>
          <w:szCs w:val="24"/>
        </w:rPr>
        <w:t>显示办事大厅图片、VR图、名称、地址、联系方式、可办事项、办件量等信息；</w:t>
      </w:r>
    </w:p>
    <w:p>
      <w:pPr>
        <w:spacing w:line="360" w:lineRule="auto"/>
        <w:ind w:firstLine="480" w:firstLineChars="200"/>
        <w:rPr>
          <w:rFonts w:ascii="宋体" w:hAnsi="宋体" w:cs="宋体"/>
          <w:sz w:val="24"/>
          <w:szCs w:val="24"/>
        </w:rPr>
      </w:pPr>
      <w:r>
        <w:rPr>
          <w:rFonts w:hint="eastAsia" w:ascii="宋体" w:hAnsi="宋体" w:cs="宋体"/>
          <w:sz w:val="24"/>
          <w:szCs w:val="24"/>
        </w:rPr>
        <w:t>提供双向搜索功能，搜索网点展示可办事项，搜索办事事项展示可办理网点；</w:t>
      </w:r>
    </w:p>
    <w:p>
      <w:pPr>
        <w:spacing w:line="360" w:lineRule="auto"/>
        <w:ind w:firstLine="482" w:firstLineChars="200"/>
        <w:outlineLvl w:val="4"/>
        <w:rPr>
          <w:rFonts w:ascii="宋体" w:hAnsi="宋体" w:cs="宋体"/>
          <w:b/>
          <w:bCs/>
          <w:sz w:val="24"/>
          <w:szCs w:val="24"/>
        </w:rPr>
      </w:pPr>
      <w:r>
        <w:rPr>
          <w:rFonts w:hint="eastAsia" w:ascii="宋体" w:hAnsi="宋体" w:cs="宋体"/>
          <w:b/>
          <w:bCs/>
          <w:sz w:val="24"/>
          <w:szCs w:val="24"/>
        </w:rPr>
        <w:t>（4）分析图</w:t>
      </w:r>
    </w:p>
    <w:p>
      <w:pPr>
        <w:numPr>
          <w:ilvl w:val="0"/>
          <w:numId w:val="0"/>
        </w:numPr>
        <w:spacing w:line="360" w:lineRule="auto"/>
        <w:ind w:firstLine="420"/>
        <w:rPr>
          <w:rFonts w:ascii="宋体" w:hAnsi="宋体" w:cs="宋体"/>
          <w:sz w:val="24"/>
          <w:szCs w:val="24"/>
        </w:rPr>
      </w:pPr>
      <w:r>
        <w:rPr>
          <w:rFonts w:hint="eastAsia" w:ascii="宋体" w:hAnsi="宋体" w:cs="宋体"/>
          <w:sz w:val="24"/>
          <w:szCs w:val="24"/>
        </w:rPr>
        <w:t>网点、事项、人员数据的分析；</w:t>
      </w:r>
    </w:p>
    <w:p>
      <w:pPr>
        <w:pStyle w:val="7"/>
        <w:numPr>
          <w:ilvl w:val="3"/>
          <w:numId w:val="0"/>
        </w:numPr>
        <w:rPr>
          <w:rFonts w:ascii="宋体" w:hAnsi="宋体" w:eastAsia="宋体" w:cs="宋体"/>
          <w:b/>
          <w:bCs w:val="0"/>
          <w:szCs w:val="24"/>
        </w:rPr>
      </w:pPr>
      <w:bookmarkStart w:id="40" w:name="_Toc72764425"/>
      <w:bookmarkStart w:id="41" w:name="_Toc72400837"/>
      <w:r>
        <w:rPr>
          <w:rFonts w:hint="eastAsia" w:ascii="宋体" w:hAnsi="宋体" w:eastAsia="宋体" w:cs="宋体"/>
          <w:b/>
          <w:bCs w:val="0"/>
          <w:szCs w:val="24"/>
        </w:rPr>
        <w:t>2</w:t>
      </w:r>
      <w:r>
        <w:rPr>
          <w:rFonts w:hint="eastAsia" w:ascii="宋体" w:hAnsi="宋体" w:cs="宋体"/>
          <w:b/>
          <w:bCs w:val="0"/>
          <w:szCs w:val="24"/>
          <w:lang w:eastAsia="zh-CN"/>
        </w:rPr>
        <w:t>、</w:t>
      </w:r>
      <w:r>
        <w:rPr>
          <w:rFonts w:hint="eastAsia" w:ascii="宋体" w:hAnsi="宋体" w:eastAsia="宋体" w:cs="宋体"/>
          <w:b/>
          <w:bCs w:val="0"/>
          <w:szCs w:val="24"/>
        </w:rPr>
        <w:t>便捷咨询</w:t>
      </w:r>
      <w:bookmarkEnd w:id="40"/>
      <w:bookmarkEnd w:id="41"/>
    </w:p>
    <w:p>
      <w:pPr>
        <w:spacing w:line="360" w:lineRule="auto"/>
        <w:ind w:firstLine="480" w:firstLineChars="200"/>
        <w:rPr>
          <w:rFonts w:ascii="宋体" w:hAnsi="宋体" w:cs="宋体"/>
          <w:sz w:val="24"/>
          <w:szCs w:val="24"/>
        </w:rPr>
      </w:pPr>
      <w:r>
        <w:rPr>
          <w:rFonts w:hint="eastAsia" w:ascii="宋体" w:hAnsi="宋体" w:cs="宋体"/>
          <w:sz w:val="24"/>
          <w:szCs w:val="24"/>
        </w:rPr>
        <w:t>现有咨询多以现场咨询、热线咨询为主，存在跑现场、多头问等情况，给群众体验较差，结合中心现有咨询库的建设，以信息化手段改变现状，通过各终端，如电脑、智能手机、PAD，访问政务服务网、浙里办、公众号，可以实现线上交流，通过智能问答、人工客服等方式，实现先问后办，减少群众办事成本，提高群众办事效率。</w:t>
      </w:r>
    </w:p>
    <w:p>
      <w:pPr>
        <w:spacing w:line="360" w:lineRule="auto"/>
        <w:ind w:firstLine="480"/>
        <w:rPr>
          <w:rFonts w:ascii="宋体" w:hAnsi="宋体" w:cs="宋体"/>
          <w:sz w:val="24"/>
          <w:szCs w:val="24"/>
        </w:rPr>
      </w:pPr>
      <w:r>
        <w:rPr>
          <w:rFonts w:hint="eastAsia" w:ascii="宋体" w:hAnsi="宋体" w:cs="宋体"/>
          <w:sz w:val="24"/>
          <w:szCs w:val="24"/>
        </w:rPr>
        <w:t>提供服务包括智能问答、材料预审、智能申报、人工问答、同屏互动等；</w:t>
      </w:r>
    </w:p>
    <w:p>
      <w:pPr>
        <w:spacing w:line="360" w:lineRule="auto"/>
        <w:ind w:firstLine="480" w:firstLineChars="200"/>
        <w:rPr>
          <w:rFonts w:ascii="宋体" w:hAnsi="宋体" w:cs="宋体"/>
          <w:sz w:val="24"/>
          <w:szCs w:val="24"/>
        </w:rPr>
      </w:pPr>
      <w:r>
        <w:rPr>
          <w:rFonts w:hint="eastAsia" w:ascii="宋体" w:hAnsi="宋体" w:cs="宋体"/>
          <w:sz w:val="24"/>
          <w:szCs w:val="24"/>
        </w:rPr>
        <w:t>应用需上架浙里办、微信公众号；</w:t>
      </w:r>
    </w:p>
    <w:p>
      <w:pPr>
        <w:spacing w:line="360" w:lineRule="auto"/>
        <w:ind w:firstLine="480" w:firstLineChars="200"/>
        <w:rPr>
          <w:rFonts w:ascii="宋体" w:hAnsi="宋体" w:cs="宋体"/>
          <w:sz w:val="24"/>
          <w:szCs w:val="24"/>
        </w:rPr>
      </w:pPr>
      <w:r>
        <w:rPr>
          <w:rFonts w:hint="eastAsia" w:ascii="宋体" w:hAnsi="宋体" w:cs="宋体"/>
          <w:sz w:val="24"/>
          <w:szCs w:val="24"/>
        </w:rPr>
        <w:t>对原有咨询库中的知识库进行升级，新增公积金问答100条、社保100条、医保100条、不动产100条、建设20条（非投资）、交通40条、公安60条、企业服务（商事登记40条、投资项目40条）。</w:t>
      </w:r>
    </w:p>
    <w:p>
      <w:pPr>
        <w:pStyle w:val="7"/>
        <w:numPr>
          <w:ilvl w:val="3"/>
          <w:numId w:val="0"/>
        </w:numPr>
        <w:rPr>
          <w:rFonts w:ascii="宋体" w:hAnsi="宋体" w:eastAsia="宋体" w:cs="宋体"/>
          <w:b/>
          <w:bCs w:val="0"/>
          <w:szCs w:val="24"/>
        </w:rPr>
      </w:pPr>
      <w:bookmarkStart w:id="42" w:name="_Toc72400838"/>
      <w:bookmarkStart w:id="43" w:name="_Toc72764426"/>
      <w:r>
        <w:rPr>
          <w:rFonts w:hint="eastAsia" w:ascii="宋体" w:hAnsi="宋体" w:eastAsia="宋体" w:cs="宋体"/>
          <w:b/>
          <w:bCs w:val="0"/>
          <w:szCs w:val="24"/>
        </w:rPr>
        <w:t>3</w:t>
      </w:r>
      <w:r>
        <w:rPr>
          <w:rFonts w:hint="eastAsia" w:ascii="宋体" w:hAnsi="宋体" w:cs="宋体"/>
          <w:b/>
          <w:bCs w:val="0"/>
          <w:szCs w:val="24"/>
          <w:lang w:eastAsia="zh-CN"/>
        </w:rPr>
        <w:t>、</w:t>
      </w:r>
      <w:r>
        <w:rPr>
          <w:rFonts w:hint="eastAsia" w:ascii="宋体" w:hAnsi="宋体" w:eastAsia="宋体" w:cs="宋体"/>
          <w:b/>
          <w:bCs w:val="0"/>
          <w:szCs w:val="24"/>
        </w:rPr>
        <w:t>高效办事</w:t>
      </w:r>
      <w:bookmarkEnd w:id="42"/>
      <w:bookmarkEnd w:id="43"/>
    </w:p>
    <w:p>
      <w:pPr>
        <w:spacing w:line="360" w:lineRule="auto"/>
        <w:ind w:firstLine="480" w:firstLineChars="200"/>
        <w:rPr>
          <w:rFonts w:ascii="宋体" w:hAnsi="宋体" w:cs="宋体"/>
          <w:sz w:val="24"/>
          <w:szCs w:val="24"/>
        </w:rPr>
      </w:pPr>
      <w:r>
        <w:rPr>
          <w:rFonts w:hint="eastAsia" w:ascii="宋体" w:hAnsi="宋体" w:cs="宋体"/>
          <w:sz w:val="24"/>
          <w:szCs w:val="24"/>
        </w:rPr>
        <w:t>台州市权力运行系统进行印章2.0升级，数字政府统一用户中心对接，梳理当地的常用事项梳理，做成通俗化标签，如办事材料查询、指导视频列表、便捷停车等功能。</w:t>
      </w:r>
      <w:bookmarkStart w:id="44" w:name="_Toc72764427"/>
      <w:bookmarkStart w:id="45" w:name="_Toc72400839"/>
    </w:p>
    <w:p>
      <w:pPr>
        <w:pStyle w:val="7"/>
        <w:numPr>
          <w:ilvl w:val="3"/>
          <w:numId w:val="0"/>
        </w:numPr>
        <w:rPr>
          <w:rFonts w:ascii="宋体" w:hAnsi="宋体" w:eastAsia="宋体" w:cs="宋体"/>
          <w:b/>
          <w:bCs w:val="0"/>
          <w:szCs w:val="24"/>
        </w:rPr>
      </w:pPr>
      <w:r>
        <w:rPr>
          <w:rFonts w:hint="eastAsia" w:ascii="宋体" w:hAnsi="宋体" w:eastAsia="宋体" w:cs="宋体"/>
          <w:b/>
          <w:bCs w:val="0"/>
          <w:szCs w:val="24"/>
        </w:rPr>
        <w:t>4</w:t>
      </w:r>
      <w:r>
        <w:rPr>
          <w:rFonts w:hint="eastAsia" w:ascii="宋体" w:hAnsi="宋体" w:cs="宋体"/>
          <w:b/>
          <w:bCs w:val="0"/>
          <w:szCs w:val="24"/>
          <w:lang w:eastAsia="zh-CN"/>
        </w:rPr>
        <w:t>、</w:t>
      </w:r>
      <w:r>
        <w:rPr>
          <w:rFonts w:hint="eastAsia" w:ascii="宋体" w:hAnsi="宋体" w:eastAsia="宋体" w:cs="宋体"/>
          <w:b/>
          <w:bCs w:val="0"/>
          <w:szCs w:val="24"/>
        </w:rPr>
        <w:t>人员、大厅智慧化管理</w:t>
      </w:r>
      <w:bookmarkEnd w:id="44"/>
      <w:bookmarkEnd w:id="45"/>
    </w:p>
    <w:p>
      <w:pPr>
        <w:pStyle w:val="8"/>
        <w:numPr>
          <w:ilvl w:val="4"/>
          <w:numId w:val="0"/>
        </w:numPr>
        <w:rPr>
          <w:rFonts w:ascii="宋体" w:hAnsi="宋体" w:eastAsia="宋体" w:cs="宋体"/>
        </w:rPr>
      </w:pPr>
      <w:bookmarkStart w:id="46" w:name="_Toc67933876"/>
      <w:bookmarkStart w:id="47" w:name="_Toc71654619"/>
      <w:r>
        <w:rPr>
          <w:rFonts w:hint="eastAsia" w:ascii="宋体" w:hAnsi="宋体" w:eastAsia="宋体" w:cs="宋体"/>
        </w:rPr>
        <w:t>4.1智慧大厅管理平台</w:t>
      </w:r>
      <w:bookmarkEnd w:id="46"/>
      <w:bookmarkEnd w:id="47"/>
    </w:p>
    <w:p>
      <w:pPr>
        <w:spacing w:line="360" w:lineRule="auto"/>
        <w:ind w:firstLine="420"/>
        <w:rPr>
          <w:rFonts w:ascii="宋体" w:hAnsi="宋体" w:cs="宋体"/>
          <w:b/>
          <w:bCs/>
          <w:sz w:val="24"/>
          <w:szCs w:val="24"/>
        </w:rPr>
      </w:pPr>
      <w:r>
        <w:rPr>
          <w:rFonts w:hint="eastAsia" w:ascii="宋体" w:hAnsi="宋体" w:cs="宋体"/>
          <w:b/>
          <w:bCs/>
          <w:sz w:val="24"/>
          <w:szCs w:val="24"/>
        </w:rPr>
        <w:t>（1）设备管理</w:t>
      </w:r>
    </w:p>
    <w:p>
      <w:pPr>
        <w:spacing w:line="360" w:lineRule="auto"/>
        <w:ind w:firstLine="480" w:firstLineChars="200"/>
        <w:rPr>
          <w:rFonts w:ascii="宋体" w:hAnsi="宋体" w:cs="宋体"/>
          <w:sz w:val="24"/>
          <w:szCs w:val="24"/>
        </w:rPr>
      </w:pPr>
      <w:r>
        <w:rPr>
          <w:rFonts w:hint="eastAsia" w:ascii="宋体" w:hAnsi="宋体" w:cs="宋体"/>
          <w:sz w:val="24"/>
          <w:szCs w:val="24"/>
        </w:rPr>
        <w:t>现有大厅分布各类硬件，从个人办公所需的电脑、打印机到大厅管理所需的摄像头、宣传屏等，需要逐项入库，登记到人，便于资产的管理与跟踪，提供设备登记、设备领用、资产分类功能。</w:t>
      </w:r>
    </w:p>
    <w:p>
      <w:pPr>
        <w:spacing w:line="360" w:lineRule="auto"/>
        <w:ind w:firstLine="420"/>
        <w:rPr>
          <w:rFonts w:ascii="宋体" w:hAnsi="宋体" w:cs="宋体"/>
          <w:b/>
          <w:bCs/>
          <w:sz w:val="24"/>
          <w:szCs w:val="24"/>
        </w:rPr>
      </w:pPr>
      <w:r>
        <w:rPr>
          <w:rFonts w:hint="eastAsia" w:ascii="宋体" w:hAnsi="宋体" w:cs="宋体"/>
          <w:b/>
          <w:bCs/>
          <w:sz w:val="24"/>
          <w:szCs w:val="24"/>
        </w:rPr>
        <w:t>（2）叫号升级</w:t>
      </w:r>
    </w:p>
    <w:p>
      <w:pPr>
        <w:spacing w:line="360" w:lineRule="auto"/>
        <w:ind w:firstLine="480" w:firstLineChars="200"/>
        <w:rPr>
          <w:rFonts w:ascii="宋体" w:hAnsi="宋体" w:cs="宋体"/>
          <w:sz w:val="24"/>
          <w:szCs w:val="24"/>
        </w:rPr>
      </w:pPr>
      <w:r>
        <w:rPr>
          <w:rFonts w:hint="eastAsia" w:ascii="宋体" w:hAnsi="宋体" w:cs="宋体"/>
          <w:sz w:val="24"/>
          <w:szCs w:val="24"/>
        </w:rPr>
        <w:t>叫号系统升级，包括人员体系同步自浙江省数字政府统一用户中心体系，大厅建立上下级关系，提供办事预约功能，与停车系统联动，需要与浙江省政府用户工作平台、浙江省数字政府统一用户中心、中心停车管理系统、台州市办件库软件系统对接，条形屏、身份证读卡器等设备对接；</w:t>
      </w:r>
    </w:p>
    <w:p>
      <w:pPr>
        <w:spacing w:line="360" w:lineRule="auto"/>
        <w:ind w:firstLine="420"/>
        <w:rPr>
          <w:rFonts w:ascii="宋体" w:hAnsi="宋体" w:cs="宋体"/>
          <w:b/>
          <w:bCs/>
          <w:sz w:val="24"/>
          <w:szCs w:val="24"/>
        </w:rPr>
      </w:pPr>
      <w:r>
        <w:rPr>
          <w:rFonts w:hint="eastAsia" w:ascii="宋体" w:hAnsi="宋体" w:cs="宋体"/>
          <w:b/>
          <w:bCs/>
          <w:sz w:val="24"/>
          <w:szCs w:val="24"/>
        </w:rPr>
        <w:t>（3）大厅工单管理系统</w:t>
      </w:r>
    </w:p>
    <w:p>
      <w:pPr>
        <w:spacing w:line="360" w:lineRule="auto"/>
        <w:ind w:firstLine="480" w:firstLineChars="200"/>
        <w:rPr>
          <w:rFonts w:ascii="宋体" w:hAnsi="宋体" w:cs="宋体"/>
          <w:sz w:val="24"/>
          <w:szCs w:val="24"/>
        </w:rPr>
      </w:pPr>
      <w:r>
        <w:rPr>
          <w:rFonts w:hint="eastAsia" w:ascii="宋体" w:hAnsi="宋体" w:cs="宋体"/>
          <w:sz w:val="24"/>
          <w:szCs w:val="24"/>
        </w:rPr>
        <w:t>大厅工单管理系统提供登记、流转、归档统计、管理等功能；</w:t>
      </w:r>
    </w:p>
    <w:p>
      <w:pPr>
        <w:spacing w:line="360" w:lineRule="auto"/>
        <w:ind w:firstLine="480" w:firstLineChars="200"/>
        <w:rPr>
          <w:rFonts w:ascii="宋体" w:hAnsi="宋体" w:cs="宋体"/>
          <w:sz w:val="24"/>
          <w:szCs w:val="24"/>
        </w:rPr>
      </w:pPr>
      <w:r>
        <w:rPr>
          <w:rFonts w:hint="eastAsia" w:ascii="宋体" w:hAnsi="宋体" w:cs="宋体"/>
          <w:sz w:val="24"/>
          <w:szCs w:val="24"/>
        </w:rPr>
        <w:t>系统需上架浙政钉2.0；</w:t>
      </w:r>
    </w:p>
    <w:p>
      <w:pPr>
        <w:spacing w:line="360" w:lineRule="auto"/>
        <w:ind w:firstLine="420"/>
        <w:rPr>
          <w:rFonts w:ascii="宋体" w:hAnsi="宋体" w:cs="宋体"/>
          <w:b/>
          <w:bCs/>
          <w:sz w:val="24"/>
          <w:szCs w:val="24"/>
        </w:rPr>
      </w:pPr>
      <w:r>
        <w:rPr>
          <w:rFonts w:hint="eastAsia" w:ascii="宋体" w:hAnsi="宋体" w:cs="宋体"/>
          <w:b/>
          <w:bCs/>
          <w:sz w:val="24"/>
          <w:szCs w:val="24"/>
        </w:rPr>
        <w:t>（4）停车系统升级</w:t>
      </w:r>
    </w:p>
    <w:p>
      <w:pPr>
        <w:spacing w:line="360" w:lineRule="auto"/>
        <w:ind w:firstLine="480" w:firstLineChars="200"/>
        <w:rPr>
          <w:rFonts w:ascii="宋体" w:hAnsi="宋体" w:cs="宋体"/>
          <w:sz w:val="24"/>
          <w:szCs w:val="24"/>
        </w:rPr>
      </w:pPr>
      <w:r>
        <w:rPr>
          <w:rFonts w:hint="eastAsia" w:ascii="宋体" w:hAnsi="宋体" w:cs="宋体"/>
          <w:sz w:val="24"/>
          <w:szCs w:val="24"/>
        </w:rPr>
        <w:t>提供会议停车白名单接口；</w:t>
      </w:r>
    </w:p>
    <w:p>
      <w:pPr>
        <w:spacing w:line="360" w:lineRule="auto"/>
        <w:ind w:firstLine="480" w:firstLineChars="200"/>
        <w:rPr>
          <w:rFonts w:ascii="宋体" w:hAnsi="宋体" w:cs="宋体"/>
          <w:sz w:val="24"/>
          <w:szCs w:val="24"/>
        </w:rPr>
      </w:pPr>
      <w:r>
        <w:rPr>
          <w:rFonts w:hint="eastAsia" w:ascii="宋体" w:hAnsi="宋体" w:cs="宋体"/>
          <w:sz w:val="24"/>
          <w:szCs w:val="24"/>
        </w:rPr>
        <w:t>提供车流量清单及统计接口；</w:t>
      </w:r>
    </w:p>
    <w:p>
      <w:pPr>
        <w:spacing w:line="360" w:lineRule="auto"/>
        <w:ind w:firstLine="480" w:firstLineChars="200"/>
        <w:rPr>
          <w:rFonts w:ascii="宋体" w:hAnsi="宋体" w:cs="宋体"/>
          <w:sz w:val="24"/>
          <w:szCs w:val="24"/>
        </w:rPr>
      </w:pPr>
      <w:r>
        <w:rPr>
          <w:rFonts w:hint="eastAsia" w:ascii="宋体" w:hAnsi="宋体" w:cs="宋体"/>
          <w:sz w:val="24"/>
          <w:szCs w:val="24"/>
        </w:rPr>
        <w:t>根据会议时间、名称生成二维码，扫描二维码跳转至车牌号登记页面，登记的车牌进入会议当天停车免费白名单。</w:t>
      </w:r>
    </w:p>
    <w:p>
      <w:pPr>
        <w:spacing w:line="360" w:lineRule="auto"/>
        <w:ind w:firstLine="480" w:firstLineChars="200"/>
        <w:rPr>
          <w:rFonts w:ascii="宋体" w:hAnsi="宋体" w:cs="宋体"/>
          <w:sz w:val="24"/>
          <w:szCs w:val="24"/>
        </w:rPr>
      </w:pPr>
      <w:r>
        <w:rPr>
          <w:rFonts w:hint="eastAsia" w:ascii="宋体" w:hAnsi="宋体" w:cs="宋体"/>
          <w:sz w:val="24"/>
          <w:szCs w:val="24"/>
        </w:rPr>
        <w:t>进行停车白名单规则的自主设置，如根据时间区间、时长，按日、周、月、年来设立规则，规则下的白名单车辆，享受停车免费服务。</w:t>
      </w:r>
    </w:p>
    <w:p>
      <w:pPr>
        <w:spacing w:line="360" w:lineRule="auto"/>
        <w:ind w:firstLine="420"/>
        <w:rPr>
          <w:rFonts w:ascii="宋体" w:hAnsi="宋体" w:cs="宋体"/>
          <w:b/>
          <w:bCs/>
          <w:sz w:val="24"/>
          <w:szCs w:val="24"/>
        </w:rPr>
      </w:pPr>
      <w:r>
        <w:rPr>
          <w:rFonts w:hint="eastAsia" w:ascii="宋体" w:hAnsi="宋体" w:cs="宋体"/>
          <w:b/>
          <w:bCs/>
          <w:sz w:val="24"/>
          <w:szCs w:val="24"/>
        </w:rPr>
        <w:t>（5）窗口屏幕发布管理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窗口屏幕发布管理，对现在窗口显示的文字支持文本、字号、颜色修改。</w:t>
      </w:r>
    </w:p>
    <w:p>
      <w:pPr>
        <w:pStyle w:val="24"/>
      </w:pPr>
    </w:p>
    <w:p>
      <w:pPr>
        <w:pStyle w:val="8"/>
        <w:numPr>
          <w:ilvl w:val="4"/>
          <w:numId w:val="0"/>
        </w:numPr>
        <w:rPr>
          <w:rFonts w:hint="eastAsia" w:ascii="宋体" w:hAnsi="宋体" w:eastAsia="宋体" w:cs="宋体"/>
        </w:rPr>
      </w:pPr>
      <w:r>
        <w:rPr>
          <w:rFonts w:hint="eastAsia" w:ascii="宋体" w:hAnsi="宋体" w:eastAsia="宋体" w:cs="宋体"/>
        </w:rPr>
        <w:t>4.2人员管理一体化平台</w:t>
      </w:r>
    </w:p>
    <w:p>
      <w:pPr>
        <w:spacing w:line="360" w:lineRule="auto"/>
        <w:ind w:firstLine="480" w:firstLineChars="200"/>
        <w:rPr>
          <w:rFonts w:ascii="宋体" w:hAnsi="宋体" w:cs="宋体"/>
          <w:sz w:val="24"/>
          <w:szCs w:val="24"/>
        </w:rPr>
      </w:pPr>
      <w:r>
        <w:rPr>
          <w:rFonts w:hint="eastAsia" w:ascii="宋体" w:hAnsi="宋体" w:cs="宋体"/>
          <w:sz w:val="24"/>
          <w:szCs w:val="24"/>
        </w:rPr>
        <w:t>积分系统改造包含用户体系改造、基础页面改造、轮岗配置改造、定时任务系统改造、账号权限问题改造及数据库结构的修改。</w:t>
      </w:r>
    </w:p>
    <w:p>
      <w:pPr>
        <w:spacing w:line="360" w:lineRule="auto"/>
        <w:ind w:firstLine="480" w:firstLineChars="200"/>
        <w:rPr>
          <w:rFonts w:ascii="宋体" w:hAnsi="宋体" w:cs="宋体"/>
          <w:sz w:val="24"/>
          <w:szCs w:val="24"/>
        </w:rPr>
      </w:pPr>
      <w:r>
        <w:rPr>
          <w:rFonts w:hint="eastAsia" w:ascii="宋体" w:hAnsi="宋体" w:cs="宋体"/>
          <w:sz w:val="24"/>
          <w:szCs w:val="24"/>
        </w:rPr>
        <w:t>培训库改造包含页面修改、培训通知修改、对接积分等功能的修改。</w:t>
      </w:r>
    </w:p>
    <w:p>
      <w:pPr>
        <w:spacing w:line="360" w:lineRule="auto"/>
        <w:ind w:firstLine="480" w:firstLineChars="200"/>
        <w:rPr>
          <w:rFonts w:ascii="宋体" w:hAnsi="宋体" w:cs="宋体"/>
          <w:sz w:val="24"/>
          <w:szCs w:val="24"/>
        </w:rPr>
      </w:pPr>
      <w:r>
        <w:rPr>
          <w:rFonts w:hint="eastAsia" w:ascii="宋体" w:hAnsi="宋体" w:cs="宋体"/>
          <w:sz w:val="24"/>
          <w:szCs w:val="24"/>
        </w:rPr>
        <w:t>考试课改在包含页面修改以及对接积分等功能的修改。</w:t>
      </w:r>
    </w:p>
    <w:p>
      <w:pPr>
        <w:spacing w:line="360" w:lineRule="auto"/>
        <w:ind w:firstLine="480" w:firstLineChars="200"/>
        <w:rPr>
          <w:rFonts w:ascii="宋体" w:hAnsi="宋体" w:cs="宋体"/>
          <w:sz w:val="24"/>
          <w:szCs w:val="24"/>
        </w:rPr>
      </w:pPr>
      <w:r>
        <w:rPr>
          <w:rFonts w:hint="eastAsia" w:ascii="宋体" w:hAnsi="宋体" w:cs="宋体"/>
          <w:sz w:val="24"/>
          <w:szCs w:val="24"/>
        </w:rPr>
        <w:t>新建中心用户门户，门户内展示中心场景应用，如咨询库、办件库、权力运行系统、考试库等；</w:t>
      </w:r>
    </w:p>
    <w:p>
      <w:pPr>
        <w:spacing w:line="360" w:lineRule="auto"/>
        <w:ind w:firstLine="480" w:firstLineChars="200"/>
        <w:rPr>
          <w:rFonts w:ascii="宋体" w:hAnsi="宋体" w:eastAsia="宋体" w:cs="宋体"/>
          <w:szCs w:val="24"/>
        </w:rPr>
      </w:pPr>
      <w:r>
        <w:rPr>
          <w:rFonts w:hint="eastAsia" w:ascii="宋体" w:hAnsi="宋体" w:eastAsia="宋体" w:cs="宋体"/>
          <w:sz w:val="24"/>
          <w:szCs w:val="24"/>
        </w:rPr>
        <w:t>单点登录认证接口采用浙江政务服务网政府用户统一认证接口。</w:t>
      </w:r>
      <w:bookmarkStart w:id="48" w:name="_Toc72400840"/>
      <w:bookmarkStart w:id="49" w:name="_Toc72764428"/>
    </w:p>
    <w:p>
      <w:pPr>
        <w:pStyle w:val="7"/>
        <w:numPr>
          <w:ilvl w:val="3"/>
          <w:numId w:val="0"/>
        </w:numPr>
        <w:rPr>
          <w:rFonts w:ascii="宋体" w:hAnsi="宋体" w:eastAsia="宋体" w:cs="宋体"/>
          <w:b/>
          <w:bCs w:val="0"/>
          <w:szCs w:val="24"/>
        </w:rPr>
      </w:pPr>
      <w:r>
        <w:rPr>
          <w:rFonts w:hint="eastAsia" w:ascii="宋体" w:hAnsi="宋体" w:eastAsia="宋体" w:cs="宋体"/>
          <w:b/>
          <w:bCs w:val="0"/>
          <w:szCs w:val="24"/>
        </w:rPr>
        <w:t>5</w:t>
      </w:r>
      <w:r>
        <w:rPr>
          <w:rFonts w:hint="eastAsia" w:ascii="宋体" w:hAnsi="宋体" w:cs="宋体"/>
          <w:b/>
          <w:bCs w:val="0"/>
          <w:szCs w:val="24"/>
          <w:lang w:eastAsia="zh-CN"/>
        </w:rPr>
        <w:t>、</w:t>
      </w:r>
      <w:r>
        <w:rPr>
          <w:rFonts w:hint="eastAsia" w:ascii="宋体" w:hAnsi="宋体" w:eastAsia="宋体" w:cs="宋体"/>
          <w:b/>
          <w:bCs w:val="0"/>
          <w:szCs w:val="24"/>
        </w:rPr>
        <w:t>政务数据分析平台</w:t>
      </w:r>
      <w:bookmarkEnd w:id="48"/>
      <w:bookmarkEnd w:id="49"/>
    </w:p>
    <w:p>
      <w:pPr>
        <w:spacing w:line="360" w:lineRule="auto"/>
        <w:ind w:firstLine="420"/>
        <w:rPr>
          <w:rFonts w:ascii="宋体" w:hAnsi="宋体" w:eastAsia="宋体" w:cs="宋体"/>
          <w:b/>
          <w:bCs/>
          <w:sz w:val="24"/>
          <w:szCs w:val="24"/>
        </w:rPr>
      </w:pPr>
      <w:r>
        <w:rPr>
          <w:rFonts w:hint="eastAsia" w:ascii="宋体" w:hAnsi="宋体" w:eastAsia="宋体" w:cs="宋体"/>
          <w:b/>
          <w:bCs/>
          <w:sz w:val="24"/>
          <w:szCs w:val="24"/>
        </w:rPr>
        <w:t>（1）数据汇聚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本方案建设过程中，政务数据分析平台需要有标准化数据进行支撑，对原有取叫号数据、咨询数据、评价数据、车流数据、人流数据等进行统一标准入库、清洗、汇聚。</w:t>
      </w:r>
    </w:p>
    <w:p>
      <w:pPr>
        <w:numPr>
          <w:ilvl w:val="0"/>
          <w:numId w:val="14"/>
        </w:numPr>
        <w:tabs>
          <w:tab w:val="left" w:pos="0"/>
          <w:tab w:val="left" w:pos="240"/>
        </w:tabs>
        <w:spacing w:line="360" w:lineRule="auto"/>
        <w:ind w:firstLine="420"/>
        <w:rPr>
          <w:rFonts w:ascii="宋体" w:hAnsi="宋体" w:eastAsia="宋体" w:cs="宋体"/>
          <w:b/>
          <w:bCs/>
          <w:sz w:val="24"/>
          <w:szCs w:val="24"/>
        </w:rPr>
      </w:pPr>
      <w:r>
        <w:rPr>
          <w:rFonts w:hint="eastAsia" w:ascii="宋体" w:hAnsi="宋体" w:eastAsia="宋体" w:cs="宋体"/>
          <w:b/>
          <w:bCs/>
          <w:sz w:val="24"/>
          <w:szCs w:val="24"/>
        </w:rPr>
        <w:t>数据分析</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提供各级行政服务中心服务效能分析报表、部门服务效能分析报表、综合受理员服务效能报表、政务大厅营商环境报表、预警监测报表。</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报表上架浙政钉2.0，在移动端查看数据报表。</w:t>
      </w:r>
    </w:p>
    <w:p>
      <w:pPr>
        <w:numPr>
          <w:ilvl w:val="0"/>
          <w:numId w:val="14"/>
        </w:numPr>
        <w:tabs>
          <w:tab w:val="left" w:pos="0"/>
          <w:tab w:val="left" w:pos="240"/>
        </w:tabs>
        <w:spacing w:line="360" w:lineRule="auto"/>
        <w:ind w:firstLine="420"/>
        <w:rPr>
          <w:rFonts w:ascii="宋体" w:hAnsi="宋体" w:eastAsia="宋体" w:cs="宋体"/>
          <w:b/>
          <w:bCs/>
          <w:sz w:val="24"/>
          <w:szCs w:val="24"/>
        </w:rPr>
      </w:pPr>
      <w:r>
        <w:rPr>
          <w:rFonts w:hint="eastAsia" w:ascii="宋体" w:hAnsi="宋体" w:eastAsia="宋体" w:cs="宋体"/>
          <w:b/>
          <w:bCs/>
          <w:sz w:val="24"/>
          <w:szCs w:val="24"/>
        </w:rPr>
        <w:t>综合分析</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行政服务中心大厅建模，包括台州市行政服务中心一、二层办事区域模型图开发；</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大屏可视化展示以智慧大厅、智慧窗口、各级行政服务中心、部门服务、综合受理员服务、政务大厅营商环境角度，进行数据的梳理展示。</w:t>
      </w:r>
    </w:p>
    <w:p>
      <w:pPr>
        <w:numPr>
          <w:ilvl w:val="0"/>
          <w:numId w:val="14"/>
        </w:numPr>
        <w:tabs>
          <w:tab w:val="left" w:pos="0"/>
          <w:tab w:val="left" w:pos="240"/>
        </w:tabs>
        <w:spacing w:line="360" w:lineRule="auto"/>
        <w:ind w:firstLine="420"/>
        <w:rPr>
          <w:rFonts w:ascii="宋体" w:hAnsi="宋体" w:eastAsia="宋体" w:cs="宋体"/>
          <w:b/>
          <w:bCs/>
          <w:sz w:val="24"/>
          <w:szCs w:val="24"/>
        </w:rPr>
      </w:pPr>
      <w:r>
        <w:rPr>
          <w:rFonts w:hint="eastAsia" w:ascii="宋体" w:hAnsi="宋体" w:eastAsia="宋体" w:cs="宋体"/>
          <w:b/>
          <w:bCs/>
          <w:sz w:val="24"/>
          <w:szCs w:val="24"/>
        </w:rPr>
        <w:t>可视化配置</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基于大数据多源异构数据源适配技术，支持多种数据源的连接访问和数据交换，包括主流关系型RDBMS、Excel/CSV文本数据源、基于Hadoop的大数据平台数据源以及其他多种JDBC数据源等，具体说明如表所示。（提供系统截图证明。）</w:t>
      </w:r>
    </w:p>
    <w:p>
      <w:pPr>
        <w:widowControl/>
        <w:spacing w:line="360" w:lineRule="auto"/>
        <w:jc w:val="center"/>
        <w:rPr>
          <w:rFonts w:ascii="宋体" w:hAnsi="宋体" w:eastAsia="宋体" w:cs="宋体"/>
          <w:b/>
          <w:bCs/>
        </w:rPr>
      </w:pPr>
      <w:r>
        <w:rPr>
          <w:rFonts w:hint="eastAsia" w:ascii="宋体" w:hAnsi="宋体" w:eastAsia="宋体" w:cs="宋体"/>
          <w:b/>
          <w:bCs/>
        </w:rPr>
        <w:t>数据源类型及说明表</w:t>
      </w:r>
    </w:p>
    <w:tbl>
      <w:tblPr>
        <w:tblStyle w:val="19"/>
        <w:tblW w:w="9039" w:type="dxa"/>
        <w:tblInd w:w="0" w:type="dxa"/>
        <w:tblLayout w:type="fixed"/>
        <w:tblCellMar>
          <w:top w:w="0" w:type="dxa"/>
          <w:left w:w="108" w:type="dxa"/>
          <w:bottom w:w="0" w:type="dxa"/>
          <w:right w:w="108" w:type="dxa"/>
        </w:tblCellMar>
      </w:tblPr>
      <w:tblGrid>
        <w:gridCol w:w="2275"/>
        <w:gridCol w:w="6764"/>
      </w:tblGrid>
      <w:tr>
        <w:tblPrEx>
          <w:tblCellMar>
            <w:top w:w="0" w:type="dxa"/>
            <w:left w:w="108" w:type="dxa"/>
            <w:bottom w:w="0" w:type="dxa"/>
            <w:right w:w="108" w:type="dxa"/>
          </w:tblCellMar>
        </w:tblPrEx>
        <w:trPr>
          <w:trHeight w:val="567" w:hRule="atLeast"/>
        </w:trPr>
        <w:tc>
          <w:tcPr>
            <w:tcW w:w="2275"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spacing w:line="360" w:lineRule="auto"/>
              <w:jc w:val="center"/>
              <w:rPr>
                <w:rFonts w:ascii="宋体" w:hAnsi="宋体" w:eastAsia="宋体" w:cs="宋体"/>
                <w:b/>
                <w:bCs/>
              </w:rPr>
            </w:pPr>
            <w:r>
              <w:rPr>
                <w:rFonts w:hint="eastAsia" w:ascii="宋体" w:hAnsi="宋体" w:eastAsia="宋体" w:cs="宋体"/>
                <w:b/>
                <w:bCs/>
              </w:rPr>
              <w:t>类型</w:t>
            </w:r>
          </w:p>
        </w:tc>
        <w:tc>
          <w:tcPr>
            <w:tcW w:w="6764" w:type="dxa"/>
            <w:tcBorders>
              <w:top w:val="single" w:color="auto" w:sz="4" w:space="0"/>
              <w:left w:val="nil"/>
              <w:bottom w:val="single" w:color="auto" w:sz="4" w:space="0"/>
              <w:right w:val="single" w:color="auto" w:sz="4" w:space="0"/>
            </w:tcBorders>
            <w:shd w:val="clear" w:color="auto" w:fill="BFBFBF"/>
            <w:noWrap w:val="0"/>
            <w:vAlign w:val="center"/>
          </w:tcPr>
          <w:p>
            <w:pPr>
              <w:widowControl/>
              <w:spacing w:line="360" w:lineRule="auto"/>
              <w:jc w:val="center"/>
              <w:rPr>
                <w:rFonts w:ascii="宋体" w:hAnsi="宋体" w:eastAsia="宋体" w:cs="宋体"/>
                <w:b/>
                <w:bCs/>
              </w:rPr>
            </w:pPr>
            <w:r>
              <w:rPr>
                <w:rFonts w:hint="eastAsia" w:ascii="宋体" w:hAnsi="宋体" w:eastAsia="宋体" w:cs="宋体"/>
                <w:b/>
                <w:bCs/>
              </w:rPr>
              <w:t>数据源描述</w:t>
            </w:r>
          </w:p>
        </w:tc>
      </w:tr>
      <w:tr>
        <w:tblPrEx>
          <w:tblCellMar>
            <w:top w:w="0" w:type="dxa"/>
            <w:left w:w="108" w:type="dxa"/>
            <w:bottom w:w="0" w:type="dxa"/>
            <w:right w:w="108" w:type="dxa"/>
          </w:tblCellMar>
        </w:tblPrEx>
        <w:trPr>
          <w:trHeight w:val="907" w:hRule="atLeast"/>
        </w:trPr>
        <w:tc>
          <w:tcPr>
            <w:tcW w:w="227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rPr>
            </w:pPr>
            <w:r>
              <w:rPr>
                <w:rFonts w:hint="eastAsia" w:ascii="宋体" w:hAnsi="宋体" w:eastAsia="宋体" w:cs="宋体"/>
              </w:rPr>
              <w:t>关系型数据源</w:t>
            </w:r>
          </w:p>
        </w:tc>
        <w:tc>
          <w:tcPr>
            <w:tcW w:w="6764" w:type="dxa"/>
            <w:tcBorders>
              <w:top w:val="nil"/>
              <w:left w:val="nil"/>
              <w:bottom w:val="single" w:color="auto" w:sz="4" w:space="0"/>
              <w:right w:val="single" w:color="auto" w:sz="4" w:space="0"/>
            </w:tcBorders>
            <w:noWrap w:val="0"/>
            <w:vAlign w:val="center"/>
          </w:tcPr>
          <w:p>
            <w:pPr>
              <w:widowControl/>
              <w:rPr>
                <w:rFonts w:ascii="宋体" w:hAnsi="宋体" w:eastAsia="宋体" w:cs="宋体"/>
              </w:rPr>
            </w:pPr>
            <w:r>
              <w:rPr>
                <w:rFonts w:hint="eastAsia" w:ascii="宋体" w:hAnsi="宋体" w:eastAsia="宋体" w:cs="宋体"/>
              </w:rPr>
              <w:t>主流关系型数据库支持：Oracle、MySQL、SQLServer、PostgraSQL、DB2等。国产数据库：达梦、金仓、神通等。</w:t>
            </w:r>
          </w:p>
        </w:tc>
      </w:tr>
      <w:tr>
        <w:tblPrEx>
          <w:tblCellMar>
            <w:top w:w="0" w:type="dxa"/>
            <w:left w:w="108" w:type="dxa"/>
            <w:bottom w:w="0" w:type="dxa"/>
            <w:right w:w="108" w:type="dxa"/>
          </w:tblCellMar>
        </w:tblPrEx>
        <w:trPr>
          <w:trHeight w:val="454" w:hRule="atLeast"/>
        </w:trPr>
        <w:tc>
          <w:tcPr>
            <w:tcW w:w="22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rPr>
            </w:pPr>
            <w:r>
              <w:rPr>
                <w:rFonts w:hint="eastAsia" w:ascii="宋体" w:hAnsi="宋体" w:eastAsia="宋体" w:cs="宋体"/>
              </w:rPr>
              <w:t>大数据、分布式数据库</w:t>
            </w:r>
          </w:p>
        </w:tc>
        <w:tc>
          <w:tcPr>
            <w:tcW w:w="6764" w:type="dxa"/>
            <w:tcBorders>
              <w:top w:val="single" w:color="auto" w:sz="4" w:space="0"/>
              <w:left w:val="nil"/>
              <w:bottom w:val="single" w:color="auto" w:sz="4" w:space="0"/>
              <w:right w:val="single" w:color="auto" w:sz="4" w:space="0"/>
            </w:tcBorders>
            <w:noWrap w:val="0"/>
            <w:vAlign w:val="center"/>
          </w:tcPr>
          <w:p>
            <w:pPr>
              <w:widowControl/>
              <w:spacing w:line="360" w:lineRule="auto"/>
              <w:rPr>
                <w:rFonts w:ascii="宋体" w:hAnsi="宋体" w:eastAsia="宋体" w:cs="宋体"/>
              </w:rPr>
            </w:pPr>
            <w:r>
              <w:rPr>
                <w:rFonts w:hint="eastAsia" w:ascii="宋体" w:hAnsi="宋体" w:eastAsia="宋体" w:cs="宋体"/>
              </w:rPr>
              <w:t>支持Hadoop/Hive、星环inceptor等，支持大数据量的分布式计算</w:t>
            </w:r>
          </w:p>
        </w:tc>
      </w:tr>
      <w:tr>
        <w:tblPrEx>
          <w:tblCellMar>
            <w:top w:w="0" w:type="dxa"/>
            <w:left w:w="108" w:type="dxa"/>
            <w:bottom w:w="0" w:type="dxa"/>
            <w:right w:w="108" w:type="dxa"/>
          </w:tblCellMar>
        </w:tblPrEx>
        <w:trPr>
          <w:trHeight w:val="454" w:hRule="atLeast"/>
        </w:trPr>
        <w:tc>
          <w:tcPr>
            <w:tcW w:w="22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rPr>
            </w:pPr>
            <w:r>
              <w:rPr>
                <w:rFonts w:hint="eastAsia" w:ascii="宋体" w:hAnsi="宋体" w:eastAsia="宋体" w:cs="宋体"/>
              </w:rPr>
              <w:t>文件数据源支持</w:t>
            </w:r>
          </w:p>
        </w:tc>
        <w:tc>
          <w:tcPr>
            <w:tcW w:w="6764" w:type="dxa"/>
            <w:tcBorders>
              <w:top w:val="single" w:color="auto" w:sz="4" w:space="0"/>
              <w:left w:val="nil"/>
              <w:bottom w:val="single" w:color="auto" w:sz="4" w:space="0"/>
              <w:right w:val="single" w:color="auto" w:sz="4" w:space="0"/>
            </w:tcBorders>
            <w:noWrap w:val="0"/>
            <w:vAlign w:val="center"/>
          </w:tcPr>
          <w:p>
            <w:pPr>
              <w:widowControl/>
              <w:spacing w:line="360" w:lineRule="auto"/>
              <w:rPr>
                <w:rFonts w:ascii="宋体" w:hAnsi="宋体" w:eastAsia="宋体" w:cs="宋体"/>
              </w:rPr>
            </w:pPr>
            <w:r>
              <w:rPr>
                <w:rFonts w:hint="eastAsia" w:ascii="宋体" w:hAnsi="宋体" w:eastAsia="宋体" w:cs="宋体"/>
              </w:rPr>
              <w:t>可直接上传.xls .xlsx 或.csv 文件，并可读取其中的每个页签。</w:t>
            </w:r>
          </w:p>
        </w:tc>
      </w:tr>
      <w:tr>
        <w:tblPrEx>
          <w:tblCellMar>
            <w:top w:w="0" w:type="dxa"/>
            <w:left w:w="108" w:type="dxa"/>
            <w:bottom w:w="0" w:type="dxa"/>
            <w:right w:w="108" w:type="dxa"/>
          </w:tblCellMar>
        </w:tblPrEx>
        <w:trPr>
          <w:trHeight w:val="454" w:hRule="atLeast"/>
        </w:trPr>
        <w:tc>
          <w:tcPr>
            <w:tcW w:w="22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eastAsia="宋体" w:cs="宋体"/>
              </w:rPr>
            </w:pPr>
            <w:r>
              <w:rPr>
                <w:rFonts w:hint="eastAsia" w:ascii="宋体" w:hAnsi="宋体" w:eastAsia="宋体" w:cs="宋体"/>
              </w:rPr>
              <w:t>第三方数据接口</w:t>
            </w:r>
          </w:p>
        </w:tc>
        <w:tc>
          <w:tcPr>
            <w:tcW w:w="6764" w:type="dxa"/>
            <w:tcBorders>
              <w:top w:val="single" w:color="auto" w:sz="4" w:space="0"/>
              <w:left w:val="nil"/>
              <w:bottom w:val="single" w:color="auto" w:sz="4" w:space="0"/>
              <w:right w:val="single" w:color="auto" w:sz="4" w:space="0"/>
            </w:tcBorders>
            <w:noWrap w:val="0"/>
            <w:vAlign w:val="center"/>
          </w:tcPr>
          <w:p>
            <w:pPr>
              <w:widowControl/>
              <w:spacing w:line="360" w:lineRule="auto"/>
              <w:rPr>
                <w:rFonts w:ascii="宋体" w:hAnsi="宋体" w:eastAsia="宋体" w:cs="宋体"/>
              </w:rPr>
            </w:pPr>
            <w:r>
              <w:rPr>
                <w:rFonts w:hint="eastAsia" w:ascii="宋体" w:hAnsi="宋体" w:eastAsia="宋体" w:cs="宋体"/>
              </w:rPr>
              <w:t>提供第三方API接口的接入能力，预留接口适配层。支持实时数据接口。</w:t>
            </w:r>
          </w:p>
        </w:tc>
      </w:tr>
    </w:tbl>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系统提供数据建模功能，包括：图形化建模和SQL建模两种建模方式。（提供</w:t>
      </w:r>
      <w:r>
        <w:rPr>
          <w:rFonts w:hint="eastAsia" w:ascii="宋体" w:hAnsi="宋体" w:eastAsia="宋体" w:cs="宋体"/>
        </w:rPr>
        <w:t>系统</w:t>
      </w:r>
      <w:r>
        <w:rPr>
          <w:rFonts w:hint="eastAsia" w:ascii="宋体" w:hAnsi="宋体" w:eastAsia="宋体" w:cs="宋体"/>
          <w:sz w:val="24"/>
          <w:szCs w:val="24"/>
        </w:rPr>
        <w:t>截图证明。）</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系统提供可视化编辑功能，包括；可视化编排、静态和动态页面背景（不少于20种）、静态和动态的边框组件（不少于20种）、动态3D装饰组件（不少于15种）、图表组件库（不少于120个，图表组件平均提供50多项不同的参数设置）、基于组件和事件机制实现可视化页面交互功能，用户只需要通过简单的拖拽和参数配置。（提供</w:t>
      </w:r>
      <w:r>
        <w:rPr>
          <w:rFonts w:hint="eastAsia" w:ascii="宋体" w:hAnsi="宋体" w:eastAsia="宋体" w:cs="宋体"/>
        </w:rPr>
        <w:t>系统</w:t>
      </w:r>
      <w:r>
        <w:rPr>
          <w:rFonts w:hint="eastAsia" w:ascii="宋体" w:hAnsi="宋体" w:eastAsia="宋体" w:cs="宋体"/>
          <w:sz w:val="24"/>
          <w:szCs w:val="24"/>
        </w:rPr>
        <w:t>截图证明。）</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系统提供数据分析功能，包括：数据聚合与计算、自定义计算度量、拖拽式自由分析、多层钻取、灵活组合过滤、数据分析算法等功能。（提供</w:t>
      </w:r>
      <w:r>
        <w:rPr>
          <w:rFonts w:hint="eastAsia" w:ascii="宋体" w:hAnsi="宋体" w:eastAsia="宋体" w:cs="宋体"/>
        </w:rPr>
        <w:t>系统</w:t>
      </w:r>
      <w:r>
        <w:rPr>
          <w:rFonts w:hint="eastAsia" w:ascii="宋体" w:hAnsi="宋体" w:eastAsia="宋体" w:cs="宋体"/>
          <w:sz w:val="24"/>
          <w:szCs w:val="24"/>
        </w:rPr>
        <w:t>截图证明。）</w:t>
      </w:r>
    </w:p>
    <w:p>
      <w:pPr>
        <w:numPr>
          <w:ilvl w:val="0"/>
          <w:numId w:val="0"/>
        </w:num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系统需要提供较好的安全策略，保证系统服务的安全性。</w:t>
      </w:r>
      <w:bookmarkStart w:id="50" w:name="_Toc72400841"/>
      <w:bookmarkStart w:id="51" w:name="_Toc72764429"/>
    </w:p>
    <w:p>
      <w:pPr>
        <w:pStyle w:val="7"/>
        <w:numPr>
          <w:ilvl w:val="3"/>
          <w:numId w:val="0"/>
        </w:numPr>
        <w:rPr>
          <w:rFonts w:hint="default" w:ascii="宋体" w:hAnsi="宋体" w:eastAsia="宋体" w:cs="宋体"/>
          <w:b/>
          <w:bCs w:val="0"/>
          <w:szCs w:val="24"/>
          <w:lang w:val="en-US" w:eastAsia="zh-CN"/>
        </w:rPr>
      </w:pPr>
      <w:r>
        <w:rPr>
          <w:rFonts w:hint="eastAsia" w:ascii="宋体" w:hAnsi="宋体" w:cs="宋体"/>
          <w:b/>
          <w:bCs w:val="0"/>
          <w:szCs w:val="24"/>
          <w:lang w:val="en-US" w:eastAsia="zh-CN"/>
        </w:rPr>
        <w:t>6、</w:t>
      </w:r>
      <w:r>
        <w:rPr>
          <w:rFonts w:hint="eastAsia" w:ascii="宋体" w:hAnsi="宋体" w:eastAsia="宋体" w:cs="宋体"/>
          <w:b/>
          <w:bCs w:val="0"/>
          <w:szCs w:val="24"/>
          <w:lang w:val="en-US" w:eastAsia="zh-CN"/>
        </w:rPr>
        <w:t>等保测评</w:t>
      </w:r>
      <w:r>
        <w:rPr>
          <w:rFonts w:hint="eastAsia" w:ascii="宋体" w:hAnsi="宋体" w:cs="宋体"/>
          <w:b/>
          <w:bCs w:val="0"/>
          <w:szCs w:val="24"/>
          <w:lang w:val="en-US" w:eastAsia="zh-CN"/>
        </w:rPr>
        <w:t>要求</w:t>
      </w:r>
    </w:p>
    <w:p>
      <w:pPr>
        <w:pStyle w:val="8"/>
        <w:numPr>
          <w:ilvl w:val="4"/>
          <w:numId w:val="0"/>
        </w:numPr>
        <w:rPr>
          <w:rFonts w:hint="eastAsia" w:ascii="宋体" w:hAnsi="宋体" w:eastAsia="宋体" w:cs="宋体"/>
          <w:lang w:eastAsia="zh-CN"/>
        </w:rPr>
      </w:pPr>
      <w:r>
        <w:rPr>
          <w:rFonts w:hint="eastAsia" w:ascii="宋体" w:hAnsi="宋体" w:eastAsia="宋体" w:cs="宋体"/>
          <w:lang w:val="en-US" w:eastAsia="zh-CN"/>
        </w:rPr>
        <w:t>6.1</w:t>
      </w:r>
      <w:r>
        <w:rPr>
          <w:rFonts w:hint="eastAsia" w:cs="宋体"/>
          <w:lang w:val="en-US" w:eastAsia="zh-CN"/>
        </w:rPr>
        <w:t>测评内容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信息系统安全等级，选择与之相对应的标准条款，对信息系统所涉及的网络设备、安全设备、主机操作系统、应用软件、数据库系统、物理机房基础设施及信息系统安全管理制度和信息系统运维环境进行测评，形成各信息系统等级测评报告和整改建议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关于本项目具体测评内容如下表：</w:t>
      </w:r>
    </w:p>
    <w:tbl>
      <w:tblPr>
        <w:tblStyle w:val="19"/>
        <w:tblW w:w="909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906"/>
        <w:gridCol w:w="635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blHeader/>
          <w:jc w:val="center"/>
        </w:trPr>
        <w:tc>
          <w:tcPr>
            <w:tcW w:w="833" w:type="dxa"/>
            <w:tcBorders>
              <w:top w:val="double" w:color="auto" w:sz="4" w:space="0"/>
              <w:left w:val="double" w:color="auto" w:sz="4" w:space="0"/>
              <w:bottom w:val="single" w:color="auto" w:sz="4" w:space="0"/>
              <w:right w:val="single" w:color="auto" w:sz="4" w:space="0"/>
            </w:tcBorders>
            <w:shd w:val="clear" w:color="auto" w:fill="auto"/>
            <w:vAlign w:val="center"/>
          </w:tcPr>
          <w:p>
            <w:pPr>
              <w:spacing w:line="360" w:lineRule="auto"/>
              <w:jc w:val="center"/>
              <w:rPr>
                <w:b/>
                <w:bCs/>
              </w:rPr>
            </w:pPr>
            <w:r>
              <w:rPr>
                <w:rFonts w:hint="eastAsia"/>
                <w:b/>
                <w:bCs/>
              </w:rPr>
              <w:t>序号</w:t>
            </w:r>
          </w:p>
        </w:tc>
        <w:tc>
          <w:tcPr>
            <w:tcW w:w="1906" w:type="dxa"/>
            <w:tcBorders>
              <w:top w:val="doub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b/>
                <w:bCs/>
              </w:rPr>
            </w:pPr>
            <w:r>
              <w:rPr>
                <w:rFonts w:hint="eastAsia"/>
                <w:b/>
                <w:bCs/>
              </w:rPr>
              <w:t>测评单元</w:t>
            </w:r>
          </w:p>
        </w:tc>
        <w:tc>
          <w:tcPr>
            <w:tcW w:w="6358" w:type="dxa"/>
            <w:tcBorders>
              <w:top w:val="double" w:color="auto" w:sz="4" w:space="0"/>
              <w:left w:val="single" w:color="auto" w:sz="4" w:space="0"/>
              <w:bottom w:val="single" w:color="auto" w:sz="4" w:space="0"/>
              <w:right w:val="double" w:color="auto" w:sz="4" w:space="0"/>
            </w:tcBorders>
            <w:shd w:val="clear" w:color="auto" w:fill="auto"/>
            <w:vAlign w:val="center"/>
          </w:tcPr>
          <w:p>
            <w:pPr>
              <w:spacing w:line="360" w:lineRule="auto"/>
              <w:jc w:val="center"/>
              <w:rPr>
                <w:b/>
                <w:bCs/>
              </w:rPr>
            </w:pPr>
            <w:r>
              <w:rPr>
                <w:rFonts w:hint="eastAsia"/>
                <w:b/>
                <w:bCs/>
              </w:rPr>
              <w:t>测评项概述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tcBorders>
              <w:top w:val="single" w:color="auto" w:sz="4" w:space="0"/>
              <w:left w:val="double" w:color="auto" w:sz="4" w:space="0"/>
              <w:bottom w:val="single" w:color="auto" w:sz="4" w:space="0"/>
              <w:right w:val="single" w:color="auto" w:sz="4" w:space="0"/>
            </w:tcBorders>
            <w:shd w:val="clear" w:color="auto" w:fill="auto"/>
            <w:vAlign w:val="center"/>
          </w:tcPr>
          <w:p>
            <w:pPr>
              <w:spacing w:line="360" w:lineRule="auto"/>
              <w:jc w:val="center"/>
            </w:pPr>
            <w:r>
              <w:t>1</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pPr>
            <w:r>
              <w:rPr>
                <w:rFonts w:hint="eastAsia"/>
              </w:rPr>
              <w:t>安全物理环境</w:t>
            </w:r>
          </w:p>
        </w:tc>
        <w:tc>
          <w:tcPr>
            <w:tcW w:w="6358" w:type="dxa"/>
            <w:tcBorders>
              <w:top w:val="single" w:color="auto" w:sz="4" w:space="0"/>
              <w:left w:val="single" w:color="auto" w:sz="4" w:space="0"/>
              <w:bottom w:val="single" w:color="auto" w:sz="4" w:space="0"/>
              <w:right w:val="double" w:color="auto" w:sz="4" w:space="0"/>
            </w:tcBorders>
            <w:shd w:val="clear" w:color="auto" w:fill="auto"/>
            <w:vAlign w:val="center"/>
          </w:tcPr>
          <w:p>
            <w:pPr>
              <w:spacing w:line="360" w:lineRule="auto"/>
            </w:pPr>
            <w:r>
              <w:rPr>
                <w:rFonts w:hint="eastAsia"/>
              </w:rPr>
              <w:t>主要对象为物理环境、物理设备和物理设施等，涉及的安全控制点包括物理位置选择、物理访问控制、防盗窃和防破坏、防雷击、防火、防水和防潮、防静电、温湿度控制、电力供应和电磁防护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833" w:type="dxa"/>
            <w:tcBorders>
              <w:top w:val="single" w:color="auto" w:sz="4" w:space="0"/>
              <w:left w:val="double" w:color="auto" w:sz="4" w:space="0"/>
              <w:bottom w:val="single" w:color="auto" w:sz="4" w:space="0"/>
              <w:right w:val="single" w:color="auto" w:sz="4" w:space="0"/>
            </w:tcBorders>
            <w:shd w:val="clear" w:color="auto" w:fill="auto"/>
            <w:vAlign w:val="center"/>
          </w:tcPr>
          <w:p>
            <w:pPr>
              <w:spacing w:line="360" w:lineRule="auto"/>
              <w:jc w:val="center"/>
            </w:pPr>
            <w:r>
              <w:t>2</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pPr>
            <w:r>
              <w:rPr>
                <w:rFonts w:hint="eastAsia"/>
              </w:rPr>
              <w:t>安全通信网络</w:t>
            </w:r>
          </w:p>
        </w:tc>
        <w:tc>
          <w:tcPr>
            <w:tcW w:w="6358" w:type="dxa"/>
            <w:tcBorders>
              <w:top w:val="single" w:color="auto" w:sz="4" w:space="0"/>
              <w:left w:val="single" w:color="auto" w:sz="4" w:space="0"/>
              <w:bottom w:val="single" w:color="auto" w:sz="4" w:space="0"/>
              <w:right w:val="double" w:color="auto" w:sz="4" w:space="0"/>
            </w:tcBorders>
            <w:shd w:val="clear" w:color="auto" w:fill="auto"/>
            <w:vAlign w:val="center"/>
          </w:tcPr>
          <w:p>
            <w:pPr>
              <w:spacing w:line="360" w:lineRule="auto"/>
            </w:pPr>
            <w:r>
              <w:rPr>
                <w:rFonts w:hint="eastAsia"/>
              </w:rPr>
              <w:t>主要对象为广域网、城域网和局域网等，涉及安全控制点包括网络架构、通信传输和可信验证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tcBorders>
              <w:top w:val="single" w:color="auto" w:sz="4" w:space="0"/>
              <w:left w:val="double" w:color="auto" w:sz="4" w:space="0"/>
              <w:bottom w:val="single" w:color="auto" w:sz="4" w:space="0"/>
              <w:right w:val="single" w:color="auto" w:sz="4" w:space="0"/>
            </w:tcBorders>
            <w:shd w:val="clear" w:color="auto" w:fill="auto"/>
            <w:vAlign w:val="center"/>
          </w:tcPr>
          <w:p>
            <w:pPr>
              <w:spacing w:line="360" w:lineRule="auto"/>
              <w:jc w:val="center"/>
            </w:pPr>
            <w:r>
              <w:t>3</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pPr>
            <w:r>
              <w:rPr>
                <w:rFonts w:hint="eastAsia"/>
              </w:rPr>
              <w:t>安全区域边界</w:t>
            </w:r>
          </w:p>
        </w:tc>
        <w:tc>
          <w:tcPr>
            <w:tcW w:w="6358" w:type="dxa"/>
            <w:tcBorders>
              <w:top w:val="single" w:color="auto" w:sz="4" w:space="0"/>
              <w:left w:val="single" w:color="auto" w:sz="4" w:space="0"/>
              <w:bottom w:val="single" w:color="auto" w:sz="4" w:space="0"/>
              <w:right w:val="double" w:color="auto" w:sz="4" w:space="0"/>
            </w:tcBorders>
            <w:shd w:val="clear" w:color="auto" w:fill="auto"/>
            <w:vAlign w:val="center"/>
          </w:tcPr>
          <w:p>
            <w:pPr>
              <w:spacing w:line="360" w:lineRule="auto"/>
            </w:pPr>
            <w:r>
              <w:rPr>
                <w:rFonts w:hint="eastAsia"/>
              </w:rPr>
              <w:t>主要对象为系统边界和区域边界等，涉及的安全控制点包括边界防护、访问控制、入侵防范、恶意代码防范、安全审计和可信验证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tcBorders>
              <w:top w:val="single" w:color="auto" w:sz="4" w:space="0"/>
              <w:left w:val="double" w:color="auto" w:sz="4" w:space="0"/>
              <w:bottom w:val="single" w:color="auto" w:sz="4" w:space="0"/>
              <w:right w:val="single" w:color="auto" w:sz="4" w:space="0"/>
            </w:tcBorders>
            <w:shd w:val="clear" w:color="auto" w:fill="auto"/>
            <w:vAlign w:val="center"/>
          </w:tcPr>
          <w:p>
            <w:pPr>
              <w:spacing w:line="360" w:lineRule="auto"/>
              <w:jc w:val="center"/>
            </w:pPr>
            <w:r>
              <w:t>4</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pPr>
            <w:r>
              <w:rPr>
                <w:rFonts w:hint="eastAsia"/>
              </w:rPr>
              <w:t>安全计算环境</w:t>
            </w:r>
          </w:p>
        </w:tc>
        <w:tc>
          <w:tcPr>
            <w:tcW w:w="6358" w:type="dxa"/>
            <w:tcBorders>
              <w:top w:val="single" w:color="auto" w:sz="4" w:space="0"/>
              <w:left w:val="single" w:color="auto" w:sz="4" w:space="0"/>
              <w:bottom w:val="single" w:color="auto" w:sz="4" w:space="0"/>
              <w:right w:val="double" w:color="auto" w:sz="4" w:space="0"/>
            </w:tcBorders>
            <w:shd w:val="clear" w:color="auto" w:fill="auto"/>
            <w:vAlign w:val="center"/>
          </w:tcPr>
          <w:p>
            <w:pPr>
              <w:spacing w:line="360" w:lineRule="auto"/>
            </w:pPr>
            <w:r>
              <w:rPr>
                <w:rFonts w:hint="eastAsia"/>
              </w:rPr>
              <w:t>主要对象为边界内部的所有对象，包括网络设备、安全设备、服务器设备、终端设备、应用系统、数据对象和其他设备等，涉及的安全控制点包括身份鉴别、访问控制、安全审计、入侵防范、恶意代码防范、可信验证、数据完整性、数据保密性、数据备份与恢复、剩余信息保护和个人信息保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33" w:type="dxa"/>
            <w:tcBorders>
              <w:top w:val="single" w:color="auto" w:sz="4" w:space="0"/>
              <w:left w:val="double" w:color="auto" w:sz="4" w:space="0"/>
              <w:bottom w:val="single" w:color="auto" w:sz="4" w:space="0"/>
              <w:right w:val="single" w:color="auto" w:sz="4" w:space="0"/>
            </w:tcBorders>
            <w:shd w:val="clear" w:color="auto" w:fill="auto"/>
            <w:vAlign w:val="center"/>
          </w:tcPr>
          <w:p>
            <w:pPr>
              <w:spacing w:line="360" w:lineRule="auto"/>
              <w:jc w:val="center"/>
            </w:pPr>
            <w:r>
              <w:t>5</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pPr>
            <w:r>
              <w:rPr>
                <w:rFonts w:hint="eastAsia"/>
              </w:rPr>
              <w:t>安全管理中心</w:t>
            </w:r>
          </w:p>
        </w:tc>
        <w:tc>
          <w:tcPr>
            <w:tcW w:w="6358" w:type="dxa"/>
            <w:tcBorders>
              <w:top w:val="single" w:color="auto" w:sz="4" w:space="0"/>
              <w:left w:val="single" w:color="auto" w:sz="4" w:space="0"/>
              <w:bottom w:val="single" w:color="auto" w:sz="4" w:space="0"/>
              <w:right w:val="double" w:color="auto" w:sz="4" w:space="0"/>
            </w:tcBorders>
            <w:shd w:val="clear" w:color="auto" w:fill="auto"/>
            <w:vAlign w:val="center"/>
          </w:tcPr>
          <w:p>
            <w:pPr>
              <w:spacing w:line="360" w:lineRule="auto"/>
            </w:pPr>
            <w:r>
              <w:rPr>
                <w:rFonts w:hint="eastAsia"/>
              </w:rPr>
              <w:t>通过技术手段实现集中管理，涉及的安全控制点包括系统管理、审计管理、安全管理和集中管控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tcBorders>
              <w:top w:val="single" w:color="auto" w:sz="4" w:space="0"/>
              <w:left w:val="double" w:color="auto" w:sz="4" w:space="0"/>
              <w:bottom w:val="single" w:color="auto" w:sz="4" w:space="0"/>
              <w:right w:val="single" w:color="auto" w:sz="4" w:space="0"/>
            </w:tcBorders>
            <w:shd w:val="clear" w:color="auto" w:fill="auto"/>
            <w:vAlign w:val="center"/>
          </w:tcPr>
          <w:p>
            <w:pPr>
              <w:spacing w:line="360" w:lineRule="auto"/>
              <w:jc w:val="center"/>
            </w:pPr>
            <w:r>
              <w:t>6</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pPr>
            <w:r>
              <w:rPr>
                <w:rFonts w:hint="eastAsia"/>
              </w:rPr>
              <w:t>安全管理制度</w:t>
            </w:r>
          </w:p>
        </w:tc>
        <w:tc>
          <w:tcPr>
            <w:tcW w:w="6358" w:type="dxa"/>
            <w:tcBorders>
              <w:top w:val="single" w:color="auto" w:sz="4" w:space="0"/>
              <w:left w:val="single" w:color="auto" w:sz="4" w:space="0"/>
              <w:bottom w:val="single" w:color="auto" w:sz="4" w:space="0"/>
              <w:right w:val="double" w:color="auto" w:sz="4" w:space="0"/>
            </w:tcBorders>
            <w:shd w:val="clear" w:color="auto" w:fill="auto"/>
            <w:vAlign w:val="center"/>
          </w:tcPr>
          <w:p>
            <w:pPr>
              <w:spacing w:line="360" w:lineRule="auto"/>
            </w:pPr>
            <w:r>
              <w:rPr>
                <w:rFonts w:hint="eastAsia"/>
              </w:rPr>
              <w:t>对信息系统的安全策略、管理制度、制定和发布以及评审和修订等情况进行测评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tcBorders>
              <w:top w:val="single" w:color="auto" w:sz="4" w:space="0"/>
              <w:left w:val="double" w:color="auto" w:sz="4" w:space="0"/>
              <w:bottom w:val="single" w:color="auto" w:sz="4" w:space="0"/>
              <w:right w:val="single" w:color="auto" w:sz="4" w:space="0"/>
            </w:tcBorders>
            <w:shd w:val="clear" w:color="auto" w:fill="auto"/>
            <w:vAlign w:val="center"/>
          </w:tcPr>
          <w:p>
            <w:pPr>
              <w:spacing w:line="360" w:lineRule="auto"/>
              <w:jc w:val="center"/>
            </w:pPr>
            <w:r>
              <w:t>7</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pPr>
            <w:r>
              <w:rPr>
                <w:rFonts w:hint="eastAsia"/>
              </w:rPr>
              <w:t>安全管理机构</w:t>
            </w:r>
          </w:p>
        </w:tc>
        <w:tc>
          <w:tcPr>
            <w:tcW w:w="6358" w:type="dxa"/>
            <w:tcBorders>
              <w:top w:val="single" w:color="auto" w:sz="4" w:space="0"/>
              <w:left w:val="single" w:color="auto" w:sz="4" w:space="0"/>
              <w:bottom w:val="single" w:color="auto" w:sz="4" w:space="0"/>
              <w:right w:val="double" w:color="auto" w:sz="4" w:space="0"/>
            </w:tcBorders>
            <w:shd w:val="clear" w:color="auto" w:fill="auto"/>
            <w:vAlign w:val="center"/>
          </w:tcPr>
          <w:p>
            <w:pPr>
              <w:spacing w:line="360" w:lineRule="auto"/>
            </w:pPr>
            <w:r>
              <w:rPr>
                <w:rFonts w:hint="eastAsia"/>
              </w:rPr>
              <w:t>对信息系统的岗位设置、人员配备、授权和审批、沟通和合作以及审核和检查等情况进行测评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tcBorders>
              <w:top w:val="single" w:color="auto" w:sz="4" w:space="0"/>
              <w:left w:val="double" w:color="auto" w:sz="4" w:space="0"/>
              <w:bottom w:val="single" w:color="auto" w:sz="4" w:space="0"/>
              <w:right w:val="single" w:color="auto" w:sz="4" w:space="0"/>
            </w:tcBorders>
            <w:shd w:val="clear" w:color="auto" w:fill="auto"/>
            <w:vAlign w:val="center"/>
          </w:tcPr>
          <w:p>
            <w:pPr>
              <w:spacing w:line="360" w:lineRule="auto"/>
              <w:jc w:val="center"/>
            </w:pPr>
            <w:r>
              <w:t>8</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pPr>
            <w:r>
              <w:rPr>
                <w:rFonts w:hint="eastAsia"/>
              </w:rPr>
              <w:t>安全管理人员</w:t>
            </w:r>
          </w:p>
        </w:tc>
        <w:tc>
          <w:tcPr>
            <w:tcW w:w="6358" w:type="dxa"/>
            <w:tcBorders>
              <w:top w:val="single" w:color="auto" w:sz="4" w:space="0"/>
              <w:left w:val="single" w:color="auto" w:sz="4" w:space="0"/>
              <w:bottom w:val="single" w:color="auto" w:sz="4" w:space="0"/>
              <w:right w:val="double" w:color="auto" w:sz="4" w:space="0"/>
            </w:tcBorders>
            <w:shd w:val="clear" w:color="auto" w:fill="auto"/>
            <w:vAlign w:val="center"/>
          </w:tcPr>
          <w:p>
            <w:pPr>
              <w:spacing w:line="360" w:lineRule="auto"/>
            </w:pPr>
            <w:r>
              <w:rPr>
                <w:rFonts w:hint="eastAsia"/>
              </w:rPr>
              <w:t>对相关内部人员的人员录用、人员离岗、安全意识教育和培训以及外部人员访问管理等情况进行测评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tcBorders>
              <w:top w:val="single" w:color="auto" w:sz="4" w:space="0"/>
              <w:left w:val="double" w:color="auto" w:sz="4" w:space="0"/>
              <w:bottom w:val="single" w:color="auto" w:sz="4" w:space="0"/>
              <w:right w:val="single" w:color="auto" w:sz="4" w:space="0"/>
            </w:tcBorders>
            <w:shd w:val="clear" w:color="auto" w:fill="auto"/>
            <w:vAlign w:val="center"/>
          </w:tcPr>
          <w:p>
            <w:pPr>
              <w:spacing w:line="360" w:lineRule="auto"/>
              <w:jc w:val="center"/>
            </w:pPr>
            <w:r>
              <w:t>9</w:t>
            </w:r>
          </w:p>
        </w:tc>
        <w:tc>
          <w:tcPr>
            <w:tcW w:w="190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pPr>
            <w:r>
              <w:rPr>
                <w:rFonts w:hint="eastAsia"/>
              </w:rPr>
              <w:t>安全建设管理</w:t>
            </w:r>
          </w:p>
        </w:tc>
        <w:tc>
          <w:tcPr>
            <w:tcW w:w="6358" w:type="dxa"/>
            <w:tcBorders>
              <w:top w:val="single" w:color="auto" w:sz="4" w:space="0"/>
              <w:left w:val="single" w:color="auto" w:sz="4" w:space="0"/>
              <w:bottom w:val="single" w:color="auto" w:sz="4" w:space="0"/>
              <w:right w:val="double" w:color="auto" w:sz="4" w:space="0"/>
            </w:tcBorders>
            <w:shd w:val="clear" w:color="auto" w:fill="auto"/>
            <w:vAlign w:val="center"/>
          </w:tcPr>
          <w:p>
            <w:pPr>
              <w:spacing w:line="360" w:lineRule="auto"/>
            </w:pPr>
            <w:r>
              <w:rPr>
                <w:rFonts w:hint="eastAsia"/>
              </w:rPr>
              <w:t>对信息系统建设过程中的定级和备案、安全方案设计、安全产品采购和使用、自主软件开发、外包软件开发、工程实施、测试验收、系统交付、等级测评和服务供应商管理等情况进行测评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tcBorders>
              <w:top w:val="single" w:color="auto" w:sz="4" w:space="0"/>
              <w:left w:val="double" w:color="auto" w:sz="4" w:space="0"/>
              <w:bottom w:val="double" w:color="auto" w:sz="4" w:space="0"/>
              <w:right w:val="single" w:color="auto" w:sz="4" w:space="0"/>
            </w:tcBorders>
            <w:shd w:val="clear" w:color="auto" w:fill="auto"/>
            <w:vAlign w:val="center"/>
          </w:tcPr>
          <w:p>
            <w:pPr>
              <w:spacing w:line="360" w:lineRule="auto"/>
              <w:jc w:val="center"/>
            </w:pPr>
            <w:r>
              <w:t>10</w:t>
            </w:r>
          </w:p>
        </w:tc>
        <w:tc>
          <w:tcPr>
            <w:tcW w:w="1906" w:type="dxa"/>
            <w:tcBorders>
              <w:top w:val="single" w:color="auto" w:sz="4" w:space="0"/>
              <w:left w:val="single" w:color="auto" w:sz="4" w:space="0"/>
              <w:bottom w:val="double" w:color="auto" w:sz="4" w:space="0"/>
              <w:right w:val="single" w:color="auto" w:sz="4" w:space="0"/>
            </w:tcBorders>
            <w:shd w:val="clear" w:color="auto" w:fill="auto"/>
            <w:vAlign w:val="center"/>
          </w:tcPr>
          <w:p>
            <w:pPr>
              <w:spacing w:line="360" w:lineRule="auto"/>
              <w:jc w:val="center"/>
            </w:pPr>
            <w:r>
              <w:rPr>
                <w:rFonts w:hint="eastAsia"/>
              </w:rPr>
              <w:t>安全运维管理</w:t>
            </w:r>
          </w:p>
        </w:tc>
        <w:tc>
          <w:tcPr>
            <w:tcW w:w="6358" w:type="dxa"/>
            <w:tcBorders>
              <w:top w:val="single" w:color="auto" w:sz="4" w:space="0"/>
              <w:left w:val="single" w:color="auto" w:sz="4" w:space="0"/>
              <w:bottom w:val="double" w:color="auto" w:sz="4" w:space="0"/>
              <w:right w:val="double" w:color="auto" w:sz="4" w:space="0"/>
            </w:tcBorders>
            <w:shd w:val="clear" w:color="auto" w:fill="auto"/>
            <w:vAlign w:val="center"/>
          </w:tcPr>
          <w:p>
            <w:pPr>
              <w:spacing w:line="360" w:lineRule="auto"/>
            </w:pPr>
            <w:r>
              <w:rPr>
                <w:rFonts w:hint="eastAsia"/>
              </w:rPr>
              <w:t>对信息系统运行维护过程中的环境管理、资产管理、介质管理、设备维护管理、漏洞和风险管理、网络和系统安全管理、恶意代码防范管理、配置管理、密码管理、变更管理、备份与恢复管理、安全事件处置、应急预案管理和外包运维管理等情况进行测评</w:t>
            </w:r>
          </w:p>
        </w:tc>
      </w:tr>
    </w:tbl>
    <w:p>
      <w:pPr>
        <w:numPr>
          <w:ilvl w:val="0"/>
          <w:numId w:val="0"/>
        </w:numPr>
        <w:rPr>
          <w:rFonts w:hint="default"/>
          <w:lang w:val="en-US"/>
        </w:rPr>
      </w:pPr>
    </w:p>
    <w:p>
      <w:pPr>
        <w:pStyle w:val="8"/>
        <w:numPr>
          <w:ilvl w:val="4"/>
          <w:numId w:val="0"/>
        </w:numPr>
        <w:rPr>
          <w:rFonts w:hint="eastAsia" w:cs="宋体"/>
          <w:lang w:val="en-US" w:eastAsia="zh-CN"/>
        </w:rPr>
      </w:pPr>
      <w:r>
        <w:rPr>
          <w:rFonts w:hint="eastAsia" w:ascii="宋体" w:hAnsi="宋体" w:eastAsia="宋体" w:cs="宋体"/>
          <w:lang w:val="en-US" w:eastAsia="zh-CN"/>
        </w:rPr>
        <w:t>6.</w:t>
      </w:r>
      <w:r>
        <w:rPr>
          <w:rFonts w:hint="eastAsia" w:cs="宋体"/>
          <w:lang w:val="en-US" w:eastAsia="zh-CN"/>
        </w:rPr>
        <w:t>2测评周期</w:t>
      </w:r>
    </w:p>
    <w:p>
      <w:pPr>
        <w:ind w:firstLine="480"/>
        <w:rPr>
          <w:rFonts w:hint="eastAsia" w:eastAsia="宋体"/>
          <w:lang w:eastAsia="zh-CN"/>
        </w:rPr>
      </w:pPr>
      <w:r>
        <w:rPr>
          <w:rFonts w:hint="eastAsia"/>
        </w:rPr>
        <w:t>以下是单个项目测评的工作周期安排</w:t>
      </w:r>
      <w:r>
        <w:rPr>
          <w:rFonts w:hint="eastAsia"/>
          <w:lang w:eastAsia="zh-CN"/>
        </w:rPr>
        <w:t>：</w:t>
      </w:r>
    </w:p>
    <w:tbl>
      <w:tblPr>
        <w:tblStyle w:val="19"/>
        <w:tblW w:w="878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7"/>
        <w:gridCol w:w="1094"/>
        <w:gridCol w:w="1950"/>
        <w:gridCol w:w="1125"/>
        <w:gridCol w:w="1170"/>
        <w:gridCol w:w="24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jc w:val="center"/>
        </w:trPr>
        <w:tc>
          <w:tcPr>
            <w:tcW w:w="952" w:type="dxa"/>
            <w:gridSpan w:val="2"/>
            <w:tcBorders>
              <w:bottom w:val="single" w:color="auto" w:sz="4" w:space="0"/>
            </w:tcBorders>
            <w:shd w:val="clear" w:color="auto" w:fill="D9E2F3" w:themeFill="accent5" w:themeFillTint="33"/>
            <w:vAlign w:val="center"/>
          </w:tcPr>
          <w:p>
            <w:pPr>
              <w:spacing w:line="360" w:lineRule="auto"/>
              <w:jc w:val="center"/>
              <w:rPr>
                <w:b/>
                <w:bCs/>
              </w:rPr>
            </w:pPr>
            <w:r>
              <w:rPr>
                <w:rFonts w:hint="eastAsia"/>
                <w:b/>
                <w:bCs/>
              </w:rPr>
              <w:t>阶段</w:t>
            </w:r>
          </w:p>
        </w:tc>
        <w:tc>
          <w:tcPr>
            <w:tcW w:w="3044" w:type="dxa"/>
            <w:gridSpan w:val="2"/>
            <w:tcBorders>
              <w:bottom w:val="single" w:color="auto" w:sz="4" w:space="0"/>
            </w:tcBorders>
            <w:shd w:val="clear" w:color="auto" w:fill="D9E2F3" w:themeFill="accent5" w:themeFillTint="33"/>
            <w:vAlign w:val="center"/>
          </w:tcPr>
          <w:p>
            <w:pPr>
              <w:spacing w:line="360" w:lineRule="auto"/>
              <w:jc w:val="center"/>
              <w:rPr>
                <w:b/>
                <w:bCs/>
              </w:rPr>
            </w:pPr>
            <w:r>
              <w:rPr>
                <w:rFonts w:hint="eastAsia"/>
                <w:b/>
                <w:bCs/>
              </w:rPr>
              <w:t>阶段任务</w:t>
            </w:r>
          </w:p>
        </w:tc>
        <w:tc>
          <w:tcPr>
            <w:tcW w:w="1125" w:type="dxa"/>
            <w:tcBorders>
              <w:bottom w:val="single" w:color="auto" w:sz="4" w:space="0"/>
            </w:tcBorders>
            <w:shd w:val="clear" w:color="auto" w:fill="D9E2F3" w:themeFill="accent5" w:themeFillTint="33"/>
            <w:vAlign w:val="center"/>
          </w:tcPr>
          <w:p>
            <w:pPr>
              <w:spacing w:line="360" w:lineRule="auto"/>
              <w:jc w:val="center"/>
              <w:rPr>
                <w:b/>
                <w:bCs/>
              </w:rPr>
            </w:pPr>
            <w:r>
              <w:rPr>
                <w:rFonts w:hint="eastAsia"/>
                <w:b/>
                <w:bCs/>
              </w:rPr>
              <w:t>工作日</w:t>
            </w:r>
          </w:p>
        </w:tc>
        <w:tc>
          <w:tcPr>
            <w:tcW w:w="3667" w:type="dxa"/>
            <w:gridSpan w:val="2"/>
            <w:tcBorders>
              <w:bottom w:val="single" w:color="auto" w:sz="4" w:space="0"/>
            </w:tcBorders>
            <w:shd w:val="clear" w:color="auto" w:fill="D9E2F3" w:themeFill="accent5" w:themeFillTint="33"/>
            <w:vAlign w:val="center"/>
          </w:tcPr>
          <w:p>
            <w:pPr>
              <w:spacing w:line="360" w:lineRule="auto"/>
              <w:jc w:val="center"/>
              <w:rPr>
                <w:b/>
                <w:bCs/>
              </w:rPr>
            </w:pPr>
            <w:r>
              <w:rPr>
                <w:rFonts w:hint="eastAsia"/>
                <w:b/>
                <w:bCs/>
              </w:rPr>
              <w:t>主要工作任务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52" w:type="dxa"/>
            <w:gridSpan w:val="2"/>
            <w:vAlign w:val="center"/>
          </w:tcPr>
          <w:p>
            <w:pPr>
              <w:spacing w:line="360" w:lineRule="auto"/>
              <w:jc w:val="center"/>
            </w:pPr>
            <w:r>
              <w:rPr>
                <w:rFonts w:hint="eastAsia"/>
              </w:rPr>
              <w:t>测评准备</w:t>
            </w:r>
          </w:p>
        </w:tc>
        <w:tc>
          <w:tcPr>
            <w:tcW w:w="3044" w:type="dxa"/>
            <w:gridSpan w:val="2"/>
            <w:vAlign w:val="center"/>
          </w:tcPr>
          <w:p>
            <w:pPr>
              <w:spacing w:line="360" w:lineRule="auto"/>
              <w:jc w:val="center"/>
            </w:pPr>
            <w:r>
              <w:rPr>
                <w:rFonts w:hint="eastAsia"/>
              </w:rPr>
              <w:t>测评方案的制定</w:t>
            </w:r>
          </w:p>
        </w:tc>
        <w:tc>
          <w:tcPr>
            <w:tcW w:w="1125" w:type="dxa"/>
            <w:vAlign w:val="center"/>
          </w:tcPr>
          <w:p>
            <w:pPr>
              <w:spacing w:line="360" w:lineRule="auto"/>
              <w:jc w:val="center"/>
            </w:pPr>
            <w:r>
              <w:rPr>
                <w:rFonts w:hint="eastAsia"/>
              </w:rPr>
              <w:t>3天</w:t>
            </w:r>
          </w:p>
        </w:tc>
        <w:tc>
          <w:tcPr>
            <w:tcW w:w="3667" w:type="dxa"/>
            <w:gridSpan w:val="2"/>
            <w:vAlign w:val="center"/>
          </w:tcPr>
          <w:p>
            <w:pPr>
              <w:spacing w:line="360" w:lineRule="auto"/>
              <w:jc w:val="center"/>
            </w:pPr>
            <w:r>
              <w:rPr>
                <w:rFonts w:hint="eastAsia"/>
              </w:rPr>
              <w:t>编制测评方案，确认测评方案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46" w:type="dxa"/>
            <w:gridSpan w:val="3"/>
            <w:shd w:val="clear" w:color="auto" w:fill="D9E2F3" w:themeFill="accent5" w:themeFillTint="33"/>
            <w:vAlign w:val="center"/>
          </w:tcPr>
          <w:p>
            <w:pPr>
              <w:spacing w:line="360" w:lineRule="auto"/>
              <w:jc w:val="center"/>
            </w:pPr>
            <w:r>
              <w:rPr>
                <w:rFonts w:hint="eastAsia"/>
              </w:rPr>
              <w:t>阶段时间总计：</w:t>
            </w:r>
          </w:p>
        </w:tc>
        <w:tc>
          <w:tcPr>
            <w:tcW w:w="1950" w:type="dxa"/>
            <w:vAlign w:val="center"/>
          </w:tcPr>
          <w:p>
            <w:pPr>
              <w:spacing w:line="360" w:lineRule="auto"/>
              <w:jc w:val="center"/>
            </w:pPr>
            <w:r>
              <w:rPr>
                <w:rFonts w:hint="eastAsia"/>
              </w:rPr>
              <w:t>3（工作日）</w:t>
            </w:r>
          </w:p>
        </w:tc>
        <w:tc>
          <w:tcPr>
            <w:tcW w:w="2295" w:type="dxa"/>
            <w:gridSpan w:val="2"/>
            <w:shd w:val="clear" w:color="auto" w:fill="D9E2F3" w:themeFill="accent5" w:themeFillTint="33"/>
            <w:vAlign w:val="center"/>
          </w:tcPr>
          <w:p>
            <w:pPr>
              <w:spacing w:line="360" w:lineRule="auto"/>
              <w:jc w:val="center"/>
            </w:pPr>
            <w:r>
              <w:rPr>
                <w:rFonts w:hint="eastAsia"/>
              </w:rPr>
              <w:t>现场实施总计：</w:t>
            </w:r>
          </w:p>
        </w:tc>
        <w:tc>
          <w:tcPr>
            <w:tcW w:w="2497" w:type="dxa"/>
            <w:vAlign w:val="center"/>
          </w:tcPr>
          <w:p>
            <w:pPr>
              <w:spacing w:line="360" w:lineRule="auto"/>
              <w:jc w:val="center"/>
            </w:pPr>
            <w:r>
              <w:rPr>
                <w:rFonts w:hint="eastAsia"/>
              </w:rPr>
              <w:t>0.5（工作日）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45" w:type="dxa"/>
            <w:tcBorders>
              <w:bottom w:val="single" w:color="auto" w:sz="4" w:space="0"/>
            </w:tcBorders>
            <w:shd w:val="clear" w:color="auto" w:fill="FFFFFF" w:themeFill="background1"/>
            <w:vAlign w:val="center"/>
          </w:tcPr>
          <w:p>
            <w:pPr>
              <w:spacing w:line="360" w:lineRule="auto"/>
              <w:jc w:val="center"/>
            </w:pPr>
            <w:r>
              <w:rPr>
                <w:rFonts w:hint="eastAsia"/>
              </w:rPr>
              <w:t>系统定级备案</w:t>
            </w:r>
          </w:p>
        </w:tc>
        <w:tc>
          <w:tcPr>
            <w:tcW w:w="3051" w:type="dxa"/>
            <w:gridSpan w:val="3"/>
            <w:tcBorders>
              <w:bottom w:val="single" w:color="auto" w:sz="4" w:space="0"/>
            </w:tcBorders>
            <w:shd w:val="clear" w:color="auto" w:fill="FFFFFF" w:themeFill="background1"/>
            <w:vAlign w:val="center"/>
          </w:tcPr>
          <w:p>
            <w:pPr>
              <w:spacing w:line="360" w:lineRule="auto"/>
              <w:jc w:val="center"/>
            </w:pPr>
            <w:r>
              <w:rPr>
                <w:rFonts w:hint="eastAsia"/>
              </w:rPr>
              <w:t>系统定级、系统备案等相关材料提交</w:t>
            </w:r>
          </w:p>
        </w:tc>
        <w:tc>
          <w:tcPr>
            <w:tcW w:w="1125" w:type="dxa"/>
            <w:tcBorders>
              <w:top w:val="single" w:color="auto" w:sz="4" w:space="0"/>
              <w:bottom w:val="single" w:color="auto" w:sz="4" w:space="0"/>
            </w:tcBorders>
            <w:shd w:val="clear" w:color="auto" w:fill="FFFFFF" w:themeFill="background1"/>
            <w:vAlign w:val="center"/>
          </w:tcPr>
          <w:p>
            <w:pPr>
              <w:spacing w:line="360" w:lineRule="auto"/>
              <w:jc w:val="center"/>
            </w:pPr>
            <w:r>
              <w:rPr>
                <w:rFonts w:hint="eastAsia"/>
              </w:rPr>
              <w:t>30天</w:t>
            </w:r>
          </w:p>
        </w:tc>
        <w:tc>
          <w:tcPr>
            <w:tcW w:w="3667" w:type="dxa"/>
            <w:gridSpan w:val="2"/>
            <w:tcBorders>
              <w:top w:val="single" w:color="auto" w:sz="4" w:space="0"/>
              <w:bottom w:val="single" w:color="auto" w:sz="4" w:space="0"/>
            </w:tcBorders>
            <w:shd w:val="clear" w:color="auto" w:fill="FFFFFF" w:themeFill="background1"/>
            <w:vAlign w:val="center"/>
          </w:tcPr>
          <w:p>
            <w:pPr>
              <w:spacing w:line="360" w:lineRule="auto"/>
              <w:jc w:val="center"/>
            </w:pPr>
            <w:r>
              <w:rPr>
                <w:rFonts w:hint="eastAsia"/>
              </w:rPr>
              <w:t>信息系统的定级报告、备案表等相关材料进行修订，并协助完成定级备案（包括提交评审）。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46" w:type="dxa"/>
            <w:gridSpan w:val="3"/>
            <w:tcBorders>
              <w:bottom w:val="single" w:color="auto" w:sz="4" w:space="0"/>
            </w:tcBorders>
            <w:shd w:val="clear" w:color="auto" w:fill="D9E2F3" w:themeFill="accent5" w:themeFillTint="33"/>
            <w:vAlign w:val="center"/>
          </w:tcPr>
          <w:p>
            <w:pPr>
              <w:spacing w:line="360" w:lineRule="auto"/>
              <w:jc w:val="center"/>
            </w:pPr>
            <w:r>
              <w:rPr>
                <w:rFonts w:hint="eastAsia"/>
              </w:rPr>
              <w:t>阶段时间总计：</w:t>
            </w:r>
          </w:p>
        </w:tc>
        <w:tc>
          <w:tcPr>
            <w:tcW w:w="1950" w:type="dxa"/>
            <w:tcBorders>
              <w:bottom w:val="single" w:color="auto" w:sz="4" w:space="0"/>
            </w:tcBorders>
            <w:shd w:val="clear" w:color="auto" w:fill="FFFFFF" w:themeFill="background1"/>
            <w:vAlign w:val="center"/>
          </w:tcPr>
          <w:p>
            <w:pPr>
              <w:spacing w:line="360" w:lineRule="auto"/>
              <w:jc w:val="center"/>
            </w:pPr>
            <w:r>
              <w:rPr>
                <w:rFonts w:hint="eastAsia"/>
              </w:rPr>
              <w:t>30（工作日）</w:t>
            </w:r>
          </w:p>
        </w:tc>
        <w:tc>
          <w:tcPr>
            <w:tcW w:w="2295" w:type="dxa"/>
            <w:gridSpan w:val="2"/>
            <w:tcBorders>
              <w:top w:val="single" w:color="auto" w:sz="4" w:space="0"/>
              <w:bottom w:val="single" w:color="auto" w:sz="4" w:space="0"/>
            </w:tcBorders>
            <w:shd w:val="clear" w:color="auto" w:fill="D9E2F3" w:themeFill="accent5" w:themeFillTint="33"/>
            <w:vAlign w:val="center"/>
          </w:tcPr>
          <w:p>
            <w:pPr>
              <w:spacing w:line="360" w:lineRule="auto"/>
              <w:jc w:val="center"/>
            </w:pPr>
            <w:r>
              <w:rPr>
                <w:rFonts w:hint="eastAsia"/>
              </w:rPr>
              <w:t>现场实施总计：</w:t>
            </w:r>
          </w:p>
        </w:tc>
        <w:tc>
          <w:tcPr>
            <w:tcW w:w="2497" w:type="dxa"/>
            <w:tcBorders>
              <w:top w:val="single" w:color="auto" w:sz="4" w:space="0"/>
              <w:bottom w:val="single" w:color="auto" w:sz="4" w:space="0"/>
            </w:tcBorders>
            <w:shd w:val="clear" w:color="auto" w:fill="FFFFFF" w:themeFill="background1"/>
            <w:vAlign w:val="center"/>
          </w:tcPr>
          <w:p>
            <w:pPr>
              <w:spacing w:line="360" w:lineRule="auto"/>
              <w:jc w:val="center"/>
            </w:pPr>
            <w:r>
              <w:rPr>
                <w:rFonts w:hint="eastAsia"/>
              </w:rPr>
              <w:t>2（工作日）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52" w:type="dxa"/>
            <w:gridSpan w:val="2"/>
            <w:vAlign w:val="center"/>
          </w:tcPr>
          <w:p>
            <w:pPr>
              <w:spacing w:line="360" w:lineRule="auto"/>
              <w:jc w:val="center"/>
            </w:pPr>
            <w:r>
              <w:rPr>
                <w:rFonts w:hint="eastAsia"/>
              </w:rPr>
              <w:t>系统测评</w:t>
            </w:r>
          </w:p>
        </w:tc>
        <w:tc>
          <w:tcPr>
            <w:tcW w:w="3044" w:type="dxa"/>
            <w:gridSpan w:val="2"/>
            <w:vAlign w:val="center"/>
          </w:tcPr>
          <w:p>
            <w:pPr>
              <w:spacing w:line="360" w:lineRule="auto"/>
              <w:jc w:val="center"/>
            </w:pPr>
            <w:r>
              <w:rPr>
                <w:rFonts w:hint="eastAsia"/>
              </w:rPr>
              <w:t>信息调研</w:t>
            </w:r>
          </w:p>
        </w:tc>
        <w:tc>
          <w:tcPr>
            <w:tcW w:w="1125" w:type="dxa"/>
            <w:vAlign w:val="center"/>
          </w:tcPr>
          <w:p>
            <w:pPr>
              <w:spacing w:line="360" w:lineRule="auto"/>
              <w:jc w:val="center"/>
            </w:pPr>
            <w:r>
              <w:rPr>
                <w:rFonts w:hint="eastAsia"/>
              </w:rPr>
              <w:t>3天</w:t>
            </w:r>
          </w:p>
        </w:tc>
        <w:tc>
          <w:tcPr>
            <w:tcW w:w="3667" w:type="dxa"/>
            <w:gridSpan w:val="2"/>
          </w:tcPr>
          <w:p>
            <w:pPr>
              <w:spacing w:line="360" w:lineRule="auto"/>
              <w:jc w:val="center"/>
            </w:pPr>
            <w:r>
              <w:rPr>
                <w:rFonts w:hint="eastAsia"/>
              </w:rPr>
              <w:t>基本信息调查，调研信息安全管理组织架构、业务流程关系、主机和网络资产调查、网络拓扑等。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46" w:type="dxa"/>
            <w:gridSpan w:val="3"/>
            <w:vMerge w:val="restart"/>
            <w:vAlign w:val="center"/>
          </w:tcPr>
          <w:p>
            <w:pPr>
              <w:spacing w:line="360" w:lineRule="auto"/>
              <w:jc w:val="center"/>
            </w:pPr>
          </w:p>
        </w:tc>
        <w:tc>
          <w:tcPr>
            <w:tcW w:w="1950" w:type="dxa"/>
            <w:vAlign w:val="center"/>
          </w:tcPr>
          <w:p>
            <w:pPr>
              <w:spacing w:line="360" w:lineRule="auto"/>
              <w:jc w:val="center"/>
            </w:pPr>
            <w:r>
              <w:rPr>
                <w:rFonts w:hint="eastAsia"/>
              </w:rPr>
              <w:t>现场测评</w:t>
            </w:r>
          </w:p>
        </w:tc>
        <w:tc>
          <w:tcPr>
            <w:tcW w:w="1125" w:type="dxa"/>
            <w:vAlign w:val="center"/>
          </w:tcPr>
          <w:p>
            <w:pPr>
              <w:spacing w:line="360" w:lineRule="auto"/>
              <w:jc w:val="center"/>
            </w:pPr>
            <w:r>
              <w:rPr>
                <w:rFonts w:hint="eastAsia"/>
              </w:rPr>
              <w:t>10天</w:t>
            </w:r>
          </w:p>
        </w:tc>
        <w:tc>
          <w:tcPr>
            <w:tcW w:w="3667" w:type="dxa"/>
            <w:gridSpan w:val="2"/>
          </w:tcPr>
          <w:p>
            <w:pPr>
              <w:spacing w:line="360" w:lineRule="auto"/>
              <w:jc w:val="center"/>
            </w:pPr>
            <w:r>
              <w:rPr>
                <w:rFonts w:hint="eastAsia"/>
              </w:rPr>
              <w:t>进行现场管理、技术测评，收集信息安全测评数据、技术测试、渗透测试相关数据。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46" w:type="dxa"/>
            <w:gridSpan w:val="3"/>
            <w:vMerge w:val="continue"/>
            <w:vAlign w:val="center"/>
          </w:tcPr>
          <w:p>
            <w:pPr>
              <w:spacing w:line="360" w:lineRule="auto"/>
              <w:jc w:val="center"/>
            </w:pPr>
          </w:p>
        </w:tc>
        <w:tc>
          <w:tcPr>
            <w:tcW w:w="1950" w:type="dxa"/>
            <w:vAlign w:val="center"/>
          </w:tcPr>
          <w:p>
            <w:pPr>
              <w:spacing w:line="360" w:lineRule="auto"/>
              <w:jc w:val="center"/>
            </w:pPr>
            <w:r>
              <w:rPr>
                <w:rFonts w:hint="eastAsia"/>
              </w:rPr>
              <w:t>数据分析和报告编写</w:t>
            </w:r>
          </w:p>
        </w:tc>
        <w:tc>
          <w:tcPr>
            <w:tcW w:w="1125" w:type="dxa"/>
            <w:vAlign w:val="center"/>
          </w:tcPr>
          <w:p>
            <w:pPr>
              <w:spacing w:line="360" w:lineRule="auto"/>
              <w:jc w:val="center"/>
            </w:pPr>
            <w:r>
              <w:rPr>
                <w:rFonts w:hint="eastAsia"/>
              </w:rPr>
              <w:t>20天</w:t>
            </w:r>
          </w:p>
        </w:tc>
        <w:tc>
          <w:tcPr>
            <w:tcW w:w="3667" w:type="dxa"/>
            <w:gridSpan w:val="2"/>
          </w:tcPr>
          <w:p>
            <w:pPr>
              <w:spacing w:line="360" w:lineRule="auto"/>
              <w:jc w:val="center"/>
            </w:pPr>
            <w:r>
              <w:rPr>
                <w:rFonts w:hint="eastAsia"/>
              </w:rPr>
              <w:t>进行数据整理、分析和整体报告编写与审核。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46" w:type="dxa"/>
            <w:gridSpan w:val="3"/>
            <w:vMerge w:val="continue"/>
            <w:vAlign w:val="center"/>
          </w:tcPr>
          <w:p>
            <w:pPr>
              <w:spacing w:line="360" w:lineRule="auto"/>
              <w:jc w:val="center"/>
            </w:pPr>
          </w:p>
        </w:tc>
        <w:tc>
          <w:tcPr>
            <w:tcW w:w="1950" w:type="dxa"/>
            <w:vAlign w:val="center"/>
          </w:tcPr>
          <w:p>
            <w:pPr>
              <w:spacing w:line="360" w:lineRule="auto"/>
              <w:jc w:val="center"/>
            </w:pPr>
            <w:r>
              <w:rPr>
                <w:rFonts w:hint="eastAsia"/>
              </w:rPr>
              <w:t>报告评审</w:t>
            </w:r>
          </w:p>
        </w:tc>
        <w:tc>
          <w:tcPr>
            <w:tcW w:w="1125" w:type="dxa"/>
            <w:vAlign w:val="center"/>
          </w:tcPr>
          <w:p>
            <w:pPr>
              <w:spacing w:line="360" w:lineRule="auto"/>
              <w:jc w:val="center"/>
            </w:pPr>
            <w:r>
              <w:rPr>
                <w:rFonts w:hint="eastAsia"/>
              </w:rPr>
              <w:t>5天</w:t>
            </w:r>
          </w:p>
        </w:tc>
        <w:tc>
          <w:tcPr>
            <w:tcW w:w="3667" w:type="dxa"/>
            <w:gridSpan w:val="2"/>
          </w:tcPr>
          <w:p>
            <w:pPr>
              <w:spacing w:line="360" w:lineRule="auto"/>
              <w:jc w:val="center"/>
            </w:pPr>
            <w:r>
              <w:rPr>
                <w:rFonts w:hint="eastAsia"/>
              </w:rPr>
              <w:t>测评报告进行评审。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46" w:type="dxa"/>
            <w:gridSpan w:val="3"/>
            <w:shd w:val="clear" w:color="auto" w:fill="D9E2F3" w:themeFill="accent5" w:themeFillTint="33"/>
            <w:vAlign w:val="center"/>
          </w:tcPr>
          <w:p>
            <w:pPr>
              <w:spacing w:line="360" w:lineRule="auto"/>
              <w:jc w:val="center"/>
            </w:pPr>
            <w:r>
              <w:rPr>
                <w:rFonts w:hint="eastAsia"/>
              </w:rPr>
              <w:t>阶段时间总计：</w:t>
            </w:r>
          </w:p>
        </w:tc>
        <w:tc>
          <w:tcPr>
            <w:tcW w:w="1950" w:type="dxa"/>
            <w:vAlign w:val="center"/>
          </w:tcPr>
          <w:p>
            <w:pPr>
              <w:spacing w:line="360" w:lineRule="auto"/>
              <w:jc w:val="center"/>
            </w:pPr>
            <w:r>
              <w:rPr>
                <w:rFonts w:hint="eastAsia"/>
              </w:rPr>
              <w:t>38（工作日）</w:t>
            </w:r>
          </w:p>
        </w:tc>
        <w:tc>
          <w:tcPr>
            <w:tcW w:w="2295" w:type="dxa"/>
            <w:gridSpan w:val="2"/>
            <w:shd w:val="clear" w:color="auto" w:fill="D9E2F3" w:themeFill="accent5" w:themeFillTint="33"/>
            <w:vAlign w:val="center"/>
          </w:tcPr>
          <w:p>
            <w:pPr>
              <w:spacing w:line="360" w:lineRule="auto"/>
              <w:jc w:val="center"/>
            </w:pPr>
            <w:r>
              <w:rPr>
                <w:rFonts w:hint="eastAsia"/>
              </w:rPr>
              <w:t>现场实施总计：</w:t>
            </w:r>
          </w:p>
        </w:tc>
        <w:tc>
          <w:tcPr>
            <w:tcW w:w="2497" w:type="dxa"/>
            <w:vAlign w:val="center"/>
          </w:tcPr>
          <w:p>
            <w:pPr>
              <w:spacing w:line="360" w:lineRule="auto"/>
              <w:jc w:val="center"/>
            </w:pPr>
            <w:r>
              <w:rPr>
                <w:rFonts w:hint="eastAsia"/>
              </w:rPr>
              <w:t>10（工作日）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46" w:type="dxa"/>
            <w:gridSpan w:val="3"/>
            <w:vAlign w:val="center"/>
          </w:tcPr>
          <w:p>
            <w:pPr>
              <w:spacing w:line="360" w:lineRule="auto"/>
              <w:jc w:val="center"/>
            </w:pPr>
            <w:r>
              <w:rPr>
                <w:rFonts w:hint="eastAsia"/>
              </w:rPr>
              <w:t>测评备案</w:t>
            </w:r>
          </w:p>
        </w:tc>
        <w:tc>
          <w:tcPr>
            <w:tcW w:w="1950" w:type="dxa"/>
            <w:vAlign w:val="center"/>
          </w:tcPr>
          <w:p>
            <w:pPr>
              <w:spacing w:line="360" w:lineRule="auto"/>
              <w:jc w:val="center"/>
            </w:pPr>
            <w:r>
              <w:rPr>
                <w:rFonts w:hint="eastAsia"/>
              </w:rPr>
              <w:t>提交《测评报告》和《整改建议书》完成备案工作。</w:t>
            </w:r>
          </w:p>
        </w:tc>
        <w:tc>
          <w:tcPr>
            <w:tcW w:w="1125" w:type="dxa"/>
            <w:vAlign w:val="center"/>
          </w:tcPr>
          <w:p>
            <w:pPr>
              <w:spacing w:line="360" w:lineRule="auto"/>
              <w:jc w:val="center"/>
            </w:pPr>
            <w:r>
              <w:rPr>
                <w:rFonts w:hint="eastAsia"/>
              </w:rPr>
              <w:t>5天</w:t>
            </w:r>
          </w:p>
        </w:tc>
        <w:tc>
          <w:tcPr>
            <w:tcW w:w="3667" w:type="dxa"/>
            <w:gridSpan w:val="2"/>
            <w:vAlign w:val="center"/>
          </w:tcPr>
          <w:p>
            <w:pPr>
              <w:spacing w:line="360" w:lineRule="auto"/>
              <w:jc w:val="center"/>
            </w:pPr>
            <w:r>
              <w:rPr>
                <w:rFonts w:hint="eastAsia"/>
              </w:rPr>
              <w:t>完成信息系统备案工作。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046" w:type="dxa"/>
            <w:gridSpan w:val="3"/>
            <w:shd w:val="clear" w:color="auto" w:fill="D9E2F3" w:themeFill="accent5" w:themeFillTint="33"/>
            <w:vAlign w:val="center"/>
          </w:tcPr>
          <w:p>
            <w:pPr>
              <w:spacing w:line="360" w:lineRule="auto"/>
              <w:jc w:val="center"/>
            </w:pPr>
            <w:r>
              <w:rPr>
                <w:rFonts w:hint="eastAsia"/>
              </w:rPr>
              <w:t>阶段时间总计：</w:t>
            </w:r>
          </w:p>
        </w:tc>
        <w:tc>
          <w:tcPr>
            <w:tcW w:w="1950" w:type="dxa"/>
            <w:vAlign w:val="center"/>
          </w:tcPr>
          <w:p>
            <w:pPr>
              <w:spacing w:line="360" w:lineRule="auto"/>
              <w:jc w:val="center"/>
            </w:pPr>
            <w:r>
              <w:rPr>
                <w:rFonts w:hint="eastAsia"/>
              </w:rPr>
              <w:t>5（工作日）</w:t>
            </w:r>
          </w:p>
        </w:tc>
        <w:tc>
          <w:tcPr>
            <w:tcW w:w="2295" w:type="dxa"/>
            <w:gridSpan w:val="2"/>
            <w:shd w:val="clear" w:color="auto" w:fill="D9E2F3" w:themeFill="accent5" w:themeFillTint="33"/>
            <w:vAlign w:val="center"/>
          </w:tcPr>
          <w:p>
            <w:pPr>
              <w:spacing w:line="360" w:lineRule="auto"/>
              <w:jc w:val="center"/>
            </w:pPr>
            <w:r>
              <w:rPr>
                <w:rFonts w:hint="eastAsia"/>
              </w:rPr>
              <w:t>现场实施总计：</w:t>
            </w:r>
          </w:p>
        </w:tc>
        <w:tc>
          <w:tcPr>
            <w:tcW w:w="2497" w:type="dxa"/>
            <w:vAlign w:val="center"/>
          </w:tcPr>
          <w:p>
            <w:pPr>
              <w:spacing w:line="360" w:lineRule="auto"/>
              <w:jc w:val="center"/>
            </w:pPr>
            <w:r>
              <w:rPr>
                <w:rFonts w:hint="eastAsia"/>
              </w:rPr>
              <w:t>1（工作日）</w:t>
            </w:r>
          </w:p>
        </w:tc>
      </w:tr>
    </w:tbl>
    <w:p>
      <w:pPr>
        <w:pStyle w:val="8"/>
        <w:numPr>
          <w:ilvl w:val="4"/>
          <w:numId w:val="0"/>
        </w:numPr>
        <w:rPr>
          <w:rFonts w:hint="eastAsia" w:cs="宋体"/>
          <w:lang w:val="en-US" w:eastAsia="zh-CN"/>
        </w:rPr>
      </w:pPr>
    </w:p>
    <w:p>
      <w:pPr>
        <w:pStyle w:val="8"/>
        <w:numPr>
          <w:ilvl w:val="4"/>
          <w:numId w:val="0"/>
        </w:numPr>
        <w:rPr>
          <w:rFonts w:hint="eastAsia" w:cs="宋体"/>
          <w:lang w:val="en-US" w:eastAsia="zh-CN"/>
        </w:rPr>
      </w:pPr>
      <w:r>
        <w:rPr>
          <w:rFonts w:hint="eastAsia" w:cs="宋体"/>
          <w:lang w:val="en-US" w:eastAsia="zh-CN"/>
        </w:rPr>
        <w:t>6.3</w:t>
      </w:r>
      <w:bookmarkStart w:id="52" w:name="_Toc519965152"/>
      <w:bookmarkStart w:id="53" w:name="_Toc528874983"/>
      <w:bookmarkStart w:id="54" w:name="_Toc528873259"/>
      <w:bookmarkStart w:id="55" w:name="_Toc522983127"/>
      <w:bookmarkStart w:id="56" w:name="_Toc358884118"/>
      <w:bookmarkStart w:id="57" w:name="_Toc204487418"/>
      <w:bookmarkStart w:id="58" w:name="_Toc132083301"/>
      <w:bookmarkStart w:id="59" w:name="_Toc215991560"/>
      <w:bookmarkStart w:id="60" w:name="_Toc208213913"/>
      <w:bookmarkStart w:id="61" w:name="_Toc3933"/>
      <w:bookmarkStart w:id="62" w:name="_Toc25455"/>
      <w:r>
        <w:rPr>
          <w:rFonts w:hint="eastAsia" w:cs="宋体"/>
          <w:lang w:val="en-US" w:eastAsia="zh-CN"/>
        </w:rPr>
        <w:t>项目资源</w:t>
      </w:r>
      <w:bookmarkEnd w:id="52"/>
      <w:bookmarkEnd w:id="53"/>
      <w:bookmarkEnd w:id="54"/>
      <w:bookmarkEnd w:id="55"/>
      <w:r>
        <w:rPr>
          <w:rFonts w:hint="eastAsia" w:cs="宋体"/>
          <w:lang w:val="en-US" w:eastAsia="zh-CN"/>
        </w:rPr>
        <w:t>环境要求</w:t>
      </w:r>
      <w:bookmarkEnd w:id="56"/>
      <w:bookmarkEnd w:id="57"/>
      <w:bookmarkEnd w:id="58"/>
      <w:bookmarkEnd w:id="59"/>
      <w:bookmarkEnd w:id="60"/>
      <w:bookmarkEnd w:id="61"/>
      <w:bookmarkEnd w:id="62"/>
    </w:p>
    <w:p>
      <w:pPr>
        <w:spacing w:line="360" w:lineRule="auto"/>
        <w:ind w:firstLine="420" w:firstLineChars="0"/>
        <w:rPr>
          <w:rFonts w:hint="eastAsia" w:ascii="宋体" w:hAnsi="宋体" w:eastAsia="宋体" w:cs="宋体"/>
          <w:sz w:val="24"/>
          <w:szCs w:val="24"/>
        </w:rPr>
      </w:pPr>
      <w:r>
        <w:rPr>
          <w:rFonts w:hint="eastAsia" w:ascii="宋体" w:hAnsi="宋体" w:eastAsia="宋体" w:cs="宋体"/>
          <w:sz w:val="24"/>
          <w:szCs w:val="24"/>
        </w:rPr>
        <w:t>由建设单位为测评机构提供的环境，具体要求如下：</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eastAsia="宋体" w:cs="宋体"/>
          <w:sz w:val="24"/>
          <w:szCs w:val="24"/>
        </w:rPr>
        <w:t>相对独立的办公环境，可以容纳3-4个人或以上；</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eastAsia="宋体" w:cs="宋体"/>
          <w:sz w:val="24"/>
          <w:szCs w:val="24"/>
        </w:rPr>
        <w:t>可以较方便的接入Internet；</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eastAsia="宋体" w:cs="宋体"/>
          <w:sz w:val="24"/>
          <w:szCs w:val="24"/>
        </w:rPr>
        <w:t>同时提供一个用于保存工作中的各类过程文档的空间，以防止丢失；</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eastAsia="宋体" w:cs="宋体"/>
          <w:sz w:val="24"/>
          <w:szCs w:val="24"/>
        </w:rPr>
        <w:t>提供相关网络设备和电缆，可供在办公环境中组成局域网；</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5</w:t>
      </w:r>
      <w:r>
        <w:rPr>
          <w:rFonts w:hint="eastAsia" w:ascii="宋体" w:hAnsi="宋体" w:cs="宋体"/>
          <w:sz w:val="24"/>
          <w:szCs w:val="24"/>
          <w:lang w:eastAsia="zh-CN"/>
        </w:rPr>
        <w:t>）</w:t>
      </w:r>
      <w:r>
        <w:rPr>
          <w:rFonts w:hint="eastAsia" w:ascii="宋体" w:hAnsi="宋体" w:eastAsia="宋体" w:cs="宋体"/>
          <w:sz w:val="24"/>
          <w:szCs w:val="24"/>
        </w:rPr>
        <w:t>提供一台打印机，以便文档的输出。</w:t>
      </w:r>
    </w:p>
    <w:p>
      <w:pPr>
        <w:pStyle w:val="8"/>
        <w:numPr>
          <w:ilvl w:val="4"/>
          <w:numId w:val="0"/>
        </w:numPr>
        <w:rPr>
          <w:rFonts w:hint="eastAsia"/>
        </w:rPr>
      </w:pPr>
      <w:r>
        <w:rPr>
          <w:rFonts w:hint="eastAsia" w:cs="宋体"/>
          <w:lang w:val="en-US" w:eastAsia="zh-CN"/>
        </w:rPr>
        <w:t>6.4</w:t>
      </w:r>
      <w:bookmarkStart w:id="63" w:name="_Toc25920"/>
      <w:bookmarkStart w:id="64" w:name="_Toc2457"/>
      <w:r>
        <w:rPr>
          <w:rFonts w:hint="eastAsia"/>
        </w:rPr>
        <w:t>等级保护测评成果</w:t>
      </w:r>
      <w:bookmarkEnd w:id="63"/>
      <w:bookmarkEnd w:id="64"/>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等级测评项目实施过程中，每个工作环节都有相应的文档输出，其文档包括定级报告、备案表、测评报告等文档，部分重要输出文档作为项目实施阶段性成果输出。通过等级保护测评成果的输出，让相关管理员深入、全面了解各方面存在的问题及隐患，“对症下药”进行安全建设和改进，从而进一步提升信息系统安全防护水平。等级保护项目实施过程中测评机构至少输出和提交文档如下：</w:t>
      </w:r>
    </w:p>
    <w:p>
      <w:pPr>
        <w:spacing w:line="360" w:lineRule="auto"/>
        <w:rPr>
          <w:rFonts w:hint="eastAsia"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1</w:t>
      </w:r>
      <w:r>
        <w:rPr>
          <w:rFonts w:hint="eastAsia" w:ascii="宋体" w:hAnsi="宋体" w:cs="宋体"/>
          <w:b/>
          <w:bCs/>
          <w:sz w:val="24"/>
          <w:szCs w:val="24"/>
          <w:lang w:eastAsia="zh-CN"/>
        </w:rPr>
        <w:t>）</w:t>
      </w:r>
      <w:r>
        <w:rPr>
          <w:rFonts w:hint="eastAsia" w:ascii="宋体" w:hAnsi="宋体" w:eastAsia="宋体" w:cs="宋体"/>
          <w:b/>
          <w:bCs/>
          <w:sz w:val="24"/>
          <w:szCs w:val="24"/>
        </w:rPr>
        <w:t>定级阶段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《XXX系统信息安全等级保护定级报告》（首次测评的系统一份）；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《信息系统定级备案表》（首次测评的系统一份）；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以上文档提交给相关部门组织评审，确定最终系统等级，并提交给台州市公安局网安支队。</w:t>
      </w:r>
    </w:p>
    <w:p>
      <w:pPr>
        <w:spacing w:line="360" w:lineRule="auto"/>
        <w:rPr>
          <w:rFonts w:hint="eastAsia"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2</w:t>
      </w:r>
      <w:r>
        <w:rPr>
          <w:rFonts w:hint="eastAsia" w:ascii="宋体" w:hAnsi="宋体" w:cs="宋体"/>
          <w:b/>
          <w:bCs/>
          <w:sz w:val="24"/>
          <w:szCs w:val="24"/>
          <w:lang w:eastAsia="zh-CN"/>
        </w:rPr>
        <w:t>）</w:t>
      </w:r>
      <w:r>
        <w:rPr>
          <w:rFonts w:hint="eastAsia" w:ascii="宋体" w:hAnsi="宋体" w:eastAsia="宋体" w:cs="宋体"/>
          <w:b/>
          <w:bCs/>
          <w:sz w:val="24"/>
          <w:szCs w:val="24"/>
        </w:rPr>
        <w:t>测评阶段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《XXX系统信息安全等级保护测评报告》（每个系统一份）；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以上文档提交给公安网安部门，全面系统存在的各方面问题和风险。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《信息系统等级保护整改方案》；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指导项目后期信息化安全建设，也为建设单位信息安全规划提供可靠的依据和指引。</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3</w:t>
      </w:r>
      <w:r>
        <w:rPr>
          <w:rFonts w:hint="eastAsia" w:ascii="宋体" w:hAnsi="宋体" w:eastAsia="宋体" w:cs="宋体"/>
          <w:b/>
          <w:bCs/>
          <w:sz w:val="24"/>
          <w:szCs w:val="24"/>
          <w:lang w:eastAsia="zh-CN"/>
        </w:rPr>
        <w:t>）</w:t>
      </w:r>
      <w:r>
        <w:rPr>
          <w:rFonts w:hint="eastAsia" w:ascii="宋体" w:hAnsi="宋体" w:eastAsia="宋体" w:cs="宋体"/>
          <w:b/>
          <w:bCs/>
          <w:sz w:val="24"/>
          <w:szCs w:val="24"/>
        </w:rPr>
        <w:t>备案阶段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公安部门颁发的等级保护备案证书（由市公安局网安支队颁发）。</w:t>
      </w:r>
    </w:p>
    <w:p>
      <w:pPr>
        <w:pStyle w:val="7"/>
        <w:numPr>
          <w:ilvl w:val="0"/>
          <w:numId w:val="15"/>
        </w:numPr>
        <w:rPr>
          <w:rFonts w:hint="eastAsia" w:ascii="宋体" w:hAnsi="宋体" w:cs="宋体"/>
          <w:b/>
          <w:bCs w:val="0"/>
          <w:szCs w:val="24"/>
          <w:lang w:val="en-US" w:eastAsia="zh-CN"/>
        </w:rPr>
      </w:pPr>
      <w:r>
        <w:rPr>
          <w:rFonts w:hint="eastAsia" w:ascii="宋体" w:hAnsi="宋体" w:cs="宋体"/>
          <w:b/>
          <w:bCs w:val="0"/>
          <w:szCs w:val="24"/>
          <w:lang w:val="en-US" w:eastAsia="zh-CN"/>
        </w:rPr>
        <w:t>第三方软件测评要求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由于本项目中各系统的开发商、开发周期、开发进度都存在差异，投标人应充分考虑系统建设过程的复杂性，根据各信息系统上线和部署要求，合理安排评测计划，保证开发软件的质量。总体要求如下：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在系统开发过程中，规范各阶段的文档资料，协调评测计划时间安排，组织完成评测业务需求分析、编写评测方案计划，并组织实施评测。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通过实施软件评测，发现和找出系统开发阶段未满足项目设计要求并且影响上线使用的开发设计缺陷，对被评测系统进行评估，指导开发方修改完善，为系统上线并最后总体验收使用提供质量保证。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根据项目各系统建设情况和系统评测目标，需将《软件需求规格说明书》、《系统详细设计文档》、业主方能够出具的相关行业标准和其他具体要求列为评测依据，避免漏测部分功能。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对被评测应用系统功能、性能、安全性等方面进行评估，根据评测结果，编写并提交评测报告，为系统评审验收提供客观依据。</w:t>
      </w:r>
    </w:p>
    <w:p>
      <w:pPr>
        <w:pStyle w:val="2"/>
        <w:rPr>
          <w:rFonts w:hint="eastAsia"/>
        </w:rPr>
      </w:pPr>
      <w:r>
        <w:tab/>
      </w:r>
      <w:r>
        <w:rPr>
          <w:rFonts w:hint="eastAsia"/>
        </w:rPr>
        <w:t>要求每次评测至少含一轮回归测试。</w:t>
      </w:r>
    </w:p>
    <w:p>
      <w:pPr>
        <w:pStyle w:val="3"/>
        <w:rPr>
          <w:rFonts w:hint="eastAsia"/>
        </w:rPr>
      </w:pPr>
    </w:p>
    <w:p>
      <w:pPr>
        <w:pStyle w:val="8"/>
        <w:numPr>
          <w:ilvl w:val="4"/>
          <w:numId w:val="0"/>
        </w:numPr>
        <w:rPr>
          <w:rFonts w:hint="default"/>
          <w:lang w:val="en-US" w:eastAsia="zh-CN"/>
        </w:rPr>
      </w:pPr>
      <w:r>
        <w:rPr>
          <w:rFonts w:hint="eastAsia"/>
          <w:lang w:val="en-US" w:eastAsia="zh-CN"/>
        </w:rPr>
        <w:t>7.1测评内容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本项目列出的内容，从功能性、性能效率、安全性及用户文档集等方面对指定系统进行评测。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具体评测内容要求如下：</w:t>
      </w:r>
    </w:p>
    <w:p>
      <w:pPr>
        <w:spacing w:line="360" w:lineRule="auto"/>
        <w:rPr>
          <w:rFonts w:hint="eastAsia"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1</w:t>
      </w:r>
      <w:r>
        <w:rPr>
          <w:rFonts w:hint="eastAsia" w:ascii="宋体" w:hAnsi="宋体" w:cs="宋体"/>
          <w:b/>
          <w:bCs/>
          <w:sz w:val="24"/>
          <w:szCs w:val="24"/>
          <w:lang w:eastAsia="zh-CN"/>
        </w:rPr>
        <w:t>）</w:t>
      </w:r>
      <w:r>
        <w:rPr>
          <w:rFonts w:hint="eastAsia" w:ascii="宋体" w:hAnsi="宋体" w:eastAsia="宋体" w:cs="宋体"/>
          <w:b/>
          <w:bCs/>
          <w:sz w:val="24"/>
          <w:szCs w:val="24"/>
        </w:rPr>
        <w:t>功能测试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所测试的系统功能以各个应用软件在开发阶段最终评审确定的《软件需求规格说明书》为准，测试要求如下：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分析应用系统功能需求，验证系统实现了全部需求和设计，评测覆盖所有功能点，确保各项功能是可正确执行的，确保业务需求的功能实现。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分析各功能点评测的优先级别。重点关注用户经常使用、关系到系统核心功能、优先级别较高的功能点，并在回归测试时应优先执行；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eastAsia="zh-CN"/>
        </w:rPr>
        <w:t>.</w:t>
      </w:r>
      <w:r>
        <w:rPr>
          <w:rFonts w:hint="eastAsia" w:ascii="宋体" w:hAnsi="宋体" w:eastAsia="宋体" w:cs="宋体"/>
          <w:sz w:val="24"/>
          <w:szCs w:val="24"/>
        </w:rPr>
        <w:t>分析应用系统业务需求，对业务流程进行数据流向评测，确保关键业务流程正确执行；必须既包括正常输入和正常业务流程评测，也包括对非法数据输入和异常处理的评测，且对系统非正常操作的评测用例一般应占到总数的20%-30%。同时要求测试内容覆盖整个业务周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cs="宋体"/>
          <w:sz w:val="24"/>
          <w:szCs w:val="24"/>
          <w:lang w:eastAsia="zh-CN"/>
        </w:rPr>
        <w:t>.</w:t>
      </w:r>
      <w:r>
        <w:rPr>
          <w:rFonts w:hint="eastAsia" w:ascii="宋体" w:hAnsi="宋体" w:eastAsia="宋体" w:cs="宋体"/>
          <w:sz w:val="24"/>
          <w:szCs w:val="24"/>
        </w:rPr>
        <w:t>分析应用系统数据处理需求，对系统业务数据进行严格的正确性评测（包括数据是否超出正常的值范围、报表数据准确性等），确保系统即时数据和历史数据准确无误；</w:t>
      </w:r>
    </w:p>
    <w:p>
      <w:pPr>
        <w:spacing w:line="360" w:lineRule="auto"/>
        <w:rPr>
          <w:rFonts w:hint="eastAsia"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2</w:t>
      </w:r>
      <w:r>
        <w:rPr>
          <w:rFonts w:hint="eastAsia" w:ascii="宋体" w:hAnsi="宋体" w:cs="宋体"/>
          <w:b/>
          <w:bCs/>
          <w:sz w:val="24"/>
          <w:szCs w:val="24"/>
          <w:lang w:eastAsia="zh-CN"/>
        </w:rPr>
        <w:t>）</w:t>
      </w:r>
      <w:r>
        <w:rPr>
          <w:rFonts w:hint="eastAsia" w:ascii="宋体" w:hAnsi="宋体" w:eastAsia="宋体" w:cs="宋体"/>
          <w:b/>
          <w:bCs/>
          <w:sz w:val="24"/>
          <w:szCs w:val="24"/>
        </w:rPr>
        <w:t>性能测试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站在用户体验的角度，验证系统是否能够达到用户提出的性能指标，是否符合用户文档中对系统设计时的性能关注点。在系统正常交互量及峰值交互量的情况下发现系统中存在的性能瓶颈，优化软件，最后达到优化系统的目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依据各个应用系统《软件需求规格说明书》和《系统详细设计文档》中对性能效率的描述进行测试，性能测试基本要求如下：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评测系统关键业务功能，其响应时间 、处理时间及吞吐率满足需求的程度；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评测在大用户量、大并发、大数据量和长时间连续运行等条件下，系统的响应时间和稳定运行情况；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eastAsia="zh-CN"/>
        </w:rPr>
        <w:t>.</w:t>
      </w:r>
      <w:r>
        <w:rPr>
          <w:rFonts w:hint="eastAsia" w:ascii="宋体" w:hAnsi="宋体" w:eastAsia="宋体" w:cs="宋体"/>
          <w:sz w:val="24"/>
          <w:szCs w:val="24"/>
        </w:rPr>
        <w:t>分析应用系统的业务扩容，对业务系统数据规模增长进行评估，确保应用系统能够满足未来业务数据增长需要。</w:t>
      </w:r>
    </w:p>
    <w:p>
      <w:pPr>
        <w:spacing w:line="360" w:lineRule="auto"/>
        <w:rPr>
          <w:rFonts w:hint="eastAsia"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3</w:t>
      </w:r>
      <w:r>
        <w:rPr>
          <w:rFonts w:hint="eastAsia" w:ascii="宋体" w:hAnsi="宋体" w:cs="宋体"/>
          <w:b/>
          <w:bCs/>
          <w:sz w:val="24"/>
          <w:szCs w:val="24"/>
          <w:lang w:eastAsia="zh-CN"/>
        </w:rPr>
        <w:t>）</w:t>
      </w:r>
      <w:r>
        <w:rPr>
          <w:rFonts w:hint="eastAsia" w:ascii="宋体" w:hAnsi="宋体" w:eastAsia="宋体" w:cs="宋体"/>
          <w:b/>
          <w:bCs/>
          <w:sz w:val="24"/>
          <w:szCs w:val="24"/>
        </w:rPr>
        <w:t>安全性测试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评测系统的应用安全特性，主要考察应用系统存取访问的安全性及应用软件本身的安全性。确认系统具有防止对程序或数据被非授权访问的能力，主要包括操作安全性、存储安全性、传输安全性以及软件系统防御来自系统内部和外界的窃密、篡改和恶意攻击能力，包括权限管理、日志记录、数据备份与恢复策略等。</w:t>
      </w:r>
    </w:p>
    <w:p>
      <w:pPr>
        <w:spacing w:line="360" w:lineRule="auto"/>
        <w:rPr>
          <w:rFonts w:hint="eastAsia"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4</w:t>
      </w:r>
      <w:r>
        <w:rPr>
          <w:rFonts w:hint="eastAsia" w:ascii="宋体" w:hAnsi="宋体" w:cs="宋体"/>
          <w:b/>
          <w:bCs/>
          <w:sz w:val="24"/>
          <w:szCs w:val="24"/>
          <w:lang w:eastAsia="zh-CN"/>
        </w:rPr>
        <w:t>）</w:t>
      </w:r>
      <w:r>
        <w:rPr>
          <w:rFonts w:hint="eastAsia" w:ascii="宋体" w:hAnsi="宋体" w:eastAsia="宋体" w:cs="宋体"/>
          <w:b/>
          <w:bCs/>
          <w:sz w:val="24"/>
          <w:szCs w:val="24"/>
        </w:rPr>
        <w:t xml:space="preserve"> 用户文档集核查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核查应用系统文档。文件应包含使用系统必须的信息，对系统实现功能和用户最终调用的功能有尽可能详细的语言描述或图示；文档文件对使用系统的限制条件和约束应有足够的说明；各文档文件内容信息正确无误，相互一致，没有歧义，并且易理解和易学习。具体文档包括使用手册、管理手册、培训资料（PPT、视频教程）、操作指南等所有提交给用户的文档资料。核查、鉴定用户文档集的完备、正确、一致、易理解、可操作。</w:t>
      </w:r>
    </w:p>
    <w:p>
      <w:pPr>
        <w:pStyle w:val="2"/>
        <w:rPr>
          <w:rFonts w:hint="eastAsia"/>
        </w:rPr>
      </w:pPr>
    </w:p>
    <w:p>
      <w:pPr>
        <w:pStyle w:val="8"/>
        <w:numPr>
          <w:ilvl w:val="4"/>
          <w:numId w:val="0"/>
        </w:numPr>
        <w:rPr>
          <w:rFonts w:hint="default"/>
          <w:lang w:val="en-US" w:eastAsia="zh-CN"/>
        </w:rPr>
      </w:pPr>
      <w:r>
        <w:rPr>
          <w:rFonts w:hint="eastAsia"/>
          <w:lang w:val="en-US" w:eastAsia="zh-CN"/>
        </w:rPr>
        <w:t>7.2测评实施要求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根据上述评测内容要求进行评测，评测过程中应制定详细的评测方案、评测策略、评测用例等，并提交缺陷报告和最终评测报告。</w:t>
      </w:r>
    </w:p>
    <w:p>
      <w:pPr>
        <w:spacing w:line="360" w:lineRule="auto"/>
        <w:rPr>
          <w:rFonts w:hint="eastAsia"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1</w:t>
      </w:r>
      <w:r>
        <w:rPr>
          <w:rFonts w:hint="eastAsia" w:ascii="宋体" w:hAnsi="宋体" w:cs="宋体"/>
          <w:b/>
          <w:bCs/>
          <w:sz w:val="24"/>
          <w:szCs w:val="24"/>
          <w:lang w:eastAsia="zh-CN"/>
        </w:rPr>
        <w:t>）</w:t>
      </w:r>
      <w:r>
        <w:rPr>
          <w:rFonts w:hint="eastAsia" w:ascii="宋体" w:hAnsi="宋体" w:eastAsia="宋体" w:cs="宋体"/>
          <w:b/>
          <w:bCs/>
          <w:sz w:val="24"/>
          <w:szCs w:val="24"/>
        </w:rPr>
        <w:t>评测依据要求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包括但不限于以下内容：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eastAsia="zh-CN"/>
        </w:rPr>
        <w:t>.</w:t>
      </w:r>
      <w:r>
        <w:rPr>
          <w:rFonts w:hint="eastAsia" w:ascii="宋体" w:hAnsi="宋体" w:eastAsia="宋体" w:cs="宋体"/>
          <w:sz w:val="24"/>
          <w:szCs w:val="24"/>
        </w:rPr>
        <w:tab/>
      </w:r>
      <w:r>
        <w:rPr>
          <w:rFonts w:hint="eastAsia" w:ascii="宋体" w:hAnsi="宋体" w:eastAsia="宋体" w:cs="宋体"/>
          <w:sz w:val="24"/>
          <w:szCs w:val="24"/>
        </w:rPr>
        <w:t>GB/T 16260.1-2006《软件工程 产品质量 第1部分:质量模型》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eastAsia="zh-CN"/>
        </w:rPr>
        <w:t>.</w:t>
      </w:r>
      <w:r>
        <w:rPr>
          <w:rFonts w:hint="eastAsia" w:ascii="宋体" w:hAnsi="宋体" w:eastAsia="宋体" w:cs="宋体"/>
          <w:sz w:val="24"/>
          <w:szCs w:val="24"/>
        </w:rPr>
        <w:tab/>
      </w:r>
      <w:r>
        <w:rPr>
          <w:rFonts w:hint="eastAsia" w:ascii="宋体" w:hAnsi="宋体" w:eastAsia="宋体" w:cs="宋体"/>
          <w:sz w:val="24"/>
          <w:szCs w:val="24"/>
        </w:rPr>
        <w:t>GB/T 16260.2-2006《软件工程 产品质量 第2部分:外部度量》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eastAsia="zh-CN"/>
        </w:rPr>
        <w:t>.</w:t>
      </w:r>
      <w:r>
        <w:rPr>
          <w:rFonts w:hint="eastAsia" w:ascii="宋体" w:hAnsi="宋体" w:eastAsia="宋体" w:cs="宋体"/>
          <w:sz w:val="24"/>
          <w:szCs w:val="24"/>
        </w:rPr>
        <w:tab/>
      </w:r>
      <w:r>
        <w:rPr>
          <w:rFonts w:hint="eastAsia" w:ascii="宋体" w:hAnsi="宋体" w:eastAsia="宋体" w:cs="宋体"/>
          <w:sz w:val="24"/>
          <w:szCs w:val="24"/>
        </w:rPr>
        <w:t>GB/T 25000.51-2010《软件工程 软件产品质量要求和评价（SQuaRE）商业现货（COTS）软件产品的质量要求和评测细则》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cs="宋体"/>
          <w:sz w:val="24"/>
          <w:szCs w:val="24"/>
          <w:lang w:eastAsia="zh-CN"/>
        </w:rPr>
        <w:t>.</w:t>
      </w:r>
      <w:r>
        <w:rPr>
          <w:rFonts w:hint="eastAsia" w:ascii="宋体" w:hAnsi="宋体" w:eastAsia="宋体" w:cs="宋体"/>
          <w:sz w:val="24"/>
          <w:szCs w:val="24"/>
        </w:rPr>
        <w:tab/>
      </w:r>
      <w:r>
        <w:rPr>
          <w:rFonts w:hint="eastAsia" w:ascii="宋体" w:hAnsi="宋体" w:eastAsia="宋体" w:cs="宋体"/>
          <w:sz w:val="24"/>
          <w:szCs w:val="24"/>
        </w:rPr>
        <w:t>GB 2312-1980《信息交换用汉字编码字符集 基本集》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cs="宋体"/>
          <w:sz w:val="24"/>
          <w:szCs w:val="24"/>
          <w:lang w:eastAsia="zh-CN"/>
        </w:rPr>
        <w:t>.</w:t>
      </w:r>
      <w:r>
        <w:rPr>
          <w:rFonts w:hint="eastAsia" w:ascii="宋体" w:hAnsi="宋体" w:eastAsia="宋体" w:cs="宋体"/>
          <w:sz w:val="24"/>
          <w:szCs w:val="24"/>
        </w:rPr>
        <w:tab/>
      </w:r>
      <w:r>
        <w:rPr>
          <w:rFonts w:hint="eastAsia" w:ascii="宋体" w:hAnsi="宋体" w:eastAsia="宋体" w:cs="宋体"/>
          <w:sz w:val="24"/>
          <w:szCs w:val="24"/>
        </w:rPr>
        <w:t>GB 13000.1-1993《信息技术 通用多八位编码字符集（UCS）》</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cs="宋体"/>
          <w:sz w:val="24"/>
          <w:szCs w:val="24"/>
          <w:lang w:eastAsia="zh-CN"/>
        </w:rPr>
        <w:t>.</w:t>
      </w:r>
      <w:r>
        <w:rPr>
          <w:rFonts w:hint="eastAsia" w:ascii="宋体" w:hAnsi="宋体" w:eastAsia="宋体" w:cs="宋体"/>
          <w:sz w:val="24"/>
          <w:szCs w:val="24"/>
        </w:rPr>
        <w:tab/>
      </w:r>
      <w:r>
        <w:rPr>
          <w:rFonts w:hint="eastAsia" w:ascii="宋体" w:hAnsi="宋体" w:eastAsia="宋体" w:cs="宋体"/>
          <w:sz w:val="24"/>
          <w:szCs w:val="24"/>
        </w:rPr>
        <w:t>GB 18030-2005《信息技术 中文编码字符集》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cs="宋体"/>
          <w:sz w:val="24"/>
          <w:szCs w:val="24"/>
          <w:lang w:eastAsia="zh-CN"/>
        </w:rPr>
        <w:t>.</w:t>
      </w:r>
      <w:r>
        <w:rPr>
          <w:rFonts w:hint="eastAsia" w:ascii="宋体" w:hAnsi="宋体" w:eastAsia="宋体" w:cs="宋体"/>
          <w:sz w:val="24"/>
          <w:szCs w:val="24"/>
        </w:rPr>
        <w:tab/>
      </w:r>
      <w:r>
        <w:rPr>
          <w:rFonts w:hint="eastAsia" w:ascii="宋体" w:hAnsi="宋体" w:eastAsia="宋体" w:cs="宋体"/>
          <w:sz w:val="24"/>
          <w:szCs w:val="24"/>
        </w:rPr>
        <w:t>GB  8567-1988《计算机软件产品开发文件编制指南》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cs="宋体"/>
          <w:sz w:val="24"/>
          <w:szCs w:val="24"/>
          <w:lang w:eastAsia="zh-CN"/>
        </w:rPr>
        <w:t>.</w:t>
      </w:r>
      <w:r>
        <w:rPr>
          <w:rFonts w:hint="eastAsia" w:ascii="宋体" w:hAnsi="宋体" w:eastAsia="宋体" w:cs="宋体"/>
          <w:sz w:val="24"/>
          <w:szCs w:val="24"/>
        </w:rPr>
        <w:tab/>
      </w:r>
      <w:r>
        <w:rPr>
          <w:rFonts w:hint="eastAsia" w:ascii="宋体" w:hAnsi="宋体" w:eastAsia="宋体" w:cs="宋体"/>
          <w:sz w:val="24"/>
          <w:szCs w:val="24"/>
        </w:rPr>
        <w:t>GB/T 12504-1990《计算机软件质量保证计划规范》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cs="宋体"/>
          <w:sz w:val="24"/>
          <w:szCs w:val="24"/>
          <w:lang w:eastAsia="zh-CN"/>
        </w:rPr>
        <w:t>.</w:t>
      </w:r>
      <w:r>
        <w:rPr>
          <w:rFonts w:hint="eastAsia" w:ascii="宋体" w:hAnsi="宋体" w:eastAsia="宋体" w:cs="宋体"/>
          <w:sz w:val="24"/>
          <w:szCs w:val="24"/>
        </w:rPr>
        <w:tab/>
      </w:r>
      <w:r>
        <w:rPr>
          <w:rFonts w:hint="eastAsia" w:ascii="宋体" w:hAnsi="宋体" w:eastAsia="宋体" w:cs="宋体"/>
          <w:sz w:val="24"/>
          <w:szCs w:val="24"/>
        </w:rPr>
        <w:t>GB/T 1988-1998 《信息技术信息交换用七位编码字符集》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cs="宋体"/>
          <w:sz w:val="24"/>
          <w:szCs w:val="24"/>
          <w:lang w:eastAsia="zh-CN"/>
        </w:rPr>
        <w:t>.</w:t>
      </w:r>
      <w:r>
        <w:rPr>
          <w:rFonts w:hint="eastAsia" w:ascii="宋体" w:hAnsi="宋体" w:eastAsia="宋体" w:cs="宋体"/>
          <w:sz w:val="24"/>
          <w:szCs w:val="24"/>
        </w:rPr>
        <w:t>GB/T 11457-1995 《软件工程术语》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cs="宋体"/>
          <w:sz w:val="24"/>
          <w:szCs w:val="24"/>
          <w:lang w:eastAsia="zh-CN"/>
        </w:rPr>
        <w:t>.</w:t>
      </w:r>
      <w:r>
        <w:rPr>
          <w:rFonts w:hint="eastAsia" w:ascii="宋体" w:hAnsi="宋体" w:eastAsia="宋体" w:cs="宋体"/>
          <w:sz w:val="24"/>
          <w:szCs w:val="24"/>
        </w:rPr>
        <w:t>《软件需求规格说明书》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cs="宋体"/>
          <w:sz w:val="24"/>
          <w:szCs w:val="24"/>
          <w:lang w:eastAsia="zh-CN"/>
        </w:rPr>
        <w:t>.</w:t>
      </w:r>
      <w:r>
        <w:rPr>
          <w:rFonts w:hint="eastAsia" w:ascii="宋体" w:hAnsi="宋体" w:eastAsia="宋体" w:cs="宋体"/>
          <w:sz w:val="24"/>
          <w:szCs w:val="24"/>
        </w:rPr>
        <w:t>《系统详细设计文档》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cs="宋体"/>
          <w:sz w:val="24"/>
          <w:szCs w:val="24"/>
          <w:lang w:eastAsia="zh-CN"/>
        </w:rPr>
        <w:t>.</w:t>
      </w:r>
      <w:r>
        <w:rPr>
          <w:rFonts w:hint="eastAsia" w:ascii="宋体" w:hAnsi="宋体" w:eastAsia="宋体" w:cs="宋体"/>
          <w:sz w:val="24"/>
          <w:szCs w:val="24"/>
        </w:rPr>
        <w:t>用户能够出具的相关行业标准及其他具体意见和要求</w:t>
      </w:r>
    </w:p>
    <w:p>
      <w:pPr>
        <w:spacing w:line="360" w:lineRule="auto"/>
        <w:rPr>
          <w:rFonts w:hint="eastAsia"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2</w:t>
      </w:r>
      <w:r>
        <w:rPr>
          <w:rFonts w:hint="eastAsia" w:ascii="宋体" w:hAnsi="宋体" w:cs="宋体"/>
          <w:b/>
          <w:bCs/>
          <w:sz w:val="24"/>
          <w:szCs w:val="24"/>
          <w:lang w:eastAsia="zh-CN"/>
        </w:rPr>
        <w:t>）</w:t>
      </w:r>
      <w:r>
        <w:rPr>
          <w:rFonts w:hint="eastAsia" w:ascii="宋体" w:hAnsi="宋体" w:eastAsia="宋体" w:cs="宋体"/>
          <w:b/>
          <w:bCs/>
          <w:sz w:val="24"/>
          <w:szCs w:val="24"/>
        </w:rPr>
        <w:t>评测报告要求</w:t>
      </w:r>
    </w:p>
    <w:p>
      <w:pPr>
        <w:spacing w:line="360" w:lineRule="auto"/>
        <w:ind w:firstLine="480" w:firstLineChars="200"/>
        <w:rPr>
          <w:rFonts w:hint="default"/>
          <w:lang w:val="en-US" w:eastAsia="zh-CN"/>
        </w:rPr>
      </w:pPr>
      <w:r>
        <w:rPr>
          <w:rFonts w:hint="eastAsia" w:ascii="宋体" w:hAnsi="宋体" w:eastAsia="宋体" w:cs="宋体"/>
          <w:sz w:val="24"/>
          <w:szCs w:val="24"/>
        </w:rPr>
        <w:t>按实际工作需要，每个系统应提交一正二副三份评测总结报告。所有报告的内容包括评测工作总结、评测结果分析、评测结论、应用系统改进建议等。</w:t>
      </w:r>
    </w:p>
    <w:p>
      <w:pPr>
        <w:pStyle w:val="7"/>
        <w:bidi w:val="0"/>
        <w:rPr>
          <w:rFonts w:hint="eastAsia" w:ascii="宋体" w:hAnsi="宋体" w:eastAsia="宋体" w:cs="宋体"/>
          <w:b/>
          <w:bCs w:val="0"/>
        </w:rPr>
      </w:pPr>
      <w:r>
        <w:rPr>
          <w:rFonts w:hint="eastAsia" w:ascii="宋体" w:hAnsi="宋体" w:eastAsia="宋体" w:cs="宋体"/>
          <w:b/>
          <w:bCs w:val="0"/>
          <w:lang w:eastAsia="zh-Hans"/>
        </w:rPr>
        <w:t>标项二：</w:t>
      </w:r>
      <w:bookmarkEnd w:id="50"/>
      <w:bookmarkEnd w:id="51"/>
      <w:r>
        <w:rPr>
          <w:rFonts w:hint="eastAsia" w:ascii="宋体" w:hAnsi="宋体" w:eastAsia="宋体" w:cs="宋体"/>
          <w:b/>
          <w:bCs w:val="0"/>
        </w:rPr>
        <w:t>政务2.0硬件升级</w:t>
      </w:r>
      <w:r>
        <w:rPr>
          <w:rFonts w:hint="eastAsia" w:ascii="宋体" w:hAnsi="宋体" w:eastAsia="宋体" w:cs="宋体"/>
          <w:b/>
          <w:bCs w:val="0"/>
          <w:lang w:eastAsia="zh-Hans"/>
        </w:rPr>
        <w:t>建设内容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因政务2.0改造新要求，须对台州市人民政府行政服务中心进行部分改造，具体硬件采购清单详见设备清单。</w:t>
      </w:r>
    </w:p>
    <w:p>
      <w:pPr>
        <w:pStyle w:val="7"/>
        <w:bidi w:val="0"/>
        <w:rPr>
          <w:rFonts w:hint="eastAsia" w:ascii="宋体" w:hAnsi="宋体" w:eastAsia="宋体" w:cs="宋体"/>
          <w:b/>
          <w:bCs w:val="0"/>
        </w:rPr>
      </w:pPr>
      <w:r>
        <w:rPr>
          <w:rFonts w:hint="eastAsia" w:ascii="宋体" w:hAnsi="宋体" w:eastAsia="宋体" w:cs="宋体"/>
          <w:b/>
          <w:bCs w:val="0"/>
        </w:rPr>
        <w:t>1</w:t>
      </w:r>
      <w:r>
        <w:rPr>
          <w:rFonts w:hint="eastAsia" w:ascii="宋体" w:hAnsi="宋体" w:eastAsia="宋体" w:cs="宋体"/>
          <w:b/>
          <w:bCs w:val="0"/>
          <w:lang w:eastAsia="zh-CN"/>
        </w:rPr>
        <w:t>、</w:t>
      </w:r>
      <w:r>
        <w:rPr>
          <w:rFonts w:hint="eastAsia" w:ascii="宋体" w:hAnsi="宋体" w:eastAsia="宋体" w:cs="宋体"/>
          <w:b/>
          <w:bCs w:val="0"/>
        </w:rPr>
        <w:t>摄像头部署</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新增部分半球型和筒型摄像机以及功能型摄像头，用于中心大厅一二层、地下车库监控，人流量、车流量测试、轨迹追踪等功能。</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1</w:t>
      </w:r>
      <w:r>
        <w:rPr>
          <w:rFonts w:hint="eastAsia" w:ascii="宋体" w:hAnsi="宋体" w:cs="宋体"/>
          <w:b/>
          <w:bCs/>
          <w:sz w:val="24"/>
          <w:szCs w:val="24"/>
          <w:lang w:eastAsia="zh-CN"/>
        </w:rPr>
        <w:t>）</w:t>
      </w:r>
      <w:r>
        <w:rPr>
          <w:rFonts w:hint="eastAsia" w:ascii="宋体" w:hAnsi="宋体" w:eastAsia="宋体" w:cs="宋体"/>
          <w:b/>
          <w:bCs/>
          <w:sz w:val="24"/>
          <w:szCs w:val="24"/>
        </w:rPr>
        <w:t>服务工位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针对窗口服务人员的监控，采用一对一监控策略，即每个摄像机对应一个业务窗口。考虑系统建设的经济性与实际场所布置情况，要求能看清办理业务的全过程，推荐采用400万像素半球型网络摄像机，记录业务窗口办理业务的全过程。另外，每个业务窗口坐席处应部署一个拾音器，对窗口服务人员与群众的对话等内容进行录音，并与对应的摄像机视频一起编码存储到网络硬盘录像机中，实现音视频同步保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采用可以应对强光的超宽动态半球摄像机，实现清晰的记录办事、服务人员的面部特征、行为动作。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每个服务工位部署单独的定向拾音设备，接入到摄像机，同录像文件一起进行存储、备份，方便查询使用。</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2</w:t>
      </w:r>
      <w:r>
        <w:rPr>
          <w:rFonts w:hint="eastAsia" w:ascii="宋体" w:hAnsi="宋体" w:cs="宋体"/>
          <w:b/>
          <w:bCs/>
          <w:sz w:val="24"/>
          <w:szCs w:val="24"/>
          <w:lang w:eastAsia="zh-CN"/>
        </w:rPr>
        <w:t>）</w:t>
      </w:r>
      <w:r>
        <w:rPr>
          <w:rFonts w:hint="eastAsia" w:ascii="宋体" w:hAnsi="宋体" w:eastAsia="宋体" w:cs="宋体"/>
          <w:b/>
          <w:bCs/>
          <w:sz w:val="24"/>
          <w:szCs w:val="24"/>
        </w:rPr>
        <w:t>大厅大门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服务大厅的大门考虑光照问题，需要选用高清宽动态的摄像机才能看清逆光状态下的人脸及细节特征，大厅大门可以结合客流统计摄像机进行使用，在进行客流统计的同时，记录各楼层各大门图像情况。</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3</w:t>
      </w:r>
      <w:r>
        <w:rPr>
          <w:rFonts w:hint="eastAsia" w:ascii="宋体" w:hAnsi="宋体" w:cs="宋体"/>
          <w:b/>
          <w:bCs/>
          <w:sz w:val="24"/>
          <w:szCs w:val="24"/>
          <w:lang w:eastAsia="zh-CN"/>
        </w:rPr>
        <w:t>）</w:t>
      </w:r>
      <w:r>
        <w:rPr>
          <w:rFonts w:hint="eastAsia" w:ascii="宋体" w:hAnsi="宋体" w:eastAsia="宋体" w:cs="宋体"/>
          <w:b/>
          <w:bCs/>
          <w:sz w:val="24"/>
          <w:szCs w:val="24"/>
        </w:rPr>
        <w:t>咨询窗口</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咨询服务窗口可选择部署400万像素半球型网络摄像机，记录咨询窗口提供咨询业务的全过程。另外，每个咨询窗口坐席处应部署一个拾音器，对窗口服务人员与咨询人的对话等内容进行录音，并与对应的摄像机视频一起编码存储到网络硬盘录像机中，实现音视频同步保存。</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val="en-US" w:eastAsia="zh-CN"/>
        </w:rPr>
        <w:t>（4）</w:t>
      </w:r>
      <w:r>
        <w:rPr>
          <w:rFonts w:hint="eastAsia" w:ascii="宋体" w:hAnsi="宋体" w:eastAsia="宋体" w:cs="宋体"/>
          <w:b/>
          <w:bCs/>
          <w:sz w:val="24"/>
          <w:szCs w:val="24"/>
        </w:rPr>
        <w:t>地下车库</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由于外来办事车辆比较多，容易出现车辆磕碰事故，在地下车库通道部署400万像素红外阵列筒型网络摄像机，每2-4个车位部署1台摄像机，记录车辆进出情况。</w:t>
      </w:r>
    </w:p>
    <w:p>
      <w:pPr>
        <w:spacing w:line="360" w:lineRule="auto"/>
        <w:outlineLvl w:val="3"/>
        <w:rPr>
          <w:rFonts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cs="宋体"/>
          <w:b/>
          <w:bCs/>
          <w:sz w:val="24"/>
          <w:szCs w:val="24"/>
          <w:lang w:eastAsia="zh-CN"/>
        </w:rPr>
        <w:t>、</w:t>
      </w:r>
      <w:r>
        <w:rPr>
          <w:rFonts w:hint="eastAsia" w:ascii="宋体" w:hAnsi="宋体" w:eastAsia="宋体" w:cs="宋体"/>
          <w:b/>
          <w:bCs/>
          <w:sz w:val="24"/>
          <w:szCs w:val="24"/>
        </w:rPr>
        <w:t>视频功能</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1</w:t>
      </w:r>
      <w:r>
        <w:rPr>
          <w:rFonts w:hint="eastAsia" w:ascii="宋体" w:hAnsi="宋体" w:cs="宋体"/>
          <w:b/>
          <w:bCs/>
          <w:sz w:val="24"/>
          <w:szCs w:val="24"/>
          <w:lang w:eastAsia="zh-CN"/>
        </w:rPr>
        <w:t>）</w:t>
      </w:r>
      <w:r>
        <w:rPr>
          <w:rFonts w:hint="eastAsia" w:ascii="宋体" w:hAnsi="宋体" w:eastAsia="宋体" w:cs="宋体"/>
          <w:b/>
          <w:bCs/>
          <w:sz w:val="24"/>
          <w:szCs w:val="24"/>
        </w:rPr>
        <w:t>视频采集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能够采集和传输不同分辨率下的昼夜实时视频；</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支持视频的亮度、对比度、饱和度等参数的动态调节；</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2</w:t>
      </w:r>
      <w:r>
        <w:rPr>
          <w:rFonts w:hint="eastAsia" w:ascii="宋体" w:hAnsi="宋体" w:cs="宋体"/>
          <w:b/>
          <w:bCs/>
          <w:sz w:val="24"/>
          <w:szCs w:val="24"/>
          <w:lang w:eastAsia="zh-CN"/>
        </w:rPr>
        <w:t>）</w:t>
      </w:r>
      <w:r>
        <w:rPr>
          <w:rFonts w:hint="eastAsia" w:ascii="宋体" w:hAnsi="宋体" w:eastAsia="宋体" w:cs="宋体"/>
          <w:b/>
          <w:bCs/>
          <w:sz w:val="24"/>
          <w:szCs w:val="24"/>
        </w:rPr>
        <w:t>运行维护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能够提供摄像机的工作状态；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能够支持中心对摄像机的批量校时；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能够远程重启摄像机；</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3</w:t>
      </w:r>
      <w:r>
        <w:rPr>
          <w:rFonts w:hint="eastAsia" w:ascii="宋体" w:hAnsi="宋体" w:cs="宋体"/>
          <w:b/>
          <w:bCs/>
          <w:sz w:val="24"/>
          <w:szCs w:val="24"/>
          <w:lang w:eastAsia="zh-CN"/>
        </w:rPr>
        <w:t>）</w:t>
      </w:r>
      <w:r>
        <w:rPr>
          <w:rFonts w:hint="eastAsia" w:ascii="宋体" w:hAnsi="宋体" w:eastAsia="宋体" w:cs="宋体"/>
          <w:b/>
          <w:bCs/>
          <w:sz w:val="24"/>
          <w:szCs w:val="24"/>
        </w:rPr>
        <w:t>智能分析</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通过部署在中心各处的智能化摄像机实现对中心办事人员的异常行为进行分析预警。包括如下能力：</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4</w:t>
      </w:r>
      <w:r>
        <w:rPr>
          <w:rFonts w:hint="eastAsia" w:ascii="宋体" w:hAnsi="宋体" w:cs="宋体"/>
          <w:b/>
          <w:bCs/>
          <w:sz w:val="24"/>
          <w:szCs w:val="24"/>
          <w:lang w:eastAsia="zh-CN"/>
        </w:rPr>
        <w:t>）</w:t>
      </w:r>
      <w:r>
        <w:rPr>
          <w:rFonts w:hint="eastAsia" w:ascii="宋体" w:hAnsi="宋体" w:eastAsia="宋体" w:cs="宋体"/>
          <w:b/>
          <w:bCs/>
          <w:sz w:val="24"/>
          <w:szCs w:val="24"/>
        </w:rPr>
        <w:t>行为侦测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视频监控摄像机全面支持智能分析功能，可以有效提升监控系统的投资效果，降低监控人员工作量，大厅场景相关的智能分析技术：</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5</w:t>
      </w:r>
      <w:r>
        <w:rPr>
          <w:rFonts w:hint="eastAsia" w:ascii="宋体" w:hAnsi="宋体" w:cs="宋体"/>
          <w:b/>
          <w:bCs/>
          <w:sz w:val="24"/>
          <w:szCs w:val="24"/>
          <w:lang w:eastAsia="zh-CN"/>
        </w:rPr>
        <w:t>）</w:t>
      </w:r>
      <w:r>
        <w:rPr>
          <w:rFonts w:hint="eastAsia" w:ascii="宋体" w:hAnsi="宋体" w:eastAsia="宋体" w:cs="宋体"/>
          <w:b/>
          <w:bCs/>
          <w:sz w:val="24"/>
          <w:szCs w:val="24"/>
        </w:rPr>
        <w:t>越界侦测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侦测是否有目标按指定方向越过指定界线。当有目标越过指定界线时触发报警，并触发相应的报警联动方式</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6</w:t>
      </w:r>
      <w:r>
        <w:rPr>
          <w:rFonts w:hint="eastAsia" w:ascii="宋体" w:hAnsi="宋体" w:cs="宋体"/>
          <w:b/>
          <w:bCs/>
          <w:sz w:val="24"/>
          <w:szCs w:val="24"/>
          <w:lang w:eastAsia="zh-CN"/>
        </w:rPr>
        <w:t>）</w:t>
      </w:r>
      <w:r>
        <w:rPr>
          <w:rFonts w:hint="eastAsia" w:ascii="宋体" w:hAnsi="宋体" w:eastAsia="宋体" w:cs="宋体"/>
          <w:b/>
          <w:bCs/>
          <w:sz w:val="24"/>
          <w:szCs w:val="24"/>
        </w:rPr>
        <w:t>区域入侵侦测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检测在指定区域内是否有指定目标入侵。目标入侵触发报警所需时长由用户设定；支持检测多目标同时入侵；警戒区域设置多样化，如防区形状和数量；并具有多种报警联动方式</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7</w:t>
      </w:r>
      <w:r>
        <w:rPr>
          <w:rFonts w:hint="eastAsia" w:ascii="宋体" w:hAnsi="宋体" w:cs="宋体"/>
          <w:b/>
          <w:bCs/>
          <w:sz w:val="24"/>
          <w:szCs w:val="24"/>
          <w:lang w:eastAsia="zh-CN"/>
        </w:rPr>
        <w:t>）</w:t>
      </w:r>
      <w:r>
        <w:rPr>
          <w:rFonts w:hint="eastAsia" w:ascii="宋体" w:hAnsi="宋体" w:eastAsia="宋体" w:cs="宋体"/>
          <w:b/>
          <w:bCs/>
          <w:sz w:val="24"/>
          <w:szCs w:val="24"/>
        </w:rPr>
        <w:t>徘徊侦测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检测是否有目标在指定区域内徘徊超过设定的时间。检测时间长度由用户设定；警戒区域设置多样化；自动检测防区内滞留超过所设定时间的入侵者；</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8</w:t>
      </w:r>
      <w:r>
        <w:rPr>
          <w:rFonts w:hint="eastAsia" w:ascii="宋体" w:hAnsi="宋体" w:cs="宋体"/>
          <w:b/>
          <w:bCs/>
          <w:sz w:val="24"/>
          <w:szCs w:val="24"/>
          <w:lang w:eastAsia="zh-CN"/>
        </w:rPr>
        <w:t>）</w:t>
      </w:r>
      <w:r>
        <w:rPr>
          <w:rFonts w:hint="eastAsia" w:ascii="宋体" w:hAnsi="宋体" w:eastAsia="宋体" w:cs="宋体"/>
          <w:b/>
          <w:bCs/>
          <w:sz w:val="24"/>
          <w:szCs w:val="24"/>
        </w:rPr>
        <w:t>物品遗留侦测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检测指定区域是否出现遗留物体。检测区域设置多样化；检测物品遗留时间由用户指定；</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9</w:t>
      </w:r>
      <w:r>
        <w:rPr>
          <w:rFonts w:hint="eastAsia" w:ascii="宋体" w:hAnsi="宋体" w:cs="宋体"/>
          <w:b/>
          <w:bCs/>
          <w:sz w:val="24"/>
          <w:szCs w:val="24"/>
          <w:lang w:eastAsia="zh-CN"/>
        </w:rPr>
        <w:t>）</w:t>
      </w:r>
      <w:r>
        <w:rPr>
          <w:rFonts w:hint="eastAsia" w:ascii="宋体" w:hAnsi="宋体" w:eastAsia="宋体" w:cs="宋体"/>
          <w:b/>
          <w:bCs/>
          <w:sz w:val="24"/>
          <w:szCs w:val="24"/>
        </w:rPr>
        <w:t>物品拿取侦测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检测指定区域是否有物体被拿取。检测区域设置多样化；检测物品拿取时间由用户指定；</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10</w:t>
      </w:r>
      <w:r>
        <w:rPr>
          <w:rFonts w:hint="eastAsia" w:ascii="宋体" w:hAnsi="宋体" w:cs="宋体"/>
          <w:b/>
          <w:bCs/>
          <w:sz w:val="24"/>
          <w:szCs w:val="24"/>
          <w:lang w:eastAsia="zh-CN"/>
        </w:rPr>
        <w:t>）</w:t>
      </w:r>
      <w:r>
        <w:rPr>
          <w:rFonts w:hint="eastAsia" w:ascii="宋体" w:hAnsi="宋体" w:eastAsia="宋体" w:cs="宋体"/>
          <w:b/>
          <w:bCs/>
          <w:sz w:val="24"/>
          <w:szCs w:val="24"/>
        </w:rPr>
        <w:t>人员聚集侦测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检测在指定区域内的人员密度是否大于阈值。阈值由用户设定；检测区域设置多样化，如防区形状和数量；</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11</w:t>
      </w:r>
      <w:r>
        <w:rPr>
          <w:rFonts w:hint="eastAsia" w:ascii="宋体" w:hAnsi="宋体" w:cs="宋体"/>
          <w:b/>
          <w:bCs/>
          <w:sz w:val="24"/>
          <w:szCs w:val="24"/>
          <w:lang w:eastAsia="zh-CN"/>
        </w:rPr>
        <w:t>）</w:t>
      </w:r>
      <w:r>
        <w:rPr>
          <w:rFonts w:hint="eastAsia" w:ascii="宋体" w:hAnsi="宋体" w:eastAsia="宋体" w:cs="宋体"/>
          <w:b/>
          <w:bCs/>
          <w:sz w:val="24"/>
          <w:szCs w:val="24"/>
        </w:rPr>
        <w:t>快速移动侦测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检测是否有目标在指定区域内的运动速度大于阈值。阈值由用户设定；检测区域设置多样化，如防区形状和数量；自动检测防区内运动过快的目标；</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12</w:t>
      </w:r>
      <w:r>
        <w:rPr>
          <w:rFonts w:hint="eastAsia" w:ascii="宋体" w:hAnsi="宋体" w:cs="宋体"/>
          <w:b/>
          <w:bCs/>
          <w:sz w:val="24"/>
          <w:szCs w:val="24"/>
          <w:lang w:eastAsia="zh-CN"/>
        </w:rPr>
        <w:t>）</w:t>
      </w:r>
      <w:r>
        <w:rPr>
          <w:rFonts w:hint="eastAsia" w:ascii="宋体" w:hAnsi="宋体" w:eastAsia="宋体" w:cs="宋体"/>
          <w:b/>
          <w:bCs/>
          <w:sz w:val="24"/>
          <w:szCs w:val="24"/>
        </w:rPr>
        <w:t>异常侦测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虚焦侦测通过对视频图像中存在的虚焦问题进行智能分析并给出结果，对虚焦视频进行自动提醒功能。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场景变更侦测能分析被监控场景是否发生变更，一旦发生变更则会触发报警。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音频侦测功能是通过对声音的强度进行检测，对于拾音器断开、超过一定声音强度阈值或超过一定声音突变的变化量阈值可实现自动预警功能。</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13</w:t>
      </w:r>
      <w:r>
        <w:rPr>
          <w:rFonts w:hint="eastAsia" w:ascii="宋体" w:hAnsi="宋体" w:cs="宋体"/>
          <w:b/>
          <w:bCs/>
          <w:sz w:val="24"/>
          <w:szCs w:val="24"/>
          <w:lang w:eastAsia="zh-CN"/>
        </w:rPr>
        <w:t>）</w:t>
      </w:r>
      <w:r>
        <w:rPr>
          <w:rFonts w:hint="eastAsia" w:ascii="宋体" w:hAnsi="宋体" w:eastAsia="宋体" w:cs="宋体"/>
          <w:b/>
          <w:bCs/>
          <w:sz w:val="24"/>
          <w:szCs w:val="24"/>
        </w:rPr>
        <w:t>客流统计</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基于智能视频分析技术对客流量进行统计，可统计进入和离开的人数；对客流量进行周期性统计，进行报表输出。</w:t>
      </w:r>
    </w:p>
    <w:p>
      <w:pPr>
        <w:spacing w:line="360" w:lineRule="auto"/>
        <w:ind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14</w:t>
      </w:r>
      <w:r>
        <w:rPr>
          <w:rFonts w:hint="eastAsia" w:ascii="宋体" w:hAnsi="宋体" w:cs="宋体"/>
          <w:b/>
          <w:bCs/>
          <w:sz w:val="24"/>
          <w:szCs w:val="24"/>
          <w:lang w:eastAsia="zh-CN"/>
        </w:rPr>
        <w:t>）</w:t>
      </w:r>
      <w:r>
        <w:rPr>
          <w:rFonts w:hint="eastAsia" w:ascii="宋体" w:hAnsi="宋体" w:eastAsia="宋体" w:cs="宋体"/>
          <w:b/>
          <w:bCs/>
          <w:sz w:val="24"/>
          <w:szCs w:val="24"/>
        </w:rPr>
        <w:t>视频实时预览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获得各个出入口区域、大厅区域清晰的实时监控图像，随时掌握出入口人员进出情况、人员分布情况。</w:t>
      </w:r>
    </w:p>
    <w:p>
      <w:pPr>
        <w:spacing w:line="360" w:lineRule="auto"/>
        <w:rPr>
          <w:rFonts w:ascii="宋体" w:hAnsi="宋体" w:eastAsia="宋体" w:cs="宋体"/>
          <w:b/>
          <w:bCs/>
          <w:sz w:val="24"/>
          <w:szCs w:val="24"/>
        </w:rPr>
      </w:pPr>
      <w:r>
        <w:rPr>
          <w:rFonts w:hint="eastAsia" w:ascii="宋体" w:hAnsi="宋体" w:cs="宋体"/>
          <w:b/>
          <w:bCs/>
          <w:sz w:val="24"/>
          <w:szCs w:val="24"/>
          <w:lang w:val="en-US" w:eastAsia="zh-CN"/>
        </w:rPr>
        <w:t>3、</w:t>
      </w:r>
      <w:r>
        <w:rPr>
          <w:rFonts w:hint="eastAsia" w:ascii="宋体" w:hAnsi="宋体" w:eastAsia="宋体" w:cs="宋体"/>
          <w:b/>
          <w:bCs/>
          <w:sz w:val="24"/>
          <w:szCs w:val="24"/>
        </w:rPr>
        <w:t>PAD终端</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应政务服务2.0硬件配置要求，为中心大厅办事员工对应工位补充75台智能终端PAD，为办事群众提供评价终端，通过浙江省好差评系统汇聚好差评数据</w:t>
      </w:r>
      <w:r>
        <w:rPr>
          <w:rFonts w:hint="eastAsia" w:ascii="宋体" w:hAnsi="宋体" w:cs="宋体"/>
          <w:sz w:val="24"/>
          <w:szCs w:val="24"/>
          <w:lang w:eastAsia="zh-CN"/>
        </w:rPr>
        <w:t>。</w:t>
      </w:r>
    </w:p>
    <w:p>
      <w:pPr>
        <w:spacing w:line="360" w:lineRule="auto"/>
        <w:rPr>
          <w:rFonts w:ascii="宋体" w:hAnsi="宋体" w:eastAsia="宋体" w:cs="宋体"/>
          <w:b/>
          <w:bCs/>
          <w:sz w:val="24"/>
          <w:szCs w:val="24"/>
        </w:rPr>
      </w:pPr>
      <w:r>
        <w:rPr>
          <w:rFonts w:hint="eastAsia" w:ascii="宋体" w:hAnsi="宋体" w:cs="宋体"/>
          <w:b/>
          <w:bCs/>
          <w:sz w:val="24"/>
          <w:szCs w:val="24"/>
          <w:lang w:val="en-US" w:eastAsia="zh-CN"/>
        </w:rPr>
        <w:t>4、</w:t>
      </w:r>
      <w:r>
        <w:rPr>
          <w:rFonts w:hint="eastAsia" w:ascii="宋体" w:hAnsi="宋体" w:eastAsia="宋体" w:cs="宋体"/>
          <w:b/>
          <w:bCs/>
          <w:sz w:val="24"/>
          <w:szCs w:val="24"/>
        </w:rPr>
        <w:t>设备参数</w:t>
      </w:r>
    </w:p>
    <w:tbl>
      <w:tblPr>
        <w:tblStyle w:val="19"/>
        <w:tblW w:w="9206" w:type="dxa"/>
        <w:tblInd w:w="0" w:type="dxa"/>
        <w:tblLayout w:type="fixed"/>
        <w:tblCellMar>
          <w:top w:w="0" w:type="dxa"/>
          <w:left w:w="108" w:type="dxa"/>
          <w:bottom w:w="0" w:type="dxa"/>
          <w:right w:w="108" w:type="dxa"/>
        </w:tblCellMar>
      </w:tblPr>
      <w:tblGrid>
        <w:gridCol w:w="729"/>
        <w:gridCol w:w="945"/>
        <w:gridCol w:w="6000"/>
        <w:gridCol w:w="826"/>
        <w:gridCol w:w="706"/>
      </w:tblGrid>
      <w:tr>
        <w:tblPrEx>
          <w:tblCellMar>
            <w:top w:w="0" w:type="dxa"/>
            <w:left w:w="108" w:type="dxa"/>
            <w:bottom w:w="0" w:type="dxa"/>
            <w:right w:w="108" w:type="dxa"/>
          </w:tblCellMar>
        </w:tblPrEx>
        <w:trPr>
          <w:trHeight w:val="20" w:hRule="atLeast"/>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rPr>
            </w:pPr>
            <w:r>
              <w:rPr>
                <w:rFonts w:hint="eastAsia" w:ascii="宋体" w:hAnsi="宋体" w:eastAsia="宋体" w:cs="宋体"/>
                <w:b/>
                <w:bCs/>
              </w:rPr>
              <w:t>序号</w:t>
            </w:r>
          </w:p>
        </w:tc>
        <w:tc>
          <w:tcPr>
            <w:tcW w:w="94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rPr>
            </w:pPr>
            <w:r>
              <w:rPr>
                <w:rFonts w:hint="eastAsia" w:ascii="宋体" w:hAnsi="宋体" w:eastAsia="宋体" w:cs="宋体"/>
                <w:b/>
                <w:bCs/>
              </w:rPr>
              <w:t>硬件 名称</w:t>
            </w:r>
          </w:p>
        </w:tc>
        <w:tc>
          <w:tcPr>
            <w:tcW w:w="60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rPr>
            </w:pPr>
            <w:r>
              <w:rPr>
                <w:rFonts w:hint="eastAsia" w:ascii="宋体" w:hAnsi="宋体" w:eastAsia="宋体" w:cs="宋体"/>
                <w:b/>
                <w:bCs/>
              </w:rPr>
              <w:t>新  参  数</w:t>
            </w:r>
          </w:p>
        </w:tc>
        <w:tc>
          <w:tcPr>
            <w:tcW w:w="8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rPr>
            </w:pPr>
            <w:r>
              <w:rPr>
                <w:rFonts w:hint="eastAsia" w:ascii="宋体" w:hAnsi="宋体" w:eastAsia="宋体" w:cs="宋体"/>
                <w:b/>
                <w:bCs/>
              </w:rPr>
              <w:t>数量</w:t>
            </w:r>
          </w:p>
        </w:tc>
        <w:tc>
          <w:tcPr>
            <w:tcW w:w="70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rPr>
            </w:pPr>
            <w:r>
              <w:rPr>
                <w:rFonts w:hint="eastAsia" w:ascii="宋体" w:hAnsi="宋体" w:eastAsia="宋体" w:cs="宋体"/>
                <w:b/>
                <w:bCs/>
              </w:rPr>
              <w:t>单位</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政务大厅智能终端PAD（含支架）</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屏幕尺寸  ≥10.4英寸</w:t>
            </w:r>
          </w:p>
          <w:p>
            <w:pPr>
              <w:widowControl/>
              <w:jc w:val="left"/>
              <w:rPr>
                <w:rFonts w:ascii="宋体" w:hAnsi="宋体" w:eastAsia="宋体" w:cs="宋体"/>
              </w:rPr>
            </w:pPr>
            <w:r>
              <w:rPr>
                <w:rFonts w:hint="eastAsia" w:ascii="宋体" w:hAnsi="宋体" w:eastAsia="宋体" w:cs="宋体"/>
              </w:rPr>
              <w:t>分辨率  ≥2000 x 1200</w:t>
            </w:r>
          </w:p>
          <w:p>
            <w:pPr>
              <w:widowControl/>
              <w:jc w:val="left"/>
              <w:rPr>
                <w:rFonts w:ascii="宋体" w:hAnsi="宋体" w:eastAsia="宋体" w:cs="宋体"/>
              </w:rPr>
            </w:pPr>
            <w:r>
              <w:rPr>
                <w:rFonts w:hint="eastAsia" w:ascii="宋体" w:hAnsi="宋体" w:eastAsia="宋体" w:cs="宋体"/>
              </w:rPr>
              <w:t>屏幕色彩  ≥1670万色</w:t>
            </w:r>
          </w:p>
          <w:p>
            <w:pPr>
              <w:widowControl/>
              <w:jc w:val="left"/>
              <w:rPr>
                <w:rFonts w:ascii="宋体" w:hAnsi="宋体" w:eastAsia="宋体" w:cs="宋体"/>
              </w:rPr>
            </w:pPr>
            <w:r>
              <w:rPr>
                <w:rFonts w:hint="eastAsia" w:ascii="宋体" w:hAnsi="宋体" w:eastAsia="宋体" w:cs="宋体"/>
              </w:rPr>
              <w:t>电池容量  ≥7250 mAh</w:t>
            </w:r>
          </w:p>
          <w:p>
            <w:pPr>
              <w:widowControl/>
              <w:jc w:val="left"/>
              <w:rPr>
                <w:rFonts w:ascii="宋体" w:hAnsi="宋体" w:eastAsia="宋体" w:cs="宋体"/>
              </w:rPr>
            </w:pPr>
            <w:r>
              <w:rPr>
                <w:rFonts w:hint="eastAsia" w:ascii="宋体" w:hAnsi="宋体" w:eastAsia="宋体" w:cs="宋体"/>
              </w:rPr>
              <w:t>CPU核数  八核，1 x A76 Based 2.36 GHz + 3 x A76 Based 2.22 GHz + 4 x A55 Based 1.84 GHz</w:t>
            </w:r>
            <w:r>
              <w:rPr>
                <w:rFonts w:hint="eastAsia" w:ascii="宋体" w:hAnsi="宋体" w:eastAsia="宋体" w:cs="宋体"/>
              </w:rPr>
              <w:br w:type="textWrapping"/>
            </w:r>
            <w:r>
              <w:rPr>
                <w:rFonts w:hint="eastAsia" w:ascii="宋体" w:hAnsi="宋体" w:eastAsia="宋体" w:cs="宋体"/>
              </w:rPr>
              <w:t>运行内存（RAM）  ≥4GB</w:t>
            </w:r>
            <w:r>
              <w:rPr>
                <w:rFonts w:hint="eastAsia" w:ascii="宋体" w:hAnsi="宋体" w:eastAsia="宋体" w:cs="宋体"/>
              </w:rPr>
              <w:br w:type="textWrapping"/>
            </w:r>
            <w:r>
              <w:rPr>
                <w:rFonts w:hint="eastAsia" w:ascii="宋体" w:hAnsi="宋体" w:eastAsia="宋体" w:cs="宋体"/>
              </w:rPr>
              <w:t>存储容量（ROM）  ≥64GB</w:t>
            </w:r>
            <w:r>
              <w:rPr>
                <w:rFonts w:hint="eastAsia" w:ascii="宋体" w:hAnsi="宋体" w:eastAsia="宋体" w:cs="宋体"/>
              </w:rPr>
              <w:br w:type="textWrapping"/>
            </w:r>
            <w:r>
              <w:rPr>
                <w:rFonts w:hint="eastAsia" w:ascii="宋体" w:hAnsi="宋体" w:eastAsia="宋体" w:cs="宋体"/>
              </w:rPr>
              <w:t>前置摄像头  ≥800万像素, 固定焦距</w:t>
            </w:r>
            <w:r>
              <w:rPr>
                <w:rFonts w:hint="eastAsia" w:ascii="宋体" w:hAnsi="宋体" w:eastAsia="宋体" w:cs="宋体"/>
              </w:rPr>
              <w:br w:type="textWrapping"/>
            </w:r>
            <w:r>
              <w:rPr>
                <w:rFonts w:hint="eastAsia" w:ascii="宋体" w:hAnsi="宋体" w:eastAsia="宋体" w:cs="宋体"/>
              </w:rPr>
              <w:t>后置摄像头  ≥800万像素, 自动对焦</w:t>
            </w:r>
            <w:r>
              <w:rPr>
                <w:rFonts w:hint="eastAsia" w:ascii="宋体" w:hAnsi="宋体" w:eastAsia="宋体" w:cs="宋体"/>
              </w:rPr>
              <w:br w:type="textWrapping"/>
            </w:r>
            <w:r>
              <w:rPr>
                <w:rFonts w:hint="eastAsia" w:ascii="宋体" w:hAnsi="宋体" w:eastAsia="宋体" w:cs="宋体"/>
              </w:rPr>
              <w:t>扩展支持  MicroSD（最高支持到 512GB）</w:t>
            </w:r>
          </w:p>
          <w:p>
            <w:pPr>
              <w:widowControl/>
              <w:jc w:val="left"/>
              <w:rPr>
                <w:rFonts w:ascii="宋体" w:hAnsi="宋体" w:eastAsia="宋体" w:cs="宋体"/>
              </w:rPr>
            </w:pPr>
            <w:r>
              <w:rPr>
                <w:rFonts w:hint="eastAsia" w:ascii="宋体" w:hAnsi="宋体" w:eastAsia="宋体" w:cs="宋体"/>
              </w:rPr>
              <w:t>提供支撑支架</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75</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无线路由器</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1、1800M双频全千兆家用Wi-Fi6无线路由器，企业级芯片方案，千兆宽带接入能力，双核4线程CPU，支持硬件NAT，带机≥48台终端，无线：双频1800Mbps；有线：1WAN+4LAN共5个千兆网口，支持最新802.11AX标准，支持WI-FI无缝漫游，内置2+2独立高性能信号放大器</w:t>
            </w:r>
          </w:p>
          <w:p>
            <w:pPr>
              <w:widowControl/>
              <w:jc w:val="left"/>
              <w:rPr>
                <w:rFonts w:ascii="宋体" w:hAnsi="宋体" w:eastAsia="宋体" w:cs="宋体"/>
              </w:rPr>
            </w:pPr>
            <w:r>
              <w:rPr>
                <w:rFonts w:ascii="宋体" w:hAnsi="宋体" w:eastAsia="宋体" w:cs="宋体"/>
              </w:rPr>
              <w:t>2</w:t>
            </w:r>
            <w:r>
              <w:rPr>
                <w:rFonts w:hint="eastAsia" w:ascii="宋体" w:hAnsi="宋体" w:eastAsia="宋体" w:cs="宋体"/>
              </w:rPr>
              <w:t>、★产品有1个一键桥接按键，1个系统重置按键，提供官网截图和链接</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12</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个</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3</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720度VR全景相机（加支架及存储卡）</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类型    全景相机</w:t>
            </w:r>
            <w:r>
              <w:rPr>
                <w:rFonts w:hint="eastAsia" w:ascii="宋体" w:hAnsi="宋体" w:eastAsia="宋体" w:cs="宋体"/>
              </w:rPr>
              <w:br w:type="textWrapping"/>
            </w:r>
            <w:r>
              <w:rPr>
                <w:rFonts w:hint="eastAsia" w:ascii="宋体" w:hAnsi="宋体" w:eastAsia="宋体" w:cs="宋体"/>
              </w:rPr>
              <w:t>传感器类型    CMOS</w:t>
            </w:r>
            <w:r>
              <w:rPr>
                <w:rFonts w:hint="eastAsia" w:ascii="宋体" w:hAnsi="宋体" w:eastAsia="宋体" w:cs="宋体"/>
              </w:rPr>
              <w:br w:type="textWrapping"/>
            </w:r>
            <w:r>
              <w:rPr>
                <w:rFonts w:hint="eastAsia" w:ascii="宋体" w:hAnsi="宋体" w:eastAsia="宋体" w:cs="宋体"/>
              </w:rPr>
              <w:t>有效像素    1000-1199万</w:t>
            </w:r>
            <w:r>
              <w:rPr>
                <w:rFonts w:hint="eastAsia" w:ascii="宋体" w:hAnsi="宋体" w:eastAsia="宋体" w:cs="宋体"/>
              </w:rPr>
              <w:br w:type="textWrapping"/>
            </w:r>
            <w:r>
              <w:rPr>
                <w:rFonts w:hint="eastAsia" w:ascii="宋体" w:hAnsi="宋体" w:eastAsia="宋体" w:cs="宋体"/>
              </w:rPr>
              <w:t>光学变焦倍数    0-4倍</w:t>
            </w:r>
            <w:r>
              <w:rPr>
                <w:rFonts w:hint="eastAsia" w:ascii="宋体" w:hAnsi="宋体" w:eastAsia="宋体" w:cs="宋体"/>
              </w:rPr>
              <w:br w:type="textWrapping"/>
            </w:r>
            <w:r>
              <w:rPr>
                <w:rFonts w:hint="eastAsia" w:ascii="宋体" w:hAnsi="宋体" w:eastAsia="宋体" w:cs="宋体"/>
              </w:rPr>
              <w:t>白平衡模式    自动</w:t>
            </w:r>
            <w:r>
              <w:rPr>
                <w:rFonts w:hint="eastAsia" w:ascii="宋体" w:hAnsi="宋体" w:eastAsia="宋体" w:cs="宋体"/>
              </w:rPr>
              <w:br w:type="textWrapping"/>
            </w:r>
            <w:r>
              <w:rPr>
                <w:rFonts w:hint="eastAsia" w:ascii="宋体" w:hAnsi="宋体" w:eastAsia="宋体" w:cs="宋体"/>
              </w:rPr>
              <w:t>ISO感光度    100～1600</w:t>
            </w:r>
            <w:r>
              <w:rPr>
                <w:rFonts w:hint="eastAsia" w:ascii="宋体" w:hAnsi="宋体" w:eastAsia="宋体" w:cs="宋体"/>
              </w:rPr>
              <w:br w:type="textWrapping"/>
            </w:r>
            <w:r>
              <w:rPr>
                <w:rFonts w:hint="eastAsia" w:ascii="宋体" w:hAnsi="宋体" w:eastAsia="宋体" w:cs="宋体"/>
              </w:rPr>
              <w:t>滤镜直径    其他</w:t>
            </w:r>
            <w:r>
              <w:rPr>
                <w:rFonts w:hint="eastAsia" w:ascii="宋体" w:hAnsi="宋体" w:eastAsia="宋体" w:cs="宋体"/>
              </w:rPr>
              <w:br w:type="textWrapping"/>
            </w:r>
            <w:r>
              <w:rPr>
                <w:rFonts w:hint="eastAsia" w:ascii="宋体" w:hAnsi="宋体" w:eastAsia="宋体" w:cs="宋体"/>
              </w:rPr>
              <w:t>最近对焦距离    约10cm</w:t>
            </w:r>
            <w:r>
              <w:rPr>
                <w:rFonts w:hint="eastAsia" w:ascii="宋体" w:hAnsi="宋体" w:eastAsia="宋体" w:cs="宋体"/>
              </w:rPr>
              <w:br w:type="textWrapping"/>
            </w:r>
            <w:r>
              <w:rPr>
                <w:rFonts w:hint="eastAsia" w:ascii="宋体" w:hAnsi="宋体" w:eastAsia="宋体" w:cs="宋体"/>
              </w:rPr>
              <w:t>最大光圈    F2</w:t>
            </w:r>
            <w:r>
              <w:rPr>
                <w:rFonts w:hint="eastAsia" w:ascii="宋体" w:hAnsi="宋体" w:eastAsia="宋体" w:cs="宋体"/>
              </w:rPr>
              <w:br w:type="textWrapping"/>
            </w:r>
            <w:r>
              <w:rPr>
                <w:rFonts w:hint="eastAsia" w:ascii="宋体" w:hAnsi="宋体" w:eastAsia="宋体" w:cs="宋体"/>
              </w:rPr>
              <w:t>电池型号 内置可充电锂离子电池</w:t>
            </w:r>
            <w:r>
              <w:rPr>
                <w:rFonts w:hint="eastAsia" w:ascii="宋体" w:hAnsi="宋体" w:eastAsia="宋体" w:cs="宋体"/>
              </w:rPr>
              <w:br w:type="textWrapping"/>
            </w:r>
            <w:r>
              <w:rPr>
                <w:rFonts w:hint="eastAsia" w:ascii="宋体" w:hAnsi="宋体" w:eastAsia="宋体" w:cs="宋体"/>
              </w:rPr>
              <w:t>电池续航时间</w:t>
            </w:r>
            <w:r>
              <w:rPr>
                <w:rFonts w:ascii="宋体" w:hAnsi="宋体" w:eastAsia="宋体" w:cs="宋体"/>
              </w:rPr>
              <w:t xml:space="preserve"> </w:t>
            </w:r>
            <w:r>
              <w:rPr>
                <w:rFonts w:hint="eastAsia" w:ascii="宋体" w:hAnsi="宋体" w:eastAsia="宋体" w:cs="宋体"/>
              </w:rPr>
              <w:t>约500张</w:t>
            </w:r>
            <w:r>
              <w:rPr>
                <w:rFonts w:hint="eastAsia" w:ascii="宋体" w:hAnsi="宋体" w:eastAsia="宋体" w:cs="宋体"/>
              </w:rPr>
              <w:br w:type="textWrapping"/>
            </w:r>
            <w:r>
              <w:rPr>
                <w:rFonts w:hint="eastAsia" w:ascii="宋体" w:hAnsi="宋体" w:eastAsia="宋体" w:cs="宋体"/>
              </w:rPr>
              <w:t>存储介质</w:t>
            </w:r>
            <w:r>
              <w:rPr>
                <w:rFonts w:ascii="宋体" w:hAnsi="宋体" w:eastAsia="宋体" w:cs="宋体"/>
              </w:rPr>
              <w:t xml:space="preserve"> </w:t>
            </w:r>
            <w:r>
              <w:rPr>
                <w:rFonts w:hint="eastAsia" w:ascii="宋体" w:hAnsi="宋体" w:eastAsia="宋体" w:cs="宋体"/>
              </w:rPr>
              <w:t>支持TF（MicroSD）卡</w:t>
            </w:r>
            <w:r>
              <w:rPr>
                <w:rFonts w:hint="eastAsia" w:ascii="宋体" w:hAnsi="宋体" w:eastAsia="宋体" w:cs="宋体"/>
              </w:rPr>
              <w:br w:type="textWrapping"/>
            </w:r>
            <w:r>
              <w:rPr>
                <w:rFonts w:hint="eastAsia" w:ascii="宋体" w:hAnsi="宋体" w:eastAsia="宋体" w:cs="宋体"/>
              </w:rPr>
              <w:t>机身内存</w:t>
            </w:r>
            <w:r>
              <w:rPr>
                <w:rFonts w:ascii="宋体" w:hAnsi="宋体" w:eastAsia="宋体" w:cs="宋体"/>
              </w:rPr>
              <w:t xml:space="preserve"> </w:t>
            </w:r>
            <w:r>
              <w:rPr>
                <w:rFonts w:hint="eastAsia" w:ascii="宋体" w:hAnsi="宋体" w:eastAsia="宋体" w:cs="宋体"/>
              </w:rPr>
              <w:t>约14GB</w:t>
            </w:r>
            <w:r>
              <w:rPr>
                <w:rFonts w:hint="eastAsia" w:ascii="宋体" w:hAnsi="宋体" w:eastAsia="宋体" w:cs="宋体"/>
              </w:rPr>
              <w:br w:type="textWrapping"/>
            </w:r>
            <w:r>
              <w:rPr>
                <w:rFonts w:hint="eastAsia" w:ascii="宋体" w:hAnsi="宋体" w:eastAsia="宋体" w:cs="宋体"/>
              </w:rPr>
              <w:t>接口</w:t>
            </w:r>
            <w:r>
              <w:rPr>
                <w:rFonts w:ascii="宋体" w:hAnsi="宋体" w:eastAsia="宋体" w:cs="宋体"/>
              </w:rPr>
              <w:t xml:space="preserve"> </w:t>
            </w:r>
            <w:r>
              <w:rPr>
                <w:rFonts w:hint="eastAsia" w:ascii="宋体" w:hAnsi="宋体" w:eastAsia="宋体" w:cs="宋体"/>
              </w:rPr>
              <w:t xml:space="preserve">Wi-Fi </w:t>
            </w:r>
          </w:p>
          <w:p>
            <w:pPr>
              <w:widowControl/>
              <w:jc w:val="left"/>
              <w:rPr>
                <w:rFonts w:ascii="宋体" w:hAnsi="宋体" w:eastAsia="宋体" w:cs="宋体"/>
              </w:rPr>
            </w:pPr>
            <w:r>
              <w:rPr>
                <w:rFonts w:hint="eastAsia" w:ascii="宋体" w:hAnsi="宋体" w:eastAsia="宋体" w:cs="宋体"/>
              </w:rPr>
              <w:t>提供支架及64G存储卡</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套</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4</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24寸桌面显示终端</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≥23.8寸 分辨率≥1920*1080，有HDMI 接口</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20</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5</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65寸立式广告机</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屏幕尺寸：≥65英寸</w:t>
            </w:r>
            <w:r>
              <w:rPr>
                <w:rFonts w:hint="eastAsia" w:ascii="宋体" w:hAnsi="宋体" w:eastAsia="宋体" w:cs="宋体"/>
              </w:rPr>
              <w:br w:type="textWrapping"/>
            </w:r>
            <w:r>
              <w:rPr>
                <w:rFonts w:hint="eastAsia" w:ascii="宋体" w:hAnsi="宋体" w:eastAsia="宋体" w:cs="宋体"/>
              </w:rPr>
              <w:t>屏幕刷新率：60Hz</w:t>
            </w:r>
            <w:r>
              <w:rPr>
                <w:rFonts w:hint="eastAsia" w:ascii="宋体" w:hAnsi="宋体" w:eastAsia="宋体" w:cs="宋体"/>
              </w:rPr>
              <w:br w:type="textWrapping"/>
            </w:r>
            <w:r>
              <w:rPr>
                <w:rFonts w:hint="eastAsia" w:ascii="宋体" w:hAnsi="宋体" w:eastAsia="宋体" w:cs="宋体"/>
              </w:rPr>
              <w:t>分辨率：≥3840*2160dpi</w:t>
            </w:r>
            <w:r>
              <w:rPr>
                <w:rFonts w:hint="eastAsia" w:ascii="宋体" w:hAnsi="宋体" w:eastAsia="宋体" w:cs="宋体"/>
              </w:rPr>
              <w:br w:type="textWrapping"/>
            </w:r>
            <w:r>
              <w:rPr>
                <w:rFonts w:hint="eastAsia" w:ascii="宋体" w:hAnsi="宋体" w:eastAsia="宋体" w:cs="宋体"/>
              </w:rPr>
              <w:t>面板：IPS技术</w:t>
            </w:r>
            <w:r>
              <w:rPr>
                <w:rFonts w:hint="eastAsia" w:ascii="宋体" w:hAnsi="宋体" w:eastAsia="宋体" w:cs="宋体"/>
              </w:rPr>
              <w:br w:type="textWrapping"/>
            </w:r>
            <w:r>
              <w:rPr>
                <w:rFonts w:hint="eastAsia" w:ascii="宋体" w:hAnsi="宋体" w:eastAsia="宋体" w:cs="宋体"/>
              </w:rPr>
              <w:t>屏幕比例：16:9</w:t>
            </w:r>
            <w:r>
              <w:rPr>
                <w:rFonts w:hint="eastAsia" w:ascii="宋体" w:hAnsi="宋体" w:eastAsia="宋体" w:cs="宋体"/>
              </w:rPr>
              <w:br w:type="textWrapping"/>
            </w:r>
            <w:r>
              <w:rPr>
                <w:rFonts w:hint="eastAsia" w:ascii="宋体" w:hAnsi="宋体" w:eastAsia="宋体" w:cs="宋体"/>
              </w:rPr>
              <w:t>特性：商用大屏显示器，广告机/电子白板，内置音箱，触控屏，可壁挂</w:t>
            </w:r>
            <w:r>
              <w:rPr>
                <w:rFonts w:hint="eastAsia" w:ascii="宋体" w:hAnsi="宋体" w:eastAsia="宋体" w:cs="宋体"/>
              </w:rPr>
              <w:br w:type="textWrapping"/>
            </w:r>
            <w:r>
              <w:rPr>
                <w:rFonts w:hint="eastAsia" w:ascii="宋体" w:hAnsi="宋体" w:eastAsia="宋体" w:cs="宋体"/>
              </w:rPr>
              <w:t>接口：HDMI，DVI，VGA，其他</w:t>
            </w:r>
            <w:r>
              <w:rPr>
                <w:rFonts w:hint="eastAsia" w:ascii="宋体" w:hAnsi="宋体" w:eastAsia="宋体" w:cs="宋体"/>
              </w:rPr>
              <w:br w:type="textWrapping"/>
            </w:r>
            <w:r>
              <w:rPr>
                <w:rFonts w:hint="eastAsia" w:ascii="宋体" w:hAnsi="宋体" w:eastAsia="宋体" w:cs="宋体"/>
              </w:rPr>
              <w:t>系统：安卓</w:t>
            </w:r>
            <w:r>
              <w:rPr>
                <w:rFonts w:hint="eastAsia" w:ascii="宋体" w:hAnsi="宋体" w:eastAsia="宋体" w:cs="宋体"/>
              </w:rPr>
              <w:br w:type="textWrapping"/>
            </w:r>
            <w:r>
              <w:rPr>
                <w:rFonts w:hint="eastAsia" w:ascii="宋体" w:hAnsi="宋体" w:eastAsia="宋体" w:cs="宋体"/>
              </w:rPr>
              <w:t>显示：点距 0.300mm</w:t>
            </w:r>
            <w:r>
              <w:rPr>
                <w:rFonts w:hint="eastAsia" w:ascii="宋体" w:hAnsi="宋体" w:eastAsia="宋体" w:cs="宋体"/>
              </w:rPr>
              <w:br w:type="textWrapping"/>
            </w:r>
            <w:r>
              <w:rPr>
                <w:rFonts w:hint="eastAsia" w:ascii="宋体" w:hAnsi="宋体" w:eastAsia="宋体" w:cs="宋体"/>
              </w:rPr>
              <w:t>亮度：≥300cd/㎡</w:t>
            </w:r>
            <w:r>
              <w:rPr>
                <w:rFonts w:hint="eastAsia" w:ascii="宋体" w:hAnsi="宋体" w:eastAsia="宋体" w:cs="宋体"/>
              </w:rPr>
              <w:br w:type="textWrapping"/>
            </w:r>
            <w:r>
              <w:rPr>
                <w:rFonts w:hint="eastAsia" w:ascii="宋体" w:hAnsi="宋体" w:eastAsia="宋体" w:cs="宋体"/>
              </w:rPr>
              <w:t>色数：16.7M</w:t>
            </w:r>
            <w:r>
              <w:rPr>
                <w:rFonts w:hint="eastAsia" w:ascii="宋体" w:hAnsi="宋体" w:eastAsia="宋体" w:cs="宋体"/>
              </w:rPr>
              <w:br w:type="textWrapping"/>
            </w:r>
            <w:r>
              <w:rPr>
                <w:rFonts w:hint="eastAsia" w:ascii="宋体" w:hAnsi="宋体" w:eastAsia="宋体" w:cs="宋体"/>
              </w:rPr>
              <w:t>电源类型：外接电源适配器</w:t>
            </w:r>
            <w:r>
              <w:rPr>
                <w:rFonts w:hint="eastAsia" w:ascii="宋体" w:hAnsi="宋体" w:eastAsia="宋体" w:cs="宋体"/>
              </w:rPr>
              <w:br w:type="textWrapping"/>
            </w:r>
            <w:r>
              <w:rPr>
                <w:rFonts w:hint="eastAsia" w:ascii="宋体" w:hAnsi="宋体" w:eastAsia="宋体" w:cs="宋体"/>
              </w:rPr>
              <w:t>底座：普通</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8</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6</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UPS间温湿度记录仪</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保存环境： 0℃-80℃</w:t>
            </w:r>
            <w:r>
              <w:rPr>
                <w:rFonts w:hint="eastAsia" w:ascii="宋体" w:hAnsi="宋体" w:eastAsia="宋体" w:cs="宋体"/>
              </w:rPr>
              <w:br w:type="textWrapping"/>
            </w:r>
            <w:r>
              <w:rPr>
                <w:rFonts w:hint="eastAsia" w:ascii="宋体" w:hAnsi="宋体" w:eastAsia="宋体" w:cs="宋体"/>
              </w:rPr>
              <w:t>显示范围：≤0.1℃</w:t>
            </w:r>
            <w:r>
              <w:rPr>
                <w:rFonts w:hint="eastAsia" w:ascii="宋体" w:hAnsi="宋体" w:eastAsia="宋体" w:cs="宋体"/>
              </w:rPr>
              <w:br w:type="textWrapping"/>
            </w:r>
            <w:r>
              <w:rPr>
                <w:rFonts w:hint="eastAsia" w:ascii="宋体" w:hAnsi="宋体" w:eastAsia="宋体" w:cs="宋体"/>
              </w:rPr>
              <w:t>测量精度：≤±0.3℃</w:t>
            </w:r>
            <w:r>
              <w:rPr>
                <w:rFonts w:hint="eastAsia" w:ascii="宋体" w:hAnsi="宋体" w:eastAsia="宋体" w:cs="宋体"/>
              </w:rPr>
              <w:br w:type="textWrapping"/>
            </w:r>
            <w:r>
              <w:rPr>
                <w:rFonts w:hint="eastAsia" w:ascii="宋体" w:hAnsi="宋体" w:eastAsia="宋体" w:cs="宋体"/>
              </w:rPr>
              <w:t>测量距离：≥100平米</w:t>
            </w:r>
            <w:r>
              <w:rPr>
                <w:rFonts w:hint="eastAsia" w:ascii="宋体" w:hAnsi="宋体" w:eastAsia="宋体" w:cs="宋体"/>
              </w:rPr>
              <w:br w:type="textWrapping"/>
            </w:r>
            <w:r>
              <w:rPr>
                <w:rFonts w:hint="eastAsia" w:ascii="宋体" w:hAnsi="宋体" w:eastAsia="宋体" w:cs="宋体"/>
              </w:rPr>
              <w:t>测量范围： -40~80℃</w:t>
            </w:r>
            <w:r>
              <w:rPr>
                <w:rFonts w:hint="eastAsia" w:ascii="宋体" w:hAnsi="宋体" w:eastAsia="宋体" w:cs="宋体"/>
              </w:rPr>
              <w:br w:type="textWrapping"/>
            </w:r>
            <w:r>
              <w:rPr>
                <w:rFonts w:hint="eastAsia" w:ascii="宋体" w:hAnsi="宋体" w:eastAsia="宋体" w:cs="宋体"/>
              </w:rPr>
              <w:t>最大测量次数：≤3秒一次</w:t>
            </w:r>
            <w:r>
              <w:rPr>
                <w:rFonts w:hint="eastAsia" w:ascii="宋体" w:hAnsi="宋体" w:eastAsia="宋体" w:cs="宋体"/>
              </w:rPr>
              <w:br w:type="textWrapping"/>
            </w:r>
            <w:r>
              <w:rPr>
                <w:rFonts w:hint="eastAsia" w:ascii="宋体" w:hAnsi="宋体" w:eastAsia="宋体" w:cs="宋体"/>
              </w:rPr>
              <w:t>电源：220V</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套</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7</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标签打印机</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打印方式：直热/热转印：</w:t>
            </w:r>
            <w:r>
              <w:rPr>
                <w:rFonts w:hint="eastAsia" w:ascii="宋体" w:hAnsi="宋体" w:eastAsia="宋体" w:cs="宋体"/>
              </w:rPr>
              <w:br w:type="textWrapping"/>
            </w:r>
            <w:r>
              <w:rPr>
                <w:rFonts w:hint="eastAsia" w:ascii="宋体" w:hAnsi="宋体" w:eastAsia="宋体" w:cs="宋体"/>
              </w:rPr>
              <w:t>分辨率：≥300dpi;</w:t>
            </w:r>
            <w:r>
              <w:rPr>
                <w:rFonts w:hint="eastAsia" w:ascii="宋体" w:hAnsi="宋体" w:eastAsia="宋体" w:cs="宋体"/>
              </w:rPr>
              <w:br w:type="textWrapping"/>
            </w:r>
            <w:r>
              <w:rPr>
                <w:rFonts w:hint="eastAsia" w:ascii="宋体" w:hAnsi="宋体" w:eastAsia="宋体" w:cs="宋体"/>
              </w:rPr>
              <w:t>打印速度（MAX):≥102mm/秒</w:t>
            </w:r>
            <w:r>
              <w:rPr>
                <w:rFonts w:hint="eastAsia" w:ascii="宋体" w:hAnsi="宋体" w:eastAsia="宋体" w:cs="宋体"/>
              </w:rPr>
              <w:br w:type="textWrapping"/>
            </w:r>
            <w:r>
              <w:rPr>
                <w:rFonts w:hint="eastAsia" w:ascii="宋体" w:hAnsi="宋体" w:eastAsia="宋体" w:cs="宋体"/>
              </w:rPr>
              <w:t>打印宽度（MAX):≥104mm(4.09英寸）</w:t>
            </w:r>
            <w:r>
              <w:rPr>
                <w:rFonts w:hint="eastAsia" w:ascii="宋体" w:hAnsi="宋体" w:eastAsia="宋体" w:cs="宋体"/>
              </w:rPr>
              <w:br w:type="textWrapping"/>
            </w:r>
            <w:r>
              <w:rPr>
                <w:rFonts w:hint="eastAsia" w:ascii="宋体" w:hAnsi="宋体" w:eastAsia="宋体" w:cs="宋体"/>
              </w:rPr>
              <w:t>标签宽度104mm以内</w:t>
            </w:r>
            <w:r>
              <w:rPr>
                <w:rFonts w:hint="eastAsia" w:ascii="宋体" w:hAnsi="宋体" w:eastAsia="宋体" w:cs="宋体"/>
              </w:rPr>
              <w:br w:type="textWrapping"/>
            </w:r>
            <w:r>
              <w:rPr>
                <w:rFonts w:hint="eastAsia" w:ascii="宋体" w:hAnsi="宋体" w:eastAsia="宋体" w:cs="宋体"/>
              </w:rPr>
              <w:t>接口：USB,LAN</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8</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不干胶标签</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配套</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5000</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张</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9</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咨询终端（话务耳麦）</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水晶头呼叫</w:t>
            </w:r>
            <w:r>
              <w:rPr>
                <w:rFonts w:hint="eastAsia" w:ascii="宋体" w:hAnsi="宋体" w:eastAsia="宋体" w:cs="宋体"/>
              </w:rPr>
              <w:br w:type="textWrapping"/>
            </w:r>
            <w:r>
              <w:rPr>
                <w:rFonts w:hint="eastAsia" w:ascii="宋体" w:hAnsi="宋体" w:eastAsia="宋体" w:cs="宋体"/>
              </w:rPr>
              <w:t>佩戴方式  头戴式</w:t>
            </w:r>
            <w:r>
              <w:rPr>
                <w:rFonts w:hint="eastAsia" w:ascii="宋体" w:hAnsi="宋体" w:eastAsia="宋体" w:cs="宋体"/>
              </w:rPr>
              <w:br w:type="textWrapping"/>
            </w:r>
            <w:r>
              <w:rPr>
                <w:rFonts w:hint="eastAsia" w:ascii="宋体" w:hAnsi="宋体" w:eastAsia="宋体" w:cs="宋体"/>
              </w:rPr>
              <w:t>频响范围  200-6300Hz</w:t>
            </w:r>
            <w:r>
              <w:rPr>
                <w:rFonts w:hint="eastAsia" w:ascii="宋体" w:hAnsi="宋体" w:eastAsia="宋体" w:cs="宋体"/>
              </w:rPr>
              <w:br w:type="textWrapping"/>
            </w:r>
            <w:r>
              <w:rPr>
                <w:rFonts w:hint="eastAsia" w:ascii="宋体" w:hAnsi="宋体" w:eastAsia="宋体" w:cs="宋体"/>
              </w:rPr>
              <w:t>灵敏度  9dB</w:t>
            </w:r>
            <w:r>
              <w:rPr>
                <w:rFonts w:hint="eastAsia" w:ascii="宋体" w:hAnsi="宋体" w:eastAsia="宋体" w:cs="宋体"/>
              </w:rPr>
              <w:br w:type="textWrapping"/>
            </w:r>
            <w:r>
              <w:rPr>
                <w:rFonts w:hint="eastAsia" w:ascii="宋体" w:hAnsi="宋体" w:eastAsia="宋体" w:cs="宋体"/>
              </w:rPr>
              <w:t>线长  1m</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5</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个</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10</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咨询终端（视频摄像头）</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500万1/2.7”网络摄像机；</w:t>
            </w:r>
            <w:r>
              <w:rPr>
                <w:rFonts w:hint="eastAsia" w:ascii="宋体" w:hAnsi="宋体" w:eastAsia="宋体" w:cs="宋体"/>
              </w:rPr>
              <w:br w:type="textWrapping"/>
            </w:r>
            <w:r>
              <w:rPr>
                <w:rFonts w:hint="eastAsia" w:ascii="宋体" w:hAnsi="宋体" w:eastAsia="宋体" w:cs="宋体"/>
              </w:rPr>
              <w:t>★最低照度彩色：0.001lx，黑白:0.0001lx，灰度等级不小于11级。（公安部检验报告证明）</w:t>
            </w:r>
            <w:r>
              <w:rPr>
                <w:rFonts w:hint="eastAsia" w:ascii="宋体" w:hAnsi="宋体" w:eastAsia="宋体" w:cs="宋体"/>
              </w:rPr>
              <w:br w:type="textWrapping"/>
            </w:r>
            <w:r>
              <w:rPr>
                <w:rFonts w:hint="eastAsia" w:ascii="宋体" w:hAnsi="宋体" w:eastAsia="宋体" w:cs="宋体"/>
              </w:rPr>
              <w:t>快门 1/3秒至1/100,000秒；</w:t>
            </w:r>
            <w:r>
              <w:rPr>
                <w:rFonts w:hint="eastAsia" w:ascii="宋体" w:hAnsi="宋体" w:eastAsia="宋体" w:cs="宋体"/>
              </w:rPr>
              <w:br w:type="textWrapping"/>
            </w:r>
            <w:r>
              <w:rPr>
                <w:rFonts w:hint="eastAsia" w:ascii="宋体" w:hAnsi="宋体" w:eastAsia="宋体" w:cs="宋体"/>
              </w:rPr>
              <w:t>镜头 2.8mm, 水平视场角: 113.5°(4mm,6mm,8mm可选)；</w:t>
            </w:r>
            <w:r>
              <w:rPr>
                <w:rFonts w:hint="eastAsia" w:ascii="宋体" w:hAnsi="宋体" w:eastAsia="宋体" w:cs="宋体"/>
              </w:rPr>
              <w:br w:type="textWrapping"/>
            </w:r>
            <w:r>
              <w:rPr>
                <w:rFonts w:hint="eastAsia" w:ascii="宋体" w:hAnsi="宋体" w:eastAsia="宋体" w:cs="宋体"/>
              </w:rPr>
              <w:t>调整角度 水平:0°~360°;垂直:0°~ 75°;旋转:0°~360°；</w:t>
            </w:r>
            <w:r>
              <w:rPr>
                <w:rFonts w:hint="eastAsia" w:ascii="宋体" w:hAnsi="宋体" w:eastAsia="宋体" w:cs="宋体"/>
              </w:rPr>
              <w:br w:type="textWrapping"/>
            </w:r>
            <w:r>
              <w:rPr>
                <w:rFonts w:hint="eastAsia" w:ascii="宋体" w:hAnsi="宋体" w:eastAsia="宋体" w:cs="宋体"/>
              </w:rPr>
              <w:t>宽动态范围 120dB；</w:t>
            </w:r>
            <w:r>
              <w:rPr>
                <w:rFonts w:hint="eastAsia" w:ascii="宋体" w:hAnsi="宋体" w:eastAsia="宋体" w:cs="宋体"/>
              </w:rPr>
              <w:br w:type="textWrapping"/>
            </w:r>
            <w:r>
              <w:rPr>
                <w:rFonts w:hint="eastAsia" w:ascii="宋体" w:hAnsi="宋体" w:eastAsia="宋体" w:cs="宋体"/>
              </w:rPr>
              <w:t>视频压缩标准 H.265 / H.264/ MJPEG；</w:t>
            </w:r>
            <w:r>
              <w:rPr>
                <w:rFonts w:hint="eastAsia" w:ascii="宋体" w:hAnsi="宋体" w:eastAsia="宋体" w:cs="宋体"/>
              </w:rPr>
              <w:br w:type="textWrapping"/>
            </w:r>
            <w:r>
              <w:rPr>
                <w:rFonts w:hint="eastAsia" w:ascii="宋体" w:hAnsi="宋体" w:eastAsia="宋体" w:cs="宋体"/>
              </w:rPr>
              <w:t>帧率 50Hz: 25fps (1920 × 1080,1280 × 960,1280 × 720)；</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5</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个</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11</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网络摄像机（户外+地下室）</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400万1/3”CMOS ICR红外阵列筒型网络摄像机</w:t>
            </w:r>
            <w:r>
              <w:rPr>
                <w:rFonts w:hint="eastAsia" w:ascii="宋体" w:hAnsi="宋体" w:eastAsia="宋体" w:cs="宋体"/>
              </w:rPr>
              <w:br w:type="textWrapping"/>
            </w:r>
            <w:r>
              <w:rPr>
                <w:rFonts w:hint="eastAsia" w:ascii="宋体" w:hAnsi="宋体" w:eastAsia="宋体" w:cs="宋体"/>
              </w:rPr>
              <w:t>最低照度: 彩色：0.005 Lux @（F1.2，AGC ON），0 Lux with IR</w:t>
            </w:r>
            <w:r>
              <w:rPr>
                <w:rFonts w:hint="eastAsia" w:ascii="宋体" w:hAnsi="宋体" w:eastAsia="宋体" w:cs="宋体"/>
              </w:rPr>
              <w:br w:type="textWrapping"/>
            </w:r>
            <w:r>
              <w:rPr>
                <w:rFonts w:hint="eastAsia" w:ascii="宋体" w:hAnsi="宋体" w:eastAsia="宋体" w:cs="宋体"/>
              </w:rPr>
              <w:t>宽动态: 120 dB</w:t>
            </w:r>
            <w:r>
              <w:rPr>
                <w:rFonts w:hint="eastAsia" w:ascii="宋体" w:hAnsi="宋体" w:eastAsia="宋体" w:cs="宋体"/>
              </w:rPr>
              <w:br w:type="textWrapping"/>
            </w:r>
            <w:r>
              <w:rPr>
                <w:rFonts w:hint="eastAsia" w:ascii="宋体" w:hAnsi="宋体" w:eastAsia="宋体" w:cs="宋体"/>
              </w:rPr>
              <w:t>焦距&amp;视场角: 4 mm，水平视场角：78°（2.8 mm，6 mm，8 mm可选）</w:t>
            </w:r>
            <w:r>
              <w:rPr>
                <w:rFonts w:hint="eastAsia" w:ascii="宋体" w:hAnsi="宋体" w:eastAsia="宋体" w:cs="宋体"/>
              </w:rPr>
              <w:br w:type="textWrapping"/>
            </w:r>
            <w:r>
              <w:rPr>
                <w:rFonts w:hint="eastAsia" w:ascii="宋体" w:hAnsi="宋体" w:eastAsia="宋体" w:cs="宋体"/>
              </w:rPr>
              <w:t>红外距离: 最远可达30 m</w:t>
            </w:r>
            <w:r>
              <w:rPr>
                <w:rFonts w:hint="eastAsia" w:ascii="宋体" w:hAnsi="宋体" w:eastAsia="宋体" w:cs="宋体"/>
              </w:rPr>
              <w:br w:type="textWrapping"/>
            </w:r>
            <w:r>
              <w:rPr>
                <w:rFonts w:hint="eastAsia" w:ascii="宋体" w:hAnsi="宋体" w:eastAsia="宋体" w:cs="宋体"/>
              </w:rPr>
              <w:t>最大图像尺寸: 2560 × 1440</w:t>
            </w:r>
            <w:r>
              <w:rPr>
                <w:rFonts w:hint="eastAsia" w:ascii="宋体" w:hAnsi="宋体" w:eastAsia="宋体" w:cs="宋体"/>
              </w:rPr>
              <w:br w:type="textWrapping"/>
            </w:r>
            <w:r>
              <w:rPr>
                <w:rFonts w:hint="eastAsia" w:ascii="宋体" w:hAnsi="宋体" w:eastAsia="宋体" w:cs="宋体"/>
              </w:rPr>
              <w:t>视频压缩标准: 主码流：H.265/H.264</w:t>
            </w:r>
            <w:r>
              <w:rPr>
                <w:rFonts w:hint="eastAsia" w:ascii="宋体" w:hAnsi="宋体" w:eastAsia="宋体" w:cs="宋体"/>
              </w:rPr>
              <w:br w:type="textWrapping"/>
            </w:r>
            <w:r>
              <w:rPr>
                <w:rFonts w:hint="eastAsia" w:ascii="宋体" w:hAnsi="宋体" w:eastAsia="宋体" w:cs="宋体"/>
              </w:rPr>
              <w:t>网络存储: 支持NAS（NFS，SMB/CIFS均支持），支持Micro SD(即TF卡)/Micro SDHC/Micro SDXC卡（最大256 GB），断网本地录像存储及断网续传，支持SD卡加密及SD卡状态检测</w:t>
            </w:r>
            <w:r>
              <w:rPr>
                <w:rFonts w:hint="eastAsia" w:ascii="宋体" w:hAnsi="宋体" w:eastAsia="宋体" w:cs="宋体"/>
              </w:rPr>
              <w:br w:type="textWrapping"/>
            </w:r>
            <w:r>
              <w:rPr>
                <w:rFonts w:hint="eastAsia" w:ascii="宋体" w:hAnsi="宋体" w:eastAsia="宋体" w:cs="宋体"/>
              </w:rPr>
              <w:t>★内置麦克风。（公安部检验报告证明）</w:t>
            </w:r>
            <w:r>
              <w:rPr>
                <w:rFonts w:hint="eastAsia" w:ascii="宋体" w:hAnsi="宋体" w:eastAsia="宋体" w:cs="宋体"/>
              </w:rPr>
              <w:br w:type="textWrapping"/>
            </w:r>
            <w:r>
              <w:rPr>
                <w:rFonts w:hint="eastAsia" w:ascii="宋体" w:hAnsi="宋体" w:eastAsia="宋体" w:cs="宋体"/>
              </w:rPr>
              <w:t>网络: 1个RJ45 10 M/100 M自适应以太网口</w:t>
            </w:r>
            <w:r>
              <w:rPr>
                <w:rFonts w:hint="eastAsia" w:ascii="宋体" w:hAnsi="宋体" w:eastAsia="宋体" w:cs="宋体"/>
              </w:rPr>
              <w:br w:type="textWrapping"/>
            </w:r>
            <w:r>
              <w:rPr>
                <w:rFonts w:hint="eastAsia" w:ascii="宋体" w:hAnsi="宋体" w:eastAsia="宋体" w:cs="宋体"/>
              </w:rPr>
              <w:t>复位: 支持</w:t>
            </w:r>
            <w:r>
              <w:rPr>
                <w:rFonts w:hint="eastAsia" w:ascii="宋体" w:hAnsi="宋体" w:eastAsia="宋体" w:cs="宋体"/>
              </w:rPr>
              <w:br w:type="textWrapping"/>
            </w:r>
            <w:r>
              <w:rPr>
                <w:rFonts w:hint="eastAsia" w:ascii="宋体" w:hAnsi="宋体" w:eastAsia="宋体" w:cs="宋体"/>
              </w:rPr>
              <w:t>启动和工作温湿度: -30 ℃~60 ℃，湿度小于95%（无凝结）</w:t>
            </w:r>
            <w:r>
              <w:rPr>
                <w:rFonts w:hint="eastAsia" w:ascii="宋体" w:hAnsi="宋体" w:eastAsia="宋体" w:cs="宋体"/>
              </w:rPr>
              <w:br w:type="textWrapping"/>
            </w:r>
            <w:r>
              <w:rPr>
                <w:rFonts w:hint="eastAsia" w:ascii="宋体" w:hAnsi="宋体" w:eastAsia="宋体" w:cs="宋体"/>
              </w:rPr>
              <w:t>供电方式: DC：12 V±25%，支持防反接保护；PoE：802.3af</w:t>
            </w:r>
            <w:r>
              <w:rPr>
                <w:rFonts w:hint="eastAsia" w:ascii="宋体" w:hAnsi="宋体" w:eastAsia="宋体" w:cs="宋体"/>
              </w:rPr>
              <w:br w:type="textWrapping"/>
            </w:r>
            <w:r>
              <w:rPr>
                <w:rFonts w:hint="eastAsia" w:ascii="宋体" w:hAnsi="宋体" w:eastAsia="宋体" w:cs="宋体"/>
              </w:rPr>
              <w:t>电流及功耗: DC：12 V，0.55 A，最大功耗：6 W；PoE：802.3af，36 V~57 V，0.20 A~0.13 A，最大功耗：7 W</w:t>
            </w:r>
            <w:r>
              <w:rPr>
                <w:rFonts w:hint="eastAsia" w:ascii="宋体" w:hAnsi="宋体" w:eastAsia="宋体" w:cs="宋体"/>
              </w:rPr>
              <w:br w:type="textWrapping"/>
            </w:r>
            <w:r>
              <w:rPr>
                <w:rFonts w:hint="eastAsia" w:ascii="宋体" w:hAnsi="宋体" w:eastAsia="宋体" w:cs="宋体"/>
              </w:rPr>
              <w:t>电源接口类型: Ø5.5 mm圆头电源接口</w:t>
            </w:r>
            <w:r>
              <w:rPr>
                <w:rFonts w:hint="eastAsia" w:ascii="宋体" w:hAnsi="宋体" w:eastAsia="宋体" w:cs="宋体"/>
              </w:rPr>
              <w:br w:type="textWrapping"/>
            </w:r>
            <w:r>
              <w:rPr>
                <w:rFonts w:hint="eastAsia" w:ascii="宋体" w:hAnsi="宋体" w:eastAsia="宋体" w:cs="宋体"/>
              </w:rPr>
              <w:t>防护: IP66</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66</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12</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网络摄像机（室内）</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400万 1/3" CMOS ICR日夜型半球型网络摄像机</w:t>
            </w:r>
            <w:r>
              <w:rPr>
                <w:rFonts w:hint="eastAsia" w:ascii="宋体" w:hAnsi="宋体" w:eastAsia="宋体" w:cs="宋体"/>
              </w:rPr>
              <w:br w:type="textWrapping"/>
            </w:r>
            <w:r>
              <w:rPr>
                <w:rFonts w:hint="eastAsia" w:ascii="宋体" w:hAnsi="宋体" w:eastAsia="宋体" w:cs="宋体"/>
              </w:rPr>
              <w:t xml:space="preserve">最低照度: 彩色：0.005 Lux @（F1.2，AGC ON），0 Lux with IR </w:t>
            </w:r>
            <w:r>
              <w:rPr>
                <w:rFonts w:hint="eastAsia" w:ascii="宋体" w:hAnsi="宋体" w:eastAsia="宋体" w:cs="宋体"/>
              </w:rPr>
              <w:br w:type="textWrapping"/>
            </w:r>
            <w:r>
              <w:rPr>
                <w:rFonts w:hint="eastAsia" w:ascii="宋体" w:hAnsi="宋体" w:eastAsia="宋体" w:cs="宋体"/>
              </w:rPr>
              <w:t>宽动态: 120 dB</w:t>
            </w:r>
            <w:r>
              <w:rPr>
                <w:rFonts w:hint="eastAsia" w:ascii="宋体" w:hAnsi="宋体" w:eastAsia="宋体" w:cs="宋体"/>
              </w:rPr>
              <w:br w:type="textWrapping"/>
            </w:r>
            <w:r>
              <w:rPr>
                <w:rFonts w:hint="eastAsia" w:ascii="宋体" w:hAnsi="宋体" w:eastAsia="宋体" w:cs="宋体"/>
              </w:rPr>
              <w:t xml:space="preserve">调节角度: 水平：0°~360°，垂直：0°~ 75°，旋转：0°~360° </w:t>
            </w:r>
            <w:r>
              <w:rPr>
                <w:rFonts w:hint="eastAsia" w:ascii="宋体" w:hAnsi="宋体" w:eastAsia="宋体" w:cs="宋体"/>
              </w:rPr>
              <w:br w:type="textWrapping"/>
            </w:r>
            <w:r>
              <w:rPr>
                <w:rFonts w:hint="eastAsia" w:ascii="宋体" w:hAnsi="宋体" w:eastAsia="宋体" w:cs="宋体"/>
              </w:rPr>
              <w:t>焦距&amp;视场角: 4 mm，水平视场角：78°（2.8 mm，6 mm，8 mm可选）</w:t>
            </w:r>
            <w:r>
              <w:rPr>
                <w:rFonts w:hint="eastAsia" w:ascii="宋体" w:hAnsi="宋体" w:eastAsia="宋体" w:cs="宋体"/>
              </w:rPr>
              <w:br w:type="textWrapping"/>
            </w:r>
            <w:r>
              <w:rPr>
                <w:rFonts w:hint="eastAsia" w:ascii="宋体" w:hAnsi="宋体" w:eastAsia="宋体" w:cs="宋体"/>
              </w:rPr>
              <w:t>红外距离: 最远可达30 m</w:t>
            </w:r>
            <w:r>
              <w:rPr>
                <w:rFonts w:hint="eastAsia" w:ascii="宋体" w:hAnsi="宋体" w:eastAsia="宋体" w:cs="宋体"/>
              </w:rPr>
              <w:br w:type="textWrapping"/>
            </w:r>
            <w:r>
              <w:rPr>
                <w:rFonts w:hint="eastAsia" w:ascii="宋体" w:hAnsi="宋体" w:eastAsia="宋体" w:cs="宋体"/>
              </w:rPr>
              <w:t>图像尺寸: 支持2560 × 1440</w:t>
            </w:r>
            <w:r>
              <w:rPr>
                <w:rFonts w:hint="eastAsia" w:ascii="宋体" w:hAnsi="宋体" w:eastAsia="宋体" w:cs="宋体"/>
              </w:rPr>
              <w:br w:type="textWrapping"/>
            </w:r>
            <w:r>
              <w:rPr>
                <w:rFonts w:hint="eastAsia" w:ascii="宋体" w:hAnsi="宋体" w:eastAsia="宋体" w:cs="宋体"/>
              </w:rPr>
              <w:t>视频压缩标准: 主码流：H.265/H.264</w:t>
            </w:r>
            <w:r>
              <w:rPr>
                <w:rFonts w:hint="eastAsia" w:ascii="宋体" w:hAnsi="宋体" w:eastAsia="宋体" w:cs="宋体"/>
              </w:rPr>
              <w:br w:type="textWrapping"/>
            </w:r>
            <w:r>
              <w:rPr>
                <w:rFonts w:hint="eastAsia" w:ascii="宋体" w:hAnsi="宋体" w:eastAsia="宋体" w:cs="宋体"/>
              </w:rPr>
              <w:t>网络存储: 支持NAS（NFS，SMB/CIFS均支持），支持Micro SD(即TF卡)/Micro SDHC/Micro SDXC卡（最大256 GB），断网本地录像存储及断网续传，支持SD卡加密及SD卡状态检测</w:t>
            </w:r>
            <w:r>
              <w:rPr>
                <w:rFonts w:hint="eastAsia" w:ascii="宋体" w:hAnsi="宋体" w:eastAsia="宋体" w:cs="宋体"/>
              </w:rPr>
              <w:br w:type="textWrapping"/>
            </w:r>
            <w:r>
              <w:rPr>
                <w:rFonts w:hint="eastAsia" w:ascii="宋体" w:hAnsi="宋体" w:eastAsia="宋体" w:cs="宋体"/>
              </w:rPr>
              <w:t xml:space="preserve">网络: 1个RJ45 10 M/100 M自适应以太网口 </w:t>
            </w:r>
            <w:r>
              <w:rPr>
                <w:rFonts w:hint="eastAsia" w:ascii="宋体" w:hAnsi="宋体" w:eastAsia="宋体" w:cs="宋体"/>
              </w:rPr>
              <w:br w:type="textWrapping"/>
            </w:r>
            <w:r>
              <w:rPr>
                <w:rFonts w:hint="eastAsia" w:ascii="宋体" w:hAnsi="宋体" w:eastAsia="宋体" w:cs="宋体"/>
              </w:rPr>
              <w:t>音频: 1个内置麦克风，1路输入（Line in），1路输出（Line out）</w:t>
            </w:r>
            <w:r>
              <w:rPr>
                <w:rFonts w:hint="eastAsia" w:ascii="宋体" w:hAnsi="宋体" w:eastAsia="宋体" w:cs="宋体"/>
              </w:rPr>
              <w:br w:type="textWrapping"/>
            </w:r>
            <w:r>
              <w:rPr>
                <w:rFonts w:hint="eastAsia" w:ascii="宋体" w:hAnsi="宋体" w:eastAsia="宋体" w:cs="宋体"/>
              </w:rPr>
              <w:t>报警 : 1路输入，1路输出</w:t>
            </w:r>
            <w:r>
              <w:rPr>
                <w:rFonts w:hint="eastAsia" w:ascii="宋体" w:hAnsi="宋体" w:eastAsia="宋体" w:cs="宋体"/>
              </w:rPr>
              <w:br w:type="textWrapping"/>
            </w:r>
            <w:r>
              <w:rPr>
                <w:rFonts w:hint="eastAsia" w:ascii="宋体" w:hAnsi="宋体" w:eastAsia="宋体" w:cs="宋体"/>
              </w:rPr>
              <w:t>电源输出: DC12 V，100 mA，建议用于拾音器供电</w:t>
            </w:r>
            <w:r>
              <w:rPr>
                <w:rFonts w:hint="eastAsia" w:ascii="宋体" w:hAnsi="宋体" w:eastAsia="宋体" w:cs="宋体"/>
              </w:rPr>
              <w:br w:type="textWrapping"/>
            </w:r>
            <w:r>
              <w:rPr>
                <w:rFonts w:hint="eastAsia" w:ascii="宋体" w:hAnsi="宋体" w:eastAsia="宋体" w:cs="宋体"/>
              </w:rPr>
              <w:t>启动和工作温湿度: -30℃~60℃，湿度小于95%（无凝结）</w:t>
            </w:r>
            <w:r>
              <w:rPr>
                <w:rFonts w:hint="eastAsia" w:ascii="宋体" w:hAnsi="宋体" w:eastAsia="宋体" w:cs="宋体"/>
              </w:rPr>
              <w:br w:type="textWrapping"/>
            </w:r>
            <w:r>
              <w:rPr>
                <w:rFonts w:hint="eastAsia" w:ascii="宋体" w:hAnsi="宋体" w:eastAsia="宋体" w:cs="宋体"/>
              </w:rPr>
              <w:t>电流及功耗: DC：12 V，0.51 A，最大功耗：6.2 W; PoE：802.3af，36 V~57 V，0.20 A~0.13 A，最大功耗：7.5 W</w:t>
            </w:r>
            <w:r>
              <w:rPr>
                <w:rFonts w:hint="eastAsia" w:ascii="宋体" w:hAnsi="宋体" w:eastAsia="宋体" w:cs="宋体"/>
              </w:rPr>
              <w:br w:type="textWrapping"/>
            </w:r>
            <w:r>
              <w:rPr>
                <w:rFonts w:hint="eastAsia" w:ascii="宋体" w:hAnsi="宋体" w:eastAsia="宋体" w:cs="宋体"/>
              </w:rPr>
              <w:t>供电方式: DC 12 V ± 25%；PoE（802.3af）</w:t>
            </w:r>
            <w:r>
              <w:rPr>
                <w:rFonts w:hint="eastAsia" w:ascii="宋体" w:hAnsi="宋体" w:eastAsia="宋体" w:cs="宋体"/>
              </w:rPr>
              <w:br w:type="textWrapping"/>
            </w:r>
            <w:r>
              <w:rPr>
                <w:rFonts w:hint="eastAsia" w:ascii="宋体" w:hAnsi="宋体" w:eastAsia="宋体" w:cs="宋体"/>
              </w:rPr>
              <w:t xml:space="preserve">电源接口类型: Ø5.5 mm圆口  </w:t>
            </w:r>
            <w:r>
              <w:rPr>
                <w:rFonts w:hint="eastAsia" w:ascii="宋体" w:hAnsi="宋体" w:eastAsia="宋体" w:cs="宋体"/>
              </w:rPr>
              <w:br w:type="textWrapping"/>
            </w:r>
            <w:r>
              <w:rPr>
                <w:rFonts w:hint="eastAsia" w:ascii="宋体" w:hAnsi="宋体" w:eastAsia="宋体" w:cs="宋体"/>
              </w:rPr>
              <w:t>防护: IP66</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65</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13</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倾斜客流系列摄像机</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400万 1/1.8” CMOS AI智能客流统计筒型网络摄像机</w:t>
            </w:r>
          </w:p>
          <w:p>
            <w:pPr>
              <w:widowControl/>
              <w:jc w:val="left"/>
              <w:rPr>
                <w:rFonts w:ascii="宋体" w:hAnsi="宋体" w:eastAsia="宋体" w:cs="宋体"/>
              </w:rPr>
            </w:pPr>
            <w:r>
              <w:rPr>
                <w:rFonts w:hint="eastAsia" w:ascii="宋体" w:hAnsi="宋体" w:eastAsia="宋体" w:cs="宋体"/>
              </w:rPr>
              <w:t>内嵌深度学习算法</w:t>
            </w:r>
            <w:r>
              <w:rPr>
                <w:rFonts w:hint="eastAsia" w:ascii="宋体" w:hAnsi="宋体" w:eastAsia="宋体" w:cs="宋体"/>
              </w:rPr>
              <w:br w:type="textWrapping"/>
            </w:r>
            <w:r>
              <w:rPr>
                <w:rFonts w:hint="eastAsia" w:ascii="宋体" w:hAnsi="宋体" w:eastAsia="宋体" w:cs="宋体"/>
              </w:rPr>
              <w:t>★内置GPU芯片。（公安部检验报告证明）</w:t>
            </w:r>
            <w:r>
              <w:rPr>
                <w:rFonts w:hint="eastAsia" w:ascii="宋体" w:hAnsi="宋体" w:eastAsia="宋体" w:cs="宋体"/>
              </w:rPr>
              <w:br w:type="textWrapping"/>
            </w:r>
            <w:r>
              <w:rPr>
                <w:rFonts w:hint="eastAsia" w:ascii="宋体" w:hAnsi="宋体" w:eastAsia="宋体" w:cs="宋体"/>
              </w:rPr>
              <w:t>支持2种智能资源模式切换：客流量统计，人员密度检测</w:t>
            </w:r>
            <w:r>
              <w:rPr>
                <w:rFonts w:hint="eastAsia" w:ascii="宋体" w:hAnsi="宋体" w:eastAsia="宋体" w:cs="宋体"/>
              </w:rPr>
              <w:br w:type="textWrapping"/>
            </w:r>
            <w:r>
              <w:rPr>
                <w:rFonts w:hint="eastAsia" w:ascii="宋体" w:hAnsi="宋体" w:eastAsia="宋体" w:cs="宋体"/>
              </w:rPr>
              <w:t xml:space="preserve">客流量统计: </w:t>
            </w:r>
            <w:r>
              <w:rPr>
                <w:rFonts w:hint="eastAsia" w:ascii="宋体" w:hAnsi="宋体" w:eastAsia="宋体" w:cs="宋体"/>
              </w:rPr>
              <w:br w:type="textWrapping"/>
            </w:r>
            <w:r>
              <w:rPr>
                <w:rFonts w:hint="eastAsia" w:ascii="宋体" w:hAnsi="宋体" w:eastAsia="宋体" w:cs="宋体"/>
              </w:rPr>
              <w:t>深度学习算法结合智能跟踪算法，分析行人的行为轨迹，精确计算出客流人数及行走方向</w:t>
            </w:r>
            <w:r>
              <w:rPr>
                <w:rFonts w:hint="eastAsia" w:ascii="宋体" w:hAnsi="宋体" w:eastAsia="宋体" w:cs="宋体"/>
              </w:rPr>
              <w:br w:type="textWrapping"/>
            </w:r>
            <w:r>
              <w:rPr>
                <w:rFonts w:hint="eastAsia" w:ascii="宋体" w:hAnsi="宋体" w:eastAsia="宋体" w:cs="宋体"/>
              </w:rPr>
              <w:t>对计数区域分块处理，分别对进入和离开的人计数，为监控区域的人流量分析提供了数据支持</w:t>
            </w:r>
            <w:r>
              <w:rPr>
                <w:rFonts w:hint="eastAsia" w:ascii="宋体" w:hAnsi="宋体" w:eastAsia="宋体" w:cs="宋体"/>
              </w:rPr>
              <w:br w:type="textWrapping"/>
            </w:r>
            <w:r>
              <w:rPr>
                <w:rFonts w:hint="eastAsia" w:ascii="宋体" w:hAnsi="宋体" w:eastAsia="宋体" w:cs="宋体"/>
              </w:rPr>
              <w:t xml:space="preserve">人员密度检测: </w:t>
            </w:r>
            <w:r>
              <w:rPr>
                <w:rFonts w:hint="eastAsia" w:ascii="宋体" w:hAnsi="宋体" w:eastAsia="宋体" w:cs="宋体"/>
              </w:rPr>
              <w:br w:type="textWrapping"/>
            </w:r>
            <w:r>
              <w:rPr>
                <w:rFonts w:hint="eastAsia" w:ascii="宋体" w:hAnsi="宋体" w:eastAsia="宋体" w:cs="宋体"/>
              </w:rPr>
              <w:t>支持人员密度统计功能，输出当前区域实时人数概况及拥堵等级</w:t>
            </w:r>
            <w:r>
              <w:rPr>
                <w:rFonts w:hint="eastAsia" w:ascii="宋体" w:hAnsi="宋体" w:eastAsia="宋体" w:cs="宋体"/>
              </w:rPr>
              <w:br w:type="textWrapping"/>
            </w:r>
            <w:r>
              <w:rPr>
                <w:rFonts w:hint="eastAsia" w:ascii="宋体" w:hAnsi="宋体" w:eastAsia="宋体" w:cs="宋体"/>
              </w:rPr>
              <w:t>★支持倾斜客流统计，可设置最多3个允许交叉的多边形客流统计区域，每个区域均可设置统计方式为：进入、离开、进入和离开，可在预览画面实时叠加统计结果。（公安部检验报告证明）</w:t>
            </w:r>
            <w:r>
              <w:rPr>
                <w:rFonts w:hint="eastAsia" w:ascii="宋体" w:hAnsi="宋体" w:eastAsia="宋体" w:cs="宋体"/>
              </w:rPr>
              <w:br w:type="textWrapping"/>
            </w:r>
            <w:r>
              <w:rPr>
                <w:rFonts w:hint="eastAsia" w:ascii="宋体" w:hAnsi="宋体" w:eastAsia="宋体" w:cs="宋体"/>
                <w:color w:val="FF0000"/>
              </w:rPr>
              <w:t>★支持亮度异常、清晰度异常、花屏、雪花、偏色、画面冻结、增益失衡、画面抖动、条纹干扰、信号丢失、视频遮挡、光晕、紫边等故障报警功能。（公安部检验报告证明）</w:t>
            </w:r>
            <w:r>
              <w:rPr>
                <w:rFonts w:hint="eastAsia" w:ascii="宋体" w:hAnsi="宋体" w:eastAsia="宋体" w:cs="宋体"/>
              </w:rPr>
              <w:br w:type="textWrapping"/>
            </w:r>
            <w:r>
              <w:rPr>
                <w:rFonts w:hint="eastAsia" w:ascii="宋体" w:hAnsi="宋体" w:eastAsia="宋体" w:cs="宋体"/>
              </w:rPr>
              <w:t>支持联动报警，当人员密度达到设定拥堵等级时可联动产生报警警示</w:t>
            </w:r>
            <w:r>
              <w:rPr>
                <w:rFonts w:hint="eastAsia" w:ascii="宋体" w:hAnsi="宋体" w:eastAsia="宋体" w:cs="宋体"/>
              </w:rPr>
              <w:br w:type="textWrapping"/>
            </w:r>
            <w:r>
              <w:rPr>
                <w:rFonts w:hint="eastAsia" w:ascii="宋体" w:hAnsi="宋体" w:eastAsia="宋体" w:cs="宋体"/>
              </w:rPr>
              <w:t>设备内置高效专利温和补光灯，告别光污染，保证夜间正常监控</w:t>
            </w:r>
            <w:r>
              <w:rPr>
                <w:rFonts w:hint="eastAsia" w:ascii="宋体" w:hAnsi="宋体" w:eastAsia="宋体" w:cs="宋体"/>
              </w:rPr>
              <w:br w:type="textWrapping"/>
            </w:r>
            <w:r>
              <w:rPr>
                <w:rFonts w:hint="eastAsia" w:ascii="宋体" w:hAnsi="宋体" w:eastAsia="宋体" w:cs="宋体"/>
              </w:rPr>
              <w:t>★最低照度彩色不大于0.0002 lx，黑白不大于0.0001 lx。（公安部检验报告证明）</w:t>
            </w:r>
            <w:r>
              <w:rPr>
                <w:rFonts w:hint="eastAsia" w:ascii="宋体" w:hAnsi="宋体" w:eastAsia="宋体" w:cs="宋体"/>
              </w:rPr>
              <w:br w:type="textWrapping"/>
            </w:r>
            <w:r>
              <w:rPr>
                <w:rFonts w:hint="eastAsia" w:ascii="宋体" w:hAnsi="宋体" w:eastAsia="宋体" w:cs="宋体"/>
              </w:rPr>
              <w:t>宽动态: 120 dB</w:t>
            </w:r>
            <w:r>
              <w:rPr>
                <w:rFonts w:hint="eastAsia" w:ascii="宋体" w:hAnsi="宋体" w:eastAsia="宋体" w:cs="宋体"/>
              </w:rPr>
              <w:br w:type="textWrapping"/>
            </w:r>
            <w:r>
              <w:rPr>
                <w:rFonts w:hint="eastAsia" w:ascii="宋体" w:hAnsi="宋体" w:eastAsia="宋体" w:cs="宋体"/>
              </w:rPr>
              <w:t>焦距&amp;视场角: 2.8~12 mm @F1.38，水平视场角：100°~39.8°，垂直视场角52°~22.4°，对角视场角120°~45.7°</w:t>
            </w:r>
            <w:r>
              <w:rPr>
                <w:rFonts w:hint="eastAsia" w:ascii="宋体" w:hAnsi="宋体" w:eastAsia="宋体" w:cs="宋体"/>
              </w:rPr>
              <w:br w:type="textWrapping"/>
            </w:r>
            <w:r>
              <w:rPr>
                <w:rFonts w:hint="eastAsia" w:ascii="宋体" w:hAnsi="宋体" w:eastAsia="宋体" w:cs="宋体"/>
              </w:rPr>
              <w:t>混光距离 最远可达30 m</w:t>
            </w:r>
            <w:r>
              <w:rPr>
                <w:rFonts w:hint="eastAsia" w:ascii="宋体" w:hAnsi="宋体" w:eastAsia="宋体" w:cs="宋体"/>
              </w:rPr>
              <w:br w:type="textWrapping"/>
            </w:r>
            <w:r>
              <w:rPr>
                <w:rFonts w:hint="eastAsia" w:ascii="宋体" w:hAnsi="宋体" w:eastAsia="宋体" w:cs="宋体"/>
              </w:rPr>
              <w:t>波长范围 750 nm</w:t>
            </w:r>
            <w:r>
              <w:rPr>
                <w:rFonts w:hint="eastAsia" w:ascii="宋体" w:hAnsi="宋体" w:eastAsia="宋体" w:cs="宋体"/>
              </w:rPr>
              <w:br w:type="textWrapping"/>
            </w:r>
            <w:r>
              <w:rPr>
                <w:rFonts w:hint="eastAsia" w:ascii="宋体" w:hAnsi="宋体" w:eastAsia="宋体" w:cs="宋体"/>
              </w:rPr>
              <w:t>最大图像尺寸: 2688 × 1520</w:t>
            </w:r>
            <w:r>
              <w:rPr>
                <w:rFonts w:hint="eastAsia" w:ascii="宋体" w:hAnsi="宋体" w:eastAsia="宋体" w:cs="宋体"/>
              </w:rPr>
              <w:br w:type="textWrapping"/>
            </w:r>
            <w:r>
              <w:rPr>
                <w:rFonts w:hint="eastAsia" w:ascii="宋体" w:hAnsi="宋体" w:eastAsia="宋体" w:cs="宋体"/>
              </w:rPr>
              <w:t>视频压缩标准: 主码流：H.265/H.264</w:t>
            </w:r>
            <w:r>
              <w:rPr>
                <w:rFonts w:hint="eastAsia" w:ascii="宋体" w:hAnsi="宋体" w:eastAsia="宋体" w:cs="宋体"/>
              </w:rPr>
              <w:br w:type="textWrapping"/>
            </w:r>
            <w:r>
              <w:rPr>
                <w:rFonts w:hint="eastAsia" w:ascii="宋体" w:hAnsi="宋体" w:eastAsia="宋体" w:cs="宋体"/>
              </w:rPr>
              <w:t>网络存储: 支持Micro SD(即TF卡)/Micro SDHC/Micro SDXC卡（最大256 GB），断网本地存储及断网续传，NAS（NFS，SMB/CIFS均支持）</w:t>
            </w:r>
            <w:r>
              <w:rPr>
                <w:rFonts w:hint="eastAsia" w:ascii="宋体" w:hAnsi="宋体" w:eastAsia="宋体" w:cs="宋体"/>
              </w:rPr>
              <w:br w:type="textWrapping"/>
            </w:r>
            <w:r>
              <w:rPr>
                <w:rFonts w:hint="eastAsia" w:ascii="宋体" w:hAnsi="宋体" w:eastAsia="宋体" w:cs="宋体"/>
              </w:rPr>
              <w:t>报警: 3路输入，2路输出（报警输出最大支持DC24 V，1 A或AC110 V，500 mA）</w:t>
            </w:r>
            <w:r>
              <w:rPr>
                <w:rFonts w:hint="eastAsia" w:ascii="宋体" w:hAnsi="宋体" w:eastAsia="宋体" w:cs="宋体"/>
              </w:rPr>
              <w:br w:type="textWrapping"/>
            </w:r>
            <w:r>
              <w:rPr>
                <w:rFonts w:hint="eastAsia" w:ascii="宋体" w:hAnsi="宋体" w:eastAsia="宋体" w:cs="宋体"/>
              </w:rPr>
              <w:t>音频: 2路输入（Line in）（3.5 mm三段式）; 1路输出（Line out）（3.5 mm三段式）</w:t>
            </w:r>
            <w:r>
              <w:rPr>
                <w:rFonts w:hint="eastAsia" w:ascii="宋体" w:hAnsi="宋体" w:eastAsia="宋体" w:cs="宋体"/>
              </w:rPr>
              <w:br w:type="textWrapping"/>
            </w:r>
            <w:r>
              <w:rPr>
                <w:rFonts w:hint="eastAsia" w:ascii="宋体" w:hAnsi="宋体" w:eastAsia="宋体" w:cs="宋体"/>
              </w:rPr>
              <w:t>1个RS-485</w:t>
            </w:r>
            <w:r>
              <w:rPr>
                <w:rFonts w:hint="eastAsia" w:ascii="宋体" w:hAnsi="宋体" w:eastAsia="宋体" w:cs="宋体"/>
              </w:rPr>
              <w:br w:type="textWrapping"/>
            </w:r>
            <w:r>
              <w:rPr>
                <w:rFonts w:hint="eastAsia" w:ascii="宋体" w:hAnsi="宋体" w:eastAsia="宋体" w:cs="宋体"/>
              </w:rPr>
              <w:t>视频输出: 1 Vp-p Composite Output（75 Ω/CVBS）</w:t>
            </w:r>
            <w:r>
              <w:rPr>
                <w:rFonts w:hint="eastAsia" w:ascii="宋体" w:hAnsi="宋体" w:eastAsia="宋体" w:cs="宋体"/>
              </w:rPr>
              <w:br w:type="textWrapping"/>
            </w:r>
            <w:r>
              <w:rPr>
                <w:rFonts w:hint="eastAsia" w:ascii="宋体" w:hAnsi="宋体" w:eastAsia="宋体" w:cs="宋体"/>
              </w:rPr>
              <w:t>复位: 支持</w:t>
            </w:r>
            <w:r>
              <w:rPr>
                <w:rFonts w:hint="eastAsia" w:ascii="宋体" w:hAnsi="宋体" w:eastAsia="宋体" w:cs="宋体"/>
              </w:rPr>
              <w:br w:type="textWrapping"/>
            </w:r>
            <w:r>
              <w:rPr>
                <w:rFonts w:hint="eastAsia" w:ascii="宋体" w:hAnsi="宋体" w:eastAsia="宋体" w:cs="宋体"/>
              </w:rPr>
              <w:t>网络: 1个RJ45 10 M/100 M/1000 M自适应以太网口</w:t>
            </w:r>
            <w:r>
              <w:rPr>
                <w:rFonts w:hint="eastAsia" w:ascii="宋体" w:hAnsi="宋体" w:eastAsia="宋体" w:cs="宋体"/>
              </w:rPr>
              <w:br w:type="textWrapping"/>
            </w:r>
            <w:r>
              <w:rPr>
                <w:rFonts w:hint="eastAsia" w:ascii="宋体" w:hAnsi="宋体" w:eastAsia="宋体" w:cs="宋体"/>
              </w:rPr>
              <w:t>电源输出: DC12 V，200 mA，仅供拾音器供电使用</w:t>
            </w:r>
            <w:r>
              <w:rPr>
                <w:rFonts w:hint="eastAsia" w:ascii="宋体" w:hAnsi="宋体" w:eastAsia="宋体" w:cs="宋体"/>
              </w:rPr>
              <w:br w:type="textWrapping"/>
            </w:r>
            <w:r>
              <w:rPr>
                <w:rFonts w:hint="eastAsia" w:ascii="宋体" w:hAnsi="宋体" w:eastAsia="宋体" w:cs="宋体"/>
              </w:rPr>
              <w:t>存储温湿度: -30 ℃~60 ℃，湿度小于95%（无凝结）</w:t>
            </w:r>
            <w:r>
              <w:rPr>
                <w:rFonts w:hint="eastAsia" w:ascii="宋体" w:hAnsi="宋体" w:eastAsia="宋体" w:cs="宋体"/>
              </w:rPr>
              <w:br w:type="textWrapping"/>
            </w:r>
            <w:r>
              <w:rPr>
                <w:rFonts w:hint="eastAsia" w:ascii="宋体" w:hAnsi="宋体" w:eastAsia="宋体" w:cs="宋体"/>
              </w:rPr>
              <w:t>启动及工作温湿度: -30 ℃~60 ℃，湿度小于95%（无凝结）</w:t>
            </w:r>
            <w:r>
              <w:rPr>
                <w:rFonts w:hint="eastAsia" w:ascii="宋体" w:hAnsi="宋体" w:eastAsia="宋体" w:cs="宋体"/>
              </w:rPr>
              <w:br w:type="textWrapping"/>
            </w:r>
            <w:r>
              <w:rPr>
                <w:rFonts w:hint="eastAsia" w:ascii="宋体" w:hAnsi="宋体" w:eastAsia="宋体" w:cs="宋体"/>
              </w:rPr>
              <w:t>供电方式: DC：12 V ± 20%，支持防反接保护; PoE：802.3at，Type 2 Class 4</w:t>
            </w:r>
            <w:r>
              <w:rPr>
                <w:rFonts w:hint="eastAsia" w:ascii="宋体" w:hAnsi="宋体" w:eastAsia="宋体" w:cs="宋体"/>
              </w:rPr>
              <w:br w:type="textWrapping"/>
            </w:r>
            <w:r>
              <w:rPr>
                <w:rFonts w:hint="eastAsia" w:ascii="宋体" w:hAnsi="宋体" w:eastAsia="宋体" w:cs="宋体"/>
              </w:rPr>
              <w:t>电流及功耗: DC：12 V，1.38 A，最大功耗：16.5 W；PoE：802.3at，42.5 V~57 V，0.44 A~0.32 A，最大功耗：18.5 W</w:t>
            </w:r>
            <w:r>
              <w:rPr>
                <w:rFonts w:hint="eastAsia" w:ascii="宋体" w:hAnsi="宋体" w:eastAsia="宋体" w:cs="宋体"/>
              </w:rPr>
              <w:br w:type="textWrapping"/>
            </w:r>
            <w:r>
              <w:rPr>
                <w:rFonts w:hint="eastAsia" w:ascii="宋体" w:hAnsi="宋体" w:eastAsia="宋体" w:cs="宋体"/>
              </w:rPr>
              <w:t>电源接口类型: 3芯接口</w:t>
            </w:r>
            <w:r>
              <w:rPr>
                <w:rFonts w:hint="eastAsia" w:ascii="宋体" w:hAnsi="宋体" w:eastAsia="宋体" w:cs="宋体"/>
              </w:rPr>
              <w:br w:type="textWrapping"/>
            </w:r>
            <w:r>
              <w:rPr>
                <w:rFonts w:hint="eastAsia" w:ascii="宋体" w:hAnsi="宋体" w:eastAsia="宋体" w:cs="宋体"/>
              </w:rPr>
              <w:t>防护: IP67</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6</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14</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硬盘录像机</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16路图片流或8路视频流</w:t>
            </w:r>
            <w:r>
              <w:rPr>
                <w:rFonts w:hint="eastAsia" w:ascii="宋体" w:hAnsi="宋体" w:eastAsia="宋体" w:cs="宋体"/>
              </w:rPr>
              <w:br w:type="textWrapping"/>
            </w:r>
            <w:r>
              <w:rPr>
                <w:rFonts w:hint="eastAsia" w:ascii="宋体" w:hAnsi="宋体" w:eastAsia="宋体" w:cs="宋体"/>
              </w:rPr>
              <w:t>32个人脸名单库，总库容10万张（平均50KB/张）</w:t>
            </w:r>
            <w:r>
              <w:rPr>
                <w:rFonts w:hint="eastAsia" w:ascii="宋体" w:hAnsi="宋体" w:eastAsia="宋体" w:cs="宋体"/>
              </w:rPr>
              <w:br w:type="textWrapping"/>
            </w:r>
            <w:r>
              <w:rPr>
                <w:rFonts w:hint="eastAsia" w:ascii="宋体" w:hAnsi="宋体" w:eastAsia="宋体" w:cs="宋体"/>
              </w:rPr>
              <w:t>★支持50个人脸库，库容20万张人脸图片；另有路人库，库容10万张人脸抓拍图片；支持人脸抓拍库（存储于硬盘中）存储1000万条人脸历史记录（以公安部检测报告为准）</w:t>
            </w:r>
            <w:r>
              <w:rPr>
                <w:rFonts w:hint="eastAsia" w:ascii="宋体" w:hAnsi="宋体" w:eastAsia="宋体" w:cs="宋体"/>
              </w:rPr>
              <w:br w:type="textWrapping"/>
            </w:r>
            <w:r>
              <w:rPr>
                <w:rFonts w:hint="eastAsia" w:ascii="宋体" w:hAnsi="宋体" w:eastAsia="宋体" w:cs="宋体"/>
              </w:rPr>
              <w:t>人脸抓拍库1000万</w:t>
            </w:r>
            <w:r>
              <w:rPr>
                <w:rFonts w:hint="eastAsia" w:ascii="宋体" w:hAnsi="宋体" w:eastAsia="宋体" w:cs="宋体"/>
              </w:rPr>
              <w:br w:type="textWrapping"/>
            </w:r>
            <w:r>
              <w:rPr>
                <w:rFonts w:hint="eastAsia" w:ascii="宋体" w:hAnsi="宋体" w:eastAsia="宋体" w:cs="宋体"/>
              </w:rPr>
              <w:t>路人档案10万份</w:t>
            </w:r>
            <w:r>
              <w:rPr>
                <w:rFonts w:hint="eastAsia" w:ascii="宋体" w:hAnsi="宋体" w:eastAsia="宋体" w:cs="宋体"/>
              </w:rPr>
              <w:br w:type="textWrapping"/>
            </w:r>
            <w:r>
              <w:rPr>
                <w:rFonts w:hint="eastAsia" w:ascii="宋体" w:hAnsi="宋体" w:eastAsia="宋体" w:cs="宋体"/>
              </w:rPr>
              <w:t>支持陌生人报警</w:t>
            </w:r>
            <w:r>
              <w:rPr>
                <w:rFonts w:hint="eastAsia" w:ascii="宋体" w:hAnsi="宋体" w:eastAsia="宋体" w:cs="宋体"/>
              </w:rPr>
              <w:br w:type="textWrapping"/>
            </w:r>
            <w:r>
              <w:rPr>
                <w:rFonts w:hint="eastAsia" w:ascii="宋体" w:hAnsi="宋体" w:eastAsia="宋体" w:cs="宋体"/>
              </w:rPr>
              <w:t>支持人员频次统计</w:t>
            </w:r>
            <w:r>
              <w:rPr>
                <w:rFonts w:hint="eastAsia" w:ascii="宋体" w:hAnsi="宋体" w:eastAsia="宋体" w:cs="宋体"/>
              </w:rPr>
              <w:br w:type="textWrapping"/>
            </w:r>
            <w:r>
              <w:rPr>
                <w:rFonts w:hint="eastAsia" w:ascii="宋体" w:hAnsi="宋体" w:eastAsia="宋体" w:cs="宋体"/>
              </w:rPr>
              <w:t>支持人脸签到和考勤</w:t>
            </w:r>
            <w:r>
              <w:rPr>
                <w:rFonts w:hint="eastAsia" w:ascii="宋体" w:hAnsi="宋体" w:eastAsia="宋体" w:cs="宋体"/>
              </w:rPr>
              <w:br w:type="textWrapping"/>
            </w:r>
            <w:r>
              <w:rPr>
                <w:rFonts w:hint="eastAsia" w:ascii="宋体" w:hAnsi="宋体" w:eastAsia="宋体" w:cs="宋体"/>
              </w:rPr>
              <w:t>支持人脸1V1比对</w:t>
            </w:r>
            <w:r>
              <w:rPr>
                <w:rFonts w:hint="eastAsia" w:ascii="宋体" w:hAnsi="宋体" w:eastAsia="宋体" w:cs="宋体"/>
              </w:rPr>
              <w:br w:type="textWrapping"/>
            </w:r>
            <w:r>
              <w:rPr>
                <w:rFonts w:hint="eastAsia" w:ascii="宋体" w:hAnsi="宋体" w:eastAsia="宋体" w:cs="宋体"/>
              </w:rPr>
              <w:t>支持以脸搜脸、按姓名检索、按属性检索</w:t>
            </w:r>
            <w:r>
              <w:rPr>
                <w:rFonts w:hint="eastAsia" w:ascii="宋体" w:hAnsi="宋体" w:eastAsia="宋体" w:cs="宋体"/>
              </w:rPr>
              <w:br w:type="textWrapping"/>
            </w:r>
            <w:r>
              <w:rPr>
                <w:rFonts w:hint="eastAsia" w:ascii="宋体" w:hAnsi="宋体" w:eastAsia="宋体" w:cs="宋体"/>
              </w:rPr>
              <w:t>★以脸搜脸首位命中率不低于95%,以脸搜脸前10位命中率不低于99%（以公安部检测报告为准）</w:t>
            </w:r>
            <w:r>
              <w:rPr>
                <w:rFonts w:hint="eastAsia" w:ascii="宋体" w:hAnsi="宋体" w:eastAsia="宋体" w:cs="宋体"/>
              </w:rPr>
              <w:br w:type="textWrapping"/>
            </w:r>
            <w:r>
              <w:rPr>
                <w:rFonts w:hint="eastAsia" w:ascii="宋体" w:hAnsi="宋体" w:eastAsia="宋体" w:cs="宋体"/>
              </w:rPr>
              <w:t>★单颗引擎人脸建模速度不低于每秒38张/秒</w:t>
            </w:r>
            <w:r>
              <w:rPr>
                <w:rFonts w:hint="eastAsia" w:ascii="宋体" w:hAnsi="宋体" w:eastAsia="宋体" w:cs="宋体"/>
              </w:rPr>
              <w:br w:type="textWrapping"/>
            </w:r>
            <w:r>
              <w:rPr>
                <w:rFonts w:hint="eastAsia" w:ascii="宋体" w:hAnsi="宋体" w:eastAsia="宋体" w:cs="宋体"/>
              </w:rPr>
              <w:t>★支持检出微笑、大笑、瞪眼、闭眼、张嘴、歪嘴、吐舌头等表情的人脸，支持检出面部过曝、面部欠曝、阴阳脸、逆光等不同光照条件下人脸，支持检出齐刘海遮挡眉毛、头发遮挡眼睛、戴普通眼镜、戴墨镜、戴彩色眼镜、戴棒球帽、戴雷锋帽、戴普通帽子、戴头戴式耳机、胡须、披肩长发、长刘海等遮挡方式的人脸（以公安部检测报告为准）</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硬件规格：</w:t>
            </w:r>
            <w:r>
              <w:rPr>
                <w:rFonts w:hint="eastAsia" w:ascii="宋体" w:hAnsi="宋体" w:eastAsia="宋体" w:cs="宋体"/>
              </w:rPr>
              <w:br w:type="textWrapping"/>
            </w:r>
            <w:r>
              <w:rPr>
                <w:rFonts w:hint="eastAsia" w:ascii="宋体" w:hAnsi="宋体" w:eastAsia="宋体" w:cs="宋体"/>
              </w:rPr>
              <w:t>2U标准机架式</w:t>
            </w:r>
            <w:r>
              <w:rPr>
                <w:rFonts w:hint="eastAsia" w:ascii="宋体" w:hAnsi="宋体" w:eastAsia="宋体" w:cs="宋体"/>
              </w:rPr>
              <w:br w:type="textWrapping"/>
            </w:r>
            <w:r>
              <w:rPr>
                <w:rFonts w:hint="eastAsia" w:ascii="宋体" w:hAnsi="宋体" w:eastAsia="宋体" w:cs="宋体"/>
              </w:rPr>
              <w:t>2个HDMI，2个VGA,HDMI+VGA组内同源</w:t>
            </w:r>
            <w:r>
              <w:rPr>
                <w:rFonts w:hint="eastAsia" w:ascii="宋体" w:hAnsi="宋体" w:eastAsia="宋体" w:cs="宋体"/>
              </w:rPr>
              <w:br w:type="textWrapping"/>
            </w:r>
            <w:r>
              <w:rPr>
                <w:rFonts w:hint="eastAsia" w:ascii="宋体" w:hAnsi="宋体" w:eastAsia="宋体" w:cs="宋体"/>
              </w:rPr>
              <w:t>8盘位，最大可配10T硬盘</w:t>
            </w:r>
            <w:r>
              <w:rPr>
                <w:rFonts w:hint="eastAsia" w:ascii="宋体" w:hAnsi="宋体" w:eastAsia="宋体" w:cs="宋体"/>
              </w:rPr>
              <w:br w:type="textWrapping"/>
            </w:r>
            <w:r>
              <w:rPr>
                <w:rFonts w:hint="eastAsia" w:ascii="宋体" w:hAnsi="宋体" w:eastAsia="宋体" w:cs="宋体"/>
              </w:rPr>
              <w:t>2个千兆网口</w:t>
            </w:r>
            <w:r>
              <w:rPr>
                <w:rFonts w:hint="eastAsia" w:ascii="宋体" w:hAnsi="宋体" w:eastAsia="宋体" w:cs="宋体"/>
              </w:rPr>
              <w:br w:type="textWrapping"/>
            </w:r>
            <w:r>
              <w:rPr>
                <w:rFonts w:hint="eastAsia" w:ascii="宋体" w:hAnsi="宋体" w:eastAsia="宋体" w:cs="宋体"/>
              </w:rPr>
              <w:t>2个USB2.0接口、1个USB3.0接口</w:t>
            </w:r>
            <w:r>
              <w:rPr>
                <w:rFonts w:hint="eastAsia" w:ascii="宋体" w:hAnsi="宋体" w:eastAsia="宋体" w:cs="宋体"/>
              </w:rPr>
              <w:br w:type="textWrapping"/>
            </w:r>
            <w:r>
              <w:rPr>
                <w:rFonts w:hint="eastAsia" w:ascii="宋体" w:hAnsi="宋体" w:eastAsia="宋体" w:cs="宋体"/>
              </w:rPr>
              <w:t>1个eSATA接口</w:t>
            </w:r>
            <w:r>
              <w:rPr>
                <w:rFonts w:hint="eastAsia" w:ascii="宋体" w:hAnsi="宋体" w:eastAsia="宋体" w:cs="宋体"/>
              </w:rPr>
              <w:br w:type="textWrapping"/>
            </w:r>
            <w:r>
              <w:rPr>
                <w:rFonts w:hint="eastAsia" w:ascii="宋体" w:hAnsi="宋体" w:eastAsia="宋体" w:cs="宋体"/>
              </w:rPr>
              <w:t>支持RAID0、1、5、10，支持全局热备盘</w:t>
            </w:r>
            <w:r>
              <w:rPr>
                <w:rFonts w:hint="eastAsia" w:ascii="宋体" w:hAnsi="宋体" w:eastAsia="宋体" w:cs="宋体"/>
              </w:rPr>
              <w:br w:type="textWrapping"/>
            </w:r>
            <w:r>
              <w:rPr>
                <w:rFonts w:hint="eastAsia" w:ascii="宋体" w:hAnsi="宋体" w:eastAsia="宋体" w:cs="宋体"/>
              </w:rPr>
              <w:t>报警IO：16进8出</w:t>
            </w:r>
            <w:r>
              <w:rPr>
                <w:rFonts w:hint="eastAsia" w:ascii="宋体" w:hAnsi="宋体" w:eastAsia="宋体" w:cs="宋体"/>
              </w:rPr>
              <w:br w:type="textWrapping"/>
            </w:r>
            <w:r>
              <w:rPr>
                <w:rFonts w:hint="eastAsia" w:ascii="宋体" w:hAnsi="宋体" w:eastAsia="宋体" w:cs="宋体"/>
              </w:rPr>
              <w:t>软件性能：</w:t>
            </w:r>
            <w:r>
              <w:rPr>
                <w:rFonts w:hint="eastAsia" w:ascii="宋体" w:hAnsi="宋体" w:eastAsia="宋体" w:cs="宋体"/>
              </w:rPr>
              <w:br w:type="textWrapping"/>
            </w:r>
            <w:r>
              <w:rPr>
                <w:rFonts w:hint="eastAsia" w:ascii="宋体" w:hAnsi="宋体" w:eastAsia="宋体" w:cs="宋体"/>
              </w:rPr>
              <w:t>输入带宽：256M  输出带宽：256M</w:t>
            </w:r>
            <w:r>
              <w:rPr>
                <w:rFonts w:hint="eastAsia" w:ascii="宋体" w:hAnsi="宋体" w:eastAsia="宋体" w:cs="宋体"/>
              </w:rPr>
              <w:br w:type="textWrapping"/>
            </w:r>
            <w:r>
              <w:rPr>
                <w:rFonts w:hint="eastAsia" w:ascii="宋体" w:hAnsi="宋体" w:eastAsia="宋体" w:cs="宋体"/>
              </w:rPr>
              <w:t>开启RAID功能带宽降低：输入带宽：200M  输出带宽：200M</w:t>
            </w:r>
            <w:r>
              <w:rPr>
                <w:rFonts w:hint="eastAsia" w:ascii="宋体" w:hAnsi="宋体" w:eastAsia="宋体" w:cs="宋体"/>
              </w:rPr>
              <w:br w:type="textWrapping"/>
            </w:r>
            <w:r>
              <w:rPr>
                <w:rFonts w:hint="eastAsia" w:ascii="宋体" w:hAnsi="宋体" w:eastAsia="宋体" w:cs="宋体"/>
              </w:rPr>
              <w:t>★开启视频流智能分析，NVR解码性能不会降低</w:t>
            </w:r>
            <w:r>
              <w:rPr>
                <w:rFonts w:hint="eastAsia" w:ascii="宋体" w:hAnsi="宋体" w:eastAsia="宋体" w:cs="宋体"/>
              </w:rPr>
              <w:br w:type="textWrapping"/>
            </w:r>
            <w:r>
              <w:rPr>
                <w:rFonts w:hint="eastAsia" w:ascii="宋体" w:hAnsi="宋体" w:eastAsia="宋体" w:cs="宋体"/>
              </w:rPr>
              <w:t>最大支持16×1080P解码</w:t>
            </w:r>
            <w:r>
              <w:rPr>
                <w:rFonts w:hint="eastAsia" w:ascii="宋体" w:hAnsi="宋体" w:eastAsia="宋体" w:cs="宋体"/>
              </w:rPr>
              <w:br w:type="textWrapping"/>
            </w:r>
            <w:r>
              <w:rPr>
                <w:rFonts w:hint="eastAsia" w:ascii="宋体" w:hAnsi="宋体" w:eastAsia="宋体" w:cs="宋体"/>
              </w:rPr>
              <w:t>支持Smart265/H.265/Smart264/H.264编码前端自适应接入 、解码</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15</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拾音器</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全向数字降噪拾音器</w:t>
            </w:r>
            <w:r>
              <w:rPr>
                <w:rFonts w:hint="eastAsia" w:ascii="宋体" w:hAnsi="宋体" w:eastAsia="宋体" w:cs="宋体"/>
              </w:rPr>
              <w:br w:type="textWrapping"/>
            </w:r>
            <w:r>
              <w:rPr>
                <w:rFonts w:hint="eastAsia" w:ascii="宋体" w:hAnsi="宋体" w:eastAsia="宋体" w:cs="宋体"/>
              </w:rPr>
              <w:t>拾音范围70平方米；音频传输距离3000米；灵敏度-34dB；信噪比60dB；安装方式：吸顶安装（自带底座转接盘）；连接方式 3芯导线（红-电源 黑-公共地 白-音频）；电源DC 12V（9V-15V）；推荐电源：DC12V/1A，两线；</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highlight w:val="yellow"/>
              </w:rPr>
            </w:pPr>
            <w:r>
              <w:rPr>
                <w:rFonts w:ascii="宋体" w:hAnsi="宋体" w:eastAsia="宋体" w:cs="宋体"/>
                <w:highlight w:val="none"/>
              </w:rPr>
              <w:t>10</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highlight w:val="yellow"/>
              </w:rPr>
            </w:pPr>
            <w:r>
              <w:rPr>
                <w:rFonts w:hint="eastAsia" w:ascii="宋体" w:hAnsi="宋体" w:eastAsia="宋体" w:cs="宋体"/>
              </w:rPr>
              <w:t>个</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16</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IoT-CVR存储（包含36块10T企业级硬盘）</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FF0000"/>
              </w:rPr>
            </w:pPr>
            <w:r>
              <w:rPr>
                <w:rFonts w:hint="eastAsia" w:ascii="宋体" w:hAnsi="宋体" w:eastAsia="宋体" w:cs="宋体"/>
              </w:rPr>
              <w:t>36盘位磁盘阵列，1024Mbps接入带宽，2个千兆数据网口，1个千兆管理网口，支持视频流和图片、视频文件进行混合直写存储，4U机架式36盘位，冗余电源，支持SATA硬盘，64位多核处理器，4GB高速缓存（可扩展到32GB），36块10T企业级硬盘，支持RAID 0、1、3、5、6、10、50，60、JBOD模式，网络协议：RTSP/ONVIF/PSIA/SIP（GB/T28181）</w:t>
            </w:r>
            <w:r>
              <w:rPr>
                <w:rFonts w:hint="eastAsia" w:ascii="宋体" w:hAnsi="宋体" w:eastAsia="宋体" w:cs="宋体"/>
              </w:rPr>
              <w:br w:type="textWrapping"/>
            </w:r>
            <w:r>
              <w:rPr>
                <w:rFonts w:hint="eastAsia" w:ascii="宋体" w:hAnsi="宋体" w:eastAsia="宋体" w:cs="宋体"/>
              </w:rPr>
              <w:t>★网络中断后重新恢复，设备可续存断网期间存储在前端设备中的录像文件，并可通过IE浏览器设置自动回传和手动回传。支持256路4M的录像回传。（以公安部检测报告为准）</w:t>
            </w:r>
            <w:r>
              <w:rPr>
                <w:rFonts w:hint="eastAsia" w:ascii="宋体" w:hAnsi="宋体" w:eastAsia="宋体" w:cs="宋体"/>
              </w:rPr>
              <w:br w:type="textWrapping"/>
            </w:r>
            <w:r>
              <w:rPr>
                <w:rFonts w:hint="eastAsia" w:ascii="宋体" w:hAnsi="宋体" w:eastAsia="宋体" w:cs="宋体"/>
                <w:color w:val="FF0000"/>
              </w:rPr>
              <w:t>★提供多设备同步升级功能，可以通过一键式操作对整个局域网内的所有设备同步升级。（以公安部检测报告为准）</w:t>
            </w:r>
            <w:r>
              <w:rPr>
                <w:rFonts w:hint="eastAsia" w:ascii="宋体" w:hAnsi="宋体" w:eastAsia="宋体" w:cs="宋体"/>
                <w:color w:val="FF0000"/>
              </w:rPr>
              <w:br w:type="textWrapping"/>
            </w:r>
            <w:r>
              <w:rPr>
                <w:rFonts w:hint="eastAsia" w:ascii="宋体" w:hAnsi="宋体" w:eastAsia="宋体" w:cs="宋体"/>
                <w:color w:val="FF0000"/>
              </w:rPr>
              <w:t>★通过客户端软件添加及删除手机号，启用短信网关报警功能后，可向添加的手机号码发送电源异常、系统卡容量不足、存储空间异常、自动修复失败、私有卷IO异常、无可用逻辑卷等报警信息，报警种类可设；（以公安部检测报告为准）</w:t>
            </w:r>
            <w:r>
              <w:rPr>
                <w:rFonts w:hint="eastAsia" w:ascii="宋体" w:hAnsi="宋体" w:eastAsia="宋体" w:cs="宋体"/>
              </w:rPr>
              <w:br w:type="textWrapping"/>
            </w:r>
            <w:r>
              <w:rPr>
                <w:rFonts w:hint="eastAsia" w:ascii="宋体" w:hAnsi="宋体" w:eastAsia="宋体" w:cs="宋体"/>
                <w:color w:val="FF0000"/>
              </w:rPr>
              <w:t>★可通过浏览器对一台、多台样机或扩展柜中的磁盘进行定位，使对应的磁盘指示灯闪烁，闪烁的时长可设；（以公安部检测报告为准）</w:t>
            </w:r>
          </w:p>
          <w:p>
            <w:pPr>
              <w:widowControl/>
              <w:jc w:val="left"/>
              <w:rPr>
                <w:rFonts w:ascii="宋体" w:hAnsi="宋体" w:eastAsia="宋体" w:cs="宋体"/>
              </w:rPr>
            </w:pPr>
            <w:r>
              <w:rPr>
                <w:rFonts w:hint="eastAsia" w:ascii="宋体" w:hAnsi="宋体" w:eastAsia="宋体" w:cs="宋体"/>
              </w:rPr>
              <w:t>★可对指定的录像段或指定事件的1个或多个前端的不同时间段的录像段添加标签，并自动备份到存档卷中，使之不会被覆盖删除；（以公安部检测报告为准）</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17</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软件平台扩容</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扩容后可以提供600路视频授权。实现人员流流量统计；基于人脸识别技术的重点人员识别、陌生人识别、高频人员识别、以脸搜脸等功能；支持前端编码设备的集中管理；支持视频预览、录像回放、图片查看、解码上墙等功能</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套</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18</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摄像机配件</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配套</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131</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套</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19</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交换机</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24个10/100/1000Mbps电口（支持PoE/PoE+），2个SFP光口。支持EWEB/APP/MACC管理。</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9</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台</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20</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六类网络电缆</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工程级无氧铜、千兆高速网络非屏蔽双绞线</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10000</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米</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21</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1.5平方电缆</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导体结构（NO./mm)：30/0.25， 绝缘厚度规定值（mm)：0.7，平均外径（mm)：7.8</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10000</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米</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22</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屏蔽双芯咪线</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高保真、抗干扰、高密度耐磨</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3000</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米</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23</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电源</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12V电源变压器</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30</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只</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24</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管材</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国标</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7500</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米</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25</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辅材</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各种管件及配套专用音视频接插件、成品高清跳线、电源插座板、网线水晶头、PVC等安装辅材</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项</w:t>
            </w:r>
          </w:p>
        </w:tc>
      </w:tr>
      <w:tr>
        <w:tblPrEx>
          <w:tblCellMar>
            <w:top w:w="0" w:type="dxa"/>
            <w:left w:w="108" w:type="dxa"/>
            <w:bottom w:w="0" w:type="dxa"/>
            <w:right w:w="108" w:type="dxa"/>
          </w:tblCellMar>
        </w:tblPrEx>
        <w:trPr>
          <w:trHeight w:val="20" w:hRule="atLeast"/>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26</w:t>
            </w:r>
          </w:p>
        </w:tc>
        <w:tc>
          <w:tcPr>
            <w:tcW w:w="9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系统集成</w:t>
            </w:r>
          </w:p>
        </w:tc>
        <w:tc>
          <w:tcPr>
            <w:tcW w:w="60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rPr>
            </w:pPr>
            <w:r>
              <w:rPr>
                <w:rFonts w:hint="eastAsia" w:ascii="宋体" w:hAnsi="宋体" w:eastAsia="宋体" w:cs="宋体"/>
              </w:rPr>
              <w:t>系统集成服务</w:t>
            </w:r>
          </w:p>
        </w:tc>
        <w:tc>
          <w:tcPr>
            <w:tcW w:w="8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1</w:t>
            </w:r>
          </w:p>
        </w:tc>
        <w:tc>
          <w:tcPr>
            <w:tcW w:w="7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rPr>
            </w:pPr>
            <w:r>
              <w:rPr>
                <w:rFonts w:hint="eastAsia" w:ascii="宋体" w:hAnsi="宋体" w:eastAsia="宋体" w:cs="宋体"/>
              </w:rPr>
              <w:t>项</w:t>
            </w:r>
          </w:p>
        </w:tc>
      </w:tr>
    </w:tbl>
    <w:p>
      <w:pPr>
        <w:pStyle w:val="24"/>
        <w:rPr>
          <w:rFonts w:hint="eastAsia"/>
        </w:rPr>
      </w:pPr>
    </w:p>
    <w:p>
      <w:pPr>
        <w:numPr>
          <w:ilvl w:val="0"/>
          <w:numId w:val="12"/>
        </w:numPr>
        <w:rPr>
          <w:rFonts w:hint="eastAsia"/>
          <w:b/>
          <w:bCs/>
          <w:sz w:val="24"/>
          <w:szCs w:val="32"/>
          <w:lang w:eastAsia="zh-CN"/>
        </w:rPr>
      </w:pPr>
      <w:r>
        <w:rPr>
          <w:rFonts w:hint="eastAsia"/>
          <w:b/>
          <w:bCs/>
          <w:sz w:val="24"/>
          <w:szCs w:val="32"/>
          <w:lang w:val="en-US" w:eastAsia="zh-CN"/>
        </w:rPr>
        <w:t>其他要求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根据信创要求对数据库、中间件、终端、服务器和操作系统进行国产适配，能满足在信创数据库、中间件、终端、服务器和操作系统环境下运行要求。</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1、信创终端适配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根据信创终端、操作系统和信创浏览器的要求，对页面的布局、页面的元素、表格的样式、系统空间进行适配改造。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流式文件 WPS Office 2019 for Linux 专业版办公软件V11；</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版式文件 福昕OFD版式 办公套件软件（Linux版）V8.0等。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通过上述优化满足信创终端系统访问的要求。</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2、信创中间件适配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适配TAS应用中间件软件 V2.8。</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通过对应用运行支撑环境进行全面优化，包括：WEB连接器优化、WEB容器优化、EJB容器优化、JVM参数调整、C及C++编译运行环境参数优化等手段。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JVM参数调整包括根据需要增加JVM参数，调整JVM堆大小。修改应用访问端口；设置并发线程数，修改JDBC连接池相关性能参数。</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3、信创数据库适配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本次采用人大金仓V8数据库建设。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数据库特性及应用系统特点，将常用表放入内存中，由数据库自行维护持久存储的数据与内存中表数据的一致性，采用添加冗余字段、添加衍生字段、垂直分割、水平分割等反规范化技术进行数据库设计。对SQL语句进行优化，根据SQL语句执行情况优化索引，考虑采用存储过程、使用物化视图。建立临时表。</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4、信创操作系统适配</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使用统信UOS V20操作系统。</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5、信创硬件系统适配</w:t>
      </w:r>
    </w:p>
    <w:p>
      <w:pPr>
        <w:spacing w:line="360" w:lineRule="auto"/>
        <w:ind w:firstLine="480" w:firstLineChars="200"/>
        <w:rPr>
          <w:rFonts w:hint="eastAsia"/>
          <w:b/>
          <w:bCs/>
          <w:lang w:eastAsia="zh-CN"/>
        </w:rPr>
      </w:pPr>
      <w:r>
        <w:rPr>
          <w:rFonts w:hint="eastAsia" w:ascii="宋体" w:hAnsi="宋体" w:eastAsia="宋体" w:cs="宋体"/>
          <w:sz w:val="24"/>
          <w:szCs w:val="24"/>
        </w:rPr>
        <w:t>本项目采购设备均为国产设备，满足信创适配要求。</w:t>
      </w:r>
    </w:p>
    <w:p>
      <w:pPr>
        <w:numPr>
          <w:ilvl w:val="0"/>
          <w:numId w:val="12"/>
        </w:numPr>
        <w:spacing w:line="360" w:lineRule="auto"/>
        <w:ind w:left="0" w:leftChars="0" w:firstLine="0" w:firstLineChars="0"/>
        <w:rPr>
          <w:rFonts w:hint="eastAsia" w:asciiTheme="minorEastAsia" w:hAnsiTheme="minorEastAsia" w:eastAsiaTheme="minorEastAsia"/>
          <w:b/>
          <w:sz w:val="24"/>
        </w:rPr>
      </w:pPr>
      <w:r>
        <w:rPr>
          <w:rFonts w:hint="eastAsia" w:asciiTheme="minorEastAsia" w:hAnsiTheme="minorEastAsia" w:eastAsiaTheme="minorEastAsia"/>
          <w:b/>
          <w:sz w:val="24"/>
        </w:rPr>
        <w:t>商务需求</w:t>
      </w:r>
    </w:p>
    <w:p>
      <w:pPr>
        <w:numPr>
          <w:ilvl w:val="0"/>
          <w:numId w:val="16"/>
        </w:numPr>
        <w:spacing w:before="120" w:after="120" w:line="360" w:lineRule="auto"/>
        <w:ind w:left="-62" w:leftChars="0" w:firstLine="482" w:firstLineChars="0"/>
        <w:rPr>
          <w:rFonts w:ascii="宋体" w:hAnsi="宋体" w:eastAsia="宋体" w:cs="宋体"/>
          <w:b/>
          <w:color w:val="auto"/>
          <w:sz w:val="24"/>
          <w:szCs w:val="24"/>
        </w:rPr>
      </w:pPr>
      <w:r>
        <w:rPr>
          <w:rFonts w:hint="eastAsia" w:ascii="宋体" w:hAnsi="宋体" w:eastAsia="宋体" w:cs="宋体"/>
          <w:b/>
          <w:color w:val="auto"/>
          <w:sz w:val="24"/>
          <w:szCs w:val="24"/>
          <w:highlight w:val="none"/>
        </w:rPr>
        <w:t>建设期：</w:t>
      </w:r>
    </w:p>
    <w:p>
      <w:pPr>
        <w:numPr>
          <w:ilvl w:val="0"/>
          <w:numId w:val="0"/>
        </w:numPr>
        <w:spacing w:before="120" w:after="120" w:line="360" w:lineRule="auto"/>
        <w:ind w:firstLine="420" w:firstLineChars="0"/>
        <w:rPr>
          <w:rFonts w:ascii="宋体" w:hAnsi="宋体" w:eastAsia="宋体" w:cs="宋体"/>
          <w:b/>
          <w:color w:val="auto"/>
          <w:sz w:val="24"/>
          <w:szCs w:val="24"/>
        </w:rPr>
      </w:pPr>
      <w:r>
        <w:rPr>
          <w:rFonts w:hint="eastAsia" w:ascii="宋体" w:hAnsi="宋体" w:cs="宋体"/>
          <w:b w:val="0"/>
          <w:bCs/>
          <w:color w:val="auto"/>
          <w:sz w:val="24"/>
          <w:szCs w:val="24"/>
          <w:highlight w:val="none"/>
          <w:u w:val="single"/>
          <w:lang w:val="en-US" w:eastAsia="zh-CN"/>
        </w:rPr>
        <w:t>标段一：</w:t>
      </w:r>
      <w:r>
        <w:rPr>
          <w:rFonts w:hint="eastAsia" w:ascii="宋体" w:hAnsi="宋体" w:eastAsia="宋体" w:cs="宋体"/>
          <w:color w:val="auto"/>
          <w:sz w:val="24"/>
          <w:szCs w:val="24"/>
          <w:lang w:val="en-US" w:eastAsia="zh-CN"/>
        </w:rPr>
        <w:t>政务服务地图、便捷咨询、高效办事、人员大厅智慧化管理四方面软件系统以及政务服务2.0硬件升级应于</w:t>
      </w:r>
      <w:r>
        <w:rPr>
          <w:rFonts w:hint="eastAsia" w:ascii="宋体" w:hAnsi="宋体" w:eastAsia="宋体" w:cs="宋体"/>
          <w:color w:val="auto"/>
          <w:sz w:val="24"/>
          <w:szCs w:val="24"/>
        </w:rPr>
        <w:t>合同签订后</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个月完成</w:t>
      </w:r>
      <w:r>
        <w:rPr>
          <w:rFonts w:hint="eastAsia" w:ascii="宋体" w:hAnsi="宋体" w:cs="宋体"/>
          <w:color w:val="auto"/>
          <w:sz w:val="24"/>
          <w:szCs w:val="24"/>
          <w:lang w:val="en-US" w:eastAsia="zh-CN"/>
        </w:rPr>
        <w:t>系统开发并部署应用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政务服务数据分析平台应于</w:t>
      </w:r>
      <w:r>
        <w:rPr>
          <w:rFonts w:hint="eastAsia" w:ascii="宋体" w:hAnsi="宋体" w:eastAsia="宋体" w:cs="宋体"/>
          <w:color w:val="auto"/>
          <w:sz w:val="24"/>
          <w:szCs w:val="24"/>
        </w:rPr>
        <w:t>合同签订后</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个月完成</w:t>
      </w:r>
      <w:r>
        <w:rPr>
          <w:rFonts w:hint="eastAsia" w:ascii="宋体" w:hAnsi="宋体" w:cs="宋体"/>
          <w:color w:val="auto"/>
          <w:sz w:val="24"/>
          <w:szCs w:val="24"/>
          <w:lang w:val="en-US" w:eastAsia="zh-CN"/>
        </w:rPr>
        <w:t>系统开发并部署应用</w:t>
      </w:r>
      <w:r>
        <w:rPr>
          <w:rFonts w:hint="eastAsia" w:ascii="宋体" w:hAnsi="宋体" w:eastAsia="宋体" w:cs="宋体"/>
          <w:color w:val="auto"/>
          <w:sz w:val="24"/>
          <w:szCs w:val="24"/>
        </w:rPr>
        <w:t>。</w:t>
      </w:r>
    </w:p>
    <w:p>
      <w:pPr>
        <w:numPr>
          <w:ilvl w:val="0"/>
          <w:numId w:val="0"/>
        </w:numPr>
        <w:spacing w:before="120" w:after="120" w:line="360" w:lineRule="auto"/>
        <w:ind w:firstLine="420" w:firstLineChars="0"/>
        <w:rPr>
          <w:rFonts w:ascii="宋体" w:hAnsi="宋体" w:eastAsia="宋体" w:cs="宋体"/>
          <w:b/>
          <w:color w:val="auto"/>
          <w:sz w:val="24"/>
          <w:szCs w:val="24"/>
        </w:rPr>
      </w:pPr>
      <w:r>
        <w:rPr>
          <w:rFonts w:hint="eastAsia" w:ascii="宋体" w:hAnsi="宋体" w:cs="宋体"/>
          <w:b w:val="0"/>
          <w:bCs w:val="0"/>
          <w:color w:val="auto"/>
          <w:sz w:val="24"/>
          <w:szCs w:val="24"/>
          <w:u w:val="single"/>
          <w:lang w:val="en-US" w:eastAsia="zh-CN"/>
        </w:rPr>
        <w:t>标段二：</w:t>
      </w:r>
      <w:r>
        <w:rPr>
          <w:rFonts w:hint="eastAsia" w:ascii="宋体" w:hAnsi="宋体" w:cs="宋体"/>
          <w:color w:val="auto"/>
          <w:sz w:val="24"/>
          <w:szCs w:val="24"/>
          <w:lang w:val="en-US" w:eastAsia="zh-CN"/>
        </w:rPr>
        <w:t>硬件设备交货期为</w:t>
      </w:r>
      <w:r>
        <w:rPr>
          <w:rFonts w:hint="eastAsia" w:asciiTheme="minorEastAsia" w:hAnsiTheme="minorEastAsia" w:eastAsiaTheme="minorEastAsia" w:cstheme="minorBidi"/>
          <w:color w:val="FF0000"/>
          <w:kern w:val="0"/>
          <w:sz w:val="24"/>
        </w:rPr>
        <w:t>合同签订之日起</w:t>
      </w:r>
      <w:r>
        <w:rPr>
          <w:rFonts w:hint="eastAsia" w:asciiTheme="minorEastAsia" w:hAnsiTheme="minorEastAsia" w:eastAsiaTheme="minorEastAsia" w:cstheme="minorBidi"/>
          <w:color w:val="FF0000"/>
          <w:kern w:val="0"/>
          <w:sz w:val="24"/>
          <w:lang w:val="en-US" w:eastAsia="zh-CN"/>
        </w:rPr>
        <w:t>60</w:t>
      </w:r>
      <w:r>
        <w:rPr>
          <w:rFonts w:hint="eastAsia" w:asciiTheme="minorEastAsia" w:hAnsiTheme="minorEastAsia" w:eastAsiaTheme="minorEastAsia" w:cstheme="minorBidi"/>
          <w:color w:val="FF0000"/>
          <w:kern w:val="0"/>
          <w:sz w:val="24"/>
        </w:rPr>
        <w:t>日内</w:t>
      </w:r>
      <w:r>
        <w:rPr>
          <w:rFonts w:hint="eastAsia" w:asciiTheme="minorEastAsia" w:hAnsiTheme="minorEastAsia" w:eastAsiaTheme="minorEastAsia" w:cstheme="minorBidi"/>
          <w:color w:val="auto"/>
          <w:kern w:val="0"/>
          <w:sz w:val="24"/>
        </w:rPr>
        <w:t xml:space="preserve"> </w:t>
      </w:r>
      <w:r>
        <w:rPr>
          <w:rFonts w:hint="eastAsia" w:asciiTheme="minorEastAsia" w:hAnsiTheme="minorEastAsia" w:eastAsiaTheme="minorEastAsia" w:cstheme="minorBidi"/>
          <w:color w:val="auto"/>
          <w:kern w:val="0"/>
          <w:sz w:val="24"/>
          <w:lang w:eastAsia="zh-CN"/>
        </w:rPr>
        <w:t>。</w:t>
      </w:r>
    </w:p>
    <w:p>
      <w:pPr>
        <w:pStyle w:val="2"/>
        <w:numPr>
          <w:ilvl w:val="0"/>
          <w:numId w:val="16"/>
        </w:numPr>
        <w:spacing w:line="360" w:lineRule="auto"/>
        <w:ind w:left="-62" w:leftChars="0" w:firstLine="482" w:firstLineChars="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质保期：</w:t>
      </w:r>
    </w:p>
    <w:p>
      <w:pPr>
        <w:pStyle w:val="2"/>
        <w:numPr>
          <w:ilvl w:val="0"/>
          <w:numId w:val="0"/>
        </w:numPr>
        <w:spacing w:line="360" w:lineRule="auto"/>
        <w:ind w:leftChars="200"/>
        <w:rPr>
          <w:rFonts w:hint="eastAsia" w:ascii="宋体" w:hAnsi="宋体" w:eastAsia="宋体" w:cs="宋体"/>
          <w:b w:val="0"/>
          <w:bCs/>
          <w:color w:val="auto"/>
          <w:sz w:val="24"/>
          <w:szCs w:val="24"/>
          <w:highlight w:val="none"/>
          <w:lang w:eastAsia="zh-CN"/>
        </w:rPr>
      </w:pPr>
      <w:r>
        <w:rPr>
          <w:rFonts w:hint="eastAsia" w:ascii="宋体" w:hAnsi="宋体" w:cs="宋体"/>
          <w:b w:val="0"/>
          <w:bCs/>
          <w:color w:val="auto"/>
          <w:sz w:val="24"/>
          <w:szCs w:val="24"/>
          <w:highlight w:val="none"/>
          <w:u w:val="single"/>
          <w:lang w:val="en-US" w:eastAsia="zh-CN"/>
        </w:rPr>
        <w:t>标段一：</w:t>
      </w:r>
      <w:r>
        <w:rPr>
          <w:rFonts w:hint="eastAsia" w:ascii="宋体" w:hAnsi="宋体" w:eastAsia="宋体" w:cs="宋体"/>
          <w:b w:val="0"/>
          <w:bCs/>
          <w:color w:val="auto"/>
          <w:sz w:val="24"/>
          <w:szCs w:val="24"/>
          <w:highlight w:val="none"/>
        </w:rPr>
        <w:t>项目运行维护要求免费服务期一年</w:t>
      </w:r>
      <w:r>
        <w:rPr>
          <w:rFonts w:hint="eastAsia" w:ascii="宋体" w:hAnsi="宋体" w:cs="宋体"/>
          <w:b w:val="0"/>
          <w:bCs/>
          <w:color w:val="auto"/>
          <w:sz w:val="24"/>
          <w:szCs w:val="24"/>
          <w:highlight w:val="none"/>
          <w:lang w:eastAsia="zh-CN"/>
        </w:rPr>
        <w:t>。</w:t>
      </w:r>
    </w:p>
    <w:p>
      <w:pPr>
        <w:pStyle w:val="2"/>
        <w:numPr>
          <w:ilvl w:val="0"/>
          <w:numId w:val="0"/>
        </w:numPr>
        <w:spacing w:line="360" w:lineRule="auto"/>
        <w:ind w:leftChars="200"/>
        <w:rPr>
          <w:rFonts w:ascii="宋体" w:hAnsi="宋体" w:eastAsia="宋体" w:cs="宋体"/>
          <w:b/>
          <w:color w:val="auto"/>
          <w:sz w:val="24"/>
          <w:szCs w:val="24"/>
          <w:highlight w:val="none"/>
        </w:rPr>
      </w:pPr>
      <w:r>
        <w:rPr>
          <w:rFonts w:hint="eastAsia" w:ascii="宋体" w:hAnsi="宋体" w:cs="宋体"/>
          <w:b w:val="0"/>
          <w:bCs/>
          <w:color w:val="auto"/>
          <w:sz w:val="24"/>
          <w:szCs w:val="24"/>
          <w:highlight w:val="none"/>
          <w:u w:val="single"/>
          <w:lang w:val="en-US" w:eastAsia="zh-CN"/>
        </w:rPr>
        <w:t>标段二：</w:t>
      </w:r>
      <w:r>
        <w:rPr>
          <w:rFonts w:hint="eastAsia" w:ascii="宋体" w:hAnsi="宋体" w:eastAsia="宋体" w:cs="宋体"/>
          <w:b w:val="0"/>
          <w:bCs/>
          <w:color w:val="auto"/>
          <w:sz w:val="24"/>
          <w:szCs w:val="24"/>
          <w:highlight w:val="none"/>
        </w:rPr>
        <w:t>硬件设备免费质保期为三年。</w:t>
      </w:r>
    </w:p>
    <w:p>
      <w:pPr>
        <w:numPr>
          <w:ilvl w:val="0"/>
          <w:numId w:val="16"/>
        </w:numPr>
        <w:spacing w:before="120" w:after="120" w:line="360" w:lineRule="auto"/>
        <w:ind w:left="-62" w:leftChars="0" w:firstLine="482" w:firstLineChars="0"/>
        <w:rPr>
          <w:rFonts w:hint="eastAsia"/>
          <w:b/>
          <w:bCs/>
          <w:sz w:val="24"/>
          <w:szCs w:val="32"/>
          <w:lang w:val="en-US" w:eastAsia="zh-CN"/>
        </w:rPr>
      </w:pPr>
      <w:r>
        <w:rPr>
          <w:rFonts w:hint="eastAsia" w:ascii="宋体" w:hAnsi="宋体" w:eastAsia="宋体" w:cs="宋体"/>
          <w:b/>
          <w:sz w:val="24"/>
          <w:szCs w:val="24"/>
        </w:rPr>
        <w:t>建设时间及地点：</w:t>
      </w:r>
      <w:r>
        <w:rPr>
          <w:rFonts w:hint="eastAsia" w:ascii="宋体" w:hAnsi="宋体" w:eastAsia="宋体" w:cs="宋体"/>
          <w:sz w:val="24"/>
          <w:szCs w:val="24"/>
        </w:rPr>
        <w:t>同前面“招标项目一览表”内所填的相关内容。</w:t>
      </w:r>
    </w:p>
    <w:p>
      <w:pPr>
        <w:numPr>
          <w:ilvl w:val="0"/>
          <w:numId w:val="16"/>
        </w:numPr>
        <w:spacing w:before="120" w:after="120" w:line="360" w:lineRule="auto"/>
        <w:ind w:left="-62" w:leftChars="0" w:firstLine="482" w:firstLineChars="0"/>
        <w:rPr>
          <w:rFonts w:hint="eastAsia"/>
          <w:b/>
          <w:bCs/>
          <w:sz w:val="24"/>
          <w:szCs w:val="32"/>
          <w:lang w:val="en-US" w:eastAsia="zh-CN"/>
        </w:rPr>
      </w:pPr>
      <w:r>
        <w:rPr>
          <w:rFonts w:hint="eastAsia"/>
          <w:b/>
          <w:bCs/>
          <w:sz w:val="24"/>
          <w:szCs w:val="32"/>
          <w:lang w:val="en-US" w:eastAsia="zh-CN"/>
        </w:rPr>
        <w:t>付款条件：</w:t>
      </w:r>
    </w:p>
    <w:p>
      <w:pPr>
        <w:spacing w:line="360" w:lineRule="auto"/>
        <w:ind w:firstLine="480" w:firstLineChars="200"/>
        <w:rPr>
          <w:rFonts w:hint="eastAsia" w:ascii="宋体" w:hAnsi="宋体" w:eastAsia="宋体" w:cs="宋体"/>
          <w:sz w:val="24"/>
          <w:szCs w:val="24"/>
        </w:rPr>
      </w:pPr>
      <w:r>
        <w:rPr>
          <w:rFonts w:hint="eastAsia" w:ascii="宋体" w:hAnsi="宋体" w:cs="宋体"/>
          <w:b w:val="0"/>
          <w:bCs w:val="0"/>
          <w:sz w:val="24"/>
          <w:szCs w:val="24"/>
          <w:u w:val="single"/>
          <w:lang w:val="en-US" w:eastAsia="zh-CN"/>
        </w:rPr>
        <w:t>标段一：</w:t>
      </w:r>
      <w:r>
        <w:rPr>
          <w:rFonts w:hint="eastAsia" w:ascii="宋体" w:hAnsi="宋体" w:eastAsia="宋体" w:cs="宋体"/>
          <w:sz w:val="24"/>
          <w:szCs w:val="24"/>
        </w:rPr>
        <w:t>软件部分合同签订后，招标方支付合同软件部分总价的30%；软件平台建设完毕，完成初步验收后支付合同软件部分总价的40%；项目终验合格后支付合同软件部分总价的30%。</w:t>
      </w:r>
    </w:p>
    <w:p>
      <w:pPr>
        <w:spacing w:line="360" w:lineRule="auto"/>
        <w:ind w:firstLine="480" w:firstLineChars="200"/>
        <w:rPr>
          <w:rFonts w:ascii="宋体" w:hAnsi="宋体" w:eastAsia="宋体" w:cs="宋体"/>
          <w:b/>
          <w:bCs/>
          <w:sz w:val="24"/>
          <w:szCs w:val="24"/>
        </w:rPr>
      </w:pPr>
      <w:r>
        <w:rPr>
          <w:rFonts w:hint="eastAsia" w:ascii="宋体" w:hAnsi="宋体" w:cs="宋体"/>
          <w:b w:val="0"/>
          <w:bCs w:val="0"/>
          <w:sz w:val="24"/>
          <w:szCs w:val="24"/>
          <w:u w:val="single"/>
          <w:lang w:val="en-US" w:eastAsia="zh-CN"/>
        </w:rPr>
        <w:t>标段二：</w:t>
      </w:r>
      <w:r>
        <w:rPr>
          <w:rFonts w:hint="eastAsia" w:ascii="宋体" w:hAnsi="宋体" w:eastAsia="宋体" w:cs="宋体"/>
          <w:sz w:val="24"/>
          <w:szCs w:val="24"/>
        </w:rPr>
        <w:t>硬件部分合同签订后，招标方支付合同硬件部分总价的30%；设备到货验收合格后支付合同硬件部分总价的20%；待硬件平台搭建完成，项目验收合格后支付合同硬件部分总价的50%。</w:t>
      </w:r>
    </w:p>
    <w:p>
      <w:pPr>
        <w:numPr>
          <w:ilvl w:val="0"/>
          <w:numId w:val="16"/>
        </w:numPr>
        <w:spacing w:before="120" w:after="120" w:line="360" w:lineRule="auto"/>
        <w:ind w:left="-62" w:leftChars="0" w:firstLine="482" w:firstLineChars="0"/>
        <w:rPr>
          <w:rFonts w:ascii="宋体" w:hAnsi="宋体" w:eastAsia="宋体" w:cs="宋体"/>
          <w:b/>
          <w:bCs/>
          <w:sz w:val="24"/>
          <w:szCs w:val="24"/>
        </w:rPr>
      </w:pPr>
      <w:r>
        <w:rPr>
          <w:rFonts w:hint="eastAsia" w:ascii="宋体" w:hAnsi="宋体" w:cs="宋体"/>
          <w:b/>
          <w:bCs/>
          <w:sz w:val="24"/>
          <w:szCs w:val="24"/>
          <w:lang w:val="en-US" w:eastAsia="zh-CN"/>
        </w:rPr>
        <w:t>履约保证金：</w:t>
      </w:r>
      <w:r>
        <w:rPr>
          <w:rFonts w:hint="eastAsia" w:ascii="宋体" w:hAnsi="宋体" w:cs="宋体"/>
          <w:b w:val="0"/>
          <w:bCs w:val="0"/>
          <w:sz w:val="24"/>
          <w:szCs w:val="24"/>
          <w:u w:val="single"/>
          <w:lang w:val="en-US" w:eastAsia="zh-CN"/>
        </w:rPr>
        <w:t>标段一、二：</w:t>
      </w:r>
      <w:r>
        <w:rPr>
          <w:rFonts w:hint="eastAsia" w:asciiTheme="majorEastAsia" w:hAnsiTheme="majorEastAsia" w:cstheme="majorEastAsia"/>
          <w:b w:val="0"/>
          <w:bCs w:val="0"/>
          <w:color w:val="auto"/>
          <w:sz w:val="24"/>
          <w:szCs w:val="24"/>
          <w:lang w:val="en-US" w:eastAsia="zh-CN"/>
        </w:rPr>
        <w:t>中标人需在合同签署后七天内按照合同总价的5%缴付履约保证金，采购人在质保期满后7个工作日内无息退还。</w:t>
      </w:r>
    </w:p>
    <w:p>
      <w:pPr>
        <w:numPr>
          <w:ilvl w:val="0"/>
          <w:numId w:val="16"/>
        </w:numPr>
        <w:spacing w:before="120" w:after="120" w:line="360" w:lineRule="auto"/>
        <w:ind w:left="-62" w:leftChars="0" w:firstLine="482" w:firstLineChars="0"/>
      </w:pPr>
      <w:r>
        <w:rPr>
          <w:rFonts w:hint="eastAsia" w:ascii="宋体" w:hAnsi="宋体" w:cs="宋体"/>
          <w:b/>
          <w:bCs/>
          <w:sz w:val="24"/>
          <w:szCs w:val="24"/>
          <w:lang w:val="en-US" w:eastAsia="zh-CN"/>
        </w:rPr>
        <w:t>其他</w:t>
      </w:r>
    </w:p>
    <w:p>
      <w:pPr>
        <w:spacing w:line="360" w:lineRule="auto"/>
        <w:ind w:firstLine="480" w:firstLineChars="200"/>
      </w:pPr>
      <w:r>
        <w:rPr>
          <w:rFonts w:hint="eastAsia" w:ascii="宋体" w:hAnsi="宋体" w:eastAsia="宋体" w:cs="宋体"/>
          <w:sz w:val="24"/>
          <w:szCs w:val="24"/>
        </w:rPr>
        <w:t>本项目为交钥匙服务项目，中标人不得以任何理由增加费用。项目实施过程中可能涉及的所有财务成本已经包含投标总报价之中，对标书中未体现，但又是提供服务所必须的组件，中标方必须自行增加。同时，中标方需对服务项目建设及运营期间的安全责任问题及第三方责任赔偿负责，投标的报价包含实现标书的所有功能及安全保障工作，其应包括（但不限于）施工设备、劳务、管理、材料、系统集成、安装调试、软件开发、试运行、质保、保险、利润、税金、培训费、开办费、措施费、人身意外伤害保险费、第三方检测费用、备品备件费用、建设期财务费用、光纤租赁费用、安全文明施工设施费用、机房和网络建设费用、维修维护服务、设备使用电费、相关审批费用、政策性文件规定费用及合同包含的所有风险、责任等各项所有费用。为保证工程建设及售后服务质量，要求投标方的总体报价不得明显低于成本价。</w:t>
      </w:r>
    </w:p>
    <w:p>
      <w:pPr>
        <w:pStyle w:val="3"/>
        <w:spacing w:line="360" w:lineRule="auto"/>
        <w:ind w:left="0" w:leftChars="0" w:firstLine="0" w:firstLineChars="0"/>
        <w:rPr>
          <w:rFonts w:asciiTheme="minorEastAsia" w:hAnsiTheme="minorEastAsia" w:eastAsiaTheme="minorEastAsia" w:cstheme="minorBidi"/>
          <w:kern w:val="0"/>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Bidi"/>
          <w:kern w:val="0"/>
          <w:sz w:val="24"/>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政府采购合同主要条款指引</w:t>
      </w:r>
    </w:p>
    <w:p>
      <w:pPr>
        <w:snapToGrid w:val="0"/>
        <w:spacing w:before="156" w:beforeLines="50" w:after="156" w:afterLines="50"/>
        <w:jc w:val="center"/>
        <w:rPr>
          <w:rFonts w:ascii="宋体" w:hAnsi="宋体"/>
          <w:b/>
          <w:sz w:val="36"/>
          <w:szCs w:val="36"/>
        </w:rPr>
      </w:pPr>
      <w:r>
        <w:rPr>
          <w:rFonts w:hint="eastAsia" w:ascii="宋体" w:hAnsi="宋体"/>
          <w:b/>
          <w:sz w:val="36"/>
          <w:szCs w:val="36"/>
        </w:rPr>
        <w:t>货物类</w:t>
      </w:r>
    </w:p>
    <w:p>
      <w:pPr>
        <w:widowControl/>
        <w:shd w:val="clear" w:color="auto" w:fill="FFFFFF"/>
        <w:spacing w:after="150" w:line="360" w:lineRule="auto"/>
        <w:ind w:firstLine="480"/>
        <w:jc w:val="left"/>
        <w:rPr>
          <w:rFonts w:asciiTheme="minorEastAsia" w:hAnsiTheme="minorEastAsia" w:eastAsiaTheme="minorEastAsia"/>
          <w:sz w:val="24"/>
        </w:rPr>
      </w:pPr>
      <w:r>
        <w:rPr>
          <w:rFonts w:asciiTheme="minorEastAsia" w:hAnsiTheme="minorEastAsia" w:eastAsiaTheme="minorEastAsia"/>
          <w:sz w:val="24"/>
        </w:rPr>
        <w:t>以下为成交后签定本项目合同的通用条款，成交供应商不得提出实质性的修改，关于专用条款将由采购人与成交供应商结合本项目具体情况协商后签订。</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3"/>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3"/>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color w:val="FF00FF"/>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color w:val="FF00FF"/>
          <w:sz w:val="24"/>
        </w:rPr>
        <w:t>××</w:t>
      </w:r>
      <w:r>
        <w:rPr>
          <w:rFonts w:asciiTheme="minorEastAsia" w:hAnsiTheme="minorEastAsia" w:eastAsiaTheme="minorEastAsia"/>
          <w:sz w:val="24"/>
        </w:rPr>
        <w:t>单位</w:t>
      </w:r>
      <w:r>
        <w:rPr>
          <w:rFonts w:hint="eastAsia" w:cs="Arial" w:asciiTheme="minorEastAsia" w:hAnsiTheme="minorEastAsia" w:eastAsiaTheme="minorEastAsia"/>
          <w:color w:val="FF00FF"/>
          <w:sz w:val="24"/>
        </w:rPr>
        <w:t>××</w:t>
      </w:r>
      <w:r>
        <w:rPr>
          <w:rFonts w:asciiTheme="minorEastAsia" w:hAnsiTheme="minorEastAsia" w:eastAsiaTheme="minorEastAsia"/>
          <w:sz w:val="24"/>
        </w:rPr>
        <w:t>项目公开招标的结果，签署本合同。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3"/>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 货物名称：</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型号规格：</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技术参数：</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数量（单位）：</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 xml:space="preserve"> 本合同金额为（大写）：____________________________________元（￥_______________元）人民币。</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乙方应按招标文件规定的时间向甲方提供使用货物的有关技术资料。</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before="120" w:after="120" w:line="360" w:lineRule="auto"/>
        <w:ind w:left="412" w:hanging="412" w:hangingChars="171"/>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乙方应保证所提供的货物或其任何一部分均不会侵犯任何第三方的知识产权。</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2.若侵犯,由乙方赔偿甲方因此遭受的损失（包括但不限于应对及追偿过程中所支付的律师费、差旅费、诉讼费、保全费、鉴定费、评估费等）。</w:t>
      </w:r>
    </w:p>
    <w:p>
      <w:pPr>
        <w:pStyle w:val="13"/>
        <w:snapToGrid w:val="0"/>
        <w:spacing w:before="120" w:after="120" w:line="360" w:lineRule="auto"/>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3"/>
        <w:snapToGrid w:val="0"/>
        <w:spacing w:before="120" w:after="120" w:line="360" w:lineRule="auto"/>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3"/>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rPr>
        <w:t>5</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rPr>
        <w:t>质保期满1年后</w:t>
      </w:r>
      <w:r>
        <w:rPr>
          <w:rFonts w:hint="eastAsia" w:asciiTheme="minorEastAsia" w:hAnsiTheme="minorEastAsia" w:eastAsiaTheme="minorEastAsia" w:cstheme="minorBidi"/>
          <w:sz w:val="24"/>
          <w:lang w:val="zh-CN"/>
        </w:rPr>
        <w:t>无息退还。]</w:t>
      </w:r>
    </w:p>
    <w:p>
      <w:pPr>
        <w:pStyle w:val="13"/>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质保期</w:t>
      </w:r>
      <w:r>
        <w:rPr>
          <w:rFonts w:hAnsi="宋体" w:cs="Times New Roman"/>
          <w:sz w:val="24"/>
        </w:rPr>
        <w:t>___</w:t>
      </w:r>
      <w:r>
        <w:rPr>
          <w:rFonts w:asciiTheme="minorEastAsia" w:hAnsiTheme="minorEastAsia" w:eastAsiaTheme="minorEastAsia"/>
          <w:sz w:val="24"/>
        </w:rPr>
        <w:t>年。（自交货验收合格之日起计）</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3"/>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交货期：</w:t>
      </w:r>
    </w:p>
    <w:p>
      <w:pPr>
        <w:pStyle w:val="13"/>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color w:val="000000"/>
          <w:sz w:val="24"/>
        </w:rPr>
        <w:t>2</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交货方式：</w:t>
      </w:r>
    </w:p>
    <w:p>
      <w:pPr>
        <w:pStyle w:val="13"/>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Cs/>
          <w:color w:val="000000"/>
          <w:sz w:val="24"/>
        </w:rPr>
        <w:t>3</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交货地点：</w:t>
      </w:r>
    </w:p>
    <w:p>
      <w:pPr>
        <w:pStyle w:val="13"/>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
          <w:color w:val="000000"/>
          <w:sz w:val="24"/>
        </w:rPr>
        <w:t>十</w:t>
      </w:r>
      <w:r>
        <w:rPr>
          <w:rFonts w:hint="eastAsia" w:asciiTheme="minorEastAsia" w:hAnsiTheme="minorEastAsia" w:eastAsiaTheme="minorEastAsia"/>
          <w:b/>
          <w:color w:val="000000"/>
          <w:sz w:val="24"/>
        </w:rPr>
        <w:t>一</w:t>
      </w:r>
      <w:r>
        <w:rPr>
          <w:rFonts w:asciiTheme="minorEastAsia" w:hAnsiTheme="minorEastAsia" w:eastAsiaTheme="minorEastAsia"/>
          <w:b/>
          <w:color w:val="000000"/>
          <w:sz w:val="24"/>
        </w:rPr>
        <w:t>、货款支付</w:t>
      </w:r>
    </w:p>
    <w:p>
      <w:pPr>
        <w:pStyle w:val="13"/>
        <w:snapToGrid w:val="0"/>
        <w:spacing w:before="120" w:after="120" w:line="360" w:lineRule="auto"/>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付款方式：</w:t>
      </w:r>
    </w:p>
    <w:p>
      <w:pPr>
        <w:pStyle w:val="13"/>
        <w:snapToGrid w:val="0"/>
        <w:spacing w:line="360" w:lineRule="auto"/>
        <w:rPr>
          <w:rFonts w:asciiTheme="minorEastAsia" w:hAnsiTheme="minorEastAsia" w:eastAsiaTheme="minorEastAsia"/>
          <w:bCs/>
          <w:sz w:val="24"/>
        </w:rPr>
      </w:pPr>
      <w:r>
        <w:rPr>
          <w:rFonts w:hint="eastAsia" w:hAnsi="Times New Roman"/>
          <w:sz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before="156" w:beforeLines="50" w:after="156" w:afterLines="50" w:line="360" w:lineRule="auto"/>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3"/>
        <w:snapToGrid w:val="0"/>
        <w:spacing w:before="120" w:after="120" w:line="360" w:lineRule="auto"/>
        <w:ind w:left="412" w:hanging="412" w:hangingChars="171"/>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乙方应按招标文件规定的货物性能、技术要求、质量标准向甲方提供未经使用的全新产品。</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3"/>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⑴更换：由乙方承担所发生的全部费用。</w:t>
      </w:r>
    </w:p>
    <w:p>
      <w:pPr>
        <w:pStyle w:val="13"/>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⑵贬值处理：由甲乙双方合议定价。</w:t>
      </w:r>
    </w:p>
    <w:p>
      <w:pPr>
        <w:pStyle w:val="13"/>
        <w:snapToGrid w:val="0"/>
        <w:spacing w:before="120" w:after="120" w:line="360" w:lineRule="auto"/>
        <w:ind w:left="420" w:leftChars="200"/>
        <w:rPr>
          <w:rFonts w:asciiTheme="minorEastAsia" w:hAnsiTheme="minorEastAsia" w:eastAsiaTheme="minorEastAsia"/>
          <w:sz w:val="24"/>
        </w:rPr>
      </w:pPr>
      <w:r>
        <w:rPr>
          <w:rFonts w:asciiTheme="minorEastAsia" w:hAnsiTheme="minorEastAsia" w:eastAsiaTheme="minorEastAsia"/>
          <w:sz w:val="24"/>
        </w:rPr>
        <w:t>⑶退货处理：乙方应退还甲方支付的合同款，同时应承担该货物的直接费用（运输、保险、检验、货款利息及银行手续费等）。</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如在使用过程中发生质量问题，乙方在接到甲方通知后</w:t>
      </w:r>
      <w:r>
        <w:rPr>
          <w:rFonts w:asciiTheme="minorEastAsia" w:hAnsiTheme="minorEastAsia" w:eastAsiaTheme="minorEastAsia"/>
          <w:color w:val="000000"/>
          <w:sz w:val="24"/>
        </w:rPr>
        <w:t>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小时</w:t>
      </w:r>
      <w:r>
        <w:rPr>
          <w:rFonts w:asciiTheme="minorEastAsia" w:hAnsiTheme="minorEastAsia" w:eastAsiaTheme="minorEastAsia"/>
          <w:sz w:val="24"/>
        </w:rPr>
        <w:t>内到达甲方</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现场。</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在质保期内，乙方应对货物出现的质量及安全问题负责处理解决并承担一切</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费用。</w:t>
      </w:r>
    </w:p>
    <w:p>
      <w:pPr>
        <w:pStyle w:val="13"/>
        <w:snapToGrid w:val="0"/>
        <w:spacing w:before="120" w:after="120" w:line="360" w:lineRule="auto"/>
        <w:rPr>
          <w:rFonts w:asciiTheme="minorEastAsia" w:hAnsiTheme="minorEastAsia" w:eastAsiaTheme="minorEastAsia"/>
          <w:color w:val="000000"/>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color w:val="000000"/>
          <w:sz w:val="24"/>
        </w:rPr>
        <w:t>上述的</w:t>
      </w:r>
      <w:r>
        <w:rPr>
          <w:rFonts w:asciiTheme="minorEastAsia" w:hAnsiTheme="minorEastAsia" w:eastAsiaTheme="minorEastAsia"/>
          <w:sz w:val="24"/>
        </w:rPr>
        <w:t>货物</w:t>
      </w:r>
      <w:r>
        <w:rPr>
          <w:rFonts w:asciiTheme="minorEastAsia" w:hAnsiTheme="minorEastAsia" w:eastAsiaTheme="minorEastAsia"/>
          <w:color w:val="000000"/>
          <w:sz w:val="24"/>
        </w:rPr>
        <w:t>免费保修期为年，因人为因素出现的故障不在免费保修范围</w:t>
      </w:r>
    </w:p>
    <w:p>
      <w:pPr>
        <w:pStyle w:val="13"/>
        <w:snapToGrid w:val="0"/>
        <w:spacing w:before="120" w:after="120" w:line="360" w:lineRule="auto"/>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内。超过保修期的机器设备，终生维修，维修时只收部件成本费。</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3"/>
        <w:snapToGrid w:val="0"/>
        <w:spacing w:before="120" w:after="120" w:line="360" w:lineRule="auto"/>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甲方对乙方提交的货物依据招标文件上的技术规格要求和国家有关质量标准</w:t>
      </w:r>
    </w:p>
    <w:p>
      <w:pPr>
        <w:pStyle w:val="13"/>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进行现场初步验收，外观、说明书符合招标文件技术要求的，给予签收，初</w:t>
      </w:r>
    </w:p>
    <w:p>
      <w:pPr>
        <w:pStyle w:val="13"/>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步验收不合格的不予签收。货到后，甲方需在</w:t>
      </w:r>
      <w:r>
        <w:rPr>
          <w:rFonts w:hint="eastAsia" w:asciiTheme="minorEastAsia" w:hAnsiTheme="minorEastAsia" w:eastAsiaTheme="minorEastAsia"/>
          <w:color w:val="FF66CC"/>
          <w:sz w:val="24"/>
          <w:u w:val="single"/>
        </w:rPr>
        <w:t>五</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乙方交货前应对产品作出全面检查和对验收文件进行整理，并列出清单，作</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为甲方收货验收和使用的技术条件依据，检验的结果应随货物交甲方。</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甲方对乙方提供的货物在使用前进行调试时，乙方需负责安装并培训甲方的</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使用操作人员，并协助甲方一起调试，直到符合技术要求，甲方才做最终验</w:t>
      </w:r>
    </w:p>
    <w:p>
      <w:pPr>
        <w:pStyle w:val="13"/>
        <w:snapToGrid w:val="0"/>
        <w:spacing w:before="120" w:after="120" w:line="360" w:lineRule="auto"/>
        <w:ind w:firstLine="360" w:firstLineChars="150"/>
        <w:rPr>
          <w:rFonts w:asciiTheme="minorEastAsia" w:hAnsiTheme="minorEastAsia" w:eastAsiaTheme="minorEastAsia"/>
          <w:sz w:val="24"/>
          <w:u w:val="single"/>
        </w:rPr>
      </w:pPr>
      <w:r>
        <w:rPr>
          <w:rFonts w:asciiTheme="minorEastAsia" w:hAnsiTheme="minorEastAsia" w:eastAsiaTheme="minorEastAsia"/>
          <w:sz w:val="24"/>
        </w:rPr>
        <w:t>收。</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w:t>
      </w:r>
      <w:r>
        <w:rPr>
          <w:rFonts w:asciiTheme="minorEastAsia" w:hAnsiTheme="minorEastAsia" w:eastAsiaTheme="minorEastAsia"/>
          <w:sz w:val="24"/>
        </w:rPr>
        <w:t>对技术复杂的货物，甲方应请国家认可的专业检测机构参与初步验收及最终</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验收，并由其出具质量检测报告。</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责。</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乙方应在货物发运前对其进行满足运输距离、防潮、防震、防锈和防破损装卸等要求包装，以保证货物安全运达甲方指定地点。</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使用说明书、质量检验证明书、随配附件和工具以及清单一并附于货物内。</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乙方在货物发运手续办理完毕后24小时内或货到甲方48小时前通知甲方，以准备接货。</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货物在交付甲方前发生的风险均由乙方负责。</w:t>
      </w:r>
    </w:p>
    <w:p>
      <w:pPr>
        <w:pStyle w:val="13"/>
        <w:snapToGrid w:val="0"/>
        <w:spacing w:line="360" w:lineRule="auto"/>
        <w:ind w:left="480" w:right="26" w:hanging="480" w:hanging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 xml:space="preserve"> 货物在规定的交付期限内由乙方送达甲方指定的地点视为交付，乙方同时需</w:t>
      </w:r>
    </w:p>
    <w:p>
      <w:pPr>
        <w:pStyle w:val="13"/>
        <w:snapToGrid w:val="0"/>
        <w:spacing w:line="360" w:lineRule="auto"/>
        <w:ind w:left="479" w:leftChars="171" w:right="26" w:hanging="120" w:hangingChars="50"/>
        <w:rPr>
          <w:rFonts w:asciiTheme="minorEastAsia" w:hAnsiTheme="minorEastAsia" w:eastAsiaTheme="minorEastAsia"/>
          <w:sz w:val="24"/>
        </w:rPr>
      </w:pPr>
      <w:r>
        <w:rPr>
          <w:rFonts w:asciiTheme="minorEastAsia" w:hAnsiTheme="minorEastAsia" w:eastAsiaTheme="minorEastAsia"/>
          <w:sz w:val="24"/>
        </w:rPr>
        <w:t>通知甲方货物已送达。</w:t>
      </w:r>
    </w:p>
    <w:p>
      <w:pPr>
        <w:pStyle w:val="13"/>
        <w:numPr>
          <w:ilvl w:val="0"/>
          <w:numId w:val="17"/>
        </w:numPr>
        <w:snapToGrid w:val="0"/>
        <w:spacing w:before="120" w:after="120" w:line="360" w:lineRule="auto"/>
        <w:ind w:left="420" w:hanging="420" w:hangingChars="175"/>
        <w:rPr>
          <w:rFonts w:asciiTheme="minorEastAsia" w:hAnsiTheme="minorEastAsia" w:eastAsiaTheme="minorEastAsia"/>
          <w:sz w:val="24"/>
        </w:rPr>
      </w:pPr>
      <w:r>
        <w:rPr>
          <w:rFonts w:hint="eastAsia" w:asciiTheme="minorEastAsia" w:hAnsiTheme="minorEastAsia" w:eastAsiaTheme="minorEastAsia"/>
          <w:sz w:val="24"/>
        </w:rPr>
        <w:t>乙方运送的货物涉及商品包装和快递包装的，参考《商品包装政府采购需求标准（试行）》、《快递包装政府采购需求标准（试行）》（财办库［2020］123号）</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甲方无正当理由拒收货物的，甲方向乙方偿付拒收货款总值的</w:t>
      </w:r>
      <w:r>
        <w:rPr>
          <w:rFonts w:asciiTheme="minorEastAsia" w:hAnsiTheme="minorEastAsia" w:eastAsiaTheme="minorEastAsia"/>
          <w:color w:val="FF66CC"/>
          <w:sz w:val="24"/>
          <w:u w:val="single"/>
        </w:rPr>
        <w:t>百分之五</w:t>
      </w:r>
      <w:r>
        <w:rPr>
          <w:rFonts w:asciiTheme="minorEastAsia" w:hAnsiTheme="minorEastAsia" w:eastAsiaTheme="minorEastAsia"/>
          <w:sz w:val="24"/>
        </w:rPr>
        <w:t>违约金。</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甲方无故逾期验收和办理货款支付手续的,甲方应按逾期付款总额每日</w:t>
      </w:r>
      <w:r>
        <w:rPr>
          <w:rFonts w:asciiTheme="minorEastAsia" w:hAnsiTheme="minorEastAsia" w:eastAsiaTheme="minorEastAsia"/>
          <w:color w:val="FF66CC"/>
          <w:sz w:val="24"/>
          <w:u w:val="single"/>
        </w:rPr>
        <w:t>万分之五</w:t>
      </w:r>
      <w:r>
        <w:rPr>
          <w:rFonts w:asciiTheme="minorEastAsia" w:hAnsiTheme="minorEastAsia" w:eastAsiaTheme="minorEastAsia"/>
          <w:sz w:val="24"/>
        </w:rPr>
        <w:t>向乙方支付违约金。</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乙方逾期交付货物的，乙方应按逾期交货总额每日</w:t>
      </w:r>
      <w:r>
        <w:rPr>
          <w:rFonts w:asciiTheme="minorEastAsia" w:hAnsiTheme="minorEastAsia" w:eastAsiaTheme="minorEastAsia"/>
          <w:color w:val="FF66CC"/>
          <w:sz w:val="24"/>
          <w:u w:val="single"/>
        </w:rPr>
        <w:t>千分之六</w:t>
      </w:r>
      <w:r>
        <w:rPr>
          <w:rFonts w:asciiTheme="minorEastAsia" w:hAnsiTheme="minorEastAsia" w:eastAsiaTheme="minorEastAsia"/>
          <w:sz w:val="24"/>
        </w:rPr>
        <w:t>向甲方支付违约金，由甲方从待付货款中扣除。逾期超过约定日期</w:t>
      </w:r>
      <w:r>
        <w:rPr>
          <w:rFonts w:asciiTheme="minorEastAsia" w:hAnsiTheme="minorEastAsia" w:eastAsiaTheme="minorEastAsia"/>
          <w:color w:val="FF66CC"/>
          <w:sz w:val="24"/>
          <w:u w:val="single"/>
        </w:rPr>
        <w:t>10</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3"/>
        <w:snapToGrid w:val="0"/>
        <w:spacing w:before="120" w:after="120" w:line="360" w:lineRule="auto"/>
        <w:ind w:left="410" w:hanging="410" w:hangingChars="171"/>
        <w:rPr>
          <w:rFonts w:asciiTheme="minorEastAsia" w:hAnsiTheme="minorEastAsia" w:eastAsiaTheme="minorEastAsia"/>
          <w:sz w:val="24"/>
        </w:rPr>
      </w:pPr>
      <w:r>
        <w:rPr>
          <w:rFonts w:hint="eastAsia" w:asciiTheme="minorEastAsia" w:hAnsiTheme="minorEastAsia" w:eastAsiaTheme="minorEastAsia"/>
          <w:sz w:val="24"/>
        </w:rPr>
        <w:t>5.若发生纠纷，由违约方赔偿守约方因纠纷所支付的费用（包括但不限于律师费、差旅费、诉讼费、保全费、鉴定费、评估费等）</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在合同有效期内，任何一方因不可抗力事件导致不能履行合同，则合同履行</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期可延长，其延长期与不可抗力影响期相同。</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不可抗力事件发生后，应立即通知对方，并寄送有关权威机构出具的证明。</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不可抗力事件延续120天以上，双方应通过友好协商，确定是否继续履行合</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同。</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widowControl/>
        <w:spacing w:line="360" w:lineRule="auto"/>
        <w:jc w:val="left"/>
        <w:rPr>
          <w:sz w:val="24"/>
        </w:rPr>
      </w:pPr>
      <w:r>
        <w:rPr>
          <w:rFonts w:hint="eastAsia" w:ascii="宋体" w:hAnsi="宋体" w:cs="宋体"/>
          <w:kern w:val="0"/>
          <w:sz w:val="24"/>
        </w:rPr>
        <w:t xml:space="preserve">1. </w:t>
      </w:r>
      <w:r>
        <w:rPr>
          <w:rFonts w:ascii="宋体" w:hAnsi="宋体" w:cs="宋体"/>
          <w:kern w:val="0"/>
          <w:sz w:val="24"/>
        </w:rPr>
        <w:t>如双方在履行合同时发生纠纷，应协商解决；协商不成时，可提请政府采购管理部门调解；调解不成的通过以下方式解决（两种解决方式只能择其一）：</w:t>
      </w:r>
      <w:r>
        <w:rPr>
          <w:rFonts w:ascii="宋体" w:hAnsi="宋体" w:cs="宋体"/>
          <w:kern w:val="0"/>
          <w:sz w:val="24"/>
        </w:rPr>
        <w:br w:type="textWrapping"/>
      </w:r>
      <w:r>
        <w:rPr>
          <w:rFonts w:ascii="宋体" w:hAnsi="宋体" w:cs="宋体"/>
          <w:kern w:val="0"/>
          <w:sz w:val="24"/>
        </w:rPr>
        <w:t>（1） 提交</w:t>
      </w:r>
      <w:r>
        <w:rPr>
          <w:rFonts w:hAnsi="宋体"/>
          <w:color w:val="FF66CC"/>
          <w:sz w:val="24"/>
          <w:u w:val="single"/>
        </w:rPr>
        <w:t>台州</w:t>
      </w:r>
      <w:r>
        <w:rPr>
          <w:rFonts w:ascii="宋体" w:hAnsi="宋体" w:cs="宋体"/>
          <w:kern w:val="0"/>
          <w:sz w:val="24"/>
        </w:rPr>
        <w:t>仲裁委员会仲裁。</w:t>
      </w:r>
      <w:r>
        <w:rPr>
          <w:rFonts w:ascii="宋体" w:hAnsi="宋体" w:cs="宋体"/>
          <w:kern w:val="0"/>
          <w:sz w:val="24"/>
        </w:rPr>
        <w:br w:type="textWrapping"/>
      </w:r>
      <w:r>
        <w:rPr>
          <w:rFonts w:ascii="宋体" w:hAnsi="宋体" w:cs="宋体"/>
          <w:kern w:val="0"/>
          <w:sz w:val="24"/>
        </w:rPr>
        <w:t xml:space="preserve">（2） 依法向人民法院提起诉讼。 </w:t>
      </w:r>
    </w:p>
    <w:p>
      <w:pPr>
        <w:pStyle w:val="13"/>
        <w:tabs>
          <w:tab w:val="left" w:pos="5790"/>
        </w:tabs>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2"/>
        <w:widowControl/>
        <w:spacing w:line="360" w:lineRule="auto"/>
        <w:ind w:right="-8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 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2"/>
        <w:widowControl/>
        <w:spacing w:line="360" w:lineRule="auto"/>
        <w:ind w:right="-88"/>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本合同未尽事宜，遵照《合同法》有关条文执行。</w:t>
      </w:r>
    </w:p>
    <w:p>
      <w:pPr>
        <w:pStyle w:val="2"/>
        <w:widowControl/>
        <w:spacing w:line="360" w:lineRule="auto"/>
        <w:ind w:right="-88"/>
        <w:rPr>
          <w:rFonts w:asciiTheme="minorEastAsia" w:hAnsiTheme="minorEastAsia" w:eastAsiaTheme="minorEastAsia"/>
        </w:rPr>
      </w:pPr>
      <w:r>
        <w:rPr>
          <w:rFonts w:hint="eastAsia" w:asciiTheme="minorEastAsia" w:hAnsiTheme="minorEastAsia" w:eastAsiaTheme="minorEastAsia"/>
        </w:rPr>
        <w:t>3. 本合同一式四份。甲、乙双方各执一份，</w:t>
      </w:r>
      <w:r>
        <w:rPr>
          <w:rFonts w:hint="eastAsia" w:ascii="宋体" w:hAnsi="宋体"/>
        </w:rPr>
        <w:t>采购组织机构及同级人民政府财政部门各执一份</w:t>
      </w:r>
      <w:r>
        <w:rPr>
          <w:rFonts w:hint="eastAsia" w:asciiTheme="minorEastAsia" w:hAnsiTheme="minorEastAsia" w:eastAsiaTheme="minorEastAsia"/>
        </w:rPr>
        <w:t>。本项目未尽事宜以招标文件、投标文件及澄清文件等为准。</w:t>
      </w: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甲方（公章）                                     乙方（公章）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帐号：                                           帐号：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ind w:firstLine="4920" w:firstLineChars="2050"/>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rPr>
          <w:rFonts w:asciiTheme="minorEastAsia" w:hAnsiTheme="minorEastAsia" w:eastAsiaTheme="minorEastAsia"/>
          <w:color w:val="FF0000"/>
          <w:sz w:val="24"/>
        </w:rPr>
      </w:pPr>
    </w:p>
    <w:p>
      <w:pPr>
        <w:autoSpaceDE w:val="0"/>
        <w:autoSpaceDN w:val="0"/>
        <w:adjustRightInd w:val="0"/>
        <w:spacing w:line="360" w:lineRule="auto"/>
        <w:rPr>
          <w:rFonts w:ascii="宋体" w:hAnsi="宋体"/>
          <w:b/>
          <w:kern w:val="0"/>
          <w:sz w:val="30"/>
        </w:rPr>
      </w:pPr>
    </w:p>
    <w:p>
      <w:pPr>
        <w:autoSpaceDE w:val="0"/>
        <w:autoSpaceDN w:val="0"/>
        <w:adjustRightInd w:val="0"/>
        <w:spacing w:line="360" w:lineRule="auto"/>
        <w:rPr>
          <w:rFonts w:ascii="宋体" w:hAnsi="宋体"/>
          <w:b/>
          <w:kern w:val="0"/>
          <w:sz w:val="30"/>
        </w:rPr>
      </w:pPr>
    </w:p>
    <w:p>
      <w:pPr>
        <w:spacing w:line="360" w:lineRule="auto"/>
        <w:jc w:val="left"/>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spacing w:line="360" w:lineRule="auto"/>
        <w:jc w:val="left"/>
        <w:rPr>
          <w:rFonts w:asciiTheme="majorEastAsia" w:hAnsiTheme="majorEastAsia" w:eastAsiaTheme="majorEastAsia"/>
          <w:color w:val="00B0F0"/>
          <w:sz w:val="28"/>
          <w:szCs w:val="28"/>
        </w:rPr>
      </w:pPr>
    </w:p>
    <w:p>
      <w:pPr>
        <w:snapToGrid w:val="0"/>
        <w:spacing w:before="156" w:beforeLines="50" w:after="156" w:afterLines="50"/>
        <w:jc w:val="center"/>
        <w:rPr>
          <w:rFonts w:ascii="宋体" w:hAnsi="宋体"/>
          <w:b/>
          <w:sz w:val="36"/>
          <w:szCs w:val="36"/>
        </w:rPr>
      </w:pPr>
      <w:r>
        <w:rPr>
          <w:rFonts w:hint="eastAsia" w:ascii="宋体" w:hAnsi="宋体"/>
          <w:b/>
          <w:sz w:val="36"/>
          <w:szCs w:val="36"/>
        </w:rPr>
        <w:t>服务类</w:t>
      </w:r>
    </w:p>
    <w:p>
      <w:pPr>
        <w:widowControl/>
        <w:shd w:val="clear" w:color="auto" w:fill="FFFFFF"/>
        <w:spacing w:after="150" w:line="360" w:lineRule="auto"/>
        <w:ind w:firstLine="480"/>
        <w:jc w:val="left"/>
        <w:rPr>
          <w:rFonts w:asciiTheme="minorEastAsia" w:hAnsiTheme="minorEastAsia" w:eastAsiaTheme="minorEastAsia"/>
          <w:sz w:val="24"/>
        </w:rPr>
      </w:pPr>
      <w:r>
        <w:rPr>
          <w:rFonts w:asciiTheme="minorEastAsia" w:hAnsiTheme="minorEastAsia" w:eastAsiaTheme="minorEastAsia"/>
          <w:sz w:val="24"/>
        </w:rPr>
        <w:t>以下为成交后签定本项目合同的通用条款，成交供应商不得提出实质性的修改，关于专用条款将由采购人与成交供应商结合本项目具体情况协商后签订。</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3"/>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3"/>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color w:val="FF00FF"/>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color w:val="FF00FF"/>
          <w:sz w:val="24"/>
        </w:rPr>
        <w:t>××</w:t>
      </w:r>
      <w:r>
        <w:rPr>
          <w:rFonts w:asciiTheme="minorEastAsia" w:hAnsiTheme="minorEastAsia" w:eastAsiaTheme="minorEastAsia"/>
          <w:sz w:val="24"/>
        </w:rPr>
        <w:t>单位</w:t>
      </w:r>
      <w:r>
        <w:rPr>
          <w:rFonts w:hint="eastAsia" w:cs="Arial" w:asciiTheme="minorEastAsia" w:hAnsiTheme="minorEastAsia" w:eastAsiaTheme="minorEastAsia"/>
          <w:color w:val="FF00FF"/>
          <w:sz w:val="24"/>
        </w:rPr>
        <w:t>××</w:t>
      </w:r>
      <w:r>
        <w:rPr>
          <w:rFonts w:asciiTheme="minorEastAsia" w:hAnsiTheme="minorEastAsia" w:eastAsiaTheme="minorEastAsia"/>
          <w:sz w:val="24"/>
        </w:rPr>
        <w:t>项目公开招标的结果，签署本合同。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3"/>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 货物名称：</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型号规格：</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技术参数：</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数量（单位）：</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 xml:space="preserve"> 本合同金额为（大写）：____________________________________元（￥_______________元）人民币。</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乙方应按招标文件规定的时间向甲方提供使用货物的有关技术资料。</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before="120" w:after="120" w:line="360" w:lineRule="auto"/>
        <w:ind w:left="412" w:hanging="412" w:hangingChars="171"/>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乙方应保证所提供的货物或其任何一部分均不会侵犯任何第三方的知识产权。</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2.若侵犯,由乙方赔偿甲方因此遭受的损失（包括但不限于应对及追偿过程中所支付的律师费、差旅费、诉讼费、保全费、鉴定费、评估费等）。</w:t>
      </w:r>
    </w:p>
    <w:p>
      <w:pPr>
        <w:pStyle w:val="13"/>
        <w:snapToGrid w:val="0"/>
        <w:spacing w:before="120" w:after="120" w:line="360" w:lineRule="auto"/>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3"/>
        <w:snapToGrid w:val="0"/>
        <w:spacing w:before="120" w:after="120" w:line="360" w:lineRule="auto"/>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3"/>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pStyle w:val="13"/>
        <w:snapToGrid w:val="0"/>
        <w:spacing w:before="120" w:after="120" w:line="360" w:lineRule="auto"/>
        <w:ind w:hanging="8"/>
        <w:rPr>
          <w:rFonts w:asciiTheme="majorEastAsia" w:hAnsiTheme="majorEastAsia" w:cstheme="majorEastAsia"/>
          <w:color w:val="000000"/>
          <w:sz w:val="24"/>
        </w:rPr>
      </w:pPr>
      <w:r>
        <w:rPr>
          <w:rFonts w:hint="eastAsia" w:asciiTheme="majorEastAsia" w:hAnsiTheme="majorEastAsia" w:cstheme="majorEastAsia"/>
          <w:color w:val="000000"/>
          <w:sz w:val="24"/>
        </w:rPr>
        <w:t>中标后签订合同前5个工作日内，乙方需支付甲方合同金额的5%作为履约保证金，甲方在质保期满后5个工作日内退还乙方。</w:t>
      </w:r>
    </w:p>
    <w:p>
      <w:pPr>
        <w:pStyle w:val="13"/>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质保期</w:t>
      </w:r>
      <w:r>
        <w:rPr>
          <w:rFonts w:hAnsi="宋体" w:cs="Times New Roman"/>
          <w:sz w:val="24"/>
        </w:rPr>
        <w:t>___</w:t>
      </w:r>
      <w:r>
        <w:rPr>
          <w:rFonts w:asciiTheme="minorEastAsia" w:hAnsiTheme="minorEastAsia" w:eastAsiaTheme="minorEastAsia"/>
          <w:sz w:val="24"/>
        </w:rPr>
        <w:t>年。（自交货验收合格之日起计）</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3"/>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交货期：</w:t>
      </w:r>
    </w:p>
    <w:p>
      <w:pPr>
        <w:pStyle w:val="13"/>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color w:val="000000"/>
          <w:sz w:val="24"/>
        </w:rPr>
        <w:t>2</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交货方式：</w:t>
      </w:r>
    </w:p>
    <w:p>
      <w:pPr>
        <w:pStyle w:val="13"/>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Cs/>
          <w:color w:val="000000"/>
          <w:sz w:val="24"/>
        </w:rPr>
        <w:t>3</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交货地点：</w:t>
      </w:r>
    </w:p>
    <w:p>
      <w:pPr>
        <w:pStyle w:val="13"/>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
          <w:color w:val="000000"/>
          <w:sz w:val="24"/>
        </w:rPr>
        <w:t>十</w:t>
      </w:r>
      <w:r>
        <w:rPr>
          <w:rFonts w:hint="eastAsia" w:asciiTheme="minorEastAsia" w:hAnsiTheme="minorEastAsia" w:eastAsiaTheme="minorEastAsia"/>
          <w:b/>
          <w:color w:val="000000"/>
          <w:sz w:val="24"/>
        </w:rPr>
        <w:t>一</w:t>
      </w:r>
      <w:r>
        <w:rPr>
          <w:rFonts w:asciiTheme="minorEastAsia" w:hAnsiTheme="minorEastAsia" w:eastAsiaTheme="minorEastAsia"/>
          <w:b/>
          <w:color w:val="000000"/>
          <w:sz w:val="24"/>
        </w:rPr>
        <w:t>、货款支付</w:t>
      </w:r>
    </w:p>
    <w:p>
      <w:pPr>
        <w:pStyle w:val="13"/>
        <w:snapToGrid w:val="0"/>
        <w:spacing w:before="120" w:after="120" w:line="360" w:lineRule="auto"/>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付款方式：</w:t>
      </w:r>
    </w:p>
    <w:p>
      <w:pPr>
        <w:pStyle w:val="13"/>
        <w:snapToGrid w:val="0"/>
        <w:spacing w:line="360" w:lineRule="auto"/>
        <w:rPr>
          <w:rFonts w:asciiTheme="minorEastAsia" w:hAnsiTheme="minorEastAsia" w:eastAsiaTheme="minorEastAsia"/>
          <w:bCs/>
          <w:sz w:val="24"/>
        </w:rPr>
      </w:pPr>
      <w:r>
        <w:rPr>
          <w:rFonts w:hint="eastAsia" w:hAnsi="Times New Roman"/>
          <w:sz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before="156" w:beforeLines="50" w:after="156" w:afterLines="50" w:line="360" w:lineRule="auto"/>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3"/>
        <w:snapToGrid w:val="0"/>
        <w:spacing w:before="120" w:after="120" w:line="360" w:lineRule="auto"/>
        <w:ind w:left="412" w:hanging="412" w:hangingChars="171"/>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乙方应按招标文件规定的货物性能、技术要求、质量标准向甲方提供未经使用的全新产品。</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3"/>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⑴更换：由乙方承担所发生的全部费用。</w:t>
      </w:r>
    </w:p>
    <w:p>
      <w:pPr>
        <w:pStyle w:val="13"/>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⑵贬值处理：由甲乙双方合议定价。</w:t>
      </w:r>
    </w:p>
    <w:p>
      <w:pPr>
        <w:pStyle w:val="13"/>
        <w:snapToGrid w:val="0"/>
        <w:spacing w:before="120" w:after="120" w:line="360" w:lineRule="auto"/>
        <w:ind w:left="420" w:leftChars="200"/>
        <w:rPr>
          <w:rFonts w:asciiTheme="minorEastAsia" w:hAnsiTheme="minorEastAsia" w:eastAsiaTheme="minorEastAsia"/>
          <w:sz w:val="24"/>
        </w:rPr>
      </w:pPr>
      <w:r>
        <w:rPr>
          <w:rFonts w:asciiTheme="minorEastAsia" w:hAnsiTheme="minorEastAsia" w:eastAsiaTheme="minorEastAsia"/>
          <w:sz w:val="24"/>
        </w:rPr>
        <w:t>⑶退货处理：乙方应退还甲方支付的合同款，同时应承担该货物的直接费用（运输、保险、检验、货款利息及银行手续费等）。</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如在使用过程中发生质量问题，乙方在接到甲方通知后</w:t>
      </w:r>
      <w:r>
        <w:rPr>
          <w:rFonts w:asciiTheme="minorEastAsia" w:hAnsiTheme="minorEastAsia" w:eastAsiaTheme="minorEastAsia"/>
          <w:color w:val="000000"/>
          <w:sz w:val="24"/>
        </w:rPr>
        <w:t>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小时</w:t>
      </w:r>
      <w:r>
        <w:rPr>
          <w:rFonts w:asciiTheme="minorEastAsia" w:hAnsiTheme="minorEastAsia" w:eastAsiaTheme="minorEastAsia"/>
          <w:sz w:val="24"/>
        </w:rPr>
        <w:t>内到达甲方</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现场。</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在质保期内，乙方应对货物出现的质量及安全问题负责处理解决并承担一切</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费用。</w:t>
      </w:r>
    </w:p>
    <w:p>
      <w:pPr>
        <w:pStyle w:val="13"/>
        <w:snapToGrid w:val="0"/>
        <w:spacing w:before="120" w:after="120" w:line="360" w:lineRule="auto"/>
        <w:rPr>
          <w:rFonts w:asciiTheme="minorEastAsia" w:hAnsiTheme="minorEastAsia" w:eastAsiaTheme="minorEastAsia"/>
          <w:color w:val="000000"/>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color w:val="000000"/>
          <w:sz w:val="24"/>
        </w:rPr>
        <w:t>上述的</w:t>
      </w:r>
      <w:r>
        <w:rPr>
          <w:rFonts w:asciiTheme="minorEastAsia" w:hAnsiTheme="minorEastAsia" w:eastAsiaTheme="minorEastAsia"/>
          <w:sz w:val="24"/>
        </w:rPr>
        <w:t>货物</w:t>
      </w:r>
      <w:r>
        <w:rPr>
          <w:rFonts w:asciiTheme="minorEastAsia" w:hAnsiTheme="minorEastAsia" w:eastAsiaTheme="minorEastAsia"/>
          <w:color w:val="000000"/>
          <w:sz w:val="24"/>
        </w:rPr>
        <w:t>免费保修期为年，因人为因素出现的故障不在免费保修范围</w:t>
      </w:r>
    </w:p>
    <w:p>
      <w:pPr>
        <w:pStyle w:val="13"/>
        <w:snapToGrid w:val="0"/>
        <w:spacing w:before="120" w:after="120" w:line="360" w:lineRule="auto"/>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内。超过保修期的机器设备，终生维修，维修时只收部件成本费。</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3"/>
        <w:snapToGrid w:val="0"/>
        <w:spacing w:before="120" w:after="120" w:line="360" w:lineRule="auto"/>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甲方对乙方提交的货物依据招标文件上的技术规格要求和国家有关质量标准</w:t>
      </w:r>
    </w:p>
    <w:p>
      <w:pPr>
        <w:pStyle w:val="13"/>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进行现场初步验收，外观、说明书符合招标文件技术要求的，给予签收，初</w:t>
      </w:r>
    </w:p>
    <w:p>
      <w:pPr>
        <w:pStyle w:val="13"/>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步验收不合格的不予签收。货到后，甲方需在</w:t>
      </w:r>
      <w:r>
        <w:rPr>
          <w:rFonts w:hint="eastAsia" w:asciiTheme="minorEastAsia" w:hAnsiTheme="minorEastAsia" w:eastAsiaTheme="minorEastAsia"/>
          <w:color w:val="FF66CC"/>
          <w:sz w:val="24"/>
          <w:u w:val="single"/>
        </w:rPr>
        <w:t>五</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乙方交货前应对产品作出全面检查和对验收文件进行整理，并列出清单，作</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为甲方收货验收和使用的技术条件依据，检验的结果应随货物交甲方。</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甲方对乙方提供的货物在使用前进行调试时，乙方需负责安装并培训甲方的</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使用操作人员，并协助甲方一起调试，直到符合技术要求，甲方才做最终验</w:t>
      </w:r>
    </w:p>
    <w:p>
      <w:pPr>
        <w:pStyle w:val="13"/>
        <w:snapToGrid w:val="0"/>
        <w:spacing w:before="120" w:after="120" w:line="360" w:lineRule="auto"/>
        <w:ind w:firstLine="360" w:firstLineChars="150"/>
        <w:rPr>
          <w:rFonts w:asciiTheme="minorEastAsia" w:hAnsiTheme="minorEastAsia" w:eastAsiaTheme="minorEastAsia"/>
          <w:sz w:val="24"/>
          <w:u w:val="single"/>
        </w:rPr>
      </w:pPr>
      <w:r>
        <w:rPr>
          <w:rFonts w:asciiTheme="minorEastAsia" w:hAnsiTheme="minorEastAsia" w:eastAsiaTheme="minorEastAsia"/>
          <w:sz w:val="24"/>
        </w:rPr>
        <w:t>收。</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w:t>
      </w:r>
      <w:r>
        <w:rPr>
          <w:rFonts w:asciiTheme="minorEastAsia" w:hAnsiTheme="minorEastAsia" w:eastAsiaTheme="minorEastAsia"/>
          <w:sz w:val="24"/>
        </w:rPr>
        <w:t>对技术复杂的货物，甲方应请国家认可的专业检测机构参与初步验收及最终</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验收，并由其出具质量检测报告。</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责。</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乙方应在货物发运前对其进行满足运输距离、防潮、防震、防锈和防破损装卸等要求包装，以保证货物安全运达甲方指定地点。</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使用说明书、质量检验证明书、随配附件和工具以及清单一并附于货物内。</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乙方在货物发运手续办理完毕后24小时内或货到甲方48小时前通知甲方，以准备接货。</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货物在交付甲方前发生的风险均由乙方负责。</w:t>
      </w:r>
    </w:p>
    <w:p>
      <w:pPr>
        <w:pStyle w:val="13"/>
        <w:snapToGrid w:val="0"/>
        <w:spacing w:line="360" w:lineRule="auto"/>
        <w:ind w:left="480" w:right="26" w:hanging="480" w:hanging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 xml:space="preserve"> 货物在规定的交付期限内由乙方送达甲方指定的地点视为交付，乙方同时需</w:t>
      </w:r>
    </w:p>
    <w:p>
      <w:pPr>
        <w:pStyle w:val="13"/>
        <w:snapToGrid w:val="0"/>
        <w:spacing w:line="360" w:lineRule="auto"/>
        <w:ind w:left="479" w:leftChars="171" w:right="26" w:hanging="120" w:hangingChars="50"/>
        <w:rPr>
          <w:rFonts w:asciiTheme="minorEastAsia" w:hAnsiTheme="minorEastAsia" w:eastAsiaTheme="minorEastAsia"/>
          <w:sz w:val="24"/>
        </w:rPr>
      </w:pPr>
      <w:r>
        <w:rPr>
          <w:rFonts w:asciiTheme="minorEastAsia" w:hAnsiTheme="minorEastAsia" w:eastAsiaTheme="minorEastAsia"/>
          <w:sz w:val="24"/>
        </w:rPr>
        <w:t>通知甲方货物已送达。</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6. 乙方运送的货物涉及商品包装和快递包装的，参考《商品包装政府采购需求标准（试行）》、《快递包装政府采购需求标准（试行）》（财办库［2020］123号）</w:t>
      </w:r>
    </w:p>
    <w:p>
      <w:pPr>
        <w:pStyle w:val="13"/>
        <w:snapToGrid w:val="0"/>
        <w:spacing w:line="360" w:lineRule="auto"/>
        <w:ind w:left="479" w:leftChars="171" w:right="26" w:hanging="120" w:hangingChars="50"/>
        <w:rPr>
          <w:rFonts w:asciiTheme="minorEastAsia" w:hAnsiTheme="minorEastAsia" w:eastAsiaTheme="minorEastAsia"/>
          <w:sz w:val="24"/>
        </w:rPr>
      </w:pP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甲方无正当理由拒收货物的，甲方向乙方偿付拒收货款总值的</w:t>
      </w:r>
      <w:r>
        <w:rPr>
          <w:rFonts w:asciiTheme="minorEastAsia" w:hAnsiTheme="minorEastAsia" w:eastAsiaTheme="minorEastAsia"/>
          <w:color w:val="FF66CC"/>
          <w:sz w:val="24"/>
          <w:u w:val="single"/>
        </w:rPr>
        <w:t>百分之五</w:t>
      </w:r>
      <w:r>
        <w:rPr>
          <w:rFonts w:asciiTheme="minorEastAsia" w:hAnsiTheme="minorEastAsia" w:eastAsiaTheme="minorEastAsia"/>
          <w:sz w:val="24"/>
        </w:rPr>
        <w:t>违约金。</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甲方无故逾期验收和办理货款支付手续的,甲方应按逾期付款总额每日</w:t>
      </w:r>
      <w:r>
        <w:rPr>
          <w:rFonts w:asciiTheme="minorEastAsia" w:hAnsiTheme="minorEastAsia" w:eastAsiaTheme="minorEastAsia"/>
          <w:color w:val="FF66CC"/>
          <w:sz w:val="24"/>
          <w:u w:val="single"/>
        </w:rPr>
        <w:t>万分之五</w:t>
      </w:r>
      <w:r>
        <w:rPr>
          <w:rFonts w:asciiTheme="minorEastAsia" w:hAnsiTheme="minorEastAsia" w:eastAsiaTheme="minorEastAsia"/>
          <w:sz w:val="24"/>
        </w:rPr>
        <w:t>向乙方支付违约金。</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乙方逾期交付货物的，乙方应按逾期交货总额每日</w:t>
      </w:r>
      <w:r>
        <w:rPr>
          <w:rFonts w:asciiTheme="minorEastAsia" w:hAnsiTheme="minorEastAsia" w:eastAsiaTheme="minorEastAsia"/>
          <w:color w:val="FF66CC"/>
          <w:sz w:val="24"/>
          <w:u w:val="single"/>
        </w:rPr>
        <w:t>千分之六</w:t>
      </w:r>
      <w:r>
        <w:rPr>
          <w:rFonts w:asciiTheme="minorEastAsia" w:hAnsiTheme="minorEastAsia" w:eastAsiaTheme="minorEastAsia"/>
          <w:sz w:val="24"/>
        </w:rPr>
        <w:t>向甲方支付违约金，由甲方从待付货款中扣除。逾期超过约定日期</w:t>
      </w:r>
      <w:r>
        <w:rPr>
          <w:rFonts w:asciiTheme="minorEastAsia" w:hAnsiTheme="minorEastAsia" w:eastAsiaTheme="minorEastAsia"/>
          <w:color w:val="FF66CC"/>
          <w:sz w:val="24"/>
          <w:u w:val="single"/>
        </w:rPr>
        <w:t>10</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3"/>
        <w:snapToGrid w:val="0"/>
        <w:spacing w:before="120" w:after="120" w:line="360" w:lineRule="auto"/>
        <w:ind w:left="410" w:hanging="410" w:hangingChars="171"/>
        <w:rPr>
          <w:rFonts w:asciiTheme="minorEastAsia" w:hAnsiTheme="minorEastAsia" w:eastAsiaTheme="minorEastAsia"/>
          <w:sz w:val="24"/>
        </w:rPr>
      </w:pPr>
      <w:r>
        <w:rPr>
          <w:rFonts w:hint="eastAsia" w:asciiTheme="minorEastAsia" w:hAnsiTheme="minorEastAsia" w:eastAsiaTheme="minorEastAsia"/>
          <w:sz w:val="24"/>
        </w:rPr>
        <w:t>5.若发生纠纷，由违约方赔偿守约方因纠纷所支付的费用（包括但不限于律师费、差旅费、诉讼费、保全费、鉴定费、评估费等）</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在合同有效期内，任何一方因不可抗力事件导致不能履行合同，则合同履行</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期可延长，其延长期与不可抗力影响期相同。</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不可抗力事件发生后，应立即通知对方，并寄送有关权威机构出具的证明。</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不可抗力事件延续120天以上，双方应通过友好协商，确定是否继续履行合</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同。</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widowControl/>
        <w:spacing w:line="360" w:lineRule="auto"/>
        <w:jc w:val="left"/>
        <w:rPr>
          <w:sz w:val="24"/>
        </w:rPr>
      </w:pPr>
      <w:r>
        <w:rPr>
          <w:rFonts w:hint="eastAsia" w:ascii="宋体" w:hAnsi="宋体" w:cs="宋体"/>
          <w:kern w:val="0"/>
          <w:sz w:val="24"/>
        </w:rPr>
        <w:t xml:space="preserve">1. </w:t>
      </w:r>
      <w:r>
        <w:rPr>
          <w:rFonts w:ascii="宋体" w:hAnsi="宋体" w:cs="宋体"/>
          <w:kern w:val="0"/>
          <w:sz w:val="24"/>
        </w:rPr>
        <w:t>如双方在履行合同时发生纠纷，应协商解决；协商不成时，可提请政府采购管理部门调解；调解不成的通过以下方式解决（两种解决方式只能择其一）：</w:t>
      </w:r>
      <w:r>
        <w:rPr>
          <w:rFonts w:ascii="宋体" w:hAnsi="宋体" w:cs="宋体"/>
          <w:kern w:val="0"/>
          <w:sz w:val="24"/>
        </w:rPr>
        <w:br w:type="textWrapping"/>
      </w:r>
      <w:r>
        <w:rPr>
          <w:rFonts w:ascii="宋体" w:hAnsi="宋体" w:cs="宋体"/>
          <w:kern w:val="0"/>
          <w:sz w:val="24"/>
        </w:rPr>
        <w:t>（1） 提交</w:t>
      </w:r>
      <w:r>
        <w:rPr>
          <w:rFonts w:hAnsi="宋体"/>
          <w:color w:val="FF66CC"/>
          <w:sz w:val="24"/>
          <w:u w:val="single"/>
        </w:rPr>
        <w:t>台州</w:t>
      </w:r>
      <w:r>
        <w:rPr>
          <w:rFonts w:ascii="宋体" w:hAnsi="宋体" w:cs="宋体"/>
          <w:kern w:val="0"/>
          <w:sz w:val="24"/>
        </w:rPr>
        <w:t>仲裁委员会仲裁。</w:t>
      </w:r>
      <w:r>
        <w:rPr>
          <w:rFonts w:ascii="宋体" w:hAnsi="宋体" w:cs="宋体"/>
          <w:kern w:val="0"/>
          <w:sz w:val="24"/>
        </w:rPr>
        <w:br w:type="textWrapping"/>
      </w:r>
      <w:r>
        <w:rPr>
          <w:rFonts w:ascii="宋体" w:hAnsi="宋体" w:cs="宋体"/>
          <w:kern w:val="0"/>
          <w:sz w:val="24"/>
        </w:rPr>
        <w:t xml:space="preserve">（2） 依法向人民法院提起诉讼。 </w:t>
      </w:r>
    </w:p>
    <w:p>
      <w:pPr>
        <w:pStyle w:val="13"/>
        <w:tabs>
          <w:tab w:val="left" w:pos="5790"/>
        </w:tabs>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2"/>
        <w:widowControl/>
        <w:spacing w:line="360" w:lineRule="auto"/>
        <w:ind w:right="-8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 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2"/>
        <w:widowControl/>
        <w:spacing w:line="360" w:lineRule="auto"/>
        <w:ind w:right="-88"/>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本合同未尽事宜，遵照《合同法》有关条文执行。</w:t>
      </w:r>
    </w:p>
    <w:p>
      <w:pPr>
        <w:pStyle w:val="2"/>
        <w:widowControl/>
        <w:spacing w:line="360" w:lineRule="auto"/>
        <w:ind w:right="-88"/>
        <w:rPr>
          <w:rFonts w:asciiTheme="minorEastAsia" w:hAnsiTheme="minorEastAsia" w:eastAsiaTheme="minorEastAsia"/>
        </w:rPr>
      </w:pPr>
      <w:r>
        <w:rPr>
          <w:rFonts w:hint="eastAsia" w:asciiTheme="minorEastAsia" w:hAnsiTheme="minorEastAsia" w:eastAsiaTheme="minorEastAsia"/>
        </w:rPr>
        <w:t>3. 本合同一式四份。甲、乙双方各执一份，</w:t>
      </w:r>
      <w:r>
        <w:rPr>
          <w:rFonts w:hint="eastAsia" w:ascii="宋体" w:hAnsi="宋体"/>
        </w:rPr>
        <w:t>采购组织机构及同级人民政府财政部门各执一份</w:t>
      </w:r>
      <w:r>
        <w:rPr>
          <w:rFonts w:hint="eastAsia" w:asciiTheme="minorEastAsia" w:hAnsiTheme="minorEastAsia" w:eastAsiaTheme="minorEastAsia"/>
        </w:rPr>
        <w:t>。本项目未尽事宜以招标文件、投标文件及澄清文件等为准。</w:t>
      </w: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甲方（公章）                                     乙方（公章）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帐号：                                           帐号：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ind w:firstLine="4920" w:firstLineChars="2050"/>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rPr>
          <w:rFonts w:asciiTheme="minorEastAsia" w:hAnsiTheme="minorEastAsia" w:eastAsiaTheme="minorEastAsia"/>
          <w:color w:val="FF0000"/>
          <w:sz w:val="24"/>
        </w:rPr>
      </w:pPr>
    </w:p>
    <w:p>
      <w:pPr>
        <w:autoSpaceDE w:val="0"/>
        <w:autoSpaceDN w:val="0"/>
        <w:adjustRightInd w:val="0"/>
        <w:spacing w:line="360" w:lineRule="auto"/>
        <w:rPr>
          <w:rFonts w:ascii="宋体" w:hAnsi="宋体"/>
          <w:b/>
          <w:kern w:val="0"/>
          <w:sz w:val="30"/>
        </w:rPr>
      </w:pPr>
    </w:p>
    <w:p>
      <w:pPr>
        <w:autoSpaceDE w:val="0"/>
        <w:autoSpaceDN w:val="0"/>
        <w:adjustRightInd w:val="0"/>
        <w:spacing w:line="360" w:lineRule="auto"/>
        <w:rPr>
          <w:rFonts w:ascii="宋体" w:hAnsi="宋体"/>
          <w:b/>
          <w:kern w:val="0"/>
          <w:sz w:val="30"/>
        </w:rPr>
      </w:pPr>
    </w:p>
    <w:p>
      <w:pPr>
        <w:spacing w:line="360" w:lineRule="auto"/>
        <w:jc w:val="left"/>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pP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投标文件格式附件</w:t>
      </w:r>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color w:val="000000"/>
          <w:sz w:val="28"/>
        </w:rPr>
        <w:t xml:space="preserve">        </w:t>
      </w:r>
      <w:r>
        <w:rPr>
          <w:rFonts w:hint="eastAsia" w:ascii="宋体" w:hAnsi="宋体"/>
          <w:b/>
          <w:color w:val="000000"/>
          <w:sz w:val="28"/>
          <w:u w:val="single"/>
        </w:rPr>
        <w:t xml:space="preserve">     </w:t>
      </w:r>
      <w:r>
        <w:rPr>
          <w:rFonts w:hint="eastAsia" w:ascii="宋体" w:hAnsi="宋体"/>
          <w:bCs/>
          <w:color w:val="000000"/>
          <w:sz w:val="24"/>
        </w:rPr>
        <w:t>本</w:t>
      </w:r>
    </w:p>
    <w:p>
      <w:pPr>
        <w:spacing w:line="360" w:lineRule="auto"/>
        <w:rPr>
          <w:rFonts w:asciiTheme="minorEastAsia" w:hAnsiTheme="minorEastAsia" w:eastAsiaTheme="minorEastAsia"/>
          <w:b/>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w:t>
      </w:r>
    </w:p>
    <w:p>
      <w:pPr>
        <w:spacing w:line="360" w:lineRule="auto"/>
        <w:ind w:right="532" w:firstLine="720" w:firstLineChars="200"/>
        <w:rPr>
          <w:rFonts w:ascii="宋体" w:hAnsi="宋体"/>
          <w:sz w:val="36"/>
          <w:szCs w:val="36"/>
        </w:rPr>
      </w:pPr>
      <w:r>
        <w:rPr>
          <w:rFonts w:hint="eastAsia" w:ascii="宋体" w:hAnsi="宋体"/>
          <w:sz w:val="36"/>
          <w:szCs w:val="36"/>
        </w:rPr>
        <w:t>投标人全称（电子印章）：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sz w:val="36"/>
          <w:szCs w:val="36"/>
        </w:rPr>
      </w:pPr>
      <w:r>
        <w:rPr>
          <w:rFonts w:hint="eastAsia" w:ascii="宋体" w:hAnsi="宋体"/>
          <w:b/>
          <w:bCs/>
          <w:sz w:val="36"/>
          <w:szCs w:val="36"/>
        </w:rPr>
        <w:t>资格证明文件目录</w:t>
      </w:r>
    </w:p>
    <w:p>
      <w:pPr>
        <w:snapToGrid w:val="0"/>
        <w:spacing w:before="50" w:after="50" w:line="360" w:lineRule="auto"/>
        <w:jc w:val="center"/>
        <w:rPr>
          <w:rFonts w:ascii="仿宋_GB2312" w:hAnsi="宋体" w:eastAsia="仿宋_GB2312"/>
          <w:b/>
          <w:bCs/>
          <w:sz w:val="36"/>
          <w:szCs w:val="36"/>
        </w:rPr>
      </w:pPr>
    </w:p>
    <w:p>
      <w:pPr>
        <w:numPr>
          <w:ilvl w:val="0"/>
          <w:numId w:val="18"/>
        </w:numPr>
        <w:snapToGrid w:val="0"/>
        <w:spacing w:line="360" w:lineRule="auto"/>
        <w:ind w:firstLine="548" w:firstLineChars="196"/>
        <w:rPr>
          <w:rFonts w:ascii="宋体" w:hAnsi="宋体"/>
          <w:sz w:val="28"/>
          <w:szCs w:val="28"/>
        </w:rPr>
      </w:pPr>
      <w:r>
        <w:rPr>
          <w:rFonts w:hint="eastAsia" w:ascii="宋体" w:hAnsi="宋体"/>
          <w:sz w:val="28"/>
          <w:szCs w:val="28"/>
        </w:rPr>
        <w:t>声明书（附件2）</w:t>
      </w:r>
    </w:p>
    <w:p>
      <w:pPr>
        <w:numPr>
          <w:ilvl w:val="0"/>
          <w:numId w:val="18"/>
        </w:numPr>
        <w:snapToGrid w:val="0"/>
        <w:spacing w:line="360" w:lineRule="auto"/>
        <w:ind w:firstLine="548" w:firstLineChars="196"/>
        <w:rPr>
          <w:rFonts w:ascii="宋体" w:hAnsi="宋体"/>
          <w:kern w:val="0"/>
          <w:sz w:val="28"/>
          <w:szCs w:val="28"/>
        </w:rPr>
      </w:pPr>
      <w:r>
        <w:rPr>
          <w:bCs/>
          <w:color w:val="000000"/>
          <w:sz w:val="28"/>
          <w:szCs w:val="28"/>
        </w:rPr>
        <w:t>授权</w:t>
      </w:r>
      <w:r>
        <w:rPr>
          <w:rFonts w:hint="eastAsia"/>
          <w:bCs/>
          <w:color w:val="000000"/>
          <w:sz w:val="28"/>
          <w:szCs w:val="28"/>
        </w:rPr>
        <w:t>委托</w:t>
      </w:r>
      <w:r>
        <w:rPr>
          <w:bCs/>
          <w:color w:val="000000"/>
          <w:sz w:val="28"/>
          <w:szCs w:val="28"/>
        </w:rPr>
        <w:t>书</w:t>
      </w:r>
      <w:r>
        <w:rPr>
          <w:rFonts w:hint="eastAsia" w:ascii="宋体" w:hAnsi="宋体"/>
          <w:bCs/>
          <w:sz w:val="28"/>
          <w:szCs w:val="28"/>
        </w:rPr>
        <w:t>（附件3）</w:t>
      </w:r>
    </w:p>
    <w:p>
      <w:pPr>
        <w:numPr>
          <w:ilvl w:val="0"/>
          <w:numId w:val="18"/>
        </w:numPr>
        <w:snapToGrid w:val="0"/>
        <w:spacing w:line="360" w:lineRule="auto"/>
        <w:ind w:left="1050" w:leftChars="259" w:hanging="506" w:hangingChars="181"/>
        <w:rPr>
          <w:rFonts w:ascii="宋体" w:hAnsi="宋体"/>
          <w:kern w:val="0"/>
          <w:sz w:val="28"/>
          <w:szCs w:val="28"/>
        </w:rPr>
      </w:pPr>
      <w:r>
        <w:rPr>
          <w:sz w:val="28"/>
          <w:szCs w:val="28"/>
        </w:rPr>
        <w:t>法人或者其他组织的营业执照等证明文件，自然人的身份证明</w:t>
      </w:r>
    </w:p>
    <w:p>
      <w:pPr>
        <w:snapToGrid w:val="0"/>
        <w:spacing w:line="360" w:lineRule="auto"/>
        <w:ind w:firstLine="560" w:firstLineChars="200"/>
        <w:rPr>
          <w:rFonts w:ascii="宋体" w:hAnsi="宋体"/>
          <w:kern w:val="0"/>
          <w:sz w:val="28"/>
          <w:szCs w:val="28"/>
        </w:rPr>
      </w:pPr>
      <w:r>
        <w:rPr>
          <w:rFonts w:hint="eastAsia" w:ascii="宋体" w:hAnsi="宋体"/>
          <w:kern w:val="0"/>
          <w:sz w:val="28"/>
          <w:szCs w:val="28"/>
        </w:rPr>
        <w:t>4、</w:t>
      </w:r>
      <w:r>
        <w:rPr>
          <w:sz w:val="28"/>
          <w:szCs w:val="28"/>
        </w:rPr>
        <w:t>财务状况报告，依法缴纳税收和社会保障资金的相关材料</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5、</w:t>
      </w:r>
      <w:r>
        <w:rPr>
          <w:sz w:val="28"/>
          <w:szCs w:val="28"/>
        </w:rPr>
        <w:t>具备履行合同所必需的设备和专业技术能力的证明材料</w:t>
      </w:r>
    </w:p>
    <w:p>
      <w:pPr>
        <w:snapToGrid w:val="0"/>
        <w:spacing w:line="360" w:lineRule="auto"/>
        <w:ind w:firstLine="548" w:firstLineChars="196"/>
        <w:rPr>
          <w:rFonts w:ascii="宋体" w:hAnsi="宋体"/>
          <w:kern w:val="0"/>
          <w:sz w:val="28"/>
          <w:szCs w:val="28"/>
        </w:rPr>
      </w:pPr>
      <w:r>
        <w:rPr>
          <w:rFonts w:hint="eastAsia" w:ascii="宋体" w:hAnsi="宋体"/>
          <w:sz w:val="28"/>
          <w:szCs w:val="28"/>
        </w:rPr>
        <w:t>6、</w:t>
      </w:r>
      <w:r>
        <w:rPr>
          <w:rFonts w:hint="eastAsia" w:ascii="宋体" w:hAnsi="宋体"/>
          <w:kern w:val="0"/>
          <w:sz w:val="28"/>
          <w:szCs w:val="28"/>
        </w:rPr>
        <w:t>本项目要求的特定资质证书</w:t>
      </w:r>
    </w:p>
    <w:p>
      <w:pPr>
        <w:spacing w:line="360" w:lineRule="auto"/>
        <w:rPr>
          <w:rFonts w:ascii="宋体" w:hAnsi="宋体"/>
          <w:b/>
          <w:sz w:val="28"/>
        </w:rPr>
      </w:pPr>
    </w:p>
    <w:p>
      <w:pPr>
        <w:spacing w:line="360" w:lineRule="auto"/>
        <w:ind w:left="420"/>
        <w:rPr>
          <w:rFonts w:ascii="宋体" w:hAnsi="宋体"/>
          <w:b/>
          <w:sz w:val="28"/>
        </w:rPr>
      </w:pPr>
    </w:p>
    <w:p>
      <w:pPr>
        <w:pStyle w:val="24"/>
        <w:rPr>
          <w:rFonts w:ascii="宋体" w:hAnsi="宋体"/>
          <w:b/>
          <w:sz w:val="28"/>
        </w:rPr>
      </w:pPr>
    </w:p>
    <w:p>
      <w:pPr>
        <w:pStyle w:val="24"/>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12" w:lineRule="auto"/>
        <w:rPr>
          <w:rFonts w:ascii="宋体" w:hAnsi="宋体"/>
          <w:b/>
          <w:sz w:val="28"/>
        </w:rPr>
      </w:pPr>
      <w:r>
        <w:rPr>
          <w:rFonts w:hint="eastAsia" w:ascii="宋体" w:hAnsi="宋体"/>
          <w:b/>
          <w:sz w:val="28"/>
        </w:rPr>
        <w:t>附件2</w:t>
      </w:r>
    </w:p>
    <w:p>
      <w:pPr>
        <w:adjustRightInd w:val="0"/>
        <w:snapToGrid w:val="0"/>
        <w:spacing w:line="312" w:lineRule="auto"/>
        <w:ind w:right="480"/>
        <w:jc w:val="center"/>
        <w:rPr>
          <w:rFonts w:ascii="宋体" w:hAnsi="宋体"/>
          <w:b/>
          <w:kern w:val="0"/>
          <w:sz w:val="32"/>
          <w:szCs w:val="32"/>
          <w:lang w:val="zh-CN"/>
        </w:rPr>
      </w:pPr>
      <w:r>
        <w:rPr>
          <w:rFonts w:hint="eastAsia" w:ascii="宋体" w:hAnsi="宋体"/>
          <w:b/>
          <w:kern w:val="0"/>
          <w:sz w:val="32"/>
          <w:szCs w:val="32"/>
          <w:lang w:val="zh-CN"/>
        </w:rPr>
        <w:t>投标声明书</w:t>
      </w:r>
    </w:p>
    <w:p>
      <w:pPr>
        <w:snapToGrid w:val="0"/>
        <w:spacing w:before="156" w:beforeLines="50" w:after="50" w:line="312" w:lineRule="auto"/>
        <w:ind w:firstLine="480" w:firstLineChars="200"/>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lang w:val="en-US" w:eastAsia="zh-CN"/>
        </w:rPr>
        <w:t>采购</w:t>
      </w:r>
      <w:r>
        <w:rPr>
          <w:rFonts w:hint="eastAsia" w:ascii="宋体" w:hAnsi="宋体" w:cs="宋体"/>
          <w:kern w:val="0"/>
          <w:sz w:val="24"/>
        </w:rPr>
        <w:t>机构/采购代理机构名称）：</w:t>
      </w:r>
    </w:p>
    <w:p>
      <w:pPr>
        <w:snapToGrid w:val="0"/>
        <w:spacing w:before="156" w:beforeLines="50" w:after="50" w:line="312"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before="156" w:beforeLines="50" w:after="50" w:line="312"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9"/>
        </w:numPr>
        <w:snapToGrid w:val="0"/>
        <w:spacing w:before="156" w:beforeLines="50" w:after="50" w:line="312" w:lineRule="auto"/>
        <w:ind w:firstLine="480" w:firstLineChars="200"/>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及其他不符合《中华人民共和国政府采购法》第二十二条规定的条件。【说明：供应商在截止投标时间近三年以来，如有上述所列情形，但限制期届满的，可按实陈述，并提供相应证明文件。】</w:t>
      </w:r>
    </w:p>
    <w:p>
      <w:pPr>
        <w:snapToGrid w:val="0"/>
        <w:spacing w:before="156" w:beforeLines="50" w:after="50" w:line="312" w:lineRule="auto"/>
        <w:ind w:firstLine="480" w:firstLineChars="200"/>
        <w:rPr>
          <w:rFonts w:ascii="宋体" w:hAnsi="宋体" w:cs="宋体"/>
          <w:kern w:val="0"/>
          <w:sz w:val="24"/>
        </w:rPr>
      </w:pPr>
      <w:r>
        <w:rPr>
          <w:rFonts w:hint="eastAsia" w:ascii="宋体" w:hAnsi="宋体" w:cs="宋体"/>
          <w:kern w:val="0"/>
          <w:sz w:val="24"/>
        </w:rPr>
        <w:t>2、我公司</w:t>
      </w:r>
      <w:r>
        <w:rPr>
          <w:rFonts w:ascii="宋体" w:hAnsi="宋体" w:cs="宋体"/>
          <w:kern w:val="0"/>
          <w:sz w:val="24"/>
        </w:rPr>
        <w:t>在参与投标前已</w:t>
      </w:r>
      <w:r>
        <w:rPr>
          <w:rFonts w:hint="eastAsia" w:ascii="宋体" w:hAnsi="宋体" w:cs="宋体"/>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kern w:val="0"/>
          <w:sz w:val="24"/>
        </w:rPr>
        <w:t>利。</w:t>
      </w:r>
    </w:p>
    <w:p>
      <w:pPr>
        <w:numPr>
          <w:ilvl w:val="255"/>
          <w:numId w:val="0"/>
        </w:numPr>
        <w:snapToGrid w:val="0"/>
        <w:spacing w:before="156" w:beforeLines="50" w:after="50" w:line="312" w:lineRule="auto"/>
        <w:ind w:firstLine="480" w:firstLineChars="200"/>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snapToGrid w:val="0"/>
        <w:spacing w:before="156" w:beforeLines="50" w:after="50" w:line="312" w:lineRule="auto"/>
        <w:ind w:firstLine="480" w:firstLineChars="200"/>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snapToGrid w:val="0"/>
        <w:spacing w:before="156" w:beforeLines="50" w:after="50" w:line="312" w:lineRule="auto"/>
        <w:ind w:firstLine="480" w:firstLineChars="200"/>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snapToGrid w:val="0"/>
        <w:spacing w:before="156" w:beforeLines="50" w:after="50" w:line="312" w:lineRule="auto"/>
        <w:ind w:firstLine="480" w:firstLineChars="200"/>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12" w:lineRule="auto"/>
        <w:ind w:firstLine="480"/>
        <w:rPr>
          <w:rFonts w:ascii="宋体" w:hAnsi="宋体" w:cs="仿宋_GB2312"/>
          <w:kern w:val="0"/>
          <w:sz w:val="24"/>
        </w:rPr>
      </w:pPr>
    </w:p>
    <w:p>
      <w:pPr>
        <w:adjustRightInd w:val="0"/>
        <w:snapToGrid w:val="0"/>
        <w:spacing w:line="312"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投标人名称(电子印章)：</w:t>
      </w:r>
    </w:p>
    <w:p>
      <w:pPr>
        <w:adjustRightInd w:val="0"/>
        <w:snapToGrid w:val="0"/>
        <w:spacing w:line="312" w:lineRule="auto"/>
        <w:rPr>
          <w:rFonts w:ascii="宋体" w:hAnsi="宋体" w:cs="仿宋_GB2312"/>
          <w:kern w:val="0"/>
          <w:sz w:val="24"/>
          <w:lang w:val="zh-CN"/>
        </w:rPr>
      </w:pPr>
      <w:r>
        <w:rPr>
          <w:rFonts w:hint="eastAsia" w:ascii="宋体" w:hAnsi="宋体" w:cs="仿宋_GB2312"/>
          <w:kern w:val="0"/>
          <w:sz w:val="24"/>
          <w:lang w:val="zh-CN"/>
        </w:rPr>
        <w:t xml:space="preserve">                                       法定代表人或授权委托人(签字)：</w:t>
      </w:r>
    </w:p>
    <w:p>
      <w:pPr>
        <w:adjustRightInd w:val="0"/>
        <w:snapToGrid w:val="0"/>
        <w:spacing w:line="312"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日期：</w:t>
      </w:r>
      <w:r>
        <w:rPr>
          <w:rFonts w:hint="eastAsia" w:ascii="宋体" w:hAnsi="宋体" w:cstheme="minorBidi"/>
          <w:color w:val="FF66CC"/>
          <w:sz w:val="24"/>
        </w:rPr>
        <w:t>××</w:t>
      </w:r>
      <w:r>
        <w:rPr>
          <w:rFonts w:hint="eastAsia" w:ascii="宋体" w:hAnsi="宋体" w:cs="仿宋_GB2312"/>
          <w:kern w:val="0"/>
          <w:sz w:val="24"/>
          <w:lang w:val="zh-CN"/>
        </w:rPr>
        <w:t xml:space="preserve">年 </w:t>
      </w:r>
      <w:r>
        <w:rPr>
          <w:rFonts w:hint="eastAsia" w:ascii="宋体" w:hAnsi="宋体" w:cstheme="minorBidi"/>
          <w:color w:val="FF66CC"/>
          <w:sz w:val="24"/>
        </w:rPr>
        <w:t>××</w:t>
      </w:r>
      <w:r>
        <w:rPr>
          <w:rFonts w:hint="eastAsia" w:ascii="宋体" w:hAnsi="宋体" w:cs="仿宋_GB2312"/>
          <w:kern w:val="0"/>
          <w:sz w:val="24"/>
          <w:lang w:val="zh-CN"/>
        </w:rPr>
        <w:t xml:space="preserve"> 月 </w:t>
      </w:r>
      <w:r>
        <w:rPr>
          <w:rFonts w:hint="eastAsia" w:ascii="宋体" w:hAnsi="宋体" w:cstheme="minorBidi"/>
          <w:color w:val="FF66CC"/>
          <w:sz w:val="24"/>
        </w:rPr>
        <w:t>××</w:t>
      </w:r>
      <w:r>
        <w:rPr>
          <w:rFonts w:hint="eastAsia" w:ascii="宋体" w:hAnsi="宋体" w:cs="仿宋_GB2312"/>
          <w:kern w:val="0"/>
          <w:sz w:val="24"/>
          <w:lang w:val="zh-CN"/>
        </w:rPr>
        <w:t xml:space="preserve"> 日</w:t>
      </w:r>
    </w:p>
    <w:p>
      <w:pPr>
        <w:adjustRightInd w:val="0"/>
        <w:snapToGrid w:val="0"/>
        <w:spacing w:line="360" w:lineRule="auto"/>
        <w:ind w:right="480"/>
        <w:rPr>
          <w:rFonts w:ascii="宋体"/>
          <w:b/>
          <w:color w:val="FF0000"/>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r>
        <w:rPr>
          <w:b/>
          <w:color w:val="000000"/>
          <w:sz w:val="32"/>
          <w:szCs w:val="32"/>
        </w:rPr>
        <w:t>授权</w:t>
      </w:r>
      <w:r>
        <w:rPr>
          <w:rFonts w:hint="eastAsia"/>
          <w:b/>
          <w:color w:val="000000"/>
          <w:sz w:val="32"/>
          <w:szCs w:val="32"/>
        </w:rPr>
        <w:t>委托</w:t>
      </w:r>
      <w:r>
        <w:rPr>
          <w:b/>
          <w:color w:val="000000"/>
          <w:sz w:val="32"/>
          <w:szCs w:val="32"/>
        </w:rPr>
        <w:t>书</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lang w:eastAsia="zh-CN"/>
        </w:rPr>
        <w:t>采购</w:t>
      </w:r>
      <w:r>
        <w:rPr>
          <w:rFonts w:hint="eastAsia" w:ascii="宋体" w:hAnsi="宋体" w:cs="宋体"/>
          <w:kern w:val="0"/>
          <w:sz w:val="24"/>
        </w:rPr>
        <w:t>机构/采购代理机构名称）：</w:t>
      </w:r>
    </w:p>
    <w:p>
      <w:pPr>
        <w:pStyle w:val="13"/>
        <w:spacing w:line="500" w:lineRule="exact"/>
        <w:ind w:left="240" w:hanging="240" w:hangingChars="100"/>
        <w:rPr>
          <w:rFonts w:hAnsi="宋体"/>
          <w:sz w:val="24"/>
        </w:rPr>
      </w:pPr>
      <w:r>
        <w:rPr>
          <w:rFonts w:hAnsi="宋体"/>
          <w:sz w:val="24"/>
        </w:rPr>
        <w:t xml:space="preserve">    </w:t>
      </w: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投标人全称（电子印章）：                              日期：</w:t>
      </w:r>
    </w:p>
    <w:p>
      <w:pPr>
        <w:spacing w:line="360" w:lineRule="auto"/>
        <w:rPr>
          <w:sz w:val="24"/>
        </w:rPr>
      </w:pPr>
    </w:p>
    <w:p>
      <w:pPr>
        <w:spacing w:line="360" w:lineRule="auto"/>
        <w:rPr>
          <w:b/>
          <w:sz w:val="24"/>
        </w:rPr>
      </w:pPr>
      <w:r>
        <w:rPr>
          <w:rFonts w:hint="eastAsia" w:ascii="宋体"/>
          <w:b/>
          <w:sz w:val="24"/>
        </w:rPr>
        <w:t>附：</w:t>
      </w:r>
    </w:p>
    <w:tbl>
      <w:tblPr>
        <w:tblStyle w:val="1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1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napToGrid w:val="0"/>
        <w:spacing w:before="156" w:beforeLines="50" w:after="50" w:line="360" w:lineRule="auto"/>
        <w:rPr>
          <w:rFonts w:ascii="仿宋_GB2312" w:hAnsi="宋体" w:eastAsia="仿宋_GB2312"/>
          <w:b/>
          <w:sz w:val="30"/>
          <w:szCs w:val="30"/>
        </w:rPr>
      </w:pPr>
      <w:r>
        <w:rPr>
          <w:rFonts w:hint="eastAsia" w:ascii="宋体" w:hAnsi="宋体"/>
          <w:b/>
          <w:sz w:val="28"/>
        </w:rPr>
        <w:t>附件4：</w:t>
      </w:r>
    </w:p>
    <w:p>
      <w:pPr>
        <w:snapToGrid w:val="0"/>
        <w:spacing w:before="156" w:beforeLines="50" w:after="50" w:line="360" w:lineRule="auto"/>
        <w:jc w:val="right"/>
        <w:rPr>
          <w:rFonts w:ascii="仿宋_GB2312" w:hAnsi="宋体" w:eastAsia="仿宋_GB2312"/>
          <w:bCs/>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color w:val="000000" w:themeColor="text1"/>
          <w:sz w:val="28"/>
          <w:szCs w:val="28"/>
          <w:lang w:val="zh-CN"/>
          <w14:textFill>
            <w14:solidFill>
              <w14:schemeClr w14:val="tx1"/>
            </w14:solidFill>
          </w14:textFill>
        </w:rPr>
        <w:t>（</w:t>
      </w:r>
      <w:r>
        <w:rPr>
          <w:rFonts w:hint="eastAsia" w:ascii="宋体" w:hAnsi="宋体"/>
          <w:bCs/>
          <w:color w:val="000000" w:themeColor="text1"/>
          <w:sz w:val="24"/>
          <w:lang w:val="zh-CN"/>
          <w14:textFill>
            <w14:solidFill>
              <w14:schemeClr w14:val="tx1"/>
            </w14:solidFill>
          </w14:textFill>
        </w:rPr>
        <w:t>商务与技术文件</w:t>
      </w:r>
      <w:r>
        <w:rPr>
          <w:rFonts w:hint="eastAsia" w:ascii="宋体" w:hAnsi="宋体"/>
          <w:b/>
          <w:spacing w:val="40"/>
          <w:sz w:val="28"/>
          <w:szCs w:val="28"/>
        </w:rPr>
        <w:t>）</w:t>
      </w:r>
    </w:p>
    <w:p>
      <w:pPr>
        <w:spacing w:line="360" w:lineRule="auto"/>
        <w:ind w:right="532" w:firstLine="720" w:firstLineChars="200"/>
        <w:rPr>
          <w:rFonts w:ascii="宋体" w:hAnsi="宋体"/>
          <w:sz w:val="36"/>
          <w:szCs w:val="36"/>
        </w:rPr>
      </w:pPr>
      <w:r>
        <w:rPr>
          <w:rFonts w:hint="eastAsia" w:ascii="宋体" w:hAnsi="宋体"/>
          <w:sz w:val="36"/>
          <w:szCs w:val="36"/>
        </w:rPr>
        <w:t>投标人全称（电子印章）：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pacing w:line="360" w:lineRule="auto"/>
        <w:ind w:right="532" w:firstLine="720" w:firstLineChars="200"/>
        <w:rPr>
          <w:rFonts w:ascii="宋体" w:hAnsi="宋体"/>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zh-CN"/>
          <w14:textFill>
            <w14:solidFill>
              <w14:schemeClr w14:val="tx1"/>
            </w14:solidFill>
          </w14:textFill>
        </w:rPr>
        <w:t>商务与技术文件</w:t>
      </w:r>
      <w:r>
        <w:rPr>
          <w:rFonts w:hint="eastAsia" w:ascii="宋体" w:hAnsi="宋体"/>
          <w:b/>
          <w:bCs/>
          <w:color w:val="000000" w:themeColor="text1"/>
          <w:sz w:val="32"/>
          <w:szCs w:val="32"/>
          <w14:textFill>
            <w14:solidFill>
              <w14:schemeClr w14:val="tx1"/>
            </w14:solidFill>
          </w14:textFill>
        </w:rPr>
        <w:t>目录</w:t>
      </w:r>
    </w:p>
    <w:p>
      <w:pPr>
        <w:snapToGrid w:val="0"/>
        <w:spacing w:line="360" w:lineRule="auto"/>
        <w:rPr>
          <w:rFonts w:ascii="宋体" w:hAnsi="宋体"/>
          <w:sz w:val="24"/>
        </w:rPr>
      </w:pPr>
    </w:p>
    <w:p>
      <w:pPr>
        <w:snapToGrid w:val="0"/>
        <w:spacing w:line="360" w:lineRule="auto"/>
        <w:ind w:firstLine="562" w:firstLineChars="200"/>
        <w:rPr>
          <w:rFonts w:ascii="宋体" w:hAnsi="宋体"/>
          <w:b/>
          <w:bCs/>
          <w:sz w:val="28"/>
          <w:szCs w:val="28"/>
        </w:rPr>
      </w:pPr>
      <w:r>
        <w:rPr>
          <w:rFonts w:hint="eastAsia" w:ascii="宋体" w:hAnsi="宋体"/>
          <w:b/>
          <w:bCs/>
          <w:sz w:val="28"/>
          <w:szCs w:val="28"/>
        </w:rPr>
        <w:t>第一部分  技术方案描述部分</w:t>
      </w:r>
    </w:p>
    <w:p>
      <w:pPr>
        <w:snapToGrid w:val="0"/>
        <w:spacing w:line="360" w:lineRule="auto"/>
        <w:ind w:firstLine="560" w:firstLineChars="200"/>
        <w:rPr>
          <w:rFonts w:ascii="宋体" w:hAnsi="宋体"/>
          <w:sz w:val="28"/>
          <w:szCs w:val="28"/>
        </w:rPr>
      </w:pPr>
      <w:r>
        <w:rPr>
          <w:rFonts w:hint="eastAsia" w:ascii="宋体" w:hAnsi="宋体"/>
          <w:sz w:val="28"/>
          <w:szCs w:val="28"/>
        </w:rPr>
        <w:t>1、</w:t>
      </w:r>
      <w:r>
        <w:rPr>
          <w:rFonts w:hint="eastAsia" w:ascii="宋体" w:hAnsi="宋体" w:cs="宋体"/>
          <w:sz w:val="28"/>
          <w:szCs w:val="28"/>
        </w:rPr>
        <w:t>投标人情况介绍</w:t>
      </w:r>
      <w:r>
        <w:rPr>
          <w:rFonts w:hint="eastAsia" w:ascii="宋体" w:hAnsi="宋体"/>
          <w:sz w:val="28"/>
          <w:szCs w:val="28"/>
        </w:rPr>
        <w:t>（附件5）；</w:t>
      </w:r>
    </w:p>
    <w:p>
      <w:pPr>
        <w:snapToGrid w:val="0"/>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cs="宋体"/>
          <w:color w:val="000000" w:themeColor="text1"/>
          <w:sz w:val="28"/>
          <w:szCs w:val="28"/>
          <w14:textFill>
            <w14:solidFill>
              <w14:schemeClr w14:val="tx1"/>
            </w14:solidFill>
          </w14:textFill>
        </w:rPr>
        <w:t>项目需求的理解与分析</w:t>
      </w:r>
      <w:r>
        <w:rPr>
          <w:rFonts w:hint="eastAsia" w:ascii="宋体" w:hAnsi="宋体"/>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3、</w:t>
      </w:r>
      <w:r>
        <w:rPr>
          <w:rFonts w:hint="eastAsia" w:ascii="宋体" w:hAnsi="宋体" w:cs="宋体"/>
          <w:color w:val="000000" w:themeColor="text1"/>
          <w:sz w:val="28"/>
          <w:szCs w:val="28"/>
          <w14:textFill>
            <w14:solidFill>
              <w14:schemeClr w14:val="tx1"/>
            </w14:solidFill>
          </w14:textFill>
        </w:rPr>
        <w:t>项目组织实施方案(可视情选用附件6、附件7)</w:t>
      </w:r>
      <w:r>
        <w:rPr>
          <w:rFonts w:ascii="宋体" w:hAnsi="宋体"/>
          <w:sz w:val="28"/>
          <w:szCs w:val="28"/>
        </w:rPr>
        <w:t xml:space="preserve">； </w:t>
      </w:r>
    </w:p>
    <w:p>
      <w:pPr>
        <w:snapToGrid w:val="0"/>
        <w:spacing w:line="360" w:lineRule="auto"/>
        <w:ind w:firstLine="560" w:firstLineChars="200"/>
        <w:rPr>
          <w:rFonts w:ascii="宋体" w:hAnsi="宋体"/>
          <w:sz w:val="28"/>
          <w:szCs w:val="28"/>
        </w:rPr>
      </w:pPr>
      <w:r>
        <w:rPr>
          <w:rFonts w:hint="eastAsia" w:ascii="宋体" w:hAnsi="宋体"/>
          <w:sz w:val="28"/>
          <w:szCs w:val="28"/>
        </w:rPr>
        <w:t>4、</w:t>
      </w:r>
      <w:r>
        <w:rPr>
          <w:rFonts w:asciiTheme="minorEastAsia" w:hAnsiTheme="minorEastAsia" w:eastAsiaTheme="minorEastAsia"/>
          <w:color w:val="000000" w:themeColor="text1"/>
          <w:kern w:val="0"/>
          <w:sz w:val="28"/>
          <w:szCs w:val="28"/>
          <w14:textFill>
            <w14:solidFill>
              <w14:schemeClr w14:val="tx1"/>
            </w14:solidFill>
          </w14:textFill>
        </w:rPr>
        <w:t>安装、调试及验收方案</w:t>
      </w:r>
      <w:r>
        <w:rPr>
          <w:rFonts w:hint="eastAsia" w:ascii="宋体" w:hAnsi="宋体"/>
          <w:sz w:val="28"/>
          <w:szCs w:val="28"/>
        </w:rPr>
        <w:t>；</w:t>
      </w:r>
    </w:p>
    <w:p>
      <w:pPr>
        <w:snapToGrid w:val="0"/>
        <w:spacing w:line="360" w:lineRule="auto"/>
        <w:ind w:firstLine="562" w:firstLineChars="200"/>
        <w:jc w:val="left"/>
        <w:rPr>
          <w:rFonts w:ascii="宋体" w:hAnsi="宋体"/>
          <w:b/>
          <w:bCs/>
          <w:sz w:val="28"/>
          <w:szCs w:val="28"/>
        </w:rPr>
      </w:pPr>
      <w:r>
        <w:rPr>
          <w:rFonts w:hint="eastAsia" w:ascii="宋体" w:hAnsi="宋体"/>
          <w:b/>
          <w:bCs/>
          <w:sz w:val="28"/>
          <w:szCs w:val="28"/>
        </w:rPr>
        <w:t>第二部分  投标产品描述部分</w:t>
      </w:r>
    </w:p>
    <w:p>
      <w:pPr>
        <w:snapToGrid w:val="0"/>
        <w:spacing w:line="360" w:lineRule="auto"/>
        <w:ind w:firstLine="548" w:firstLineChars="196"/>
        <w:rPr>
          <w:rFonts w:ascii="宋体" w:hAnsi="宋体"/>
          <w:kern w:val="0"/>
          <w:sz w:val="28"/>
          <w:szCs w:val="28"/>
        </w:rPr>
      </w:pPr>
      <w:r>
        <w:rPr>
          <w:rFonts w:hint="eastAsia" w:ascii="宋体" w:hAnsi="宋体"/>
          <w:sz w:val="28"/>
          <w:szCs w:val="28"/>
        </w:rPr>
        <w:t>1、</w:t>
      </w:r>
      <w:r>
        <w:rPr>
          <w:rFonts w:hint="eastAsia" w:ascii="宋体" w:hAnsi="宋体"/>
          <w:kern w:val="0"/>
          <w:sz w:val="28"/>
          <w:szCs w:val="28"/>
        </w:rPr>
        <w:t>投标产品描述及相关资料（</w:t>
      </w:r>
      <w:r>
        <w:rPr>
          <w:rFonts w:hint="eastAsia" w:ascii="宋体" w:hAnsi="宋体" w:cs="宋体"/>
          <w:color w:val="000000" w:themeColor="text1"/>
          <w:sz w:val="28"/>
          <w:szCs w:val="28"/>
          <w14:textFill>
            <w14:solidFill>
              <w14:schemeClr w14:val="tx1"/>
            </w14:solidFill>
          </w14:textFill>
        </w:rPr>
        <w:t>可视情选用附件8、附件9</w:t>
      </w:r>
      <w:r>
        <w:rPr>
          <w:rFonts w:hint="eastAsia" w:ascii="宋体" w:hAnsi="宋体"/>
          <w:kern w:val="0"/>
          <w:sz w:val="28"/>
          <w:szCs w:val="28"/>
        </w:rPr>
        <w:t>）；</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2、</w:t>
      </w:r>
      <w:r>
        <w:rPr>
          <w:rFonts w:hint="eastAsia" w:ascii="宋体" w:hAnsi="宋体"/>
          <w:sz w:val="28"/>
          <w:szCs w:val="28"/>
        </w:rPr>
        <w:t>投标人</w:t>
      </w:r>
      <w:r>
        <w:rPr>
          <w:rFonts w:ascii="宋体" w:hAnsi="宋体"/>
          <w:sz w:val="28"/>
          <w:szCs w:val="28"/>
        </w:rPr>
        <w:t>需要说明的其他</w:t>
      </w:r>
      <w:r>
        <w:rPr>
          <w:rFonts w:hint="eastAsia" w:ascii="宋体" w:hAnsi="宋体"/>
          <w:sz w:val="28"/>
          <w:szCs w:val="28"/>
        </w:rPr>
        <w:t>内容</w:t>
      </w:r>
      <w:r>
        <w:rPr>
          <w:rFonts w:hint="eastAsia" w:ascii="宋体" w:hAnsi="宋体"/>
          <w:color w:val="000000"/>
          <w:sz w:val="28"/>
          <w:szCs w:val="28"/>
        </w:rPr>
        <w:t>；（</w:t>
      </w:r>
      <w:r>
        <w:rPr>
          <w:rFonts w:hint="eastAsia" w:ascii="宋体" w:hAnsi="宋体" w:cs="宋体"/>
          <w:sz w:val="28"/>
          <w:szCs w:val="28"/>
        </w:rPr>
        <w:t>包括可能影响投标人技术性能评分项的各类证明材料）</w:t>
      </w:r>
    </w:p>
    <w:p>
      <w:pPr>
        <w:snapToGrid w:val="0"/>
        <w:spacing w:line="360" w:lineRule="auto"/>
        <w:ind w:firstLine="551" w:firstLineChars="196"/>
        <w:rPr>
          <w:rFonts w:ascii="宋体" w:hAnsi="宋体"/>
          <w:b/>
          <w:bCs/>
          <w:kern w:val="0"/>
          <w:sz w:val="28"/>
          <w:szCs w:val="28"/>
        </w:rPr>
      </w:pPr>
      <w:r>
        <w:rPr>
          <w:rFonts w:hint="eastAsia" w:ascii="宋体" w:hAnsi="宋体"/>
          <w:b/>
          <w:bCs/>
          <w:kern w:val="0"/>
          <w:sz w:val="28"/>
          <w:szCs w:val="28"/>
        </w:rPr>
        <w:t>第三部分  商务响应部分</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1、证书一览表（附件10）；</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2、近三年来类似项目的成功案例（附件11）</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3、售后服务描述及承诺（可视情选用附件12，附件13）；</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4、投标人需要说明的其他内容。（包括可能影响投标人企业实力及信誉评分项以及售后服务评分项的各类证明材料）</w:t>
      </w:r>
    </w:p>
    <w:p>
      <w:pPr>
        <w:snapToGrid w:val="0"/>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第四部分  其他参考表格（此部分视情况选用）</w:t>
      </w:r>
    </w:p>
    <w:p>
      <w:pPr>
        <w:snapToGrid w:val="0"/>
        <w:spacing w:line="360" w:lineRule="auto"/>
        <w:ind w:firstLine="560" w:firstLineChars="200"/>
        <w:jc w:val="left"/>
        <w:rPr>
          <w:rFonts w:ascii="宋体" w:hAnsi="宋体" w:cs="宋体"/>
          <w:sz w:val="28"/>
          <w:szCs w:val="28"/>
        </w:rPr>
      </w:pPr>
      <w:r>
        <w:rPr>
          <w:rFonts w:hint="eastAsia" w:ascii="宋体" w:hAnsi="宋体" w:cs="宋体"/>
          <w:sz w:val="28"/>
          <w:szCs w:val="28"/>
        </w:rPr>
        <w:t>1、主要货物用材响应表(类似家具类货物采用，附件14)</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（以上内容具体描述详见“第三部分投标人须知”中“三、投标文件”的组成说明）</w:t>
      </w:r>
    </w:p>
    <w:p>
      <w:pPr>
        <w:pStyle w:val="28"/>
        <w:shd w:val="clear" w:color="auto" w:fill="FFFFFF"/>
        <w:spacing w:before="0" w:beforeAutospacing="0" w:after="0" w:afterAutospacing="0" w:line="360" w:lineRule="auto"/>
        <w:rPr>
          <w:b/>
          <w:sz w:val="28"/>
        </w:rPr>
      </w:pPr>
    </w:p>
    <w:p>
      <w:pPr>
        <w:pStyle w:val="28"/>
        <w:shd w:val="clear" w:color="auto" w:fill="FFFFFF"/>
        <w:spacing w:before="0" w:beforeAutospacing="0" w:after="0" w:afterAutospacing="0" w:line="360" w:lineRule="auto"/>
        <w:rPr>
          <w:b/>
          <w:sz w:val="28"/>
        </w:rPr>
      </w:pPr>
    </w:p>
    <w:p>
      <w:pPr>
        <w:pStyle w:val="28"/>
        <w:shd w:val="clear" w:color="auto" w:fill="FFFFFF"/>
        <w:spacing w:before="0" w:beforeAutospacing="0" w:after="0" w:afterAutospacing="0" w:line="360" w:lineRule="auto"/>
        <w:rPr>
          <w:b/>
          <w:sz w:val="28"/>
        </w:rPr>
      </w:pPr>
    </w:p>
    <w:p>
      <w:pPr>
        <w:pStyle w:val="28"/>
        <w:shd w:val="clear" w:color="auto" w:fill="FFFFFF"/>
        <w:spacing w:before="0" w:beforeAutospacing="0" w:after="0" w:afterAutospacing="0" w:line="360" w:lineRule="auto"/>
        <w:rPr>
          <w:b/>
          <w:sz w:val="28"/>
        </w:rPr>
      </w:pPr>
    </w:p>
    <w:p>
      <w:pPr>
        <w:pStyle w:val="28"/>
        <w:shd w:val="clear" w:color="auto" w:fill="FFFFFF"/>
        <w:spacing w:before="0" w:beforeAutospacing="0" w:after="0" w:afterAutospacing="0" w:line="360" w:lineRule="auto"/>
        <w:rPr>
          <w:b/>
          <w:sz w:val="28"/>
        </w:rPr>
      </w:pPr>
    </w:p>
    <w:p>
      <w:pPr>
        <w:pStyle w:val="28"/>
        <w:shd w:val="clear" w:color="auto" w:fill="FFFFFF"/>
        <w:spacing w:before="0" w:beforeAutospacing="0" w:after="0" w:afterAutospacing="0" w:line="360" w:lineRule="auto"/>
        <w:rPr>
          <w:b/>
          <w:sz w:val="28"/>
        </w:rPr>
      </w:pPr>
      <w:r>
        <w:rPr>
          <w:rFonts w:hint="eastAsia"/>
          <w:b/>
          <w:sz w:val="28"/>
        </w:rPr>
        <w:t>附件5</w:t>
      </w:r>
    </w:p>
    <w:p>
      <w:pPr>
        <w:pStyle w:val="28"/>
        <w:shd w:val="clear" w:color="auto" w:fill="FFFFFF"/>
        <w:spacing w:before="0" w:beforeAutospacing="0" w:after="0" w:afterAutospacing="0" w:line="360" w:lineRule="auto"/>
        <w:jc w:val="center"/>
        <w:rPr>
          <w:rFonts w:eastAsia="微软雅黑"/>
          <w:color w:val="000000"/>
          <w:sz w:val="36"/>
          <w:szCs w:val="36"/>
        </w:rPr>
      </w:pPr>
      <w:r>
        <w:rPr>
          <w:rFonts w:hint="eastAsia"/>
          <w:b/>
          <w:sz w:val="32"/>
          <w:szCs w:val="32"/>
        </w:rPr>
        <w:t xml:space="preserve">  投标</w:t>
      </w:r>
      <w:r>
        <w:rPr>
          <w:rFonts w:hint="eastAsia"/>
          <w:b/>
          <w:bCs/>
          <w:spacing w:val="21"/>
          <w:sz w:val="32"/>
          <w:szCs w:val="32"/>
        </w:rPr>
        <w:t>人基本</w:t>
      </w:r>
      <w:r>
        <w:rPr>
          <w:rFonts w:hint="eastAsia"/>
          <w:b/>
          <w:bCs/>
          <w:color w:val="000000"/>
          <w:spacing w:val="21"/>
          <w:sz w:val="32"/>
          <w:szCs w:val="32"/>
        </w:rPr>
        <w:t>情况表</w:t>
      </w:r>
    </w:p>
    <w:tbl>
      <w:tblPr>
        <w:tblStyle w:val="19"/>
        <w:tblW w:w="8954"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23" w:type="dxa"/>
          </w:tcPr>
          <w:p>
            <w:pPr>
              <w:pStyle w:val="28"/>
              <w:shd w:val="clear" w:color="auto" w:fill="FFFFFF"/>
              <w:spacing w:line="360" w:lineRule="auto"/>
              <w:rPr>
                <w:bCs/>
                <w:color w:val="000000"/>
              </w:rPr>
            </w:pPr>
            <w:r>
              <w:rPr>
                <w:rFonts w:hint="eastAsia"/>
                <w:bCs/>
                <w:color w:val="000000"/>
                <w:spacing w:val="27"/>
              </w:rPr>
              <w:t>企业名称</w:t>
            </w:r>
          </w:p>
        </w:tc>
        <w:tc>
          <w:tcPr>
            <w:tcW w:w="3979" w:type="dxa"/>
            <w:gridSpan w:val="6"/>
          </w:tcPr>
          <w:p>
            <w:pPr>
              <w:pStyle w:val="28"/>
              <w:shd w:val="clear" w:color="auto" w:fill="FFFFFF"/>
              <w:spacing w:line="360" w:lineRule="auto"/>
              <w:rPr>
                <w:bCs/>
                <w:color w:val="000000"/>
              </w:rPr>
            </w:pPr>
          </w:p>
        </w:tc>
        <w:tc>
          <w:tcPr>
            <w:tcW w:w="2001" w:type="dxa"/>
            <w:gridSpan w:val="3"/>
          </w:tcPr>
          <w:p>
            <w:pPr>
              <w:pStyle w:val="28"/>
              <w:shd w:val="clear" w:color="auto" w:fill="FFFFFF"/>
              <w:spacing w:line="360" w:lineRule="auto"/>
              <w:rPr>
                <w:bCs/>
                <w:color w:val="000000"/>
              </w:rPr>
            </w:pPr>
            <w:r>
              <w:rPr>
                <w:rFonts w:hint="eastAsia"/>
                <w:bCs/>
                <w:color w:val="000000"/>
                <w:spacing w:val="16"/>
              </w:rPr>
              <w:t>法人代表</w:t>
            </w:r>
          </w:p>
        </w:tc>
        <w:tc>
          <w:tcPr>
            <w:tcW w:w="2151" w:type="dxa"/>
            <w:gridSpan w:val="2"/>
          </w:tcPr>
          <w:p>
            <w:pPr>
              <w:pStyle w:val="28"/>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3" w:type="dxa"/>
          </w:tcPr>
          <w:p>
            <w:pPr>
              <w:pStyle w:val="28"/>
              <w:shd w:val="clear" w:color="auto" w:fill="FFFFFF"/>
              <w:spacing w:line="360" w:lineRule="auto"/>
              <w:rPr>
                <w:bCs/>
                <w:color w:val="000000"/>
                <w:spacing w:val="16"/>
              </w:rPr>
            </w:pPr>
            <w:r>
              <w:rPr>
                <w:rFonts w:hint="eastAsia"/>
                <w:bCs/>
                <w:color w:val="000000"/>
                <w:spacing w:val="27"/>
              </w:rPr>
              <w:t>地址</w:t>
            </w:r>
          </w:p>
        </w:tc>
        <w:tc>
          <w:tcPr>
            <w:tcW w:w="3979" w:type="dxa"/>
            <w:gridSpan w:val="6"/>
            <w:tcBorders>
              <w:bottom w:val="single" w:color="auto" w:sz="4" w:space="0"/>
            </w:tcBorders>
          </w:tcPr>
          <w:p>
            <w:pPr>
              <w:pStyle w:val="28"/>
              <w:shd w:val="clear" w:color="auto" w:fill="FFFFFF"/>
              <w:spacing w:line="360" w:lineRule="auto"/>
              <w:rPr>
                <w:bCs/>
                <w:color w:val="000000"/>
                <w:spacing w:val="16"/>
              </w:rPr>
            </w:pPr>
          </w:p>
        </w:tc>
        <w:tc>
          <w:tcPr>
            <w:tcW w:w="2001" w:type="dxa"/>
            <w:gridSpan w:val="3"/>
          </w:tcPr>
          <w:p>
            <w:pPr>
              <w:pStyle w:val="28"/>
              <w:shd w:val="clear" w:color="auto" w:fill="FFFFFF"/>
              <w:spacing w:line="360" w:lineRule="auto"/>
              <w:rPr>
                <w:bCs/>
                <w:color w:val="000000"/>
                <w:spacing w:val="16"/>
              </w:rPr>
            </w:pPr>
            <w:r>
              <w:rPr>
                <w:rFonts w:hint="eastAsia"/>
                <w:bCs/>
                <w:color w:val="000000"/>
                <w:spacing w:val="16"/>
              </w:rPr>
              <w:t>企业性质</w:t>
            </w:r>
          </w:p>
        </w:tc>
        <w:tc>
          <w:tcPr>
            <w:tcW w:w="2151" w:type="dxa"/>
            <w:gridSpan w:val="2"/>
          </w:tcPr>
          <w:p>
            <w:pPr>
              <w:pStyle w:val="28"/>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23" w:type="dxa"/>
            <w:tcBorders>
              <w:bottom w:val="single" w:color="auto" w:sz="4" w:space="0"/>
            </w:tcBorders>
          </w:tcPr>
          <w:p>
            <w:pPr>
              <w:pStyle w:val="28"/>
              <w:shd w:val="clear" w:color="auto" w:fill="FFFFFF"/>
              <w:spacing w:line="360" w:lineRule="auto"/>
              <w:rPr>
                <w:bCs/>
                <w:color w:val="000000"/>
                <w:spacing w:val="16"/>
              </w:rPr>
            </w:pPr>
            <w:r>
              <w:rPr>
                <w:rFonts w:hint="eastAsia"/>
                <w:bCs/>
                <w:color w:val="000000"/>
                <w:spacing w:val="27"/>
              </w:rPr>
              <w:t>股东姓名</w:t>
            </w:r>
          </w:p>
        </w:tc>
        <w:tc>
          <w:tcPr>
            <w:tcW w:w="701" w:type="dxa"/>
            <w:tcBorders>
              <w:bottom w:val="single" w:color="auto" w:sz="4" w:space="0"/>
            </w:tcBorders>
          </w:tcPr>
          <w:p>
            <w:pPr>
              <w:pStyle w:val="28"/>
              <w:shd w:val="clear" w:color="auto" w:fill="FFFFFF"/>
              <w:spacing w:before="0" w:beforeAutospacing="0" w:after="0" w:afterAutospacing="0" w:line="360" w:lineRule="auto"/>
              <w:rPr>
                <w:bCs/>
                <w:color w:val="000000"/>
                <w:spacing w:val="16"/>
              </w:rPr>
            </w:pPr>
          </w:p>
        </w:tc>
        <w:tc>
          <w:tcPr>
            <w:tcW w:w="910" w:type="dxa"/>
            <w:gridSpan w:val="2"/>
            <w:tcBorders>
              <w:bottom w:val="single" w:color="auto" w:sz="4" w:space="0"/>
            </w:tcBorders>
          </w:tcPr>
          <w:p>
            <w:pPr>
              <w:pStyle w:val="28"/>
              <w:shd w:val="clear" w:color="auto" w:fill="FFFFFF"/>
              <w:spacing w:line="360" w:lineRule="auto"/>
              <w:rPr>
                <w:bCs/>
                <w:color w:val="000000"/>
                <w:spacing w:val="16"/>
              </w:rPr>
            </w:pPr>
            <w:r>
              <w:rPr>
                <w:rFonts w:hint="eastAsia"/>
                <w:bCs/>
                <w:color w:val="000000"/>
                <w:spacing w:val="16"/>
              </w:rPr>
              <w:t>股权结构（%）</w:t>
            </w:r>
          </w:p>
        </w:tc>
        <w:tc>
          <w:tcPr>
            <w:tcW w:w="2368" w:type="dxa"/>
            <w:gridSpan w:val="3"/>
            <w:tcBorders>
              <w:bottom w:val="single" w:color="auto" w:sz="4" w:space="0"/>
            </w:tcBorders>
          </w:tcPr>
          <w:p>
            <w:pPr>
              <w:widowControl/>
              <w:spacing w:line="360" w:lineRule="auto"/>
              <w:jc w:val="left"/>
              <w:rPr>
                <w:rFonts w:ascii="宋体" w:hAnsi="宋体" w:cs="宋体"/>
                <w:bCs/>
                <w:color w:val="000000"/>
                <w:spacing w:val="16"/>
                <w:kern w:val="0"/>
                <w:sz w:val="24"/>
              </w:rPr>
            </w:pPr>
          </w:p>
          <w:p>
            <w:pPr>
              <w:pStyle w:val="28"/>
              <w:shd w:val="clear" w:color="auto" w:fill="FFFFFF"/>
              <w:spacing w:line="360" w:lineRule="auto"/>
              <w:rPr>
                <w:bCs/>
                <w:color w:val="000000"/>
                <w:spacing w:val="16"/>
              </w:rPr>
            </w:pPr>
          </w:p>
        </w:tc>
        <w:tc>
          <w:tcPr>
            <w:tcW w:w="2001" w:type="dxa"/>
            <w:gridSpan w:val="3"/>
          </w:tcPr>
          <w:p>
            <w:pPr>
              <w:pStyle w:val="28"/>
              <w:shd w:val="clear" w:color="auto" w:fill="FFFFFF"/>
              <w:spacing w:line="360" w:lineRule="auto"/>
              <w:ind w:left="107"/>
              <w:rPr>
                <w:bCs/>
                <w:color w:val="000000"/>
                <w:spacing w:val="16"/>
              </w:rPr>
            </w:pPr>
            <w:r>
              <w:rPr>
                <w:rFonts w:hint="eastAsia"/>
                <w:bCs/>
                <w:color w:val="000000"/>
                <w:spacing w:val="16"/>
              </w:rPr>
              <w:t>股东关系</w:t>
            </w:r>
          </w:p>
        </w:tc>
        <w:tc>
          <w:tcPr>
            <w:tcW w:w="2151" w:type="dxa"/>
            <w:gridSpan w:val="2"/>
          </w:tcPr>
          <w:p>
            <w:pPr>
              <w:pStyle w:val="28"/>
              <w:shd w:val="clear" w:color="auto" w:fill="FFFFFF"/>
              <w:spacing w:line="360" w:lineRule="auto"/>
              <w:ind w:left="107"/>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23" w:type="dxa"/>
            <w:vMerge w:val="restart"/>
          </w:tcPr>
          <w:p>
            <w:pPr>
              <w:pStyle w:val="28"/>
              <w:shd w:val="clear" w:color="auto" w:fill="FFFFFF"/>
              <w:spacing w:line="360" w:lineRule="auto"/>
              <w:rPr>
                <w:bCs/>
                <w:color w:val="000000"/>
                <w:spacing w:val="16"/>
              </w:rPr>
            </w:pPr>
            <w:r>
              <w:rPr>
                <w:rFonts w:hint="eastAsia"/>
                <w:bCs/>
                <w:color w:val="000000"/>
                <w:spacing w:val="12"/>
              </w:rPr>
              <w:t>联系人</w:t>
            </w:r>
            <w:r>
              <w:rPr>
                <w:rFonts w:hint="eastAsia"/>
                <w:bCs/>
                <w:color w:val="000000"/>
                <w:spacing w:val="27"/>
              </w:rPr>
              <w:t>姓名</w:t>
            </w:r>
          </w:p>
        </w:tc>
        <w:tc>
          <w:tcPr>
            <w:tcW w:w="701" w:type="dxa"/>
            <w:vMerge w:val="restart"/>
            <w:tcBorders>
              <w:top w:val="nil"/>
            </w:tcBorders>
          </w:tcPr>
          <w:p>
            <w:pPr>
              <w:pStyle w:val="28"/>
              <w:shd w:val="clear" w:color="auto" w:fill="FFFFFF"/>
              <w:spacing w:line="360" w:lineRule="auto"/>
              <w:rPr>
                <w:bCs/>
                <w:color w:val="000000"/>
                <w:spacing w:val="16"/>
              </w:rPr>
            </w:pPr>
          </w:p>
        </w:tc>
        <w:tc>
          <w:tcPr>
            <w:tcW w:w="910" w:type="dxa"/>
            <w:gridSpan w:val="2"/>
            <w:tcBorders>
              <w:top w:val="nil"/>
              <w:bottom w:val="single" w:color="auto" w:sz="4" w:space="0"/>
            </w:tcBorders>
          </w:tcPr>
          <w:p>
            <w:pPr>
              <w:pStyle w:val="28"/>
              <w:shd w:val="clear" w:color="auto" w:fill="FFFFFF"/>
              <w:spacing w:line="360" w:lineRule="auto"/>
              <w:rPr>
                <w:bCs/>
                <w:color w:val="000000"/>
                <w:spacing w:val="16"/>
              </w:rPr>
            </w:pPr>
            <w:r>
              <w:rPr>
                <w:rFonts w:hint="eastAsia"/>
                <w:bCs/>
                <w:color w:val="000000"/>
                <w:spacing w:val="16"/>
              </w:rPr>
              <w:t>固定电话</w:t>
            </w:r>
          </w:p>
        </w:tc>
        <w:tc>
          <w:tcPr>
            <w:tcW w:w="2368" w:type="dxa"/>
            <w:gridSpan w:val="3"/>
            <w:tcBorders>
              <w:top w:val="nil"/>
              <w:bottom w:val="single" w:color="auto" w:sz="4" w:space="0"/>
            </w:tcBorders>
          </w:tcPr>
          <w:p>
            <w:pPr>
              <w:widowControl/>
              <w:spacing w:line="360" w:lineRule="auto"/>
              <w:jc w:val="left"/>
              <w:rPr>
                <w:rFonts w:ascii="宋体" w:hAnsi="宋体" w:cs="宋体"/>
                <w:bCs/>
                <w:color w:val="000000"/>
                <w:spacing w:val="16"/>
                <w:kern w:val="0"/>
                <w:sz w:val="24"/>
              </w:rPr>
            </w:pPr>
          </w:p>
          <w:p>
            <w:pPr>
              <w:pStyle w:val="28"/>
              <w:shd w:val="clear" w:color="auto" w:fill="FFFFFF"/>
              <w:spacing w:line="360" w:lineRule="auto"/>
              <w:rPr>
                <w:bCs/>
                <w:color w:val="000000"/>
                <w:spacing w:val="16"/>
              </w:rPr>
            </w:pPr>
          </w:p>
        </w:tc>
        <w:tc>
          <w:tcPr>
            <w:tcW w:w="2001" w:type="dxa"/>
            <w:gridSpan w:val="3"/>
            <w:vMerge w:val="restart"/>
          </w:tcPr>
          <w:p>
            <w:pPr>
              <w:pStyle w:val="28"/>
              <w:shd w:val="clear" w:color="auto" w:fill="FFFFFF"/>
              <w:spacing w:before="0" w:beforeAutospacing="0" w:after="0" w:afterAutospacing="0" w:line="360" w:lineRule="auto"/>
              <w:rPr>
                <w:bCs/>
                <w:color w:val="000000"/>
                <w:spacing w:val="16"/>
              </w:rPr>
            </w:pPr>
            <w:r>
              <w:rPr>
                <w:rFonts w:hint="eastAsia"/>
                <w:bCs/>
                <w:color w:val="000000"/>
                <w:spacing w:val="16"/>
              </w:rPr>
              <w:t>传真</w:t>
            </w:r>
          </w:p>
        </w:tc>
        <w:tc>
          <w:tcPr>
            <w:tcW w:w="2151" w:type="dxa"/>
            <w:gridSpan w:val="2"/>
            <w:vMerge w:val="restart"/>
          </w:tcPr>
          <w:p>
            <w:pPr>
              <w:pStyle w:val="28"/>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23" w:type="dxa"/>
            <w:vMerge w:val="continue"/>
            <w:tcBorders>
              <w:bottom w:val="single" w:color="auto" w:sz="4" w:space="0"/>
            </w:tcBorders>
          </w:tcPr>
          <w:p>
            <w:pPr>
              <w:pStyle w:val="28"/>
              <w:shd w:val="clear" w:color="auto" w:fill="FFFFFF"/>
              <w:spacing w:line="360" w:lineRule="auto"/>
              <w:ind w:left="107"/>
              <w:rPr>
                <w:bCs/>
                <w:color w:val="000000"/>
              </w:rPr>
            </w:pPr>
          </w:p>
        </w:tc>
        <w:tc>
          <w:tcPr>
            <w:tcW w:w="701" w:type="dxa"/>
            <w:vMerge w:val="continue"/>
            <w:tcBorders>
              <w:bottom w:val="single" w:color="auto" w:sz="4" w:space="0"/>
            </w:tcBorders>
          </w:tcPr>
          <w:p>
            <w:pPr>
              <w:pStyle w:val="28"/>
              <w:shd w:val="clear" w:color="auto" w:fill="FFFFFF"/>
              <w:spacing w:line="360" w:lineRule="auto"/>
              <w:rPr>
                <w:bCs/>
                <w:color w:val="000000"/>
                <w:spacing w:val="16"/>
              </w:rPr>
            </w:pPr>
          </w:p>
        </w:tc>
        <w:tc>
          <w:tcPr>
            <w:tcW w:w="910" w:type="dxa"/>
            <w:gridSpan w:val="2"/>
            <w:tcBorders>
              <w:bottom w:val="single" w:color="auto" w:sz="4" w:space="0"/>
            </w:tcBorders>
          </w:tcPr>
          <w:p>
            <w:pPr>
              <w:pStyle w:val="28"/>
              <w:shd w:val="clear" w:color="auto" w:fill="FFFFFF"/>
              <w:spacing w:line="360" w:lineRule="auto"/>
              <w:rPr>
                <w:bCs/>
                <w:color w:val="000000"/>
                <w:spacing w:val="16"/>
              </w:rPr>
            </w:pPr>
            <w:r>
              <w:rPr>
                <w:rFonts w:hint="eastAsia"/>
                <w:bCs/>
                <w:color w:val="000000"/>
                <w:spacing w:val="27"/>
              </w:rPr>
              <w:t>手机</w:t>
            </w:r>
          </w:p>
        </w:tc>
        <w:tc>
          <w:tcPr>
            <w:tcW w:w="2368" w:type="dxa"/>
            <w:gridSpan w:val="3"/>
            <w:tcBorders>
              <w:bottom w:val="single" w:color="auto" w:sz="4" w:space="0"/>
            </w:tcBorders>
          </w:tcPr>
          <w:p>
            <w:pPr>
              <w:pStyle w:val="28"/>
              <w:shd w:val="clear" w:color="auto" w:fill="FFFFFF"/>
              <w:spacing w:line="360" w:lineRule="auto"/>
              <w:rPr>
                <w:bCs/>
                <w:color w:val="000000"/>
                <w:spacing w:val="16"/>
              </w:rPr>
            </w:pPr>
          </w:p>
        </w:tc>
        <w:tc>
          <w:tcPr>
            <w:tcW w:w="2001" w:type="dxa"/>
            <w:gridSpan w:val="3"/>
            <w:vMerge w:val="continue"/>
          </w:tcPr>
          <w:p>
            <w:pPr>
              <w:pStyle w:val="28"/>
              <w:shd w:val="clear" w:color="auto" w:fill="FFFFFF"/>
              <w:spacing w:line="360" w:lineRule="auto"/>
              <w:rPr>
                <w:bCs/>
                <w:color w:val="000000"/>
                <w:spacing w:val="16"/>
              </w:rPr>
            </w:pPr>
          </w:p>
        </w:tc>
        <w:tc>
          <w:tcPr>
            <w:tcW w:w="2151" w:type="dxa"/>
            <w:gridSpan w:val="2"/>
            <w:vMerge w:val="continue"/>
          </w:tcPr>
          <w:p>
            <w:pPr>
              <w:pStyle w:val="28"/>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23" w:type="dxa"/>
            <w:vMerge w:val="restart"/>
          </w:tcPr>
          <w:p>
            <w:pPr>
              <w:pStyle w:val="28"/>
              <w:shd w:val="clear" w:color="auto" w:fill="FFFFFF"/>
              <w:spacing w:line="360" w:lineRule="auto"/>
              <w:ind w:left="107"/>
              <w:rPr>
                <w:bCs/>
                <w:color w:val="000000"/>
              </w:rPr>
            </w:pPr>
            <w:r>
              <w:rPr>
                <w:bCs/>
                <w:color w:val="000000"/>
              </w:rPr>
              <w:t>1</w:t>
            </w:r>
            <w:r>
              <w:rPr>
                <w:rFonts w:hint="eastAsia"/>
                <w:bCs/>
                <w:color w:val="000000"/>
              </w:rPr>
              <w:t>.</w:t>
            </w:r>
          </w:p>
          <w:p>
            <w:pPr>
              <w:pStyle w:val="28"/>
              <w:shd w:val="clear" w:color="auto" w:fill="FFFFFF"/>
              <w:spacing w:line="360" w:lineRule="auto"/>
              <w:ind w:left="107"/>
              <w:rPr>
                <w:bCs/>
                <w:color w:val="000000"/>
              </w:rPr>
            </w:pPr>
            <w:r>
              <w:rPr>
                <w:rFonts w:hint="eastAsia"/>
                <w:bCs/>
                <w:color w:val="000000"/>
              </w:rPr>
              <w:t>企</w:t>
            </w:r>
          </w:p>
          <w:p>
            <w:pPr>
              <w:pStyle w:val="28"/>
              <w:shd w:val="clear" w:color="auto" w:fill="FFFFFF"/>
              <w:spacing w:line="360" w:lineRule="auto"/>
              <w:ind w:left="107"/>
              <w:rPr>
                <w:bCs/>
                <w:color w:val="000000"/>
              </w:rPr>
            </w:pPr>
            <w:r>
              <w:rPr>
                <w:rFonts w:hint="eastAsia"/>
                <w:bCs/>
                <w:color w:val="000000"/>
              </w:rPr>
              <w:t>业</w:t>
            </w:r>
          </w:p>
          <w:p>
            <w:pPr>
              <w:pStyle w:val="28"/>
              <w:shd w:val="clear" w:color="auto" w:fill="FFFFFF"/>
              <w:spacing w:line="360" w:lineRule="auto"/>
              <w:ind w:left="107"/>
              <w:rPr>
                <w:bCs/>
                <w:color w:val="000000"/>
                <w:spacing w:val="27"/>
              </w:rPr>
            </w:pPr>
            <w:r>
              <w:rPr>
                <w:rFonts w:hint="eastAsia"/>
                <w:bCs/>
                <w:color w:val="000000"/>
                <w:spacing w:val="27"/>
              </w:rPr>
              <w:t>概</w:t>
            </w:r>
          </w:p>
          <w:p>
            <w:pPr>
              <w:pStyle w:val="28"/>
              <w:shd w:val="clear" w:color="auto" w:fill="FFFFFF"/>
              <w:spacing w:line="360" w:lineRule="auto"/>
              <w:ind w:left="107"/>
              <w:rPr>
                <w:bCs/>
                <w:color w:val="000000"/>
              </w:rPr>
            </w:pPr>
            <w:r>
              <w:rPr>
                <w:rFonts w:hint="eastAsia"/>
                <w:bCs/>
                <w:color w:val="000000"/>
                <w:spacing w:val="27"/>
              </w:rPr>
              <w:t>况</w:t>
            </w:r>
          </w:p>
        </w:tc>
        <w:tc>
          <w:tcPr>
            <w:tcW w:w="701" w:type="dxa"/>
            <w:tcBorders>
              <w:top w:val="nil"/>
            </w:tcBorders>
          </w:tcPr>
          <w:p>
            <w:pPr>
              <w:pStyle w:val="28"/>
              <w:shd w:val="clear" w:color="auto" w:fill="FFFFFF"/>
              <w:spacing w:line="360" w:lineRule="auto"/>
              <w:rPr>
                <w:bCs/>
                <w:color w:val="000000"/>
                <w:spacing w:val="16"/>
              </w:rPr>
            </w:pPr>
            <w:r>
              <w:rPr>
                <w:rFonts w:hint="eastAsia"/>
                <w:bCs/>
                <w:color w:val="000000"/>
                <w:spacing w:val="16"/>
              </w:rPr>
              <w:t>职工人数</w:t>
            </w:r>
          </w:p>
        </w:tc>
        <w:tc>
          <w:tcPr>
            <w:tcW w:w="910" w:type="dxa"/>
            <w:gridSpan w:val="2"/>
            <w:tcBorders>
              <w:top w:val="nil"/>
            </w:tcBorders>
          </w:tcPr>
          <w:p>
            <w:pPr>
              <w:pStyle w:val="28"/>
              <w:shd w:val="clear" w:color="auto" w:fill="FFFFFF"/>
              <w:spacing w:line="360" w:lineRule="auto"/>
              <w:rPr>
                <w:bCs/>
                <w:color w:val="000000"/>
                <w:spacing w:val="16"/>
              </w:rPr>
            </w:pPr>
          </w:p>
        </w:tc>
        <w:tc>
          <w:tcPr>
            <w:tcW w:w="1163" w:type="dxa"/>
            <w:tcBorders>
              <w:top w:val="nil"/>
            </w:tcBorders>
          </w:tcPr>
          <w:p>
            <w:pPr>
              <w:pStyle w:val="28"/>
              <w:shd w:val="clear" w:color="auto" w:fill="FFFFFF"/>
              <w:spacing w:before="0" w:beforeAutospacing="0" w:after="0" w:afterAutospacing="0" w:line="360" w:lineRule="auto"/>
              <w:rPr>
                <w:bCs/>
                <w:color w:val="000000"/>
              </w:rPr>
            </w:pPr>
            <w:r>
              <w:rPr>
                <w:rFonts w:hint="eastAsia"/>
                <w:bCs/>
                <w:color w:val="000000"/>
                <w:spacing w:val="18"/>
              </w:rPr>
              <w:t>具备大专以</w:t>
            </w:r>
            <w:r>
              <w:rPr>
                <w:rFonts w:hint="eastAsia"/>
                <w:bCs/>
                <w:color w:val="000000"/>
                <w:spacing w:val="12"/>
              </w:rPr>
              <w:t>上学历人数</w:t>
            </w:r>
          </w:p>
        </w:tc>
        <w:tc>
          <w:tcPr>
            <w:tcW w:w="1205" w:type="dxa"/>
            <w:gridSpan w:val="2"/>
            <w:tcBorders>
              <w:top w:val="nil"/>
            </w:tcBorders>
          </w:tcPr>
          <w:p>
            <w:pPr>
              <w:widowControl/>
              <w:spacing w:line="360" w:lineRule="auto"/>
              <w:jc w:val="left"/>
              <w:rPr>
                <w:rFonts w:ascii="宋体" w:hAnsi="宋体" w:cs="宋体"/>
                <w:bCs/>
                <w:color w:val="000000"/>
                <w:spacing w:val="16"/>
                <w:kern w:val="0"/>
                <w:sz w:val="24"/>
              </w:rPr>
            </w:pPr>
          </w:p>
          <w:p>
            <w:pPr>
              <w:widowControl/>
              <w:spacing w:line="360" w:lineRule="auto"/>
              <w:jc w:val="left"/>
              <w:rPr>
                <w:rFonts w:ascii="宋体" w:hAnsi="宋体" w:cs="宋体"/>
                <w:bCs/>
                <w:color w:val="000000"/>
                <w:spacing w:val="16"/>
                <w:kern w:val="0"/>
                <w:sz w:val="24"/>
              </w:rPr>
            </w:pPr>
          </w:p>
          <w:p>
            <w:pPr>
              <w:pStyle w:val="28"/>
              <w:shd w:val="clear" w:color="auto" w:fill="FFFFFF"/>
              <w:spacing w:line="360" w:lineRule="auto"/>
              <w:rPr>
                <w:bCs/>
                <w:color w:val="000000"/>
                <w:spacing w:val="16"/>
              </w:rPr>
            </w:pPr>
          </w:p>
        </w:tc>
        <w:tc>
          <w:tcPr>
            <w:tcW w:w="2001" w:type="dxa"/>
            <w:gridSpan w:val="3"/>
          </w:tcPr>
          <w:p>
            <w:pPr>
              <w:pStyle w:val="28"/>
              <w:shd w:val="clear" w:color="auto" w:fill="FFFFFF"/>
              <w:spacing w:line="360" w:lineRule="auto"/>
              <w:rPr>
                <w:bCs/>
                <w:color w:val="000000"/>
                <w:spacing w:val="16"/>
              </w:rPr>
            </w:pPr>
            <w:r>
              <w:rPr>
                <w:rFonts w:hint="eastAsia"/>
                <w:bCs/>
                <w:color w:val="000000"/>
                <w:spacing w:val="65"/>
              </w:rPr>
              <w:t>国家授予技</w:t>
            </w:r>
            <w:r>
              <w:rPr>
                <w:rFonts w:hint="eastAsia"/>
                <w:bCs/>
                <w:color w:val="000000"/>
                <w:spacing w:val="12"/>
              </w:rPr>
              <w:t>术职称人数</w:t>
            </w:r>
          </w:p>
        </w:tc>
        <w:tc>
          <w:tcPr>
            <w:tcW w:w="2151" w:type="dxa"/>
            <w:gridSpan w:val="2"/>
          </w:tcPr>
          <w:p>
            <w:pPr>
              <w:widowControl/>
              <w:spacing w:line="360" w:lineRule="auto"/>
              <w:jc w:val="left"/>
              <w:rPr>
                <w:rFonts w:ascii="宋体" w:hAnsi="宋体" w:cs="宋体"/>
                <w:bCs/>
                <w:color w:val="000000"/>
                <w:spacing w:val="16"/>
                <w:kern w:val="0"/>
                <w:sz w:val="24"/>
              </w:rPr>
            </w:pPr>
          </w:p>
          <w:p>
            <w:pPr>
              <w:pStyle w:val="28"/>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23" w:type="dxa"/>
            <w:vMerge w:val="continue"/>
          </w:tcPr>
          <w:p>
            <w:pPr>
              <w:pStyle w:val="28"/>
              <w:shd w:val="clear" w:color="auto" w:fill="FFFFFF"/>
              <w:spacing w:line="360" w:lineRule="auto"/>
              <w:ind w:left="107"/>
              <w:rPr>
                <w:bCs/>
                <w:color w:val="000000"/>
              </w:rPr>
            </w:pPr>
          </w:p>
        </w:tc>
        <w:tc>
          <w:tcPr>
            <w:tcW w:w="701" w:type="dxa"/>
          </w:tcPr>
          <w:p>
            <w:pPr>
              <w:pStyle w:val="28"/>
              <w:shd w:val="clear" w:color="auto" w:fill="FFFFFF"/>
              <w:spacing w:line="360" w:lineRule="auto"/>
              <w:rPr>
                <w:bCs/>
                <w:color w:val="000000"/>
              </w:rPr>
            </w:pPr>
            <w:r>
              <w:rPr>
                <w:rFonts w:hint="eastAsia"/>
                <w:bCs/>
                <w:color w:val="000000"/>
                <w:spacing w:val="16"/>
              </w:rPr>
              <w:t>占地面积</w:t>
            </w:r>
          </w:p>
        </w:tc>
        <w:tc>
          <w:tcPr>
            <w:tcW w:w="910" w:type="dxa"/>
            <w:gridSpan w:val="2"/>
          </w:tcPr>
          <w:p>
            <w:pPr>
              <w:pStyle w:val="28"/>
              <w:shd w:val="clear" w:color="auto" w:fill="FFFFFF"/>
              <w:spacing w:line="360" w:lineRule="auto"/>
              <w:rPr>
                <w:bCs/>
                <w:color w:val="000000"/>
              </w:rPr>
            </w:pPr>
          </w:p>
        </w:tc>
        <w:tc>
          <w:tcPr>
            <w:tcW w:w="1163" w:type="dxa"/>
          </w:tcPr>
          <w:p>
            <w:pPr>
              <w:pStyle w:val="28"/>
              <w:shd w:val="clear" w:color="auto" w:fill="FFFFFF"/>
              <w:spacing w:line="360" w:lineRule="auto"/>
              <w:rPr>
                <w:bCs/>
                <w:color w:val="000000"/>
              </w:rPr>
            </w:pPr>
            <w:r>
              <w:rPr>
                <w:rFonts w:hint="eastAsia"/>
                <w:bCs/>
                <w:color w:val="000000"/>
                <w:spacing w:val="16"/>
              </w:rPr>
              <w:t>建筑面积</w:t>
            </w:r>
          </w:p>
        </w:tc>
        <w:tc>
          <w:tcPr>
            <w:tcW w:w="1205" w:type="dxa"/>
            <w:gridSpan w:val="2"/>
          </w:tcPr>
          <w:p>
            <w:pPr>
              <w:pStyle w:val="28"/>
              <w:shd w:val="clear" w:color="auto" w:fill="FFFFFF"/>
              <w:spacing w:line="360" w:lineRule="auto"/>
              <w:ind w:firstLine="480" w:firstLineChars="200"/>
              <w:rPr>
                <w:bCs/>
                <w:color w:val="000000"/>
              </w:rPr>
            </w:pPr>
            <w:r>
              <w:rPr>
                <w:rFonts w:hint="eastAsia"/>
                <w:bCs/>
                <w:color w:val="000000"/>
              </w:rPr>
              <w:t xml:space="preserve">平方米 </w:t>
            </w:r>
          </w:p>
          <w:p>
            <w:pPr>
              <w:pStyle w:val="28"/>
              <w:shd w:val="clear" w:color="auto" w:fill="FFFFFF"/>
              <w:spacing w:line="360" w:lineRule="auto"/>
              <w:rPr>
                <w:bCs/>
                <w:color w:val="000000"/>
              </w:rPr>
            </w:pPr>
            <w:r>
              <w:rPr>
                <w:rFonts w:hint="eastAsia"/>
                <w:bCs/>
                <w:color w:val="000000"/>
                <w:spacing w:val="16"/>
              </w:rPr>
              <w:t>□自有□租賃</w:t>
            </w:r>
          </w:p>
        </w:tc>
        <w:tc>
          <w:tcPr>
            <w:tcW w:w="2001" w:type="dxa"/>
            <w:gridSpan w:val="3"/>
          </w:tcPr>
          <w:p>
            <w:pPr>
              <w:pStyle w:val="28"/>
              <w:shd w:val="clear" w:color="auto" w:fill="FFFFFF"/>
              <w:spacing w:line="360" w:lineRule="auto"/>
              <w:rPr>
                <w:bCs/>
                <w:color w:val="000000"/>
              </w:rPr>
            </w:pPr>
            <w:r>
              <w:rPr>
                <w:rFonts w:hint="eastAsia"/>
                <w:bCs/>
                <w:color w:val="000000"/>
                <w:spacing w:val="16"/>
              </w:rPr>
              <w:t>生产经营场所及场所的设施与设备</w:t>
            </w:r>
          </w:p>
        </w:tc>
        <w:tc>
          <w:tcPr>
            <w:tcW w:w="2151" w:type="dxa"/>
            <w:gridSpan w:val="2"/>
          </w:tcPr>
          <w:p>
            <w:pPr>
              <w:pStyle w:val="28"/>
              <w:shd w:val="clear" w:color="auto" w:fill="FFFFFF"/>
              <w:spacing w:before="0" w:beforeAutospacing="0" w:after="0" w:afterAutospacing="0"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23" w:type="dxa"/>
            <w:vMerge w:val="continue"/>
          </w:tcPr>
          <w:p>
            <w:pPr>
              <w:pStyle w:val="28"/>
              <w:shd w:val="clear" w:color="auto" w:fill="FFFFFF"/>
              <w:spacing w:line="360" w:lineRule="auto"/>
              <w:ind w:left="107"/>
              <w:rPr>
                <w:bCs/>
                <w:color w:val="000000"/>
              </w:rPr>
            </w:pPr>
          </w:p>
        </w:tc>
        <w:tc>
          <w:tcPr>
            <w:tcW w:w="701" w:type="dxa"/>
          </w:tcPr>
          <w:p>
            <w:pPr>
              <w:pStyle w:val="28"/>
              <w:shd w:val="clear" w:color="auto" w:fill="FFFFFF"/>
              <w:spacing w:line="360" w:lineRule="auto"/>
              <w:ind w:left="2"/>
              <w:rPr>
                <w:bCs/>
                <w:color w:val="000000"/>
                <w:spacing w:val="16"/>
              </w:rPr>
            </w:pPr>
            <w:r>
              <w:rPr>
                <w:rFonts w:hint="eastAsia"/>
                <w:bCs/>
                <w:color w:val="000000"/>
                <w:spacing w:val="16"/>
              </w:rPr>
              <w:t>注册资金</w:t>
            </w:r>
          </w:p>
        </w:tc>
        <w:tc>
          <w:tcPr>
            <w:tcW w:w="910" w:type="dxa"/>
            <w:gridSpan w:val="2"/>
          </w:tcPr>
          <w:p>
            <w:pPr>
              <w:pStyle w:val="28"/>
              <w:shd w:val="clear" w:color="auto" w:fill="FFFFFF"/>
              <w:spacing w:line="360" w:lineRule="auto"/>
              <w:ind w:left="2"/>
              <w:rPr>
                <w:bCs/>
                <w:color w:val="000000"/>
              </w:rPr>
            </w:pPr>
          </w:p>
        </w:tc>
        <w:tc>
          <w:tcPr>
            <w:tcW w:w="1163" w:type="dxa"/>
          </w:tcPr>
          <w:p>
            <w:pPr>
              <w:pStyle w:val="28"/>
              <w:shd w:val="clear" w:color="auto" w:fill="FFFFFF"/>
              <w:spacing w:line="360" w:lineRule="auto"/>
              <w:ind w:left="107"/>
              <w:rPr>
                <w:bCs/>
                <w:color w:val="000000"/>
              </w:rPr>
            </w:pPr>
            <w:r>
              <w:rPr>
                <w:rFonts w:hint="eastAsia"/>
                <w:bCs/>
                <w:color w:val="000000"/>
                <w:spacing w:val="16"/>
              </w:rPr>
              <w:t>注册发证</w:t>
            </w:r>
            <w:r>
              <w:rPr>
                <w:rFonts w:hint="eastAsia"/>
                <w:bCs/>
                <w:color w:val="000000"/>
                <w:spacing w:val="27"/>
              </w:rPr>
              <w:t>机关</w:t>
            </w:r>
          </w:p>
        </w:tc>
        <w:tc>
          <w:tcPr>
            <w:tcW w:w="3206" w:type="dxa"/>
            <w:gridSpan w:val="5"/>
          </w:tcPr>
          <w:p>
            <w:pPr>
              <w:widowControl/>
              <w:spacing w:line="360" w:lineRule="auto"/>
              <w:jc w:val="left"/>
              <w:rPr>
                <w:rFonts w:ascii="宋体" w:hAnsi="宋体" w:cs="宋体"/>
                <w:bCs/>
                <w:color w:val="000000"/>
                <w:kern w:val="0"/>
                <w:sz w:val="24"/>
              </w:rPr>
            </w:pPr>
          </w:p>
          <w:p>
            <w:pPr>
              <w:pStyle w:val="28"/>
              <w:shd w:val="clear" w:color="auto" w:fill="FFFFFF"/>
              <w:spacing w:line="360" w:lineRule="auto"/>
              <w:ind w:left="107"/>
              <w:rPr>
                <w:bCs/>
                <w:color w:val="000000"/>
              </w:rPr>
            </w:pPr>
          </w:p>
        </w:tc>
        <w:tc>
          <w:tcPr>
            <w:tcW w:w="1218" w:type="dxa"/>
          </w:tcPr>
          <w:p>
            <w:pPr>
              <w:pStyle w:val="28"/>
              <w:shd w:val="clear" w:color="auto" w:fill="FFFFFF"/>
              <w:spacing w:line="360" w:lineRule="auto"/>
              <w:ind w:left="107"/>
              <w:rPr>
                <w:bCs/>
                <w:color w:val="000000"/>
              </w:rPr>
            </w:pPr>
            <w:r>
              <w:rPr>
                <w:rFonts w:hint="eastAsia"/>
                <w:bCs/>
                <w:color w:val="000000"/>
              </w:rPr>
              <w:t>公司成</w:t>
            </w:r>
            <w:r>
              <w:rPr>
                <w:rFonts w:hint="eastAsia"/>
                <w:bCs/>
                <w:color w:val="000000"/>
                <w:spacing w:val="12"/>
              </w:rPr>
              <w:t>立时间</w:t>
            </w:r>
          </w:p>
        </w:tc>
        <w:tc>
          <w:tcPr>
            <w:tcW w:w="933" w:type="dxa"/>
          </w:tcPr>
          <w:p>
            <w:pPr>
              <w:pStyle w:val="28"/>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823" w:type="dxa"/>
            <w:vMerge w:val="continue"/>
          </w:tcPr>
          <w:p>
            <w:pPr>
              <w:pStyle w:val="28"/>
              <w:shd w:val="clear" w:color="auto" w:fill="FFFFFF"/>
              <w:spacing w:line="360" w:lineRule="auto"/>
              <w:ind w:left="107"/>
              <w:rPr>
                <w:bCs/>
                <w:color w:val="000000"/>
              </w:rPr>
            </w:pPr>
          </w:p>
        </w:tc>
        <w:tc>
          <w:tcPr>
            <w:tcW w:w="701" w:type="dxa"/>
          </w:tcPr>
          <w:p>
            <w:pPr>
              <w:pStyle w:val="28"/>
              <w:shd w:val="clear" w:color="auto" w:fill="FFFFFF"/>
              <w:spacing w:line="360" w:lineRule="auto"/>
              <w:ind w:left="2"/>
              <w:rPr>
                <w:bCs/>
                <w:color w:val="000000"/>
              </w:rPr>
            </w:pPr>
            <w:r>
              <w:rPr>
                <w:rFonts w:hint="eastAsia"/>
                <w:bCs/>
                <w:color w:val="000000"/>
              </w:rPr>
              <w:t>核准经营范围</w:t>
            </w:r>
          </w:p>
        </w:tc>
        <w:tc>
          <w:tcPr>
            <w:tcW w:w="7430" w:type="dxa"/>
            <w:gridSpan w:val="10"/>
          </w:tcPr>
          <w:p>
            <w:pPr>
              <w:pStyle w:val="28"/>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23" w:type="dxa"/>
            <w:vMerge w:val="continue"/>
          </w:tcPr>
          <w:p>
            <w:pPr>
              <w:pStyle w:val="28"/>
              <w:shd w:val="clear" w:color="auto" w:fill="FFFFFF"/>
              <w:spacing w:line="360" w:lineRule="auto"/>
              <w:ind w:left="107"/>
              <w:rPr>
                <w:bCs/>
                <w:color w:val="000000"/>
              </w:rPr>
            </w:pPr>
          </w:p>
        </w:tc>
        <w:tc>
          <w:tcPr>
            <w:tcW w:w="8131" w:type="dxa"/>
            <w:gridSpan w:val="11"/>
          </w:tcPr>
          <w:p>
            <w:pPr>
              <w:pStyle w:val="28"/>
              <w:shd w:val="clear" w:color="auto" w:fill="FFFFFF"/>
              <w:spacing w:line="360" w:lineRule="auto"/>
              <w:rPr>
                <w:bCs/>
                <w:color w:val="000000"/>
                <w:spacing w:val="13"/>
              </w:rPr>
            </w:pPr>
            <w:r>
              <w:rPr>
                <w:rFonts w:hint="eastAsia"/>
                <w:bCs/>
                <w:color w:val="000000"/>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23" w:type="dxa"/>
            <w:vMerge w:val="restart"/>
          </w:tcPr>
          <w:p>
            <w:pPr>
              <w:pStyle w:val="28"/>
              <w:shd w:val="clear" w:color="auto" w:fill="FFFFFF"/>
              <w:spacing w:line="360" w:lineRule="auto"/>
              <w:ind w:left="107"/>
              <w:rPr>
                <w:bCs/>
                <w:color w:val="000000"/>
              </w:rPr>
            </w:pPr>
            <w:r>
              <w:rPr>
                <w:bCs/>
                <w:color w:val="000000"/>
              </w:rPr>
              <w:t>2</w:t>
            </w:r>
            <w:r>
              <w:rPr>
                <w:rFonts w:hint="eastAsia"/>
                <w:bCs/>
                <w:color w:val="000000"/>
              </w:rPr>
              <w:t>．</w:t>
            </w:r>
          </w:p>
          <w:p>
            <w:pPr>
              <w:pStyle w:val="28"/>
              <w:shd w:val="clear" w:color="auto" w:fill="FFFFFF"/>
              <w:spacing w:line="360" w:lineRule="auto"/>
              <w:ind w:left="107"/>
              <w:rPr>
                <w:bCs/>
                <w:color w:val="000000"/>
                <w:spacing w:val="16"/>
              </w:rPr>
            </w:pPr>
            <w:r>
              <w:rPr>
                <w:rFonts w:hint="eastAsia"/>
                <w:bCs/>
                <w:color w:val="000000"/>
              </w:rPr>
              <w:t>企</w:t>
            </w:r>
            <w:r>
              <w:rPr>
                <w:rFonts w:hint="eastAsia"/>
                <w:bCs/>
                <w:color w:val="000000"/>
                <w:spacing w:val="12"/>
              </w:rPr>
              <w:t>业有关资质获证情况</w:t>
            </w:r>
          </w:p>
        </w:tc>
        <w:tc>
          <w:tcPr>
            <w:tcW w:w="1553" w:type="dxa"/>
            <w:gridSpan w:val="2"/>
            <w:vMerge w:val="restart"/>
          </w:tcPr>
          <w:p>
            <w:pPr>
              <w:pStyle w:val="28"/>
              <w:shd w:val="clear" w:color="auto" w:fill="FFFFFF"/>
              <w:spacing w:before="0" w:beforeAutospacing="0" w:after="0" w:afterAutospacing="0" w:line="360" w:lineRule="auto"/>
              <w:rPr>
                <w:bCs/>
                <w:color w:val="000000"/>
                <w:spacing w:val="16"/>
              </w:rPr>
            </w:pPr>
            <w:r>
              <w:rPr>
                <w:rFonts w:hint="eastAsia"/>
                <w:bCs/>
                <w:color w:val="000000"/>
                <w:spacing w:val="12"/>
              </w:rPr>
              <w:t>产品生产许可证情况</w:t>
            </w:r>
            <w:r>
              <w:rPr>
                <w:rFonts w:hint="eastAsia"/>
                <w:bCs/>
                <w:color w:val="000000"/>
                <w:spacing w:val="41"/>
              </w:rPr>
              <w:t>（对需获得生产许可证的</w:t>
            </w:r>
            <w:r>
              <w:rPr>
                <w:rFonts w:hint="eastAsia"/>
                <w:bCs/>
                <w:color w:val="000000"/>
                <w:spacing w:val="11"/>
              </w:rPr>
              <w:t>产品要填写此栏）</w:t>
            </w:r>
          </w:p>
        </w:tc>
        <w:tc>
          <w:tcPr>
            <w:tcW w:w="1333" w:type="dxa"/>
            <w:gridSpan w:val="3"/>
          </w:tcPr>
          <w:p>
            <w:pPr>
              <w:pStyle w:val="28"/>
              <w:shd w:val="clear" w:color="auto" w:fill="FFFFFF"/>
              <w:spacing w:line="360" w:lineRule="auto"/>
              <w:ind w:right="-78" w:rightChars="-37"/>
              <w:rPr>
                <w:bCs/>
                <w:color w:val="000000"/>
                <w:spacing w:val="16"/>
              </w:rPr>
            </w:pPr>
            <w:r>
              <w:rPr>
                <w:rFonts w:hint="eastAsia"/>
                <w:bCs/>
                <w:color w:val="000000"/>
                <w:spacing w:val="16"/>
              </w:rPr>
              <w:t>产品名称</w:t>
            </w:r>
          </w:p>
        </w:tc>
        <w:tc>
          <w:tcPr>
            <w:tcW w:w="1418" w:type="dxa"/>
            <w:gridSpan w:val="2"/>
          </w:tcPr>
          <w:p>
            <w:pPr>
              <w:pStyle w:val="28"/>
              <w:shd w:val="clear" w:color="auto" w:fill="FFFFFF"/>
              <w:spacing w:before="0" w:beforeAutospacing="0" w:after="0" w:afterAutospacing="0" w:line="360" w:lineRule="auto"/>
              <w:rPr>
                <w:bCs/>
                <w:color w:val="000000"/>
              </w:rPr>
            </w:pPr>
            <w:r>
              <w:rPr>
                <w:rFonts w:hint="eastAsia"/>
                <w:bCs/>
                <w:color w:val="000000"/>
                <w:spacing w:val="16"/>
              </w:rPr>
              <w:t>发证机关</w:t>
            </w:r>
          </w:p>
        </w:tc>
        <w:tc>
          <w:tcPr>
            <w:tcW w:w="1276" w:type="dxa"/>
          </w:tcPr>
          <w:p>
            <w:pPr>
              <w:pStyle w:val="28"/>
              <w:shd w:val="clear" w:color="auto" w:fill="FFFFFF"/>
              <w:spacing w:line="360" w:lineRule="auto"/>
              <w:jc w:val="center"/>
              <w:rPr>
                <w:bCs/>
                <w:color w:val="000000"/>
              </w:rPr>
            </w:pPr>
            <w:r>
              <w:rPr>
                <w:rFonts w:hint="eastAsia"/>
                <w:bCs/>
                <w:color w:val="000000"/>
                <w:spacing w:val="27"/>
              </w:rPr>
              <w:t>编号</w:t>
            </w:r>
          </w:p>
        </w:tc>
        <w:tc>
          <w:tcPr>
            <w:tcW w:w="1618" w:type="dxa"/>
            <w:gridSpan w:val="2"/>
          </w:tcPr>
          <w:p>
            <w:pPr>
              <w:pStyle w:val="28"/>
              <w:shd w:val="clear" w:color="auto" w:fill="FFFFFF"/>
              <w:spacing w:line="360" w:lineRule="auto"/>
              <w:jc w:val="center"/>
              <w:rPr>
                <w:bCs/>
                <w:color w:val="000000"/>
              </w:rPr>
            </w:pPr>
            <w:r>
              <w:rPr>
                <w:rFonts w:hint="eastAsia"/>
                <w:bCs/>
                <w:color w:val="000000"/>
                <w:spacing w:val="16"/>
              </w:rPr>
              <w:t>发证时间</w:t>
            </w:r>
          </w:p>
        </w:tc>
        <w:tc>
          <w:tcPr>
            <w:tcW w:w="933" w:type="dxa"/>
          </w:tcPr>
          <w:p>
            <w:pPr>
              <w:pStyle w:val="28"/>
              <w:shd w:val="clear" w:color="auto" w:fill="FFFFFF"/>
              <w:spacing w:before="0" w:beforeAutospacing="0" w:after="0" w:afterAutospacing="0" w:line="360" w:lineRule="auto"/>
              <w:jc w:val="center"/>
              <w:rPr>
                <w:bCs/>
                <w:color w:val="000000"/>
              </w:rPr>
            </w:pPr>
            <w:r>
              <w:rPr>
                <w:rFonts w:hint="eastAsia"/>
                <w:bCs/>
                <w:color w:val="000000"/>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23" w:type="dxa"/>
            <w:vMerge w:val="continue"/>
          </w:tcPr>
          <w:p>
            <w:pPr>
              <w:pStyle w:val="28"/>
              <w:shd w:val="clear" w:color="auto" w:fill="FFFFFF"/>
              <w:spacing w:line="360" w:lineRule="auto"/>
              <w:ind w:left="107"/>
              <w:rPr>
                <w:bCs/>
                <w:color w:val="000000"/>
              </w:rPr>
            </w:pPr>
          </w:p>
        </w:tc>
        <w:tc>
          <w:tcPr>
            <w:tcW w:w="1553" w:type="dxa"/>
            <w:gridSpan w:val="2"/>
            <w:vMerge w:val="continue"/>
          </w:tcPr>
          <w:p>
            <w:pPr>
              <w:pStyle w:val="28"/>
              <w:shd w:val="clear" w:color="auto" w:fill="FFFFFF"/>
              <w:spacing w:line="360" w:lineRule="auto"/>
              <w:rPr>
                <w:bCs/>
                <w:color w:val="000000"/>
              </w:rPr>
            </w:pPr>
          </w:p>
        </w:tc>
        <w:tc>
          <w:tcPr>
            <w:tcW w:w="1333" w:type="dxa"/>
            <w:gridSpan w:val="3"/>
          </w:tcPr>
          <w:p>
            <w:pPr>
              <w:pStyle w:val="28"/>
              <w:shd w:val="clear" w:color="auto" w:fill="FFFFFF"/>
              <w:spacing w:line="360" w:lineRule="auto"/>
              <w:rPr>
                <w:bCs/>
                <w:color w:val="000000"/>
              </w:rPr>
            </w:pPr>
          </w:p>
        </w:tc>
        <w:tc>
          <w:tcPr>
            <w:tcW w:w="1418" w:type="dxa"/>
            <w:gridSpan w:val="2"/>
          </w:tcPr>
          <w:p>
            <w:pPr>
              <w:pStyle w:val="28"/>
              <w:shd w:val="clear" w:color="auto" w:fill="FFFFFF"/>
              <w:spacing w:line="360" w:lineRule="auto"/>
              <w:rPr>
                <w:bCs/>
                <w:color w:val="000000"/>
              </w:rPr>
            </w:pPr>
          </w:p>
        </w:tc>
        <w:tc>
          <w:tcPr>
            <w:tcW w:w="1276" w:type="dxa"/>
          </w:tcPr>
          <w:p>
            <w:pPr>
              <w:pStyle w:val="28"/>
              <w:shd w:val="clear" w:color="auto" w:fill="FFFFFF"/>
              <w:spacing w:line="360" w:lineRule="auto"/>
              <w:rPr>
                <w:bCs/>
                <w:color w:val="000000"/>
              </w:rPr>
            </w:pPr>
          </w:p>
        </w:tc>
        <w:tc>
          <w:tcPr>
            <w:tcW w:w="2551" w:type="dxa"/>
            <w:gridSpan w:val="3"/>
          </w:tcPr>
          <w:p>
            <w:pPr>
              <w:pStyle w:val="28"/>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23" w:type="dxa"/>
            <w:vMerge w:val="continue"/>
          </w:tcPr>
          <w:p>
            <w:pPr>
              <w:pStyle w:val="28"/>
              <w:shd w:val="clear" w:color="auto" w:fill="FFFFFF"/>
              <w:spacing w:line="360" w:lineRule="auto"/>
              <w:ind w:left="107"/>
              <w:rPr>
                <w:bCs/>
                <w:color w:val="000000"/>
                <w:spacing w:val="16"/>
              </w:rPr>
            </w:pPr>
          </w:p>
        </w:tc>
        <w:tc>
          <w:tcPr>
            <w:tcW w:w="1553" w:type="dxa"/>
            <w:gridSpan w:val="2"/>
          </w:tcPr>
          <w:p>
            <w:pPr>
              <w:pStyle w:val="28"/>
              <w:shd w:val="clear" w:color="auto" w:fill="FFFFFF"/>
              <w:spacing w:before="0" w:beforeAutospacing="0" w:after="0" w:afterAutospacing="0" w:line="360" w:lineRule="auto"/>
              <w:ind w:right="-107" w:rightChars="-51"/>
              <w:rPr>
                <w:bCs/>
                <w:color w:val="000000"/>
                <w:spacing w:val="41"/>
              </w:rPr>
            </w:pPr>
            <w:r>
              <w:rPr>
                <w:rFonts w:hint="eastAsia"/>
                <w:bCs/>
                <w:color w:val="000000"/>
                <w:spacing w:val="41"/>
              </w:rPr>
              <w:t>企业通过质量体系、环保</w:t>
            </w:r>
            <w:r>
              <w:rPr>
                <w:rFonts w:hint="eastAsia"/>
                <w:bCs/>
                <w:color w:val="000000"/>
                <w:spacing w:val="11"/>
              </w:rPr>
              <w:t>体系、计量等认证情况</w:t>
            </w:r>
          </w:p>
        </w:tc>
        <w:tc>
          <w:tcPr>
            <w:tcW w:w="6578" w:type="dxa"/>
            <w:gridSpan w:val="9"/>
          </w:tcPr>
          <w:p>
            <w:pPr>
              <w:pStyle w:val="28"/>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23" w:type="dxa"/>
            <w:vMerge w:val="continue"/>
          </w:tcPr>
          <w:p>
            <w:pPr>
              <w:pStyle w:val="28"/>
              <w:shd w:val="clear" w:color="auto" w:fill="FFFFFF"/>
              <w:spacing w:line="360" w:lineRule="auto"/>
              <w:ind w:left="107"/>
              <w:rPr>
                <w:bCs/>
                <w:color w:val="000000"/>
                <w:spacing w:val="27"/>
              </w:rPr>
            </w:pPr>
          </w:p>
        </w:tc>
        <w:tc>
          <w:tcPr>
            <w:tcW w:w="1553" w:type="dxa"/>
            <w:gridSpan w:val="2"/>
          </w:tcPr>
          <w:p>
            <w:pPr>
              <w:pStyle w:val="28"/>
              <w:shd w:val="clear" w:color="auto" w:fill="FFFFFF"/>
              <w:spacing w:line="360" w:lineRule="auto"/>
              <w:rPr>
                <w:bCs/>
                <w:color w:val="000000"/>
                <w:spacing w:val="16"/>
              </w:rPr>
            </w:pPr>
            <w:r>
              <w:rPr>
                <w:rFonts w:hint="eastAsia"/>
                <w:bCs/>
                <w:color w:val="000000"/>
                <w:spacing w:val="10"/>
              </w:rPr>
              <w:t>企业获得专利情况</w:t>
            </w:r>
          </w:p>
        </w:tc>
        <w:tc>
          <w:tcPr>
            <w:tcW w:w="6578" w:type="dxa"/>
            <w:gridSpan w:val="9"/>
          </w:tcPr>
          <w:p>
            <w:pPr>
              <w:pStyle w:val="28"/>
              <w:shd w:val="clear" w:color="auto" w:fill="FFFFFF"/>
              <w:spacing w:line="360" w:lineRule="auto"/>
              <w:rPr>
                <w:bCs/>
                <w:color w:val="000000"/>
                <w:spacing w:val="16"/>
              </w:rPr>
            </w:pPr>
          </w:p>
        </w:tc>
      </w:tr>
    </w:tbl>
    <w:p>
      <w:pPr>
        <w:pStyle w:val="28"/>
        <w:shd w:val="clear" w:color="auto" w:fill="FFFFFF"/>
        <w:spacing w:before="0" w:beforeAutospacing="0" w:after="0" w:afterAutospacing="0" w:line="360" w:lineRule="auto"/>
        <w:rPr>
          <w:rFonts w:ascii="仿宋_GB2312" w:eastAsia="仿宋_GB2312"/>
        </w:rPr>
      </w:pPr>
    </w:p>
    <w:p>
      <w:pPr>
        <w:pStyle w:val="28"/>
        <w:shd w:val="clear" w:color="auto" w:fill="FFFFFF"/>
        <w:spacing w:before="0" w:beforeAutospacing="0" w:after="0" w:afterAutospacing="0" w:line="360" w:lineRule="auto"/>
        <w:rPr>
          <w:b/>
          <w:sz w:val="21"/>
          <w:szCs w:val="21"/>
        </w:rPr>
      </w:pPr>
      <w:r>
        <w:rPr>
          <w:rFonts w:hint="eastAsia"/>
          <w:b/>
          <w:sz w:val="21"/>
          <w:szCs w:val="21"/>
        </w:rPr>
        <w:t>要求：</w:t>
      </w:r>
    </w:p>
    <w:p>
      <w:pPr>
        <w:pStyle w:val="28"/>
        <w:shd w:val="clear" w:color="auto" w:fill="FFFFFF"/>
        <w:spacing w:before="0" w:beforeAutospacing="0" w:after="0" w:afterAutospacing="0" w:line="360" w:lineRule="auto"/>
        <w:ind w:firstLine="424" w:firstLineChars="202"/>
        <w:rPr>
          <w:color w:val="000000"/>
          <w:sz w:val="21"/>
          <w:szCs w:val="21"/>
        </w:rPr>
      </w:pPr>
      <w:r>
        <w:rPr>
          <w:rFonts w:hint="eastAsia" w:ascii="仿宋_GB2312" w:eastAsia="仿宋_GB2312"/>
          <w:sz w:val="21"/>
          <w:szCs w:val="21"/>
        </w:rPr>
        <w:t>1.</w:t>
      </w:r>
      <w:r>
        <w:rPr>
          <w:rFonts w:hint="eastAsia"/>
          <w:color w:val="000000"/>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8"/>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4"/>
        </w:rPr>
      </w:pPr>
    </w:p>
    <w:p>
      <w:pPr>
        <w:spacing w:line="360" w:lineRule="auto"/>
        <w:rPr>
          <w:rFonts w:ascii="宋体" w:hAnsi="宋体"/>
          <w:sz w:val="24"/>
        </w:rPr>
      </w:pPr>
      <w:r>
        <w:rPr>
          <w:rFonts w:hint="eastAsia" w:ascii="宋体" w:hAnsi="宋体"/>
          <w:b/>
          <w:sz w:val="28"/>
        </w:rPr>
        <w:t>附件6</w:t>
      </w:r>
    </w:p>
    <w:p>
      <w:pPr>
        <w:snapToGrid w:val="0"/>
        <w:spacing w:before="156" w:beforeLines="50" w:after="50" w:line="360" w:lineRule="auto"/>
        <w:jc w:val="center"/>
        <w:rPr>
          <w:rFonts w:ascii="宋体" w:hAnsi="宋体"/>
          <w:b/>
          <w:sz w:val="36"/>
          <w:szCs w:val="36"/>
        </w:rPr>
      </w:pPr>
      <w:r>
        <w:rPr>
          <w:rFonts w:hint="eastAsia" w:ascii="宋体" w:hAnsi="宋体"/>
          <w:b/>
          <w:sz w:val="32"/>
          <w:szCs w:val="32"/>
        </w:rPr>
        <w:t>项目实施人员一览表</w:t>
      </w:r>
      <w:r>
        <w:rPr>
          <w:rFonts w:hint="eastAsia" w:ascii="宋体" w:hAnsi="宋体"/>
          <w:b/>
          <w:color w:val="33CCCC"/>
          <w:sz w:val="32"/>
          <w:szCs w:val="32"/>
        </w:rPr>
        <w:t>（第 标）</w:t>
      </w:r>
    </w:p>
    <w:p>
      <w:pPr>
        <w:snapToGrid w:val="0"/>
        <w:spacing w:before="156"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19"/>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bCs/>
                <w:sz w:val="24"/>
              </w:rPr>
              <w:t>参加本单位工作时间</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4"/>
              <w:spacing w:line="360" w:lineRule="auto"/>
              <w:ind w:left="5250"/>
              <w:rPr>
                <w:rFonts w:ascii="宋体" w:hAnsi="宋体"/>
                <w:sz w:val="24"/>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w:t>
      </w:r>
      <w:r>
        <w:rPr>
          <w:rFonts w:hint="eastAsia" w:ascii="宋体" w:hAnsi="宋体"/>
          <w:szCs w:val="21"/>
        </w:rPr>
        <w:t>在填写时，如本表格不适合投标单位的实际情况，可根据本表格式自行划表填写。</w:t>
      </w:r>
    </w:p>
    <w:p>
      <w:pPr>
        <w:pStyle w:val="29"/>
        <w:spacing w:line="360" w:lineRule="auto"/>
        <w:ind w:left="424" w:leftChars="202"/>
        <w:rPr>
          <w:rFonts w:ascii="宋体" w:hAnsi="宋体"/>
          <w:szCs w:val="21"/>
        </w:rPr>
      </w:pPr>
      <w:r>
        <w:rPr>
          <w:rFonts w:hint="eastAsia" w:ascii="宋体" w:hAnsi="宋体"/>
          <w:szCs w:val="21"/>
        </w:rPr>
        <w:t>2.附人员证书复印件；</w:t>
      </w:r>
    </w:p>
    <w:p>
      <w:pPr>
        <w:pStyle w:val="29"/>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56" w:afterLines="50" w:line="360" w:lineRule="auto"/>
        <w:jc w:val="left"/>
        <w:rPr>
          <w:rFonts w:ascii="宋体" w:hAnsi="宋体"/>
          <w:sz w:val="24"/>
          <w:szCs w:val="20"/>
        </w:rPr>
      </w:pPr>
    </w:p>
    <w:p>
      <w:pPr>
        <w:snapToGrid w:val="0"/>
        <w:spacing w:before="50" w:after="156"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rPr>
      </w:pPr>
      <w:r>
        <w:rPr>
          <w:rFonts w:hint="eastAsia" w:ascii="宋体" w:hAnsi="宋体"/>
          <w:b/>
          <w:sz w:val="28"/>
        </w:rPr>
        <w:t>附件7</w:t>
      </w:r>
    </w:p>
    <w:p>
      <w:pPr>
        <w:spacing w:before="156" w:beforeLines="50" w:after="156"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p>
      <w:pPr>
        <w:spacing w:line="360" w:lineRule="auto"/>
        <w:rPr>
          <w:rFonts w:ascii="宋体" w:hAnsi="宋体"/>
        </w:rPr>
      </w:pPr>
      <w:r>
        <w:rPr>
          <w:rFonts w:hint="eastAsia" w:ascii="宋体" w:hAnsi="宋体"/>
        </w:rPr>
        <w:t>采购项目：                                            采购编号：</w:t>
      </w:r>
    </w:p>
    <w:tbl>
      <w:tblPr>
        <w:tblStyle w:val="19"/>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r>
        <w:rPr>
          <w:rFonts w:hint="eastAsia" w:ascii="宋体" w:hAnsi="宋体"/>
          <w:b/>
          <w:sz w:val="28"/>
        </w:rPr>
        <w:t>附件8</w:t>
      </w:r>
    </w:p>
    <w:p>
      <w:pPr>
        <w:spacing w:line="360" w:lineRule="auto"/>
        <w:ind w:left="480"/>
        <w:jc w:val="center"/>
        <w:rPr>
          <w:rFonts w:ascii="宋体" w:hAnsi="宋体"/>
          <w:b/>
          <w:color w:val="000000"/>
          <w:sz w:val="32"/>
          <w:szCs w:val="32"/>
        </w:rPr>
      </w:pPr>
      <w:r>
        <w:rPr>
          <w:rFonts w:hint="eastAsia" w:ascii="宋体" w:hAnsi="宋体"/>
          <w:b/>
          <w:color w:val="000000"/>
          <w:sz w:val="32"/>
          <w:szCs w:val="32"/>
        </w:rPr>
        <w:t>供货</w:t>
      </w:r>
      <w:r>
        <w:rPr>
          <w:rFonts w:ascii="宋体" w:hAnsi="宋体"/>
          <w:b/>
          <w:color w:val="000000"/>
          <w:sz w:val="32"/>
          <w:szCs w:val="32"/>
        </w:rPr>
        <w:t>清单</w:t>
      </w:r>
      <w:r>
        <w:rPr>
          <w:rFonts w:hint="eastAsia" w:ascii="宋体" w:hAnsi="宋体"/>
          <w:b/>
          <w:color w:val="000000"/>
          <w:sz w:val="32"/>
          <w:szCs w:val="32"/>
        </w:rPr>
        <w:t xml:space="preserve"> (第 标)</w:t>
      </w:r>
    </w:p>
    <w:p>
      <w:pPr>
        <w:spacing w:line="360" w:lineRule="auto"/>
        <w:ind w:left="480"/>
        <w:rPr>
          <w:rFonts w:ascii="宋体" w:hAnsi="宋体"/>
          <w:color w:val="000000"/>
        </w:rPr>
      </w:pPr>
    </w:p>
    <w:p>
      <w:pPr>
        <w:spacing w:line="360" w:lineRule="auto"/>
        <w:rPr>
          <w:rFonts w:ascii="宋体" w:hAnsi="宋体"/>
          <w:color w:val="000000"/>
          <w:sz w:val="24"/>
        </w:rPr>
      </w:pPr>
      <w:r>
        <w:rPr>
          <w:rFonts w:hint="eastAsia" w:ascii="宋体" w:hAnsi="宋体"/>
          <w:color w:val="000000"/>
          <w:sz w:val="24"/>
        </w:rPr>
        <w:t xml:space="preserve">  项目编号：</w:t>
      </w:r>
    </w:p>
    <w:p>
      <w:pPr>
        <w:spacing w:line="360" w:lineRule="auto"/>
        <w:ind w:left="420"/>
        <w:rPr>
          <w:rFonts w:ascii="宋体" w:hAnsi="宋体"/>
          <w:color w:val="000000"/>
          <w:sz w:val="24"/>
        </w:rPr>
      </w:pPr>
    </w:p>
    <w:tbl>
      <w:tblPr>
        <w:tblStyle w:val="19"/>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2169"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1134"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84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993"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1559"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bl>
    <w:p>
      <w:pPr>
        <w:spacing w:line="360" w:lineRule="auto"/>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60" w:lineRule="auto"/>
        <w:ind w:left="420"/>
        <w:rPr>
          <w:rFonts w:ascii="宋体" w:hAnsi="宋体"/>
          <w:color w:val="000000"/>
          <w:sz w:val="24"/>
        </w:rPr>
      </w:pPr>
    </w:p>
    <w:p>
      <w:pPr>
        <w:spacing w:line="360" w:lineRule="auto"/>
        <w:rPr>
          <w:rFonts w:ascii="宋体" w:hAnsi="宋体"/>
          <w:color w:val="000000"/>
          <w:sz w:val="24"/>
        </w:rPr>
      </w:pPr>
    </w:p>
    <w:p>
      <w:pPr>
        <w:spacing w:line="360" w:lineRule="auto"/>
        <w:ind w:left="420"/>
        <w:rPr>
          <w:rFonts w:ascii="宋体" w:hAnsi="宋体"/>
          <w:color w:val="000000"/>
          <w:sz w:val="24"/>
        </w:rPr>
      </w:pPr>
    </w:p>
    <w:p>
      <w:pPr>
        <w:spacing w:line="360" w:lineRule="auto"/>
        <w:ind w:left="420" w:firstLine="571" w:firstLineChars="238"/>
        <w:rPr>
          <w:rFonts w:ascii="宋体" w:hAnsi="宋体"/>
          <w:color w:val="000000"/>
          <w:sz w:val="24"/>
          <w:u w:val="single"/>
        </w:rPr>
      </w:pPr>
      <w:r>
        <w:rPr>
          <w:rFonts w:hint="eastAsia" w:ascii="宋体" w:hAnsi="宋体"/>
          <w:color w:val="000000"/>
          <w:sz w:val="24"/>
        </w:rPr>
        <w:t>投标人名称（电子印章）：</w:t>
      </w:r>
    </w:p>
    <w:p>
      <w:pPr>
        <w:spacing w:line="360" w:lineRule="auto"/>
        <w:ind w:left="420"/>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投标人代表签字或电子印章：</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职        务：</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color w:val="33CCCC"/>
          <w:sz w:val="32"/>
          <w:szCs w:val="32"/>
        </w:rPr>
      </w:pPr>
      <w:r>
        <w:rPr>
          <w:rFonts w:ascii="宋体" w:hAnsi="宋体"/>
          <w:kern w:val="0"/>
          <w:sz w:val="32"/>
          <w:szCs w:val="32"/>
        </w:rPr>
        <w:t>技术</w:t>
      </w:r>
      <w:r>
        <w:rPr>
          <w:rFonts w:hint="eastAsia" w:ascii="宋体" w:hAnsi="宋体"/>
          <w:kern w:val="0"/>
          <w:sz w:val="32"/>
          <w:szCs w:val="32"/>
        </w:rPr>
        <w:t>需求</w:t>
      </w:r>
      <w:r>
        <w:rPr>
          <w:rFonts w:ascii="宋体" w:hAnsi="宋体"/>
          <w:kern w:val="0"/>
          <w:sz w:val="32"/>
          <w:szCs w:val="32"/>
        </w:rPr>
        <w:t>响应表</w:t>
      </w:r>
      <w:r>
        <w:rPr>
          <w:rFonts w:hint="eastAsia" w:ascii="宋体" w:hAnsi="宋体"/>
          <w:b/>
          <w:color w:val="33CCCC"/>
          <w:sz w:val="32"/>
          <w:szCs w:val="32"/>
        </w:rPr>
        <w:t>(第 标)</w:t>
      </w:r>
    </w:p>
    <w:p>
      <w:pPr>
        <w:spacing w:line="360" w:lineRule="auto"/>
        <w:rPr>
          <w:rFonts w:ascii="宋体" w:hAnsi="宋体"/>
          <w:sz w:val="24"/>
        </w:rPr>
      </w:pPr>
    </w:p>
    <w:tbl>
      <w:tblPr>
        <w:tblStyle w:val="19"/>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hAnsi="宋体"/>
                <w:b/>
                <w:sz w:val="24"/>
              </w:rPr>
            </w:pPr>
            <w:r>
              <w:rPr>
                <w:rFonts w:hint="eastAsia" w:ascii="宋体" w:hAnsi="宋体"/>
                <w:b/>
                <w:sz w:val="24"/>
              </w:rPr>
              <w:t>序号</w:t>
            </w:r>
          </w:p>
        </w:tc>
        <w:tc>
          <w:tcPr>
            <w:tcW w:w="1785" w:type="dxa"/>
            <w:vAlign w:val="center"/>
          </w:tcPr>
          <w:p>
            <w:pPr>
              <w:spacing w:line="360" w:lineRule="auto"/>
              <w:ind w:left="13" w:leftChars="6" w:firstLine="482" w:firstLineChars="200"/>
              <w:rPr>
                <w:rFonts w:ascii="宋体" w:hAnsi="宋体"/>
                <w:b/>
                <w:sz w:val="24"/>
              </w:rPr>
            </w:pPr>
            <w:r>
              <w:rPr>
                <w:rFonts w:hint="eastAsia" w:ascii="宋体" w:hAnsi="宋体"/>
                <w:b/>
                <w:sz w:val="24"/>
              </w:rPr>
              <w:t>名称</w:t>
            </w:r>
          </w:p>
        </w:tc>
        <w:tc>
          <w:tcPr>
            <w:tcW w:w="1449" w:type="dxa"/>
            <w:vAlign w:val="center"/>
          </w:tcPr>
          <w:p>
            <w:pPr>
              <w:spacing w:line="360" w:lineRule="auto"/>
              <w:ind w:left="52"/>
              <w:rPr>
                <w:rFonts w:ascii="宋体" w:hAnsi="宋体"/>
                <w:b/>
                <w:sz w:val="24"/>
              </w:rPr>
            </w:pPr>
            <w:r>
              <w:rPr>
                <w:rFonts w:hint="eastAsia" w:ascii="宋体" w:hAnsi="宋体"/>
                <w:b/>
                <w:sz w:val="24"/>
              </w:rPr>
              <w:t>规格型号</w:t>
            </w:r>
          </w:p>
        </w:tc>
        <w:tc>
          <w:tcPr>
            <w:tcW w:w="1560" w:type="dxa"/>
            <w:vAlign w:val="center"/>
          </w:tcPr>
          <w:p>
            <w:pPr>
              <w:spacing w:line="360" w:lineRule="auto"/>
              <w:ind w:left="152"/>
              <w:rPr>
                <w:rFonts w:ascii="宋体" w:hAnsi="宋体"/>
                <w:b/>
                <w:sz w:val="24"/>
              </w:rPr>
            </w:pPr>
            <w:r>
              <w:rPr>
                <w:rFonts w:hint="eastAsia" w:ascii="宋体" w:hAnsi="宋体"/>
                <w:b/>
                <w:sz w:val="24"/>
              </w:rPr>
              <w:t>招标参数</w:t>
            </w:r>
          </w:p>
        </w:tc>
        <w:tc>
          <w:tcPr>
            <w:tcW w:w="1401" w:type="dxa"/>
            <w:vAlign w:val="center"/>
          </w:tcPr>
          <w:p>
            <w:pPr>
              <w:spacing w:line="360" w:lineRule="auto"/>
              <w:rPr>
                <w:rFonts w:ascii="宋体" w:hAnsi="宋体"/>
                <w:b/>
                <w:sz w:val="24"/>
              </w:rPr>
            </w:pPr>
            <w:r>
              <w:rPr>
                <w:rFonts w:hint="eastAsia" w:ascii="宋体" w:hAnsi="宋体"/>
                <w:b/>
                <w:sz w:val="24"/>
              </w:rPr>
              <w:t>投标参数</w:t>
            </w:r>
          </w:p>
        </w:tc>
        <w:tc>
          <w:tcPr>
            <w:tcW w:w="1365" w:type="dxa"/>
            <w:vAlign w:val="center"/>
          </w:tcPr>
          <w:p>
            <w:pPr>
              <w:spacing w:line="360" w:lineRule="auto"/>
              <w:rPr>
                <w:rFonts w:ascii="宋体" w:hAnsi="宋体"/>
                <w:b/>
                <w:sz w:val="24"/>
              </w:rPr>
            </w:pPr>
            <w:r>
              <w:rPr>
                <w:rFonts w:hint="eastAsia" w:ascii="宋体"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bl>
    <w:p>
      <w:pPr>
        <w:pStyle w:val="30"/>
        <w:tabs>
          <w:tab w:val="left" w:pos="360"/>
        </w:tabs>
        <w:spacing w:line="360" w:lineRule="auto"/>
        <w:ind w:right="84" w:rightChars="40"/>
        <w:rPr>
          <w:rFonts w:ascii="宋体"/>
          <w:b/>
          <w:szCs w:val="21"/>
        </w:rPr>
      </w:pPr>
      <w:r>
        <w:rPr>
          <w:rFonts w:hint="eastAsia" w:ascii="宋体"/>
          <w:b/>
          <w:szCs w:val="21"/>
        </w:rPr>
        <w:t>要求：</w:t>
      </w:r>
    </w:p>
    <w:p>
      <w:pPr>
        <w:pStyle w:val="30"/>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0"/>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0"/>
        <w:spacing w:line="360" w:lineRule="auto"/>
        <w:ind w:right="84" w:rightChars="40" w:firstLine="420" w:firstLineChars="200"/>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31"/>
        <w:spacing w:line="360" w:lineRule="auto"/>
        <w:jc w:val="left"/>
        <w:rPr>
          <w:rFonts w:ascii="宋体" w:hAnsi="宋体"/>
          <w:b/>
          <w:sz w:val="28"/>
        </w:rPr>
      </w:pPr>
      <w:r>
        <w:rPr>
          <w:rFonts w:hint="eastAsia" w:ascii="宋体" w:hAnsi="宋体"/>
          <w:b/>
          <w:sz w:val="28"/>
        </w:rPr>
        <w:t>附件10</w:t>
      </w:r>
    </w:p>
    <w:p>
      <w:pPr>
        <w:pStyle w:val="32"/>
        <w:spacing w:line="360" w:lineRule="auto"/>
        <w:jc w:val="center"/>
        <w:rPr>
          <w:rFonts w:ascii="宋体" w:hAnsi="宋体"/>
          <w:b/>
          <w:sz w:val="32"/>
          <w:szCs w:val="32"/>
        </w:rPr>
      </w:pPr>
      <w:r>
        <w:rPr>
          <w:rFonts w:hint="eastAsia" w:ascii="宋体" w:hAnsi="宋体"/>
          <w:b/>
          <w:sz w:val="32"/>
          <w:szCs w:val="32"/>
        </w:rPr>
        <w:t>证书一览表</w:t>
      </w:r>
    </w:p>
    <w:p>
      <w:pPr>
        <w:pStyle w:val="32"/>
        <w:spacing w:line="360" w:lineRule="auto"/>
        <w:jc w:val="center"/>
        <w:rPr>
          <w:rFonts w:ascii="宋体" w:hAnsi="宋体" w:cs="Arial"/>
          <w:sz w:val="28"/>
          <w:szCs w:val="28"/>
        </w:rPr>
      </w:pPr>
    </w:p>
    <w:tbl>
      <w:tblPr>
        <w:tblStyle w:val="19"/>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32"/>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32"/>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32"/>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32"/>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32"/>
              <w:spacing w:line="360" w:lineRule="auto"/>
              <w:jc w:val="center"/>
              <w:rPr>
                <w:rFonts w:ascii="宋体" w:hAnsi="宋体" w:cs="Arial"/>
                <w:szCs w:val="21"/>
              </w:rPr>
            </w:pPr>
          </w:p>
        </w:tc>
        <w:tc>
          <w:tcPr>
            <w:tcW w:w="2258" w:type="dxa"/>
            <w:tcBorders>
              <w:top w:val="single" w:color="auto" w:sz="4" w:space="0"/>
            </w:tcBorders>
          </w:tcPr>
          <w:p>
            <w:pPr>
              <w:pStyle w:val="32"/>
              <w:spacing w:line="360" w:lineRule="auto"/>
              <w:jc w:val="center"/>
              <w:rPr>
                <w:rFonts w:ascii="宋体" w:hAnsi="宋体" w:cs="Arial"/>
                <w:szCs w:val="21"/>
              </w:rPr>
            </w:pPr>
          </w:p>
        </w:tc>
        <w:tc>
          <w:tcPr>
            <w:tcW w:w="2260" w:type="dxa"/>
            <w:tcBorders>
              <w:top w:val="single" w:color="auto" w:sz="4" w:space="0"/>
            </w:tcBorders>
          </w:tcPr>
          <w:p>
            <w:pPr>
              <w:pStyle w:val="32"/>
              <w:spacing w:line="360" w:lineRule="auto"/>
              <w:jc w:val="center"/>
              <w:rPr>
                <w:rFonts w:ascii="宋体" w:hAnsi="宋体" w:cs="Arial"/>
                <w:szCs w:val="21"/>
              </w:rPr>
            </w:pPr>
          </w:p>
        </w:tc>
        <w:tc>
          <w:tcPr>
            <w:tcW w:w="2047" w:type="dxa"/>
            <w:tcBorders>
              <w:top w:val="single" w:color="auto" w:sz="4" w:space="0"/>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32"/>
              <w:spacing w:line="360" w:lineRule="auto"/>
              <w:jc w:val="center"/>
              <w:rPr>
                <w:rFonts w:ascii="宋体" w:hAnsi="宋体" w:cs="Arial"/>
                <w:szCs w:val="21"/>
              </w:rPr>
            </w:pPr>
          </w:p>
        </w:tc>
        <w:tc>
          <w:tcPr>
            <w:tcW w:w="2258" w:type="dxa"/>
            <w:tcBorders>
              <w:bottom w:val="single" w:color="auto" w:sz="4" w:space="0"/>
            </w:tcBorders>
          </w:tcPr>
          <w:p>
            <w:pPr>
              <w:pStyle w:val="32"/>
              <w:spacing w:line="360" w:lineRule="auto"/>
              <w:jc w:val="center"/>
              <w:rPr>
                <w:rFonts w:ascii="宋体" w:hAnsi="宋体" w:cs="Arial"/>
                <w:szCs w:val="21"/>
              </w:rPr>
            </w:pPr>
          </w:p>
        </w:tc>
        <w:tc>
          <w:tcPr>
            <w:tcW w:w="2260" w:type="dxa"/>
            <w:tcBorders>
              <w:bottom w:val="single" w:color="auto" w:sz="4" w:space="0"/>
            </w:tcBorders>
          </w:tcPr>
          <w:p>
            <w:pPr>
              <w:pStyle w:val="32"/>
              <w:spacing w:line="360" w:lineRule="auto"/>
              <w:jc w:val="center"/>
              <w:rPr>
                <w:rFonts w:ascii="宋体" w:hAnsi="宋体" w:cs="Arial"/>
                <w:szCs w:val="21"/>
              </w:rPr>
            </w:pPr>
          </w:p>
        </w:tc>
        <w:tc>
          <w:tcPr>
            <w:tcW w:w="2047" w:type="dxa"/>
            <w:tcBorders>
              <w:bottom w:val="single" w:color="auto" w:sz="4" w:space="0"/>
              <w:right w:val="single" w:color="auto" w:sz="4" w:space="0"/>
            </w:tcBorders>
          </w:tcPr>
          <w:p>
            <w:pPr>
              <w:pStyle w:val="32"/>
              <w:spacing w:line="360" w:lineRule="auto"/>
              <w:jc w:val="center"/>
              <w:rPr>
                <w:rFonts w:ascii="宋体" w:hAnsi="宋体" w:cs="Arial"/>
                <w:szCs w:val="21"/>
              </w:rPr>
            </w:pPr>
          </w:p>
        </w:tc>
      </w:tr>
    </w:tbl>
    <w:p>
      <w:pPr>
        <w:pStyle w:val="32"/>
        <w:tabs>
          <w:tab w:val="left" w:pos="1050"/>
        </w:tabs>
        <w:spacing w:line="360" w:lineRule="auto"/>
        <w:rPr>
          <w:rFonts w:ascii="仿宋_GB2312" w:hAnsi="宋体" w:eastAsia="仿宋_GB2312"/>
          <w:sz w:val="24"/>
        </w:rPr>
      </w:pPr>
    </w:p>
    <w:p>
      <w:pPr>
        <w:pStyle w:val="32"/>
        <w:tabs>
          <w:tab w:val="left" w:pos="1050"/>
        </w:tabs>
        <w:spacing w:line="360" w:lineRule="auto"/>
        <w:rPr>
          <w:rFonts w:ascii="宋体" w:hAnsi="宋体"/>
          <w:szCs w:val="21"/>
        </w:rPr>
      </w:pPr>
      <w:r>
        <w:rPr>
          <w:rFonts w:hint="eastAsia" w:ascii="宋体" w:hAnsi="宋体"/>
          <w:b/>
          <w:szCs w:val="21"/>
        </w:rPr>
        <w:t>要求：</w:t>
      </w:r>
    </w:p>
    <w:p>
      <w:pPr>
        <w:pStyle w:val="32"/>
        <w:tabs>
          <w:tab w:val="left" w:pos="1050"/>
        </w:tabs>
        <w:spacing w:line="360" w:lineRule="auto"/>
        <w:ind w:firstLine="424" w:firstLineChars="202"/>
        <w:rPr>
          <w:rFonts w:ascii="宋体" w:hAnsi="宋体"/>
          <w:color w:val="008000"/>
          <w:szCs w:val="21"/>
        </w:rPr>
      </w:pPr>
      <w:r>
        <w:rPr>
          <w:rFonts w:hint="eastAsia" w:ascii="宋体" w:hAnsi="宋体"/>
          <w:szCs w:val="21"/>
        </w:rPr>
        <w:t>1.填写投标人获得资质、认证或企业信誉证书；</w:t>
      </w:r>
    </w:p>
    <w:p>
      <w:pPr>
        <w:pStyle w:val="32"/>
        <w:tabs>
          <w:tab w:val="left" w:pos="1050"/>
        </w:tabs>
        <w:spacing w:line="360" w:lineRule="auto"/>
        <w:ind w:firstLine="424" w:firstLineChars="202"/>
        <w:rPr>
          <w:rFonts w:ascii="宋体" w:hAnsi="宋体"/>
          <w:szCs w:val="21"/>
        </w:rPr>
      </w:pPr>
      <w:r>
        <w:rPr>
          <w:rFonts w:hint="eastAsia" w:ascii="宋体" w:hAnsi="宋体"/>
          <w:szCs w:val="21"/>
        </w:rPr>
        <w:t>2.附所列证书复印件或其他证明材料。</w:t>
      </w:r>
    </w:p>
    <w:p>
      <w:pPr>
        <w:pStyle w:val="32"/>
        <w:tabs>
          <w:tab w:val="left" w:pos="1050"/>
        </w:tabs>
        <w:spacing w:line="360" w:lineRule="auto"/>
        <w:ind w:firstLine="720" w:firstLineChars="300"/>
        <w:rPr>
          <w:rFonts w:ascii="仿宋_GB2312" w:hAnsi="宋体" w:eastAsia="仿宋_GB2312"/>
          <w:sz w:val="24"/>
        </w:rPr>
      </w:pPr>
    </w:p>
    <w:p>
      <w:pPr>
        <w:pStyle w:val="32"/>
        <w:tabs>
          <w:tab w:val="left" w:pos="1050"/>
        </w:tabs>
        <w:spacing w:line="360" w:lineRule="auto"/>
        <w:ind w:firstLine="720" w:firstLineChars="300"/>
        <w:rPr>
          <w:rFonts w:ascii="仿宋_GB2312" w:hAnsi="宋体" w:eastAsia="仿宋_GB2312"/>
          <w:sz w:val="24"/>
        </w:rPr>
      </w:pPr>
    </w:p>
    <w:p>
      <w:pPr>
        <w:pStyle w:val="32"/>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8"/>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附件11</w:t>
      </w:r>
    </w:p>
    <w:p>
      <w:pPr>
        <w:pStyle w:val="31"/>
        <w:spacing w:line="360" w:lineRule="auto"/>
        <w:jc w:val="center"/>
        <w:rPr>
          <w:rFonts w:ascii="宋体" w:hAnsi="宋体"/>
          <w:b/>
          <w:sz w:val="32"/>
          <w:szCs w:val="32"/>
        </w:rPr>
      </w:pPr>
      <w:r>
        <w:rPr>
          <w:rFonts w:hint="eastAsia" w:ascii="宋体" w:hAnsi="宋体"/>
          <w:b/>
          <w:sz w:val="32"/>
          <w:szCs w:val="32"/>
        </w:rPr>
        <w:t>投标人类似项目实施情况一览表</w:t>
      </w:r>
    </w:p>
    <w:p>
      <w:pPr>
        <w:pStyle w:val="31"/>
        <w:spacing w:line="360" w:lineRule="auto"/>
        <w:jc w:val="center"/>
        <w:rPr>
          <w:rFonts w:ascii="仿宋_GB2312" w:eastAsia="仿宋_GB2312"/>
          <w:b/>
          <w:sz w:val="28"/>
          <w:szCs w:val="28"/>
        </w:rPr>
      </w:pPr>
    </w:p>
    <w:tbl>
      <w:tblPr>
        <w:tblStyle w:val="19"/>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bl>
    <w:p>
      <w:pPr>
        <w:autoSpaceDE w:val="0"/>
        <w:autoSpaceDN w:val="0"/>
        <w:adjustRightInd w:val="0"/>
        <w:spacing w:before="156"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56"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复印件可只提供首页、含金额页、盖章页并加盖投标人电子印章</w:t>
      </w:r>
      <w:r>
        <w:rPr>
          <w:rFonts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.报价供应商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2"/>
        <w:tabs>
          <w:tab w:val="left" w:pos="1050"/>
        </w:tabs>
        <w:spacing w:line="360" w:lineRule="auto"/>
        <w:rPr>
          <w:rFonts w:ascii="仿宋_GB2312" w:hAnsi="宋体" w:eastAsia="仿宋_GB2312"/>
          <w:sz w:val="24"/>
        </w:rPr>
      </w:pPr>
      <w:r>
        <w:rPr>
          <w:rFonts w:hint="eastAsia" w:ascii="宋体" w:hAnsi="宋体"/>
          <w:b/>
          <w:sz w:val="28"/>
        </w:rPr>
        <w:t>附件12</w:t>
      </w:r>
    </w:p>
    <w:p>
      <w:pPr>
        <w:spacing w:line="360" w:lineRule="auto"/>
        <w:ind w:left="549" w:hanging="549" w:hangingChars="171"/>
        <w:jc w:val="center"/>
        <w:rPr>
          <w:rFonts w:ascii="宋体" w:hAnsi="宋体"/>
          <w:b/>
          <w:sz w:val="32"/>
          <w:szCs w:val="32"/>
        </w:rPr>
      </w:pPr>
      <w:r>
        <w:rPr>
          <w:rFonts w:hint="eastAsia" w:ascii="宋体" w:hAnsi="宋体"/>
          <w:b/>
          <w:sz w:val="32"/>
          <w:szCs w:val="32"/>
        </w:rPr>
        <w:t>资信及商务需求响应表(第 标)</w:t>
      </w:r>
    </w:p>
    <w:p>
      <w:pPr>
        <w:spacing w:line="360" w:lineRule="auto"/>
        <w:ind w:left="481" w:leftChars="229" w:firstLine="813" w:firstLineChars="450"/>
        <w:rPr>
          <w:rFonts w:ascii="宋体" w:hAnsi="宋体"/>
          <w:b/>
          <w:sz w:val="18"/>
          <w:szCs w:val="18"/>
        </w:rPr>
      </w:pPr>
    </w:p>
    <w:tbl>
      <w:tblPr>
        <w:tblStyle w:val="19"/>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hAnsi="宋体"/>
                <w:b/>
                <w:sz w:val="24"/>
              </w:rPr>
            </w:pPr>
            <w:r>
              <w:rPr>
                <w:rFonts w:hint="eastAsia" w:ascii="宋体" w:hAnsi="宋体"/>
                <w:b/>
                <w:sz w:val="24"/>
              </w:rPr>
              <w:t>序号</w:t>
            </w:r>
          </w:p>
        </w:tc>
        <w:tc>
          <w:tcPr>
            <w:tcW w:w="1785" w:type="dxa"/>
            <w:vAlign w:val="center"/>
          </w:tcPr>
          <w:p>
            <w:pPr>
              <w:rPr>
                <w:rFonts w:ascii="宋体" w:hAnsi="宋体"/>
                <w:b/>
                <w:sz w:val="24"/>
              </w:rPr>
            </w:pPr>
            <w:r>
              <w:rPr>
                <w:rFonts w:hint="eastAsia" w:ascii="宋体" w:hAnsi="宋体"/>
                <w:b/>
                <w:sz w:val="24"/>
              </w:rPr>
              <w:t xml:space="preserve">   内容</w:t>
            </w:r>
          </w:p>
        </w:tc>
        <w:tc>
          <w:tcPr>
            <w:tcW w:w="1785" w:type="dxa"/>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vAlign w:val="center"/>
          </w:tcPr>
          <w:p>
            <w:pPr>
              <w:ind w:left="152"/>
              <w:rPr>
                <w:rFonts w:ascii="宋体" w:hAnsi="宋体"/>
                <w:b/>
                <w:sz w:val="24"/>
              </w:rPr>
            </w:pPr>
            <w:r>
              <w:rPr>
                <w:rFonts w:hint="eastAsia" w:ascii="宋体" w:hAnsi="宋体"/>
                <w:b/>
                <w:sz w:val="24"/>
              </w:rPr>
              <w:t>是否响应</w:t>
            </w:r>
          </w:p>
        </w:tc>
        <w:tc>
          <w:tcPr>
            <w:tcW w:w="2625" w:type="dxa"/>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售后服务保障要求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备品备件及耗材等要求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质保期</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交货和服务</w:t>
            </w:r>
          </w:p>
          <w:p>
            <w:pPr>
              <w:snapToGrid w:val="0"/>
              <w:rPr>
                <w:rFonts w:ascii="宋体" w:hAnsi="宋体"/>
                <w:sz w:val="24"/>
              </w:rPr>
            </w:pPr>
            <w:r>
              <w:rPr>
                <w:rFonts w:hint="eastAsia" w:ascii="宋体" w:hAnsi="宋体"/>
                <w:sz w:val="24"/>
              </w:rPr>
              <w:t>时间及地点</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付款条件</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bl>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r>
        <w:rPr>
          <w:rFonts w:hint="eastAsia" w:ascii="宋体" w:hAnsi="宋体"/>
          <w:b/>
          <w:sz w:val="28"/>
        </w:rPr>
        <w:t>附件13</w:t>
      </w:r>
      <w:r>
        <w:rPr>
          <w:rFonts w:ascii="宋体" w:hAnsi="宋体"/>
          <w:b/>
          <w:sz w:val="28"/>
        </w:rPr>
        <w:tab/>
      </w:r>
    </w:p>
    <w:p>
      <w:pPr>
        <w:spacing w:line="360" w:lineRule="auto"/>
        <w:ind w:firstLine="435"/>
        <w:jc w:val="center"/>
        <w:rPr>
          <w:rFonts w:ascii="宋体" w:hAnsi="宋体"/>
          <w:b/>
          <w:sz w:val="32"/>
          <w:szCs w:val="32"/>
        </w:rPr>
      </w:pPr>
      <w:r>
        <w:rPr>
          <w:rFonts w:hint="eastAsia" w:ascii="宋体" w:hAnsi="宋体"/>
          <w:b/>
          <w:sz w:val="32"/>
          <w:szCs w:val="32"/>
        </w:rPr>
        <w:t>售后服务情况表</w:t>
      </w:r>
    </w:p>
    <w:p>
      <w:pPr>
        <w:spacing w:line="360" w:lineRule="auto"/>
        <w:ind w:firstLine="435"/>
        <w:jc w:val="center"/>
        <w:rPr>
          <w:rFonts w:ascii="宋体" w:hAnsi="宋体"/>
          <w:b/>
          <w:sz w:val="36"/>
          <w:szCs w:val="36"/>
        </w:rPr>
      </w:pPr>
    </w:p>
    <w:tbl>
      <w:tblPr>
        <w:tblStyle w:val="19"/>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vAlign w:val="center"/>
          </w:tcPr>
          <w:p>
            <w:pPr>
              <w:pStyle w:val="33"/>
              <w:spacing w:line="360" w:lineRule="auto"/>
              <w:jc w:val="center"/>
              <w:rPr>
                <w:rFonts w:ascii="宋体" w:hAnsi="宋体" w:cs="Arial"/>
                <w:b/>
                <w:sz w:val="24"/>
              </w:rPr>
            </w:pPr>
            <w:r>
              <w:rPr>
                <w:rFonts w:hint="eastAsia" w:ascii="宋体" w:hAnsi="宋体" w:cs="Arial"/>
                <w:b/>
                <w:sz w:val="24"/>
              </w:rPr>
              <w:t>序号</w:t>
            </w:r>
          </w:p>
        </w:tc>
        <w:tc>
          <w:tcPr>
            <w:tcW w:w="2355" w:type="dxa"/>
            <w:vAlign w:val="center"/>
          </w:tcPr>
          <w:p>
            <w:pPr>
              <w:pStyle w:val="33"/>
              <w:spacing w:line="360" w:lineRule="auto"/>
              <w:jc w:val="center"/>
              <w:rPr>
                <w:rFonts w:ascii="宋体" w:hAnsi="宋体" w:cs="Arial"/>
                <w:b/>
                <w:sz w:val="24"/>
              </w:rPr>
            </w:pPr>
            <w:r>
              <w:rPr>
                <w:rFonts w:hint="eastAsia" w:ascii="宋体" w:hAnsi="宋体" w:cs="Arial"/>
                <w:b/>
                <w:sz w:val="24"/>
              </w:rPr>
              <w:t>项目</w:t>
            </w:r>
          </w:p>
        </w:tc>
        <w:tc>
          <w:tcPr>
            <w:tcW w:w="4061" w:type="dxa"/>
            <w:vAlign w:val="center"/>
          </w:tcPr>
          <w:p>
            <w:pPr>
              <w:pStyle w:val="33"/>
              <w:spacing w:line="360" w:lineRule="auto"/>
              <w:jc w:val="center"/>
              <w:rPr>
                <w:rFonts w:ascii="宋体" w:hAnsi="宋体" w:cs="Arial"/>
                <w:b/>
                <w:sz w:val="24"/>
              </w:rPr>
            </w:pPr>
            <w:r>
              <w:rPr>
                <w:rFonts w:hint="eastAsia" w:ascii="宋体" w:hAnsi="宋体" w:cs="Arial"/>
                <w:b/>
                <w:sz w:val="24"/>
              </w:rPr>
              <w:t>投标人情况</w:t>
            </w:r>
          </w:p>
        </w:tc>
        <w:tc>
          <w:tcPr>
            <w:tcW w:w="1373" w:type="dxa"/>
            <w:vAlign w:val="center"/>
          </w:tcPr>
          <w:p>
            <w:pPr>
              <w:pStyle w:val="33"/>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33"/>
              <w:spacing w:line="360" w:lineRule="auto"/>
              <w:jc w:val="center"/>
              <w:rPr>
                <w:rFonts w:ascii="宋体" w:hAnsi="宋体" w:cs="Arial"/>
                <w:bCs/>
                <w:sz w:val="24"/>
              </w:rPr>
            </w:pPr>
            <w:r>
              <w:rPr>
                <w:rFonts w:hint="eastAsia" w:ascii="宋体" w:hAnsi="宋体" w:cs="Arial"/>
                <w:bCs/>
                <w:sz w:val="24"/>
              </w:rPr>
              <w:t>1</w:t>
            </w:r>
          </w:p>
        </w:tc>
        <w:tc>
          <w:tcPr>
            <w:tcW w:w="2355" w:type="dxa"/>
            <w:vMerge w:val="restart"/>
            <w:vAlign w:val="center"/>
          </w:tcPr>
          <w:p>
            <w:pPr>
              <w:pStyle w:val="33"/>
              <w:widowControl/>
              <w:spacing w:line="360" w:lineRule="auto"/>
              <w:jc w:val="left"/>
              <w:rPr>
                <w:rFonts w:ascii="宋体" w:hAnsi="宋体" w:cs="Arial"/>
                <w:bCs/>
                <w:sz w:val="24"/>
              </w:rPr>
            </w:pPr>
            <w:r>
              <w:rPr>
                <w:rFonts w:hint="eastAsia" w:ascii="宋体" w:hAnsi="宋体" w:cs="Arial"/>
                <w:bCs/>
                <w:sz w:val="24"/>
              </w:rPr>
              <w:t>保修期内售后服务情况(</w:t>
            </w:r>
            <w:r>
              <w:rPr>
                <w:rFonts w:ascii="宋体" w:hAnsi="宋体" w:cs="Arial"/>
                <w:bCs/>
                <w:sz w:val="24"/>
              </w:rPr>
              <w:t>服务</w:t>
            </w:r>
            <w:r>
              <w:rPr>
                <w:rFonts w:hint="eastAsia" w:ascii="宋体" w:hAnsi="宋体" w:cs="Arial"/>
                <w:bCs/>
                <w:sz w:val="24"/>
              </w:rPr>
              <w:t>方式、服务网点</w:t>
            </w:r>
            <w:r>
              <w:rPr>
                <w:rFonts w:ascii="宋体" w:hAnsi="宋体" w:cs="Arial"/>
                <w:bCs/>
                <w:sz w:val="24"/>
              </w:rPr>
              <w:t>、售后服务的内容和措施</w:t>
            </w:r>
            <w:r>
              <w:rPr>
                <w:rFonts w:hint="eastAsia" w:ascii="宋体" w:hAnsi="宋体" w:cs="Arial"/>
                <w:bCs/>
                <w:sz w:val="24"/>
              </w:rPr>
              <w:t>等等，可用附页和宣传材料)</w:t>
            </w:r>
          </w:p>
        </w:tc>
        <w:tc>
          <w:tcPr>
            <w:tcW w:w="4061" w:type="dxa"/>
          </w:tcPr>
          <w:p>
            <w:pPr>
              <w:pStyle w:val="33"/>
              <w:spacing w:line="360" w:lineRule="auto"/>
              <w:rPr>
                <w:rFonts w:ascii="宋体" w:hAnsi="宋体" w:cs="Arial"/>
                <w:bCs/>
                <w:sz w:val="24"/>
              </w:rPr>
            </w:pPr>
            <w:r>
              <w:rPr>
                <w:rFonts w:hint="eastAsia" w:ascii="宋体" w:hAnsi="宋体" w:cs="Arial"/>
                <w:bCs/>
                <w:sz w:val="24"/>
              </w:rPr>
              <w:t>生产厂商售后服务情况：</w:t>
            </w:r>
          </w:p>
        </w:tc>
        <w:tc>
          <w:tcPr>
            <w:tcW w:w="1373" w:type="dxa"/>
          </w:tcPr>
          <w:p>
            <w:pPr>
              <w:pStyle w:val="33"/>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33"/>
              <w:widowControl/>
              <w:spacing w:line="360" w:lineRule="auto"/>
              <w:jc w:val="left"/>
              <w:rPr>
                <w:rFonts w:ascii="宋体" w:hAnsi="宋体" w:cs="Arial"/>
                <w:bCs/>
                <w:sz w:val="24"/>
              </w:rPr>
            </w:pPr>
          </w:p>
        </w:tc>
        <w:tc>
          <w:tcPr>
            <w:tcW w:w="2355" w:type="dxa"/>
            <w:vMerge w:val="continue"/>
            <w:vAlign w:val="center"/>
          </w:tcPr>
          <w:p>
            <w:pPr>
              <w:pStyle w:val="33"/>
              <w:widowControl/>
              <w:spacing w:line="360" w:lineRule="auto"/>
              <w:jc w:val="left"/>
              <w:rPr>
                <w:rFonts w:ascii="宋体" w:hAnsi="宋体" w:cs="Arial"/>
                <w:bCs/>
                <w:sz w:val="24"/>
              </w:rPr>
            </w:pPr>
          </w:p>
        </w:tc>
        <w:tc>
          <w:tcPr>
            <w:tcW w:w="4061" w:type="dxa"/>
          </w:tcPr>
          <w:p>
            <w:pPr>
              <w:pStyle w:val="33"/>
              <w:spacing w:line="360" w:lineRule="auto"/>
              <w:rPr>
                <w:rFonts w:ascii="宋体" w:hAnsi="宋体" w:cs="Arial"/>
                <w:bCs/>
                <w:sz w:val="24"/>
              </w:rPr>
            </w:pPr>
            <w:r>
              <w:rPr>
                <w:rFonts w:hint="eastAsia" w:ascii="宋体" w:hAnsi="宋体" w:cs="Arial"/>
                <w:bCs/>
                <w:sz w:val="24"/>
              </w:rPr>
              <w:t>投标人售后服务情况：</w:t>
            </w:r>
          </w:p>
        </w:tc>
        <w:tc>
          <w:tcPr>
            <w:tcW w:w="1373" w:type="dxa"/>
          </w:tcPr>
          <w:p>
            <w:pPr>
              <w:pStyle w:val="33"/>
              <w:spacing w:line="360" w:lineRule="auto"/>
              <w:jc w:val="left"/>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33"/>
              <w:spacing w:line="360" w:lineRule="auto"/>
              <w:jc w:val="center"/>
              <w:rPr>
                <w:rFonts w:ascii="宋体" w:hAnsi="宋体" w:cs="Arial"/>
                <w:bCs/>
                <w:sz w:val="24"/>
              </w:rPr>
            </w:pPr>
            <w:r>
              <w:rPr>
                <w:rFonts w:hint="eastAsia" w:ascii="宋体" w:hAnsi="宋体" w:cs="Arial"/>
                <w:bCs/>
                <w:sz w:val="24"/>
              </w:rPr>
              <w:t>2</w:t>
            </w:r>
          </w:p>
        </w:tc>
        <w:tc>
          <w:tcPr>
            <w:tcW w:w="2355" w:type="dxa"/>
            <w:vAlign w:val="center"/>
          </w:tcPr>
          <w:p>
            <w:pPr>
              <w:pStyle w:val="33"/>
              <w:spacing w:line="360" w:lineRule="auto"/>
              <w:rPr>
                <w:rFonts w:ascii="宋体" w:hAnsi="宋体" w:cs="Arial"/>
                <w:bCs/>
                <w:sz w:val="24"/>
              </w:rPr>
            </w:pPr>
            <w:r>
              <w:rPr>
                <w:rFonts w:hint="eastAsia" w:ascii="宋体" w:hAnsi="宋体" w:cs="Arial"/>
                <w:bCs/>
                <w:sz w:val="24"/>
              </w:rPr>
              <w:t>保修期后售后服务</w:t>
            </w:r>
          </w:p>
        </w:tc>
        <w:tc>
          <w:tcPr>
            <w:tcW w:w="4061" w:type="dxa"/>
          </w:tcPr>
          <w:p>
            <w:pPr>
              <w:pStyle w:val="33"/>
              <w:widowControl/>
              <w:spacing w:line="360" w:lineRule="auto"/>
              <w:jc w:val="left"/>
              <w:rPr>
                <w:rFonts w:ascii="宋体" w:hAnsi="宋体" w:cs="Arial"/>
                <w:bCs/>
                <w:sz w:val="24"/>
              </w:rPr>
            </w:pPr>
          </w:p>
          <w:p>
            <w:pPr>
              <w:pStyle w:val="33"/>
              <w:widowControl/>
              <w:spacing w:line="360" w:lineRule="auto"/>
              <w:jc w:val="left"/>
              <w:rPr>
                <w:rFonts w:ascii="宋体" w:hAnsi="宋体" w:cs="Arial"/>
                <w:bCs/>
                <w:sz w:val="24"/>
              </w:rPr>
            </w:pPr>
          </w:p>
          <w:p>
            <w:pPr>
              <w:pStyle w:val="33"/>
              <w:spacing w:line="360" w:lineRule="auto"/>
              <w:rPr>
                <w:rFonts w:ascii="宋体" w:hAnsi="宋体" w:cs="Arial"/>
                <w:bCs/>
                <w:sz w:val="24"/>
              </w:rPr>
            </w:pPr>
          </w:p>
        </w:tc>
        <w:tc>
          <w:tcPr>
            <w:tcW w:w="1373" w:type="dxa"/>
          </w:tcPr>
          <w:p>
            <w:pPr>
              <w:pStyle w:val="33"/>
              <w:widowControl/>
              <w:spacing w:line="360" w:lineRule="auto"/>
              <w:jc w:val="left"/>
              <w:rPr>
                <w:rFonts w:ascii="宋体" w:hAnsi="宋体" w:cs="Arial"/>
                <w:bCs/>
                <w:sz w:val="24"/>
              </w:rPr>
            </w:pPr>
          </w:p>
          <w:p>
            <w:pPr>
              <w:pStyle w:val="33"/>
              <w:widowControl/>
              <w:spacing w:line="360" w:lineRule="auto"/>
              <w:jc w:val="left"/>
              <w:rPr>
                <w:rFonts w:ascii="宋体" w:hAnsi="宋体" w:cs="Arial"/>
                <w:bCs/>
                <w:sz w:val="24"/>
              </w:rPr>
            </w:pPr>
          </w:p>
          <w:p>
            <w:pPr>
              <w:pStyle w:val="33"/>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33"/>
              <w:widowControl/>
              <w:spacing w:line="360" w:lineRule="auto"/>
              <w:jc w:val="left"/>
              <w:rPr>
                <w:rFonts w:ascii="宋体" w:hAnsi="宋体" w:cs="Arial"/>
                <w:bCs/>
                <w:sz w:val="24"/>
              </w:rPr>
            </w:pPr>
            <w:r>
              <w:rPr>
                <w:rFonts w:hint="eastAsia" w:ascii="宋体" w:hAnsi="宋体" w:cs="Arial"/>
                <w:bCs/>
                <w:sz w:val="24"/>
              </w:rPr>
              <w:t xml:space="preserve"> 3</w:t>
            </w:r>
          </w:p>
        </w:tc>
        <w:tc>
          <w:tcPr>
            <w:tcW w:w="2355" w:type="dxa"/>
            <w:vAlign w:val="center"/>
          </w:tcPr>
          <w:p>
            <w:pPr>
              <w:pStyle w:val="33"/>
              <w:widowControl/>
              <w:spacing w:line="360" w:lineRule="auto"/>
              <w:jc w:val="left"/>
              <w:rPr>
                <w:rFonts w:ascii="宋体" w:hAnsi="宋体" w:cs="Arial"/>
                <w:bCs/>
                <w:sz w:val="24"/>
              </w:rPr>
            </w:pPr>
            <w:r>
              <w:rPr>
                <w:rFonts w:hint="eastAsia" w:ascii="宋体" w:hAnsi="宋体" w:cs="Arial"/>
                <w:bCs/>
                <w:sz w:val="24"/>
              </w:rPr>
              <w:t>培训方案（可用附页）</w:t>
            </w:r>
          </w:p>
        </w:tc>
        <w:tc>
          <w:tcPr>
            <w:tcW w:w="4061" w:type="dxa"/>
          </w:tcPr>
          <w:p>
            <w:pPr>
              <w:pStyle w:val="33"/>
              <w:widowControl/>
              <w:spacing w:line="360" w:lineRule="auto"/>
              <w:jc w:val="left"/>
              <w:rPr>
                <w:rFonts w:ascii="宋体" w:hAnsi="宋体" w:cs="Arial"/>
                <w:bCs/>
                <w:i/>
                <w:sz w:val="24"/>
              </w:rPr>
            </w:pPr>
          </w:p>
          <w:p>
            <w:pPr>
              <w:pStyle w:val="33"/>
              <w:widowControl/>
              <w:spacing w:line="360" w:lineRule="auto"/>
              <w:jc w:val="left"/>
              <w:rPr>
                <w:rFonts w:ascii="宋体" w:hAnsi="宋体" w:cs="Arial"/>
                <w:bCs/>
                <w:i/>
                <w:sz w:val="24"/>
              </w:rPr>
            </w:pPr>
          </w:p>
        </w:tc>
        <w:tc>
          <w:tcPr>
            <w:tcW w:w="1373" w:type="dxa"/>
          </w:tcPr>
          <w:p>
            <w:pPr>
              <w:pStyle w:val="33"/>
              <w:widowControl/>
              <w:spacing w:line="360" w:lineRule="auto"/>
              <w:jc w:val="left"/>
              <w:rPr>
                <w:rFonts w:ascii="宋体" w:hAnsi="宋体" w:cs="Arial"/>
                <w:bCs/>
                <w:i/>
                <w:sz w:val="24"/>
              </w:rPr>
            </w:pPr>
          </w:p>
          <w:p>
            <w:pPr>
              <w:pStyle w:val="33"/>
              <w:widowControl/>
              <w:spacing w:line="360" w:lineRule="auto"/>
              <w:jc w:val="left"/>
              <w:rPr>
                <w:rFonts w:ascii="宋体" w:hAnsi="宋体" w:cs="Arial"/>
                <w:bCs/>
                <w:i/>
                <w:sz w:val="24"/>
              </w:rPr>
            </w:pPr>
          </w:p>
          <w:p>
            <w:pPr>
              <w:pStyle w:val="33"/>
              <w:widowControl/>
              <w:spacing w:line="360" w:lineRule="auto"/>
              <w:jc w:val="left"/>
              <w:rPr>
                <w:rFonts w:ascii="宋体" w:hAns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vAlign w:val="center"/>
          </w:tcPr>
          <w:p>
            <w:pPr>
              <w:pStyle w:val="33"/>
              <w:widowControl/>
              <w:spacing w:line="360" w:lineRule="auto"/>
              <w:jc w:val="left"/>
              <w:rPr>
                <w:rFonts w:ascii="宋体" w:hAnsi="宋体" w:cs="Arial"/>
                <w:bCs/>
                <w:sz w:val="24"/>
              </w:rPr>
            </w:pPr>
            <w:r>
              <w:rPr>
                <w:rFonts w:ascii="宋体" w:hAnsi="宋体" w:cs="Arial"/>
                <w:bCs/>
                <w:sz w:val="24"/>
              </w:rPr>
              <w:t>……</w:t>
            </w:r>
          </w:p>
        </w:tc>
        <w:tc>
          <w:tcPr>
            <w:tcW w:w="2355" w:type="dxa"/>
            <w:vAlign w:val="center"/>
          </w:tcPr>
          <w:p>
            <w:pPr>
              <w:pStyle w:val="33"/>
              <w:widowControl/>
              <w:spacing w:line="360" w:lineRule="auto"/>
              <w:jc w:val="left"/>
              <w:rPr>
                <w:rFonts w:ascii="宋体" w:hAnsi="宋体" w:cs="Arial"/>
                <w:bCs/>
                <w:sz w:val="24"/>
              </w:rPr>
            </w:pPr>
            <w:r>
              <w:rPr>
                <w:rFonts w:ascii="宋体" w:hAnsi="宋体" w:cs="Arial"/>
                <w:bCs/>
                <w:sz w:val="24"/>
              </w:rPr>
              <w:t>……</w:t>
            </w:r>
          </w:p>
        </w:tc>
        <w:tc>
          <w:tcPr>
            <w:tcW w:w="4061" w:type="dxa"/>
          </w:tcPr>
          <w:p>
            <w:pPr>
              <w:pStyle w:val="33"/>
              <w:widowControl/>
              <w:spacing w:line="360" w:lineRule="auto"/>
              <w:jc w:val="left"/>
              <w:rPr>
                <w:rFonts w:ascii="宋体" w:hAnsi="宋体" w:cs="Arial"/>
                <w:bCs/>
                <w:sz w:val="24"/>
              </w:rPr>
            </w:pPr>
          </w:p>
        </w:tc>
        <w:tc>
          <w:tcPr>
            <w:tcW w:w="1373" w:type="dxa"/>
          </w:tcPr>
          <w:p>
            <w:pPr>
              <w:pStyle w:val="33"/>
              <w:widowControl/>
              <w:spacing w:line="360" w:lineRule="auto"/>
              <w:jc w:val="left"/>
              <w:rPr>
                <w:rFonts w:ascii="宋体" w:hAnsi="宋体" w:cs="Arial"/>
                <w:bCs/>
                <w:sz w:val="24"/>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10"/>
        <w:rPr>
          <w:rFonts w:ascii="宋体" w:hAnsi="宋体"/>
          <w:sz w:val="24"/>
          <w:u w:val="single"/>
        </w:rPr>
      </w:pPr>
    </w:p>
    <w:p>
      <w:pPr>
        <w:pStyle w:val="10"/>
        <w:rPr>
          <w:rFonts w:ascii="宋体" w:hAnsi="宋体"/>
          <w:sz w:val="24"/>
          <w:u w:val="single"/>
        </w:rPr>
      </w:pPr>
    </w:p>
    <w:p>
      <w:pPr>
        <w:pStyle w:val="10"/>
        <w:rPr>
          <w:rFonts w:ascii="宋体" w:hAnsi="宋体"/>
          <w:sz w:val="24"/>
          <w:u w:val="single"/>
        </w:rPr>
      </w:pPr>
    </w:p>
    <w:p>
      <w:pPr>
        <w:pStyle w:val="10"/>
        <w:rPr>
          <w:rFonts w:ascii="宋体" w:hAnsi="宋体"/>
          <w:sz w:val="24"/>
          <w:u w:val="single"/>
        </w:rPr>
      </w:pPr>
    </w:p>
    <w:p>
      <w:pPr>
        <w:pStyle w:val="34"/>
        <w:spacing w:line="360" w:lineRule="auto"/>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附件14</w:t>
      </w:r>
    </w:p>
    <w:p>
      <w:pPr>
        <w:pStyle w:val="34"/>
        <w:spacing w:line="360" w:lineRule="auto"/>
        <w:jc w:val="center"/>
        <w:rPr>
          <w:rFonts w:hAnsi="宋体"/>
          <w:b/>
          <w:color w:val="000000" w:themeColor="text1"/>
          <w:sz w:val="32"/>
          <w:szCs w:val="32"/>
          <w:lang w:val="en-GB"/>
          <w14:textFill>
            <w14:solidFill>
              <w14:schemeClr w14:val="tx1"/>
            </w14:solidFill>
          </w14:textFill>
        </w:rPr>
      </w:pPr>
      <w:r>
        <w:rPr>
          <w:rFonts w:hint="eastAsia" w:hAnsi="宋体"/>
          <w:b/>
          <w:color w:val="000000" w:themeColor="text1"/>
          <w:sz w:val="32"/>
          <w:szCs w:val="32"/>
          <w14:textFill>
            <w14:solidFill>
              <w14:schemeClr w14:val="tx1"/>
            </w14:solidFill>
          </w14:textFill>
        </w:rPr>
        <w:t>主要货物用材响应表(类似家具类货物采用)</w:t>
      </w:r>
    </w:p>
    <w:tbl>
      <w:tblPr>
        <w:tblStyle w:val="19"/>
        <w:tblW w:w="10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80"/>
        <w:gridCol w:w="1080"/>
        <w:gridCol w:w="1260"/>
        <w:gridCol w:w="900"/>
        <w:gridCol w:w="1164"/>
        <w:gridCol w:w="1260"/>
        <w:gridCol w:w="11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序号</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货物名称</w:t>
            </w:r>
          </w:p>
        </w:tc>
        <w:tc>
          <w:tcPr>
            <w:tcW w:w="1080" w:type="dxa"/>
            <w:vMerge w:val="restart"/>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产品配置</w:t>
            </w:r>
          </w:p>
        </w:tc>
        <w:tc>
          <w:tcPr>
            <w:tcW w:w="6644" w:type="dxa"/>
            <w:gridSpan w:val="6"/>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cs="宋体"/>
                <w:bCs/>
                <w:sz w:val="24"/>
              </w:rPr>
              <w:t>材料规格及参数</w:t>
            </w: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品牌</w:t>
            </w:r>
          </w:p>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商标</w:t>
            </w: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生产厂家</w:t>
            </w: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符合标准</w:t>
            </w: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性能说明</w:t>
            </w: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3"/>
              <w:spacing w:line="360" w:lineRule="auto"/>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spacing w:line="360" w:lineRule="auto"/>
              <w:jc w:val="center"/>
              <w:rPr>
                <w:rFonts w:ascii="仿宋_GB2312" w:hAnsi="宋体" w:eastAsia="仿宋_GB2312" w:cs="宋体"/>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3"/>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3"/>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3"/>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3"/>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bl>
    <w:p>
      <w:pPr>
        <w:spacing w:line="360" w:lineRule="auto"/>
        <w:rPr>
          <w:rFonts w:ascii="宋体" w:hAnsi="宋体"/>
          <w:b/>
          <w:szCs w:val="21"/>
        </w:rPr>
      </w:pPr>
      <w:r>
        <w:rPr>
          <w:rFonts w:hint="eastAsia" w:ascii="宋体" w:hAnsi="宋体"/>
          <w:b/>
          <w:szCs w:val="21"/>
        </w:rPr>
        <w:t>要求：</w:t>
      </w:r>
    </w:p>
    <w:p>
      <w:pPr>
        <w:pStyle w:val="33"/>
        <w:spacing w:line="360" w:lineRule="auto"/>
        <w:ind w:left="719" w:leftChars="228" w:hanging="240" w:hangingChars="100"/>
        <w:rPr>
          <w:rFonts w:ascii="仿宋_GB2312" w:hAnsi="宋体" w:eastAsia="仿宋_GB2312"/>
          <w:sz w:val="24"/>
        </w:rPr>
      </w:pPr>
      <w:r>
        <w:rPr>
          <w:rFonts w:hint="eastAsia" w:ascii="仿宋_GB2312" w:eastAsia="仿宋_GB2312"/>
          <w:sz w:val="24"/>
        </w:rPr>
        <w:t>1.请列出以上</w:t>
      </w:r>
      <w:r>
        <w:rPr>
          <w:rFonts w:hint="eastAsia" w:ascii="仿宋_GB2312" w:hAnsi="宋体" w:eastAsia="仿宋_GB2312"/>
          <w:sz w:val="24"/>
        </w:rPr>
        <w:t>产品的各项主要用材、辅料、油漆、五金件等。</w:t>
      </w:r>
    </w:p>
    <w:p>
      <w:pPr>
        <w:pStyle w:val="33"/>
        <w:spacing w:line="360" w:lineRule="auto"/>
        <w:ind w:firstLine="480" w:firstLineChars="200"/>
        <w:rPr>
          <w:rFonts w:ascii="仿宋_GB2312" w:eastAsia="仿宋_GB2312"/>
          <w:sz w:val="24"/>
        </w:rPr>
      </w:pPr>
      <w:r>
        <w:rPr>
          <w:rFonts w:hint="eastAsia" w:ascii="仿宋_GB2312" w:eastAsia="仿宋_GB2312"/>
          <w:sz w:val="24"/>
        </w:rPr>
        <w:t>2.本表所列产品主要用材均为采购人抽样送检的范围。</w:t>
      </w:r>
    </w:p>
    <w:p>
      <w:pPr>
        <w:spacing w:line="360" w:lineRule="auto"/>
        <w:ind w:firstLine="480" w:firstLineChars="20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ascii="宋体" w:hAnsi="宋体"/>
          <w:color w:val="FF00FF"/>
          <w:sz w:val="24"/>
        </w:rPr>
      </w:pPr>
      <w:r>
        <w:rPr>
          <w:rFonts w:hint="eastAsia" w:ascii="宋体" w:hAnsi="宋体"/>
          <w:sz w:val="24"/>
        </w:rPr>
        <w:t>日        期：</w:t>
      </w:r>
    </w:p>
    <w:p>
      <w:pPr>
        <w:spacing w:line="360" w:lineRule="auto"/>
        <w:ind w:firstLine="435"/>
        <w:rPr>
          <w:rFonts w:ascii="宋体" w:hAnsi="宋体"/>
          <w:color w:val="FF00FF"/>
          <w:sz w:val="24"/>
        </w:rPr>
      </w:pPr>
    </w:p>
    <w:p>
      <w:pPr>
        <w:spacing w:line="360" w:lineRule="auto"/>
        <w:ind w:right="-110"/>
        <w:jc w:val="left"/>
        <w:rPr>
          <w:rFonts w:ascii="宋体" w:hAnsi="宋体"/>
          <w:b/>
          <w:sz w:val="28"/>
        </w:rPr>
      </w:pPr>
    </w:p>
    <w:p>
      <w:pPr>
        <w:spacing w:line="360" w:lineRule="auto"/>
        <w:ind w:right="-110"/>
        <w:jc w:val="left"/>
        <w:rPr>
          <w:rFonts w:ascii="宋体" w:hAnsi="宋体"/>
          <w:b/>
          <w:sz w:val="28"/>
        </w:rPr>
      </w:pPr>
    </w:p>
    <w:p>
      <w:pPr>
        <w:spacing w:line="360" w:lineRule="auto"/>
        <w:ind w:right="-110"/>
        <w:jc w:val="left"/>
        <w:rPr>
          <w:rFonts w:ascii="宋体" w:hAnsi="宋体"/>
          <w:spacing w:val="40"/>
          <w:sz w:val="52"/>
          <w:szCs w:val="52"/>
        </w:rPr>
      </w:pPr>
      <w:r>
        <w:rPr>
          <w:rFonts w:hint="eastAsia" w:ascii="宋体" w:hAnsi="宋体"/>
          <w:b/>
          <w:sz w:val="28"/>
        </w:rPr>
        <w:t>附件15</w:t>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spacing w:after="100" w:afterAutospacing="1" w:line="360" w:lineRule="auto"/>
        <w:ind w:right="-108"/>
        <w:jc w:val="center"/>
        <w:rPr>
          <w:rFonts w:ascii="宋体" w:hAnsi="宋体"/>
          <w:b/>
          <w:spacing w:val="40"/>
          <w:sz w:val="84"/>
          <w:szCs w:val="84"/>
        </w:rPr>
      </w:pP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line="360" w:lineRule="auto"/>
        <w:ind w:right="532"/>
        <w:jc w:val="center"/>
        <w:rPr>
          <w:rFonts w:ascii="宋体" w:hAnsi="宋体"/>
          <w:sz w:val="36"/>
          <w:szCs w:val="36"/>
        </w:rPr>
      </w:pPr>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供应商全称（电子印章）：</w:t>
      </w:r>
    </w:p>
    <w:p>
      <w:pPr>
        <w:spacing w:line="360" w:lineRule="auto"/>
        <w:ind w:right="-108" w:firstLine="720" w:firstLineChars="200"/>
        <w:rPr>
          <w:rFonts w:ascii="宋体" w:hAnsi="宋体"/>
          <w:sz w:val="36"/>
          <w:szCs w:val="36"/>
        </w:rPr>
      </w:pPr>
      <w:r>
        <w:rPr>
          <w:rFonts w:hint="eastAsia" w:ascii="宋体" w:hAnsi="宋体"/>
          <w:sz w:val="36"/>
          <w:szCs w:val="36"/>
        </w:rPr>
        <w:t>地    址：</w:t>
      </w:r>
    </w:p>
    <w:p>
      <w:pPr>
        <w:spacing w:line="360" w:lineRule="auto"/>
        <w:ind w:right="-108" w:firstLine="720" w:firstLineChars="200"/>
        <w:rPr>
          <w:rFonts w:ascii="宋体" w:hAnsi="宋体"/>
          <w:sz w:val="36"/>
          <w:szCs w:val="36"/>
        </w:rPr>
      </w:pPr>
      <w:r>
        <w:rPr>
          <w:rFonts w:hint="eastAsia" w:ascii="宋体" w:hAnsi="宋体"/>
          <w:sz w:val="36"/>
          <w:szCs w:val="36"/>
        </w:rPr>
        <w:t>时    间：</w:t>
      </w:r>
    </w:p>
    <w:p>
      <w:pPr>
        <w:spacing w:line="360" w:lineRule="auto"/>
        <w:ind w:right="-108"/>
        <w:jc w:val="center"/>
        <w:rPr>
          <w:rFonts w:ascii="仿宋_GB2312" w:hAnsi="宋体" w:eastAsia="仿宋_GB2312"/>
          <w:b/>
          <w:sz w:val="36"/>
          <w:szCs w:val="36"/>
        </w:rPr>
      </w:pPr>
    </w:p>
    <w:p>
      <w:pPr>
        <w:spacing w:line="360" w:lineRule="auto"/>
        <w:ind w:right="-108"/>
        <w:jc w:val="center"/>
        <w:rPr>
          <w:rFonts w:ascii="宋体" w:hAnsi="宋体"/>
          <w:b/>
          <w:sz w:val="32"/>
          <w:szCs w:val="32"/>
        </w:rPr>
      </w:pPr>
      <w:r>
        <w:rPr>
          <w:rFonts w:hint="eastAsia" w:ascii="宋体" w:hAnsi="宋体"/>
          <w:b/>
          <w:sz w:val="32"/>
          <w:szCs w:val="32"/>
        </w:rPr>
        <w:t>报价文件目录</w:t>
      </w:r>
    </w:p>
    <w:p>
      <w:pPr>
        <w:spacing w:line="360" w:lineRule="auto"/>
        <w:ind w:right="-108"/>
        <w:jc w:val="center"/>
        <w:rPr>
          <w:rFonts w:ascii="仿宋_GB2312" w:hAnsi="宋体" w:eastAsia="仿宋_GB2312"/>
          <w:b/>
          <w:sz w:val="36"/>
          <w:szCs w:val="36"/>
        </w:rPr>
      </w:pPr>
    </w:p>
    <w:p>
      <w:pPr>
        <w:spacing w:line="360" w:lineRule="auto"/>
        <w:rPr>
          <w:rFonts w:ascii="宋体" w:hAnsi="宋体"/>
          <w:sz w:val="24"/>
        </w:rPr>
      </w:pPr>
    </w:p>
    <w:p>
      <w:pPr>
        <w:snapToGrid w:val="0"/>
        <w:spacing w:line="360" w:lineRule="auto"/>
        <w:jc w:val="left"/>
        <w:rPr>
          <w:rFonts w:ascii="宋体" w:hAnsi="宋体"/>
          <w:sz w:val="24"/>
        </w:rPr>
      </w:pPr>
      <w:r>
        <w:rPr>
          <w:rFonts w:hint="eastAsia" w:ascii="宋体" w:hAnsi="宋体"/>
          <w:sz w:val="24"/>
        </w:rPr>
        <w:t>1、开标一览表（附件16）；</w:t>
      </w:r>
    </w:p>
    <w:p>
      <w:pPr>
        <w:pStyle w:val="14"/>
        <w:snapToGrid w:val="0"/>
        <w:spacing w:line="360" w:lineRule="auto"/>
        <w:ind w:left="0" w:leftChars="0"/>
        <w:rPr>
          <w:rFonts w:ascii="宋体" w:hAnsi="宋体" w:eastAsia="宋体"/>
          <w:sz w:val="24"/>
          <w:szCs w:val="24"/>
        </w:rPr>
      </w:pPr>
      <w:r>
        <w:rPr>
          <w:rFonts w:hint="eastAsia" w:ascii="宋体" w:hAnsi="宋体" w:eastAsia="宋体"/>
          <w:sz w:val="24"/>
          <w:szCs w:val="24"/>
        </w:rPr>
        <w:t>2、报价明细表</w:t>
      </w:r>
      <w:r>
        <w:rPr>
          <w:rFonts w:hint="eastAsia" w:ascii="宋体" w:hAnsi="宋体"/>
          <w:sz w:val="24"/>
        </w:rPr>
        <w:t>（附件17）</w:t>
      </w:r>
      <w:r>
        <w:rPr>
          <w:rFonts w:hint="eastAsia" w:ascii="宋体" w:hAnsi="宋体" w:eastAsia="宋体"/>
          <w:sz w:val="24"/>
          <w:szCs w:val="24"/>
        </w:rPr>
        <w:t>；</w:t>
      </w:r>
    </w:p>
    <w:p>
      <w:pPr>
        <w:snapToGrid w:val="0"/>
        <w:spacing w:line="360" w:lineRule="auto"/>
        <w:rPr>
          <w:rFonts w:ascii="宋体" w:hAnsi="宋体"/>
          <w:sz w:val="24"/>
        </w:rPr>
      </w:pPr>
      <w:r>
        <w:rPr>
          <w:rFonts w:hint="eastAsia" w:hAnsi="宋体"/>
          <w:sz w:val="24"/>
        </w:rPr>
        <w:t>3、</w:t>
      </w:r>
      <w:r>
        <w:rPr>
          <w:rFonts w:hint="eastAsia" w:ascii="宋体" w:hAnsi="宋体"/>
          <w:sz w:val="24"/>
        </w:rPr>
        <w:t>针对报价投标人认为其他需要说明的；</w:t>
      </w:r>
    </w:p>
    <w:p>
      <w:pPr>
        <w:pStyle w:val="35"/>
        <w:spacing w:line="360" w:lineRule="auto"/>
        <w:rPr>
          <w:rFonts w:hAnsi="宋体"/>
          <w:sz w:val="24"/>
        </w:rPr>
      </w:pPr>
      <w:r>
        <w:rPr>
          <w:rFonts w:hint="eastAsia" w:hAnsi="宋体"/>
          <w:sz w:val="24"/>
        </w:rPr>
        <w:t>4、</w:t>
      </w:r>
      <w:r>
        <w:rPr>
          <w:rFonts w:hAnsi="宋体"/>
          <w:sz w:val="24"/>
        </w:rPr>
        <w:t>小微企业</w:t>
      </w:r>
      <w:r>
        <w:rPr>
          <w:rFonts w:hint="eastAsia" w:hAnsi="宋体"/>
          <w:sz w:val="24"/>
        </w:rPr>
        <w:t>等</w:t>
      </w:r>
      <w:r>
        <w:rPr>
          <w:rFonts w:hAnsi="宋体"/>
          <w:sz w:val="24"/>
        </w:rPr>
        <w:t>声明函</w:t>
      </w:r>
      <w:r>
        <w:rPr>
          <w:rFonts w:hint="eastAsia" w:hAnsi="宋体"/>
          <w:sz w:val="24"/>
        </w:rPr>
        <w:t>（附件18）；</w:t>
      </w:r>
    </w:p>
    <w:p>
      <w:pPr>
        <w:pStyle w:val="36"/>
        <w:spacing w:line="360" w:lineRule="auto"/>
        <w:rPr>
          <w:rFonts w:ascii="宋体" w:hAnsi="宋体"/>
          <w:kern w:val="0"/>
          <w:sz w:val="24"/>
        </w:rPr>
      </w:pPr>
      <w:r>
        <w:rPr>
          <w:rFonts w:hint="eastAsia" w:ascii="宋体" w:hAnsi="宋体"/>
          <w:kern w:val="0"/>
          <w:sz w:val="24"/>
        </w:rPr>
        <w:t>5、产品适用政府采购政策情况表</w:t>
      </w:r>
      <w:r>
        <w:rPr>
          <w:rFonts w:hint="eastAsia" w:ascii="宋体" w:hAnsi="宋体"/>
          <w:sz w:val="24"/>
        </w:rPr>
        <w:t>（附件19）</w:t>
      </w:r>
      <w:r>
        <w:rPr>
          <w:rFonts w:hint="eastAsia" w:ascii="宋体" w:hAnsi="宋体"/>
          <w:kern w:val="0"/>
          <w:sz w:val="24"/>
        </w:rPr>
        <w:t>。</w:t>
      </w:r>
    </w:p>
    <w:p>
      <w:pPr>
        <w:spacing w:line="360" w:lineRule="auto"/>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r>
        <w:rPr>
          <w:rFonts w:hint="eastAsia" w:ascii="宋体" w:hAnsi="宋体"/>
          <w:b/>
          <w:sz w:val="28"/>
        </w:rPr>
        <w:t>附件16</w:t>
      </w:r>
    </w:p>
    <w:p>
      <w:pPr>
        <w:spacing w:line="360" w:lineRule="auto"/>
        <w:ind w:left="-2" w:hanging="2"/>
        <w:jc w:val="center"/>
        <w:rPr>
          <w:rFonts w:ascii="宋体" w:hAnsi="宋体"/>
          <w:b/>
          <w:color w:val="33CCCC"/>
          <w:sz w:val="32"/>
          <w:szCs w:val="32"/>
        </w:rPr>
      </w:pPr>
      <w:r>
        <w:rPr>
          <w:rFonts w:hint="eastAsia" w:ascii="宋体" w:hAnsi="宋体"/>
          <w:b/>
          <w:sz w:val="32"/>
          <w:szCs w:val="32"/>
        </w:rPr>
        <w:t>开标一览表</w:t>
      </w:r>
      <w:r>
        <w:rPr>
          <w:rFonts w:hint="eastAsia" w:ascii="宋体" w:hAnsi="宋体"/>
          <w:b/>
          <w:color w:val="33CCCC"/>
          <w:sz w:val="32"/>
          <w:szCs w:val="32"/>
        </w:rPr>
        <w:t xml:space="preserve"> (第 标)</w:t>
      </w:r>
    </w:p>
    <w:p>
      <w:pPr>
        <w:spacing w:line="360" w:lineRule="auto"/>
        <w:ind w:left="-2" w:hanging="2"/>
        <w:jc w:val="center"/>
        <w:rPr>
          <w:rFonts w:ascii="宋体" w:hAnsi="宋体"/>
          <w:b/>
          <w:color w:val="33CCCC"/>
          <w:sz w:val="32"/>
          <w:szCs w:val="32"/>
        </w:rPr>
      </w:pPr>
    </w:p>
    <w:p>
      <w:pPr>
        <w:pStyle w:val="13"/>
        <w:spacing w:line="320" w:lineRule="exact"/>
        <w:rPr>
          <w:rFonts w:hAnsi="宋体"/>
          <w:b/>
          <w:color w:val="000000"/>
          <w:sz w:val="24"/>
        </w:rPr>
      </w:pPr>
      <w:r>
        <w:rPr>
          <w:rFonts w:hAnsi="宋体"/>
          <w:b/>
          <w:color w:val="000000"/>
          <w:sz w:val="24"/>
        </w:rPr>
        <w:t>项目编号：</w:t>
      </w:r>
    </w:p>
    <w:p>
      <w:pPr>
        <w:pStyle w:val="37"/>
        <w:spacing w:line="360" w:lineRule="auto"/>
        <w:ind w:right="480"/>
        <w:jc w:val="left"/>
        <w:rPr>
          <w:rFonts w:hAnsi="宋体"/>
          <w:color w:val="000000"/>
          <w:sz w:val="24"/>
        </w:rPr>
      </w:pPr>
      <w:r>
        <w:rPr>
          <w:rFonts w:hAnsi="宋体"/>
          <w:b/>
          <w:color w:val="000000"/>
          <w:sz w:val="24"/>
        </w:rPr>
        <w:t>项目名称：</w:t>
      </w:r>
      <w:r>
        <w:rPr>
          <w:rFonts w:hint="eastAsia" w:ascii="宋体" w:hAnsi="宋体"/>
          <w:sz w:val="24"/>
        </w:rPr>
        <w:t xml:space="preserve">                                     [货币单位：人民币元]</w:t>
      </w:r>
    </w:p>
    <w:tbl>
      <w:tblPr>
        <w:tblStyle w:val="19"/>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color w:val="000000"/>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bl>
    <w:p>
      <w:pPr>
        <w:spacing w:line="360" w:lineRule="auto"/>
        <w:ind w:left="480"/>
        <w:rPr>
          <w:rFonts w:ascii="宋体" w:hAnsi="宋体"/>
          <w:b/>
          <w:sz w:val="30"/>
        </w:rPr>
      </w:pPr>
    </w:p>
    <w:p>
      <w:pPr>
        <w:spacing w:line="360" w:lineRule="auto"/>
        <w:rPr>
          <w:rFonts w:ascii="宋体" w:hAnsi="宋体"/>
          <w:sz w:val="24"/>
        </w:rPr>
      </w:pPr>
      <w:r>
        <w:rPr>
          <w:rFonts w:hint="eastAsia" w:ascii="宋体" w:hAnsi="宋体"/>
          <w:b/>
          <w:szCs w:val="21"/>
        </w:rPr>
        <w:t>填报要求：</w:t>
      </w:r>
    </w:p>
    <w:p>
      <w:pPr>
        <w:pStyle w:val="10"/>
        <w:spacing w:line="360" w:lineRule="auto"/>
        <w:ind w:firstLineChars="200"/>
        <w:rPr>
          <w:rFonts w:ascii="宋体" w:hAnsi="宋体"/>
          <w:color w:val="FF0000"/>
          <w:kern w:val="0"/>
          <w:szCs w:val="21"/>
        </w:rPr>
      </w:pPr>
      <w:r>
        <w:rPr>
          <w:rFonts w:hint="eastAsia" w:ascii="宋体" w:hAnsi="宋体"/>
          <w:kern w:val="0"/>
          <w:szCs w:val="21"/>
        </w:rPr>
        <w:t>1.投标总报价是包括货款、标准附件、备品备件、专用工具、包装、运输、装卸、保险、税金、货到就位以及安装、调试、培训、保修、合同包含的所有风险责任等各项费用及不可预见费等所需的全部费用。</w:t>
      </w:r>
    </w:p>
    <w:p>
      <w:pPr>
        <w:spacing w:line="360" w:lineRule="auto"/>
        <w:ind w:left="420"/>
        <w:rPr>
          <w:rFonts w:ascii="宋体" w:hAnsi="宋体"/>
          <w:sz w:val="24"/>
        </w:rPr>
      </w:pP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附件17</w:t>
      </w:r>
    </w:p>
    <w:p>
      <w:pPr>
        <w:spacing w:line="360" w:lineRule="auto"/>
        <w:ind w:left="480"/>
        <w:jc w:val="center"/>
        <w:rPr>
          <w:rFonts w:ascii="宋体" w:hAnsi="宋体"/>
        </w:rPr>
      </w:pPr>
      <w:r>
        <w:rPr>
          <w:rFonts w:hint="eastAsia" w:ascii="宋体" w:hAnsi="宋体"/>
          <w:b/>
          <w:sz w:val="32"/>
          <w:szCs w:val="32"/>
        </w:rPr>
        <w:t>报价明细表</w:t>
      </w:r>
      <w:r>
        <w:rPr>
          <w:rFonts w:hint="eastAsia" w:ascii="宋体" w:hAnsi="宋体"/>
          <w:b/>
          <w:color w:val="33CCCC"/>
          <w:sz w:val="32"/>
          <w:szCs w:val="32"/>
        </w:rPr>
        <w:t xml:space="preserve"> (第 标)</w:t>
      </w:r>
    </w:p>
    <w:p>
      <w:pPr>
        <w:spacing w:line="360" w:lineRule="auto"/>
        <w:rPr>
          <w:rFonts w:ascii="宋体" w:hAnsi="宋体"/>
          <w:sz w:val="24"/>
        </w:rPr>
      </w:pPr>
      <w:r>
        <w:rPr>
          <w:rFonts w:hint="eastAsia" w:ascii="宋体" w:hAnsi="宋体"/>
          <w:sz w:val="24"/>
        </w:rPr>
        <w:t xml:space="preserve">  项目编号：                                    [货币单位：人民币元]</w:t>
      </w:r>
    </w:p>
    <w:tbl>
      <w:tblPr>
        <w:tblStyle w:val="19"/>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sz w:val="24"/>
              </w:rPr>
            </w:pPr>
            <w:r>
              <w:rPr>
                <w:rFonts w:hint="eastAsia" w:ascii="宋体" w:hAnsi="宋体"/>
                <w:b/>
                <w:sz w:val="24"/>
              </w:rPr>
              <w:t>序号</w:t>
            </w:r>
          </w:p>
        </w:tc>
        <w:tc>
          <w:tcPr>
            <w:tcW w:w="1460" w:type="dxa"/>
            <w:vAlign w:val="center"/>
          </w:tcPr>
          <w:p>
            <w:pPr>
              <w:tabs>
                <w:tab w:val="left" w:pos="8280"/>
              </w:tabs>
              <w:autoSpaceDE w:val="0"/>
              <w:autoSpaceDN w:val="0"/>
              <w:adjustRightInd w:val="0"/>
              <w:spacing w:line="360" w:lineRule="auto"/>
              <w:ind w:right="25"/>
              <w:rPr>
                <w:rFonts w:ascii="宋体" w:hAnsi="宋体"/>
                <w:b/>
                <w:sz w:val="24"/>
              </w:rPr>
            </w:pPr>
            <w:r>
              <w:rPr>
                <w:rFonts w:hint="eastAsia" w:ascii="宋体" w:hAnsi="宋体"/>
                <w:b/>
                <w:sz w:val="24"/>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品牌、产地</w:t>
            </w:r>
          </w:p>
        </w:tc>
        <w:tc>
          <w:tcPr>
            <w:tcW w:w="1559" w:type="dxa"/>
            <w:vAlign w:val="center"/>
          </w:tcPr>
          <w:p>
            <w:pPr>
              <w:spacing w:line="360" w:lineRule="auto"/>
              <w:ind w:left="52"/>
              <w:jc w:val="center"/>
              <w:rPr>
                <w:rFonts w:ascii="宋体" w:hAnsi="宋体"/>
                <w:b/>
                <w:sz w:val="24"/>
              </w:rPr>
            </w:pPr>
            <w:r>
              <w:rPr>
                <w:rFonts w:hint="eastAsia" w:ascii="宋体" w:hAnsi="宋体"/>
                <w:b/>
                <w:sz w:val="24"/>
              </w:rPr>
              <w:t>型号规格</w:t>
            </w:r>
          </w:p>
        </w:tc>
        <w:tc>
          <w:tcPr>
            <w:tcW w:w="851" w:type="dxa"/>
            <w:vAlign w:val="center"/>
          </w:tcPr>
          <w:p>
            <w:pPr>
              <w:spacing w:line="360" w:lineRule="auto"/>
              <w:ind w:left="152"/>
              <w:jc w:val="center"/>
              <w:rPr>
                <w:rFonts w:ascii="宋体" w:hAnsi="宋体"/>
                <w:b/>
                <w:sz w:val="24"/>
              </w:rPr>
            </w:pPr>
            <w:r>
              <w:rPr>
                <w:rFonts w:hint="eastAsia" w:ascii="宋体" w:hAnsi="宋体"/>
                <w:b/>
                <w:sz w:val="24"/>
              </w:rPr>
              <w:t>数量</w:t>
            </w:r>
          </w:p>
        </w:tc>
        <w:tc>
          <w:tcPr>
            <w:tcW w:w="992" w:type="dxa"/>
            <w:vAlign w:val="center"/>
          </w:tcPr>
          <w:p>
            <w:pPr>
              <w:spacing w:line="360" w:lineRule="auto"/>
              <w:jc w:val="center"/>
              <w:rPr>
                <w:rFonts w:ascii="宋体" w:hAnsi="宋体"/>
                <w:b/>
                <w:sz w:val="24"/>
              </w:rPr>
            </w:pPr>
            <w:r>
              <w:rPr>
                <w:rFonts w:hint="eastAsia" w:ascii="宋体" w:hAnsi="宋体"/>
                <w:b/>
                <w:sz w:val="24"/>
              </w:rPr>
              <w:t>单价</w:t>
            </w:r>
          </w:p>
        </w:tc>
        <w:tc>
          <w:tcPr>
            <w:tcW w:w="992" w:type="dxa"/>
            <w:vAlign w:val="center"/>
          </w:tcPr>
          <w:p>
            <w:pPr>
              <w:spacing w:line="360" w:lineRule="auto"/>
              <w:jc w:val="center"/>
              <w:rPr>
                <w:rFonts w:ascii="宋体" w:hAnsi="宋体"/>
                <w:b/>
                <w:sz w:val="24"/>
              </w:rPr>
            </w:pPr>
            <w:r>
              <w:rPr>
                <w:rFonts w:hint="eastAsia" w:ascii="宋体" w:hAnsi="宋体"/>
                <w:b/>
                <w:sz w:val="24"/>
              </w:rPr>
              <w:t>小计</w:t>
            </w:r>
          </w:p>
        </w:tc>
        <w:tc>
          <w:tcPr>
            <w:tcW w:w="709"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647" w:type="dxa"/>
            <w:gridSpan w:val="8"/>
            <w:tcBorders>
              <w:bottom w:val="single" w:color="auto" w:sz="4" w:space="0"/>
            </w:tcBorders>
            <w:vAlign w:val="center"/>
          </w:tcPr>
          <w:p>
            <w:pPr>
              <w:spacing w:line="360" w:lineRule="auto"/>
              <w:rPr>
                <w:rFonts w:ascii="宋体" w:hAnsi="宋体"/>
                <w:b/>
                <w:sz w:val="24"/>
              </w:rPr>
            </w:pPr>
            <w:r>
              <w:rPr>
                <w:rFonts w:hint="eastAsia" w:ascii="宋体" w:hAnsi="宋体"/>
                <w:b/>
                <w:sz w:val="24"/>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color w:val="000000"/>
          <w:szCs w:val="21"/>
        </w:rPr>
      </w:pPr>
      <w:r>
        <w:rPr>
          <w:rFonts w:hint="eastAsia" w:ascii="宋体" w:hAnsi="宋体"/>
          <w:color w:val="000000"/>
          <w:szCs w:val="21"/>
        </w:rPr>
        <w:t>1. 本表为《开标一览表》的报价明细表，如有缺项、漏项，视为投标报价中已包含相关费用，采购人无需另外支付任何费用。</w:t>
      </w:r>
    </w:p>
    <w:p>
      <w:pPr>
        <w:spacing w:line="360" w:lineRule="auto"/>
        <w:ind w:left="435"/>
        <w:rPr>
          <w:rFonts w:ascii="宋体"/>
          <w:szCs w:val="21"/>
          <w:lang w:val="zh-CN"/>
        </w:rPr>
      </w:pPr>
      <w:r>
        <w:rPr>
          <w:rFonts w:hint="eastAsia" w:ascii="宋体" w:hAnsi="宋体"/>
          <w:color w:val="000000"/>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435"/>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156" w:beforeLines="50" w:after="50" w:line="360" w:lineRule="auto"/>
        <w:rPr>
          <w:rFonts w:ascii="仿宋_GB2312" w:hAnsi="宋体" w:eastAsia="仿宋_GB2312"/>
          <w:bCs/>
          <w:sz w:val="30"/>
          <w:szCs w:val="30"/>
        </w:rPr>
      </w:pPr>
      <w:r>
        <w:rPr>
          <w:rFonts w:hint="eastAsia" w:ascii="宋体" w:hAnsi="宋体"/>
          <w:b/>
          <w:sz w:val="28"/>
        </w:rPr>
        <w:t>附件18</w:t>
      </w:r>
    </w:p>
    <w:p>
      <w:pPr>
        <w:pStyle w:val="10"/>
        <w:spacing w:line="360" w:lineRule="auto"/>
        <w:ind w:left="0" w:leftChars="0" w:firstLine="0" w:firstLineChars="0"/>
        <w:jc w:val="center"/>
        <w:rPr>
          <w:rFonts w:ascii="宋体" w:hAnsi="宋体" w:cs="宋体"/>
          <w:b/>
          <w:sz w:val="32"/>
          <w:szCs w:val="32"/>
        </w:rPr>
      </w:pPr>
      <w:r>
        <w:rPr>
          <w:rFonts w:hint="eastAsia" w:ascii="宋体" w:hAnsi="宋体" w:cs="宋体"/>
          <w:b/>
          <w:sz w:val="32"/>
          <w:szCs w:val="32"/>
        </w:rPr>
        <w:t>中小企业声明函（货物）</w:t>
      </w:r>
    </w:p>
    <w:p>
      <w:pPr>
        <w:pStyle w:val="10"/>
        <w:spacing w:line="360" w:lineRule="auto"/>
        <w:ind w:firstLine="643" w:firstLineChars="200"/>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color w:val="0000FF"/>
          <w:sz w:val="24"/>
          <w:u w:val="single"/>
        </w:rPr>
        <w:t>（单位名称）</w:t>
      </w:r>
      <w:r>
        <w:rPr>
          <w:rFonts w:hint="eastAsia" w:ascii="宋体" w:hAnsi="宋体" w:cs="宋体"/>
          <w:sz w:val="24"/>
        </w:rPr>
        <w:t>的</w:t>
      </w:r>
      <w:r>
        <w:rPr>
          <w:rFonts w:hint="eastAsia" w:ascii="宋体" w:hAnsi="宋体" w:cs="宋体"/>
          <w:color w:val="0000FF"/>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w:t>
      </w:r>
      <w:r>
        <w:rPr>
          <w:rFonts w:hint="eastAsia" w:ascii="宋体" w:hAnsi="宋体" w:cs="宋体"/>
          <w:color w:val="0000FF"/>
          <w:sz w:val="24"/>
          <w:u w:val="single"/>
        </w:rPr>
        <w:t>（标的名称）</w:t>
      </w:r>
      <w:r>
        <w:rPr>
          <w:rFonts w:hint="eastAsia" w:ascii="宋体" w:hAnsi="宋体" w:cs="宋体"/>
          <w:sz w:val="24"/>
          <w:u w:val="single"/>
        </w:rPr>
        <w:t xml:space="preserve"> </w:t>
      </w:r>
      <w:r>
        <w:rPr>
          <w:rFonts w:hint="eastAsia" w:ascii="宋体" w:hAnsi="宋体" w:cs="宋体"/>
          <w:sz w:val="24"/>
        </w:rPr>
        <w:t>，属于</w:t>
      </w:r>
      <w:r>
        <w:rPr>
          <w:rFonts w:hint="eastAsia" w:ascii="宋体" w:hAnsi="宋体" w:cs="宋体"/>
          <w:color w:val="0000FF"/>
          <w:sz w:val="24"/>
          <w:u w:val="single"/>
        </w:rPr>
        <w:t>（采购文件中明确的所属行业）</w:t>
      </w:r>
      <w:r>
        <w:rPr>
          <w:rFonts w:hint="eastAsia" w:ascii="宋体" w:hAnsi="宋体" w:cs="宋体"/>
          <w:sz w:val="24"/>
        </w:rPr>
        <w:t>行业；制造商为</w:t>
      </w:r>
      <w:r>
        <w:rPr>
          <w:rFonts w:hint="eastAsia" w:ascii="宋体" w:hAnsi="宋体" w:cs="宋体"/>
          <w:color w:val="0000FF"/>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fldChar w:fldCharType="begin"/>
      </w:r>
      <w:r>
        <w:rPr>
          <w:rFonts w:hint="eastAsia" w:ascii="宋体" w:hAnsi="宋体" w:cs="宋体"/>
          <w:sz w:val="24"/>
          <w:vertAlign w:val="superscript"/>
        </w:rPr>
        <w:instrText xml:space="preserve"> = 1 \* GB3 </w:instrText>
      </w:r>
      <w:r>
        <w:rPr>
          <w:rFonts w:hint="eastAsia" w:ascii="宋体" w:hAnsi="宋体" w:cs="宋体"/>
          <w:sz w:val="24"/>
          <w:vertAlign w:val="superscript"/>
        </w:rPr>
        <w:fldChar w:fldCharType="separate"/>
      </w:r>
      <w:r>
        <w:rPr>
          <w:rFonts w:hint="eastAsia" w:ascii="宋体" w:hAnsi="宋体" w:cs="宋体"/>
          <w:sz w:val="24"/>
          <w:vertAlign w:val="superscript"/>
        </w:rPr>
        <w:t>①</w:t>
      </w:r>
      <w:r>
        <w:rPr>
          <w:rFonts w:hint="eastAsia" w:ascii="宋体" w:hAnsi="宋体" w:cs="宋体"/>
          <w:sz w:val="24"/>
          <w:vertAlign w:val="superscript"/>
        </w:rPr>
        <w:fldChar w:fldCharType="end"/>
      </w:r>
      <w:r>
        <w:rPr>
          <w:rFonts w:hint="eastAsia" w:ascii="宋体" w:hAnsi="宋体" w:cs="宋体"/>
          <w:sz w:val="24"/>
        </w:rPr>
        <w:t>，属于（中型企业、小型企业、微型企业）；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 </w:t>
      </w:r>
      <w:r>
        <w:rPr>
          <w:rFonts w:hint="eastAsia" w:ascii="宋体" w:hAnsi="宋体" w:cs="宋体"/>
          <w:sz w:val="24"/>
        </w:rPr>
        <w:t>，属于</w:t>
      </w:r>
      <w:r>
        <w:rPr>
          <w:rFonts w:hint="eastAsia" w:ascii="宋体" w:hAnsi="宋体" w:cs="宋体"/>
          <w:color w:val="0000FF"/>
          <w:sz w:val="24"/>
          <w:u w:val="single"/>
        </w:rPr>
        <w:t>（采购文件中明确的所属行业）</w:t>
      </w:r>
      <w:r>
        <w:rPr>
          <w:rFonts w:hint="eastAsia" w:ascii="宋体" w:hAnsi="宋体" w:cs="宋体"/>
          <w:sz w:val="24"/>
        </w:rPr>
        <w:t>行业；制造商为</w:t>
      </w:r>
      <w:r>
        <w:rPr>
          <w:rFonts w:hint="eastAsia" w:ascii="宋体" w:hAnsi="宋体" w:cs="宋体"/>
          <w:color w:val="0000FF"/>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rPr>
          <w:rFonts w:ascii="宋体" w:hAnsi="宋体" w:cs="宋体"/>
          <w:sz w:val="24"/>
        </w:rPr>
      </w:pP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企业名称（盖章）：        </w:t>
      </w: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日 期：                  </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RSqldMAAAAGAQAADwAAAAAAAAABACAAAAAiAAAAZHJzL2Rvd25yZXYueG1sUEsBAhQA&#10;FAAAAAgAh07iQILW7Cv3AQAA1gMAAA4AAAAAAAAAAQAgAAAAIgEAAGRycy9lMm9Eb2MueG1sUEsF&#10;BgAAAAAGAAYAWQEAAIsFAAAAAA==&#10;">
                <v:fill on="f" focussize="0,0"/>
                <v:stroke weight="1.25pt" color="#000000" miterlimit="8" joinstyle="miter"/>
                <v:imagedata o:title=""/>
                <o:lock v:ext="edit" aspectratio="f"/>
              </v:line>
            </w:pict>
          </mc:Fallback>
        </mc:AlternateContent>
      </w:r>
    </w:p>
    <w:p>
      <w:pP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pStyle w:val="13"/>
        <w:spacing w:line="360" w:lineRule="auto"/>
        <w:jc w:val="center"/>
        <w:outlineLvl w:val="1"/>
        <w:rPr>
          <w:rFonts w:hint="eastAsia" w:hAnsi="宋体"/>
          <w:b/>
          <w:sz w:val="32"/>
          <w:szCs w:val="32"/>
          <w:lang w:val="en-GB"/>
        </w:rPr>
      </w:pPr>
    </w:p>
    <w:p>
      <w:pPr>
        <w:pStyle w:val="13"/>
        <w:spacing w:line="360" w:lineRule="auto"/>
        <w:jc w:val="center"/>
        <w:outlineLvl w:val="1"/>
        <w:rPr>
          <w:rFonts w:hint="eastAsia" w:hAnsi="宋体"/>
          <w:b/>
          <w:sz w:val="32"/>
          <w:szCs w:val="32"/>
          <w:lang w:val="en-GB"/>
        </w:rPr>
      </w:pPr>
    </w:p>
    <w:p>
      <w:pPr>
        <w:pStyle w:val="13"/>
        <w:spacing w:line="360" w:lineRule="auto"/>
        <w:jc w:val="center"/>
        <w:outlineLvl w:val="1"/>
        <w:rPr>
          <w:rFonts w:hint="eastAsia" w:hAnsi="宋体"/>
          <w:b/>
          <w:sz w:val="32"/>
          <w:szCs w:val="32"/>
          <w:lang w:val="en-GB"/>
        </w:rPr>
      </w:pPr>
    </w:p>
    <w:p>
      <w:pPr>
        <w:pStyle w:val="13"/>
        <w:spacing w:line="360" w:lineRule="auto"/>
        <w:jc w:val="center"/>
        <w:outlineLvl w:val="1"/>
        <w:rPr>
          <w:rFonts w:hAnsi="宋体"/>
          <w:b/>
          <w:sz w:val="32"/>
          <w:szCs w:val="32"/>
          <w:lang w:val="en-GB"/>
        </w:rPr>
      </w:pPr>
      <w:r>
        <w:rPr>
          <w:rFonts w:hint="eastAsia" w:hAnsi="宋体"/>
          <w:b/>
          <w:sz w:val="32"/>
          <w:szCs w:val="32"/>
          <w:lang w:val="en-GB"/>
        </w:rPr>
        <w:t>残疾人福利性单位声明函</w:t>
      </w: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单位名称（电子印章）：</w:t>
      </w:r>
    </w:p>
    <w:p>
      <w:pPr>
        <w:tabs>
          <w:tab w:val="left" w:pos="4860"/>
        </w:tabs>
        <w:spacing w:line="588" w:lineRule="exact"/>
        <w:ind w:right="1560" w:firstLine="504" w:firstLineChars="200"/>
        <w:jc w:val="center"/>
        <w:rPr>
          <w:rFonts w:ascii="宋体" w:hAnsi="宋体"/>
          <w:sz w:val="24"/>
        </w:rPr>
      </w:pPr>
      <w:r>
        <w:rPr>
          <w:rFonts w:hint="eastAsia" w:ascii="宋体" w:hAnsi="宋体"/>
          <w:spacing w:val="6"/>
          <w:sz w:val="24"/>
        </w:rPr>
        <w:t xml:space="preserve">       日  期：</w:t>
      </w: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r>
        <w:rPr>
          <w:rFonts w:hint="eastAsia" w:ascii="宋体" w:hAnsi="宋体"/>
          <w:b/>
          <w:sz w:val="28"/>
          <w:szCs w:val="28"/>
        </w:rPr>
        <w:t>附件19</w:t>
      </w:r>
    </w:p>
    <w:p>
      <w:pPr>
        <w:pStyle w:val="39"/>
        <w:spacing w:line="360" w:lineRule="auto"/>
      </w:pPr>
    </w:p>
    <w:p>
      <w:pPr>
        <w:pStyle w:val="36"/>
        <w:spacing w:line="360" w:lineRule="auto"/>
        <w:jc w:val="center"/>
        <w:rPr>
          <w:rFonts w:ascii="宋体" w:hAnsi="宋体"/>
          <w:b/>
          <w:sz w:val="32"/>
          <w:szCs w:val="32"/>
          <w:lang w:val="en-GB"/>
        </w:rPr>
      </w:pPr>
      <w:r>
        <w:rPr>
          <w:rFonts w:hint="eastAsia" w:ascii="宋体" w:hAnsi="宋体"/>
          <w:b/>
          <w:sz w:val="32"/>
          <w:szCs w:val="32"/>
          <w:lang w:val="en-GB"/>
        </w:rPr>
        <w:t>产品适用政府采购政策情况表</w:t>
      </w:r>
    </w:p>
    <w:p>
      <w:pPr>
        <w:pStyle w:val="36"/>
        <w:spacing w:line="360" w:lineRule="auto"/>
        <w:jc w:val="center"/>
        <w:rPr>
          <w:rFonts w:ascii="宋体" w:hAnsi="宋体"/>
          <w:b/>
          <w:sz w:val="32"/>
          <w:szCs w:val="32"/>
          <w:lang w:val="en-GB"/>
        </w:rPr>
      </w:pPr>
    </w:p>
    <w:tbl>
      <w:tblPr>
        <w:tblStyle w:val="19"/>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restart"/>
            <w:vAlign w:val="center"/>
          </w:tcPr>
          <w:p>
            <w:pPr>
              <w:pStyle w:val="36"/>
              <w:tabs>
                <w:tab w:val="left" w:pos="1260"/>
              </w:tabs>
              <w:jc w:val="center"/>
              <w:rPr>
                <w:rFonts w:ascii="宋体" w:hAnsi="宋体"/>
                <w:sz w:val="24"/>
                <w:lang w:val="en-GB"/>
              </w:rPr>
            </w:pPr>
            <w:r>
              <w:rPr>
                <w:rFonts w:hint="eastAsia" w:ascii="宋体" w:hAnsi="宋体"/>
                <w:sz w:val="24"/>
                <w:lang w:val="en-GB"/>
              </w:rPr>
              <w:t>小微企业扶持政策</w:t>
            </w:r>
          </w:p>
        </w:tc>
        <w:tc>
          <w:tcPr>
            <w:tcW w:w="8111" w:type="dxa"/>
            <w:gridSpan w:val="3"/>
            <w:vAlign w:val="center"/>
          </w:tcPr>
          <w:tbl>
            <w:tblPr>
              <w:tblStyle w:val="19"/>
              <w:tblW w:w="8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111" w:type="dxa"/>
                  <w:vAlign w:val="center"/>
                </w:tcPr>
                <w:p>
                  <w:pPr>
                    <w:pStyle w:val="36"/>
                    <w:tabs>
                      <w:tab w:val="left" w:pos="1260"/>
                    </w:tabs>
                    <w:spacing w:line="360" w:lineRule="auto"/>
                    <w:rPr>
                      <w:rFonts w:ascii="宋体" w:hAnsi="宋体"/>
                      <w:sz w:val="24"/>
                    </w:rPr>
                  </w:pPr>
                  <w:r>
                    <w:rPr>
                      <w:rFonts w:hint="eastAsia" w:ascii="宋体" w:hAnsi="宋体"/>
                      <w:b/>
                      <w:bCs/>
                      <w:sz w:val="24"/>
                    </w:rPr>
                    <w:t>小型、微型企业投标且所投产品（指货物、工程、服务）由本企业制造，或者所投产品（仅指货物）含有其他小型、微型企业制造的，应</w:t>
                  </w:r>
                  <w:r>
                    <w:rPr>
                      <w:rFonts w:hint="eastAsia" w:ascii="宋体" w:hAnsi="宋体"/>
                      <w:b/>
                      <w:bCs/>
                      <w:sz w:val="24"/>
                      <w:lang w:val="en-GB"/>
                    </w:rPr>
                    <w:t>按要求列出具体产品与金额。</w:t>
                  </w:r>
                </w:p>
              </w:tc>
            </w:tr>
          </w:tbl>
          <w:p>
            <w:pPr>
              <w:pStyle w:val="36"/>
              <w:tabs>
                <w:tab w:val="left" w:pos="126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6"/>
              <w:tabs>
                <w:tab w:val="left" w:pos="1260"/>
              </w:tabs>
              <w:jc w:val="center"/>
              <w:rPr>
                <w:rFonts w:ascii="宋体" w:hAnsi="宋体"/>
                <w:sz w:val="24"/>
                <w:lang w:val="en-GB"/>
              </w:rPr>
            </w:pPr>
          </w:p>
        </w:tc>
        <w:tc>
          <w:tcPr>
            <w:tcW w:w="2679" w:type="dxa"/>
            <w:vAlign w:val="center"/>
          </w:tcPr>
          <w:p>
            <w:pPr>
              <w:pStyle w:val="36"/>
              <w:tabs>
                <w:tab w:val="left" w:pos="1260"/>
              </w:tabs>
              <w:jc w:val="center"/>
              <w:rPr>
                <w:rFonts w:ascii="宋体" w:hAnsi="宋体"/>
                <w:sz w:val="24"/>
                <w:lang w:val="en-GB"/>
              </w:rPr>
            </w:pPr>
            <w:r>
              <w:rPr>
                <w:rFonts w:hint="eastAsia" w:ascii="宋体" w:hAnsi="宋体"/>
                <w:sz w:val="24"/>
                <w:lang w:val="en-GB"/>
              </w:rPr>
              <w:t>产品名称（品牌、型号）</w:t>
            </w:r>
          </w:p>
        </w:tc>
        <w:tc>
          <w:tcPr>
            <w:tcW w:w="3811" w:type="dxa"/>
            <w:vAlign w:val="center"/>
          </w:tcPr>
          <w:p>
            <w:pPr>
              <w:pStyle w:val="36"/>
              <w:tabs>
                <w:tab w:val="left" w:pos="1260"/>
              </w:tabs>
              <w:jc w:val="center"/>
              <w:rPr>
                <w:rFonts w:ascii="宋体" w:hAnsi="宋体"/>
                <w:sz w:val="24"/>
                <w:lang w:val="en-GB"/>
              </w:rPr>
            </w:pPr>
            <w:r>
              <w:rPr>
                <w:rFonts w:hint="eastAsia" w:ascii="宋体" w:hAnsi="宋体"/>
                <w:sz w:val="24"/>
                <w:lang w:val="en-GB"/>
              </w:rPr>
              <w:t>制造企业名称</w:t>
            </w:r>
          </w:p>
        </w:tc>
        <w:tc>
          <w:tcPr>
            <w:tcW w:w="1621" w:type="dxa"/>
            <w:vAlign w:val="center"/>
          </w:tcPr>
          <w:p>
            <w:pPr>
              <w:pStyle w:val="36"/>
              <w:tabs>
                <w:tab w:val="left" w:pos="1260"/>
              </w:tabs>
              <w:jc w:val="center"/>
              <w:rPr>
                <w:rFonts w:ascii="宋体" w:hAnsi="宋体"/>
                <w:sz w:val="24"/>
                <w:lang w:val="en-GB"/>
              </w:rPr>
            </w:pPr>
            <w:r>
              <w:rPr>
                <w:rFonts w:hint="eastAsia" w:ascii="宋体" w:hAnsi="宋体"/>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6"/>
              <w:tabs>
                <w:tab w:val="left" w:pos="1260"/>
              </w:tabs>
              <w:jc w:val="center"/>
              <w:rPr>
                <w:rFonts w:ascii="宋体" w:hAnsi="宋体"/>
                <w:sz w:val="24"/>
                <w:lang w:val="en-GB"/>
              </w:rPr>
            </w:pPr>
          </w:p>
        </w:tc>
        <w:tc>
          <w:tcPr>
            <w:tcW w:w="2679" w:type="dxa"/>
            <w:vAlign w:val="center"/>
          </w:tcPr>
          <w:p>
            <w:pPr>
              <w:pStyle w:val="36"/>
              <w:tabs>
                <w:tab w:val="left" w:pos="1260"/>
              </w:tabs>
              <w:jc w:val="center"/>
              <w:rPr>
                <w:rFonts w:ascii="宋体" w:hAnsi="宋体"/>
                <w:sz w:val="24"/>
                <w:lang w:val="en-GB"/>
              </w:rPr>
            </w:pPr>
          </w:p>
        </w:tc>
        <w:tc>
          <w:tcPr>
            <w:tcW w:w="3811" w:type="dxa"/>
            <w:vAlign w:val="center"/>
          </w:tcPr>
          <w:p>
            <w:pPr>
              <w:pStyle w:val="36"/>
              <w:tabs>
                <w:tab w:val="left" w:pos="1260"/>
              </w:tabs>
              <w:jc w:val="center"/>
              <w:rPr>
                <w:rFonts w:ascii="宋体" w:hAnsi="宋体"/>
                <w:sz w:val="24"/>
                <w:lang w:val="en-GB"/>
              </w:rPr>
            </w:pPr>
          </w:p>
        </w:tc>
        <w:tc>
          <w:tcPr>
            <w:tcW w:w="1621" w:type="dxa"/>
            <w:vAlign w:val="center"/>
          </w:tcPr>
          <w:p>
            <w:pPr>
              <w:pStyle w:val="36"/>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6"/>
              <w:tabs>
                <w:tab w:val="left" w:pos="1260"/>
              </w:tabs>
              <w:jc w:val="center"/>
              <w:rPr>
                <w:rFonts w:ascii="宋体" w:hAnsi="宋体"/>
                <w:sz w:val="24"/>
                <w:lang w:val="en-GB"/>
              </w:rPr>
            </w:pPr>
          </w:p>
        </w:tc>
        <w:tc>
          <w:tcPr>
            <w:tcW w:w="2679" w:type="dxa"/>
            <w:vAlign w:val="center"/>
          </w:tcPr>
          <w:p>
            <w:pPr>
              <w:pStyle w:val="36"/>
              <w:tabs>
                <w:tab w:val="left" w:pos="1260"/>
              </w:tabs>
              <w:jc w:val="center"/>
              <w:rPr>
                <w:rFonts w:ascii="宋体" w:hAnsi="宋体"/>
                <w:sz w:val="24"/>
                <w:lang w:val="en-GB"/>
              </w:rPr>
            </w:pPr>
          </w:p>
        </w:tc>
        <w:tc>
          <w:tcPr>
            <w:tcW w:w="3811" w:type="dxa"/>
            <w:vAlign w:val="center"/>
          </w:tcPr>
          <w:p>
            <w:pPr>
              <w:pStyle w:val="36"/>
              <w:tabs>
                <w:tab w:val="left" w:pos="1260"/>
              </w:tabs>
              <w:jc w:val="center"/>
              <w:rPr>
                <w:rFonts w:ascii="宋体" w:hAnsi="宋体"/>
                <w:sz w:val="24"/>
                <w:lang w:val="en-GB"/>
              </w:rPr>
            </w:pPr>
          </w:p>
        </w:tc>
        <w:tc>
          <w:tcPr>
            <w:tcW w:w="1621" w:type="dxa"/>
            <w:vAlign w:val="center"/>
          </w:tcPr>
          <w:p>
            <w:pPr>
              <w:pStyle w:val="36"/>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6"/>
              <w:tabs>
                <w:tab w:val="left" w:pos="1260"/>
              </w:tabs>
              <w:jc w:val="center"/>
              <w:rPr>
                <w:rFonts w:ascii="宋体" w:hAnsi="宋体"/>
                <w:sz w:val="24"/>
                <w:lang w:val="en-GB"/>
              </w:rPr>
            </w:pPr>
          </w:p>
        </w:tc>
        <w:tc>
          <w:tcPr>
            <w:tcW w:w="2679" w:type="dxa"/>
            <w:vAlign w:val="center"/>
          </w:tcPr>
          <w:p>
            <w:pPr>
              <w:pStyle w:val="36"/>
              <w:tabs>
                <w:tab w:val="left" w:pos="1260"/>
              </w:tabs>
              <w:jc w:val="center"/>
              <w:rPr>
                <w:rFonts w:ascii="宋体" w:hAnsi="宋体"/>
                <w:sz w:val="24"/>
                <w:lang w:val="en-GB"/>
              </w:rPr>
            </w:pPr>
          </w:p>
        </w:tc>
        <w:tc>
          <w:tcPr>
            <w:tcW w:w="3811" w:type="dxa"/>
            <w:vAlign w:val="center"/>
          </w:tcPr>
          <w:p>
            <w:pPr>
              <w:pStyle w:val="36"/>
              <w:tabs>
                <w:tab w:val="left" w:pos="1260"/>
              </w:tabs>
              <w:jc w:val="center"/>
              <w:rPr>
                <w:rFonts w:ascii="宋体" w:hAnsi="宋体"/>
                <w:sz w:val="24"/>
                <w:lang w:val="en-GB"/>
              </w:rPr>
            </w:pPr>
          </w:p>
        </w:tc>
        <w:tc>
          <w:tcPr>
            <w:tcW w:w="1621" w:type="dxa"/>
            <w:vAlign w:val="center"/>
          </w:tcPr>
          <w:p>
            <w:pPr>
              <w:pStyle w:val="36"/>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6"/>
              <w:tabs>
                <w:tab w:val="left" w:pos="1260"/>
              </w:tabs>
              <w:jc w:val="center"/>
              <w:rPr>
                <w:rFonts w:ascii="宋体" w:hAnsi="宋体"/>
                <w:sz w:val="24"/>
                <w:lang w:val="en-GB"/>
              </w:rPr>
            </w:pPr>
          </w:p>
        </w:tc>
        <w:tc>
          <w:tcPr>
            <w:tcW w:w="6490" w:type="dxa"/>
            <w:gridSpan w:val="2"/>
            <w:vAlign w:val="center"/>
          </w:tcPr>
          <w:p>
            <w:pPr>
              <w:pStyle w:val="36"/>
              <w:tabs>
                <w:tab w:val="left" w:pos="1260"/>
              </w:tabs>
              <w:jc w:val="center"/>
              <w:rPr>
                <w:rFonts w:ascii="宋体" w:hAnsi="宋体"/>
                <w:sz w:val="24"/>
                <w:lang w:val="en-GB"/>
              </w:rPr>
            </w:pPr>
            <w:r>
              <w:rPr>
                <w:rFonts w:hint="eastAsia" w:ascii="宋体" w:hAnsi="宋体"/>
                <w:sz w:val="24"/>
              </w:rPr>
              <w:t>小型、微型企业产品</w:t>
            </w:r>
            <w:r>
              <w:rPr>
                <w:rFonts w:hint="eastAsia" w:ascii="宋体" w:hAnsi="宋体"/>
                <w:sz w:val="24"/>
                <w:lang w:val="en-GB"/>
              </w:rPr>
              <w:t>金额合计（元）</w:t>
            </w:r>
          </w:p>
          <w:p/>
        </w:tc>
        <w:tc>
          <w:tcPr>
            <w:tcW w:w="1621" w:type="dxa"/>
            <w:vAlign w:val="center"/>
          </w:tcPr>
          <w:p>
            <w:pPr>
              <w:pStyle w:val="36"/>
              <w:tabs>
                <w:tab w:val="left" w:pos="1260"/>
              </w:tabs>
              <w:jc w:val="center"/>
              <w:rPr>
                <w:rFonts w:ascii="宋体" w:hAnsi="宋体"/>
                <w:sz w:val="24"/>
                <w:lang w:val="en-GB"/>
              </w:rPr>
            </w:pPr>
          </w:p>
        </w:tc>
      </w:tr>
    </w:tbl>
    <w:p>
      <w:pPr>
        <w:pStyle w:val="36"/>
        <w:spacing w:line="360" w:lineRule="auto"/>
        <w:rPr>
          <w:rFonts w:ascii="宋体" w:hAnsi="宋体"/>
          <w:szCs w:val="21"/>
          <w:lang w:val="en-GB"/>
        </w:rPr>
      </w:pPr>
    </w:p>
    <w:p>
      <w:pPr>
        <w:pStyle w:val="36"/>
        <w:spacing w:line="360" w:lineRule="auto"/>
        <w:rPr>
          <w:rFonts w:ascii="宋体" w:hAnsi="宋体"/>
          <w:szCs w:val="21"/>
          <w:lang w:val="en-GB"/>
        </w:rPr>
      </w:pPr>
      <w:r>
        <w:rPr>
          <w:rFonts w:hint="eastAsia" w:ascii="宋体" w:hAnsi="宋体"/>
          <w:szCs w:val="21"/>
          <w:lang w:val="en-GB"/>
        </w:rPr>
        <w:t>填报要求：</w:t>
      </w:r>
    </w:p>
    <w:p>
      <w:pPr>
        <w:pStyle w:val="36"/>
        <w:widowControl/>
        <w:numPr>
          <w:ilvl w:val="0"/>
          <w:numId w:val="20"/>
        </w:numPr>
        <w:spacing w:line="360" w:lineRule="auto"/>
        <w:ind w:right="84" w:rightChars="40"/>
        <w:jc w:val="left"/>
        <w:rPr>
          <w:rFonts w:ascii="宋体" w:hAnsi="宋体"/>
          <w:szCs w:val="21"/>
          <w:lang w:val="en-GB"/>
        </w:rPr>
      </w:pPr>
      <w:r>
        <w:rPr>
          <w:rFonts w:hint="eastAsia" w:ascii="宋体" w:hAnsi="宋体"/>
          <w:szCs w:val="21"/>
          <w:lang w:val="en-GB"/>
        </w:rPr>
        <w:t>本表的产品名称、规格型号和注册商标、金额要与《报价明细表》一致。</w:t>
      </w:r>
    </w:p>
    <w:p>
      <w:pPr>
        <w:pStyle w:val="36"/>
        <w:widowControl/>
        <w:numPr>
          <w:ilvl w:val="0"/>
          <w:numId w:val="20"/>
        </w:numPr>
        <w:tabs>
          <w:tab w:val="left" w:pos="360"/>
        </w:tabs>
        <w:spacing w:line="360" w:lineRule="auto"/>
        <w:ind w:left="360" w:right="84" w:rightChars="40" w:hanging="360"/>
        <w:jc w:val="left"/>
        <w:rPr>
          <w:rFonts w:ascii="宋体" w:hAnsi="宋体"/>
          <w:szCs w:val="21"/>
          <w:lang w:val="en-GB"/>
        </w:rPr>
      </w:pPr>
      <w:r>
        <w:rPr>
          <w:rFonts w:hint="eastAsia" w:ascii="宋体" w:hAnsi="宋体"/>
          <w:szCs w:val="21"/>
          <w:lang w:val="en-GB"/>
        </w:rPr>
        <w:t>制造商为小型或微型企业时才需要填“制造商企业类型”栏，填写内容为“小型”或“微型”。</w:t>
      </w:r>
    </w:p>
    <w:p>
      <w:pPr>
        <w:pStyle w:val="36"/>
        <w:widowControl/>
        <w:numPr>
          <w:ilvl w:val="0"/>
          <w:numId w:val="20"/>
        </w:numPr>
        <w:spacing w:line="360" w:lineRule="auto"/>
        <w:ind w:right="84" w:rightChars="40"/>
        <w:jc w:val="left"/>
        <w:rPr>
          <w:rFonts w:ascii="宋体" w:hAnsi="宋体"/>
          <w:szCs w:val="21"/>
          <w:lang w:val="en-GB"/>
        </w:rPr>
      </w:pPr>
      <w:r>
        <w:rPr>
          <w:rFonts w:hint="eastAsia" w:ascii="宋体" w:hAnsi="宋体"/>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w:t>
      </w:r>
      <w:r>
        <w:rPr>
          <w:rFonts w:hint="eastAsia" w:ascii="宋体" w:hAnsi="宋体"/>
          <w:color w:val="FF0000"/>
          <w:szCs w:val="21"/>
        </w:rPr>
        <w:t>不符产品核</w:t>
      </w:r>
      <w:r>
        <w:rPr>
          <w:rFonts w:hint="eastAsia" w:ascii="宋体" w:hAnsi="宋体"/>
          <w:szCs w:val="21"/>
          <w:lang w:val="en-GB"/>
        </w:rPr>
        <w:t>计金额将不予以享受小微企业扶持政策优惠）。</w:t>
      </w:r>
    </w:p>
    <w:p>
      <w:pPr>
        <w:tabs>
          <w:tab w:val="left" w:pos="1418"/>
        </w:tabs>
        <w:autoSpaceDE w:val="0"/>
        <w:autoSpaceDN w:val="0"/>
        <w:adjustRightInd w:val="0"/>
        <w:spacing w:line="360" w:lineRule="auto"/>
        <w:ind w:firstLine="480" w:firstLineChars="200"/>
        <w:rPr>
          <w:rFonts w:ascii="宋体"/>
          <w:kern w:val="0"/>
          <w:sz w:val="24"/>
          <w:lang w:val="en-GB"/>
        </w:rPr>
      </w:pPr>
    </w:p>
    <w:p/>
    <w:p>
      <w:pPr>
        <w:snapToGrid w:val="0"/>
        <w:spacing w:line="360" w:lineRule="auto"/>
        <w:ind w:firstLine="480" w:firstLineChars="200"/>
        <w:jc w:val="left"/>
        <w:rPr>
          <w:rFonts w:asciiTheme="minorEastAsia" w:hAnsiTheme="minorEastAsia" w:eastAsiaTheme="minorEastAsia"/>
          <w:sz w:val="24"/>
        </w:rPr>
      </w:pPr>
    </w:p>
    <w:p/>
    <w:p/>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23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79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95CFA382"/>
    <w:multiLevelType w:val="singleLevel"/>
    <w:tmpl w:val="95CFA382"/>
    <w:lvl w:ilvl="0" w:tentative="0">
      <w:start w:val="1"/>
      <w:numFmt w:val="decimal"/>
      <w:suff w:val="nothing"/>
      <w:lvlText w:val="%1、"/>
      <w:lvlJc w:val="left"/>
    </w:lvl>
  </w:abstractNum>
  <w:abstractNum w:abstractNumId="2">
    <w:nsid w:val="AF3E1766"/>
    <w:multiLevelType w:val="singleLevel"/>
    <w:tmpl w:val="AF3E1766"/>
    <w:lvl w:ilvl="0" w:tentative="0">
      <w:start w:val="1"/>
      <w:numFmt w:val="decimal"/>
      <w:suff w:val="nothing"/>
      <w:lvlText w:val="（%1）"/>
      <w:lvlJc w:val="left"/>
    </w:lvl>
  </w:abstractNum>
  <w:abstractNum w:abstractNumId="3">
    <w:nsid w:val="C6FDFCEC"/>
    <w:multiLevelType w:val="singleLevel"/>
    <w:tmpl w:val="C6FDFCEC"/>
    <w:lvl w:ilvl="0" w:tentative="0">
      <w:start w:val="1"/>
      <w:numFmt w:val="decimal"/>
      <w:suff w:val="nothing"/>
      <w:lvlText w:val="%1、"/>
      <w:lvlJc w:val="left"/>
      <w:pPr>
        <w:ind w:left="-62"/>
      </w:pPr>
      <w:rPr>
        <w:rFonts w:hint="default" w:ascii="宋体" w:hAnsi="宋体" w:eastAsia="宋体" w:cs="宋体"/>
        <w:b/>
        <w:bCs/>
      </w:rPr>
    </w:lvl>
  </w:abstractNum>
  <w:abstractNum w:abstractNumId="4">
    <w:nsid w:val="C8A3F0D0"/>
    <w:multiLevelType w:val="singleLevel"/>
    <w:tmpl w:val="C8A3F0D0"/>
    <w:lvl w:ilvl="0" w:tentative="0">
      <w:start w:val="2"/>
      <w:numFmt w:val="chineseCounting"/>
      <w:suff w:val="nothing"/>
      <w:lvlText w:val="（%1）"/>
      <w:lvlJc w:val="left"/>
      <w:pPr>
        <w:ind w:left="210" w:firstLine="0"/>
      </w:pPr>
      <w:rPr>
        <w:rFonts w:hint="eastAsia"/>
      </w:rPr>
    </w:lvl>
  </w:abstractNum>
  <w:abstractNum w:abstractNumId="5">
    <w:nsid w:val="E9CBAF48"/>
    <w:multiLevelType w:val="singleLevel"/>
    <w:tmpl w:val="E9CBAF48"/>
    <w:lvl w:ilvl="0" w:tentative="0">
      <w:start w:val="1"/>
      <w:numFmt w:val="decimal"/>
      <w:suff w:val="nothing"/>
      <w:lvlText w:val="（%1）"/>
      <w:lvlJc w:val="left"/>
    </w:lvl>
  </w:abstractNum>
  <w:abstractNum w:abstractNumId="6">
    <w:nsid w:val="EC21AED7"/>
    <w:multiLevelType w:val="singleLevel"/>
    <w:tmpl w:val="EC21AED7"/>
    <w:lvl w:ilvl="0" w:tentative="0">
      <w:start w:val="7"/>
      <w:numFmt w:val="decimal"/>
      <w:suff w:val="nothing"/>
      <w:lvlText w:val="%1、"/>
      <w:lvlJc w:val="left"/>
    </w:lvl>
  </w:abstractNum>
  <w:abstractNum w:abstractNumId="7">
    <w:nsid w:val="EEAFAC12"/>
    <w:multiLevelType w:val="singleLevel"/>
    <w:tmpl w:val="EEAFAC12"/>
    <w:lvl w:ilvl="0" w:tentative="0">
      <w:start w:val="12"/>
      <w:numFmt w:val="decimal"/>
      <w:suff w:val="nothing"/>
      <w:lvlText w:val="%1、"/>
      <w:lvlJc w:val="left"/>
      <w:pPr>
        <w:ind w:left="-60"/>
      </w:pPr>
    </w:lvl>
  </w:abstractNum>
  <w:abstractNum w:abstractNumId="8">
    <w:nsid w:val="023419C9"/>
    <w:multiLevelType w:val="singleLevel"/>
    <w:tmpl w:val="023419C9"/>
    <w:lvl w:ilvl="0" w:tentative="0">
      <w:start w:val="2"/>
      <w:numFmt w:val="decimal"/>
      <w:suff w:val="nothing"/>
      <w:lvlText w:val="%1、"/>
      <w:lvlJc w:val="left"/>
    </w:lvl>
  </w:abstractNum>
  <w:abstractNum w:abstractNumId="9">
    <w:nsid w:val="053B5579"/>
    <w:multiLevelType w:val="multilevel"/>
    <w:tmpl w:val="053B5579"/>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3"/>
      <w:lvlJc w:val="left"/>
      <w:pPr>
        <w:ind w:left="720" w:hanging="720"/>
      </w:pPr>
      <w:rPr>
        <w:rFonts w:hint="eastAsia" w:ascii="宋体" w:hAnsi="宋体" w:eastAsia="宋体"/>
      </w:rPr>
    </w:lvl>
    <w:lvl w:ilvl="3" w:tentative="0">
      <w:start w:val="1"/>
      <w:numFmt w:val="decimal"/>
      <w:lvlText w:val="%3.%4"/>
      <w:lvlJc w:val="left"/>
      <w:pPr>
        <w:ind w:left="864" w:hanging="864"/>
      </w:pPr>
      <w:rPr>
        <w:rFonts w:hint="eastAsia" w:ascii="宋体" w:hAnsi="宋体" w:eastAsia="宋体"/>
      </w:rPr>
    </w:lvl>
    <w:lvl w:ilvl="4" w:tentative="0">
      <w:start w:val="1"/>
      <w:numFmt w:val="decimal"/>
      <w:pStyle w:val="8"/>
      <w:lvlText w:val="%3.%4.%5"/>
      <w:lvlJc w:val="left"/>
      <w:pPr>
        <w:ind w:left="1008" w:hanging="1008"/>
      </w:pPr>
      <w:rPr>
        <w:rFonts w:hint="eastAsia"/>
      </w:rPr>
    </w:lvl>
    <w:lvl w:ilvl="5" w:tentative="0">
      <w:start w:val="1"/>
      <w:numFmt w:val="decimal"/>
      <w:lvlText w:val="%3.%4.%5.%6"/>
      <w:lvlJc w:val="left"/>
      <w:pPr>
        <w:ind w:left="1152" w:hanging="1152"/>
      </w:pPr>
      <w:rPr>
        <w:rFonts w:hint="eastAsia" w:ascii="宋体" w:hAnsi="宋体" w:eastAsia="宋体"/>
      </w:rPr>
    </w:lvl>
    <w:lvl w:ilvl="6" w:tentative="0">
      <w:start w:val="1"/>
      <w:numFmt w:val="decimal"/>
      <w:lvlText w:val="%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0">
    <w:nsid w:val="0ED2C79B"/>
    <w:multiLevelType w:val="singleLevel"/>
    <w:tmpl w:val="0ED2C79B"/>
    <w:lvl w:ilvl="0" w:tentative="0">
      <w:start w:val="1"/>
      <w:numFmt w:val="decimal"/>
      <w:pStyle w:val="9"/>
      <w:lvlText w:val="%1."/>
      <w:lvlJc w:val="left"/>
      <w:pPr>
        <w:tabs>
          <w:tab w:val="left" w:pos="360"/>
        </w:tabs>
        <w:ind w:left="360" w:hanging="360"/>
      </w:pPr>
    </w:lvl>
  </w:abstractNum>
  <w:abstractNum w:abstractNumId="11">
    <w:nsid w:val="1F913DB7"/>
    <w:multiLevelType w:val="singleLevel"/>
    <w:tmpl w:val="1F913DB7"/>
    <w:lvl w:ilvl="0" w:tentative="0">
      <w:start w:val="6"/>
      <w:numFmt w:val="decimal"/>
      <w:suff w:val="space"/>
      <w:lvlText w:val="%1."/>
      <w:lvlJc w:val="left"/>
    </w:lvl>
  </w:abstractNum>
  <w:abstractNum w:abstractNumId="12">
    <w:nsid w:val="40C56448"/>
    <w:multiLevelType w:val="singleLevel"/>
    <w:tmpl w:val="40C56448"/>
    <w:lvl w:ilvl="0" w:tentative="0">
      <w:start w:val="2"/>
      <w:numFmt w:val="decimal"/>
      <w:suff w:val="nothing"/>
      <w:lvlText w:val="（%1）"/>
      <w:lvlJc w:val="left"/>
    </w:lvl>
  </w:abstractNum>
  <w:abstractNum w:abstractNumId="13">
    <w:nsid w:val="461E5E94"/>
    <w:multiLevelType w:val="singleLevel"/>
    <w:tmpl w:val="461E5E94"/>
    <w:lvl w:ilvl="0" w:tentative="0">
      <w:start w:val="2"/>
      <w:numFmt w:val="chineseCounting"/>
      <w:suff w:val="space"/>
      <w:lvlText w:val="第%1章"/>
      <w:lvlJc w:val="left"/>
      <w:rPr>
        <w:rFonts w:hint="eastAsia"/>
      </w:rPr>
    </w:lvl>
  </w:abstractNum>
  <w:abstractNum w:abstractNumId="14">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15">
    <w:nsid w:val="501D9B93"/>
    <w:multiLevelType w:val="singleLevel"/>
    <w:tmpl w:val="501D9B93"/>
    <w:lvl w:ilvl="0" w:tentative="0">
      <w:start w:val="1"/>
      <w:numFmt w:val="decimal"/>
      <w:suff w:val="nothing"/>
      <w:lvlText w:val="（%1）"/>
      <w:lvlJc w:val="left"/>
    </w:lvl>
  </w:abstractNum>
  <w:abstractNum w:abstractNumId="16">
    <w:nsid w:val="636567A2"/>
    <w:multiLevelType w:val="multilevel"/>
    <w:tmpl w:val="636567A2"/>
    <w:lvl w:ilvl="0" w:tentative="0">
      <w:start w:val="1"/>
      <w:numFmt w:val="decimal"/>
      <w:pStyle w:val="4"/>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7">
    <w:nsid w:val="66DDD653"/>
    <w:multiLevelType w:val="singleLevel"/>
    <w:tmpl w:val="66DDD653"/>
    <w:lvl w:ilvl="0" w:tentative="0">
      <w:start w:val="1"/>
      <w:numFmt w:val="chineseCounting"/>
      <w:suff w:val="space"/>
      <w:lvlText w:val="第%1章"/>
      <w:lvlJc w:val="left"/>
      <w:rPr>
        <w:rFonts w:hint="eastAsia"/>
      </w:rPr>
    </w:lvl>
  </w:abstractNum>
  <w:abstractNum w:abstractNumId="18">
    <w:nsid w:val="6C219F62"/>
    <w:multiLevelType w:val="singleLevel"/>
    <w:tmpl w:val="6C219F62"/>
    <w:lvl w:ilvl="0" w:tentative="0">
      <w:start w:val="2"/>
      <w:numFmt w:val="chineseCounting"/>
      <w:suff w:val="nothing"/>
      <w:lvlText w:val="%1、"/>
      <w:lvlJc w:val="left"/>
      <w:rPr>
        <w:rFonts w:hint="eastAsia"/>
      </w:rPr>
    </w:lvl>
  </w:abstractNum>
  <w:abstractNum w:abstractNumId="19">
    <w:nsid w:val="6E6F6101"/>
    <w:multiLevelType w:val="multilevel"/>
    <w:tmpl w:val="6E6F610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num w:numId="1">
    <w:abstractNumId w:val="16"/>
  </w:num>
  <w:num w:numId="2">
    <w:abstractNumId w:val="9"/>
  </w:num>
  <w:num w:numId="3">
    <w:abstractNumId w:val="10"/>
  </w:num>
  <w:num w:numId="4">
    <w:abstractNumId w:val="14"/>
  </w:num>
  <w:num w:numId="5">
    <w:abstractNumId w:val="17"/>
  </w:num>
  <w:num w:numId="6">
    <w:abstractNumId w:val="13"/>
  </w:num>
  <w:num w:numId="7">
    <w:abstractNumId w:val="2"/>
  </w:num>
  <w:num w:numId="8">
    <w:abstractNumId w:val="4"/>
  </w:num>
  <w:num w:numId="9">
    <w:abstractNumId w:val="5"/>
  </w:num>
  <w:num w:numId="10">
    <w:abstractNumId w:val="8"/>
  </w:num>
  <w:num w:numId="11">
    <w:abstractNumId w:val="7"/>
  </w:num>
  <w:num w:numId="12">
    <w:abstractNumId w:val="18"/>
  </w:num>
  <w:num w:numId="13">
    <w:abstractNumId w:val="15"/>
  </w:num>
  <w:num w:numId="14">
    <w:abstractNumId w:val="12"/>
  </w:num>
  <w:num w:numId="15">
    <w:abstractNumId w:val="6"/>
  </w:num>
  <w:num w:numId="16">
    <w:abstractNumId w:val="3"/>
  </w:num>
  <w:num w:numId="17">
    <w:abstractNumId w:val="11"/>
  </w:num>
  <w:num w:numId="18">
    <w:abstractNumId w:val="0"/>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F2B0C"/>
    <w:rsid w:val="00AB49B7"/>
    <w:rsid w:val="010742D5"/>
    <w:rsid w:val="01851778"/>
    <w:rsid w:val="056321D4"/>
    <w:rsid w:val="08DC3175"/>
    <w:rsid w:val="09ED09A0"/>
    <w:rsid w:val="0AD77567"/>
    <w:rsid w:val="0AEA3C8C"/>
    <w:rsid w:val="0B70129B"/>
    <w:rsid w:val="0DE7555E"/>
    <w:rsid w:val="10DA133A"/>
    <w:rsid w:val="11A2124C"/>
    <w:rsid w:val="13756E4C"/>
    <w:rsid w:val="13C30E6E"/>
    <w:rsid w:val="16677270"/>
    <w:rsid w:val="16AC3523"/>
    <w:rsid w:val="173D243C"/>
    <w:rsid w:val="17534ECF"/>
    <w:rsid w:val="181011F1"/>
    <w:rsid w:val="18CC2679"/>
    <w:rsid w:val="1B8C6B7B"/>
    <w:rsid w:val="1BF657FB"/>
    <w:rsid w:val="1C3F7F89"/>
    <w:rsid w:val="2024650C"/>
    <w:rsid w:val="206B5D8D"/>
    <w:rsid w:val="211904D3"/>
    <w:rsid w:val="2147300F"/>
    <w:rsid w:val="27C63409"/>
    <w:rsid w:val="29D923B6"/>
    <w:rsid w:val="29DA01CB"/>
    <w:rsid w:val="2AC017A8"/>
    <w:rsid w:val="2B757A0B"/>
    <w:rsid w:val="2DAC3053"/>
    <w:rsid w:val="31226D80"/>
    <w:rsid w:val="324C0B81"/>
    <w:rsid w:val="33091096"/>
    <w:rsid w:val="346001A7"/>
    <w:rsid w:val="35850AE6"/>
    <w:rsid w:val="368F5FC5"/>
    <w:rsid w:val="3B59431A"/>
    <w:rsid w:val="3C130078"/>
    <w:rsid w:val="42455024"/>
    <w:rsid w:val="4400649E"/>
    <w:rsid w:val="4589535B"/>
    <w:rsid w:val="46F40267"/>
    <w:rsid w:val="47F77566"/>
    <w:rsid w:val="489C7EA5"/>
    <w:rsid w:val="4BE5247F"/>
    <w:rsid w:val="4D670A85"/>
    <w:rsid w:val="4DB87F6B"/>
    <w:rsid w:val="4E0623E4"/>
    <w:rsid w:val="503E14CA"/>
    <w:rsid w:val="53BC34C4"/>
    <w:rsid w:val="53D86CE4"/>
    <w:rsid w:val="553D5A1E"/>
    <w:rsid w:val="55DD38ED"/>
    <w:rsid w:val="57AA5D1A"/>
    <w:rsid w:val="587316C8"/>
    <w:rsid w:val="5A276B68"/>
    <w:rsid w:val="5A624429"/>
    <w:rsid w:val="5B7601D8"/>
    <w:rsid w:val="5E761EB5"/>
    <w:rsid w:val="5ECB586C"/>
    <w:rsid w:val="621468E0"/>
    <w:rsid w:val="62EC23EA"/>
    <w:rsid w:val="630030FE"/>
    <w:rsid w:val="641222ED"/>
    <w:rsid w:val="642B5582"/>
    <w:rsid w:val="64643953"/>
    <w:rsid w:val="64FD22E8"/>
    <w:rsid w:val="658C66C4"/>
    <w:rsid w:val="65AE1558"/>
    <w:rsid w:val="67856FD0"/>
    <w:rsid w:val="685F2B0C"/>
    <w:rsid w:val="69C21FC2"/>
    <w:rsid w:val="6A5B40F2"/>
    <w:rsid w:val="6FED0140"/>
    <w:rsid w:val="708006A4"/>
    <w:rsid w:val="755E6626"/>
    <w:rsid w:val="775F6DCE"/>
    <w:rsid w:val="7A815164"/>
    <w:rsid w:val="7AB41B82"/>
    <w:rsid w:val="7F2A6038"/>
    <w:rsid w:val="7F657E7A"/>
    <w:rsid w:val="7FAD02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5">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6">
    <w:name w:val="heading 3"/>
    <w:basedOn w:val="5"/>
    <w:next w:val="1"/>
    <w:semiHidden/>
    <w:unhideWhenUsed/>
    <w:qFormat/>
    <w:uiPriority w:val="0"/>
    <w:pPr>
      <w:keepNext/>
      <w:keepLines/>
      <w:spacing w:before="260" w:after="260" w:line="416" w:lineRule="auto"/>
      <w:outlineLvl w:val="2"/>
    </w:pPr>
    <w:rPr>
      <w:bCs/>
      <w:szCs w:val="32"/>
    </w:rPr>
  </w:style>
  <w:style w:type="paragraph" w:styleId="7">
    <w:name w:val="heading 4"/>
    <w:basedOn w:val="6"/>
    <w:next w:val="1"/>
    <w:unhideWhenUsed/>
    <w:qFormat/>
    <w:uiPriority w:val="0"/>
    <w:pPr>
      <w:outlineLvl w:val="3"/>
    </w:pPr>
    <w:rPr>
      <w:rFonts w:ascii="等线 Light" w:hAnsi="等线 Light"/>
      <w:sz w:val="24"/>
      <w:szCs w:val="28"/>
    </w:rPr>
  </w:style>
  <w:style w:type="paragraph" w:styleId="8">
    <w:name w:val="heading 5"/>
    <w:basedOn w:val="1"/>
    <w:next w:val="1"/>
    <w:unhideWhenUsed/>
    <w:qFormat/>
    <w:uiPriority w:val="0"/>
    <w:pPr>
      <w:keepNext/>
      <w:keepLines/>
      <w:numPr>
        <w:ilvl w:val="4"/>
        <w:numId w:val="2"/>
      </w:numPr>
      <w:tabs>
        <w:tab w:val="left" w:pos="0"/>
        <w:tab w:val="left" w:pos="240"/>
      </w:tabs>
      <w:snapToGrid w:val="0"/>
      <w:spacing w:line="360" w:lineRule="auto"/>
      <w:outlineLvl w:val="4"/>
    </w:pPr>
    <w:rPr>
      <w:rFonts w:ascii="宋体" w:hAnsi="宋体" w:eastAsia="宋体" w:cs="Times New Roman"/>
      <w:b/>
      <w:bCs/>
      <w:color w:val="000000"/>
      <w:sz w:val="24"/>
      <w:szCs w:val="24"/>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60" w:lineRule="exact"/>
    </w:pPr>
    <w:rPr>
      <w:sz w:val="24"/>
    </w:rPr>
  </w:style>
  <w:style w:type="paragraph" w:styleId="3">
    <w:name w:val="Body Text First Indent"/>
    <w:basedOn w:val="2"/>
    <w:qFormat/>
    <w:uiPriority w:val="0"/>
    <w:pPr>
      <w:ind w:firstLine="200" w:firstLineChars="200"/>
    </w:pPr>
  </w:style>
  <w:style w:type="paragraph" w:styleId="9">
    <w:name w:val="List Number"/>
    <w:basedOn w:val="1"/>
    <w:qFormat/>
    <w:uiPriority w:val="0"/>
    <w:pPr>
      <w:numPr>
        <w:ilvl w:val="0"/>
        <w:numId w:val="3"/>
      </w:numPr>
    </w:pPr>
  </w:style>
  <w:style w:type="paragraph" w:styleId="10">
    <w:name w:val="Normal Indent"/>
    <w:basedOn w:val="1"/>
    <w:next w:val="1"/>
    <w:qFormat/>
    <w:uiPriority w:val="0"/>
    <w:pPr>
      <w:ind w:firstLine="420"/>
    </w:pPr>
    <w:rPr>
      <w:szCs w:val="20"/>
    </w:rPr>
  </w:style>
  <w:style w:type="paragraph" w:styleId="11">
    <w:name w:val="annotation text"/>
    <w:basedOn w:val="1"/>
    <w:qFormat/>
    <w:uiPriority w:val="0"/>
    <w:pPr>
      <w:jc w:val="left"/>
    </w:pPr>
  </w:style>
  <w:style w:type="paragraph" w:styleId="12">
    <w:name w:val="Body Text Indent"/>
    <w:basedOn w:val="1"/>
    <w:next w:val="1"/>
    <w:qFormat/>
    <w:uiPriority w:val="0"/>
    <w:pPr>
      <w:spacing w:after="120"/>
      <w:ind w:left="420" w:leftChars="200"/>
    </w:pPr>
  </w:style>
  <w:style w:type="paragraph" w:styleId="13">
    <w:name w:val="Plain Text"/>
    <w:basedOn w:val="1"/>
    <w:qFormat/>
    <w:uiPriority w:val="0"/>
    <w:rPr>
      <w:rFonts w:ascii="宋体" w:hAnsi="Courier New" w:cstheme="minorBidi"/>
    </w:rPr>
  </w:style>
  <w:style w:type="paragraph" w:styleId="14">
    <w:name w:val="Date"/>
    <w:basedOn w:val="1"/>
    <w:next w:val="1"/>
    <w:qFormat/>
    <w:uiPriority w:val="0"/>
    <w:pPr>
      <w:ind w:left="2500" w:leftChars="2500"/>
    </w:pPr>
    <w:rPr>
      <w:rFonts w:eastAsia="楷体_GB2312" w:asciiTheme="minorHAnsi" w:hAnsiTheme="minorHAnsi" w:cstheme="minorBidi"/>
      <w:sz w:val="32"/>
      <w:szCs w:val="22"/>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8">
    <w:name w:val="Body Text First Indent 2"/>
    <w:basedOn w:val="12"/>
    <w:qFormat/>
    <w:uiPriority w:val="0"/>
    <w:pPr>
      <w:ind w:firstLine="420"/>
    </w:pPr>
  </w:style>
  <w:style w:type="table" w:styleId="20">
    <w:name w:val="Table Grid"/>
    <w:basedOn w:val="19"/>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character" w:styleId="22">
    <w:name w:val="Hyperlink"/>
    <w:qFormat/>
    <w:uiPriority w:val="0"/>
    <w:rPr>
      <w:color w:val="0000FF"/>
      <w:u w:val="single"/>
    </w:rPr>
  </w:style>
  <w:style w:type="character" w:styleId="23">
    <w:name w:val="annotation reference"/>
    <w:basedOn w:val="21"/>
    <w:unhideWhenUsed/>
    <w:qFormat/>
    <w:uiPriority w:val="0"/>
    <w:rPr>
      <w:sz w:val="21"/>
      <w:szCs w:val="21"/>
    </w:rPr>
  </w:style>
  <w:style w:type="paragraph" w:customStyle="1" w:styleId="24">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5">
    <w:name w:val="List Paragraph"/>
    <w:basedOn w:val="1"/>
    <w:qFormat/>
    <w:uiPriority w:val="34"/>
    <w:pPr>
      <w:ind w:firstLine="420" w:firstLineChars="200"/>
    </w:pPr>
    <w:rPr>
      <w:rFonts w:ascii="Calibri" w:hAnsi="Calibri"/>
      <w:szCs w:val="22"/>
    </w:rPr>
  </w:style>
  <w:style w:type="paragraph" w:customStyle="1" w:styleId="26">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27">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2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9">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_14"/>
    <w:qFormat/>
    <w:uiPriority w:val="0"/>
    <w:rPr>
      <w:rFonts w:ascii="Times New Roman" w:hAnsi="Times New Roman" w:eastAsia="宋体" w:cs="Times New Roman"/>
      <w:sz w:val="21"/>
      <w:szCs w:val="22"/>
      <w:lang w:val="en-US" w:eastAsia="zh-CN" w:bidi="ar-SA"/>
    </w:rPr>
  </w:style>
  <w:style w:type="paragraph" w:customStyle="1" w:styleId="31">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纯文本_3"/>
    <w:basedOn w:val="33"/>
    <w:qFormat/>
    <w:uiPriority w:val="0"/>
    <w:pPr>
      <w:widowControl/>
      <w:jc w:val="left"/>
    </w:pPr>
    <w:rPr>
      <w:rFonts w:ascii="宋体" w:hAnsi="Courier New" w:eastAsiaTheme="minorEastAsia" w:cstheme="minorBidi"/>
      <w:szCs w:val="21"/>
    </w:rPr>
  </w:style>
  <w:style w:type="paragraph" w:customStyle="1" w:styleId="35">
    <w:name w:val="纯文本_0_1"/>
    <w:basedOn w:val="1"/>
    <w:qFormat/>
    <w:uiPriority w:val="0"/>
    <w:pPr>
      <w:widowControl/>
      <w:jc w:val="left"/>
    </w:pPr>
    <w:rPr>
      <w:rFonts w:ascii="宋体" w:hAnsi="Courier New" w:eastAsiaTheme="minorEastAsia" w:cstheme="minorBidi"/>
      <w:szCs w:val="21"/>
    </w:rPr>
  </w:style>
  <w:style w:type="paragraph" w:customStyle="1" w:styleId="3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0">
    <w:name w:val="font21"/>
    <w:basedOn w:val="21"/>
    <w:qFormat/>
    <w:uiPriority w:val="0"/>
    <w:rPr>
      <w:rFonts w:hint="default" w:ascii="Arial" w:hAnsi="Arial" w:cs="Arial"/>
      <w:color w:val="000000"/>
      <w:sz w:val="20"/>
      <w:szCs w:val="20"/>
      <w:u w:val="none"/>
    </w:rPr>
  </w:style>
  <w:style w:type="character" w:customStyle="1" w:styleId="41">
    <w:name w:val="font01"/>
    <w:basedOn w:val="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zebra</cp:lastModifiedBy>
  <cp:lastPrinted>2021-08-17T00:13:00Z</cp:lastPrinted>
  <dcterms:modified xsi:type="dcterms:W3CDTF">2021-09-14T07:49:43Z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4B7EBEAA550B45BD8EE4C468F8DC4A1A</vt:lpwstr>
  </property>
</Properties>
</file>