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CG-20</w:t>
      </w:r>
      <w:r>
        <w:rPr>
          <w:rFonts w:hint="eastAsia" w:ascii="宋体"/>
          <w:b/>
          <w:kern w:val="0"/>
          <w:sz w:val="32"/>
        </w:rPr>
        <w:t>21</w:t>
      </w:r>
      <w:r>
        <w:rPr>
          <w:rFonts w:ascii="宋体"/>
          <w:b/>
          <w:kern w:val="0"/>
          <w:sz w:val="32"/>
        </w:rPr>
        <w:t>-</w:t>
      </w:r>
      <w:r>
        <w:rPr>
          <w:rFonts w:hint="eastAsia" w:ascii="宋体"/>
          <w:b/>
          <w:kern w:val="0"/>
          <w:sz w:val="32"/>
        </w:rPr>
        <w:t>GK0</w:t>
      </w:r>
      <w:r>
        <w:rPr>
          <w:rFonts w:hint="eastAsia" w:ascii="宋体"/>
          <w:b/>
          <w:kern w:val="0"/>
          <w:sz w:val="32"/>
          <w:lang w:val="en-US" w:eastAsia="zh-CN"/>
        </w:rPr>
        <w:t>13</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077" w:firstLineChars="742"/>
        <w:jc w:val="left"/>
        <w:rPr>
          <w:rFonts w:hint="eastAsia" w:ascii="宋体"/>
          <w:kern w:val="0"/>
          <w:sz w:val="28"/>
        </w:rPr>
      </w:pPr>
      <w:r>
        <w:rPr>
          <w:rFonts w:hint="eastAsia" w:ascii="宋体"/>
          <w:kern w:val="0"/>
          <w:sz w:val="28"/>
        </w:rPr>
        <w:t>采购项目： 机房设备维保服务</w:t>
      </w:r>
    </w:p>
    <w:p>
      <w:pPr>
        <w:autoSpaceDE w:val="0"/>
        <w:autoSpaceDN w:val="0"/>
        <w:adjustRightInd w:val="0"/>
        <w:spacing w:line="360" w:lineRule="auto"/>
        <w:ind w:firstLine="2077" w:firstLineChars="742"/>
        <w:jc w:val="left"/>
        <w:rPr>
          <w:rFonts w:hint="eastAsia" w:ascii="宋体"/>
          <w:kern w:val="0"/>
          <w:sz w:val="28"/>
          <w:lang w:val="zh-CN"/>
        </w:rPr>
      </w:pPr>
      <w:r>
        <w:rPr>
          <w:rFonts w:hint="eastAsia" w:ascii="宋体"/>
          <w:kern w:val="0"/>
          <w:sz w:val="28"/>
          <w:lang w:val="zh-CN"/>
        </w:rPr>
        <w:t xml:space="preserve">采购人： </w:t>
      </w:r>
      <w:r>
        <w:rPr>
          <w:rFonts w:hint="eastAsia" w:ascii="宋体"/>
          <w:kern w:val="0"/>
          <w:sz w:val="28"/>
        </w:rPr>
        <w:t>台州市公共资源交易中心</w:t>
      </w:r>
    </w:p>
    <w:p>
      <w:pPr>
        <w:autoSpaceDE w:val="0"/>
        <w:autoSpaceDN w:val="0"/>
        <w:adjustRightInd w:val="0"/>
        <w:spacing w:line="360" w:lineRule="auto"/>
        <w:ind w:firstLine="2077" w:firstLineChars="742"/>
        <w:jc w:val="left"/>
        <w:rPr>
          <w:rFonts w:ascii="宋体"/>
          <w:kern w:val="0"/>
          <w:sz w:val="28"/>
        </w:rPr>
      </w:pP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rPr>
        <w:t>2021年 0</w:t>
      </w:r>
      <w:r>
        <w:rPr>
          <w:rFonts w:hint="eastAsia" w:ascii="宋体" w:hAnsi="宋体" w:cs="宋体"/>
          <w:kern w:val="0"/>
          <w:sz w:val="28"/>
          <w:szCs w:val="28"/>
          <w:lang w:val="en-US" w:eastAsia="zh-CN"/>
        </w:rPr>
        <w:t>8</w:t>
      </w:r>
      <w:r>
        <w:rPr>
          <w:rFonts w:hint="eastAsia" w:ascii="宋体" w:hAnsi="宋体" w:cs="宋体"/>
          <w:kern w:val="0"/>
          <w:sz w:val="28"/>
          <w:szCs w:val="28"/>
        </w:rPr>
        <w:t xml:space="preserve"> 月</w:t>
      </w:r>
      <w:r>
        <w:rPr>
          <w:rFonts w:hint="eastAsia" w:ascii="宋体" w:hAnsi="宋体" w:cs="宋体"/>
          <w:kern w:val="0"/>
          <w:sz w:val="28"/>
          <w:szCs w:val="28"/>
          <w:lang w:val="en-US" w:eastAsia="zh-CN"/>
        </w:rPr>
        <w:t xml:space="preserve"> 17 </w:t>
      </w:r>
      <w:r>
        <w:rPr>
          <w:rFonts w:hint="eastAsia" w:ascii="宋体" w:hAnsi="宋体" w:cs="宋体"/>
          <w:kern w:val="0"/>
          <w:sz w:val="28"/>
          <w:szCs w:val="28"/>
        </w:rPr>
        <w:t>日</w:t>
      </w:r>
    </w:p>
    <w:p>
      <w:pPr>
        <w:spacing w:line="360" w:lineRule="auto"/>
      </w:pPr>
    </w:p>
    <w:p>
      <w:pPr>
        <w:pStyle w:val="24"/>
      </w:pPr>
    </w:p>
    <w:p>
      <w:pPr>
        <w:spacing w:line="360" w:lineRule="auto"/>
      </w:pPr>
    </w:p>
    <w:p>
      <w:pPr>
        <w:jc w:val="center"/>
        <w:rPr>
          <w:rFonts w:ascii="宋体" w:hAnsi="宋体" w:cs="Arial"/>
          <w:b/>
          <w:bCs/>
          <w:sz w:val="36"/>
          <w:szCs w:val="36"/>
        </w:rPr>
      </w:pPr>
      <w:r>
        <w:rPr>
          <w:rFonts w:hint="eastAsia" w:ascii="宋体" w:hAnsi="宋体" w:cs="Arial"/>
          <w:b/>
          <w:bCs/>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sz w:val="36"/>
        </w:rPr>
      </w:pPr>
    </w:p>
    <w:p>
      <w:pPr>
        <w:spacing w:line="360" w:lineRule="auto"/>
        <w:rPr>
          <w:rFonts w:ascii="新宋体" w:hAnsi="新宋体" w:eastAsia="新宋体"/>
          <w:sz w:val="28"/>
          <w:szCs w:val="28"/>
        </w:rPr>
      </w:pP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公开招标采购公告</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投标人须知</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评标办法及评分标准</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公开招标需求</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政府采购合同主要条款指引</w:t>
      </w:r>
    </w:p>
    <w:p>
      <w:pPr>
        <w:numPr>
          <w:ilvl w:val="0"/>
          <w:numId w:val="4"/>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电子投标文件格式附件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numPr>
          <w:ilvl w:val="0"/>
          <w:numId w:val="5"/>
        </w:num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t xml:space="preserve"> 公开</w:t>
      </w:r>
      <w:r>
        <w:rPr>
          <w:rFonts w:hint="eastAsia" w:asciiTheme="majorEastAsia" w:hAnsiTheme="majorEastAsia" w:eastAsiaTheme="majorEastAsia"/>
          <w:b/>
          <w:sz w:val="36"/>
          <w:szCs w:val="36"/>
        </w:rPr>
        <w:t>招标采购公告</w:t>
      </w:r>
    </w:p>
    <w:p>
      <w:pPr>
        <w:pStyle w:val="2"/>
        <w:ind w:firstLine="0"/>
      </w:pPr>
    </w:p>
    <w:p>
      <w:pPr>
        <w:pStyle w:val="3"/>
        <w:numPr>
          <w:ilvl w:val="0"/>
          <w:numId w:val="0"/>
        </w:numPr>
        <w:tabs>
          <w:tab w:val="left" w:pos="0"/>
          <w:tab w:val="left" w:pos="3165"/>
          <w:tab w:val="center" w:pos="4153"/>
        </w:tabs>
        <w:autoSpaceDE w:val="0"/>
        <w:autoSpaceDN w:val="0"/>
        <w:adjustRightInd w:val="0"/>
        <w:spacing w:before="0" w:after="0"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asciiTheme="minorEastAsia" w:hAnsiTheme="minorEastAsia" w:eastAsiaTheme="minorEastAsia" w:cstheme="minorEastAsia"/>
          <w:b w:val="0"/>
          <w:sz w:val="28"/>
        </w:rPr>
      </w:pPr>
      <w:r>
        <w:rPr>
          <w:rFonts w:hint="eastAsia" w:ascii="宋体"/>
          <w:kern w:val="0"/>
          <w:sz w:val="28"/>
        </w:rPr>
        <w:t>台州市公共资源交易中心</w:t>
      </w:r>
      <w:r>
        <w:rPr>
          <w:rFonts w:hint="eastAsia" w:ascii="宋体"/>
          <w:kern w:val="0"/>
          <w:sz w:val="28"/>
          <w:lang w:val="en-US" w:eastAsia="zh-CN"/>
        </w:rPr>
        <w:t>机房设备维保服务</w:t>
      </w:r>
      <w:r>
        <w:rPr>
          <w:rFonts w:hint="eastAsia" w:ascii="宋体"/>
          <w:kern w:val="0"/>
          <w:sz w:val="28"/>
        </w:rPr>
        <w:t>项目</w:t>
      </w:r>
      <w:r>
        <w:rPr>
          <w:rFonts w:hint="eastAsia" w:cs="Arial" w:asciiTheme="minorEastAsia" w:hAnsiTheme="minorEastAsia" w:eastAsiaTheme="minorEastAsia"/>
          <w:sz w:val="28"/>
          <w:szCs w:val="28"/>
        </w:rPr>
        <w:t xml:space="preserve">的潜在投标人应在“浙江省政府采购网”（http:// www.zjzfcg.gov.cn）和“台州市公共资源交易中心”（ </w:t>
      </w:r>
      <w:r>
        <w:fldChar w:fldCharType="begin"/>
      </w:r>
      <w:r>
        <w:instrText xml:space="preserve"> HYPERLINK "http://www.xjztb.cn" </w:instrText>
      </w:r>
      <w:r>
        <w:fldChar w:fldCharType="separate"/>
      </w:r>
      <w:r>
        <w:rPr>
          <w:rFonts w:hint="eastAsia" w:cs="Arial" w:asciiTheme="minorEastAsia" w:hAnsiTheme="minorEastAsia" w:eastAsiaTheme="minorEastAsia"/>
          <w:sz w:val="28"/>
          <w:szCs w:val="28"/>
        </w:rPr>
        <w:t>http://www.tzztb.com</w:t>
      </w:r>
      <w:r>
        <w:rPr>
          <w:rFonts w:hint="eastAsia" w:cs="Arial" w:asciiTheme="minorEastAsia" w:hAnsiTheme="minorEastAsia" w:eastAsiaTheme="minorEastAsia"/>
          <w:sz w:val="28"/>
          <w:szCs w:val="28"/>
        </w:rPr>
        <w:fldChar w:fldCharType="end"/>
      </w:r>
      <w:r>
        <w:rPr>
          <w:rFonts w:hint="eastAsia" w:cs="Arial" w:asciiTheme="minorEastAsia" w:hAnsiTheme="minorEastAsia" w:eastAsiaTheme="minorEastAsia"/>
          <w:sz w:val="28"/>
          <w:szCs w:val="28"/>
        </w:rPr>
        <w:t>）获取招标文件，并于</w:t>
      </w:r>
      <w:r>
        <w:rPr>
          <w:rFonts w:hint="eastAsia" w:cs="Arial" w:asciiTheme="minorEastAsia" w:hAnsiTheme="minorEastAsia" w:eastAsiaTheme="minorEastAsia"/>
          <w:color w:val="0000FF"/>
          <w:sz w:val="28"/>
          <w:szCs w:val="28"/>
        </w:rPr>
        <w:t xml:space="preserve"> 2021年</w:t>
      </w:r>
      <w:r>
        <w:rPr>
          <w:rFonts w:hint="eastAsia" w:cs="Arial" w:asciiTheme="minorEastAsia" w:hAnsiTheme="minorEastAsia" w:eastAsiaTheme="minorEastAsia"/>
          <w:color w:val="0000FF"/>
          <w:sz w:val="28"/>
          <w:szCs w:val="28"/>
          <w:lang w:val="en-US" w:eastAsia="zh-CN"/>
        </w:rPr>
        <w:t>9</w:t>
      </w:r>
      <w:r>
        <w:rPr>
          <w:rFonts w:hint="eastAsia" w:cs="Arial" w:asciiTheme="minorEastAsia" w:hAnsiTheme="minorEastAsia" w:eastAsiaTheme="minorEastAsia"/>
          <w:color w:val="0000FF"/>
          <w:sz w:val="28"/>
          <w:szCs w:val="28"/>
        </w:rPr>
        <w:t xml:space="preserve">月 </w:t>
      </w:r>
      <w:r>
        <w:rPr>
          <w:rFonts w:hint="eastAsia" w:cs="Arial" w:asciiTheme="minorEastAsia" w:hAnsiTheme="minorEastAsia" w:eastAsiaTheme="minorEastAsia"/>
          <w:color w:val="0000FF"/>
          <w:sz w:val="28"/>
          <w:szCs w:val="28"/>
          <w:lang w:val="en-US" w:eastAsia="zh-CN"/>
        </w:rPr>
        <w:t>7</w:t>
      </w:r>
      <w:r>
        <w:rPr>
          <w:rFonts w:hint="eastAsia" w:cs="Arial" w:asciiTheme="minorEastAsia" w:hAnsiTheme="minorEastAsia" w:eastAsiaTheme="minorEastAsia"/>
          <w:color w:val="0000FF"/>
          <w:sz w:val="28"/>
          <w:szCs w:val="28"/>
        </w:rPr>
        <w:t>日 9点</w:t>
      </w:r>
      <w:r>
        <w:rPr>
          <w:rFonts w:hint="eastAsia" w:cs="Arial" w:asciiTheme="minorEastAsia" w:hAnsiTheme="minorEastAsia" w:eastAsiaTheme="minorEastAsia"/>
          <w:sz w:val="28"/>
          <w:szCs w:val="28"/>
        </w:rPr>
        <w:t xml:space="preserve"> 00 分（北京时间）前在浙江政府采购云平台递</w:t>
      </w:r>
      <w:r>
        <w:rPr>
          <w:rFonts w:hint="eastAsia"/>
          <w:sz w:val="28"/>
          <w:szCs w:val="28"/>
        </w:rPr>
        <w:t>交电</w:t>
      </w:r>
      <w:r>
        <w:rPr>
          <w:rFonts w:hint="eastAsia" w:cs="Arial" w:asciiTheme="minorEastAsia" w:hAnsiTheme="minorEastAsia" w:eastAsiaTheme="minorEastAsia"/>
          <w:sz w:val="28"/>
          <w:szCs w:val="28"/>
        </w:rPr>
        <w:t>子投标文件。</w:t>
      </w:r>
      <w:bookmarkStart w:id="0" w:name="_Toc35393790"/>
      <w:bookmarkStart w:id="1" w:name="_Toc35393621"/>
      <w:bookmarkStart w:id="2" w:name="_Toc28359079"/>
      <w:bookmarkStart w:id="3" w:name="_Toc28359002"/>
      <w:bookmarkStart w:id="4" w:name="_Hlk24379207"/>
    </w:p>
    <w:p>
      <w:pPr>
        <w:pStyle w:val="4"/>
        <w:rPr>
          <w:rFonts w:asciiTheme="minorEastAsia" w:hAnsiTheme="minorEastAsia" w:eastAsiaTheme="minorEastAsia" w:cstheme="minorEastAsia"/>
          <w:b w:val="0"/>
          <w:sz w:val="28"/>
        </w:rPr>
      </w:pPr>
      <w:r>
        <w:rPr>
          <w:rFonts w:hint="eastAsia" w:asciiTheme="minorEastAsia" w:hAnsiTheme="minorEastAsia" w:eastAsiaTheme="minorEastAsia" w:cstheme="minorEastAsia"/>
          <w:b w:val="0"/>
          <w:sz w:val="28"/>
        </w:rPr>
        <w:t>一、项目基本情况</w:t>
      </w:r>
      <w:bookmarkEnd w:id="0"/>
      <w:bookmarkEnd w:id="1"/>
      <w:bookmarkEnd w:id="2"/>
      <w:bookmarkEnd w:id="3"/>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项目编号：TZCG-2021-GK0</w:t>
      </w: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号</w:t>
      </w:r>
    </w:p>
    <w:bookmarkEnd w:id="4"/>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采购需求：</w:t>
      </w:r>
      <w:r>
        <w:rPr>
          <w:rFonts w:hint="eastAsia" w:ascii="宋体"/>
          <w:kern w:val="0"/>
          <w:sz w:val="28"/>
          <w:lang w:val="en-US" w:eastAsia="zh-CN"/>
        </w:rPr>
        <w:t>机房设备维保服务</w:t>
      </w:r>
      <w:r>
        <w:rPr>
          <w:rFonts w:hint="eastAsia" w:ascii="宋体"/>
          <w:kern w:val="0"/>
          <w:sz w:val="28"/>
        </w:rPr>
        <w:t>项目</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项目名称：</w:t>
      </w:r>
      <w:r>
        <w:rPr>
          <w:rFonts w:hint="eastAsia" w:ascii="宋体"/>
          <w:kern w:val="0"/>
          <w:sz w:val="28"/>
        </w:rPr>
        <w:t>台州市公共资源交易中心</w:t>
      </w:r>
      <w:r>
        <w:rPr>
          <w:rFonts w:hint="eastAsia" w:ascii="宋体"/>
          <w:kern w:val="0"/>
          <w:sz w:val="28"/>
          <w:lang w:val="en-US" w:eastAsia="zh-CN"/>
        </w:rPr>
        <w:t>机房设备维保服务</w:t>
      </w:r>
      <w:r>
        <w:rPr>
          <w:rFonts w:hint="eastAsia" w:ascii="宋体"/>
          <w:kern w:val="0"/>
          <w:sz w:val="28"/>
        </w:rPr>
        <w:t>项目</w:t>
      </w:r>
    </w:p>
    <w:tbl>
      <w:tblPr>
        <w:tblStyle w:val="19"/>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93"/>
        <w:gridCol w:w="1360"/>
        <w:gridCol w:w="1061"/>
        <w:gridCol w:w="649"/>
        <w:gridCol w:w="1131"/>
        <w:gridCol w:w="123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96"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标段号</w:t>
            </w:r>
          </w:p>
        </w:tc>
        <w:tc>
          <w:tcPr>
            <w:tcW w:w="1393" w:type="dxa"/>
            <w:vAlign w:val="center"/>
          </w:tcPr>
          <w:p>
            <w:pPr>
              <w:tabs>
                <w:tab w:val="left" w:pos="8280"/>
              </w:tabs>
              <w:autoSpaceDE w:val="0"/>
              <w:autoSpaceDN w:val="0"/>
              <w:adjustRightInd w:val="0"/>
              <w:spacing w:line="360" w:lineRule="auto"/>
              <w:ind w:right="25" w:firstLine="120" w:firstLineChars="50"/>
              <w:jc w:val="center"/>
              <w:rPr>
                <w:rFonts w:ascii="宋体"/>
                <w:b/>
                <w:sz w:val="24"/>
              </w:rPr>
            </w:pPr>
            <w:r>
              <w:rPr>
                <w:rFonts w:hint="eastAsia" w:asciiTheme="minorEastAsia" w:hAnsiTheme="minorEastAsia" w:eastAsiaTheme="minorEastAsia"/>
                <w:b/>
                <w:sz w:val="24"/>
              </w:rPr>
              <w:t>项目名称</w:t>
            </w:r>
          </w:p>
        </w:tc>
        <w:tc>
          <w:tcPr>
            <w:tcW w:w="1360" w:type="dxa"/>
            <w:vAlign w:val="center"/>
          </w:tcPr>
          <w:p>
            <w:pPr>
              <w:tabs>
                <w:tab w:val="left" w:pos="8280"/>
              </w:tabs>
              <w:autoSpaceDE w:val="0"/>
              <w:autoSpaceDN w:val="0"/>
              <w:adjustRightInd w:val="0"/>
              <w:spacing w:line="360" w:lineRule="auto"/>
              <w:ind w:right="25"/>
              <w:rPr>
                <w:rFonts w:ascii="宋体"/>
                <w:b/>
                <w:sz w:val="24"/>
              </w:rPr>
            </w:pPr>
            <w:r>
              <w:rPr>
                <w:rFonts w:hint="eastAsia" w:asciiTheme="minorEastAsia" w:hAnsiTheme="minorEastAsia" w:eastAsiaTheme="minorEastAsia"/>
                <w:b/>
                <w:sz w:val="24"/>
              </w:rPr>
              <w:t>规格型号</w:t>
            </w:r>
          </w:p>
        </w:tc>
        <w:tc>
          <w:tcPr>
            <w:tcW w:w="1061"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数量</w:t>
            </w:r>
          </w:p>
        </w:tc>
        <w:tc>
          <w:tcPr>
            <w:tcW w:w="649"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单位</w:t>
            </w:r>
          </w:p>
        </w:tc>
        <w:tc>
          <w:tcPr>
            <w:tcW w:w="1131"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预算（万元）</w:t>
            </w:r>
          </w:p>
        </w:tc>
        <w:tc>
          <w:tcPr>
            <w:tcW w:w="1230" w:type="dxa"/>
            <w:vAlign w:val="center"/>
          </w:tcPr>
          <w:p>
            <w:pPr>
              <w:tabs>
                <w:tab w:val="left" w:pos="8280"/>
              </w:tabs>
              <w:autoSpaceDE w:val="0"/>
              <w:autoSpaceDN w:val="0"/>
              <w:adjustRightInd w:val="0"/>
              <w:ind w:right="25" w:rightChars="0"/>
              <w:jc w:val="center"/>
              <w:rPr>
                <w:rFonts w:hint="eastAsia" w:ascii="宋体" w:eastAsia="宋体"/>
                <w:b/>
                <w:sz w:val="24"/>
                <w:lang w:eastAsia="zh-CN"/>
              </w:rPr>
            </w:pPr>
            <w:r>
              <w:rPr>
                <w:rFonts w:hint="eastAsia" w:asciiTheme="minorEastAsia" w:hAnsiTheme="minorEastAsia" w:eastAsiaTheme="minorEastAsia"/>
                <w:b/>
                <w:color w:val="000000" w:themeColor="text1"/>
                <w:sz w:val="24"/>
                <w:lang w:val="en-US" w:eastAsia="zh-CN"/>
                <w14:textFill>
                  <w14:solidFill>
                    <w14:schemeClr w14:val="tx1"/>
                  </w14:solidFill>
                </w14:textFill>
              </w:rPr>
              <w:t>服务期</w:t>
            </w:r>
          </w:p>
        </w:tc>
        <w:tc>
          <w:tcPr>
            <w:tcW w:w="1530"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96" w:type="dxa"/>
            <w:vAlign w:val="center"/>
          </w:tcPr>
          <w:p>
            <w:pPr>
              <w:tabs>
                <w:tab w:val="left" w:pos="8280"/>
              </w:tabs>
              <w:autoSpaceDE w:val="0"/>
              <w:autoSpaceDN w:val="0"/>
              <w:adjustRightInd w:val="0"/>
              <w:jc w:val="center"/>
              <w:rPr>
                <w:rFonts w:ascii="宋体" w:hAnsi="宋体"/>
                <w:b/>
                <w:sz w:val="24"/>
              </w:rPr>
            </w:pPr>
            <w:r>
              <w:rPr>
                <w:rFonts w:hint="eastAsia" w:asciiTheme="minorEastAsia" w:hAnsiTheme="minorEastAsia" w:eastAsiaTheme="minorEastAsia"/>
                <w:sz w:val="24"/>
              </w:rPr>
              <w:t>1</w:t>
            </w:r>
          </w:p>
        </w:tc>
        <w:tc>
          <w:tcPr>
            <w:tcW w:w="1393" w:type="dxa"/>
            <w:vAlign w:val="center"/>
          </w:tcPr>
          <w:p>
            <w:pPr>
              <w:widowControl/>
              <w:jc w:val="center"/>
              <w:rPr>
                <w:rFonts w:ascii="宋体" w:hAnsi="宋体"/>
                <w:b/>
                <w:sz w:val="24"/>
              </w:rPr>
            </w:pPr>
            <w:r>
              <w:rPr>
                <w:rFonts w:hint="eastAsia" w:asciiTheme="minorEastAsia" w:hAnsiTheme="minorEastAsia" w:eastAsiaTheme="minorEastAsia"/>
                <w:kern w:val="0"/>
                <w:sz w:val="24"/>
              </w:rPr>
              <w:t>机房设备维保服务</w:t>
            </w:r>
          </w:p>
        </w:tc>
        <w:tc>
          <w:tcPr>
            <w:tcW w:w="1360" w:type="dxa"/>
            <w:vAlign w:val="center"/>
          </w:tcPr>
          <w:p>
            <w:pPr>
              <w:widowControl/>
              <w:jc w:val="center"/>
              <w:rPr>
                <w:rFonts w:ascii="宋体" w:hAnsi="宋体"/>
                <w:b/>
                <w:sz w:val="24"/>
              </w:rPr>
            </w:pPr>
            <w:r>
              <w:rPr>
                <w:rFonts w:hint="eastAsia" w:ascii="宋体" w:hAnsi="宋体" w:cs="宋体"/>
                <w:kern w:val="0"/>
                <w:sz w:val="24"/>
              </w:rPr>
              <w:t>详见技术需求</w:t>
            </w:r>
          </w:p>
        </w:tc>
        <w:tc>
          <w:tcPr>
            <w:tcW w:w="1061" w:type="dxa"/>
            <w:vAlign w:val="center"/>
          </w:tcPr>
          <w:p>
            <w:pPr>
              <w:widowControl/>
              <w:jc w:val="center"/>
              <w:rPr>
                <w:rFonts w:hint="eastAsia" w:ascii="宋体" w:hAnsi="宋体" w:eastAsia="宋体"/>
                <w:b/>
                <w:sz w:val="24"/>
                <w:lang w:val="en-US" w:eastAsia="zh-CN"/>
              </w:rPr>
            </w:pPr>
            <w:r>
              <w:rPr>
                <w:rFonts w:hint="eastAsia" w:asciiTheme="minorEastAsia" w:hAnsiTheme="minorEastAsia" w:eastAsiaTheme="minorEastAsia"/>
                <w:sz w:val="24"/>
                <w:lang w:val="en-US" w:eastAsia="zh-CN"/>
              </w:rPr>
              <w:t>1</w:t>
            </w:r>
          </w:p>
        </w:tc>
        <w:tc>
          <w:tcPr>
            <w:tcW w:w="649" w:type="dxa"/>
            <w:vAlign w:val="center"/>
          </w:tcPr>
          <w:p>
            <w:pPr>
              <w:widowControl/>
              <w:jc w:val="center"/>
              <w:rPr>
                <w:rFonts w:hint="eastAsia" w:ascii="宋体" w:hAnsi="宋体" w:eastAsia="宋体"/>
                <w:b/>
                <w:sz w:val="24"/>
                <w:lang w:eastAsia="zh-CN"/>
              </w:rPr>
            </w:pPr>
            <w:r>
              <w:rPr>
                <w:rFonts w:hint="eastAsia" w:asciiTheme="minorEastAsia" w:hAnsiTheme="minorEastAsia" w:eastAsiaTheme="minorEastAsia"/>
                <w:sz w:val="24"/>
                <w:lang w:val="en-US" w:eastAsia="zh-CN"/>
              </w:rPr>
              <w:t>年</w:t>
            </w:r>
          </w:p>
        </w:tc>
        <w:tc>
          <w:tcPr>
            <w:tcW w:w="1131" w:type="dxa"/>
            <w:vAlign w:val="center"/>
          </w:tcPr>
          <w:p>
            <w:pPr>
              <w:tabs>
                <w:tab w:val="left" w:pos="8280"/>
              </w:tabs>
              <w:autoSpaceDE w:val="0"/>
              <w:autoSpaceDN w:val="0"/>
              <w:adjustRightInd w:val="0"/>
              <w:jc w:val="center"/>
              <w:rPr>
                <w:rFonts w:hint="default" w:ascii="宋体" w:hAnsi="宋体" w:eastAsia="宋体"/>
                <w:b/>
                <w:sz w:val="24"/>
                <w:lang w:val="en-US" w:eastAsia="zh-CN"/>
              </w:rPr>
            </w:pPr>
            <w:r>
              <w:rPr>
                <w:rFonts w:hint="eastAsia" w:asciiTheme="minorEastAsia" w:hAnsiTheme="minorEastAsia" w:eastAsiaTheme="minorEastAsia"/>
                <w:sz w:val="24"/>
                <w:lang w:val="en-US" w:eastAsia="zh-CN"/>
              </w:rPr>
              <w:t>72.5</w:t>
            </w:r>
          </w:p>
        </w:tc>
        <w:tc>
          <w:tcPr>
            <w:tcW w:w="1230" w:type="dxa"/>
            <w:vAlign w:val="center"/>
          </w:tcPr>
          <w:p>
            <w:pPr>
              <w:tabs>
                <w:tab w:val="left" w:pos="8280"/>
              </w:tabs>
              <w:autoSpaceDE w:val="0"/>
              <w:autoSpaceDN w:val="0"/>
              <w:adjustRightInd w:val="0"/>
              <w:ind w:right="25" w:rightChars="0"/>
              <w:jc w:val="center"/>
              <w:rPr>
                <w:rFonts w:ascii="宋体" w:hAnsi="宋体"/>
                <w:b/>
                <w:sz w:val="24"/>
              </w:rPr>
            </w:pPr>
            <w:r>
              <w:rPr>
                <w:rFonts w:hint="eastAsia" w:asciiTheme="minorEastAsia" w:hAnsiTheme="minorEastAsia" w:eastAsiaTheme="minorEastAsia"/>
                <w:sz w:val="24"/>
                <w:lang w:val="en-US" w:eastAsia="zh-CN"/>
              </w:rPr>
              <w:t>服务1年</w:t>
            </w:r>
          </w:p>
        </w:tc>
        <w:tc>
          <w:tcPr>
            <w:tcW w:w="1530" w:type="dxa"/>
            <w:vAlign w:val="center"/>
          </w:tcPr>
          <w:p>
            <w:pPr>
              <w:tabs>
                <w:tab w:val="left" w:pos="8280"/>
              </w:tabs>
              <w:autoSpaceDE w:val="0"/>
              <w:autoSpaceDN w:val="0"/>
              <w:adjustRightInd w:val="0"/>
              <w:jc w:val="center"/>
              <w:rPr>
                <w:rFonts w:ascii="宋体" w:hAnsi="宋体"/>
                <w:b/>
                <w:sz w:val="24"/>
              </w:rPr>
            </w:pPr>
            <w:r>
              <w:rPr>
                <w:rFonts w:hint="eastAsia" w:asciiTheme="minorEastAsia" w:hAnsiTheme="minorEastAsia" w:eastAsiaTheme="minorEastAsia"/>
                <w:kern w:val="0"/>
                <w:sz w:val="24"/>
              </w:rPr>
              <w:t>台州市公共资源交易</w:t>
            </w:r>
            <w:r>
              <w:rPr>
                <w:rFonts w:hint="eastAsia" w:asciiTheme="minorEastAsia" w:hAnsiTheme="minorEastAsia" w:eastAsiaTheme="minorEastAsia"/>
                <w:kern w:val="0"/>
                <w:sz w:val="24"/>
                <w:lang w:val="en-US" w:eastAsia="zh-CN"/>
              </w:rPr>
              <w:t>中心</w:t>
            </w:r>
          </w:p>
        </w:tc>
      </w:tr>
    </w:tbl>
    <w:p>
      <w:pPr>
        <w:widowControl/>
        <w:tabs>
          <w:tab w:val="left" w:pos="0"/>
        </w:tabs>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1、本次采购产品为非进口产品。</w:t>
      </w:r>
    </w:p>
    <w:p>
      <w:pPr>
        <w:spacing w:line="360" w:lineRule="auto"/>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2、本项目不接受联合体投标</w:t>
      </w:r>
      <w:r>
        <w:rPr>
          <w:rFonts w:hint="eastAsia" w:asciiTheme="minorEastAsia" w:hAnsiTheme="minorEastAsia" w:eastAsiaTheme="minorEastAsia" w:cstheme="minorEastAsia"/>
          <w:sz w:val="28"/>
          <w:szCs w:val="28"/>
          <w:highlight w:val="none"/>
          <w:lang w:eastAsia="zh-CN"/>
        </w:rPr>
        <w:t>。</w:t>
      </w:r>
    </w:p>
    <w:p>
      <w:pPr>
        <w:pStyle w:val="4"/>
        <w:rPr>
          <w:rFonts w:asciiTheme="minorEastAsia" w:hAnsiTheme="minorEastAsia" w:eastAsiaTheme="minorEastAsia" w:cstheme="minorEastAsia"/>
          <w:b w:val="0"/>
          <w:sz w:val="28"/>
        </w:rPr>
      </w:pPr>
      <w:bookmarkStart w:id="5" w:name="_Toc35393622"/>
      <w:bookmarkStart w:id="6" w:name="_Toc28359080"/>
      <w:bookmarkStart w:id="7" w:name="_Toc28359003"/>
      <w:bookmarkStart w:id="8" w:name="_Toc35393791"/>
      <w:r>
        <w:rPr>
          <w:rFonts w:hint="eastAsia" w:asciiTheme="minorEastAsia" w:hAnsiTheme="minorEastAsia" w:eastAsiaTheme="minorEastAsia" w:cstheme="minorEastAsia"/>
          <w:b w:val="0"/>
          <w:sz w:val="28"/>
        </w:rPr>
        <w:t>二、申请人的资格要求：</w:t>
      </w:r>
      <w:bookmarkEnd w:id="5"/>
      <w:bookmarkEnd w:id="6"/>
      <w:bookmarkEnd w:id="7"/>
      <w:bookmarkEnd w:id="8"/>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1.满足《中华人民共和国政府采购法》第二十二条规定；</w:t>
      </w:r>
    </w:p>
    <w:p>
      <w:pPr>
        <w:spacing w:line="360" w:lineRule="auto"/>
        <w:ind w:firstLine="560" w:firstLineChars="200"/>
        <w:rPr>
          <w:rFonts w:hint="default" w:asciiTheme="minorEastAsia" w:hAnsiTheme="minorEastAsia" w:eastAsiaTheme="minorEastAsia" w:cstheme="minorEastAsia"/>
          <w:sz w:val="28"/>
          <w:szCs w:val="28"/>
          <w:lang w:val="en-US" w:eastAsia="zh-CN"/>
        </w:rPr>
      </w:pPr>
      <w:bookmarkStart w:id="9" w:name="_Toc35393792"/>
      <w:bookmarkStart w:id="10" w:name="_Toc35393623"/>
      <w:bookmarkStart w:id="11" w:name="_Toc28359004"/>
      <w:bookmarkStart w:id="12" w:name="_Toc28359081"/>
      <w:r>
        <w:rPr>
          <w:rFonts w:hint="eastAsia" w:asciiTheme="minorEastAsia" w:hAnsiTheme="minorEastAsia" w:eastAsiaTheme="minorEastAsia" w:cstheme="minorEastAsia"/>
          <w:sz w:val="28"/>
          <w:szCs w:val="28"/>
        </w:rPr>
        <w:t>2.本项目的特定资格要求：</w:t>
      </w:r>
      <w:r>
        <w:rPr>
          <w:rFonts w:hint="eastAsia" w:asciiTheme="minorEastAsia" w:hAnsiTheme="minorEastAsia" w:eastAsiaTheme="minorEastAsia" w:cstheme="minorEastAsia"/>
          <w:sz w:val="28"/>
          <w:szCs w:val="28"/>
          <w:lang w:val="en-US" w:eastAsia="zh-CN"/>
        </w:rPr>
        <w:t>因</w:t>
      </w:r>
      <w:r>
        <w:rPr>
          <w:rFonts w:hint="eastAsia" w:asciiTheme="minorEastAsia" w:hAnsiTheme="minorEastAsia" w:eastAsiaTheme="minorEastAsia" w:cstheme="minorEastAsia"/>
          <w:sz w:val="28"/>
          <w:szCs w:val="28"/>
        </w:rPr>
        <w:t>落实政府采购政策需要</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本项目面向中小企业。</w:t>
      </w:r>
    </w:p>
    <w:p>
      <w:pPr>
        <w:pStyle w:val="4"/>
        <w:rPr>
          <w:rFonts w:asciiTheme="minorEastAsia" w:hAnsiTheme="minorEastAsia" w:eastAsiaTheme="minorEastAsia" w:cstheme="minorEastAsia"/>
          <w:b w:val="0"/>
          <w:sz w:val="28"/>
        </w:rPr>
      </w:pPr>
      <w:r>
        <w:rPr>
          <w:rFonts w:hint="eastAsia" w:asciiTheme="minorEastAsia" w:hAnsiTheme="minorEastAsia" w:eastAsiaTheme="minorEastAsia" w:cstheme="minorEastAsia"/>
          <w:b w:val="0"/>
          <w:sz w:val="28"/>
        </w:rPr>
        <w:t>三、获取招标文件</w:t>
      </w:r>
      <w:bookmarkEnd w:id="9"/>
      <w:bookmarkEnd w:id="10"/>
      <w:bookmarkEnd w:id="11"/>
      <w:bookmarkEnd w:id="12"/>
    </w:p>
    <w:p>
      <w:pPr>
        <w:spacing w:line="360" w:lineRule="auto"/>
        <w:ind w:firstLine="5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时间：</w:t>
      </w:r>
      <w:r>
        <w:rPr>
          <w:rFonts w:hint="eastAsia" w:asciiTheme="minorEastAsia" w:hAnsiTheme="minorEastAsia" w:eastAsiaTheme="minorEastAsia" w:cstheme="minorEastAsia"/>
          <w:color w:val="0000FF"/>
          <w:sz w:val="28"/>
          <w:szCs w:val="28"/>
          <w:u w:val="single"/>
        </w:rPr>
        <w:t>2021年</w:t>
      </w:r>
      <w:r>
        <w:rPr>
          <w:rFonts w:hint="eastAsia" w:asciiTheme="minorEastAsia" w:hAnsiTheme="minorEastAsia" w:eastAsiaTheme="minorEastAsia" w:cstheme="minorEastAsia"/>
          <w:color w:val="0000FF"/>
          <w:sz w:val="28"/>
          <w:szCs w:val="28"/>
          <w:u w:val="single"/>
          <w:lang w:val="en-US" w:eastAsia="zh-CN"/>
        </w:rPr>
        <w:t>8</w:t>
      </w:r>
      <w:r>
        <w:rPr>
          <w:rFonts w:hint="eastAsia" w:asciiTheme="minorEastAsia" w:hAnsiTheme="minorEastAsia" w:eastAsiaTheme="minorEastAsia" w:cstheme="minorEastAsia"/>
          <w:color w:val="0000FF"/>
          <w:sz w:val="28"/>
          <w:szCs w:val="28"/>
          <w:u w:val="single"/>
        </w:rPr>
        <w:t>月</w:t>
      </w:r>
      <w:r>
        <w:rPr>
          <w:rFonts w:hint="eastAsia" w:asciiTheme="minorEastAsia" w:hAnsiTheme="minorEastAsia" w:eastAsiaTheme="minorEastAsia" w:cstheme="minorEastAsia"/>
          <w:color w:val="0000FF"/>
          <w:sz w:val="28"/>
          <w:szCs w:val="28"/>
          <w:u w:val="single"/>
          <w:lang w:val="en-US" w:eastAsia="zh-CN"/>
        </w:rPr>
        <w:t>18</w:t>
      </w:r>
      <w:r>
        <w:rPr>
          <w:rFonts w:hint="eastAsia" w:asciiTheme="minorEastAsia" w:hAnsiTheme="minorEastAsia" w:eastAsiaTheme="minorEastAsia" w:cstheme="minorEastAsia"/>
          <w:color w:val="0000FF"/>
          <w:sz w:val="28"/>
          <w:szCs w:val="28"/>
          <w:u w:val="single"/>
        </w:rPr>
        <w:t>日</w:t>
      </w:r>
      <w:r>
        <w:rPr>
          <w:rFonts w:hint="eastAsia" w:asciiTheme="minorEastAsia" w:hAnsiTheme="minorEastAsia" w:eastAsiaTheme="minorEastAsia" w:cstheme="minorEastAsia"/>
          <w:color w:val="0000FF"/>
          <w:sz w:val="28"/>
          <w:szCs w:val="28"/>
        </w:rPr>
        <w:t>至</w:t>
      </w:r>
      <w:r>
        <w:rPr>
          <w:rFonts w:hint="eastAsia" w:asciiTheme="minorEastAsia" w:hAnsiTheme="minorEastAsia" w:eastAsiaTheme="minorEastAsia" w:cstheme="minorEastAsia"/>
          <w:color w:val="0000FF"/>
          <w:sz w:val="28"/>
          <w:szCs w:val="28"/>
          <w:u w:val="single"/>
        </w:rPr>
        <w:t>2021年</w:t>
      </w:r>
      <w:r>
        <w:rPr>
          <w:rFonts w:hint="eastAsia" w:asciiTheme="minorEastAsia" w:hAnsiTheme="minorEastAsia" w:eastAsiaTheme="minorEastAsia" w:cstheme="minorEastAsia"/>
          <w:color w:val="0000FF"/>
          <w:sz w:val="28"/>
          <w:szCs w:val="28"/>
          <w:u w:val="single"/>
          <w:lang w:val="en-US" w:eastAsia="zh-CN"/>
        </w:rPr>
        <w:t>8</w:t>
      </w:r>
      <w:r>
        <w:rPr>
          <w:rFonts w:hint="eastAsia" w:asciiTheme="minorEastAsia" w:hAnsiTheme="minorEastAsia" w:eastAsiaTheme="minorEastAsia" w:cstheme="minorEastAsia"/>
          <w:color w:val="0000FF"/>
          <w:sz w:val="28"/>
          <w:szCs w:val="28"/>
          <w:u w:val="single"/>
        </w:rPr>
        <w:t>月</w:t>
      </w:r>
      <w:r>
        <w:rPr>
          <w:rFonts w:hint="eastAsia" w:asciiTheme="minorEastAsia" w:hAnsiTheme="minorEastAsia" w:eastAsiaTheme="minorEastAsia" w:cstheme="minorEastAsia"/>
          <w:color w:val="0000FF"/>
          <w:sz w:val="28"/>
          <w:szCs w:val="28"/>
          <w:u w:val="single"/>
          <w:lang w:val="en-US" w:eastAsia="zh-CN"/>
        </w:rPr>
        <w:t>24</w:t>
      </w:r>
      <w:r>
        <w:rPr>
          <w:rFonts w:hint="eastAsia" w:asciiTheme="minorEastAsia" w:hAnsiTheme="minorEastAsia" w:eastAsiaTheme="minorEastAsia" w:cstheme="minorEastAsia"/>
          <w:color w:val="0000FF"/>
          <w:sz w:val="28"/>
          <w:szCs w:val="28"/>
          <w:u w:val="single"/>
        </w:rPr>
        <w:t>日</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方式：投标人在浙江政府采购云平台（</w:t>
      </w:r>
      <w:r>
        <w:rPr>
          <w:rStyle w:val="22"/>
          <w:rFonts w:hint="eastAsia" w:asciiTheme="minorEastAsia" w:hAnsiTheme="minorEastAsia" w:eastAsiaTheme="minorEastAsia" w:cstheme="minorEastAsia"/>
          <w:bCs/>
          <w:color w:val="auto"/>
          <w:sz w:val="28"/>
          <w:szCs w:val="28"/>
        </w:rPr>
        <w:t>http://www.zcygov.cn）</w:t>
      </w:r>
      <w:r>
        <w:rPr>
          <w:rFonts w:hint="eastAsia" w:asciiTheme="minorEastAsia" w:hAnsiTheme="minorEastAsia" w:eastAsiaTheme="minorEastAsia" w:cstheme="minorEastAsia"/>
          <w:sz w:val="28"/>
          <w:szCs w:val="28"/>
        </w:rPr>
        <w:t>进行网上报名后可免费下载。</w:t>
      </w:r>
      <w:r>
        <w:rPr>
          <w:rFonts w:hint="eastAsia" w:asciiTheme="minorEastAsia" w:hAnsiTheme="minorEastAsia" w:eastAsiaTheme="minorEastAsia" w:cstheme="minorEastAsia"/>
          <w:b/>
          <w:bCs/>
          <w:sz w:val="28"/>
          <w:szCs w:val="28"/>
        </w:rPr>
        <w:t>提示：采购机构将拒绝非报名供应商的电子投标文件。</w:t>
      </w:r>
    </w:p>
    <w:p>
      <w:pPr>
        <w:pStyle w:val="4"/>
        <w:rPr>
          <w:rFonts w:asciiTheme="minorEastAsia" w:hAnsiTheme="minorEastAsia" w:eastAsiaTheme="minorEastAsia" w:cstheme="minorEastAsia"/>
          <w:b w:val="0"/>
          <w:sz w:val="28"/>
        </w:rPr>
      </w:pPr>
      <w:bookmarkStart w:id="13" w:name="_Toc28359082"/>
      <w:bookmarkStart w:id="14" w:name="_Toc28359005"/>
      <w:bookmarkStart w:id="15" w:name="_Toc35393624"/>
      <w:bookmarkStart w:id="16" w:name="_Toc35393793"/>
      <w:r>
        <w:rPr>
          <w:rFonts w:hint="eastAsia" w:asciiTheme="minorEastAsia" w:hAnsiTheme="minorEastAsia" w:eastAsiaTheme="minorEastAsia" w:cstheme="minorEastAsia"/>
          <w:b w:val="0"/>
          <w:sz w:val="28"/>
        </w:rPr>
        <w:t>四、提交投标文件</w:t>
      </w:r>
      <w:bookmarkEnd w:id="13"/>
      <w:bookmarkEnd w:id="14"/>
      <w:r>
        <w:rPr>
          <w:rFonts w:hint="eastAsia" w:asciiTheme="minorEastAsia" w:hAnsiTheme="minorEastAsia" w:eastAsiaTheme="minorEastAsia" w:cstheme="minorEastAsia"/>
          <w:b w:val="0"/>
          <w:sz w:val="28"/>
        </w:rPr>
        <w:t>截止时间、开标时间和地点</w:t>
      </w:r>
      <w:bookmarkEnd w:id="15"/>
      <w:bookmarkEnd w:id="16"/>
    </w:p>
    <w:p>
      <w:pPr>
        <w:spacing w:line="360" w:lineRule="auto"/>
        <w:ind w:firstLine="560" w:firstLineChars="200"/>
        <w:rPr>
          <w:rFonts w:asciiTheme="minorEastAsia" w:hAnsiTheme="minorEastAsia" w:eastAsiaTheme="minorEastAsia" w:cstheme="minorEastAsia"/>
          <w:iCs/>
          <w:sz w:val="28"/>
          <w:szCs w:val="28"/>
          <w:u w:val="single"/>
        </w:rPr>
      </w:pPr>
      <w:r>
        <w:rPr>
          <w:rFonts w:hint="eastAsia" w:asciiTheme="minorEastAsia" w:hAnsiTheme="minorEastAsia" w:eastAsiaTheme="minorEastAsia" w:cstheme="minorEastAsia"/>
          <w:bCs/>
          <w:color w:val="0000FF"/>
          <w:sz w:val="28"/>
          <w:szCs w:val="28"/>
          <w:u w:val="single"/>
        </w:rPr>
        <w:t xml:space="preserve"> 2021年</w:t>
      </w:r>
      <w:r>
        <w:rPr>
          <w:rFonts w:hint="eastAsia" w:asciiTheme="minorEastAsia" w:hAnsiTheme="minorEastAsia" w:eastAsiaTheme="minorEastAsia" w:cstheme="minorEastAsia"/>
          <w:color w:val="0000FF"/>
          <w:sz w:val="28"/>
          <w:szCs w:val="28"/>
          <w:u w:val="single"/>
          <w:lang w:val="en-US" w:eastAsia="zh-CN"/>
        </w:rPr>
        <w:t>9</w:t>
      </w:r>
      <w:r>
        <w:rPr>
          <w:rFonts w:hint="eastAsia" w:asciiTheme="minorEastAsia" w:hAnsiTheme="minorEastAsia" w:eastAsiaTheme="minorEastAsia" w:cstheme="minorEastAsia"/>
          <w:bCs/>
          <w:color w:val="0000FF"/>
          <w:sz w:val="28"/>
          <w:szCs w:val="28"/>
          <w:u w:val="single"/>
        </w:rPr>
        <w:t>月</w:t>
      </w:r>
      <w:r>
        <w:rPr>
          <w:rFonts w:hint="eastAsia" w:asciiTheme="minorEastAsia" w:hAnsiTheme="minorEastAsia" w:eastAsiaTheme="minorEastAsia" w:cstheme="minorEastAsia"/>
          <w:color w:val="0000FF"/>
          <w:sz w:val="28"/>
          <w:szCs w:val="28"/>
          <w:u w:val="single"/>
          <w:lang w:val="en-US" w:eastAsia="zh-CN"/>
        </w:rPr>
        <w:t>7</w:t>
      </w:r>
      <w:r>
        <w:rPr>
          <w:rFonts w:hint="eastAsia" w:asciiTheme="minorEastAsia" w:hAnsiTheme="minorEastAsia" w:eastAsiaTheme="minorEastAsia" w:cstheme="minorEastAsia"/>
          <w:bCs/>
          <w:color w:val="0000FF"/>
          <w:sz w:val="28"/>
          <w:szCs w:val="28"/>
          <w:u w:val="single"/>
        </w:rPr>
        <w:t>日9点整</w:t>
      </w:r>
      <w:r>
        <w:rPr>
          <w:rFonts w:hint="eastAsia" w:asciiTheme="minorEastAsia" w:hAnsiTheme="minorEastAsia" w:eastAsiaTheme="minorEastAsia" w:cstheme="minorEastAsia"/>
          <w:bCs/>
          <w:sz w:val="28"/>
          <w:szCs w:val="28"/>
        </w:rPr>
        <w:t>（北京时间）</w:t>
      </w:r>
    </w:p>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投标网址：浙江政府采购云平台（</w:t>
      </w:r>
      <w:r>
        <w:rPr>
          <w:rFonts w:hint="eastAsia" w:asciiTheme="minorEastAsia" w:hAnsiTheme="minorEastAsia" w:eastAsiaTheme="minorEastAsia" w:cstheme="minorEastAsia"/>
          <w:sz w:val="28"/>
          <w:szCs w:val="28"/>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asciiTheme="minorEastAsia" w:hAnsiTheme="minorEastAsia" w:eastAsiaTheme="minorEastAsia" w:cstheme="minorEastAsia"/>
          <w:sz w:val="28"/>
          <w:szCs w:val="28"/>
        </w:rPr>
        <w:t>http://www.zcygov.cn）。</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本项目只接受电子投标文件，具体操作要求见前附表。请在开标当日09:00至09:30完成电子投标文件解密。</w:t>
      </w:r>
    </w:p>
    <w:p>
      <w:pPr>
        <w:pStyle w:val="4"/>
        <w:rPr>
          <w:rFonts w:asciiTheme="minorEastAsia" w:hAnsiTheme="minorEastAsia" w:eastAsiaTheme="minorEastAsia" w:cstheme="minorEastAsia"/>
          <w:b w:val="0"/>
          <w:sz w:val="28"/>
        </w:rPr>
      </w:pPr>
      <w:bookmarkStart w:id="17" w:name="_Toc28359084"/>
      <w:bookmarkStart w:id="18" w:name="_Toc35393794"/>
      <w:bookmarkStart w:id="19" w:name="_Toc35393625"/>
      <w:bookmarkStart w:id="20" w:name="_Toc28359007"/>
      <w:r>
        <w:rPr>
          <w:rFonts w:hint="eastAsia" w:asciiTheme="minorEastAsia" w:hAnsiTheme="minorEastAsia" w:eastAsiaTheme="minorEastAsia" w:cstheme="minorEastAsia"/>
          <w:b w:val="0"/>
          <w:sz w:val="28"/>
        </w:rPr>
        <w:t>五、公告期限</w:t>
      </w:r>
      <w:bookmarkEnd w:id="17"/>
      <w:bookmarkEnd w:id="18"/>
      <w:bookmarkEnd w:id="19"/>
      <w:bookmarkEnd w:id="20"/>
    </w:p>
    <w:p>
      <w:pPr>
        <w:spacing w:line="360" w:lineRule="auto"/>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自本公告发布之日起5个工作日。</w:t>
      </w:r>
    </w:p>
    <w:p>
      <w:pPr>
        <w:pStyle w:val="4"/>
        <w:rPr>
          <w:rFonts w:asciiTheme="minorEastAsia" w:hAnsiTheme="minorEastAsia" w:eastAsiaTheme="minorEastAsia" w:cstheme="minorEastAsia"/>
          <w:b w:val="0"/>
          <w:sz w:val="28"/>
        </w:rPr>
      </w:pPr>
      <w:bookmarkStart w:id="21" w:name="_Toc35393795"/>
      <w:bookmarkStart w:id="22" w:name="_Toc35393626"/>
      <w:r>
        <w:rPr>
          <w:rFonts w:hint="eastAsia" w:asciiTheme="minorEastAsia" w:hAnsiTheme="minorEastAsia" w:eastAsiaTheme="minorEastAsia" w:cstheme="minorEastAsia"/>
          <w:b w:val="0"/>
          <w:sz w:val="28"/>
        </w:rPr>
        <w:t>六、其他补充事宜</w:t>
      </w:r>
      <w:bookmarkEnd w:id="21"/>
      <w:bookmarkEnd w:id="22"/>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供应商认为采购文件使自己的权益受到损害的，可以自收到采购文件之日（获取截止日之后收到采购文件的，以获取截止日为准）起7个工作日内且应当在采购投标截止时间之前，以书面形式一次性向采购人和集中</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机构提出同一环节的质疑。否则，被质疑人可不予接受。质疑供应商对采购人、集中</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机构的答复不满意或者采购人、集中</w:t>
      </w:r>
      <w:r>
        <w:rPr>
          <w:rFonts w:hint="eastAsia" w:asciiTheme="minorEastAsia" w:hAnsiTheme="minorEastAsia" w:eastAsiaTheme="minorEastAsia" w:cstheme="minorEastAsia"/>
          <w:sz w:val="28"/>
          <w:szCs w:val="28"/>
          <w:lang w:eastAsia="zh-CN"/>
        </w:rPr>
        <w:t>采购</w:t>
      </w:r>
      <w:r>
        <w:rPr>
          <w:rFonts w:hint="eastAsia" w:asciiTheme="minorEastAsia" w:hAnsiTheme="minorEastAsia" w:eastAsiaTheme="minorEastAsia" w:cstheme="minorEastAsia"/>
          <w:sz w:val="28"/>
          <w:szCs w:val="28"/>
        </w:rPr>
        <w:t>机构未在规定的时间内作出答复的，可以在答复期满后十五个工作日内向同级政府采购监督管理部门投诉。</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2、根据《浙江省政府采购供应商注册及诚信管理暂行办法》浙财采监【2009】28号文件，请各投标供应商及时办理浙江政府采购网“政府采购供应商注册”手续。</w:t>
      </w:r>
    </w:p>
    <w:p>
      <w:pPr>
        <w:snapToGrid w:val="0"/>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3、参与政府采购项目的注册供应商，需登录浙江省政府采购网（</w:t>
      </w:r>
      <w:r>
        <w:fldChar w:fldCharType="begin"/>
      </w:r>
      <w:r>
        <w:instrText xml:space="preserve"> HYPERLINK "http://www.tzztb.com/tzcms/zfcg.jhtml" </w:instrText>
      </w:r>
      <w:r>
        <w:fldChar w:fldCharType="separate"/>
      </w:r>
      <w:r>
        <w:rPr>
          <w:rFonts w:hint="eastAsia" w:asciiTheme="minorEastAsia" w:hAnsiTheme="minorEastAsia" w:eastAsiaTheme="minorEastAsia" w:cstheme="minorEastAsia"/>
          <w:sz w:val="28"/>
          <w:szCs w:val="28"/>
        </w:rPr>
        <w:t>http://www.zjzfcg.gov.cn</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）进行网上报名；尚未注册的供应商应当先在浙江政府采购网上申请注册，注册后再进行网上报名。</w:t>
      </w:r>
    </w:p>
    <w:p>
      <w:pPr>
        <w:pStyle w:val="4"/>
        <w:rPr>
          <w:rFonts w:asciiTheme="minorEastAsia" w:hAnsiTheme="minorEastAsia" w:eastAsiaTheme="minorEastAsia" w:cstheme="minorEastAsia"/>
          <w:b w:val="0"/>
          <w:sz w:val="28"/>
        </w:rPr>
      </w:pPr>
      <w:bookmarkStart w:id="23" w:name="_Toc28359008"/>
      <w:bookmarkStart w:id="24" w:name="_Toc35393627"/>
      <w:bookmarkStart w:id="25" w:name="_Toc35393796"/>
      <w:bookmarkStart w:id="26" w:name="_Toc28359085"/>
      <w:r>
        <w:rPr>
          <w:rFonts w:hint="eastAsia" w:asciiTheme="minorEastAsia" w:hAnsiTheme="minorEastAsia" w:eastAsiaTheme="minorEastAsia" w:cstheme="minorEastAsia"/>
          <w:b w:val="0"/>
          <w:sz w:val="28"/>
        </w:rPr>
        <w:t>七、对本次招标提出询问，请按以下方式联系。</w:t>
      </w:r>
      <w:bookmarkEnd w:id="23"/>
      <w:bookmarkEnd w:id="24"/>
      <w:bookmarkEnd w:id="25"/>
      <w:bookmarkEnd w:id="26"/>
    </w:p>
    <w:p>
      <w:pPr>
        <w:snapToGrid w:val="0"/>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 xml:space="preserve">　1.采购人（受理采购文件相关质疑及答复） </w:t>
      </w:r>
    </w:p>
    <w:p>
      <w:pPr>
        <w:spacing w:line="360" w:lineRule="auto"/>
        <w:ind w:left="1079" w:leftChars="371" w:hanging="300" w:hangingChars="125"/>
        <w:jc w:val="left"/>
        <w:rPr>
          <w:rFonts w:asciiTheme="minorEastAsia" w:hAnsiTheme="minorEastAsia" w:eastAsiaTheme="minorEastAsia" w:cstheme="minorEastAsia"/>
          <w:sz w:val="24"/>
          <w:szCs w:val="24"/>
        </w:rPr>
      </w:pPr>
      <w:bookmarkStart w:id="27" w:name="_Toc28359086"/>
      <w:bookmarkStart w:id="28" w:name="_Toc28359009"/>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u w:val="single"/>
        </w:rPr>
        <w:t>　台州</w:t>
      </w:r>
      <w:r>
        <w:rPr>
          <w:rFonts w:hint="eastAsia" w:asciiTheme="minorEastAsia" w:hAnsiTheme="minorEastAsia" w:eastAsiaTheme="minorEastAsia" w:cstheme="minorEastAsia"/>
          <w:sz w:val="24"/>
          <w:szCs w:val="24"/>
          <w:u w:val="single"/>
          <w:lang w:val="en-US" w:eastAsia="zh-CN"/>
        </w:rPr>
        <w:t>市公共资源交易中心</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w:t>
      </w:r>
    </w:p>
    <w:p>
      <w:pPr>
        <w:spacing w:line="360" w:lineRule="auto"/>
        <w:ind w:left="1079" w:leftChars="371" w:hanging="300" w:hangingChars="125"/>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u w:val="single"/>
        </w:rPr>
        <w:t>　台州市椒江区市府大道</w:t>
      </w:r>
      <w:r>
        <w:rPr>
          <w:rFonts w:hint="eastAsia" w:asciiTheme="minorEastAsia" w:hAnsiTheme="minorEastAsia" w:eastAsiaTheme="minorEastAsia" w:cstheme="minorEastAsia"/>
          <w:sz w:val="24"/>
          <w:szCs w:val="24"/>
          <w:u w:val="single"/>
          <w:lang w:val="en-US" w:eastAsia="zh-CN"/>
        </w:rPr>
        <w:t>777</w:t>
      </w:r>
      <w:r>
        <w:rPr>
          <w:rFonts w:hint="eastAsia" w:asciiTheme="minorEastAsia" w:hAnsiTheme="minorEastAsia" w:eastAsiaTheme="minorEastAsia" w:cstheme="minorEastAsia"/>
          <w:sz w:val="24"/>
          <w:szCs w:val="24"/>
          <w:u w:val="single"/>
        </w:rPr>
        <w:t>号</w:t>
      </w:r>
      <w:r>
        <w:rPr>
          <w:rFonts w:hint="eastAsia" w:asciiTheme="minorEastAsia" w:hAnsiTheme="minorEastAsia" w:eastAsiaTheme="minorEastAsia" w:cstheme="minorEastAsia"/>
          <w:sz w:val="24"/>
          <w:szCs w:val="24"/>
          <w:u w:val="single"/>
          <w:lang w:val="en-US" w:eastAsia="zh-CN"/>
        </w:rPr>
        <w:t xml:space="preserve">      </w:t>
      </w:r>
    </w:p>
    <w:p>
      <w:pPr>
        <w:spacing w:line="360" w:lineRule="auto"/>
        <w:ind w:left="1079" w:leftChars="371" w:hanging="300" w:hangingChars="125"/>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潘</w:t>
      </w:r>
      <w:r>
        <w:rPr>
          <w:rFonts w:hint="eastAsia" w:asciiTheme="minorEastAsia" w:hAnsiTheme="minorEastAsia" w:eastAsiaTheme="minorEastAsia" w:cstheme="minorEastAsia"/>
          <w:sz w:val="24"/>
          <w:szCs w:val="24"/>
          <w:u w:val="single"/>
        </w:rPr>
        <w:t>老师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w:t>
      </w:r>
    </w:p>
    <w:p>
      <w:pPr>
        <w:spacing w:line="360" w:lineRule="auto"/>
        <w:ind w:firstLine="720" w:firstLineChars="3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0576-88</w:t>
      </w:r>
      <w:r>
        <w:rPr>
          <w:rFonts w:hint="eastAsia" w:asciiTheme="minorEastAsia" w:hAnsiTheme="minorEastAsia" w:eastAsiaTheme="minorEastAsia" w:cstheme="minorEastAsia"/>
          <w:sz w:val="24"/>
          <w:szCs w:val="24"/>
          <w:u w:val="single"/>
          <w:lang w:val="en-US" w:eastAsia="zh-CN"/>
        </w:rPr>
        <w:t>533006</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w:t>
      </w:r>
    </w:p>
    <w:p>
      <w:pPr>
        <w:pStyle w:val="2"/>
      </w:pPr>
    </w:p>
    <w:p>
      <w:pPr>
        <w:spacing w:line="360" w:lineRule="auto"/>
        <w:ind w:firstLine="840" w:firstLineChars="3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2.</w:t>
      </w:r>
      <w:bookmarkEnd w:id="27"/>
      <w:bookmarkEnd w:id="28"/>
      <w:r>
        <w:rPr>
          <w:rFonts w:hint="eastAsia" w:asciiTheme="minorEastAsia" w:hAnsiTheme="minorEastAsia" w:eastAsiaTheme="minorEastAsia" w:cstheme="minorEastAsia"/>
          <w:b/>
          <w:sz w:val="28"/>
          <w:szCs w:val="28"/>
        </w:rPr>
        <w:t>集中采购机构</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台州市公共资源交易中心</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台州市市府大道777号　</w:t>
      </w:r>
    </w:p>
    <w:p>
      <w:pPr>
        <w:spacing w:line="360" w:lineRule="auto"/>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项目联系人：</w:t>
      </w:r>
      <w:bookmarkStart w:id="29" w:name="_Toc28359010"/>
      <w:bookmarkStart w:id="30" w:name="_Toc28359087"/>
      <w:r>
        <w:rPr>
          <w:rFonts w:hint="eastAsia" w:asciiTheme="minorEastAsia" w:hAnsiTheme="minorEastAsia" w:eastAsiaTheme="minorEastAsia" w:cstheme="minorEastAsia"/>
          <w:sz w:val="24"/>
          <w:u w:val="single"/>
        </w:rPr>
        <w:t xml:space="preserve">　郑女士　　　　　  </w:t>
      </w:r>
    </w:p>
    <w:p>
      <w:pPr>
        <w:spacing w:line="360" w:lineRule="auto"/>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0576-88685058　　　</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窗口联系人：候女士（受理供应商注册、中标结果相关质疑及答复）</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联系电话：0576-88685121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righ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clear" w:color="auto" w:fill="FFFFFF"/>
        </w:rPr>
        <w:t>台州市政府采购中心</w:t>
      </w:r>
      <w:r>
        <w:rPr>
          <w:rFonts w:hint="eastAsia" w:asciiTheme="minorEastAsia" w:hAnsiTheme="minorEastAsia" w:eastAsiaTheme="minorEastAsia" w:cstheme="minorEastAsia"/>
          <w:kern w:val="0"/>
          <w:sz w:val="28"/>
          <w:szCs w:val="28"/>
        </w:rPr>
        <w:t xml:space="preserve"> </w:t>
      </w:r>
    </w:p>
    <w:p>
      <w:pPr>
        <w:widowControl/>
        <w:spacing w:line="360" w:lineRule="auto"/>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 xml:space="preserve">                                          2021年</w:t>
      </w:r>
      <w:r>
        <w:rPr>
          <w:rFonts w:hint="eastAsia" w:asciiTheme="minorEastAsia" w:hAnsiTheme="minorEastAsia" w:eastAsiaTheme="minorEastAsia" w:cstheme="minorEastAsia"/>
          <w:sz w:val="28"/>
          <w:szCs w:val="28"/>
          <w:lang w:val="en-US" w:eastAsia="zh-CN"/>
        </w:rPr>
        <w:t>08</w:t>
      </w:r>
      <w:r>
        <w:rPr>
          <w:rFonts w:hint="eastAsia" w:asciiTheme="minorEastAsia" w:hAnsiTheme="minorEastAsia" w:eastAsiaTheme="minorEastAsia" w:cstheme="minorEastAsia"/>
          <w:kern w:val="0"/>
          <w:sz w:val="28"/>
          <w:szCs w:val="28"/>
        </w:rPr>
        <w:t>月</w:t>
      </w:r>
      <w:r>
        <w:rPr>
          <w:rFonts w:hint="eastAsia" w:asciiTheme="minorEastAsia" w:hAnsiTheme="minorEastAsia" w:eastAsiaTheme="minorEastAsia" w:cstheme="minorEastAsia"/>
          <w:sz w:val="28"/>
          <w:szCs w:val="28"/>
          <w:lang w:val="en-US" w:eastAsia="zh-CN"/>
        </w:rPr>
        <w:t>17</w:t>
      </w:r>
      <w:r>
        <w:rPr>
          <w:rFonts w:hint="eastAsia" w:asciiTheme="minorEastAsia" w:hAnsiTheme="minorEastAsia" w:eastAsiaTheme="minorEastAsia" w:cstheme="minorEastAsia"/>
          <w:kern w:val="0"/>
          <w:sz w:val="28"/>
          <w:szCs w:val="28"/>
        </w:rPr>
        <w:t>日</w:t>
      </w:r>
    </w:p>
    <w:p>
      <w:pPr>
        <w:rPr>
          <w:rFonts w:eastAsiaTheme="minorEastAsia"/>
        </w:rPr>
      </w:pPr>
      <w:r>
        <w:rPr>
          <w:rFonts w:eastAsiaTheme="minorEastAsia"/>
        </w:rPr>
        <w:br w:type="page"/>
      </w:r>
    </w:p>
    <w:p>
      <w:pPr>
        <w:pStyle w:val="2"/>
        <w:rPr>
          <w:rFonts w:eastAsiaTheme="minorEastAsia"/>
        </w:rPr>
      </w:pPr>
    </w:p>
    <w:bookmarkEnd w:id="29"/>
    <w:bookmarkEnd w:id="30"/>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前附表</w:t>
      </w:r>
    </w:p>
    <w:tbl>
      <w:tblPr>
        <w:tblStyle w:val="19"/>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供应商特定</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答疑会或</w:t>
            </w:r>
          </w:p>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现场踏勘</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sz w:val="24"/>
              </w:rPr>
              <w:t>电子投标要求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投标人须按照采购文件和电子交易平台的要求编制并加密电子投标文件。截止时间：北京时</w:t>
            </w:r>
            <w:r>
              <w:rPr>
                <w:rFonts w:hint="eastAsia" w:ascii="宋体" w:hAnsi="宋体" w:cs="宋体"/>
                <w:color w:val="0000FF"/>
                <w:sz w:val="24"/>
              </w:rPr>
              <w:t>间20</w:t>
            </w:r>
            <w:r>
              <w:rPr>
                <w:rFonts w:hint="eastAsia" w:ascii="宋体" w:hAnsi="宋体" w:cs="Arial"/>
                <w:color w:val="0000FF"/>
                <w:sz w:val="24"/>
              </w:rPr>
              <w:t>21</w:t>
            </w:r>
            <w:r>
              <w:rPr>
                <w:rFonts w:hint="eastAsia" w:ascii="宋体" w:hAnsi="宋体" w:cs="宋体"/>
                <w:color w:val="0000FF"/>
                <w:sz w:val="24"/>
              </w:rPr>
              <w:t>年</w:t>
            </w:r>
            <w:r>
              <w:rPr>
                <w:rFonts w:hint="eastAsia" w:ascii="宋体" w:hAnsi="宋体" w:cs="宋体"/>
                <w:color w:val="0000FF"/>
                <w:sz w:val="24"/>
                <w:lang w:val="en-US" w:eastAsia="zh-CN"/>
              </w:rPr>
              <w:t>9</w:t>
            </w:r>
            <w:r>
              <w:rPr>
                <w:rFonts w:hint="eastAsia" w:ascii="宋体" w:hAnsi="宋体" w:cs="Arial"/>
                <w:color w:val="0000FF"/>
                <w:sz w:val="24"/>
              </w:rPr>
              <w:t>月</w:t>
            </w:r>
            <w:r>
              <w:rPr>
                <w:rFonts w:hint="eastAsia" w:ascii="宋体" w:hAnsi="宋体" w:cs="Arial"/>
                <w:color w:val="0000FF"/>
                <w:sz w:val="24"/>
                <w:lang w:val="en-US" w:eastAsia="zh-CN"/>
              </w:rPr>
              <w:t>7</w:t>
            </w:r>
            <w:r>
              <w:rPr>
                <w:rFonts w:hint="eastAsia" w:ascii="宋体" w:hAnsi="宋体" w:cs="Arial"/>
                <w:color w:val="0000FF"/>
                <w:sz w:val="24"/>
              </w:rPr>
              <w:t>日09:0</w:t>
            </w:r>
            <w:r>
              <w:rPr>
                <w:rFonts w:hint="eastAsia" w:ascii="宋体" w:hAnsi="宋体" w:cs="Arial"/>
                <w:sz w:val="24"/>
              </w:rPr>
              <w:t>0</w:t>
            </w:r>
          </w:p>
          <w:p>
            <w:pPr>
              <w:pStyle w:val="18"/>
              <w:spacing w:line="360" w:lineRule="auto"/>
              <w:ind w:left="0" w:leftChars="0" w:firstLine="0"/>
              <w:jc w:val="left"/>
              <w:rPr>
                <w:rFonts w:ascii="宋体" w:hAnsi="宋体" w:cs="宋体"/>
                <w:sz w:val="24"/>
              </w:rPr>
            </w:pPr>
            <w:r>
              <w:rPr>
                <w:rFonts w:hint="eastAsia" w:ascii="宋体" w:hAnsi="宋体" w:cs="宋体"/>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逾期上传的电子投标文件恕不接受。</w:t>
            </w:r>
          </w:p>
          <w:p>
            <w:pPr>
              <w:pStyle w:val="9"/>
              <w:spacing w:line="360" w:lineRule="auto"/>
            </w:pPr>
            <w:r>
              <w:rPr>
                <w:rFonts w:hint="eastAsia"/>
                <w:b/>
                <w:bCs/>
                <w:sz w:val="24"/>
              </w:rPr>
              <w:t>温馨提醒：供应商应提前上传，以便在上传时遇到技术问题，有充足的时间请教平台的技术人员。</w:t>
            </w:r>
            <w:r>
              <w:rPr>
                <w:rFonts w:hint="eastAsia"/>
                <w:sz w:val="24"/>
              </w:rPr>
              <w:t>平台技术人员联系人：徐女士；联系电话：0576-88685161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宋体" w:hAnsi="宋体" w:cs="宋体"/>
                <w:sz w:val="24"/>
              </w:rPr>
            </w:pPr>
            <w:r>
              <w:rPr>
                <w:rFonts w:hint="eastAsia" w:ascii="宋体" w:hAnsi="宋体" w:cs="宋体"/>
                <w:sz w:val="24"/>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宋体" w:hAnsi="宋体" w:cs="宋体"/>
                <w:sz w:val="24"/>
              </w:rPr>
            </w:pPr>
            <w:r>
              <w:rPr>
                <w:rFonts w:hint="eastAsia" w:ascii="宋体" w:hAnsi="宋体" w:cs="宋体"/>
                <w:sz w:val="24"/>
              </w:rPr>
              <w:t>电子投标文件在线解密时间：北京时间</w:t>
            </w:r>
            <w:r>
              <w:rPr>
                <w:rFonts w:hint="eastAsia" w:ascii="宋体" w:hAnsi="宋体" w:cs="宋体"/>
                <w:color w:val="0000FF"/>
                <w:sz w:val="24"/>
              </w:rPr>
              <w:t>2021年</w:t>
            </w:r>
            <w:r>
              <w:rPr>
                <w:rFonts w:hint="eastAsia" w:ascii="宋体" w:hAnsi="宋体" w:cs="宋体"/>
                <w:color w:val="0000FF"/>
                <w:sz w:val="24"/>
                <w:lang w:val="en-US" w:eastAsia="zh-CN"/>
              </w:rPr>
              <w:t>9</w:t>
            </w:r>
            <w:r>
              <w:rPr>
                <w:rFonts w:hint="eastAsia" w:ascii="宋体" w:hAnsi="宋体" w:cs="宋体"/>
                <w:color w:val="0000FF"/>
                <w:sz w:val="24"/>
              </w:rPr>
              <w:t>月</w:t>
            </w:r>
            <w:r>
              <w:rPr>
                <w:rFonts w:hint="eastAsia" w:ascii="宋体" w:hAnsi="宋体" w:cs="宋体"/>
                <w:color w:val="0000FF"/>
                <w:sz w:val="24"/>
                <w:lang w:val="en-US" w:eastAsia="zh-CN"/>
              </w:rPr>
              <w:t>7</w:t>
            </w:r>
            <w:r>
              <w:rPr>
                <w:rFonts w:hint="eastAsia" w:ascii="宋体" w:hAnsi="宋体" w:cs="宋体"/>
                <w:color w:val="0000FF"/>
                <w:sz w:val="24"/>
              </w:rPr>
              <w:t>日09:</w:t>
            </w:r>
            <w:r>
              <w:rPr>
                <w:rFonts w:hint="eastAsia" w:ascii="宋体" w:hAnsi="宋体" w:cs="宋体"/>
                <w:sz w:val="24"/>
              </w:rPr>
              <w:t>00至09:30；</w:t>
            </w:r>
          </w:p>
          <w:p>
            <w:pPr>
              <w:pStyle w:val="18"/>
              <w:spacing w:line="360" w:lineRule="auto"/>
              <w:ind w:left="0" w:leftChars="0" w:firstLine="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徐工：18806862938）在采监处的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宋体" w:hAnsi="宋体" w:cs="宋体"/>
                <w:sz w:val="24"/>
              </w:rPr>
            </w:pPr>
            <w:r>
              <w:rPr>
                <w:rFonts w:hint="eastAsia" w:ascii="宋体" w:hAnsi="宋体" w:cs="宋体"/>
                <w:sz w:val="24"/>
              </w:rPr>
              <w:t>备份电子投标</w:t>
            </w:r>
          </w:p>
          <w:p>
            <w:pPr>
              <w:pStyle w:val="18"/>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Theme="majorEastAsia" w:hAnsiTheme="majorEastAsia" w:eastAsiaTheme="majorEastAsia" w:cstheme="majorEastAsia"/>
                <w:b/>
                <w:bCs/>
                <w:sz w:val="24"/>
              </w:rPr>
            </w:pPr>
            <w:r>
              <w:rPr>
                <w:rFonts w:hint="eastAsia" w:ascii="宋体" w:hAnsi="宋体" w:cs="宋体"/>
                <w:sz w:val="24"/>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Theme="majorEastAsia" w:hAnsiTheme="majorEastAsia" w:eastAsiaTheme="majorEastAsia" w:cstheme="majorEastAsia"/>
                <w:sz w:val="24"/>
              </w:rPr>
            </w:pPr>
            <w:r>
              <w:rPr>
                <w:rFonts w:hint="eastAsia" w:ascii="宋体" w:hAnsi="宋体" w:cs="宋体"/>
                <w:sz w:val="24"/>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jc w:val="left"/>
              <w:rPr>
                <w:rFonts w:ascii="宋体" w:hAnsi="宋体" w:cs="宋体"/>
                <w:sz w:val="24"/>
              </w:rPr>
            </w:pPr>
            <w:r>
              <w:rPr>
                <w:rFonts w:hint="eastAsia" w:ascii="宋体" w:hAnsi="宋体" w:cs="宋体"/>
                <w:sz w:val="24"/>
              </w:rPr>
              <w:t>1.使用前提：投标人自行在线解密操作失败无法按时寻求技术人员帮助解密，或者投标人寻求技术人员帮助仍无法按时完成解密；</w:t>
            </w:r>
          </w:p>
          <w:p>
            <w:pPr>
              <w:pStyle w:val="18"/>
              <w:spacing w:line="360" w:lineRule="auto"/>
              <w:ind w:left="0" w:leftChars="0" w:firstLine="0"/>
              <w:jc w:val="left"/>
              <w:rPr>
                <w:rFonts w:ascii="宋体" w:hAnsi="宋体" w:cs="宋体"/>
                <w:sz w:val="24"/>
              </w:rPr>
            </w:pPr>
            <w:r>
              <w:rPr>
                <w:rFonts w:hint="eastAsia" w:ascii="宋体" w:hAnsi="宋体" w:cs="宋体"/>
                <w:sz w:val="24"/>
              </w:rPr>
              <w:t>2.递交截止时间：</w:t>
            </w:r>
            <w:r>
              <w:rPr>
                <w:rFonts w:hint="eastAsia" w:ascii="宋体" w:hAnsi="宋体" w:cs="宋体"/>
                <w:sz w:val="24"/>
                <w:lang w:val="en-US" w:eastAsia="zh-CN"/>
              </w:rPr>
              <w:t>9</w:t>
            </w:r>
            <w:r>
              <w:rPr>
                <w:rFonts w:hint="eastAsia" w:ascii="宋体" w:hAnsi="宋体" w:cs="宋体"/>
                <w:color w:val="0000FF"/>
                <w:sz w:val="24"/>
              </w:rPr>
              <w:t>月</w:t>
            </w:r>
            <w:r>
              <w:rPr>
                <w:rFonts w:hint="eastAsia" w:ascii="宋体" w:hAnsi="宋体" w:cs="宋体"/>
                <w:color w:val="0000FF"/>
                <w:sz w:val="24"/>
                <w:lang w:val="en-US" w:eastAsia="zh-CN"/>
              </w:rPr>
              <w:t>7</w:t>
            </w:r>
            <w:r>
              <w:rPr>
                <w:rFonts w:hint="eastAsia" w:ascii="宋体" w:hAnsi="宋体" w:cs="宋体"/>
                <w:color w:val="0000FF"/>
                <w:sz w:val="24"/>
              </w:rPr>
              <w:t>日09:50；</w:t>
            </w:r>
          </w:p>
          <w:p>
            <w:pPr>
              <w:pStyle w:val="18"/>
              <w:spacing w:line="360" w:lineRule="auto"/>
              <w:ind w:left="0" w:leftChars="0" w:firstLine="0"/>
              <w:jc w:val="left"/>
              <w:rPr>
                <w:rFonts w:ascii="宋体" w:hAnsi="宋体" w:cs="宋体"/>
                <w:sz w:val="24"/>
              </w:rPr>
            </w:pPr>
            <w:r>
              <w:rPr>
                <w:rFonts w:hint="eastAsia" w:ascii="宋体" w:hAnsi="宋体" w:cs="宋体"/>
                <w:sz w:val="24"/>
              </w:rPr>
              <w:t>3.投递邮箱：开标当日钉钉直播群公布的指定邮箱；</w:t>
            </w:r>
          </w:p>
          <w:p>
            <w:pPr>
              <w:pStyle w:val="18"/>
              <w:spacing w:line="360" w:lineRule="auto"/>
              <w:ind w:left="0" w:leftChars="0" w:firstLine="0"/>
              <w:jc w:val="left"/>
              <w:rPr>
                <w:rFonts w:ascii="宋体" w:hAnsi="宋体" w:cs="宋体"/>
                <w:sz w:val="24"/>
              </w:rPr>
            </w:pPr>
            <w:r>
              <w:rPr>
                <w:rFonts w:hint="eastAsia" w:ascii="宋体" w:hAnsi="宋体" w:cs="宋体"/>
                <w:sz w:val="24"/>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投标有效期为开标后90天，</w:t>
            </w:r>
            <w:r>
              <w:rPr>
                <w:rFonts w:hint="eastAsia" w:asciiTheme="majorEastAsia" w:hAnsiTheme="majorEastAsia" w:eastAsiaTheme="majorEastAsia" w:cstheme="majorEastAsia"/>
                <w:kern w:val="0"/>
                <w:sz w:val="24"/>
              </w:rPr>
              <w:t>投标有效期从提交电子投标文件的截止之日起算。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8</w:t>
            </w:r>
          </w:p>
        </w:tc>
        <w:tc>
          <w:tcPr>
            <w:tcW w:w="1954" w:type="dxa"/>
            <w:tcBorders>
              <w:top w:val="single" w:color="auto" w:sz="4" w:space="0"/>
              <w:left w:val="single" w:color="auto" w:sz="4" w:space="0"/>
              <w:bottom w:val="single" w:color="auto" w:sz="4" w:space="0"/>
              <w:right w:val="single" w:color="auto" w:sz="4" w:space="0"/>
            </w:tcBorders>
            <w:vAlign w:val="center"/>
          </w:tcPr>
          <w:p>
            <w:pPr>
              <w:pStyle w:val="2"/>
              <w:spacing w:line="360" w:lineRule="auto"/>
              <w:ind w:firstLine="0"/>
              <w:rPr>
                <w:rFonts w:ascii="宋体" w:hAnsi="宋体" w:cs="宋体"/>
                <w:sz w:val="24"/>
                <w:szCs w:val="24"/>
              </w:rPr>
            </w:pPr>
            <w:r>
              <w:rPr>
                <w:rFonts w:hint="eastAsia" w:ascii="宋体" w:hAnsi="宋体" w:cs="宋体"/>
                <w:sz w:val="24"/>
                <w:szCs w:val="24"/>
              </w:rPr>
              <w:t>不见面开标直播</w:t>
            </w:r>
          </w:p>
          <w:p>
            <w:pPr>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360" w:lineRule="auto"/>
              <w:rPr>
                <w:rFonts w:hint="default" w:asciiTheme="majorEastAsia" w:hAnsiTheme="majorEastAsia" w:eastAsiaTheme="majorEastAsia" w:cstheme="majorEastAsia"/>
              </w:rPr>
            </w:pPr>
            <w:r>
              <w:rPr>
                <w:rFonts w:cs="宋体"/>
              </w:rPr>
              <w:t>本项目开评标环节实行全流程电子化，采取不见面钉钉直播开标，投标人可自行下载“钉钉软件”观看。（钉钉直播群号为：31394342，投标人只能于开标当天8：30以后搜索到群号，并申请进群。采购组织机构按照采购文件规定的时间通过电子交易平台组织开标、开启响应文件，所有供应商均应当准时在线参加。</w:t>
            </w:r>
            <w:r>
              <w:rPr>
                <w:rFonts w:cs="宋体"/>
                <w:color w:val="FF0000"/>
              </w:rPr>
              <w:t>如未参加，</w:t>
            </w:r>
            <w:r>
              <w:rPr>
                <w:rFonts w:cs="宋体"/>
                <w:bCs/>
                <w:color w:val="FF0000"/>
              </w:rPr>
              <w:t>造成无法投标或投标失败等后果由供应商自行承担。</w:t>
            </w:r>
            <w:r>
              <w:rPr>
                <w:rFonts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9</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cs="Arial" w:asciiTheme="minorEastAsia" w:hAnsiTheme="minorEastAsia" w:eastAsiaTheme="minorEastAsia"/>
                <w:sz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3"/>
              <w:adjustRightInd w:val="0"/>
              <w:snapToGrid w:val="0"/>
              <w:spacing w:line="440" w:lineRule="exact"/>
              <w:rPr>
                <w:rFonts w:hAnsi="宋体" w:cs="宋体"/>
                <w:bCs/>
                <w:sz w:val="24"/>
              </w:rPr>
            </w:pPr>
            <w:r>
              <w:rPr>
                <w:rFonts w:hint="eastAsia" w:hAnsi="宋体" w:cs="宋体"/>
                <w:bCs/>
                <w:sz w:val="24"/>
              </w:rPr>
              <w:t>1.本项目实行电子采购，采用电子投标文件。若供应商参与投标，自行承担投标一切费用。</w:t>
            </w:r>
          </w:p>
          <w:p>
            <w:pPr>
              <w:pStyle w:val="13"/>
              <w:adjustRightInd w:val="0"/>
              <w:snapToGrid w:val="0"/>
              <w:spacing w:line="440" w:lineRule="exact"/>
              <w:rPr>
                <w:rFonts w:hAnsi="宋体" w:cs="宋体"/>
                <w:bCs/>
                <w:sz w:val="24"/>
              </w:rPr>
            </w:pPr>
            <w:r>
              <w:rPr>
                <w:rFonts w:hint="eastAsia" w:hAnsi="宋体" w:cs="宋体"/>
                <w:bCs/>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440" w:lineRule="exact"/>
              <w:rPr>
                <w:rFonts w:ascii="宋体" w:hAnsi="宋体" w:cs="宋体"/>
                <w:bCs/>
                <w:sz w:val="24"/>
              </w:rPr>
            </w:pPr>
            <w:r>
              <w:rPr>
                <w:rFonts w:hint="eastAsia" w:ascii="宋体" w:hAnsi="宋体" w:cs="宋体"/>
                <w:bCs/>
                <w:sz w:val="24"/>
              </w:rPr>
              <w:t>3.电子投标文件制作：</w:t>
            </w:r>
          </w:p>
          <w:p>
            <w:pPr>
              <w:spacing w:line="440" w:lineRule="exact"/>
              <w:rPr>
                <w:rFonts w:ascii="宋体" w:hAnsi="宋体" w:cs="宋体"/>
                <w:bCs/>
                <w:sz w:val="24"/>
              </w:rPr>
            </w:pPr>
            <w:r>
              <w:rPr>
                <w:rFonts w:hint="eastAsia" w:ascii="宋体" w:hAnsi="宋体" w:cs="宋体"/>
                <w:bCs/>
                <w:sz w:val="24"/>
              </w:rPr>
              <w:t>3.1应按照本项目招标文件和政采云平台的要求编制、加密并递交电子投标文件。供应商在使用系统进行投标的过程中遇到涉及平台使用的任何问题，可致电政采云平台技术支持热线咨询，联系方式：400-881-7190。</w:t>
            </w:r>
          </w:p>
          <w:p>
            <w:pPr>
              <w:spacing w:line="440" w:lineRule="exact"/>
              <w:rPr>
                <w:rFonts w:asciiTheme="majorEastAsia" w:hAnsiTheme="majorEastAsia" w:eastAsiaTheme="majorEastAsia" w:cstheme="majorEastAsia"/>
                <w:sz w:val="24"/>
              </w:rPr>
            </w:pPr>
            <w:r>
              <w:rPr>
                <w:rFonts w:hint="eastAsia" w:ascii="宋体" w:hAnsi="宋体" w:cs="宋体"/>
                <w:bCs/>
                <w:sz w:val="24"/>
              </w:rPr>
              <w:t>3.2投标人通过“政采云”平台电子投标工具制作电子投标文件，电子投标工具请供应商自行前往浙江省政府采购网下载并安装，（下载网址：http://www.zjzfcg.gov.cn/bidClientTemplate/2019-09-24/12975.html），电子投标文件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10</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Cs/>
                <w:sz w:val="24"/>
              </w:rPr>
            </w:pPr>
            <w:r>
              <w:rPr>
                <w:rFonts w:cs="Arial" w:asciiTheme="minorEastAsia" w:hAnsiTheme="minorEastAsia" w:eastAsiaTheme="minorEastAsia"/>
                <w:bCs/>
                <w:sz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sz w:val="24"/>
              </w:rPr>
            </w:pPr>
            <w:r>
              <w:rPr>
                <w:rFonts w:hint="eastAsia" w:cs="Arial" w:asciiTheme="minorEastAsia" w:hAnsiTheme="minorEastAsia" w:eastAsiaTheme="minorEastAsia"/>
                <w:sz w:val="24"/>
              </w:rPr>
              <w:t>1、查询渠道：信用中国（网址：</w:t>
            </w:r>
            <w:r>
              <w:fldChar w:fldCharType="begin"/>
            </w:r>
            <w:r>
              <w:instrText xml:space="preserve"> HYPERLINK "http://www.creditchina.gov.cn" </w:instrText>
            </w:r>
            <w:r>
              <w:fldChar w:fldCharType="separate"/>
            </w:r>
            <w:r>
              <w:rPr>
                <w:rFonts w:cs="Arial" w:asciiTheme="minorEastAsia" w:hAnsiTheme="minorEastAsia" w:eastAsiaTheme="minorEastAsia"/>
                <w:sz w:val="24"/>
              </w:rPr>
              <w:t>http://www.creditchina.gov.cn</w:t>
            </w:r>
            <w:r>
              <w:rPr>
                <w:rFonts w:cs="Arial" w:asciiTheme="minorEastAsia" w:hAnsiTheme="minorEastAsia" w:eastAsiaTheme="minorEastAsia"/>
                <w:sz w:val="24"/>
              </w:rPr>
              <w:fldChar w:fldCharType="end"/>
            </w:r>
            <w:r>
              <w:rPr>
                <w:rFonts w:hint="eastAsia" w:cs="Arial" w:asciiTheme="minorEastAsia" w:hAnsiTheme="minorEastAsia" w:eastAsiaTheme="minorEastAsia"/>
                <w:sz w:val="24"/>
              </w:rPr>
              <w:t>）、中国政府采购网(网址：</w:t>
            </w:r>
            <w:r>
              <w:rPr>
                <w:rFonts w:cs="Arial" w:asciiTheme="minorEastAsia" w:hAnsiTheme="minorEastAsia" w:eastAsiaTheme="minorEastAsia"/>
                <w:sz w:val="24"/>
              </w:rPr>
              <w:t>http://www.ccgp.gov.cn</w:t>
            </w:r>
            <w:r>
              <w:rPr>
                <w:rFonts w:hint="eastAsia" w:cs="Arial" w:asciiTheme="minorEastAsia" w:hAnsiTheme="minorEastAsia" w:eastAsiaTheme="minorEastAsia"/>
                <w:sz w:val="24"/>
              </w:rPr>
              <w:t>）、</w:t>
            </w:r>
            <w:r>
              <w:rPr>
                <w:rFonts w:hint="eastAsia" w:ascii="宋体" w:hAnsi="宋体" w:cs="Arial"/>
                <w:sz w:val="24"/>
              </w:rPr>
              <w:t>国家企业信用信息公示系统（http://www.gsxt.gov.cn/index.html）等。</w:t>
            </w:r>
          </w:p>
          <w:p>
            <w:pPr>
              <w:snapToGrid w:val="0"/>
              <w:spacing w:line="360" w:lineRule="auto"/>
              <w:rPr>
                <w:rFonts w:cs="Arial" w:asciiTheme="minorEastAsia" w:hAnsiTheme="minorEastAsia" w:eastAsiaTheme="minorEastAsia"/>
                <w:b/>
                <w:bCs/>
                <w:sz w:val="24"/>
                <w:shd w:val="clear" w:color="FFFFFF" w:fill="D9D9D9"/>
              </w:rPr>
            </w:pPr>
            <w:r>
              <w:rPr>
                <w:rFonts w:hint="eastAsia" w:cs="Arial" w:asciiTheme="minorEastAsia" w:hAnsiTheme="minorEastAsia" w:eastAsiaTheme="minorEastAsia"/>
                <w:sz w:val="24"/>
              </w:rPr>
              <w:t>2、截止时点：评审结束前。</w:t>
            </w:r>
          </w:p>
          <w:p>
            <w:pPr>
              <w:snapToGrid w:val="0"/>
              <w:spacing w:line="360" w:lineRule="auto"/>
              <w:rPr>
                <w:rFonts w:cs="Arial" w:asciiTheme="minorEastAsia" w:hAnsiTheme="minorEastAsia" w:eastAsiaTheme="minorEastAsia"/>
                <w:sz w:val="24"/>
              </w:rPr>
            </w:pPr>
            <w:r>
              <w:rPr>
                <w:rFonts w:hint="eastAsia" w:cs="Arial" w:asciiTheme="minorEastAsia" w:hAnsiTheme="minorEastAsia" w:eastAsiaTheme="minorEastAsia"/>
                <w:sz w:val="24"/>
              </w:rPr>
              <w:t>3、</w:t>
            </w:r>
            <w:r>
              <w:rPr>
                <w:rFonts w:cs="Arial" w:asciiTheme="minorEastAsia" w:hAnsiTheme="minorEastAsia" w:eastAsiaTheme="minorEastAsia"/>
                <w:sz w:val="24"/>
              </w:rPr>
              <w:t>信用信息查询记录和证据留存的具体方式</w:t>
            </w:r>
            <w:r>
              <w:rPr>
                <w:rFonts w:hint="eastAsia" w:cs="Arial" w:asciiTheme="minorEastAsia" w:hAnsiTheme="minorEastAsia" w:eastAsiaTheme="minorEastAsia"/>
                <w:sz w:val="24"/>
              </w:rPr>
              <w:t>：由采购组织机构在规定查询时间内打印信用信息查询记录并归入项目档案。</w:t>
            </w:r>
          </w:p>
          <w:p>
            <w:pPr>
              <w:snapToGrid w:val="0"/>
              <w:spacing w:line="360" w:lineRule="auto"/>
              <w:rPr>
                <w:rFonts w:asciiTheme="majorEastAsia" w:hAnsiTheme="majorEastAsia" w:cstheme="majorEastAsia"/>
                <w:sz w:val="24"/>
              </w:rPr>
            </w:pPr>
            <w:r>
              <w:rPr>
                <w:rFonts w:hint="eastAsia" w:cs="Arial" w:asciiTheme="minorEastAsia" w:hAnsiTheme="minorEastAsia" w:eastAsiaTheme="minorEastAsia"/>
                <w:sz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sz w:val="24"/>
              </w:rPr>
              <w:t>将被</w:t>
            </w:r>
            <w:r>
              <w:rPr>
                <w:rFonts w:hint="eastAsia" w:cs="Arial" w:asciiTheme="minorEastAsia" w:hAnsiTheme="minorEastAsia" w:eastAsiaTheme="minorEastAsia"/>
                <w:sz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cs="Arial" w:asciiTheme="minorEastAsia" w:hAnsiTheme="minorEastAsia" w:eastAsiaTheme="minorEastAsia"/>
                <w:sz w:val="24"/>
              </w:rPr>
            </w:pPr>
            <w:r>
              <w:rPr>
                <w:rFonts w:hint="eastAsia" w:cs="Arial" w:asciiTheme="minorEastAsia" w:hAnsiTheme="minorEastAsia" w:eastAsiaTheme="minorEastAsia"/>
                <w:color w:val="FF0000"/>
                <w:sz w:val="24"/>
              </w:rPr>
              <w:t>核查渠道：http://xwqy.gsxt.gov.cn/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kern w:val="0"/>
                <w:sz w:val="24"/>
                <w:lang w:val="zh-CN"/>
              </w:rPr>
            </w:pPr>
            <w:r>
              <w:rPr>
                <w:rFonts w:hint="eastAsia" w:asciiTheme="majorEastAsia" w:hAnsiTheme="majorEastAsia" w:eastAsiaTheme="majorEastAsia" w:cstheme="majorEastAsia"/>
                <w:sz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13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履约保证金</w:t>
            </w:r>
          </w:p>
        </w:tc>
        <w:tc>
          <w:tcPr>
            <w:tcW w:w="6729" w:type="dxa"/>
            <w:tcBorders>
              <w:top w:val="single" w:color="auto" w:sz="4" w:space="0"/>
              <w:left w:val="single" w:color="auto" w:sz="4" w:space="0"/>
              <w:bottom w:val="single" w:color="auto" w:sz="4" w:space="0"/>
              <w:right w:val="single" w:color="auto" w:sz="4" w:space="0"/>
            </w:tcBorders>
            <w:vAlign w:val="center"/>
          </w:tcPr>
          <w:p>
            <w:pPr>
              <w:pStyle w:val="9"/>
              <w:rPr>
                <w:rFonts w:asciiTheme="majorEastAsia" w:hAnsiTheme="majorEastAsia" w:cstheme="majorEastAsia"/>
                <w:sz w:val="24"/>
              </w:rPr>
            </w:pPr>
            <w:r>
              <w:rPr>
                <w:rFonts w:hint="eastAsia" w:asciiTheme="majorEastAsia" w:hAnsiTheme="majorEastAsia" w:cstheme="majorEastAsia"/>
                <w:b w:val="0"/>
                <w:bCs w:val="0"/>
                <w:color w:val="auto"/>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14</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kern w:val="0"/>
                <w:sz w:val="24"/>
                <w:lang w:val="zh-CN"/>
              </w:rPr>
              <w:t>带“</w:t>
            </w:r>
            <w:r>
              <w:rPr>
                <w:rFonts w:hint="eastAsia" w:asciiTheme="majorEastAsia" w:hAnsiTheme="majorEastAsia" w:eastAsiaTheme="majorEastAsia" w:cstheme="majorEastAsia"/>
                <w:bCs/>
                <w:sz w:val="24"/>
              </w:rPr>
              <w:t>▲”的条款是实质性条款，电子投标文件须作出实质性响应，否则作无效投标处理。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15</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本招标文件解释权属于采购人和</w:t>
            </w:r>
            <w:r>
              <w:rPr>
                <w:rFonts w:hint="eastAsia" w:ascii="宋体" w:hAnsi="宋体" w:cs="Arial"/>
                <w:sz w:val="24"/>
              </w:rPr>
              <w:t>台州市政府采购中心</w:t>
            </w:r>
          </w:p>
        </w:tc>
      </w:tr>
    </w:tbl>
    <w:p>
      <w:pPr>
        <w:pStyle w:val="9"/>
        <w:spacing w:line="360" w:lineRule="auto"/>
        <w:ind w:firstLine="480" w:firstLineChars="200"/>
        <w:rPr>
          <w:rFonts w:ascii="宋体" w:hAnsi="宋体" w:cs="Arial"/>
          <w:sz w:val="24"/>
        </w:rPr>
      </w:pP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156" w:beforeLines="50" w:line="360" w:lineRule="auto"/>
        <w:ind w:firstLine="354" w:firstLineChars="147"/>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pStyle w:val="5"/>
        <w:keepNext w:val="0"/>
        <w:keepLines w:val="0"/>
        <w:tabs>
          <w:tab w:val="left" w:pos="0"/>
          <w:tab w:val="left" w:pos="851"/>
        </w:tabs>
        <w:snapToGrid w:val="0"/>
        <w:spacing w:before="0" w:after="0"/>
        <w:ind w:firstLine="569"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w:t>
      </w:r>
      <w:r>
        <w:rPr>
          <w:rFonts w:hint="eastAsia" w:ascii="宋体" w:hAnsi="宋体"/>
          <w:sz w:val="24"/>
          <w:lang w:val="zh-CN"/>
        </w:rPr>
        <w:t>集中采购机构</w:t>
      </w:r>
      <w:r>
        <w:rPr>
          <w:rFonts w:hint="eastAsia" w:ascii="宋体" w:hAnsi="宋体" w:cs="Arial"/>
          <w:sz w:val="24"/>
        </w:rPr>
        <w:t>/</w:t>
      </w:r>
      <w:r>
        <w:rPr>
          <w:rFonts w:hint="eastAsia" w:asciiTheme="minorEastAsia" w:hAnsiTheme="minorEastAsia" w:eastAsiaTheme="minorEastAsia"/>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w:t>
      </w:r>
      <w:r>
        <w:rPr>
          <w:rFonts w:hint="eastAsia" w:asciiTheme="minorEastAsia" w:hAnsiTheme="minorEastAsia" w:eastAsiaTheme="minorEastAsia"/>
          <w:sz w:val="24"/>
        </w:rPr>
        <w:t>电子投标文件</w:t>
      </w:r>
      <w:r>
        <w:rPr>
          <w:rFonts w:asciiTheme="minorEastAsia" w:hAnsiTheme="minorEastAsia" w:eastAsiaTheme="minorEastAsia"/>
          <w:sz w:val="24"/>
        </w:rPr>
        <w:t>的单位或个人。</w:t>
      </w:r>
    </w:p>
    <w:p>
      <w:pPr>
        <w:snapToGrid w:val="0"/>
        <w:spacing w:line="360" w:lineRule="auto"/>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“▲”系指实质性要求条款。</w:t>
      </w:r>
    </w:p>
    <w:p>
      <w:pPr>
        <w:snapToGrid w:val="0"/>
        <w:spacing w:before="156" w:beforeLines="50"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3"/>
        <w:snapToGrid w:val="0"/>
        <w:spacing w:line="360" w:lineRule="auto"/>
        <w:ind w:left="2" w:leftChars="1" w:firstLine="482" w:firstLineChars="200"/>
        <w:rPr>
          <w:rFonts w:hAnsi="宋体"/>
          <w:b/>
          <w:sz w:val="24"/>
        </w:rPr>
      </w:pPr>
      <w:r>
        <w:rPr>
          <w:rFonts w:hint="eastAsia" w:hAnsi="宋体"/>
          <w:b/>
          <w:sz w:val="24"/>
        </w:rPr>
        <w:t>（四）特别说明</w:t>
      </w:r>
    </w:p>
    <w:p>
      <w:pPr>
        <w:pStyle w:val="13"/>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25"/>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5"/>
        <w:keepNext w:val="0"/>
        <w:keepLines w:val="0"/>
        <w:tabs>
          <w:tab w:val="left" w:pos="851"/>
        </w:tabs>
        <w:snapToGrid w:val="0"/>
        <w:spacing w:before="0" w:after="0" w:line="360" w:lineRule="auto"/>
        <w:ind w:firstLine="482"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5"/>
        <w:keepNext w:val="0"/>
        <w:keepLines w:val="0"/>
        <w:tabs>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tabs>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5"/>
        <w:keepNext w:val="0"/>
        <w:keepLines w:val="0"/>
        <w:tabs>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5"/>
        <w:keepNext w:val="0"/>
        <w:keepLines w:val="0"/>
        <w:tabs>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pStyle w:val="5"/>
        <w:keepNext w:val="0"/>
        <w:keepLines w:val="0"/>
        <w:tabs>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9、本项目不允许分包。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sz w:val="24"/>
          <w:lang w:val="zh-CN"/>
        </w:rPr>
        <w:t>（一）</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仿宋_GB2312" w:hAnsi="仿宋_GB2312" w:eastAsia="仿宋_GB2312" w:cs="仿宋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投标人接到招标文件后，按照采购组织机构的要求提供：资格证明文件、商务与技术文件和报价文件。</w:t>
      </w:r>
      <w:r>
        <w:rPr>
          <w:rFonts w:hint="eastAsia" w:asciiTheme="minorEastAsia" w:hAnsiTheme="minorEastAsia" w:eastAsiaTheme="minorEastAsia"/>
          <w:kern w:val="0"/>
          <w:sz w:val="24"/>
          <w:lang w:val="zh-CN"/>
        </w:rPr>
        <w:t>【特别提示：如在投标时有要求提供资料原件的，将原件扫描放入投标文件。】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投标声明书；</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授权委托书（法定代表人亲自办理投标事宜的，则无需提交)；</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法人或者其他组织的营业执照等证明文件，自然人的身份证明；</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财务状况报告，依法缴纳税收和社会保障资金的相关材料；</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widowControl/>
        <w:numPr>
          <w:ilvl w:val="0"/>
          <w:numId w:val="7"/>
        </w:numPr>
        <w:spacing w:line="360" w:lineRule="auto"/>
        <w:ind w:right="60" w:firstLine="472" w:firstLineChars="197"/>
        <w:jc w:val="left"/>
        <w:outlineLvl w:val="0"/>
        <w:rPr>
          <w:rFonts w:ascii="宋体" w:hAnsi="宋体" w:cs="宋体"/>
          <w:sz w:val="24"/>
        </w:rPr>
      </w:pPr>
      <w:r>
        <w:rPr>
          <w:rFonts w:hint="eastAsia" w:ascii="宋体" w:hAnsi="宋体" w:cs="宋体"/>
          <w:sz w:val="24"/>
        </w:rPr>
        <w:t>提供采购公告中符合供应商特定条件的有效资质证书扫描件（投标供应商特定条件中有要求的必须提供），以及需要说明的其他资料；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供应商</w:t>
      </w:r>
      <w:r>
        <w:rPr>
          <w:rFonts w:hint="eastAsia" w:ascii="宋体" w:hAnsi="宋体" w:cs="宋体"/>
          <w:sz w:val="24"/>
          <w:szCs w:val="24"/>
        </w:rPr>
        <w:t>案描述：</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w:t>
      </w:r>
      <w:r>
        <w:rPr>
          <w:rFonts w:asciiTheme="minorEastAsia" w:hAnsiTheme="minorEastAsia" w:eastAsiaTheme="minorEastAsia"/>
          <w:sz w:val="24"/>
          <w:szCs w:val="24"/>
        </w:rPr>
        <w:t>设备配置</w:t>
      </w:r>
      <w:r>
        <w:rPr>
          <w:rFonts w:hint="eastAsia" w:asciiTheme="minorEastAsia" w:hAnsiTheme="minorEastAsia" w:eastAsiaTheme="minorEastAsia"/>
          <w:sz w:val="24"/>
          <w:szCs w:val="24"/>
        </w:rPr>
        <w:t>（或服务事项）</w:t>
      </w:r>
      <w:r>
        <w:rPr>
          <w:rFonts w:asciiTheme="minorEastAsia" w:hAnsiTheme="minorEastAsia" w:eastAsiaTheme="minorEastAsia"/>
          <w:sz w:val="24"/>
          <w:szCs w:val="24"/>
        </w:rPr>
        <w:t>清单（</w:t>
      </w:r>
      <w:r>
        <w:rPr>
          <w:rFonts w:hint="eastAsia" w:asciiTheme="minorEastAsia" w:hAnsiTheme="minorEastAsia" w:eastAsiaTheme="minorEastAsia"/>
          <w:sz w:val="24"/>
          <w:szCs w:val="24"/>
        </w:rPr>
        <w:t>均</w:t>
      </w:r>
      <w:r>
        <w:rPr>
          <w:rFonts w:asciiTheme="minorEastAsia" w:hAnsiTheme="minorEastAsia" w:eastAsiaTheme="minorEastAsia"/>
          <w:sz w:val="24"/>
          <w:szCs w:val="24"/>
        </w:rPr>
        <w:t>不含报价）</w:t>
      </w:r>
      <w:r>
        <w:rPr>
          <w:rFonts w:hint="eastAsia" w:asciiTheme="minorEastAsia" w:hAnsiTheme="minorEastAsia" w:eastAsiaTheme="minorEastAsia"/>
          <w:sz w:val="24"/>
          <w:szCs w:val="24"/>
        </w:rPr>
        <w:t>。</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B.产品品牌及型号、技术参数指标、性能特点、图片资料以及所遵循的技术规范、产品质保期、出厂标准、产品质量相关检测报告等内容。</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注：该项视产品或服务内容设置提供。</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C.商务及技术响应表。</w:t>
      </w:r>
    </w:p>
    <w:p>
      <w:pPr>
        <w:spacing w:line="360" w:lineRule="auto"/>
        <w:ind w:left="218" w:leftChars="104" w:firstLine="619" w:firstLineChars="258"/>
        <w:rPr>
          <w:rFonts w:ascii="宋体" w:hAnsi="宋体" w:cs="宋体"/>
          <w:sz w:val="24"/>
        </w:rPr>
      </w:pPr>
      <w:r>
        <w:rPr>
          <w:rFonts w:hint="eastAsia" w:ascii="宋体" w:hAnsi="宋体" w:cs="宋体"/>
          <w:sz w:val="24"/>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sz w:val="24"/>
        </w:rPr>
      </w:pPr>
      <w:r>
        <w:rPr>
          <w:rFonts w:hint="eastAsia" w:ascii="宋体" w:hAnsi="宋体" w:cs="宋体"/>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sz w:val="24"/>
        </w:rPr>
      </w:pPr>
      <w:r>
        <w:rPr>
          <w:rFonts w:hint="eastAsia" w:asciiTheme="minorEastAsia" w:hAnsiTheme="minorEastAsia" w:eastAsiaTheme="minorEastAsia"/>
          <w:kern w:val="0"/>
          <w:sz w:val="24"/>
        </w:rPr>
        <w:t>（4）</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p>
    <w:p>
      <w:pPr>
        <w:pStyle w:val="2"/>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sz w:val="24"/>
          <w:lang w:val="zh-CN"/>
        </w:rPr>
      </w:pPr>
      <w:r>
        <w:rPr>
          <w:rFonts w:hint="eastAsia" w:ascii="宋体" w:hAnsi="宋体" w:cs="宋体"/>
          <w:sz w:val="24"/>
        </w:rPr>
        <w:t>（6）投标人认为需要提供的其他资料（包括可能影响投标人商务与技术文件评分的各类证明材料）。</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（7）售后服务描述及承诺：</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3</w:t>
      </w:r>
      <w:r>
        <w:rPr>
          <w:rFonts w:hint="eastAsia" w:asciiTheme="minorEastAsia" w:hAnsiTheme="minorEastAsia" w:eastAsiaTheme="minorEastAsia"/>
          <w:kern w:val="0"/>
          <w:sz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pStyle w:val="9"/>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（5）投标报价单填写需清楚明了，并加盖电子印章。因表达不清引起的后果由投标人负责。</w:t>
      </w:r>
    </w:p>
    <w:p>
      <w:pPr>
        <w:autoSpaceDE w:val="0"/>
        <w:autoSpaceDN w:val="0"/>
        <w:adjustRightIn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kern w:val="0"/>
          <w:sz w:val="24"/>
        </w:rPr>
        <w:t>6</w:t>
      </w:r>
      <w:r>
        <w:rPr>
          <w:rFonts w:hint="eastAsia" w:asciiTheme="minorEastAsia" w:hAnsiTheme="minorEastAsia" w:eastAsiaTheme="minorEastAsia"/>
          <w:sz w:val="24"/>
        </w:rPr>
        <w:t>）</w:t>
      </w:r>
      <w:r>
        <w:rPr>
          <w:rFonts w:asciiTheme="minorEastAsia" w:hAnsiTheme="minorEastAsia" w:eastAsiaTheme="minorEastAsia"/>
          <w:sz w:val="24"/>
        </w:rPr>
        <w:t>投标报价应按招标文件中相关附表格式填写。</w:t>
      </w:r>
    </w:p>
    <w:p>
      <w:pPr>
        <w:numPr>
          <w:ilvl w:val="0"/>
          <w:numId w:val="8"/>
        </w:numPr>
        <w:rPr>
          <w:rFonts w:asciiTheme="minorEastAsia" w:hAnsiTheme="minorEastAsia" w:eastAsiaTheme="minorEastAsia"/>
          <w:b/>
          <w:bCs/>
          <w:kern w:val="0"/>
          <w:sz w:val="24"/>
        </w:rPr>
      </w:pPr>
      <w:r>
        <w:rPr>
          <w:rFonts w:hint="eastAsia" w:asciiTheme="minorEastAsia" w:hAnsiTheme="minorEastAsia" w:eastAsiaTheme="minorEastAsia"/>
          <w:b/>
          <w:bCs/>
          <w:kern w:val="0"/>
          <w:sz w:val="24"/>
          <w:lang w:eastAsia="zh-CN"/>
        </w:rPr>
        <w:t>供应商</w:t>
      </w:r>
      <w:r>
        <w:rPr>
          <w:rFonts w:hint="eastAsia" w:asciiTheme="minorEastAsia" w:hAnsiTheme="minorEastAsia" w:eastAsiaTheme="minorEastAsia"/>
          <w:b/>
          <w:bCs/>
          <w:kern w:val="0"/>
          <w:sz w:val="24"/>
        </w:rPr>
        <w:t>式：本项目采用电子投标。</w:t>
      </w:r>
    </w:p>
    <w:p>
      <w:pPr>
        <w:autoSpaceDE w:val="0"/>
        <w:autoSpaceDN w:val="0"/>
        <w:adjustRightInd w:val="0"/>
        <w:spacing w:line="360" w:lineRule="auto"/>
        <w:ind w:firstLine="482" w:firstLineChars="200"/>
        <w:rPr>
          <w:rFonts w:asciiTheme="minorEastAsia" w:hAnsiTheme="minorEastAsia" w:eastAsiaTheme="minorEastAsia"/>
          <w:b/>
          <w:bCs/>
          <w:sz w:val="24"/>
        </w:rPr>
      </w:pPr>
      <w:r>
        <w:rPr>
          <w:rFonts w:hint="eastAsia" w:asciiTheme="minorEastAsia" w:hAnsiTheme="minorEastAsia"/>
          <w:b/>
          <w:bCs/>
          <w:sz w:val="24"/>
        </w:rPr>
        <w:t>1、电子投标文件的制作要求</w:t>
      </w:r>
    </w:p>
    <w:p>
      <w:pPr>
        <w:spacing w:line="440" w:lineRule="exact"/>
        <w:ind w:firstLine="480" w:firstLineChars="200"/>
        <w:jc w:val="left"/>
        <w:rPr>
          <w:rFonts w:asciiTheme="minorEastAsia" w:hAnsiTheme="minorEastAsia"/>
          <w:kern w:val="0"/>
          <w:sz w:val="24"/>
        </w:rPr>
      </w:pPr>
      <w:r>
        <w:rPr>
          <w:rFonts w:hint="eastAsia" w:asciiTheme="minorEastAsia" w:hAnsiTheme="minorEastAsia"/>
          <w:sz w:val="24"/>
        </w:rPr>
        <w:t>（1）</w:t>
      </w:r>
      <w:r>
        <w:rPr>
          <w:rFonts w:hint="eastAsia" w:asciiTheme="minorEastAsia" w:hAnsiTheme="minorEastAsia" w:eastAsiaTheme="minorEastAsia"/>
          <w:sz w:val="24"/>
        </w:rPr>
        <w:t>投标人</w:t>
      </w:r>
      <w:r>
        <w:rPr>
          <w:rFonts w:hint="eastAsia" w:asciiTheme="minorEastAsia" w:hAnsiTheme="minorEastAsia"/>
          <w:sz w:val="24"/>
        </w:rPr>
        <w:t>应</w:t>
      </w:r>
      <w:r>
        <w:rPr>
          <w:rFonts w:hint="eastAsia" w:asciiTheme="minorEastAsia" w:hAnsiTheme="minorEastAsia" w:eastAsiaTheme="minorEastAsia"/>
          <w:sz w:val="24"/>
        </w:rPr>
        <w:t>按照电子投标文件</w:t>
      </w:r>
      <w:r>
        <w:rPr>
          <w:rFonts w:hint="eastAsia" w:asciiTheme="minorEastAsia" w:hAnsiTheme="minorEastAsia"/>
          <w:sz w:val="24"/>
        </w:rPr>
        <w:t>组成内容</w:t>
      </w:r>
      <w:r>
        <w:rPr>
          <w:rFonts w:hint="eastAsia" w:asciiTheme="minorEastAsia" w:hAnsiTheme="minorEastAsia" w:eastAsiaTheme="minorEastAsia"/>
          <w:sz w:val="24"/>
        </w:rPr>
        <w:t>及项目招标需求和浙江政府采购云平台要求制作电子投标文件，</w:t>
      </w:r>
      <w:r>
        <w:rPr>
          <w:rFonts w:hint="eastAsia" w:asciiTheme="minorEastAsia" w:hAnsiTheme="minorEastAsia" w:eastAsiaTheme="minorEastAsia"/>
          <w:kern w:val="0"/>
          <w:sz w:val="24"/>
        </w:rPr>
        <w:t>不按招标文件</w:t>
      </w:r>
      <w:r>
        <w:rPr>
          <w:rFonts w:hint="eastAsia" w:asciiTheme="minorEastAsia" w:hAnsiTheme="minorEastAsia" w:eastAsiaTheme="minorEastAsia"/>
          <w:sz w:val="24"/>
        </w:rPr>
        <w:t>和浙江政府采购云平台</w:t>
      </w:r>
      <w:r>
        <w:rPr>
          <w:rFonts w:hint="eastAsia" w:asciiTheme="minorEastAsia" w:hAnsiTheme="minorEastAsia" w:eastAsiaTheme="minorEastAsia"/>
          <w:kern w:val="0"/>
          <w:sz w:val="24"/>
        </w:rPr>
        <w:t>要求制作电子投标文件的将视情</w:t>
      </w:r>
      <w:r>
        <w:rPr>
          <w:rFonts w:hint="eastAsia" w:asciiTheme="minorEastAsia" w:hAnsiTheme="minorEastAsia"/>
          <w:kern w:val="0"/>
          <w:sz w:val="24"/>
        </w:rPr>
        <w:t>处理（拒收、扣分等），由此产生的责任由投标人自行承担。</w:t>
      </w:r>
    </w:p>
    <w:p>
      <w:pPr>
        <w:spacing w:line="44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电子投标文件部分：投标人应根据“政采云供应商项目采购-电子招投标操作指南”及本招标文件规定的格式和顺序编制电子投标文件并进行关联定位。</w:t>
      </w:r>
    </w:p>
    <w:p>
      <w:pPr>
        <w:spacing w:line="440" w:lineRule="exact"/>
        <w:ind w:firstLine="480" w:firstLineChars="200"/>
        <w:jc w:val="left"/>
        <w:rPr>
          <w:rFonts w:ascii="宋体" w:hAnsi="宋体" w:cs="宋体"/>
          <w:bCs/>
          <w:sz w:val="24"/>
        </w:rPr>
      </w:pPr>
      <w:r>
        <w:rPr>
          <w:rFonts w:hint="eastAsia" w:ascii="宋体" w:hAnsi="宋体"/>
          <w:kern w:val="0"/>
          <w:sz w:val="24"/>
        </w:rPr>
        <w:t>备份电子投标文件：</w:t>
      </w:r>
      <w:r>
        <w:rPr>
          <w:rFonts w:hint="eastAsia" w:ascii="宋体" w:hAnsi="宋体" w:cs="宋体"/>
          <w:bCs/>
          <w:sz w:val="24"/>
        </w:rPr>
        <w:t>通过“政采云”平台电子投标工具制作电子投标文件所产生的备份文件</w:t>
      </w:r>
    </w:p>
    <w:p>
      <w:pPr>
        <w:pStyle w:val="9"/>
        <w:spacing w:line="360" w:lineRule="auto"/>
        <w:ind w:firstLine="480" w:firstLineChars="200"/>
      </w:pPr>
      <w:r>
        <w:rPr>
          <w:rFonts w:hint="eastAsia" w:ascii="宋体" w:hAnsi="宋体"/>
          <w:sz w:val="24"/>
        </w:rPr>
        <w:t>（2）投标人应对所提供的全部资料的真实性、有效性承担法律责任，电子投标文件中盖章之处必须加盖电子印章。</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sz w:val="24"/>
        </w:rPr>
        <w:t>电子投标文件</w:t>
      </w:r>
      <w:r>
        <w:rPr>
          <w:rFonts w:asciiTheme="minorEastAsia" w:hAnsiTheme="minorEastAsia" w:eastAsiaTheme="minorEastAsia"/>
          <w:sz w:val="24"/>
        </w:rPr>
        <w:t>以及投标人与</w:t>
      </w:r>
      <w:r>
        <w:rPr>
          <w:rFonts w:hint="eastAsia" w:asciiTheme="minorEastAsia" w:hAnsiTheme="minorEastAsia" w:eastAsiaTheme="minorEastAsia"/>
          <w:sz w:val="24"/>
        </w:rPr>
        <w:t>采购组织机构</w:t>
      </w:r>
      <w:r>
        <w:rPr>
          <w:rFonts w:asciiTheme="minorEastAsia" w:hAnsiTheme="minorEastAsia" w:eastAsiaTheme="minorEastAsia"/>
          <w:sz w:val="24"/>
        </w:rPr>
        <w:t>就有关投标事宜的所有来往函电，均应以中文汉语书写。除</w:t>
      </w:r>
      <w:r>
        <w:rPr>
          <w:rFonts w:hint="eastAsia" w:asciiTheme="minorEastAsia" w:hAnsiTheme="minorEastAsia" w:eastAsiaTheme="minorEastAsia"/>
          <w:sz w:val="24"/>
        </w:rPr>
        <w:t>签字</w:t>
      </w:r>
      <w:r>
        <w:rPr>
          <w:rFonts w:asciiTheme="minorEastAsia" w:hAnsiTheme="minorEastAsia" w:eastAsiaTheme="minorEastAsia"/>
          <w:sz w:val="24"/>
        </w:rPr>
        <w:t>、盖章、专用名称等特殊情形外，以中文汉语以外的文字表述的</w:t>
      </w:r>
      <w:r>
        <w:rPr>
          <w:rFonts w:hint="eastAsia" w:asciiTheme="minorEastAsia" w:hAnsiTheme="minorEastAsia" w:eastAsiaTheme="minorEastAsia"/>
          <w:sz w:val="24"/>
        </w:rPr>
        <w:t>电子投标文件</w:t>
      </w:r>
      <w:r>
        <w:rPr>
          <w:rFonts w:asciiTheme="minorEastAsia" w:hAnsiTheme="minorEastAsia" w:eastAsiaTheme="minorEastAsia"/>
          <w:sz w:val="24"/>
        </w:rPr>
        <w:t>视同未提供。</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sz w:val="24"/>
        </w:rPr>
        <w:t>（4）</w:t>
      </w:r>
      <w:r>
        <w:rPr>
          <w:rFonts w:asciiTheme="minorEastAsia" w:hAnsiTheme="minorEastAsia" w:eastAsiaTheme="minorEastAsia"/>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sz w:val="24"/>
        </w:rPr>
        <w:t>（5）</w:t>
      </w:r>
      <w:r>
        <w:rPr>
          <w:rFonts w:asciiTheme="minorEastAsia" w:hAnsiTheme="minorEastAsia" w:eastAsiaTheme="minorEastAsia"/>
          <w:sz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kern w:val="0"/>
          <w:sz w:val="24"/>
        </w:rPr>
        <w:t>（6）</w:t>
      </w:r>
      <w:r>
        <w:rPr>
          <w:rFonts w:hint="eastAsia" w:asciiTheme="minorEastAsia" w:hAnsiTheme="minorEastAsia" w:eastAsiaTheme="minorEastAsia"/>
          <w:sz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2、</w:t>
      </w:r>
      <w:r>
        <w:rPr>
          <w:rFonts w:hint="eastAsia" w:asciiTheme="minorEastAsia" w:hAnsiTheme="minorEastAsia" w:eastAsiaTheme="minorEastAsia"/>
          <w:b/>
          <w:bCs/>
          <w:sz w:val="24"/>
        </w:rPr>
        <w:t>电子投标文件</w:t>
      </w:r>
      <w:r>
        <w:rPr>
          <w:rFonts w:hint="eastAsia" w:asciiTheme="minorEastAsia" w:hAnsiTheme="minorEastAsia"/>
          <w:b/>
          <w:bCs/>
          <w:sz w:val="24"/>
        </w:rPr>
        <w:t>的递交要求</w:t>
      </w:r>
    </w:p>
    <w:p>
      <w:pPr>
        <w:spacing w:line="360" w:lineRule="auto"/>
        <w:ind w:firstLine="480" w:firstLineChars="200"/>
      </w:pPr>
      <w:r>
        <w:rPr>
          <w:rFonts w:hint="eastAsia" w:asciiTheme="majorEastAsia" w:hAnsiTheme="majorEastAsia" w:eastAsiaTheme="majorEastAsia" w:cstheme="majorEastAsia"/>
          <w:sz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3、电子投标文件的补充、修改和撤回。</w:t>
      </w:r>
    </w:p>
    <w:p>
      <w:pPr>
        <w:tabs>
          <w:tab w:val="left" w:pos="960"/>
          <w:tab w:val="left" w:pos="1418"/>
        </w:tabs>
        <w:autoSpaceDE w:val="0"/>
        <w:autoSpaceDN w:val="0"/>
        <w:adjustRightInd w:val="0"/>
        <w:spacing w:line="360" w:lineRule="auto"/>
        <w:ind w:firstLine="440" w:firstLineChars="200"/>
        <w:rPr>
          <w:rFonts w:ascii="宋体" w:hAnsi="宋体" w:cs="宋体"/>
          <w:sz w:val="22"/>
          <w:szCs w:val="22"/>
        </w:rPr>
      </w:pPr>
      <w:r>
        <w:rPr>
          <w:rFonts w:hint="eastAsia" w:ascii="宋体" w:hAnsi="宋体" w:cs="宋体"/>
          <w:sz w:val="22"/>
          <w:szCs w:val="22"/>
        </w:rPr>
        <w:t>（1）</w:t>
      </w:r>
      <w:r>
        <w:rPr>
          <w:rFonts w:hint="eastAsia" w:asciiTheme="minorEastAsia" w:hAnsiTheme="minorEastAsia" w:eastAsiaTheme="minorEastAsia"/>
          <w:kern w:val="0"/>
          <w:sz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（三）电子投标文件的有效期</w:t>
      </w:r>
    </w:p>
    <w:p>
      <w:pPr>
        <w:pStyle w:val="8"/>
        <w:tabs>
          <w:tab w:val="left" w:pos="454"/>
          <w:tab w:val="left" w:pos="720"/>
          <w:tab w:val="left" w:pos="1200"/>
        </w:tabs>
        <w:snapToGrid w:val="0"/>
        <w:spacing w:line="360" w:lineRule="auto"/>
        <w:ind w:left="0" w:firstLine="480" w:firstLineChars="200"/>
        <w:rPr>
          <w:rFonts w:ascii="仿宋_GB2312" w:hAnsi="仿宋_GB2312" w:eastAsia="仿宋_GB2312" w:cs="仿宋_GB2312"/>
          <w:sz w:val="24"/>
          <w:lang w:val="en-GB"/>
        </w:rPr>
      </w:pPr>
      <w:r>
        <w:rPr>
          <w:rFonts w:hint="eastAsia" w:ascii="宋体" w:hAnsi="宋体"/>
          <w:sz w:val="24"/>
          <w:lang w:val="en-GB"/>
        </w:rPr>
        <w:t>自投标截止日起90天电子投标文件应保持有效。有效期不足的电子投标文件将被拒绝。</w:t>
      </w:r>
    </w:p>
    <w:p>
      <w:pPr>
        <w:pStyle w:val="8"/>
        <w:tabs>
          <w:tab w:val="left" w:pos="454"/>
          <w:tab w:val="left" w:pos="720"/>
          <w:tab w:val="left" w:pos="1200"/>
        </w:tabs>
        <w:snapToGrid w:val="0"/>
        <w:spacing w:line="360" w:lineRule="auto"/>
        <w:ind w:left="0" w:firstLine="480" w:firstLineChars="200"/>
        <w:rPr>
          <w:rFonts w:ascii="宋体" w:hAnsi="宋体"/>
          <w:sz w:val="24"/>
          <w:lang w:val="en-GB"/>
        </w:rPr>
      </w:pPr>
      <w:r>
        <w:rPr>
          <w:rFonts w:hint="eastAsia" w:ascii="宋体" w:hAnsi="宋体"/>
          <w:sz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采购组织机构在“招标公告”规定的时间和地点公开开标，</w:t>
      </w:r>
      <w:r>
        <w:rPr>
          <w:rFonts w:hint="eastAsia" w:asciiTheme="minorEastAsia" w:hAnsiTheme="minorEastAsia" w:eastAsiaTheme="minorEastAsia"/>
          <w:bCs/>
          <w:sz w:val="24"/>
        </w:rPr>
        <w:t>采购组织机构</w:t>
      </w:r>
      <w:r>
        <w:rPr>
          <w:rFonts w:asciiTheme="minorEastAsia" w:hAnsiTheme="minorEastAsia" w:eastAsiaTheme="minorEastAsia"/>
          <w:bCs/>
          <w:sz w:val="24"/>
        </w:rPr>
        <w:t>工作人员接收</w:t>
      </w:r>
      <w:r>
        <w:rPr>
          <w:rFonts w:hint="eastAsia" w:asciiTheme="minorEastAsia" w:hAnsiTheme="minorEastAsia" w:eastAsiaTheme="minorEastAsia"/>
          <w:bCs/>
          <w:sz w:val="24"/>
        </w:rPr>
        <w:t>电子投标文件</w:t>
      </w:r>
      <w:r>
        <w:rPr>
          <w:rFonts w:asciiTheme="minorEastAsia" w:hAnsiTheme="minorEastAsia" w:eastAsiaTheme="minorEastAsia"/>
          <w:bCs/>
          <w:sz w:val="24"/>
        </w:rPr>
        <w:t>并登记。</w:t>
      </w:r>
      <w:r>
        <w:rPr>
          <w:rFonts w:hint="eastAsia" w:asciiTheme="minorEastAsia" w:hAnsiTheme="minorEastAsia" w:eastAsiaTheme="minorEastAsia"/>
          <w:bCs/>
          <w:sz w:val="24"/>
        </w:rPr>
        <w:t>评标委员会成员不得参加开标活动。</w:t>
      </w:r>
      <w:r>
        <w:rPr>
          <w:rFonts w:hint="eastAsia" w:asciiTheme="minorEastAsia" w:hAnsiTheme="minorEastAsia" w:eastAsiaTheme="minorEastAsia"/>
          <w:b/>
          <w:bCs/>
          <w:kern w:val="0"/>
          <w:sz w:val="24"/>
        </w:rPr>
        <w:t>（本次招标</w:t>
      </w:r>
      <w:r>
        <w:rPr>
          <w:rFonts w:cs="Arial" w:asciiTheme="minorEastAsia" w:hAnsiTheme="minorEastAsia" w:eastAsiaTheme="minorEastAsia"/>
          <w:b/>
          <w:bCs/>
          <w:sz w:val="24"/>
        </w:rPr>
        <w:t>采用先评审商务资格</w:t>
      </w:r>
      <w:r>
        <w:rPr>
          <w:rFonts w:hint="eastAsia" w:cs="Arial" w:asciiTheme="minorEastAsia" w:hAnsiTheme="minorEastAsia" w:eastAsiaTheme="minorEastAsia"/>
          <w:b/>
          <w:bCs/>
          <w:sz w:val="24"/>
        </w:rPr>
        <w:t>和</w:t>
      </w:r>
      <w:r>
        <w:rPr>
          <w:rFonts w:cs="Arial" w:asciiTheme="minorEastAsia" w:hAnsiTheme="minorEastAsia" w:eastAsiaTheme="minorEastAsia"/>
          <w:b/>
          <w:bCs/>
          <w:sz w:val="24"/>
        </w:rPr>
        <w:t>技术服务方案</w:t>
      </w: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后公开并评审商务报价的办法</w:t>
      </w:r>
      <w:r>
        <w:rPr>
          <w:rFonts w:hint="eastAsia" w:asciiTheme="minorEastAsia" w:hAnsiTheme="minorEastAsia" w:eastAsiaTheme="minorEastAsia"/>
          <w:b/>
          <w:bCs/>
          <w:kern w:val="0"/>
          <w:sz w:val="24"/>
        </w:rPr>
        <w:t>实施。各位供应商投标时必须根据菜单对应上传，切勿误传，否则一切后果自行承担）</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（二） 开</w:t>
      </w:r>
      <w:r>
        <w:rPr>
          <w:rFonts w:hint="eastAsia" w:asciiTheme="minorEastAsia" w:hAnsiTheme="minorEastAsia" w:eastAsiaTheme="minorEastAsia"/>
          <w:bCs/>
          <w:sz w:val="24"/>
        </w:rPr>
        <w:t>标</w:t>
      </w:r>
      <w:r>
        <w:rPr>
          <w:rFonts w:asciiTheme="minorEastAsia" w:hAnsiTheme="minorEastAsia" w:eastAsiaTheme="minorEastAsia"/>
          <w:bCs/>
          <w:sz w:val="24"/>
        </w:rPr>
        <w:t>程序：</w:t>
      </w:r>
    </w:p>
    <w:p>
      <w:pPr>
        <w:pStyle w:val="13"/>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1、开标时间到后，招标项目负责人准时组织开标；</w:t>
      </w:r>
    </w:p>
    <w:p>
      <w:pPr>
        <w:snapToGrid w:val="0"/>
        <w:spacing w:line="480" w:lineRule="exact"/>
        <w:ind w:firstLine="480" w:firstLineChars="200"/>
        <w:jc w:val="left"/>
        <w:rPr>
          <w:rFonts w:ascii="宋体" w:hAnsi="宋体" w:cs="宋体"/>
          <w:sz w:val="24"/>
        </w:rPr>
      </w:pPr>
      <w:r>
        <w:rPr>
          <w:rFonts w:hint="eastAsia" w:ascii="宋体" w:hAnsi="宋体" w:cs="宋体"/>
          <w:sz w:val="24"/>
        </w:rPr>
        <w:t>2、投标人登录政采云平台，用“项目采购-开标评标”功能对电子投标文件进行在线解密。在线解密电子投标文件时间为开标时间起半个小时内。</w:t>
      </w:r>
    </w:p>
    <w:p>
      <w:pPr>
        <w:snapToGrid w:val="0"/>
        <w:spacing w:line="480" w:lineRule="exact"/>
        <w:ind w:firstLine="480" w:firstLineChars="200"/>
        <w:jc w:val="left"/>
        <w:rPr>
          <w:rFonts w:ascii="宋体" w:hAnsi="宋体" w:cs="宋体"/>
          <w:sz w:val="24"/>
        </w:rPr>
      </w:pPr>
      <w:r>
        <w:rPr>
          <w:rFonts w:hint="eastAsia" w:ascii="宋体" w:hAnsi="宋体" w:cs="宋体"/>
          <w:sz w:val="24"/>
        </w:rPr>
        <w:t>3、公布开标结果。</w:t>
      </w:r>
    </w:p>
    <w:p>
      <w:pPr>
        <w:snapToGrid w:val="0"/>
        <w:spacing w:line="480" w:lineRule="exact"/>
        <w:ind w:firstLine="480" w:firstLineChars="200"/>
        <w:jc w:val="left"/>
        <w:rPr>
          <w:rFonts w:ascii="宋体" w:hAnsi="宋体" w:cs="宋体"/>
          <w:sz w:val="24"/>
        </w:rPr>
      </w:pPr>
      <w:r>
        <w:rPr>
          <w:rFonts w:hint="eastAsia" w:ascii="宋体" w:hAnsi="宋体" w:cs="宋体"/>
          <w:sz w:val="24"/>
        </w:rPr>
        <w:t>4、特别说明：本项目原则上采用政采云电子招投标开标及评审程序，但有下情形之一的，按以下情况处理：</w:t>
      </w:r>
    </w:p>
    <w:p>
      <w:pPr>
        <w:numPr>
          <w:ilvl w:val="0"/>
          <w:numId w:val="9"/>
        </w:numPr>
        <w:snapToGrid w:val="0"/>
        <w:spacing w:line="480" w:lineRule="exact"/>
        <w:ind w:firstLine="480" w:firstLineChars="200"/>
        <w:jc w:val="left"/>
        <w:rPr>
          <w:rFonts w:ascii="宋体" w:hAnsi="宋体" w:cs="宋体"/>
          <w:sz w:val="24"/>
        </w:rPr>
      </w:pPr>
      <w:r>
        <w:rPr>
          <w:rFonts w:hint="eastAsia" w:ascii="宋体" w:hAnsi="宋体" w:cs="宋体"/>
          <w:sz w:val="24"/>
        </w:rPr>
        <w:t>投标人应当按规定及时解密，若因技术原因导致电子投标文件未能及时解密的，应联系我中心技术人员在采监处的监督下远程协助其完成解密，仍无法完成解密的，应按规定及时递交备份电子投标文件，否则，视同放弃投标。</w:t>
      </w:r>
    </w:p>
    <w:p>
      <w:pPr>
        <w:snapToGrid w:val="0"/>
        <w:spacing w:line="480" w:lineRule="exact"/>
        <w:ind w:firstLine="480" w:firstLineChars="200"/>
        <w:jc w:val="left"/>
        <w:rPr>
          <w:rFonts w:ascii="仿宋_GB2312" w:hAnsi="宋体" w:eastAsia="仿宋_GB2312"/>
          <w:b/>
          <w:sz w:val="24"/>
        </w:rPr>
      </w:pPr>
      <w:r>
        <w:rPr>
          <w:rFonts w:hint="eastAsia" w:ascii="宋体" w:hAnsi="宋体" w:cs="宋体"/>
          <w:sz w:val="24"/>
        </w:rPr>
        <w:t>（2）</w:t>
      </w:r>
      <w:r>
        <w:rPr>
          <w:rFonts w:hint="eastAsia" w:asciiTheme="minorEastAsia" w:hAnsiTheme="minorEastAsia" w:eastAsiaTheme="minorEastAsia"/>
          <w:sz w:val="24"/>
        </w:rPr>
        <w:t>开评标细则按政采云电子评标流程进行。</w:t>
      </w:r>
      <w:r>
        <w:rPr>
          <w:rFonts w:hint="eastAsia" w:ascii="仿宋_GB2312" w:hAnsi="宋体" w:eastAsia="仿宋_GB2312"/>
          <w:b/>
          <w:sz w:val="24"/>
        </w:rPr>
        <w:t>特别说明：政采云公司如对电子化开标及评审程序有调整的，按调整后的程序操作。</w:t>
      </w:r>
    </w:p>
    <w:p>
      <w:pPr>
        <w:pStyle w:val="13"/>
        <w:snapToGrid w:val="0"/>
        <w:spacing w:line="360" w:lineRule="auto"/>
        <w:ind w:firstLine="420" w:firstLineChars="200"/>
      </w:pPr>
    </w:p>
    <w:p>
      <w:pPr>
        <w:pStyle w:val="13"/>
        <w:snapToGrid w:val="0"/>
        <w:spacing w:line="360" w:lineRule="auto"/>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pStyle w:val="13"/>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w:t>
      </w:r>
      <w:r>
        <w:rPr>
          <w:rFonts w:asciiTheme="minorEastAsia" w:hAnsiTheme="minorEastAsia" w:eastAsiaTheme="minorEastAsia"/>
          <w:sz w:val="24"/>
        </w:rPr>
        <w:t>组成。</w:t>
      </w:r>
    </w:p>
    <w:p>
      <w:pPr>
        <w:pStyle w:val="13"/>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w:t>
      </w:r>
      <w:r>
        <w:rPr>
          <w:rFonts w:asciiTheme="minorEastAsia" w:hAnsiTheme="minorEastAsia" w:eastAsiaTheme="minorEastAsia"/>
          <w:b/>
          <w:bCs/>
          <w:sz w:val="24"/>
        </w:rPr>
        <w:t>评标程序</w:t>
      </w:r>
    </w:p>
    <w:p>
      <w:pPr>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9"/>
        <w:spacing w:line="360" w:lineRule="auto"/>
        <w:jc w:val="both"/>
        <w:rPr>
          <w:rFonts w:asciiTheme="minorEastAsia" w:hAnsiTheme="minorEastAsia" w:eastAsiaTheme="minorEastAsia"/>
          <w:sz w:val="24"/>
        </w:rPr>
      </w:pPr>
      <w:r>
        <w:rPr>
          <w:rFonts w:asciiTheme="minorEastAsia" w:hAnsiTheme="minorEastAsia" w:eastAsiaTheme="minorEastAsia"/>
          <w:sz w:val="24"/>
        </w:rPr>
        <w:t>公开招标采购项目开标结束后，采购人或者采购组织机构应当依法对投标人的资格进行审查，对审查发现无效的进行必要的询标，</w:t>
      </w:r>
      <w:r>
        <w:rPr>
          <w:rFonts w:hint="eastAsia"/>
          <w:sz w:val="24"/>
        </w:rPr>
        <w:t>由政采云在线公布</w:t>
      </w:r>
      <w:r>
        <w:rPr>
          <w:rFonts w:asciiTheme="minorEastAsia" w:hAnsiTheme="minorEastAsia" w:eastAsiaTheme="minorEastAsia"/>
          <w:sz w:val="24"/>
        </w:rPr>
        <w:t>无效投标的投标人名单、投标无效的原因。</w:t>
      </w:r>
      <w:r>
        <w:rPr>
          <w:rFonts w:hint="eastAsia"/>
          <w:sz w:val="24"/>
        </w:rPr>
        <w:t>（若系统原因无法公布的，将由录音电话代为公布）</w:t>
      </w:r>
    </w:p>
    <w:p>
      <w:pPr>
        <w:pStyle w:val="9"/>
        <w:numPr>
          <w:ilvl w:val="0"/>
          <w:numId w:val="10"/>
        </w:numPr>
        <w:spacing w:line="360" w:lineRule="auto"/>
        <w:rPr>
          <w:rFonts w:asciiTheme="minorEastAsia" w:hAnsiTheme="minorEastAsia" w:eastAsiaTheme="minorEastAsia"/>
          <w:b/>
          <w:bCs/>
        </w:rPr>
      </w:pPr>
      <w:r>
        <w:rPr>
          <w:rFonts w:asciiTheme="minorEastAsia" w:hAnsiTheme="minorEastAsia" w:eastAsiaTheme="minorEastAsia"/>
          <w:b/>
          <w:bCs/>
        </w:rPr>
        <w:t>符合性审查</w:t>
      </w:r>
    </w:p>
    <w:p>
      <w:pPr>
        <w:pStyle w:val="9"/>
        <w:spacing w:line="360" w:lineRule="auto"/>
        <w:rPr>
          <w:rFonts w:eastAsiaTheme="minorEastAsia"/>
          <w:sz w:val="24"/>
        </w:rPr>
      </w:pPr>
      <w:r>
        <w:rPr>
          <w:rFonts w:asciiTheme="minorEastAsia" w:hAnsiTheme="minorEastAsia" w:eastAsiaTheme="minorEastAsia"/>
          <w:sz w:val="24"/>
        </w:rPr>
        <w:t>评标委员会应当对符合资格的投标人的</w:t>
      </w:r>
      <w:r>
        <w:rPr>
          <w:rFonts w:hint="eastAsia" w:asciiTheme="minorEastAsia" w:hAnsiTheme="minorEastAsia" w:eastAsiaTheme="minorEastAsia"/>
          <w:sz w:val="24"/>
        </w:rPr>
        <w:t>电子</w:t>
      </w:r>
      <w:r>
        <w:rPr>
          <w:rFonts w:asciiTheme="minorEastAsia" w:hAnsiTheme="minorEastAsia" w:eastAsiaTheme="minorEastAsia"/>
          <w:sz w:val="24"/>
        </w:rPr>
        <w:t>投标文件进行符合性审查，以确定其是否满足招标文件的实质性要求，对审查发现无效的进行必要的询标，</w:t>
      </w:r>
      <w:r>
        <w:rPr>
          <w:rFonts w:hint="eastAsia"/>
          <w:sz w:val="24"/>
        </w:rPr>
        <w:t>对</w:t>
      </w:r>
      <w:r>
        <w:rPr>
          <w:rFonts w:asciiTheme="minorEastAsia" w:hAnsiTheme="minorEastAsia" w:eastAsiaTheme="minorEastAsia"/>
          <w:sz w:val="24"/>
        </w:rPr>
        <w:t>无效投标的投标人名单</w:t>
      </w:r>
      <w:r>
        <w:rPr>
          <w:rFonts w:hint="eastAsia" w:asciiTheme="minorEastAsia" w:hAnsiTheme="minorEastAsia" w:eastAsiaTheme="minorEastAsia"/>
          <w:sz w:val="24"/>
        </w:rPr>
        <w:t>及</w:t>
      </w:r>
      <w:r>
        <w:rPr>
          <w:rFonts w:asciiTheme="minorEastAsia" w:hAnsiTheme="minorEastAsia" w:eastAsiaTheme="minorEastAsia"/>
          <w:sz w:val="24"/>
        </w:rPr>
        <w:t>投标无效原因</w:t>
      </w:r>
      <w:r>
        <w:rPr>
          <w:rFonts w:hint="eastAsia" w:asciiTheme="minorEastAsia" w:hAnsiTheme="minorEastAsia" w:eastAsiaTheme="minorEastAsia"/>
          <w:sz w:val="24"/>
        </w:rPr>
        <w:t>的公布方式同上。</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17"/>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（1）对于电子投标文件中含义不明确、同类问题表述不一致或者有明显文字和计算错误的内容，评标委员会应当以在线询标形式要求投标人作出必要的澄清、说明或者补正。</w:t>
      </w:r>
    </w:p>
    <w:p>
      <w:pPr>
        <w:pStyle w:val="17"/>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（3）评标时，评标委员会各成员应当独立对每个投标人的电子投标文件进行评价，并汇总每个投标人的得分。</w:t>
      </w:r>
    </w:p>
    <w:p>
      <w:pPr>
        <w:numPr>
          <w:ilvl w:val="255"/>
          <w:numId w:val="0"/>
        </w:numPr>
        <w:snapToGrid w:val="0"/>
        <w:spacing w:line="360" w:lineRule="auto"/>
        <w:ind w:firstLine="482" w:firstLineChars="200"/>
        <w:rPr>
          <w:rFonts w:ascii="Arial" w:hAnsi="Arial" w:cs="Arial"/>
          <w:b/>
          <w:bCs/>
          <w:sz w:val="24"/>
        </w:rPr>
      </w:pPr>
      <w:r>
        <w:rPr>
          <w:rFonts w:hint="eastAsia" w:ascii="Arial" w:hAnsi="Arial" w:cs="Arial"/>
          <w:b/>
          <w:bCs/>
          <w:sz w:val="24"/>
        </w:rPr>
        <w:t>4、得分确认及评审报告编写</w:t>
      </w:r>
    </w:p>
    <w:p>
      <w:pPr>
        <w:pStyle w:val="13"/>
        <w:snapToGrid w:val="0"/>
        <w:spacing w:line="360" w:lineRule="auto"/>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17"/>
        <w:spacing w:before="0" w:beforeAutospacing="0" w:after="0" w:afterAutospacing="0" w:line="360" w:lineRule="auto"/>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b/>
          <w:sz w:val="24"/>
        </w:rPr>
        <w:t>（三）澄清问题的形式</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sz w:val="24"/>
        </w:rPr>
        <w:t>投标人的澄清、说明或者补正应当采用电子询标形式，并加盖公章（电子印章），并不得超出电子投标文件的范围或者改变电子投标文件的实质性内容。</w:t>
      </w:r>
    </w:p>
    <w:p>
      <w:pPr>
        <w:pStyle w:val="13"/>
        <w:snapToGrid w:val="0"/>
        <w:spacing w:line="360" w:lineRule="auto"/>
        <w:ind w:left="720" w:leftChars="228" w:hanging="241" w:hangingChars="100"/>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电子投标文件报价出现前后不一致的，除招标文件另有规定外，按照下列规定修正：</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1、电子投标文件中开标一览表（报价表）内容与电子投标文件中相应内容不一致的，以开标一览表（报价表）为准；</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同时出现两种以上不一致的，按照前款规定的顺序修正。修正应当采用电子询标的形式，并加盖公章</w:t>
      </w:r>
      <w:r>
        <w:rPr>
          <w:rFonts w:asciiTheme="minorEastAsia" w:hAnsiTheme="minorEastAsia"/>
        </w:rPr>
        <w:t>（电子印章）</w:t>
      </w:r>
      <w:r>
        <w:rPr>
          <w:rFonts w:asciiTheme="minorEastAsia" w:hAnsiTheme="minorEastAsia" w:eastAsiaTheme="minorEastAsia"/>
        </w:rPr>
        <w:t>。</w:t>
      </w:r>
    </w:p>
    <w:p>
      <w:pPr>
        <w:pStyle w:val="17"/>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bCs/>
        </w:rPr>
        <w:t>（五）</w:t>
      </w:r>
      <w:r>
        <w:rPr>
          <w:rFonts w:asciiTheme="minorEastAsia" w:hAnsiTheme="minorEastAsia" w:eastAsiaTheme="minorEastAsia"/>
          <w:b/>
        </w:rPr>
        <w:t>投标人存在下列情况之一的，投标无效</w:t>
      </w:r>
    </w:p>
    <w:p>
      <w:pPr>
        <w:adjustRightInd w:val="0"/>
        <w:snapToGrid w:val="0"/>
        <w:spacing w:line="360" w:lineRule="auto"/>
        <w:ind w:left="4" w:firstLine="411" w:firstLineChars="196"/>
        <w:jc w:val="left"/>
        <w:rPr>
          <w:rFonts w:asciiTheme="minorEastAsia" w:hAnsiTheme="minorEastAsia" w:eastAsiaTheme="minorEastAsia"/>
          <w:b/>
          <w:bCs/>
          <w:sz w:val="24"/>
        </w:rPr>
      </w:pPr>
      <w:r>
        <w:rPr>
          <w:rFonts w:asciiTheme="minorEastAsia" w:hAnsiTheme="minorEastAsia" w:eastAsiaTheme="minorEastAsia"/>
        </w:rPr>
        <w:t>1、</w:t>
      </w:r>
      <w:r>
        <w:rPr>
          <w:rFonts w:hint="eastAsia" w:asciiTheme="minorEastAsia" w:hAnsiTheme="minorEastAsia" w:eastAsiaTheme="minorEastAsia"/>
          <w:b/>
          <w:bCs/>
          <w:kern w:val="0"/>
          <w:sz w:val="24"/>
        </w:rPr>
        <w:t>在资格证明模块或商务与技术模块中出现投标报价的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17"/>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17"/>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3、电子投标文件含有采购人不能接受的附加条件的。</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4</w:t>
      </w:r>
      <w:r>
        <w:rPr>
          <w:rFonts w:hint="eastAsia" w:asciiTheme="minorEastAsia" w:hAnsiTheme="minorEastAsia" w:eastAsiaTheme="minorEastAsia"/>
          <w:sz w:val="24"/>
        </w:rPr>
        <w:t>、</w:t>
      </w:r>
      <w:r>
        <w:rPr>
          <w:rFonts w:asciiTheme="minorEastAsia" w:hAnsiTheme="minorEastAsia" w:eastAsiaTheme="minorEastAsia"/>
          <w:sz w:val="24"/>
        </w:rPr>
        <w:t>评标委员会认为投标人的报价明显低于其他通过符合性审查投标人的报价，有可能影响产品质量或者不能诚信履约的，应当要求其在合理的时间内提供</w:t>
      </w:r>
      <w:r>
        <w:rPr>
          <w:rFonts w:hint="eastAsia"/>
          <w:sz w:val="24"/>
        </w:rPr>
        <w:t>进行电子答复</w:t>
      </w:r>
      <w:r>
        <w:rPr>
          <w:rFonts w:asciiTheme="minorEastAsia" w:hAnsiTheme="minorEastAsia" w:eastAsiaTheme="minorEastAsia"/>
          <w:sz w:val="24"/>
        </w:rPr>
        <w:t>，必要时提交相关证明材料；投标人不能证明其报价合理性的，评标委员会应当将其作为无效投标处理。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5、报价超过招标文件中规定的预算金额/最高限价。 </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6、主要性能参数指标负偏离</w:t>
      </w:r>
      <w:r>
        <w:rPr>
          <w:rFonts w:asciiTheme="minorEastAsia" w:hAnsiTheme="minorEastAsia" w:eastAsiaTheme="minorEastAsia"/>
          <w:u w:val="single"/>
        </w:rPr>
        <w:t xml:space="preserve"> 8 </w:t>
      </w:r>
      <w:r>
        <w:rPr>
          <w:rFonts w:asciiTheme="minorEastAsia" w:hAnsiTheme="minorEastAsia" w:eastAsiaTheme="minorEastAsia"/>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（1）不同投标人的电子投标文件由同一单位或者个人编制；</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（3）不同投标人的电子投标文件载明的项目管理成员或者联系人员为同一人；</w:t>
      </w:r>
    </w:p>
    <w:p>
      <w:pPr>
        <w:pStyle w:val="17"/>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（4）不同投标人的电子投标文件异常一致或者投标报价呈规律性差异；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中打“▲”内容及被拒绝的条款）。</w:t>
      </w:r>
    </w:p>
    <w:p>
      <w:pPr>
        <w:pStyle w:val="2"/>
        <w:rPr>
          <w:rFonts w:eastAsiaTheme="minorEastAsia"/>
        </w:rPr>
      </w:pPr>
      <w:r>
        <w:rPr>
          <w:rFonts w:hint="eastAsia" w:asciiTheme="minorEastAsia" w:hAnsiTheme="minorEastAsia" w:eastAsiaTheme="minorEastAsia"/>
          <w:kern w:val="0"/>
          <w:sz w:val="24"/>
        </w:rPr>
        <w:t>11、商务条款不响应。</w:t>
      </w:r>
    </w:p>
    <w:p>
      <w:pPr>
        <w:numPr>
          <w:ilvl w:val="0"/>
          <w:numId w:val="11"/>
        </w:numPr>
        <w:tabs>
          <w:tab w:val="right" w:pos="8306"/>
        </w:tabs>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供应商仅提交备份电子电子投标文件的。</w:t>
      </w:r>
    </w:p>
    <w:p>
      <w:pPr>
        <w:autoSpaceDE w:val="0"/>
        <w:autoSpaceDN w:val="0"/>
        <w:adjustRightInd w:val="0"/>
        <w:spacing w:line="360" w:lineRule="auto"/>
        <w:ind w:left="480"/>
        <w:rPr>
          <w:rFonts w:asciiTheme="minorEastAsia" w:hAnsiTheme="minorEastAsia" w:eastAsiaTheme="minorEastAsia"/>
          <w:kern w:val="0"/>
          <w:sz w:val="24"/>
        </w:rPr>
      </w:pPr>
      <w:r>
        <w:rPr>
          <w:rFonts w:hint="eastAsia" w:asciiTheme="minorEastAsia" w:hAnsiTheme="minorEastAsia" w:eastAsiaTheme="minorEastAsia"/>
          <w:b/>
          <w:kern w:val="0"/>
          <w:sz w:val="24"/>
        </w:rPr>
        <w:t>（六）有下列情况之一的，本次招标作为废标处理</w:t>
      </w:r>
    </w:p>
    <w:p>
      <w:pPr>
        <w:pStyle w:val="17"/>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17"/>
        <w:spacing w:before="0" w:beforeAutospacing="0" w:after="0" w:afterAutospacing="0" w:line="360" w:lineRule="auto"/>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17"/>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17"/>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pStyle w:val="13"/>
        <w:tabs>
          <w:tab w:val="left" w:pos="630"/>
        </w:tabs>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3"/>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pStyle w:val="13"/>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17"/>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rPr>
        <w:t>六、定标</w:t>
      </w:r>
    </w:p>
    <w:p>
      <w:pPr>
        <w:pStyle w:val="17"/>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pStyle w:val="9"/>
        <w:spacing w:line="360" w:lineRule="auto"/>
        <w:ind w:firstLine="480" w:firstLineChars="200"/>
      </w:pPr>
      <w:r>
        <w:rPr>
          <w:rFonts w:hint="eastAsia" w:ascii="宋体" w:hAnsi="宋体"/>
          <w:kern w:val="0"/>
          <w:sz w:val="24"/>
        </w:rPr>
        <w:t>3、</w:t>
      </w:r>
      <w:r>
        <w:rPr>
          <w:rFonts w:hint="eastAsia"/>
          <w:sz w:val="24"/>
        </w:rPr>
        <w:t>通过政采云平台发放电子中标通知书</w:t>
      </w:r>
      <w:r>
        <w:rPr>
          <w:rFonts w:hint="eastAsia" w:ascii="宋体" w:hAnsi="宋体"/>
          <w:kern w:val="0"/>
          <w:sz w:val="24"/>
        </w:rPr>
        <w:t>。采购组织机构在发布中标结果</w:t>
      </w:r>
      <w:r>
        <w:rPr>
          <w:rFonts w:hint="eastAsia" w:ascii="宋体" w:hAnsi="宋体"/>
          <w:color w:val="FF0000"/>
          <w:kern w:val="0"/>
          <w:sz w:val="24"/>
        </w:rPr>
        <w:t>公告</w:t>
      </w:r>
      <w:r>
        <w:rPr>
          <w:rFonts w:hint="eastAsia" w:ascii="宋体" w:hAnsi="宋体"/>
          <w:kern w:val="0"/>
          <w:sz w:val="24"/>
        </w:rPr>
        <w:t>的同时，向中标人发出中标通知书。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7"/>
        <w:spacing w:before="0" w:beforeAutospacing="0" w:after="0" w:afterAutospacing="0" w:line="360" w:lineRule="auto"/>
        <w:ind w:firstLine="600" w:firstLineChars="250"/>
        <w:jc w:val="both"/>
        <w:rPr>
          <w:rFonts w:hint="default"/>
        </w:rPr>
      </w:pPr>
      <w: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17"/>
        <w:spacing w:before="0" w:beforeAutospacing="0" w:after="0" w:afterAutospacing="0" w:line="360" w:lineRule="auto"/>
        <w:ind w:firstLine="600" w:firstLineChars="250"/>
        <w:jc w:val="both"/>
        <w:rPr>
          <w:rFonts w:hint="default"/>
        </w:rPr>
      </w:pPr>
      <w:r>
        <w:t>2、采购人不得向中标人提出任何不合理的要求作为签订合同的条件。</w:t>
      </w:r>
    </w:p>
    <w:p>
      <w:pPr>
        <w:pStyle w:val="17"/>
        <w:spacing w:before="0" w:beforeAutospacing="0" w:after="0" w:afterAutospacing="0" w:line="360" w:lineRule="auto"/>
        <w:ind w:firstLine="420" w:firstLineChars="175"/>
        <w:jc w:val="both"/>
        <w:rPr>
          <w:rFonts w:hint="default"/>
        </w:rPr>
      </w:pPr>
      <w:r>
        <w:t>3、中标供应商无故拖延、拒签合同的,将取消中标资格。</w:t>
      </w:r>
    </w:p>
    <w:p>
      <w:pPr>
        <w:pStyle w:val="17"/>
        <w:spacing w:before="0" w:beforeAutospacing="0" w:after="0" w:afterAutospacing="0" w:line="360" w:lineRule="auto"/>
        <w:ind w:firstLine="480" w:firstLineChars="200"/>
        <w:jc w:val="both"/>
        <w:rPr>
          <w:rFonts w:hint="default"/>
        </w:rPr>
      </w:pPr>
      <w: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7"/>
        <w:spacing w:line="360" w:lineRule="auto"/>
        <w:ind w:firstLine="480" w:firstLineChars="200"/>
        <w:rPr>
          <w:rFonts w:hint="default" w:cs="仿宋_GB2312"/>
        </w:rPr>
      </w:pPr>
      <w:r>
        <w:t>5、询问或者质疑事项可能影响中标结果的，采购人应当暂停签订合同，已经签订合同的，应当中止履行合同（中标结果的质疑期为中标结果公告期限届满之日起七个工作日）。</w:t>
      </w:r>
    </w:p>
    <w:p>
      <w:pPr>
        <w:pStyle w:val="17"/>
        <w:spacing w:line="360" w:lineRule="auto"/>
        <w:ind w:firstLine="424" w:firstLineChars="176"/>
        <w:rPr>
          <w:rFonts w:hint="default" w:cs="仿宋_GB2312"/>
          <w:b/>
        </w:rPr>
      </w:pPr>
      <w:r>
        <w:rPr>
          <w:b/>
        </w:rPr>
        <w:t>（二）合同公告及备案</w:t>
      </w:r>
    </w:p>
    <w:p>
      <w:pPr>
        <w:pStyle w:val="12"/>
        <w:spacing w:line="360" w:lineRule="auto"/>
        <w:ind w:left="0" w:leftChars="0" w:firstLine="480" w:firstLineChars="20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20" w:firstLineChars="175"/>
        <w:rPr>
          <w:rFonts w:ascii="宋体" w:hAnsi="宋体"/>
          <w:sz w:val="24"/>
        </w:rPr>
      </w:pPr>
      <w:r>
        <w:rPr>
          <w:rFonts w:hint="eastAsia" w:ascii="宋体" w:hAnsi="宋体"/>
          <w:sz w:val="24"/>
        </w:rPr>
        <w:t>2、采购人应当自政府采购合同签订之日起7个工作日内，</w:t>
      </w:r>
      <w:r>
        <w:rPr>
          <w:rFonts w:hint="eastAsia"/>
          <w:sz w:val="24"/>
        </w:rPr>
        <w:t>将政府采购合同通过政采云网站提交至</w:t>
      </w:r>
      <w:r>
        <w:rPr>
          <w:rFonts w:hint="eastAsia" w:ascii="宋体" w:hAnsi="宋体"/>
          <w:sz w:val="24"/>
        </w:rPr>
        <w:t>同级人民政府财政部门备案存档。</w:t>
      </w:r>
    </w:p>
    <w:p>
      <w:pPr>
        <w:rPr>
          <w:rFonts w:ascii="宋体" w:hAnsi="宋体"/>
          <w:sz w:val="24"/>
        </w:rPr>
      </w:pPr>
      <w:r>
        <w:rPr>
          <w:rFonts w:hint="eastAsia" w:ascii="宋体" w:hAnsi="宋体"/>
          <w:sz w:val="24"/>
        </w:rPr>
        <w:br w:type="page"/>
      </w:r>
    </w:p>
    <w:p>
      <w:pPr>
        <w:pStyle w:val="9"/>
        <w:spacing w:line="360" w:lineRule="auto"/>
        <w:rPr>
          <w:rFonts w:ascii="宋体" w:hAnsi="宋体"/>
          <w:sz w:val="24"/>
        </w:rPr>
      </w:pP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kern w:val="0"/>
          <w:sz w:val="24"/>
        </w:rPr>
      </w:pPr>
      <w:r>
        <w:rPr>
          <w:rFonts w:hint="eastAsia" w:asciiTheme="minorEastAsia" w:hAnsiTheme="minorEastAsia" w:eastAsiaTheme="minorEastAsia"/>
          <w:kern w:val="0"/>
          <w:sz w:val="24"/>
        </w:rPr>
        <w:t>一、采购组织机构将组织评标委员会，对投标人提供的电子投标文件进行综合评审。</w:t>
      </w:r>
    </w:p>
    <w:p>
      <w:pPr>
        <w:autoSpaceDE w:val="0"/>
        <w:autoSpaceDN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二、本次招标项目的评标方法为综合评分法，总计100分。评标标准按以下6项内容及分值进行评审。</w:t>
      </w:r>
    </w:p>
    <w:tbl>
      <w:tblPr>
        <w:tblStyle w:val="19"/>
        <w:tblW w:w="5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524" w:type="dxa"/>
            <w:tcBorders>
              <w:tl2br w:val="single" w:color="auto" w:sz="4" w:space="0"/>
            </w:tcBorders>
          </w:tcPr>
          <w:p>
            <w:pPr>
              <w:autoSpaceDE w:val="0"/>
              <w:autoSpaceDN w:val="0"/>
              <w:adjustRightInd w:val="0"/>
              <w:jc w:val="left"/>
              <w:rPr>
                <w:rFonts w:ascii="宋体" w:hAnsi="宋体" w:cs="Arial"/>
                <w:sz w:val="24"/>
              </w:rPr>
            </w:pPr>
            <w:r>
              <w:rPr>
                <w:rFonts w:hint="eastAsia" w:ascii="宋体" w:hAnsi="宋体" w:cs="Arial"/>
                <w:sz w:val="24"/>
              </w:rPr>
              <w:t xml:space="preserve">          标段</w:t>
            </w:r>
          </w:p>
          <w:p>
            <w:pPr>
              <w:autoSpaceDE w:val="0"/>
              <w:autoSpaceDN w:val="0"/>
              <w:adjustRightInd w:val="0"/>
              <w:jc w:val="left"/>
              <w:rPr>
                <w:rFonts w:ascii="宋体" w:hAnsi="宋体" w:cs="Arial"/>
                <w:sz w:val="24"/>
              </w:rPr>
            </w:pPr>
            <w:r>
              <w:rPr>
                <w:rFonts w:hint="eastAsia" w:ascii="宋体" w:hAnsi="宋体" w:cs="Arial"/>
                <w:sz w:val="24"/>
              </w:rPr>
              <w:t>类别</w:t>
            </w:r>
          </w:p>
        </w:tc>
        <w:tc>
          <w:tcPr>
            <w:tcW w:w="2708" w:type="dxa"/>
            <w:vAlign w:val="center"/>
          </w:tcPr>
          <w:p>
            <w:pPr>
              <w:autoSpaceDE w:val="0"/>
              <w:autoSpaceDN w:val="0"/>
              <w:adjustRightInd w:val="0"/>
              <w:spacing w:line="480" w:lineRule="auto"/>
              <w:jc w:val="center"/>
              <w:rPr>
                <w:rFonts w:ascii="宋体" w:hAnsi="宋体" w:cs="Arial"/>
                <w:sz w:val="24"/>
              </w:rPr>
            </w:pPr>
            <w:r>
              <w:rPr>
                <w:rFonts w:hint="eastAsia" w:ascii="宋体" w:hAnsi="宋体" w:cs="Arial"/>
                <w:sz w:val="24"/>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技术评分</w:t>
            </w:r>
          </w:p>
        </w:tc>
        <w:tc>
          <w:tcPr>
            <w:tcW w:w="2708"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实力信誉及业绩评分</w:t>
            </w:r>
          </w:p>
        </w:tc>
        <w:tc>
          <w:tcPr>
            <w:tcW w:w="2708"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售后服务评分</w:t>
            </w:r>
          </w:p>
        </w:tc>
        <w:tc>
          <w:tcPr>
            <w:tcW w:w="2708"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投标文件制作评分</w:t>
            </w:r>
          </w:p>
        </w:tc>
        <w:tc>
          <w:tcPr>
            <w:tcW w:w="2708" w:type="dxa"/>
            <w:vAlign w:val="center"/>
          </w:tcPr>
          <w:p>
            <w:pPr>
              <w:autoSpaceDE w:val="0"/>
              <w:autoSpaceDN w:val="0"/>
              <w:adjustRightInd w:val="0"/>
              <w:jc w:val="center"/>
              <w:rPr>
                <w:rFonts w:ascii="宋体" w:hAnsi="宋体" w:cs="Arial"/>
                <w:sz w:val="24"/>
              </w:rPr>
            </w:pPr>
            <w:r>
              <w:rPr>
                <w:rFonts w:hint="eastAsia" w:ascii="宋体" w:hAnsi="宋体" w:cs="Arial"/>
                <w:color w:val="00000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524" w:type="dxa"/>
            <w:vAlign w:val="center"/>
          </w:tcPr>
          <w:p>
            <w:pPr>
              <w:autoSpaceDE w:val="0"/>
              <w:autoSpaceDN w:val="0"/>
              <w:adjustRightInd w:val="0"/>
              <w:jc w:val="left"/>
              <w:rPr>
                <w:rFonts w:ascii="宋体" w:hAnsi="宋体" w:cs="Arial"/>
                <w:sz w:val="24"/>
              </w:rPr>
            </w:pPr>
            <w:r>
              <w:rPr>
                <w:rFonts w:hint="eastAsia" w:ascii="宋体" w:hAnsi="宋体" w:cs="Arial"/>
                <w:sz w:val="24"/>
              </w:rPr>
              <w:t>价格分</w:t>
            </w:r>
          </w:p>
        </w:tc>
        <w:tc>
          <w:tcPr>
            <w:tcW w:w="2708" w:type="dxa"/>
            <w:vAlign w:val="center"/>
          </w:tcPr>
          <w:p>
            <w:pPr>
              <w:autoSpaceDE w:val="0"/>
              <w:autoSpaceDN w:val="0"/>
              <w:adjustRightInd w:val="0"/>
              <w:jc w:val="center"/>
              <w:rPr>
                <w:rFonts w:hint="default" w:ascii="宋体" w:hAnsi="宋体" w:eastAsia="宋体" w:cs="Arial"/>
                <w:sz w:val="24"/>
                <w:lang w:val="en-US" w:eastAsia="zh-CN"/>
              </w:rPr>
            </w:pPr>
            <w:r>
              <w:rPr>
                <w:rFonts w:hint="eastAsia" w:ascii="宋体" w:hAnsi="宋体" w:cs="Arial"/>
                <w:color w:val="000000"/>
                <w:sz w:val="24"/>
                <w:lang w:val="en-US" w:eastAsia="zh-CN"/>
              </w:rPr>
              <w:t>30</w:t>
            </w:r>
          </w:p>
        </w:tc>
      </w:tr>
    </w:tbl>
    <w:p>
      <w:pPr>
        <w:autoSpaceDE w:val="0"/>
        <w:autoSpaceDN w:val="0"/>
        <w:adjustRightInd w:val="0"/>
        <w:spacing w:line="360" w:lineRule="auto"/>
        <w:ind w:right="84" w:firstLine="472"/>
        <w:rPr>
          <w:rFonts w:ascii="宋体"/>
          <w:bCs/>
          <w:sz w:val="24"/>
          <w:lang w:val="zh-CN"/>
        </w:rPr>
      </w:pPr>
      <w:r>
        <w:rPr>
          <w:rFonts w:hint="eastAsia" w:ascii="宋体"/>
          <w:bCs/>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bCs/>
          <w:sz w:val="24"/>
          <w:lang w:val="zh-CN"/>
        </w:rPr>
        <w:t>（二）各投标人商务与技术文件</w:t>
      </w:r>
      <w:r>
        <w:rPr>
          <w:rFonts w:hint="eastAsia" w:ascii="宋体"/>
          <w:kern w:val="0"/>
          <w:sz w:val="24"/>
          <w:lang w:val="zh-CN"/>
        </w:rPr>
        <w:t>得分按照评标委员会成</w:t>
      </w:r>
      <w:r>
        <w:rPr>
          <w:rFonts w:hint="eastAsia" w:ascii="宋体"/>
          <w:bCs/>
          <w:sz w:val="24"/>
          <w:lang w:val="zh-CN"/>
        </w:rPr>
        <w:t>员的独立评分结果汇总后的算术平均分计算，计算公式为：</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hAnsi="宋体"/>
          <w:sz w:val="24"/>
        </w:rPr>
        <w:t>商务与技术文件得分</w:t>
      </w:r>
      <w:r>
        <w:rPr>
          <w:rFonts w:hint="eastAsia" w:ascii="宋体"/>
          <w:bCs/>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sz w:val="24"/>
          <w:lang w:val="zh-CN"/>
        </w:rPr>
      </w:pPr>
      <w:r>
        <w:rPr>
          <w:rFonts w:hint="eastAsia" w:ascii="宋体"/>
          <w:bCs/>
          <w:sz w:val="24"/>
          <w:lang w:val="zh-CN"/>
        </w:rPr>
        <w:t>（三）</w:t>
      </w:r>
      <w:r>
        <w:rPr>
          <w:rFonts w:hint="eastAsia" w:ascii="宋体"/>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投标报价得分=(评标基准价／投标报价)×</w:t>
      </w:r>
      <w:r>
        <w:rPr>
          <w:rFonts w:hint="eastAsia" w:ascii="宋体" w:hAnsi="宋体" w:cs="宋体"/>
          <w:sz w:val="24"/>
          <w:szCs w:val="24"/>
          <w:u w:val="single"/>
          <w:lang w:val="en-US" w:eastAsia="zh-CN"/>
        </w:rPr>
        <w:t>3</w:t>
      </w:r>
      <w:r>
        <w:rPr>
          <w:rFonts w:hint="eastAsia" w:ascii="宋体" w:hAnsi="宋体" w:eastAsia="宋体" w:cs="宋体"/>
          <w:sz w:val="24"/>
          <w:szCs w:val="24"/>
          <w:u w:val="single"/>
        </w:rPr>
        <w:t>0%×100 。</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产品适用政府采购政策情况表》（见附件）、《小微企业声明函》，如投标人提供其他小微企业制造的货物，应同时提供制造商的《小微企业声明函（制造商）》，</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rPr>
        <w:t>相应的</w:t>
      </w:r>
      <w:r>
        <w:rPr>
          <w:rFonts w:hint="eastAsia" w:ascii="宋体"/>
          <w:sz w:val="24"/>
        </w:rPr>
        <w:t>小微企业优惠政策。</w:t>
      </w:r>
      <w:r>
        <w:rPr>
          <w:rFonts w:hint="eastAsia" w:ascii="宋体"/>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具体优惠：对于小型微型企业产品的价格给予</w:t>
      </w:r>
      <w:r>
        <w:rPr>
          <w:rFonts w:hint="eastAsia" w:ascii="宋体"/>
          <w:sz w:val="24"/>
          <w:u w:val="single"/>
          <w:lang w:val="zh-CN"/>
        </w:rPr>
        <w:t xml:space="preserve"> </w:t>
      </w:r>
      <w:r>
        <w:rPr>
          <w:rFonts w:hint="eastAsia" w:ascii="宋体"/>
          <w:sz w:val="24"/>
          <w:u w:val="single"/>
        </w:rPr>
        <w:t>6</w:t>
      </w:r>
      <w:r>
        <w:rPr>
          <w:rFonts w:hint="eastAsia" w:ascii="宋体"/>
          <w:sz w:val="24"/>
          <w:u w:val="single"/>
          <w:lang w:val="zh-CN"/>
        </w:rPr>
        <w:t xml:space="preserve">  </w:t>
      </w:r>
      <w:r>
        <w:rPr>
          <w:rFonts w:hint="eastAsia" w:ascii="宋体"/>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sz w:val="24"/>
          <w:lang w:val="zh-CN"/>
        </w:rPr>
        <w:t>注：得分以系统计算为准，保留2位小数。</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4"/>
        <w:ind w:firstLine="480" w:firstLineChars="200"/>
        <w:rPr>
          <w:rFonts w:ascii="宋体"/>
          <w:b/>
          <w:bCs/>
          <w:sz w:val="24"/>
        </w:rPr>
      </w:pPr>
      <w:r>
        <w:rPr>
          <w:rFonts w:hint="eastAsia" w:asciiTheme="minorEastAsia" w:hAnsiTheme="minorEastAsia" w:eastAsiaTheme="minorEastAsia"/>
          <w:sz w:val="24"/>
          <w:szCs w:val="24"/>
        </w:rPr>
        <w:t>六、本次评分具体分值细化条款如下表：</w:t>
      </w:r>
    </w:p>
    <w:tbl>
      <w:tblPr>
        <w:tblStyle w:val="19"/>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080"/>
        <w:gridCol w:w="6600"/>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shd w:val="pct20" w:color="auto" w:fill="auto"/>
            <w:vAlign w:val="center"/>
          </w:tcPr>
          <w:p>
            <w:pPr>
              <w:widowControl/>
              <w:spacing w:line="360" w:lineRule="auto"/>
              <w:jc w:val="left"/>
              <w:rPr>
                <w:rFonts w:ascii="宋体" w:hAnsi="宋体" w:cs="Arial"/>
                <w:b/>
                <w:szCs w:val="21"/>
              </w:rPr>
            </w:pPr>
            <w:r>
              <w:rPr>
                <w:rFonts w:hint="eastAsia" w:ascii="宋体" w:hAnsi="宋体"/>
                <w:b/>
                <w:color w:val="000000"/>
                <w:szCs w:val="21"/>
              </w:rPr>
              <w:t>评分项目</w:t>
            </w:r>
          </w:p>
        </w:tc>
        <w:tc>
          <w:tcPr>
            <w:tcW w:w="7680" w:type="dxa"/>
            <w:gridSpan w:val="2"/>
            <w:shd w:val="pct20" w:color="auto" w:fill="auto"/>
            <w:vAlign w:val="center"/>
          </w:tcPr>
          <w:p>
            <w:pPr>
              <w:widowControl/>
              <w:spacing w:line="360" w:lineRule="auto"/>
              <w:jc w:val="center"/>
              <w:rPr>
                <w:rFonts w:ascii="宋体" w:hAnsi="宋体"/>
                <w:b/>
                <w:color w:val="000000"/>
                <w:szCs w:val="21"/>
              </w:rPr>
            </w:pPr>
            <w:r>
              <w:rPr>
                <w:rFonts w:hint="eastAsia" w:ascii="宋体" w:hAnsi="宋体"/>
                <w:b/>
                <w:color w:val="000000"/>
                <w:szCs w:val="21"/>
              </w:rPr>
              <w:t>评分细则</w:t>
            </w:r>
          </w:p>
        </w:tc>
        <w:tc>
          <w:tcPr>
            <w:tcW w:w="916" w:type="dxa"/>
            <w:shd w:val="pct20" w:color="auto" w:fill="auto"/>
            <w:vAlign w:val="center"/>
          </w:tcPr>
          <w:p>
            <w:pPr>
              <w:widowControl/>
              <w:spacing w:line="360" w:lineRule="auto"/>
              <w:jc w:val="center"/>
              <w:rPr>
                <w:rFonts w:ascii="宋体" w:hAnsi="宋体" w:cs="Arial"/>
                <w:b/>
                <w:szCs w:val="21"/>
              </w:rPr>
            </w:pPr>
            <w:r>
              <w:rPr>
                <w:rFonts w:hint="eastAsia" w:ascii="宋体" w:hAnsi="宋体" w:cs="Arial"/>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1202" w:type="dxa"/>
            <w:vMerge w:val="restart"/>
            <w:vAlign w:val="center"/>
          </w:tcPr>
          <w:p>
            <w:pPr>
              <w:widowControl/>
              <w:spacing w:line="360" w:lineRule="auto"/>
              <w:jc w:val="left"/>
              <w:rPr>
                <w:rFonts w:hint="default" w:ascii="宋体" w:hAnsi="宋体" w:eastAsia="宋体" w:cs="Arial"/>
                <w:b/>
                <w:bCs/>
                <w:szCs w:val="21"/>
                <w:lang w:val="en-US" w:eastAsia="zh-CN"/>
              </w:rPr>
            </w:pPr>
            <w:r>
              <w:rPr>
                <w:rFonts w:hint="eastAsia" w:ascii="宋体" w:hAnsi="宋体" w:cs="Arial"/>
                <w:b/>
                <w:bCs/>
                <w:szCs w:val="21"/>
              </w:rPr>
              <w:t>技术性能</w:t>
            </w:r>
            <w:r>
              <w:rPr>
                <w:rFonts w:hint="eastAsia" w:ascii="宋体" w:hAnsi="宋体" w:cs="Arial"/>
                <w:b/>
                <w:bCs/>
                <w:szCs w:val="21"/>
                <w:lang w:val="en-US" w:eastAsia="zh-CN"/>
              </w:rPr>
              <w:t>42</w:t>
            </w:r>
            <w:r>
              <w:rPr>
                <w:rFonts w:hint="eastAsia" w:ascii="宋体" w:hAnsi="宋体" w:cs="Arial"/>
                <w:b/>
                <w:bCs/>
                <w:szCs w:val="21"/>
              </w:rPr>
              <w:t>分</w:t>
            </w:r>
          </w:p>
        </w:tc>
        <w:tc>
          <w:tcPr>
            <w:tcW w:w="1080" w:type="dxa"/>
            <w:vAlign w:val="center"/>
          </w:tcPr>
          <w:p>
            <w:pPr>
              <w:widowControl/>
              <w:spacing w:line="360" w:lineRule="auto"/>
              <w:jc w:val="left"/>
              <w:rPr>
                <w:rFonts w:hint="eastAsia" w:ascii="宋体" w:hAnsi="宋体" w:eastAsia="宋体" w:cs="Arial"/>
                <w:b/>
                <w:bCs/>
                <w:szCs w:val="21"/>
                <w:lang w:val="en-US" w:eastAsia="zh-CN"/>
              </w:rPr>
            </w:pPr>
            <w:r>
              <w:rPr>
                <w:rFonts w:hint="eastAsia" w:ascii="宋体" w:hAnsi="宋体" w:cs="Arial"/>
                <w:b/>
                <w:bCs/>
                <w:szCs w:val="21"/>
                <w:lang w:val="en-US" w:eastAsia="zh-CN"/>
              </w:rPr>
              <w:t>总体方案</w:t>
            </w:r>
          </w:p>
        </w:tc>
        <w:tc>
          <w:tcPr>
            <w:tcW w:w="6600" w:type="dxa"/>
            <w:vAlign w:val="center"/>
          </w:tcPr>
          <w:p>
            <w:pPr>
              <w:widowControl/>
              <w:spacing w:line="360" w:lineRule="auto"/>
              <w:jc w:val="left"/>
              <w:rPr>
                <w:rFonts w:hint="default" w:ascii="宋体" w:hAnsi="宋体" w:cs="宋体"/>
                <w:color w:val="000000"/>
                <w:szCs w:val="21"/>
                <w:lang w:val="en-US"/>
              </w:rPr>
            </w:pPr>
            <w:r>
              <w:rPr>
                <w:rFonts w:hint="eastAsia" w:ascii="宋体" w:hAnsi="宋体" w:cs="宋体"/>
                <w:color w:val="000000"/>
                <w:szCs w:val="21"/>
                <w:lang w:val="en-US" w:eastAsia="zh-CN"/>
              </w:rPr>
              <w:t>根据投标人技术方案中：</w:t>
            </w:r>
            <w:r>
              <w:rPr>
                <w:rFonts w:hint="eastAsia" w:ascii="宋体" w:hAnsi="宋体" w:cs="宋体"/>
                <w:color w:val="000000"/>
                <w:szCs w:val="21"/>
                <w:lang w:val="zh-CN"/>
              </w:rPr>
              <w:t>对项目需求的理解和解决方案是否有独到的优势，能否保证现有系统功能的正常运行，设备维护管理及其他服务工作的正常开展</w:t>
            </w:r>
            <w:r>
              <w:rPr>
                <w:rFonts w:hint="eastAsia" w:ascii="宋体" w:hAnsi="宋体" w:cs="宋体"/>
                <w:color w:val="000000"/>
                <w:szCs w:val="21"/>
                <w:lang w:val="en-US" w:eastAsia="zh-CN"/>
              </w:rPr>
              <w:t>等进行综合评分</w:t>
            </w:r>
            <w:r>
              <w:rPr>
                <w:rFonts w:hint="eastAsia" w:ascii="宋体" w:hAnsi="宋体" w:cs="宋体"/>
                <w:color w:val="000000"/>
                <w:szCs w:val="21"/>
                <w:lang w:val="zh-CN"/>
              </w:rPr>
              <w:t>，</w:t>
            </w:r>
            <w:r>
              <w:rPr>
                <w:rFonts w:hint="eastAsia" w:ascii="宋体" w:hAnsi="宋体" w:cs="宋体"/>
                <w:color w:val="000000"/>
                <w:szCs w:val="21"/>
                <w:lang w:val="en-US" w:eastAsia="zh-CN"/>
              </w:rPr>
              <w:t>第一档5-4.1分，第二档4-3.1分，第三档3-2.1分，第四档2-1.1分，第五档1-0分。</w:t>
            </w:r>
          </w:p>
        </w:tc>
        <w:tc>
          <w:tcPr>
            <w:tcW w:w="916" w:type="dxa"/>
            <w:vAlign w:val="center"/>
          </w:tcPr>
          <w:p>
            <w:pPr>
              <w:widowControl/>
              <w:spacing w:line="36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1080" w:type="dxa"/>
            <w:vMerge w:val="restart"/>
            <w:vAlign w:val="center"/>
          </w:tcPr>
          <w:p>
            <w:pPr>
              <w:widowControl/>
              <w:spacing w:line="360" w:lineRule="auto"/>
              <w:jc w:val="left"/>
              <w:rPr>
                <w:rFonts w:hint="default" w:ascii="宋体" w:hAnsi="宋体" w:eastAsia="宋体" w:cs="Arial"/>
                <w:bCs/>
                <w:szCs w:val="21"/>
                <w:lang w:val="en-US" w:eastAsia="zh-CN"/>
              </w:rPr>
            </w:pPr>
            <w:r>
              <w:rPr>
                <w:rFonts w:hint="eastAsia" w:ascii="宋体" w:hAnsi="宋体" w:cs="Arial"/>
                <w:b/>
                <w:bCs w:val="0"/>
                <w:szCs w:val="21"/>
                <w:lang w:val="en-US" w:eastAsia="zh-CN"/>
              </w:rPr>
              <w:t>技术方案</w:t>
            </w:r>
          </w:p>
        </w:tc>
        <w:tc>
          <w:tcPr>
            <w:tcW w:w="6600" w:type="dxa"/>
            <w:vAlign w:val="center"/>
          </w:tcPr>
          <w:p>
            <w:pPr>
              <w:widowControl/>
              <w:spacing w:line="360" w:lineRule="auto"/>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根据投标人</w:t>
            </w:r>
            <w:r>
              <w:rPr>
                <w:rFonts w:hint="eastAsia" w:ascii="宋体" w:hAnsi="宋体" w:cs="宋体"/>
                <w:color w:val="000000"/>
                <w:szCs w:val="21"/>
                <w:lang w:val="zh-CN"/>
              </w:rPr>
              <w:t>维护服务方案：按照用户现有系统情况，提供详细的可操作的备份软件、双活存储、VMware虚拟化等的详细维护计划、服务质量保证措施、服务交付流程、故障响应流程，服务操作规范</w:t>
            </w:r>
            <w:r>
              <w:rPr>
                <w:rFonts w:hint="eastAsia" w:ascii="宋体" w:hAnsi="宋体" w:cs="宋体"/>
                <w:color w:val="000000"/>
                <w:szCs w:val="21"/>
                <w:lang w:val="en-US" w:eastAsia="zh-CN"/>
              </w:rPr>
              <w:t>等进行综合评分，第一档7-5.7分，第二档5.6-4.3分，第三档4.2-2.9分，第四档2.8-1.5分，第五档1.4-0分。</w:t>
            </w:r>
          </w:p>
        </w:tc>
        <w:tc>
          <w:tcPr>
            <w:tcW w:w="916" w:type="dxa"/>
            <w:vAlign w:val="center"/>
          </w:tcPr>
          <w:p>
            <w:pPr>
              <w:widowControl/>
              <w:spacing w:line="36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1080" w:type="dxa"/>
            <w:vMerge w:val="continue"/>
            <w:vAlign w:val="center"/>
          </w:tcPr>
          <w:p>
            <w:pPr>
              <w:widowControl/>
              <w:spacing w:line="360" w:lineRule="auto"/>
              <w:ind w:firstLine="480"/>
              <w:jc w:val="left"/>
              <w:rPr>
                <w:rFonts w:ascii="宋体" w:hAnsi="宋体" w:cs="Arial"/>
                <w:bCs/>
                <w:szCs w:val="21"/>
              </w:rPr>
            </w:pPr>
          </w:p>
        </w:tc>
        <w:tc>
          <w:tcPr>
            <w:tcW w:w="6600"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lang w:val="en-US" w:eastAsia="zh-CN"/>
              </w:rPr>
              <w:t>根据投标人</w:t>
            </w:r>
            <w:r>
              <w:rPr>
                <w:rFonts w:hint="eastAsia" w:ascii="宋体" w:hAnsi="宋体" w:cs="宋体"/>
                <w:color w:val="000000"/>
                <w:szCs w:val="21"/>
              </w:rPr>
              <w:t>针对本项目设计的日常巡检报告单、详细设备档案登记表、现场服务报告单、日常运维流程表等</w:t>
            </w:r>
            <w:r>
              <w:rPr>
                <w:rFonts w:hint="eastAsia" w:ascii="宋体" w:hAnsi="宋体" w:cs="宋体"/>
                <w:color w:val="000000"/>
                <w:szCs w:val="21"/>
                <w:lang w:val="en-US" w:eastAsia="zh-CN"/>
              </w:rPr>
              <w:t>进行综合评分</w:t>
            </w:r>
            <w:r>
              <w:rPr>
                <w:rFonts w:hint="eastAsia" w:ascii="宋体" w:hAnsi="宋体" w:cs="宋体"/>
                <w:color w:val="000000"/>
                <w:szCs w:val="21"/>
                <w:lang w:val="zh-CN"/>
              </w:rPr>
              <w:t>，</w:t>
            </w:r>
            <w:r>
              <w:rPr>
                <w:rFonts w:hint="eastAsia" w:ascii="宋体" w:hAnsi="宋体" w:cs="宋体"/>
                <w:color w:val="000000"/>
                <w:szCs w:val="21"/>
                <w:lang w:val="en-US" w:eastAsia="zh-CN"/>
              </w:rPr>
              <w:t>第一档4-3.1分，第二档3-2.1分，第三档2-1.1分，第四档1-0分。</w:t>
            </w:r>
          </w:p>
        </w:tc>
        <w:tc>
          <w:tcPr>
            <w:tcW w:w="916" w:type="dxa"/>
            <w:vAlign w:val="center"/>
          </w:tcPr>
          <w:p>
            <w:pPr>
              <w:widowControl/>
              <w:spacing w:line="360" w:lineRule="auto"/>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1080" w:type="dxa"/>
            <w:vMerge w:val="continue"/>
            <w:vAlign w:val="center"/>
          </w:tcPr>
          <w:p>
            <w:pPr>
              <w:widowControl/>
              <w:spacing w:line="360" w:lineRule="auto"/>
              <w:ind w:firstLine="480"/>
              <w:jc w:val="left"/>
              <w:rPr>
                <w:rFonts w:ascii="宋体" w:hAnsi="宋体" w:cs="Arial"/>
                <w:bCs/>
                <w:szCs w:val="21"/>
              </w:rPr>
            </w:pPr>
          </w:p>
        </w:tc>
        <w:tc>
          <w:tcPr>
            <w:tcW w:w="6600"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lang w:val="en-US" w:eastAsia="zh-CN"/>
              </w:rPr>
              <w:t>根据</w:t>
            </w:r>
            <w:r>
              <w:rPr>
                <w:rFonts w:hint="eastAsia" w:ascii="宋体" w:hAnsi="宋体" w:cs="宋体"/>
                <w:color w:val="000000"/>
                <w:szCs w:val="21"/>
                <w:lang w:val="zh-CN"/>
              </w:rPr>
              <w:t>投</w:t>
            </w:r>
            <w:r>
              <w:rPr>
                <w:rFonts w:hint="eastAsia" w:ascii="宋体" w:hAnsi="宋体" w:cs="宋体"/>
                <w:color w:val="auto"/>
                <w:szCs w:val="21"/>
                <w:lang w:val="zh-CN"/>
              </w:rPr>
              <w:t>标人</w:t>
            </w:r>
            <w:r>
              <w:rPr>
                <w:rFonts w:hint="eastAsia" w:ascii="宋体" w:hAnsi="宋体" w:cs="宋体"/>
                <w:color w:val="auto"/>
                <w:sz w:val="21"/>
                <w:szCs w:val="21"/>
                <w:lang w:val="en-US" w:eastAsia="zh-CN"/>
              </w:rPr>
              <w:t>的</w:t>
            </w:r>
            <w:r>
              <w:rPr>
                <w:rFonts w:hint="eastAsia" w:ascii="宋体" w:hAnsi="宋体" w:eastAsia="宋体" w:cs="宋体"/>
                <w:color w:val="auto"/>
                <w:sz w:val="21"/>
                <w:szCs w:val="21"/>
                <w:lang w:val="en-US" w:eastAsia="zh-CN"/>
              </w:rPr>
              <w:t>应急处理方案</w:t>
            </w:r>
            <w:r>
              <w:rPr>
                <w:rFonts w:hint="eastAsia" w:ascii="宋体" w:hAnsi="宋体" w:cs="宋体"/>
                <w:color w:val="0000FF"/>
                <w:sz w:val="21"/>
                <w:szCs w:val="21"/>
                <w:lang w:val="en-US" w:eastAsia="zh-CN"/>
              </w:rPr>
              <w:t>：</w:t>
            </w:r>
            <w:r>
              <w:rPr>
                <w:rFonts w:hint="eastAsia" w:ascii="宋体" w:hAnsi="宋体" w:cs="宋体"/>
                <w:color w:val="000000"/>
                <w:szCs w:val="21"/>
                <w:lang w:val="zh-CN"/>
              </w:rPr>
              <w:t>是否建立运行服务保障应急预案，对系统实施可能遇到的问题及其应对措施的考虑情况，在维保服务期间巡检、故障处理的组织和联系机制的合理性、有效性等</w:t>
            </w:r>
            <w:r>
              <w:rPr>
                <w:rFonts w:hint="eastAsia" w:ascii="宋体" w:hAnsi="宋体" w:cs="宋体"/>
                <w:color w:val="000000"/>
                <w:szCs w:val="21"/>
                <w:lang w:val="en-US" w:eastAsia="zh-CN"/>
              </w:rPr>
              <w:t>进行综合评分</w:t>
            </w:r>
            <w:r>
              <w:rPr>
                <w:rFonts w:hint="eastAsia" w:ascii="宋体" w:hAnsi="宋体" w:cs="宋体"/>
                <w:color w:val="000000"/>
                <w:szCs w:val="21"/>
                <w:lang w:val="zh-CN"/>
              </w:rPr>
              <w:t>，</w:t>
            </w:r>
            <w:r>
              <w:rPr>
                <w:rFonts w:hint="eastAsia" w:ascii="宋体" w:hAnsi="宋体" w:cs="宋体"/>
                <w:color w:val="000000"/>
                <w:szCs w:val="21"/>
                <w:lang w:val="en-US" w:eastAsia="zh-CN"/>
              </w:rPr>
              <w:t>第一档5-4.1，第二档4-3.1分，第三档3-2.1分，第四档2-1.1分，第五档1-0分。</w:t>
            </w:r>
          </w:p>
        </w:tc>
        <w:tc>
          <w:tcPr>
            <w:tcW w:w="916" w:type="dxa"/>
            <w:vAlign w:val="center"/>
          </w:tcPr>
          <w:p>
            <w:pPr>
              <w:widowControl/>
              <w:spacing w:line="360" w:lineRule="auto"/>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1080" w:type="dxa"/>
            <w:vMerge w:val="continue"/>
            <w:vAlign w:val="center"/>
          </w:tcPr>
          <w:p>
            <w:pPr>
              <w:widowControl/>
              <w:spacing w:line="360" w:lineRule="auto"/>
              <w:ind w:firstLine="480"/>
              <w:jc w:val="left"/>
              <w:rPr>
                <w:rFonts w:ascii="宋体" w:hAnsi="宋体" w:cs="Arial"/>
                <w:bCs/>
                <w:szCs w:val="21"/>
              </w:rPr>
            </w:pPr>
          </w:p>
        </w:tc>
        <w:tc>
          <w:tcPr>
            <w:tcW w:w="6600" w:type="dxa"/>
            <w:vAlign w:val="center"/>
          </w:tcPr>
          <w:p>
            <w:pPr>
              <w:widowControl/>
              <w:spacing w:line="360" w:lineRule="auto"/>
              <w:jc w:val="left"/>
              <w:rPr>
                <w:rFonts w:hint="default" w:ascii="宋体" w:hAnsi="宋体" w:eastAsia="宋体" w:cs="宋体"/>
                <w:color w:val="000000"/>
                <w:szCs w:val="21"/>
                <w:lang w:val="en-US" w:eastAsia="zh-CN"/>
              </w:rPr>
            </w:pPr>
            <w:r>
              <w:rPr>
                <w:rFonts w:hint="eastAsia" w:ascii="宋体" w:hAnsi="宋体" w:cs="宋体"/>
                <w:szCs w:val="21"/>
                <w:lang w:val="en-US" w:eastAsia="zh-CN"/>
              </w:rPr>
              <w:t>根据投标人</w:t>
            </w:r>
            <w:r>
              <w:rPr>
                <w:rFonts w:hint="eastAsia" w:ascii="宋体" w:hAnsi="宋体" w:cs="宋体"/>
                <w:szCs w:val="21"/>
              </w:rPr>
              <w:t>对</w:t>
            </w:r>
            <w:r>
              <w:rPr>
                <w:rFonts w:hint="eastAsia" w:ascii="宋体" w:hAnsi="宋体" w:cs="宋体"/>
                <w:szCs w:val="21"/>
                <w:lang w:val="en-US" w:eastAsia="zh-CN"/>
              </w:rPr>
              <w:t>采购人</w:t>
            </w:r>
            <w:r>
              <w:rPr>
                <w:rFonts w:hint="eastAsia" w:ascii="宋体" w:hAnsi="宋体" w:cs="宋体"/>
                <w:szCs w:val="21"/>
              </w:rPr>
              <w:t>现有Oracle和mysql数据库提供运维、</w:t>
            </w:r>
            <w:r>
              <w:rPr>
                <w:rFonts w:hint="eastAsia" w:ascii="宋体" w:hAnsi="宋体" w:cs="宋体"/>
                <w:color w:val="000000"/>
                <w:szCs w:val="21"/>
              </w:rPr>
              <w:t>管理和升级服务</w:t>
            </w:r>
            <w:r>
              <w:rPr>
                <w:rFonts w:hint="eastAsia" w:ascii="宋体" w:hAnsi="宋体" w:cs="宋体"/>
                <w:color w:val="000000"/>
                <w:szCs w:val="21"/>
                <w:lang w:val="en-US" w:eastAsia="zh-CN"/>
              </w:rPr>
              <w:t>方案综合打分，得0-2分。</w:t>
            </w:r>
          </w:p>
        </w:tc>
        <w:tc>
          <w:tcPr>
            <w:tcW w:w="916" w:type="dxa"/>
            <w:vAlign w:val="center"/>
          </w:tcPr>
          <w:p>
            <w:pPr>
              <w:widowControl/>
              <w:spacing w:line="360"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1080" w:type="dxa"/>
            <w:vMerge w:val="continue"/>
            <w:vAlign w:val="center"/>
          </w:tcPr>
          <w:p>
            <w:pPr>
              <w:widowControl/>
              <w:spacing w:line="360" w:lineRule="auto"/>
              <w:ind w:firstLine="480"/>
              <w:jc w:val="left"/>
              <w:rPr>
                <w:rFonts w:ascii="宋体" w:hAnsi="宋体" w:cs="Arial"/>
                <w:bCs/>
                <w:szCs w:val="21"/>
              </w:rPr>
            </w:pPr>
          </w:p>
        </w:tc>
        <w:tc>
          <w:tcPr>
            <w:tcW w:w="6600" w:type="dxa"/>
            <w:vAlign w:val="center"/>
          </w:tcPr>
          <w:p>
            <w:pPr>
              <w:widowControl/>
              <w:spacing w:line="360" w:lineRule="auto"/>
              <w:jc w:val="left"/>
              <w:rPr>
                <w:rFonts w:hint="eastAsia" w:ascii="宋体" w:hAnsi="宋体" w:cs="宋体"/>
                <w:szCs w:val="21"/>
                <w:lang w:val="en-US" w:eastAsia="zh-CN"/>
              </w:rPr>
            </w:pPr>
            <w:r>
              <w:rPr>
                <w:rFonts w:hint="eastAsia" w:ascii="宋体" w:hAnsi="宋体" w:cs="宋体"/>
                <w:szCs w:val="21"/>
                <w:lang w:val="en-US" w:eastAsia="zh-CN"/>
              </w:rPr>
              <w:t>根据投标人针对采购人需求提供的安全服务</w:t>
            </w:r>
            <w:r>
              <w:rPr>
                <w:rFonts w:hint="eastAsia" w:ascii="宋体" w:hAnsi="宋体" w:cs="宋体"/>
                <w:color w:val="000000"/>
                <w:szCs w:val="21"/>
                <w:lang w:val="en-US" w:eastAsia="zh-CN"/>
              </w:rPr>
              <w:t>方案进行打分，得0-2分。</w:t>
            </w:r>
          </w:p>
        </w:tc>
        <w:tc>
          <w:tcPr>
            <w:tcW w:w="916" w:type="dxa"/>
            <w:vAlign w:val="center"/>
          </w:tcPr>
          <w:p>
            <w:pPr>
              <w:widowControl/>
              <w:spacing w:line="360"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1080" w:type="dxa"/>
            <w:vMerge w:val="restart"/>
            <w:vAlign w:val="center"/>
          </w:tcPr>
          <w:p>
            <w:pPr>
              <w:widowControl/>
              <w:spacing w:line="360" w:lineRule="auto"/>
              <w:jc w:val="left"/>
              <w:rPr>
                <w:rFonts w:hint="default" w:ascii="宋体" w:hAnsi="宋体" w:eastAsia="宋体" w:cs="Arial"/>
                <w:bCs/>
                <w:szCs w:val="21"/>
                <w:lang w:val="en-US" w:eastAsia="zh-CN"/>
              </w:rPr>
            </w:pPr>
            <w:r>
              <w:rPr>
                <w:rFonts w:hint="eastAsia" w:ascii="宋体" w:hAnsi="宋体" w:cs="Arial"/>
                <w:b/>
                <w:bCs w:val="0"/>
                <w:szCs w:val="21"/>
                <w:lang w:val="en-US" w:eastAsia="zh-CN"/>
              </w:rPr>
              <w:t>项目团队能力</w:t>
            </w:r>
          </w:p>
        </w:tc>
        <w:tc>
          <w:tcPr>
            <w:tcW w:w="6600" w:type="dxa"/>
            <w:vAlign w:val="center"/>
          </w:tcPr>
          <w:p>
            <w:pPr>
              <w:widowControl/>
              <w:spacing w:line="360" w:lineRule="auto"/>
              <w:jc w:val="left"/>
              <w:rPr>
                <w:rFonts w:ascii="宋体" w:hAnsi="宋体" w:cs="宋体"/>
                <w:color w:val="000000"/>
                <w:szCs w:val="21"/>
                <w:lang w:val="zh-CN"/>
              </w:rPr>
            </w:pPr>
            <w:r>
              <w:rPr>
                <w:rFonts w:hint="eastAsia" w:ascii="宋体" w:hAnsi="宋体" w:cs="宋体"/>
                <w:color w:val="000000"/>
                <w:szCs w:val="21"/>
                <w:lang w:val="zh-CN"/>
              </w:rPr>
              <w:t>根据驻现场工程师所具备</w:t>
            </w:r>
            <w:r>
              <w:rPr>
                <w:rFonts w:hint="eastAsia" w:ascii="宋体" w:hAnsi="宋体" w:cs="宋体"/>
                <w:color w:val="000000"/>
                <w:szCs w:val="21"/>
                <w:lang w:val="en-US" w:eastAsia="zh-CN"/>
              </w:rPr>
              <w:t>与</w:t>
            </w:r>
            <w:r>
              <w:rPr>
                <w:rFonts w:hint="eastAsia" w:ascii="宋体" w:hAnsi="宋体" w:eastAsia="宋体" w:cs="宋体"/>
                <w:color w:val="000000"/>
                <w:spacing w:val="-2"/>
                <w:sz w:val="21"/>
                <w:szCs w:val="21"/>
              </w:rPr>
              <w:t>本项目相适应的</w:t>
            </w:r>
            <w:r>
              <w:rPr>
                <w:rFonts w:hint="eastAsia" w:ascii="宋体" w:hAnsi="宋体" w:cs="宋体"/>
                <w:color w:val="000000"/>
                <w:szCs w:val="21"/>
                <w:lang w:val="zh-CN"/>
              </w:rPr>
              <w:t>的资质证书</w:t>
            </w:r>
            <w:r>
              <w:rPr>
                <w:rFonts w:hint="eastAsia" w:ascii="宋体" w:hAnsi="宋体" w:cs="宋体"/>
                <w:color w:val="000000"/>
                <w:szCs w:val="21"/>
                <w:lang w:val="en-US" w:eastAsia="zh-CN"/>
              </w:rPr>
              <w:t>情况</w:t>
            </w:r>
            <w:r>
              <w:rPr>
                <w:rFonts w:hint="eastAsia" w:ascii="宋体" w:hAnsi="宋体" w:cs="宋体"/>
                <w:color w:val="000000"/>
                <w:szCs w:val="21"/>
                <w:lang w:val="zh-CN"/>
              </w:rPr>
              <w:t>酌情打分，</w:t>
            </w:r>
            <w:r>
              <w:rPr>
                <w:rFonts w:hint="eastAsia" w:ascii="宋体" w:hAnsi="宋体" w:cs="宋体"/>
                <w:color w:val="000000"/>
                <w:szCs w:val="21"/>
                <w:lang w:val="en-US" w:eastAsia="zh-CN"/>
              </w:rPr>
              <w:t>每一个得1分，</w:t>
            </w:r>
            <w:r>
              <w:rPr>
                <w:rFonts w:hint="eastAsia" w:ascii="宋体" w:hAnsi="宋体" w:cs="宋体"/>
                <w:color w:val="000000"/>
                <w:szCs w:val="21"/>
                <w:lang w:val="zh-CN"/>
              </w:rPr>
              <w:t>最高得4分。</w:t>
            </w:r>
            <w:r>
              <w:rPr>
                <w:rFonts w:hint="eastAsia" w:ascii="宋体" w:hAnsi="宋体" w:cs="宋体"/>
                <w:b/>
                <w:bCs/>
                <w:color w:val="000000"/>
                <w:szCs w:val="21"/>
                <w:lang w:val="zh-CN"/>
              </w:rPr>
              <w:t>以上资质证书</w:t>
            </w:r>
            <w:r>
              <w:rPr>
                <w:rFonts w:hint="eastAsia" w:ascii="宋体" w:hAnsi="宋体" w:cs="宋体"/>
                <w:b/>
                <w:bCs/>
                <w:color w:val="000000"/>
                <w:szCs w:val="21"/>
                <w:lang w:val="en-US" w:eastAsia="zh-CN"/>
              </w:rPr>
              <w:t>提供原件扫描件</w:t>
            </w:r>
            <w:r>
              <w:rPr>
                <w:rFonts w:hint="eastAsia" w:ascii="宋体" w:hAnsi="宋体" w:cs="宋体"/>
                <w:b/>
                <w:bCs/>
                <w:color w:val="000000"/>
                <w:szCs w:val="21"/>
                <w:lang w:val="zh-CN"/>
              </w:rPr>
              <w:t>，且需提供拥有认证证书工程师在投标人单位近六个月的社保缴费证明。</w:t>
            </w:r>
          </w:p>
        </w:tc>
        <w:tc>
          <w:tcPr>
            <w:tcW w:w="91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1080" w:type="dxa"/>
            <w:vMerge w:val="continue"/>
            <w:vAlign w:val="center"/>
          </w:tcPr>
          <w:p>
            <w:pPr>
              <w:widowControl/>
              <w:spacing w:line="360" w:lineRule="auto"/>
              <w:ind w:firstLine="480"/>
              <w:jc w:val="left"/>
              <w:rPr>
                <w:rFonts w:ascii="宋体" w:hAnsi="宋体" w:cs="Arial"/>
                <w:bCs/>
                <w:szCs w:val="21"/>
              </w:rPr>
            </w:pPr>
          </w:p>
        </w:tc>
        <w:tc>
          <w:tcPr>
            <w:tcW w:w="6600" w:type="dxa"/>
            <w:vAlign w:val="center"/>
          </w:tcPr>
          <w:p>
            <w:pPr>
              <w:widowControl/>
              <w:spacing w:line="360" w:lineRule="auto"/>
              <w:jc w:val="left"/>
              <w:rPr>
                <w:rFonts w:ascii="宋体" w:hAnsi="宋体" w:cs="宋体"/>
                <w:szCs w:val="21"/>
              </w:rPr>
            </w:pPr>
            <w:r>
              <w:rPr>
                <w:rFonts w:hint="eastAsia" w:ascii="宋体" w:hAnsi="宋体" w:cs="宋体"/>
                <w:color w:val="000000"/>
                <w:szCs w:val="21"/>
                <w:lang w:val="zh-CN"/>
              </w:rPr>
              <w:t>根据</w:t>
            </w:r>
            <w:r>
              <w:rPr>
                <w:rFonts w:hint="eastAsia" w:ascii="宋体" w:hAnsi="宋体" w:cs="宋体"/>
                <w:color w:val="000000"/>
                <w:szCs w:val="21"/>
                <w:lang w:val="en-US" w:eastAsia="zh-CN"/>
              </w:rPr>
              <w:t>项目经理</w:t>
            </w:r>
            <w:r>
              <w:rPr>
                <w:rFonts w:hint="eastAsia" w:ascii="宋体" w:hAnsi="宋体" w:cs="宋体"/>
                <w:color w:val="000000"/>
                <w:szCs w:val="21"/>
                <w:lang w:val="zh-CN"/>
              </w:rPr>
              <w:t>所具备</w:t>
            </w:r>
            <w:r>
              <w:rPr>
                <w:rFonts w:hint="eastAsia" w:ascii="宋体" w:hAnsi="宋体" w:cs="宋体"/>
                <w:color w:val="000000"/>
                <w:szCs w:val="21"/>
                <w:lang w:val="en-US" w:eastAsia="zh-CN"/>
              </w:rPr>
              <w:t>与</w:t>
            </w:r>
            <w:r>
              <w:rPr>
                <w:rFonts w:hint="eastAsia" w:ascii="宋体" w:hAnsi="宋体" w:eastAsia="宋体" w:cs="宋体"/>
                <w:color w:val="000000"/>
                <w:spacing w:val="-2"/>
                <w:sz w:val="21"/>
                <w:szCs w:val="21"/>
              </w:rPr>
              <w:t>本项目相适应的</w:t>
            </w:r>
            <w:r>
              <w:rPr>
                <w:rFonts w:hint="eastAsia" w:ascii="宋体" w:hAnsi="宋体" w:cs="宋体"/>
                <w:color w:val="000000"/>
                <w:szCs w:val="21"/>
                <w:lang w:val="zh-CN"/>
              </w:rPr>
              <w:t>的资质证书</w:t>
            </w:r>
            <w:r>
              <w:rPr>
                <w:rFonts w:hint="eastAsia" w:ascii="宋体" w:hAnsi="宋体" w:cs="宋体"/>
                <w:color w:val="000000"/>
                <w:szCs w:val="21"/>
                <w:lang w:val="en-US" w:eastAsia="zh-CN"/>
              </w:rPr>
              <w:t>情况</w:t>
            </w:r>
            <w:r>
              <w:rPr>
                <w:rFonts w:hint="eastAsia" w:ascii="宋体" w:hAnsi="宋体" w:cs="宋体"/>
                <w:color w:val="000000"/>
                <w:szCs w:val="21"/>
                <w:lang w:val="zh-CN"/>
              </w:rPr>
              <w:t>酌情打分，</w:t>
            </w:r>
            <w:r>
              <w:rPr>
                <w:rFonts w:hint="eastAsia" w:ascii="宋体" w:hAnsi="宋体" w:cs="宋体"/>
                <w:color w:val="000000"/>
                <w:szCs w:val="21"/>
                <w:lang w:val="en-US" w:eastAsia="zh-CN"/>
              </w:rPr>
              <w:t>每一个得1分，</w:t>
            </w:r>
            <w:r>
              <w:rPr>
                <w:rFonts w:hint="eastAsia" w:ascii="宋体" w:hAnsi="宋体" w:cs="宋体"/>
                <w:color w:val="000000"/>
                <w:szCs w:val="21"/>
                <w:lang w:val="zh-CN"/>
              </w:rPr>
              <w:t>最高得</w:t>
            </w:r>
            <w:r>
              <w:rPr>
                <w:rFonts w:hint="eastAsia" w:ascii="宋体" w:hAnsi="宋体" w:cs="宋体"/>
                <w:color w:val="000000"/>
                <w:szCs w:val="21"/>
                <w:lang w:val="en-US" w:eastAsia="zh-CN"/>
              </w:rPr>
              <w:t>3</w:t>
            </w:r>
            <w:r>
              <w:rPr>
                <w:rFonts w:hint="eastAsia" w:ascii="宋体" w:hAnsi="宋体" w:cs="宋体"/>
                <w:color w:val="000000"/>
                <w:szCs w:val="21"/>
                <w:lang w:val="zh-CN"/>
              </w:rPr>
              <w:t>分。</w:t>
            </w:r>
            <w:r>
              <w:rPr>
                <w:rFonts w:hint="eastAsia" w:ascii="宋体" w:hAnsi="宋体" w:cs="宋体"/>
                <w:b/>
                <w:bCs/>
                <w:color w:val="000000"/>
                <w:szCs w:val="21"/>
                <w:lang w:val="en-US" w:eastAsia="zh-CN"/>
              </w:rPr>
              <w:t>以上资质证书原件扫描件，且需提供上述人员在投标人单位近六个月的社保缴费证明。</w:t>
            </w:r>
          </w:p>
        </w:tc>
        <w:tc>
          <w:tcPr>
            <w:tcW w:w="916" w:type="dxa"/>
            <w:vAlign w:val="center"/>
          </w:tcPr>
          <w:p>
            <w:pPr>
              <w:widowControl/>
              <w:spacing w:line="360" w:lineRule="auto"/>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1080" w:type="dxa"/>
            <w:vMerge w:val="continue"/>
            <w:vAlign w:val="center"/>
          </w:tcPr>
          <w:p>
            <w:pPr>
              <w:widowControl/>
              <w:spacing w:line="360" w:lineRule="auto"/>
              <w:ind w:firstLine="480"/>
              <w:jc w:val="left"/>
              <w:rPr>
                <w:rFonts w:ascii="宋体" w:hAnsi="宋体" w:cs="Arial"/>
                <w:bCs/>
                <w:szCs w:val="21"/>
              </w:rPr>
            </w:pPr>
          </w:p>
        </w:tc>
        <w:tc>
          <w:tcPr>
            <w:tcW w:w="6600" w:type="dxa"/>
            <w:vAlign w:val="center"/>
          </w:tcPr>
          <w:p>
            <w:pPr>
              <w:widowControl/>
              <w:spacing w:line="360" w:lineRule="auto"/>
              <w:jc w:val="left"/>
              <w:rPr>
                <w:rFonts w:hint="eastAsia" w:ascii="宋体" w:hAnsi="宋体" w:cs="宋体"/>
                <w:color w:val="000000"/>
                <w:szCs w:val="21"/>
                <w:lang w:val="en-US" w:eastAsia="zh-CN"/>
              </w:rPr>
            </w:pPr>
            <w:r>
              <w:rPr>
                <w:rFonts w:hint="eastAsia" w:ascii="宋体" w:hAnsi="宋体" w:cs="宋体"/>
                <w:color w:val="000000"/>
                <w:szCs w:val="21"/>
                <w:lang w:val="en-US" w:eastAsia="zh-CN"/>
              </w:rPr>
              <w:t>根据项目团队人员组成情况进行打分：</w:t>
            </w:r>
            <w:r>
              <w:rPr>
                <w:rFonts w:hint="eastAsia" w:ascii="宋体" w:hAnsi="宋体" w:cs="宋体"/>
                <w:color w:val="000000"/>
                <w:szCs w:val="21"/>
                <w:lang w:val="en-US" w:eastAsia="zh-CN"/>
              </w:rPr>
              <w:br w:type="textWrapping"/>
            </w:r>
            <w:r>
              <w:rPr>
                <w:rFonts w:hint="eastAsia" w:ascii="宋体" w:hAnsi="宋体" w:cs="宋体"/>
                <w:color w:val="000000"/>
                <w:szCs w:val="21"/>
                <w:lang w:val="en-US" w:eastAsia="zh-CN"/>
              </w:rPr>
              <w:t>（1）满足项目团队人数需求的（4人）得1分，在此基础上每多一人得0.5分，最高得2分；</w:t>
            </w:r>
            <w:r>
              <w:rPr>
                <w:rFonts w:hint="eastAsia" w:ascii="宋体" w:hAnsi="宋体" w:cs="宋体"/>
                <w:color w:val="000000"/>
                <w:szCs w:val="21"/>
                <w:lang w:val="en-US" w:eastAsia="zh-CN"/>
              </w:rPr>
              <w:br w:type="textWrapping"/>
            </w:r>
            <w:r>
              <w:rPr>
                <w:rFonts w:hint="eastAsia" w:ascii="宋体" w:hAnsi="宋体" w:cs="宋体"/>
                <w:color w:val="000000"/>
                <w:szCs w:val="21"/>
                <w:lang w:val="en-US" w:eastAsia="zh-CN"/>
              </w:rPr>
              <w:t>（2）人员与专业资质情况，主要指根据持有与本次软硬件维保其他相关厂商（HP/H3C/华为/天融信/安恒/Vmware等）认证证书情况及资质证书个数综合考虑，进行综合打分，第一档6-4.5分，第二档4.4-3.0分，第三档2.9-1.5分，第四档1.4-0分。</w:t>
            </w:r>
            <w:r>
              <w:rPr>
                <w:rFonts w:hint="eastAsia" w:ascii="宋体" w:hAnsi="宋体" w:cs="宋体"/>
                <w:color w:val="000000"/>
                <w:szCs w:val="21"/>
                <w:lang w:val="en-US" w:eastAsia="zh-CN"/>
              </w:rPr>
              <w:br w:type="textWrapping"/>
            </w:r>
            <w:r>
              <w:rPr>
                <w:rFonts w:hint="eastAsia" w:ascii="宋体" w:hAnsi="宋体" w:cs="宋体"/>
                <w:color w:val="000000"/>
                <w:szCs w:val="21"/>
                <w:lang w:val="en-US" w:eastAsia="zh-CN"/>
              </w:rPr>
              <w:t>（3）根据团队组成人员具备的项目经验情况综合打分，最高得2分。</w:t>
            </w:r>
            <w:r>
              <w:rPr>
                <w:rFonts w:hint="eastAsia" w:ascii="宋体" w:hAnsi="宋体" w:cs="宋体"/>
                <w:color w:val="000000"/>
                <w:szCs w:val="21"/>
                <w:lang w:val="en-US" w:eastAsia="zh-CN"/>
              </w:rPr>
              <w:br w:type="textWrapping"/>
            </w:r>
            <w:r>
              <w:rPr>
                <w:rFonts w:hint="eastAsia" w:ascii="宋体" w:hAnsi="宋体" w:cs="宋体"/>
                <w:b/>
                <w:bCs/>
                <w:color w:val="000000"/>
                <w:szCs w:val="21"/>
                <w:lang w:val="en-US" w:eastAsia="zh-CN"/>
              </w:rPr>
              <w:t>以上资质证书原件扫描件，且需提供上述人员在投标人单位近六个月的社保缴费证明。</w:t>
            </w:r>
          </w:p>
        </w:tc>
        <w:tc>
          <w:tcPr>
            <w:tcW w:w="916" w:type="dxa"/>
            <w:vAlign w:val="center"/>
          </w:tcPr>
          <w:p>
            <w:pPr>
              <w:widowControl/>
              <w:spacing w:line="360" w:lineRule="auto"/>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2" w:type="dxa"/>
            <w:vMerge w:val="restart"/>
            <w:shd w:val="clear" w:color="auto" w:fill="auto"/>
            <w:vAlign w:val="center"/>
          </w:tcPr>
          <w:p>
            <w:pPr>
              <w:widowControl/>
              <w:spacing w:line="360" w:lineRule="auto"/>
              <w:jc w:val="left"/>
              <w:rPr>
                <w:rFonts w:ascii="宋体" w:hAnsi="宋体" w:cs="Arial"/>
                <w:b/>
                <w:bCs/>
                <w:szCs w:val="21"/>
              </w:rPr>
            </w:pPr>
            <w:r>
              <w:rPr>
                <w:rFonts w:hint="eastAsia" w:ascii="宋体" w:hAnsi="宋体" w:cs="Arial"/>
                <w:b/>
                <w:bCs/>
                <w:szCs w:val="21"/>
              </w:rPr>
              <w:t>企业实力及信誉</w:t>
            </w:r>
            <w:r>
              <w:rPr>
                <w:rFonts w:hint="eastAsia" w:ascii="宋体" w:hAnsi="宋体" w:cs="Arial"/>
                <w:b/>
                <w:bCs/>
                <w:szCs w:val="21"/>
                <w:lang w:val="en-US" w:eastAsia="zh-CN"/>
              </w:rPr>
              <w:t>16</w:t>
            </w:r>
            <w:r>
              <w:rPr>
                <w:rFonts w:hint="eastAsia" w:ascii="宋体" w:hAnsi="宋体" w:cs="Arial"/>
                <w:b/>
                <w:bCs/>
                <w:szCs w:val="21"/>
              </w:rPr>
              <w:t>分</w:t>
            </w:r>
          </w:p>
        </w:tc>
        <w:tc>
          <w:tcPr>
            <w:tcW w:w="1080" w:type="dxa"/>
            <w:vMerge w:val="restart"/>
            <w:shd w:val="clear" w:color="000000" w:fill="auto"/>
            <w:vAlign w:val="center"/>
          </w:tcPr>
          <w:p>
            <w:pPr>
              <w:widowControl/>
              <w:spacing w:line="360" w:lineRule="auto"/>
              <w:jc w:val="both"/>
              <w:rPr>
                <w:rFonts w:hint="default" w:ascii="宋体" w:hAnsi="宋体" w:eastAsia="宋体" w:cs="Arial"/>
                <w:b/>
                <w:bCs/>
                <w:szCs w:val="21"/>
                <w:lang w:val="en-US" w:eastAsia="zh-CN"/>
              </w:rPr>
            </w:pPr>
            <w:r>
              <w:rPr>
                <w:rFonts w:hint="eastAsia" w:ascii="宋体" w:hAnsi="宋体" w:cs="Arial"/>
                <w:b/>
                <w:bCs/>
                <w:szCs w:val="21"/>
                <w:lang w:val="en-US" w:eastAsia="zh-CN"/>
              </w:rPr>
              <w:t>投标人实力</w:t>
            </w:r>
          </w:p>
        </w:tc>
        <w:tc>
          <w:tcPr>
            <w:tcW w:w="6600" w:type="dxa"/>
            <w:shd w:val="clear" w:color="000000" w:fill="auto"/>
          </w:tcPr>
          <w:p>
            <w:pPr>
              <w:spacing w:line="360" w:lineRule="auto"/>
              <w:rPr>
                <w:rFonts w:hint="eastAsia" w:ascii="宋体" w:hAnsi="宋体" w:eastAsia="宋体" w:cs="宋体"/>
                <w:color w:val="000000"/>
                <w:szCs w:val="21"/>
                <w:lang w:eastAsia="zh-CN"/>
              </w:rPr>
            </w:pPr>
            <w:r>
              <w:rPr>
                <w:rFonts w:hint="eastAsia" w:ascii="宋体" w:hAnsi="宋体" w:eastAsia="宋体" w:cs="宋体"/>
                <w:b w:val="0"/>
                <w:bCs w:val="0"/>
                <w:color w:val="auto"/>
                <w:spacing w:val="-2"/>
                <w:sz w:val="21"/>
                <w:szCs w:val="21"/>
                <w:lang w:val="en-US" w:eastAsia="zh-CN"/>
              </w:rPr>
              <w:t>根据投标人的</w:t>
            </w:r>
            <w:r>
              <w:rPr>
                <w:rFonts w:hint="eastAsia" w:ascii="宋体" w:hAnsi="宋体" w:cs="宋体"/>
                <w:color w:val="000000"/>
                <w:szCs w:val="21"/>
              </w:rPr>
              <w:t>企业综合实力</w:t>
            </w:r>
            <w:r>
              <w:rPr>
                <w:rFonts w:hint="eastAsia" w:ascii="宋体" w:hAnsi="宋体" w:cs="宋体"/>
                <w:color w:val="000000"/>
                <w:szCs w:val="21"/>
                <w:lang w:val="en-US" w:eastAsia="zh-CN"/>
              </w:rPr>
              <w:t>进行</w:t>
            </w:r>
            <w:r>
              <w:rPr>
                <w:rFonts w:hint="eastAsia" w:ascii="宋体" w:hAnsi="宋体" w:cs="宋体"/>
                <w:color w:val="000000"/>
                <w:szCs w:val="21"/>
              </w:rPr>
              <w:t>评分</w:t>
            </w:r>
            <w:r>
              <w:rPr>
                <w:rFonts w:hint="eastAsia" w:ascii="宋体" w:hAnsi="宋体" w:cs="宋体"/>
                <w:color w:val="000000"/>
                <w:szCs w:val="21"/>
                <w:lang w:eastAsia="zh-CN"/>
              </w:rPr>
              <w:t>。</w:t>
            </w:r>
          </w:p>
        </w:tc>
        <w:tc>
          <w:tcPr>
            <w:tcW w:w="916" w:type="dxa"/>
            <w:shd w:val="clear" w:color="000000" w:fill="auto"/>
          </w:tcPr>
          <w:p>
            <w:pPr>
              <w:spacing w:line="360" w:lineRule="auto"/>
              <w:jc w:val="center"/>
              <w:rPr>
                <w:rFonts w:ascii="宋体" w:hAnsi="宋体" w:cs="宋体"/>
                <w:color w:val="000000"/>
                <w:szCs w:val="21"/>
              </w:rPr>
            </w:pPr>
            <w:r>
              <w:rPr>
                <w:rFonts w:hint="eastAsia" w:ascii="宋体" w:hAnsi="宋体" w:cs="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202" w:type="dxa"/>
            <w:vMerge w:val="continue"/>
            <w:shd w:val="clear" w:color="auto" w:fill="auto"/>
            <w:vAlign w:val="center"/>
          </w:tcPr>
          <w:p>
            <w:pPr>
              <w:widowControl/>
              <w:spacing w:line="360" w:lineRule="auto"/>
              <w:jc w:val="left"/>
              <w:rPr>
                <w:rFonts w:ascii="宋体" w:hAnsi="宋体" w:cs="Arial"/>
                <w:b/>
                <w:bCs/>
                <w:szCs w:val="21"/>
              </w:rPr>
            </w:pPr>
          </w:p>
        </w:tc>
        <w:tc>
          <w:tcPr>
            <w:tcW w:w="1080" w:type="dxa"/>
            <w:vMerge w:val="continue"/>
            <w:shd w:val="clear" w:color="000000" w:fill="auto"/>
            <w:vAlign w:val="center"/>
          </w:tcPr>
          <w:p>
            <w:pPr>
              <w:widowControl/>
              <w:spacing w:line="360" w:lineRule="auto"/>
              <w:jc w:val="left"/>
              <w:rPr>
                <w:rFonts w:ascii="宋体" w:hAnsi="宋体" w:cs="Arial"/>
                <w:b/>
                <w:bCs/>
                <w:szCs w:val="21"/>
              </w:rPr>
            </w:pPr>
          </w:p>
        </w:tc>
        <w:tc>
          <w:tcPr>
            <w:tcW w:w="6600" w:type="dxa"/>
            <w:shd w:val="clear" w:color="000000" w:fill="auto"/>
            <w:vAlign w:val="center"/>
          </w:tcPr>
          <w:p>
            <w:pPr>
              <w:widowControl/>
              <w:spacing w:line="360" w:lineRule="auto"/>
              <w:jc w:val="left"/>
              <w:rPr>
                <w:rFonts w:ascii="宋体" w:hAnsi="宋体" w:cs="宋体"/>
                <w:szCs w:val="21"/>
              </w:rPr>
            </w:pPr>
            <w:r>
              <w:rPr>
                <w:rFonts w:hint="eastAsia" w:ascii="宋体" w:hAnsi="宋体" w:cs="宋体"/>
                <w:szCs w:val="21"/>
              </w:rPr>
              <w:t>投标人具备以下资质：</w:t>
            </w:r>
          </w:p>
          <w:p>
            <w:pPr>
              <w:widowControl/>
              <w:spacing w:line="360" w:lineRule="auto"/>
              <w:jc w:val="left"/>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中国信息安全测评中心颁发的信息安全服务资质，得2分；</w:t>
            </w:r>
          </w:p>
          <w:p>
            <w:pPr>
              <w:widowControl/>
              <w:spacing w:line="360" w:lineRule="auto"/>
              <w:jc w:val="lef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ITSS信息技术服务运行维护二级（含）以上资质证书的，得2分；</w:t>
            </w:r>
          </w:p>
          <w:p>
            <w:pPr>
              <w:widowControl/>
              <w:spacing w:line="360" w:lineRule="auto"/>
              <w:jc w:val="left"/>
              <w:rPr>
                <w:rFonts w:hint="eastAsia" w:ascii="宋体" w:hAnsi="宋体" w:eastAsia="宋体" w:cs="宋体"/>
                <w:szCs w:val="21"/>
                <w:lang w:eastAsia="zh-CN"/>
              </w:rPr>
            </w:pPr>
            <w:r>
              <w:rPr>
                <w:rFonts w:hint="eastAsia" w:ascii="宋体" w:hAnsi="宋体" w:cs="宋体"/>
                <w:szCs w:val="21"/>
                <w:lang w:val="en-US" w:eastAsia="zh-CN"/>
              </w:rPr>
              <w:t>3.</w:t>
            </w:r>
            <w:r>
              <w:rPr>
                <w:rFonts w:hint="eastAsia" w:ascii="宋体" w:hAnsi="宋体" w:cs="宋体"/>
                <w:szCs w:val="21"/>
              </w:rPr>
              <w:t>具有</w:t>
            </w:r>
            <w:r>
              <w:rPr>
                <w:rFonts w:ascii="宋体" w:hAnsi="宋体" w:cs="宋体"/>
                <w:szCs w:val="21"/>
              </w:rPr>
              <w:t>ISO27001</w:t>
            </w:r>
            <w:r>
              <w:rPr>
                <w:rFonts w:hint="eastAsia" w:ascii="宋体" w:hAnsi="宋体" w:cs="宋体"/>
                <w:szCs w:val="21"/>
              </w:rPr>
              <w:t>信息安全管理体系认证和ISO20000 IT服务管理体系认证，</w:t>
            </w:r>
            <w:r>
              <w:rPr>
                <w:rFonts w:hint="eastAsia" w:ascii="宋体" w:hAnsi="宋体" w:cs="宋体"/>
                <w:szCs w:val="21"/>
                <w:lang w:val="en-US" w:eastAsia="zh-CN"/>
              </w:rPr>
              <w:t>每提供1个</w:t>
            </w:r>
            <w:r>
              <w:rPr>
                <w:rFonts w:hint="eastAsia" w:ascii="宋体" w:hAnsi="宋体" w:cs="宋体"/>
                <w:szCs w:val="21"/>
              </w:rPr>
              <w:t>得</w:t>
            </w:r>
            <w:r>
              <w:rPr>
                <w:rFonts w:hint="eastAsia" w:ascii="宋体" w:hAnsi="宋体" w:cs="宋体"/>
                <w:szCs w:val="21"/>
                <w:lang w:val="en-US" w:eastAsia="zh-CN"/>
              </w:rPr>
              <w:t>1</w:t>
            </w:r>
            <w:r>
              <w:rPr>
                <w:rFonts w:hint="eastAsia" w:ascii="宋体" w:hAnsi="宋体" w:cs="宋体"/>
                <w:szCs w:val="21"/>
              </w:rPr>
              <w:t>分</w:t>
            </w:r>
            <w:r>
              <w:rPr>
                <w:rFonts w:hint="eastAsia" w:ascii="宋体" w:hAnsi="宋体" w:cs="宋体"/>
                <w:szCs w:val="21"/>
                <w:lang w:eastAsia="zh-CN"/>
              </w:rPr>
              <w:t>。</w:t>
            </w:r>
          </w:p>
        </w:tc>
        <w:tc>
          <w:tcPr>
            <w:tcW w:w="916" w:type="dxa"/>
            <w:shd w:val="clear" w:color="000000" w:fill="auto"/>
            <w:vAlign w:val="center"/>
          </w:tcPr>
          <w:p>
            <w:pPr>
              <w:widowControl/>
              <w:spacing w:line="360" w:lineRule="auto"/>
              <w:jc w:val="center"/>
              <w:rPr>
                <w:rFonts w:hint="default" w:ascii="宋体" w:hAnsi="宋体" w:eastAsia="宋体" w:cs="宋体"/>
                <w:szCs w:val="21"/>
                <w:lang w:val="en-US" w:eastAsia="zh-CN"/>
              </w:rPr>
            </w:pPr>
            <w:r>
              <w:rPr>
                <w:rFonts w:hint="eastAsia" w:ascii="宋体" w:hAnsi="宋体" w:cs="宋体"/>
                <w:color w:val="auto"/>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vMerge w:val="continue"/>
            <w:shd w:val="clear" w:color="auto" w:fill="auto"/>
            <w:vAlign w:val="center"/>
          </w:tcPr>
          <w:p>
            <w:pPr>
              <w:widowControl/>
              <w:spacing w:line="360" w:lineRule="auto"/>
              <w:jc w:val="left"/>
              <w:rPr>
                <w:rFonts w:ascii="宋体" w:hAnsi="宋体" w:cs="Arial"/>
                <w:b/>
                <w:bCs/>
                <w:szCs w:val="21"/>
              </w:rPr>
            </w:pPr>
          </w:p>
        </w:tc>
        <w:tc>
          <w:tcPr>
            <w:tcW w:w="1080" w:type="dxa"/>
            <w:shd w:val="clear" w:color="000000" w:fill="auto"/>
            <w:vAlign w:val="center"/>
          </w:tcPr>
          <w:p>
            <w:pPr>
              <w:spacing w:line="360" w:lineRule="auto"/>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项目业绩</w:t>
            </w:r>
          </w:p>
          <w:p>
            <w:pPr>
              <w:widowControl/>
              <w:spacing w:line="360" w:lineRule="auto"/>
              <w:jc w:val="left"/>
              <w:rPr>
                <w:rFonts w:ascii="宋体" w:hAnsi="宋体" w:cs="Arial"/>
                <w:b/>
                <w:bCs/>
                <w:szCs w:val="21"/>
              </w:rPr>
            </w:pPr>
          </w:p>
        </w:tc>
        <w:tc>
          <w:tcPr>
            <w:tcW w:w="6600" w:type="dxa"/>
            <w:shd w:val="clear" w:color="000000" w:fill="auto"/>
            <w:vAlign w:val="center"/>
          </w:tcPr>
          <w:p>
            <w:pPr>
              <w:widowControl/>
              <w:spacing w:line="360" w:lineRule="auto"/>
              <w:jc w:val="left"/>
              <w:rPr>
                <w:rFonts w:hint="default" w:ascii="宋体" w:hAnsi="宋体" w:eastAsia="宋体" w:cs="宋体"/>
                <w:szCs w:val="21"/>
                <w:lang w:val="en-US" w:eastAsia="zh-CN"/>
              </w:rPr>
            </w:pPr>
            <w:r>
              <w:rPr>
                <w:rFonts w:hint="eastAsia" w:ascii="宋体" w:hAnsi="宋体" w:cs="宋体"/>
                <w:szCs w:val="21"/>
                <w:lang w:val="en-US" w:eastAsia="zh-CN"/>
              </w:rPr>
              <w:t>根据</w:t>
            </w:r>
            <w:r>
              <w:rPr>
                <w:rFonts w:hint="eastAsia" w:ascii="宋体" w:hAnsi="宋体" w:cs="宋体"/>
                <w:szCs w:val="21"/>
              </w:rPr>
              <w:t>投标人提供201</w:t>
            </w:r>
            <w:r>
              <w:rPr>
                <w:rFonts w:hint="eastAsia" w:ascii="宋体" w:hAnsi="宋体" w:cs="宋体"/>
                <w:szCs w:val="21"/>
                <w:lang w:val="en-US" w:eastAsia="zh-CN"/>
              </w:rPr>
              <w:t>8</w:t>
            </w:r>
            <w:r>
              <w:rPr>
                <w:rFonts w:hint="eastAsia" w:ascii="宋体" w:hAnsi="宋体" w:cs="宋体"/>
                <w:szCs w:val="21"/>
              </w:rPr>
              <w:t>年</w:t>
            </w:r>
            <w:r>
              <w:rPr>
                <w:rFonts w:hint="eastAsia" w:ascii="宋体" w:hAnsi="宋体" w:cs="宋体"/>
                <w:szCs w:val="21"/>
                <w:lang w:val="en-US" w:eastAsia="zh-CN"/>
              </w:rPr>
              <w:t>8</w:t>
            </w:r>
            <w:r>
              <w:rPr>
                <w:rFonts w:hint="eastAsia" w:ascii="宋体" w:hAnsi="宋体" w:cs="宋体"/>
                <w:szCs w:val="21"/>
              </w:rPr>
              <w:t>月以来</w:t>
            </w:r>
            <w:r>
              <w:rPr>
                <w:rFonts w:hint="eastAsia" w:ascii="宋体" w:hAnsi="宋体" w:cs="宋体"/>
                <w:szCs w:val="21"/>
                <w:lang w:val="en-US" w:eastAsia="zh-CN"/>
              </w:rPr>
              <w:t>的</w:t>
            </w:r>
            <w:r>
              <w:rPr>
                <w:rFonts w:hint="eastAsia" w:ascii="宋体" w:hAnsi="宋体" w:cs="宋体"/>
                <w:szCs w:val="21"/>
              </w:rPr>
              <w:t>类似案例（含驻场服务），每提供一个案例的得1分，最高得</w:t>
            </w:r>
            <w:r>
              <w:rPr>
                <w:rFonts w:hint="eastAsia" w:ascii="宋体" w:hAnsi="宋体" w:cs="宋体"/>
                <w:szCs w:val="21"/>
                <w:lang w:val="en-US" w:eastAsia="zh-CN"/>
              </w:rPr>
              <w:t>8</w:t>
            </w:r>
            <w:r>
              <w:rPr>
                <w:rFonts w:hint="eastAsia" w:ascii="宋体" w:hAnsi="宋体" w:cs="宋体"/>
                <w:szCs w:val="21"/>
              </w:rPr>
              <w:t>分</w:t>
            </w:r>
            <w:r>
              <w:rPr>
                <w:rFonts w:hint="eastAsia" w:ascii="宋体" w:hAnsi="宋体" w:cs="宋体"/>
                <w:szCs w:val="21"/>
                <w:lang w:eastAsia="zh-CN"/>
              </w:rPr>
              <w:t>。</w:t>
            </w:r>
            <w:r>
              <w:rPr>
                <w:rFonts w:hint="eastAsia" w:ascii="宋体" w:hAnsi="宋体" w:eastAsia="宋体" w:cs="宋体"/>
                <w:b w:val="0"/>
                <w:bCs w:val="0"/>
                <w:color w:val="auto"/>
                <w:sz w:val="21"/>
                <w:szCs w:val="21"/>
              </w:rPr>
              <w:t>（需提供合同</w:t>
            </w:r>
            <w:r>
              <w:rPr>
                <w:rFonts w:hint="eastAsia" w:ascii="宋体" w:hAnsi="宋体" w:cs="宋体"/>
                <w:b w:val="0"/>
                <w:bCs w:val="0"/>
                <w:color w:val="auto"/>
                <w:sz w:val="21"/>
                <w:szCs w:val="21"/>
                <w:lang w:val="en-US" w:eastAsia="zh-CN"/>
              </w:rPr>
              <w:t>扫描件</w:t>
            </w:r>
            <w:r>
              <w:rPr>
                <w:rFonts w:hint="eastAsia" w:ascii="宋体" w:hAnsi="宋体" w:eastAsia="宋体" w:cs="宋体"/>
                <w:b w:val="0"/>
                <w:bCs w:val="0"/>
                <w:color w:val="auto"/>
                <w:sz w:val="21"/>
                <w:szCs w:val="21"/>
              </w:rPr>
              <w:t>等证明材料）</w:t>
            </w:r>
          </w:p>
        </w:tc>
        <w:tc>
          <w:tcPr>
            <w:tcW w:w="916" w:type="dxa"/>
            <w:shd w:val="clear" w:color="000000" w:fill="auto"/>
            <w:vAlign w:val="center"/>
          </w:tcPr>
          <w:p>
            <w:pPr>
              <w:widowControl/>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02" w:type="dxa"/>
            <w:vMerge w:val="restart"/>
            <w:vAlign w:val="center"/>
          </w:tcPr>
          <w:p>
            <w:pPr>
              <w:widowControl/>
              <w:spacing w:line="360" w:lineRule="auto"/>
              <w:jc w:val="left"/>
              <w:rPr>
                <w:rFonts w:hint="default" w:ascii="宋体" w:hAnsi="宋体" w:eastAsia="宋体" w:cs="Arial"/>
                <w:b/>
                <w:bCs/>
                <w:szCs w:val="21"/>
                <w:lang w:val="en-US" w:eastAsia="zh-CN"/>
              </w:rPr>
            </w:pPr>
            <w:r>
              <w:rPr>
                <w:rFonts w:hint="eastAsia" w:ascii="宋体" w:hAnsi="宋体" w:cs="Arial"/>
                <w:b/>
                <w:bCs/>
                <w:szCs w:val="21"/>
              </w:rPr>
              <w:t>售后服务</w:t>
            </w:r>
            <w:r>
              <w:rPr>
                <w:rFonts w:hint="eastAsia" w:ascii="宋体" w:hAnsi="宋体" w:cs="Arial"/>
                <w:b/>
                <w:bCs/>
                <w:szCs w:val="21"/>
                <w:lang w:val="en-US" w:eastAsia="zh-CN"/>
              </w:rPr>
              <w:t>10</w:t>
            </w:r>
            <w:r>
              <w:rPr>
                <w:rFonts w:hint="eastAsia" w:ascii="宋体" w:hAnsi="宋体" w:cs="Arial"/>
                <w:b/>
                <w:bCs/>
                <w:szCs w:val="21"/>
              </w:rPr>
              <w:t>分</w:t>
            </w:r>
          </w:p>
        </w:tc>
        <w:tc>
          <w:tcPr>
            <w:tcW w:w="1080" w:type="dxa"/>
            <w:vAlign w:val="center"/>
          </w:tcPr>
          <w:p>
            <w:pPr>
              <w:widowControl/>
              <w:spacing w:line="360" w:lineRule="auto"/>
              <w:jc w:val="left"/>
              <w:rPr>
                <w:rFonts w:hint="eastAsia" w:ascii="宋体" w:hAnsi="宋体" w:cs="Arial"/>
                <w:b/>
                <w:bCs/>
                <w:szCs w:val="21"/>
              </w:rPr>
            </w:pPr>
            <w:r>
              <w:rPr>
                <w:rFonts w:hint="eastAsia" w:ascii="宋体" w:hAnsi="宋体" w:eastAsia="宋体" w:cs="宋体"/>
                <w:b/>
                <w:bCs/>
                <w:color w:val="000000"/>
                <w:kern w:val="0"/>
                <w:sz w:val="21"/>
                <w:szCs w:val="21"/>
              </w:rPr>
              <w:t>服务方案</w:t>
            </w:r>
          </w:p>
        </w:tc>
        <w:tc>
          <w:tcPr>
            <w:tcW w:w="6600" w:type="dxa"/>
            <w:vAlign w:val="center"/>
          </w:tcPr>
          <w:p>
            <w:pPr>
              <w:tabs>
                <w:tab w:val="left" w:pos="807"/>
              </w:tabs>
              <w:spacing w:line="360" w:lineRule="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根据</w:t>
            </w:r>
            <w:r>
              <w:rPr>
                <w:rFonts w:hint="eastAsia" w:ascii="宋体" w:hAnsi="宋体" w:eastAsia="宋体" w:cs="宋体"/>
                <w:color w:val="000000"/>
                <w:sz w:val="21"/>
                <w:szCs w:val="21"/>
                <w:lang w:eastAsia="zh-CN"/>
              </w:rPr>
              <w:t>投标人</w:t>
            </w:r>
            <w:r>
              <w:rPr>
                <w:rFonts w:hint="eastAsia" w:ascii="宋体" w:hAnsi="宋体" w:eastAsia="宋体" w:cs="宋体"/>
                <w:bCs/>
                <w:color w:val="000000"/>
                <w:kern w:val="0"/>
                <w:sz w:val="21"/>
                <w:szCs w:val="21"/>
              </w:rPr>
              <w:t>本地化服务能力进行打分</w:t>
            </w:r>
            <w:r>
              <w:rPr>
                <w:rFonts w:hint="eastAsia" w:ascii="宋体" w:hAnsi="宋体" w:cs="宋体"/>
                <w:bCs/>
                <w:color w:val="000000"/>
                <w:kern w:val="0"/>
                <w:sz w:val="21"/>
                <w:szCs w:val="21"/>
                <w:lang w:eastAsia="zh-CN"/>
              </w:rPr>
              <w:t>，</w:t>
            </w:r>
            <w:r>
              <w:rPr>
                <w:rFonts w:hint="eastAsia" w:ascii="宋体" w:hAnsi="宋体" w:cs="宋体"/>
                <w:bCs/>
                <w:color w:val="000000"/>
                <w:kern w:val="0"/>
                <w:sz w:val="21"/>
                <w:szCs w:val="21"/>
                <w:lang w:val="en-US" w:eastAsia="zh-CN"/>
              </w:rPr>
              <w:t>最高得2分。</w:t>
            </w:r>
          </w:p>
        </w:tc>
        <w:tc>
          <w:tcPr>
            <w:tcW w:w="916" w:type="dxa"/>
            <w:vAlign w:val="center"/>
          </w:tcPr>
          <w:p>
            <w:pPr>
              <w:widowControl/>
              <w:spacing w:line="360" w:lineRule="auto"/>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jc w:val="center"/>
        </w:trPr>
        <w:tc>
          <w:tcPr>
            <w:tcW w:w="1202" w:type="dxa"/>
            <w:vMerge w:val="continue"/>
            <w:vAlign w:val="center"/>
          </w:tcPr>
          <w:p>
            <w:pPr>
              <w:widowControl/>
              <w:spacing w:line="360" w:lineRule="auto"/>
              <w:jc w:val="left"/>
              <w:rPr>
                <w:rFonts w:ascii="宋体" w:hAnsi="宋体" w:cs="Arial"/>
                <w:b/>
                <w:bCs/>
                <w:szCs w:val="21"/>
              </w:rPr>
            </w:pPr>
          </w:p>
        </w:tc>
        <w:tc>
          <w:tcPr>
            <w:tcW w:w="1080" w:type="dxa"/>
            <w:vAlign w:val="center"/>
          </w:tcPr>
          <w:p>
            <w:pPr>
              <w:widowControl/>
              <w:spacing w:line="360" w:lineRule="auto"/>
              <w:jc w:val="left"/>
              <w:rPr>
                <w:rFonts w:hint="eastAsia" w:ascii="宋体" w:hAnsi="宋体" w:eastAsia="宋体" w:cs="Arial"/>
                <w:b/>
                <w:bCs/>
                <w:szCs w:val="21"/>
                <w:lang w:val="en-US" w:eastAsia="zh-CN"/>
              </w:rPr>
            </w:pPr>
            <w:r>
              <w:rPr>
                <w:rFonts w:hint="eastAsia" w:ascii="宋体" w:hAnsi="宋体" w:cs="Arial"/>
                <w:b/>
                <w:bCs/>
                <w:szCs w:val="21"/>
                <w:lang w:val="en-US" w:eastAsia="zh-CN"/>
              </w:rPr>
              <w:t>备品备件</w:t>
            </w:r>
          </w:p>
        </w:tc>
        <w:tc>
          <w:tcPr>
            <w:tcW w:w="6600"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lang w:val="zh-CN"/>
              </w:rPr>
              <w:t>投标人设有备品备件库，提供备品备件库情况说明，根据备品备件库规模，特别是关键部件的设备的完备情况，以及提供的备件库详细地址与备品备件到现场响应时间，</w:t>
            </w:r>
            <w:r>
              <w:rPr>
                <w:rFonts w:hint="eastAsia" w:ascii="宋体" w:hAnsi="宋体" w:cs="宋体"/>
                <w:color w:val="000000"/>
                <w:szCs w:val="21"/>
                <w:lang w:val="en-US" w:eastAsia="zh-CN"/>
              </w:rPr>
              <w:t>进行综合</w:t>
            </w:r>
            <w:r>
              <w:rPr>
                <w:rFonts w:hint="eastAsia" w:ascii="宋体" w:hAnsi="宋体" w:cs="宋体"/>
                <w:color w:val="000000"/>
                <w:szCs w:val="21"/>
                <w:lang w:val="zh-CN"/>
              </w:rPr>
              <w:t>打分，</w:t>
            </w:r>
            <w:r>
              <w:rPr>
                <w:rFonts w:hint="eastAsia" w:ascii="宋体" w:hAnsi="宋体" w:cs="宋体"/>
                <w:color w:val="000000"/>
                <w:szCs w:val="21"/>
                <w:lang w:val="en-US" w:eastAsia="zh-CN"/>
              </w:rPr>
              <w:t>第一档5-4.1分，第二档4-3.1分，第三档3-2.1分，第四档2-1.1分，第五档1-0分。</w:t>
            </w:r>
          </w:p>
        </w:tc>
        <w:tc>
          <w:tcPr>
            <w:tcW w:w="91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02" w:type="dxa"/>
            <w:vMerge w:val="continue"/>
            <w:vAlign w:val="center"/>
          </w:tcPr>
          <w:p>
            <w:pPr>
              <w:widowControl/>
              <w:spacing w:line="360" w:lineRule="auto"/>
              <w:jc w:val="left"/>
              <w:rPr>
                <w:rFonts w:ascii="宋体" w:hAnsi="宋体" w:cs="Arial"/>
                <w:b/>
                <w:bCs/>
                <w:szCs w:val="21"/>
              </w:rPr>
            </w:pPr>
          </w:p>
        </w:tc>
        <w:tc>
          <w:tcPr>
            <w:tcW w:w="1080" w:type="dxa"/>
            <w:vMerge w:val="restart"/>
            <w:vAlign w:val="center"/>
          </w:tcPr>
          <w:p>
            <w:pPr>
              <w:widowControl/>
              <w:spacing w:line="360" w:lineRule="auto"/>
              <w:jc w:val="left"/>
              <w:rPr>
                <w:rFonts w:hint="default" w:ascii="宋体" w:hAnsi="宋体" w:eastAsia="宋体" w:cs="Arial"/>
                <w:b/>
                <w:bCs/>
                <w:szCs w:val="21"/>
                <w:lang w:val="en-US" w:eastAsia="zh-CN"/>
              </w:rPr>
            </w:pPr>
            <w:r>
              <w:rPr>
                <w:rFonts w:hint="eastAsia" w:ascii="宋体" w:hAnsi="宋体" w:cs="Arial"/>
                <w:b/>
                <w:bCs/>
                <w:szCs w:val="21"/>
                <w:lang w:val="en-US" w:eastAsia="zh-CN"/>
              </w:rPr>
              <w:t>供应商承诺</w:t>
            </w:r>
          </w:p>
        </w:tc>
        <w:tc>
          <w:tcPr>
            <w:tcW w:w="6600" w:type="dxa"/>
            <w:vAlign w:val="center"/>
          </w:tcPr>
          <w:p>
            <w:pPr>
              <w:widowControl/>
              <w:spacing w:line="360" w:lineRule="auto"/>
              <w:jc w:val="left"/>
              <w:rPr>
                <w:rFonts w:hint="eastAsia" w:ascii="宋体" w:hAnsi="宋体" w:eastAsia="宋体" w:cs="宋体"/>
                <w:color w:val="000000"/>
                <w:kern w:val="2"/>
                <w:sz w:val="21"/>
                <w:szCs w:val="21"/>
                <w:lang w:val="zh-CN" w:eastAsia="zh-CN" w:bidi="ar-SA"/>
              </w:rPr>
            </w:pPr>
            <w:r>
              <w:rPr>
                <w:rFonts w:hint="eastAsia" w:ascii="宋体" w:hAnsi="宋体" w:cs="宋体"/>
                <w:color w:val="000000"/>
                <w:szCs w:val="21"/>
                <w:lang w:eastAsia="zh-CN"/>
              </w:rPr>
              <w:t>供应商</w:t>
            </w:r>
            <w:r>
              <w:rPr>
                <w:rFonts w:hint="eastAsia" w:ascii="宋体" w:hAnsi="宋体" w:cs="宋体"/>
                <w:color w:val="000000"/>
                <w:szCs w:val="21"/>
              </w:rPr>
              <w:t>承诺严重故障4小时内修复故障的，得</w:t>
            </w:r>
            <w:r>
              <w:rPr>
                <w:rFonts w:ascii="宋体" w:hAnsi="宋体" w:cs="宋体"/>
                <w:color w:val="000000"/>
                <w:szCs w:val="21"/>
              </w:rPr>
              <w:t>1</w:t>
            </w:r>
            <w:r>
              <w:rPr>
                <w:rFonts w:hint="eastAsia" w:ascii="宋体" w:hAnsi="宋体" w:cs="宋体"/>
                <w:color w:val="000000"/>
                <w:szCs w:val="21"/>
              </w:rPr>
              <w:t>分。</w:t>
            </w:r>
          </w:p>
        </w:tc>
        <w:tc>
          <w:tcPr>
            <w:tcW w:w="916" w:type="dxa"/>
            <w:vAlign w:val="center"/>
          </w:tcPr>
          <w:p>
            <w:pPr>
              <w:widowControl/>
              <w:spacing w:line="360" w:lineRule="auto"/>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02" w:type="dxa"/>
            <w:vMerge w:val="continue"/>
            <w:vAlign w:val="center"/>
          </w:tcPr>
          <w:p>
            <w:pPr>
              <w:widowControl/>
              <w:spacing w:line="360" w:lineRule="auto"/>
              <w:jc w:val="left"/>
              <w:rPr>
                <w:rFonts w:ascii="宋体" w:hAnsi="宋体" w:cs="Arial"/>
                <w:b/>
                <w:bCs/>
                <w:szCs w:val="21"/>
              </w:rPr>
            </w:pPr>
          </w:p>
        </w:tc>
        <w:tc>
          <w:tcPr>
            <w:tcW w:w="1080" w:type="dxa"/>
            <w:vMerge w:val="continue"/>
            <w:vAlign w:val="center"/>
          </w:tcPr>
          <w:p>
            <w:pPr>
              <w:widowControl/>
              <w:spacing w:line="360" w:lineRule="auto"/>
              <w:jc w:val="left"/>
              <w:rPr>
                <w:rFonts w:ascii="宋体" w:hAnsi="宋体" w:cs="Arial"/>
                <w:b/>
                <w:bCs/>
                <w:szCs w:val="21"/>
              </w:rPr>
            </w:pPr>
          </w:p>
        </w:tc>
        <w:tc>
          <w:tcPr>
            <w:tcW w:w="6600"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lang w:val="zh-CN"/>
              </w:rPr>
              <w:t>根据供应商提供的其他优惠承诺</w:t>
            </w:r>
            <w:r>
              <w:rPr>
                <w:rFonts w:hint="eastAsia" w:ascii="宋体" w:hAnsi="宋体" w:cs="宋体"/>
                <w:color w:val="000000"/>
                <w:szCs w:val="21"/>
                <w:lang w:val="en-US" w:eastAsia="zh-CN"/>
              </w:rPr>
              <w:t>进行</w:t>
            </w:r>
            <w:r>
              <w:rPr>
                <w:rFonts w:hint="eastAsia" w:ascii="宋体" w:hAnsi="宋体" w:cs="宋体"/>
                <w:color w:val="000000"/>
                <w:szCs w:val="21"/>
                <w:lang w:val="zh-CN"/>
              </w:rPr>
              <w:t>打分，</w:t>
            </w:r>
            <w:r>
              <w:rPr>
                <w:rFonts w:hint="eastAsia" w:ascii="宋体" w:hAnsi="宋体" w:cs="宋体"/>
                <w:color w:val="000000"/>
                <w:szCs w:val="21"/>
                <w:lang w:val="en-US" w:eastAsia="zh-CN"/>
              </w:rPr>
              <w:t>最高得2分</w:t>
            </w:r>
            <w:r>
              <w:rPr>
                <w:rFonts w:hint="eastAsia" w:ascii="宋体" w:hAnsi="宋体" w:cs="宋体"/>
                <w:color w:val="000000"/>
                <w:szCs w:val="21"/>
                <w:lang w:val="zh-CN"/>
              </w:rPr>
              <w:t>。</w:t>
            </w:r>
          </w:p>
        </w:tc>
        <w:tc>
          <w:tcPr>
            <w:tcW w:w="916" w:type="dxa"/>
            <w:vAlign w:val="center"/>
          </w:tcPr>
          <w:p>
            <w:pPr>
              <w:widowControl/>
              <w:spacing w:line="360" w:lineRule="auto"/>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202" w:type="dxa"/>
            <w:vAlign w:val="center"/>
          </w:tcPr>
          <w:p>
            <w:pPr>
              <w:widowControl/>
              <w:spacing w:line="360" w:lineRule="auto"/>
              <w:jc w:val="left"/>
              <w:rPr>
                <w:rFonts w:ascii="宋体" w:hAnsi="宋体" w:cs="Arial"/>
                <w:b/>
                <w:bCs/>
                <w:szCs w:val="21"/>
              </w:rPr>
            </w:pPr>
            <w:r>
              <w:rPr>
                <w:rFonts w:hint="eastAsia" w:ascii="宋体" w:hAnsi="宋体" w:cs="Arial"/>
                <w:b/>
                <w:bCs/>
                <w:szCs w:val="21"/>
              </w:rPr>
              <w:t>对招标文件响应程度等2分</w:t>
            </w:r>
          </w:p>
        </w:tc>
        <w:tc>
          <w:tcPr>
            <w:tcW w:w="7680" w:type="dxa"/>
            <w:gridSpan w:val="2"/>
            <w:vAlign w:val="center"/>
          </w:tcPr>
          <w:p>
            <w:pPr>
              <w:pStyle w:val="26"/>
              <w:widowControl w:val="0"/>
              <w:spacing w:line="360" w:lineRule="auto"/>
              <w:jc w:val="both"/>
              <w:rPr>
                <w:rFonts w:ascii="宋体" w:hAnsi="宋体" w:eastAsia="宋体" w:cs="宋体"/>
                <w:color w:val="000000"/>
                <w:kern w:val="2"/>
                <w:sz w:val="21"/>
                <w:szCs w:val="21"/>
              </w:rPr>
            </w:pPr>
            <w:r>
              <w:rPr>
                <w:rFonts w:hint="eastAsia" w:ascii="宋体" w:hAnsi="宋体" w:eastAsia="宋体" w:cs="宋体"/>
                <w:b w:val="0"/>
                <w:bCs/>
                <w:sz w:val="21"/>
                <w:szCs w:val="21"/>
                <w:highlight w:val="none"/>
                <w:u w:val="none"/>
              </w:rPr>
              <w:t>根据投标文件的内容</w:t>
            </w:r>
            <w:r>
              <w:rPr>
                <w:rFonts w:hint="eastAsia" w:ascii="宋体" w:hAnsi="宋体" w:eastAsia="宋体" w:cs="宋体"/>
                <w:b w:val="0"/>
                <w:bCs/>
                <w:sz w:val="21"/>
                <w:szCs w:val="21"/>
                <w:highlight w:val="none"/>
                <w:u w:val="none"/>
                <w:lang w:eastAsia="zh-CN"/>
              </w:rPr>
              <w:t>、</w:t>
            </w:r>
            <w:r>
              <w:rPr>
                <w:rFonts w:hint="eastAsia" w:ascii="宋体" w:hAnsi="宋体" w:eastAsia="宋体" w:cs="宋体"/>
                <w:b w:val="0"/>
                <w:bCs/>
                <w:sz w:val="21"/>
                <w:szCs w:val="21"/>
                <w:highlight w:val="none"/>
                <w:u w:val="none"/>
              </w:rPr>
              <w:t>方便</w:t>
            </w:r>
            <w:r>
              <w:rPr>
                <w:rFonts w:hint="eastAsia" w:ascii="宋体" w:hAnsi="宋体" w:eastAsia="宋体" w:cs="宋体"/>
                <w:b w:val="0"/>
                <w:bCs/>
                <w:sz w:val="21"/>
                <w:szCs w:val="21"/>
                <w:highlight w:val="none"/>
                <w:u w:val="none"/>
                <w:lang w:val="en-US" w:eastAsia="zh-CN"/>
              </w:rPr>
              <w:t>查阅</w:t>
            </w:r>
            <w:r>
              <w:rPr>
                <w:rFonts w:hint="eastAsia" w:ascii="宋体" w:hAnsi="宋体" w:eastAsia="宋体" w:cs="宋体"/>
                <w:b w:val="0"/>
                <w:bCs/>
                <w:sz w:val="21"/>
                <w:szCs w:val="21"/>
                <w:highlight w:val="none"/>
                <w:u w:val="none"/>
              </w:rPr>
              <w:t>等情况与招标文件的要求比对，酌情打分。</w:t>
            </w:r>
            <w:r>
              <w:rPr>
                <w:rFonts w:ascii="宋体" w:hAnsi="宋体" w:eastAsia="宋体" w:cs="宋体"/>
                <w:color w:val="000000"/>
                <w:kern w:val="2"/>
                <w:sz w:val="21"/>
                <w:szCs w:val="21"/>
              </w:rPr>
              <w:t xml:space="preserve"> </w:t>
            </w:r>
          </w:p>
        </w:tc>
        <w:tc>
          <w:tcPr>
            <w:tcW w:w="916" w:type="dxa"/>
            <w:vAlign w:val="center"/>
          </w:tcPr>
          <w:p>
            <w:pPr>
              <w:pStyle w:val="26"/>
              <w:widowControl w:val="0"/>
              <w:spacing w:line="360" w:lineRule="auto"/>
              <w:jc w:val="center"/>
              <w:rPr>
                <w:rFonts w:ascii="宋体" w:hAnsi="宋体" w:eastAsia="宋体" w:cs="Times New Roman"/>
                <w:color w:val="000000"/>
                <w:kern w:val="2"/>
                <w:sz w:val="21"/>
                <w:szCs w:val="21"/>
              </w:rPr>
            </w:pPr>
            <w:r>
              <w:rPr>
                <w:rFonts w:hint="eastAsia" w:ascii="宋体" w:hAnsi="宋体" w:eastAsia="宋体" w:cs="Times New Roman"/>
                <w:color w:val="000000"/>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1202" w:type="dxa"/>
            <w:vAlign w:val="center"/>
          </w:tcPr>
          <w:p>
            <w:pPr>
              <w:widowControl/>
              <w:spacing w:line="360" w:lineRule="auto"/>
              <w:jc w:val="left"/>
              <w:rPr>
                <w:rFonts w:ascii="宋体" w:hAnsi="宋体" w:cs="Arial"/>
                <w:b/>
                <w:bCs/>
                <w:szCs w:val="21"/>
              </w:rPr>
            </w:pPr>
            <w:r>
              <w:rPr>
                <w:rFonts w:hint="eastAsia" w:ascii="宋体" w:hAnsi="宋体" w:cs="Arial"/>
                <w:b/>
                <w:bCs/>
                <w:szCs w:val="21"/>
              </w:rPr>
              <w:t>价格</w:t>
            </w:r>
            <w:r>
              <w:rPr>
                <w:rFonts w:hint="eastAsia" w:ascii="宋体" w:hAnsi="宋体" w:cs="Arial"/>
                <w:b/>
                <w:bCs/>
                <w:szCs w:val="21"/>
                <w:lang w:val="en-US" w:eastAsia="zh-CN"/>
              </w:rPr>
              <w:t>30</w:t>
            </w:r>
            <w:r>
              <w:rPr>
                <w:rFonts w:hint="eastAsia" w:ascii="宋体" w:hAnsi="宋体" w:cs="Arial"/>
                <w:b/>
                <w:bCs/>
                <w:szCs w:val="21"/>
              </w:rPr>
              <w:t>分</w:t>
            </w:r>
          </w:p>
        </w:tc>
        <w:tc>
          <w:tcPr>
            <w:tcW w:w="7680" w:type="dxa"/>
            <w:gridSpan w:val="2"/>
            <w:vAlign w:val="center"/>
          </w:tcPr>
          <w:p>
            <w:pPr>
              <w:widowControl/>
              <w:spacing w:line="360" w:lineRule="auto"/>
              <w:jc w:val="left"/>
              <w:rPr>
                <w:rFonts w:ascii="宋体" w:hAnsi="宋体" w:cs="宋体"/>
                <w:color w:val="000000"/>
                <w:szCs w:val="21"/>
              </w:rPr>
            </w:pPr>
            <w:r>
              <w:rPr>
                <w:rFonts w:hint="eastAsia" w:ascii="宋体" w:hAnsi="宋体" w:cs="宋体"/>
                <w:color w:val="auto"/>
                <w:sz w:val="21"/>
                <w:szCs w:val="21"/>
              </w:rPr>
              <w:t>以投标合格供应商有效投标总报价中的最低价为基准价，基准价为</w:t>
            </w:r>
            <w:r>
              <w:rPr>
                <w:rFonts w:hint="eastAsia" w:ascii="宋体" w:hAnsi="宋体" w:cs="宋体"/>
                <w:color w:val="auto"/>
                <w:sz w:val="21"/>
                <w:szCs w:val="21"/>
                <w:lang w:val="en-US" w:eastAsia="zh-CN"/>
              </w:rPr>
              <w:t>30</w:t>
            </w:r>
            <w:r>
              <w:rPr>
                <w:rFonts w:hint="eastAsia" w:ascii="宋体" w:hAnsi="宋体" w:cs="宋体"/>
                <w:color w:val="auto"/>
                <w:sz w:val="21"/>
                <w:szCs w:val="21"/>
              </w:rPr>
              <w:t>分。投标报价得分＝（评标基准价/最终投标报价）</w:t>
            </w:r>
            <w:r>
              <w:rPr>
                <w:rFonts w:hint="eastAsia" w:ascii="宋体" w:hAnsi="宋体" w:cs="宋体"/>
                <w:bCs/>
                <w:color w:val="auto"/>
                <w:sz w:val="21"/>
                <w:szCs w:val="21"/>
              </w:rPr>
              <w:t>×</w:t>
            </w:r>
            <w:r>
              <w:rPr>
                <w:rFonts w:hint="eastAsia" w:ascii="宋体" w:hAnsi="宋体" w:cs="宋体"/>
                <w:color w:val="auto"/>
                <w:kern w:val="0"/>
                <w:sz w:val="21"/>
                <w:szCs w:val="21"/>
                <w:lang w:val="en-US" w:eastAsia="zh-CN"/>
              </w:rPr>
              <w:t>30</w:t>
            </w:r>
            <w:r>
              <w:rPr>
                <w:rFonts w:hint="eastAsia" w:ascii="宋体" w:hAnsi="宋体" w:cs="宋体"/>
                <w:color w:val="auto"/>
                <w:kern w:val="0"/>
                <w:sz w:val="21"/>
                <w:szCs w:val="21"/>
              </w:rPr>
              <w:t>%</w:t>
            </w:r>
            <w:r>
              <w:rPr>
                <w:rFonts w:hint="eastAsia" w:ascii="宋体" w:hAnsi="宋体" w:cs="宋体"/>
                <w:bCs/>
                <w:color w:val="auto"/>
                <w:sz w:val="21"/>
                <w:szCs w:val="21"/>
              </w:rPr>
              <w:t>×</w:t>
            </w:r>
            <w:r>
              <w:rPr>
                <w:rFonts w:hint="eastAsia" w:ascii="宋体" w:hAnsi="宋体" w:cs="宋体"/>
                <w:color w:val="auto"/>
                <w:kern w:val="0"/>
                <w:sz w:val="21"/>
                <w:szCs w:val="21"/>
              </w:rPr>
              <w:t>100</w:t>
            </w:r>
            <w:r>
              <w:rPr>
                <w:rFonts w:hint="eastAsia" w:asciiTheme="minorEastAsia" w:hAnsiTheme="minorEastAsia" w:eastAsiaTheme="minorEastAsia" w:cstheme="minorEastAsia"/>
                <w:color w:val="auto"/>
                <w:sz w:val="21"/>
                <w:szCs w:val="21"/>
              </w:rPr>
              <w:t>（小数点后保留2位小数）。</w:t>
            </w:r>
            <w:r>
              <w:rPr>
                <w:rFonts w:hint="eastAsia" w:asciiTheme="minorEastAsia" w:hAnsiTheme="minorEastAsia" w:eastAsiaTheme="minorEastAsia"/>
                <w:color w:val="auto"/>
                <w:sz w:val="21"/>
                <w:szCs w:val="21"/>
              </w:rPr>
              <w:t>（注：对于</w:t>
            </w:r>
            <w:r>
              <w:rPr>
                <w:rFonts w:asciiTheme="minorEastAsia" w:hAnsiTheme="minorEastAsia" w:eastAsiaTheme="minorEastAsia"/>
                <w:color w:val="auto"/>
                <w:sz w:val="21"/>
                <w:szCs w:val="21"/>
              </w:rPr>
              <w:t>小型和微型企业</w:t>
            </w:r>
            <w:r>
              <w:rPr>
                <w:rFonts w:hint="eastAsia" w:asciiTheme="minorEastAsia" w:hAnsiTheme="minorEastAsia" w:eastAsiaTheme="minorEastAsia"/>
                <w:color w:val="auto"/>
                <w:sz w:val="21"/>
                <w:szCs w:val="21"/>
              </w:rPr>
              <w:t>产品</w:t>
            </w:r>
            <w:r>
              <w:rPr>
                <w:rFonts w:asciiTheme="minorEastAsia" w:hAnsiTheme="minorEastAsia" w:eastAsiaTheme="minorEastAsia"/>
                <w:color w:val="auto"/>
                <w:sz w:val="21"/>
                <w:szCs w:val="21"/>
              </w:rPr>
              <w:t>的</w:t>
            </w:r>
            <w:r>
              <w:rPr>
                <w:rFonts w:hint="eastAsia" w:asciiTheme="minorEastAsia" w:hAnsiTheme="minorEastAsia" w:eastAsiaTheme="minorEastAsia"/>
                <w:color w:val="auto"/>
                <w:sz w:val="21"/>
                <w:szCs w:val="21"/>
              </w:rPr>
              <w:t>价格</w:t>
            </w:r>
            <w:r>
              <w:rPr>
                <w:rFonts w:asciiTheme="minorEastAsia" w:hAnsiTheme="minorEastAsia" w:eastAsiaTheme="minorEastAsia"/>
                <w:color w:val="auto"/>
                <w:sz w:val="21"/>
                <w:szCs w:val="21"/>
              </w:rPr>
              <w:t>给予6%的扣除，用扣除后的价</w:t>
            </w:r>
            <w:r>
              <w:rPr>
                <w:rFonts w:hint="eastAsia" w:asciiTheme="minorEastAsia" w:hAnsiTheme="minorEastAsia" w:eastAsiaTheme="minorEastAsia"/>
                <w:color w:val="auto"/>
                <w:sz w:val="21"/>
                <w:szCs w:val="21"/>
              </w:rPr>
              <w:t>格</w:t>
            </w:r>
            <w:r>
              <w:rPr>
                <w:rFonts w:asciiTheme="minorEastAsia" w:hAnsiTheme="minorEastAsia" w:eastAsiaTheme="minorEastAsia"/>
                <w:color w:val="auto"/>
                <w:sz w:val="21"/>
                <w:szCs w:val="21"/>
              </w:rPr>
              <w:t>参与评审</w:t>
            </w: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lang w:val="en-US" w:eastAsia="zh-CN"/>
              </w:rPr>
              <w:t>)</w:t>
            </w:r>
          </w:p>
        </w:tc>
        <w:tc>
          <w:tcPr>
            <w:tcW w:w="916" w:type="dxa"/>
            <w:vAlign w:val="center"/>
          </w:tcPr>
          <w:p>
            <w:pPr>
              <w:widowControl/>
              <w:spacing w:line="360" w:lineRule="auto"/>
              <w:jc w:val="center"/>
              <w:rPr>
                <w:rFonts w:hint="default" w:ascii="宋体" w:hAnsi="宋体" w:eastAsia="宋体"/>
                <w:color w:val="000000"/>
                <w:szCs w:val="21"/>
                <w:lang w:val="en-US" w:eastAsia="zh-CN"/>
              </w:rPr>
            </w:pPr>
            <w:r>
              <w:rPr>
                <w:rFonts w:hint="eastAsia" w:ascii="宋体" w:hAnsi="宋体"/>
                <w:color w:val="000000"/>
                <w:szCs w:val="21"/>
                <w:lang w:val="en-US" w:eastAsia="zh-CN"/>
              </w:rPr>
              <w:t>30</w:t>
            </w:r>
          </w:p>
        </w:tc>
      </w:tr>
    </w:tbl>
    <w:p>
      <w:pPr>
        <w:pStyle w:val="2"/>
        <w:ind w:left="0" w:leftChars="0" w:firstLine="0" w:firstLineChars="0"/>
      </w:pPr>
    </w:p>
    <w:p>
      <w:pPr>
        <w:autoSpaceDE w:val="0"/>
        <w:autoSpaceDN w:val="0"/>
        <w:adjustRightInd w:val="0"/>
        <w:spacing w:line="360" w:lineRule="auto"/>
        <w:jc w:val="left"/>
        <w:rPr>
          <w:rFonts w:ascii="宋体" w:hAnsi="宋体" w:cs="宋体"/>
          <w:b/>
          <w:sz w:val="24"/>
        </w:rPr>
      </w:pPr>
      <w:r>
        <w:rPr>
          <w:rFonts w:hint="eastAsia" w:ascii="宋体" w:hAnsi="宋体" w:cs="宋体"/>
          <w:b/>
          <w:sz w:val="24"/>
        </w:rPr>
        <w:t>注：1、合同、证书、报告及其他相关证明材料，将原件扫描上传至电子投标文件，并加盖电子印章。</w:t>
      </w:r>
    </w:p>
    <w:p>
      <w:pPr>
        <w:autoSpaceDE w:val="0"/>
        <w:autoSpaceDN w:val="0"/>
        <w:adjustRightInd w:val="0"/>
        <w:spacing w:line="360" w:lineRule="auto"/>
        <w:jc w:val="left"/>
        <w:rPr>
          <w:rFonts w:asciiTheme="minorEastAsia" w:hAnsiTheme="minorEastAsia" w:eastAsiaTheme="minorEastAsia"/>
          <w:sz w:val="24"/>
        </w:rPr>
      </w:pPr>
      <w:r>
        <w:rPr>
          <w:rFonts w:hint="eastAsia" w:ascii="宋体" w:hAnsi="宋体" w:cs="宋体"/>
          <w:b/>
          <w:sz w:val="24"/>
        </w:rPr>
        <w:t>2、得分为第一档的指的是各细项指标全部满足甚至优于采购需求的；第二档指的是与采购人目标需求相比，稍有瑕疵的；第三、四、五档依次类推。</w:t>
      </w:r>
    </w:p>
    <w:p>
      <w:pPr>
        <w:rPr>
          <w:rFonts w:asciiTheme="minorEastAsia" w:hAnsiTheme="minorEastAsia" w:eastAsiaTheme="minorEastAsia"/>
          <w:b/>
          <w:sz w:val="36"/>
          <w:szCs w:val="36"/>
        </w:rPr>
      </w:pP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公开招标需求</w:t>
      </w:r>
    </w:p>
    <w:p>
      <w:pPr>
        <w:tabs>
          <w:tab w:val="left" w:pos="8280"/>
        </w:tabs>
        <w:autoSpaceDE w:val="0"/>
        <w:autoSpaceDN w:val="0"/>
        <w:adjustRightInd w:val="0"/>
        <w:spacing w:line="360" w:lineRule="auto"/>
        <w:ind w:right="25"/>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28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rPr>
        <w:t>个标段，具体内容如下表：</w:t>
      </w:r>
    </w:p>
    <w:tbl>
      <w:tblPr>
        <w:tblStyle w:val="19"/>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393"/>
        <w:gridCol w:w="1360"/>
        <w:gridCol w:w="1061"/>
        <w:gridCol w:w="649"/>
        <w:gridCol w:w="1131"/>
        <w:gridCol w:w="123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96"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标段号</w:t>
            </w:r>
          </w:p>
        </w:tc>
        <w:tc>
          <w:tcPr>
            <w:tcW w:w="1393" w:type="dxa"/>
            <w:vAlign w:val="center"/>
          </w:tcPr>
          <w:p>
            <w:pPr>
              <w:tabs>
                <w:tab w:val="left" w:pos="8280"/>
              </w:tabs>
              <w:autoSpaceDE w:val="0"/>
              <w:autoSpaceDN w:val="0"/>
              <w:adjustRightInd w:val="0"/>
              <w:spacing w:line="360" w:lineRule="auto"/>
              <w:ind w:right="25" w:firstLine="120" w:firstLineChars="50"/>
              <w:jc w:val="center"/>
              <w:rPr>
                <w:rFonts w:ascii="宋体"/>
                <w:b/>
                <w:sz w:val="24"/>
              </w:rPr>
            </w:pPr>
            <w:r>
              <w:rPr>
                <w:rFonts w:hint="eastAsia" w:asciiTheme="minorEastAsia" w:hAnsiTheme="minorEastAsia" w:eastAsiaTheme="minorEastAsia"/>
                <w:b/>
                <w:sz w:val="24"/>
              </w:rPr>
              <w:t>项目名称</w:t>
            </w:r>
          </w:p>
        </w:tc>
        <w:tc>
          <w:tcPr>
            <w:tcW w:w="1360" w:type="dxa"/>
            <w:vAlign w:val="center"/>
          </w:tcPr>
          <w:p>
            <w:pPr>
              <w:tabs>
                <w:tab w:val="left" w:pos="8280"/>
              </w:tabs>
              <w:autoSpaceDE w:val="0"/>
              <w:autoSpaceDN w:val="0"/>
              <w:adjustRightInd w:val="0"/>
              <w:spacing w:line="360" w:lineRule="auto"/>
              <w:ind w:right="25"/>
              <w:rPr>
                <w:rFonts w:ascii="宋体"/>
                <w:b/>
                <w:sz w:val="24"/>
              </w:rPr>
            </w:pPr>
            <w:r>
              <w:rPr>
                <w:rFonts w:hint="eastAsia" w:asciiTheme="minorEastAsia" w:hAnsiTheme="minorEastAsia" w:eastAsiaTheme="minorEastAsia"/>
                <w:b/>
                <w:sz w:val="24"/>
              </w:rPr>
              <w:t>规格型号</w:t>
            </w:r>
          </w:p>
        </w:tc>
        <w:tc>
          <w:tcPr>
            <w:tcW w:w="1061"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数量</w:t>
            </w:r>
          </w:p>
        </w:tc>
        <w:tc>
          <w:tcPr>
            <w:tcW w:w="649"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单位</w:t>
            </w:r>
          </w:p>
        </w:tc>
        <w:tc>
          <w:tcPr>
            <w:tcW w:w="1131"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预算（万元）</w:t>
            </w:r>
          </w:p>
        </w:tc>
        <w:tc>
          <w:tcPr>
            <w:tcW w:w="1230" w:type="dxa"/>
            <w:vAlign w:val="center"/>
          </w:tcPr>
          <w:p>
            <w:pPr>
              <w:tabs>
                <w:tab w:val="left" w:pos="8280"/>
              </w:tabs>
              <w:autoSpaceDE w:val="0"/>
              <w:autoSpaceDN w:val="0"/>
              <w:adjustRightInd w:val="0"/>
              <w:ind w:right="25" w:rightChars="0"/>
              <w:jc w:val="center"/>
              <w:rPr>
                <w:rFonts w:hint="default" w:ascii="宋体" w:eastAsia="宋体"/>
                <w:b/>
                <w:sz w:val="24"/>
                <w:lang w:val="en-US" w:eastAsia="zh-CN"/>
              </w:rPr>
            </w:pPr>
            <w:r>
              <w:rPr>
                <w:rFonts w:hint="eastAsia" w:ascii="宋体"/>
                <w:b/>
                <w:sz w:val="24"/>
                <w:lang w:val="en-US" w:eastAsia="zh-CN"/>
              </w:rPr>
              <w:t>服务期</w:t>
            </w:r>
          </w:p>
        </w:tc>
        <w:tc>
          <w:tcPr>
            <w:tcW w:w="1530"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96" w:type="dxa"/>
            <w:vAlign w:val="center"/>
          </w:tcPr>
          <w:p>
            <w:pPr>
              <w:tabs>
                <w:tab w:val="left" w:pos="8280"/>
              </w:tabs>
              <w:autoSpaceDE w:val="0"/>
              <w:autoSpaceDN w:val="0"/>
              <w:adjustRightInd w:val="0"/>
              <w:jc w:val="center"/>
              <w:rPr>
                <w:rFonts w:ascii="宋体" w:hAnsi="宋体"/>
                <w:b/>
                <w:sz w:val="24"/>
              </w:rPr>
            </w:pPr>
            <w:r>
              <w:rPr>
                <w:rFonts w:hint="eastAsia" w:asciiTheme="minorEastAsia" w:hAnsiTheme="minorEastAsia" w:eastAsiaTheme="minorEastAsia"/>
                <w:sz w:val="24"/>
              </w:rPr>
              <w:t>1</w:t>
            </w:r>
          </w:p>
        </w:tc>
        <w:tc>
          <w:tcPr>
            <w:tcW w:w="1393" w:type="dxa"/>
            <w:vAlign w:val="center"/>
          </w:tcPr>
          <w:p>
            <w:pPr>
              <w:widowControl/>
              <w:jc w:val="center"/>
              <w:rPr>
                <w:rFonts w:ascii="宋体" w:hAnsi="宋体"/>
                <w:b/>
                <w:sz w:val="24"/>
              </w:rPr>
            </w:pPr>
            <w:r>
              <w:rPr>
                <w:rFonts w:hint="eastAsia" w:asciiTheme="minorEastAsia" w:hAnsiTheme="minorEastAsia" w:eastAsiaTheme="minorEastAsia"/>
                <w:kern w:val="0"/>
                <w:sz w:val="24"/>
              </w:rPr>
              <w:t>机房设备维保服务</w:t>
            </w:r>
          </w:p>
        </w:tc>
        <w:tc>
          <w:tcPr>
            <w:tcW w:w="1360" w:type="dxa"/>
            <w:vAlign w:val="center"/>
          </w:tcPr>
          <w:p>
            <w:pPr>
              <w:widowControl/>
              <w:jc w:val="center"/>
              <w:rPr>
                <w:rFonts w:ascii="宋体" w:hAnsi="宋体"/>
                <w:b/>
                <w:sz w:val="24"/>
              </w:rPr>
            </w:pPr>
            <w:r>
              <w:rPr>
                <w:rFonts w:ascii="宋体" w:hAnsi="宋体" w:cs="宋体"/>
                <w:kern w:val="0"/>
                <w:sz w:val="24"/>
              </w:rPr>
              <w:t>详见需求</w:t>
            </w:r>
          </w:p>
        </w:tc>
        <w:tc>
          <w:tcPr>
            <w:tcW w:w="1061" w:type="dxa"/>
            <w:vAlign w:val="center"/>
          </w:tcPr>
          <w:p>
            <w:pPr>
              <w:widowControl/>
              <w:jc w:val="center"/>
              <w:rPr>
                <w:rFonts w:hint="eastAsia" w:ascii="宋体" w:hAnsi="宋体" w:eastAsia="宋体"/>
                <w:b/>
                <w:sz w:val="24"/>
                <w:lang w:val="en-US" w:eastAsia="zh-CN"/>
              </w:rPr>
            </w:pPr>
            <w:r>
              <w:rPr>
                <w:rFonts w:hint="eastAsia" w:asciiTheme="minorEastAsia" w:hAnsiTheme="minorEastAsia" w:eastAsiaTheme="minorEastAsia"/>
                <w:sz w:val="24"/>
              </w:rPr>
              <w:t>1</w:t>
            </w:r>
          </w:p>
        </w:tc>
        <w:tc>
          <w:tcPr>
            <w:tcW w:w="649" w:type="dxa"/>
            <w:vAlign w:val="center"/>
          </w:tcPr>
          <w:p>
            <w:pPr>
              <w:widowControl/>
              <w:jc w:val="center"/>
              <w:rPr>
                <w:rFonts w:hint="eastAsia" w:ascii="宋体" w:hAnsi="宋体" w:eastAsia="宋体"/>
                <w:b/>
                <w:sz w:val="24"/>
                <w:lang w:eastAsia="zh-CN"/>
              </w:rPr>
            </w:pPr>
            <w:r>
              <w:rPr>
                <w:rFonts w:hint="eastAsia" w:asciiTheme="minorEastAsia" w:hAnsiTheme="minorEastAsia" w:eastAsiaTheme="minorEastAsia"/>
                <w:sz w:val="24"/>
              </w:rPr>
              <w:t>年</w:t>
            </w:r>
          </w:p>
        </w:tc>
        <w:tc>
          <w:tcPr>
            <w:tcW w:w="1131" w:type="dxa"/>
            <w:vAlign w:val="center"/>
          </w:tcPr>
          <w:p>
            <w:pPr>
              <w:tabs>
                <w:tab w:val="left" w:pos="8280"/>
              </w:tabs>
              <w:autoSpaceDE w:val="0"/>
              <w:autoSpaceDN w:val="0"/>
              <w:adjustRightInd w:val="0"/>
              <w:jc w:val="center"/>
              <w:rPr>
                <w:rFonts w:hint="default" w:ascii="宋体" w:hAnsi="宋体" w:eastAsiaTheme="minorEastAsia"/>
                <w:b/>
                <w:sz w:val="24"/>
                <w:lang w:val="en-US" w:eastAsia="zh-CN"/>
              </w:rPr>
            </w:pPr>
            <w:r>
              <w:rPr>
                <w:rFonts w:asciiTheme="minorEastAsia" w:hAnsiTheme="minorEastAsia" w:eastAsiaTheme="minorEastAsia"/>
                <w:sz w:val="24"/>
              </w:rPr>
              <w:t>72</w:t>
            </w:r>
            <w:r>
              <w:rPr>
                <w:rFonts w:hint="eastAsia" w:asciiTheme="minorEastAsia" w:hAnsiTheme="minorEastAsia" w:eastAsiaTheme="minorEastAsia"/>
                <w:sz w:val="24"/>
                <w:lang w:val="en-US" w:eastAsia="zh-CN"/>
              </w:rPr>
              <w:t>.5</w:t>
            </w:r>
          </w:p>
        </w:tc>
        <w:tc>
          <w:tcPr>
            <w:tcW w:w="1230" w:type="dxa"/>
            <w:vAlign w:val="center"/>
          </w:tcPr>
          <w:p>
            <w:pPr>
              <w:tabs>
                <w:tab w:val="left" w:pos="8280"/>
              </w:tabs>
              <w:autoSpaceDE w:val="0"/>
              <w:autoSpaceDN w:val="0"/>
              <w:adjustRightInd w:val="0"/>
              <w:ind w:right="25" w:rightChars="0"/>
              <w:jc w:val="center"/>
              <w:rPr>
                <w:rFonts w:ascii="宋体" w:hAnsi="宋体"/>
                <w:b/>
                <w:sz w:val="24"/>
              </w:rPr>
            </w:pPr>
            <w:r>
              <w:rPr>
                <w:rFonts w:hint="eastAsia" w:asciiTheme="minorEastAsia" w:hAnsiTheme="minorEastAsia" w:eastAsiaTheme="minorEastAsia"/>
                <w:sz w:val="24"/>
              </w:rPr>
              <w:t>服务1年</w:t>
            </w:r>
          </w:p>
        </w:tc>
        <w:tc>
          <w:tcPr>
            <w:tcW w:w="1530" w:type="dxa"/>
            <w:vAlign w:val="center"/>
          </w:tcPr>
          <w:p>
            <w:pPr>
              <w:tabs>
                <w:tab w:val="left" w:pos="8280"/>
              </w:tabs>
              <w:autoSpaceDE w:val="0"/>
              <w:autoSpaceDN w:val="0"/>
              <w:adjustRightInd w:val="0"/>
              <w:jc w:val="center"/>
              <w:rPr>
                <w:rFonts w:ascii="宋体" w:hAnsi="宋体"/>
                <w:b/>
                <w:sz w:val="24"/>
              </w:rPr>
            </w:pPr>
            <w:r>
              <w:rPr>
                <w:rFonts w:hint="eastAsia" w:asciiTheme="minorEastAsia" w:hAnsiTheme="minorEastAsia" w:eastAsiaTheme="minorEastAsia"/>
                <w:kern w:val="0"/>
                <w:sz w:val="24"/>
              </w:rPr>
              <w:t>台州市公共资源交易中心</w:t>
            </w:r>
          </w:p>
        </w:tc>
      </w:tr>
    </w:tbl>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numPr>
          <w:ilvl w:val="0"/>
          <w:numId w:val="12"/>
        </w:numPr>
        <w:tabs>
          <w:tab w:val="left" w:pos="2728"/>
        </w:tabs>
        <w:ind w:left="0" w:leftChars="0" w:firstLine="0" w:firstLineChars="0"/>
        <w:rPr>
          <w:rFonts w:hint="eastAsia" w:asciiTheme="minorEastAsia" w:hAnsiTheme="minorEastAsia" w:eastAsiaTheme="minorEastAsia"/>
          <w:b/>
          <w:sz w:val="24"/>
        </w:rPr>
      </w:pPr>
      <w:r>
        <w:rPr>
          <w:rFonts w:hint="eastAsia" w:asciiTheme="minorEastAsia" w:hAnsiTheme="minorEastAsia" w:eastAsiaTheme="minorEastAsia"/>
          <w:b/>
          <w:sz w:val="24"/>
        </w:rPr>
        <w:t>技术需求：</w:t>
      </w:r>
    </w:p>
    <w:p>
      <w:pPr>
        <w:pStyle w:val="5"/>
        <w:spacing w:line="360" w:lineRule="auto"/>
        <w:rPr>
          <w:rFonts w:cs="宋体"/>
          <w:sz w:val="24"/>
          <w:szCs w:val="24"/>
        </w:rPr>
      </w:pPr>
      <w:r>
        <w:rPr>
          <w:rFonts w:hint="eastAsia" w:cs="宋体"/>
          <w:sz w:val="24"/>
          <w:szCs w:val="24"/>
        </w:rPr>
        <w:t>1、项目背景</w:t>
      </w:r>
    </w:p>
    <w:p>
      <w:pPr>
        <w:spacing w:before="120" w:line="360" w:lineRule="auto"/>
        <w:ind w:firstLine="480" w:firstLineChars="200"/>
        <w:rPr>
          <w:rFonts w:ascii="宋体" w:hAnsi="宋体" w:cs="宋体"/>
          <w:sz w:val="24"/>
        </w:rPr>
      </w:pPr>
      <w:r>
        <w:rPr>
          <w:rFonts w:hint="eastAsia" w:ascii="宋体" w:hAnsi="宋体" w:cs="宋体"/>
          <w:sz w:val="24"/>
        </w:rPr>
        <w:t>台州市公共资源交易中心现有信息化系统硬件支撑平台核心设备均已过保，为了保证现有信息系统的高效、稳定运行，需要对这些设备的维保及相关技术服务进行延续，解决对系统的安全性和稳定性构成的威胁，以确保计算机业务系统的稳定运行。</w:t>
      </w:r>
    </w:p>
    <w:p>
      <w:pPr>
        <w:spacing w:line="360" w:lineRule="auto"/>
        <w:ind w:firstLine="360" w:firstLineChars="150"/>
        <w:rPr>
          <w:rFonts w:ascii="宋体" w:hAnsi="宋体" w:cs="宋体"/>
          <w:sz w:val="24"/>
        </w:rPr>
      </w:pPr>
      <w:r>
        <w:rPr>
          <w:rFonts w:hint="eastAsia" w:ascii="宋体" w:hAnsi="宋体" w:cs="宋体"/>
          <w:sz w:val="24"/>
        </w:rPr>
        <w:t>鉴于台州市公共资源交易中心业务对持续性、稳定性要求较高，大量的信息化专业设备更需要专业的信息化管理员进行运维，并根据业务实际情况对软硬件设备进行调优。为保证运维管理人员能够快速、及时响应，在最短时间内完成故障处理和业务调整需求，</w:t>
      </w:r>
      <w:r>
        <w:rPr>
          <w:rFonts w:hint="eastAsia" w:ascii="宋体" w:hAnsi="宋体" w:cs="宋体"/>
          <w:color w:val="auto"/>
          <w:sz w:val="24"/>
        </w:rPr>
        <w:t>需提供1名现场驻点运维服务人员，</w:t>
      </w:r>
      <w:r>
        <w:rPr>
          <w:rFonts w:hint="eastAsia" w:ascii="宋体" w:hAnsi="宋体" w:cs="宋体"/>
          <w:sz w:val="24"/>
        </w:rPr>
        <w:t>提供现场驻点运维服务，保证中心核心业务系统持续、稳定、高效运行。</w:t>
      </w:r>
    </w:p>
    <w:p>
      <w:pPr>
        <w:pStyle w:val="5"/>
        <w:spacing w:line="360" w:lineRule="auto"/>
        <w:rPr>
          <w:rFonts w:cs="宋体"/>
          <w:sz w:val="24"/>
          <w:szCs w:val="24"/>
        </w:rPr>
      </w:pPr>
      <w:r>
        <w:rPr>
          <w:rFonts w:hint="eastAsia" w:cs="宋体"/>
          <w:sz w:val="24"/>
          <w:szCs w:val="24"/>
        </w:rPr>
        <w:t>2、维保服务设备清单</w:t>
      </w:r>
    </w:p>
    <w:tbl>
      <w:tblPr>
        <w:tblStyle w:val="19"/>
        <w:tblW w:w="8500" w:type="dxa"/>
        <w:tblInd w:w="0" w:type="dxa"/>
        <w:tblLayout w:type="fixed"/>
        <w:tblCellMar>
          <w:top w:w="0" w:type="dxa"/>
          <w:left w:w="108" w:type="dxa"/>
          <w:bottom w:w="0" w:type="dxa"/>
          <w:right w:w="108" w:type="dxa"/>
        </w:tblCellMar>
      </w:tblPr>
      <w:tblGrid>
        <w:gridCol w:w="930"/>
        <w:gridCol w:w="2751"/>
        <w:gridCol w:w="2410"/>
        <w:gridCol w:w="1134"/>
        <w:gridCol w:w="1275"/>
      </w:tblGrid>
      <w:tr>
        <w:tblPrEx>
          <w:tblCellMar>
            <w:top w:w="0" w:type="dxa"/>
            <w:left w:w="108" w:type="dxa"/>
            <w:bottom w:w="0" w:type="dxa"/>
            <w:right w:w="108" w:type="dxa"/>
          </w:tblCellMar>
        </w:tblPrEx>
        <w:trPr>
          <w:trHeight w:val="258" w:hRule="atLeast"/>
        </w:trPr>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27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设备类型</w:t>
            </w:r>
          </w:p>
        </w:tc>
        <w:tc>
          <w:tcPr>
            <w:tcW w:w="24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品牌型号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维保年限</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机箱</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HP C7000机箱</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刀片数据库服务器</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HP BL660C G8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刀片虚拟化服务器</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HP BL660C G8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刀片虚拟化服务器</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HP BL660C G9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机架式应用服务器</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HP DL388P G8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存储</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华为S5500T</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存储虚拟化网关</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华为VIS6600T</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备份一体机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赛门铁克BE3600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备份软件</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BE备份软件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核心交换机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H3C S7508E-X</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接入交换机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H3C S5120S-28P-EI</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负载均衡</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深信服AD2200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防火墙</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天融信TG-51131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IPS入侵防御</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天融信TopIDP 3000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数据库审计</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安恒 DAS-A800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堡垒机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齐治SHTERM-Z3500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服务器机柜</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图腾A38042H</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KVM</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RECENT RCD-9716H</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虚拟化软件</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VMware vsphere5标准版</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UPS</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主机：科士达M20K；</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容灾服务器</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HPE DL580 Gen9</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27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22</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24口光纤交换机</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博科300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27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23</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双活存储</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HPE 3PAR S S8200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27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服务器汇聚交换机1</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H3C S5560-54S-EI</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27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25</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服务器汇聚交换机2</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H3C S5560-54S-EI</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26</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负载均衡</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 TH840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防火墙</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安恒DAS-NGFW1600-NG</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978"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28</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防病毒软件</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瑞星企业终端安全管理系统软件</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抗DDOS设备</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安恒DAS-DDOS-2000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30</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服务器负载均衡</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A10 TH840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31</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APT网络攻击预警平台</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安恒DAS-APT-500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32</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特征库升级</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升级特征库</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1712"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33</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安全服务</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安全服务（不少于1年四次），详见安全服务技术要求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34</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服务器</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DELL R720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服务器</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海康IS-VES2326E-NFA</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36</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服务器</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海康IS-VSE2326B-NBC</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734"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37</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服务器</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海康IS-VES2326E-NFA</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978"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38</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服务器</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海康iVMS-9100e-S08</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62"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39</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解码设备</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海康DS-AIOE-MCU-NP</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489"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40</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服务器</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海康DS-A72072R</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2690"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41</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驻场服务</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具备三年以上计算机及网络、主机系统维护相关经验，能处理日常维护运行过程中的网络故障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r>
        <w:tblPrEx>
          <w:tblCellMar>
            <w:top w:w="0" w:type="dxa"/>
            <w:left w:w="108" w:type="dxa"/>
            <w:bottom w:w="0" w:type="dxa"/>
            <w:right w:w="108" w:type="dxa"/>
          </w:tblCellMar>
        </w:tblPrEx>
        <w:trPr>
          <w:trHeight w:val="1468" w:hRule="atLeast"/>
        </w:trPr>
        <w:tc>
          <w:tcPr>
            <w:tcW w:w="9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42</w:t>
            </w:r>
          </w:p>
        </w:tc>
        <w:tc>
          <w:tcPr>
            <w:tcW w:w="27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优化整改服务</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利用现有设备搭建灾备环境，整合虚拟化系统</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12个月</w:t>
            </w:r>
          </w:p>
        </w:tc>
      </w:tr>
    </w:tbl>
    <w:p>
      <w:pPr>
        <w:tabs>
          <w:tab w:val="left" w:pos="8280"/>
        </w:tabs>
        <w:autoSpaceDE w:val="0"/>
        <w:autoSpaceDN w:val="0"/>
        <w:adjustRightInd w:val="0"/>
        <w:spacing w:line="360" w:lineRule="auto"/>
        <w:ind w:right="25"/>
        <w:rPr>
          <w:rFonts w:ascii="宋体" w:hAnsi="宋体" w:cs="宋体"/>
          <w:sz w:val="24"/>
        </w:rPr>
      </w:pPr>
    </w:p>
    <w:p>
      <w:pPr>
        <w:pStyle w:val="5"/>
        <w:spacing w:line="360" w:lineRule="auto"/>
        <w:rPr>
          <w:rFonts w:cs="宋体"/>
          <w:sz w:val="24"/>
          <w:szCs w:val="24"/>
        </w:rPr>
      </w:pPr>
      <w:r>
        <w:rPr>
          <w:rFonts w:hint="eastAsia" w:cs="宋体"/>
          <w:sz w:val="24"/>
          <w:szCs w:val="24"/>
        </w:rPr>
        <w:t>3、总体维保服务</w:t>
      </w:r>
    </w:p>
    <w:p>
      <w:pPr>
        <w:snapToGrid w:val="0"/>
        <w:spacing w:line="360" w:lineRule="auto"/>
        <w:rPr>
          <w:rFonts w:ascii="宋体" w:hAnsi="宋体" w:cs="宋体"/>
          <w:sz w:val="24"/>
        </w:rPr>
      </w:pPr>
      <w:r>
        <w:rPr>
          <w:rFonts w:ascii="宋体" w:hAnsi="宋体" w:cs="宋体"/>
          <w:sz w:val="24"/>
        </w:rPr>
        <w:t xml:space="preserve">   </w:t>
      </w:r>
      <w:r>
        <w:rPr>
          <w:rFonts w:hint="eastAsia" w:ascii="宋体" w:hAnsi="宋体" w:cs="宋体"/>
          <w:sz w:val="24"/>
          <w:lang w:val="en-US" w:eastAsia="zh-CN"/>
        </w:rPr>
        <w:t>供应商</w:t>
      </w:r>
      <w:r>
        <w:rPr>
          <w:rFonts w:hint="eastAsia" w:ascii="宋体" w:hAnsi="宋体" w:cs="宋体"/>
          <w:sz w:val="24"/>
        </w:rPr>
        <w:t>必须提供现有设备的整机（包括所有相关部件）在服务期内硬件质保服务和软件的维护、配置，所提供的更换配件必须为原厂商认可的产品。在合同期内提供免费保修服务，包括非人为损坏造成的设备故障的免费维修、免费技术咨询、设备软件版本免费升级等服务。具体内容如下：</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）提供产品全部根据国家有关规定执行“三包”（包退、包换和包修）。</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）维保设备出现故障，</w:t>
      </w:r>
      <w:r>
        <w:rPr>
          <w:rFonts w:hint="eastAsia" w:ascii="宋体" w:hAnsi="宋体" w:cs="宋体"/>
          <w:sz w:val="24"/>
          <w:lang w:val="en-US" w:eastAsia="zh-CN"/>
        </w:rPr>
        <w:t>供应商</w:t>
      </w:r>
      <w:r>
        <w:rPr>
          <w:rFonts w:hint="eastAsia" w:ascii="宋体" w:hAnsi="宋体" w:cs="宋体"/>
          <w:sz w:val="24"/>
        </w:rPr>
        <w:t>应在规定时间内响应并到达现场解决问题，以保证采购人系统的正常运行。</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）完备的维保服务和技术支持方案</w:t>
      </w:r>
    </w:p>
    <w:p>
      <w:pPr>
        <w:pStyle w:val="6"/>
        <w:ind w:firstLine="480" w:firstLineChars="200"/>
        <w:rPr>
          <w:rFonts w:ascii="宋体" w:hAnsi="宋体" w:cs="宋体"/>
          <w:sz w:val="24"/>
        </w:rPr>
      </w:pPr>
      <w:r>
        <w:rPr>
          <w:rFonts w:hint="eastAsia" w:cs="宋体"/>
          <w:b w:val="0"/>
          <w:szCs w:val="24"/>
          <w:lang w:val="en-US" w:eastAsia="zh-CN"/>
        </w:rPr>
        <w:t>供应商</w:t>
      </w:r>
      <w:r>
        <w:rPr>
          <w:rFonts w:hint="eastAsia" w:cs="宋体"/>
          <w:b w:val="0"/>
          <w:szCs w:val="24"/>
        </w:rPr>
        <w:t>应根据采购人的实际情况，制定完善的维保服务和技术支持服务方案</w:t>
      </w:r>
      <w:r>
        <w:rPr>
          <w:rFonts w:hint="eastAsia" w:ascii="宋体" w:hAnsi="宋体" w:eastAsia="宋体" w:cs="宋体"/>
          <w:b w:val="0"/>
          <w:szCs w:val="24"/>
          <w:highlight w:val="none"/>
        </w:rPr>
        <w:t>，提供详尽的技术手册，实施严格的项目管理，成立专门的服务小组（不少于</w:t>
      </w:r>
      <w:r>
        <w:rPr>
          <w:rFonts w:hint="eastAsia" w:ascii="宋体" w:hAnsi="宋体" w:eastAsia="宋体" w:cs="宋体"/>
          <w:b w:val="0"/>
          <w:szCs w:val="24"/>
          <w:highlight w:val="none"/>
          <w:lang w:val="en-US" w:eastAsia="zh-CN"/>
        </w:rPr>
        <w:t>4</w:t>
      </w:r>
      <w:r>
        <w:rPr>
          <w:rFonts w:hint="eastAsia" w:ascii="宋体" w:hAnsi="宋体" w:eastAsia="宋体" w:cs="宋体"/>
          <w:b w:val="0"/>
          <w:szCs w:val="24"/>
          <w:highlight w:val="none"/>
        </w:rPr>
        <w:t>人</w:t>
      </w:r>
      <w:r>
        <w:rPr>
          <w:rFonts w:hint="eastAsia" w:cs="宋体"/>
          <w:b w:val="0"/>
          <w:szCs w:val="24"/>
        </w:rPr>
        <w:t>），指定管理人员作为与采购人的统一对接，对项目的实施进行严格的项目管理，统筹相关工作，以保证此项目的正常高效运作。</w:t>
      </w:r>
    </w:p>
    <w:p>
      <w:pPr>
        <w:tabs>
          <w:tab w:val="left" w:pos="8280"/>
        </w:tabs>
        <w:autoSpaceDE w:val="0"/>
        <w:autoSpaceDN w:val="0"/>
        <w:adjustRightInd w:val="0"/>
        <w:spacing w:line="360" w:lineRule="auto"/>
        <w:ind w:right="23"/>
        <w:rPr>
          <w:rFonts w:ascii="宋体" w:hAnsi="宋体" w:cs="宋体"/>
          <w:b/>
          <w:bCs/>
          <w:sz w:val="24"/>
        </w:rPr>
      </w:pPr>
      <w:r>
        <w:rPr>
          <w:rFonts w:hint="eastAsia" w:ascii="宋体" w:hAnsi="宋体" w:cs="宋体"/>
          <w:b/>
          <w:bCs/>
          <w:sz w:val="24"/>
          <w:lang w:val="en-US" w:eastAsia="zh-CN"/>
        </w:rPr>
        <w:t xml:space="preserve">3.1 </w:t>
      </w:r>
      <w:r>
        <w:rPr>
          <w:rFonts w:hint="eastAsia" w:ascii="宋体" w:hAnsi="宋体" w:cs="宋体"/>
          <w:b/>
          <w:bCs/>
          <w:sz w:val="24"/>
        </w:rPr>
        <w:t xml:space="preserve">日常巡检服务 </w:t>
      </w:r>
    </w:p>
    <w:p>
      <w:pPr>
        <w:widowControl/>
        <w:spacing w:line="360" w:lineRule="auto"/>
        <w:ind w:firstLine="480" w:firstLineChars="200"/>
        <w:rPr>
          <w:rFonts w:ascii="宋体" w:hAnsi="宋体" w:cs="宋体"/>
          <w:sz w:val="24"/>
        </w:rPr>
      </w:pPr>
      <w:r>
        <w:rPr>
          <w:rFonts w:hint="eastAsia" w:ascii="宋体" w:hAnsi="宋体" w:cs="宋体"/>
          <w:sz w:val="24"/>
          <w:lang w:eastAsia="zh-CN"/>
        </w:rPr>
        <w:t>供应商</w:t>
      </w:r>
      <w:r>
        <w:rPr>
          <w:rFonts w:hint="eastAsia" w:ascii="宋体" w:hAnsi="宋体" w:cs="宋体"/>
          <w:sz w:val="24"/>
        </w:rPr>
        <w:t>需</w:t>
      </w:r>
      <w:r>
        <w:rPr>
          <w:rFonts w:hint="eastAsia" w:ascii="宋体" w:hAnsi="宋体" w:cs="宋体"/>
          <w:b/>
          <w:bCs/>
          <w:sz w:val="24"/>
        </w:rPr>
        <w:t>每季度</w:t>
      </w:r>
      <w:r>
        <w:rPr>
          <w:rFonts w:hint="eastAsia" w:ascii="宋体" w:hAnsi="宋体" w:cs="宋体"/>
          <w:sz w:val="24"/>
        </w:rPr>
        <w:t>安排二线技术工程师到台州市公共资源交易中心机房现场进行软硬件系统的全面巡检服务，包括还在原厂维保期内的软硬件系统全面巡检服务，</w:t>
      </w:r>
      <w:r>
        <w:rPr>
          <w:rFonts w:hint="eastAsia" w:ascii="宋体" w:hAnsi="宋体" w:cs="宋体"/>
          <w:b/>
          <w:sz w:val="24"/>
        </w:rPr>
        <w:t>提供详细巡检报告</w:t>
      </w:r>
      <w:r>
        <w:rPr>
          <w:rFonts w:hint="eastAsia" w:ascii="宋体" w:hAnsi="宋体" w:cs="宋体"/>
          <w:sz w:val="24"/>
        </w:rPr>
        <w:t xml:space="preserve">，并给出优化调整建议。巡检内容主要包括: </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1、</w:t>
      </w:r>
      <w:r>
        <w:rPr>
          <w:rFonts w:hint="eastAsia" w:ascii="宋体" w:hAnsi="宋体" w:cs="宋体"/>
          <w:sz w:val="24"/>
        </w:rPr>
        <w:t>PC服务器、存储、网络设备、及其他软硬件的运行状况，及时发现各种隐患，并做出相应处理。</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2、</w:t>
      </w:r>
      <w:r>
        <w:rPr>
          <w:rFonts w:hint="eastAsia" w:ascii="宋体" w:hAnsi="宋体" w:cs="宋体"/>
          <w:sz w:val="24"/>
        </w:rPr>
        <w:t>提供软硬件系统存在的问题报告及其解决方案，提出系统整体架构及技术改进建议。</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3、</w:t>
      </w:r>
      <w:r>
        <w:rPr>
          <w:rFonts w:hint="eastAsia" w:ascii="宋体" w:hAnsi="宋体" w:cs="宋体"/>
          <w:sz w:val="24"/>
        </w:rPr>
        <w:t>检查网络及安全设备运行状况，监测网络流量和可用性，及时发现系统的各种报警信息及网络不安全因素，提出相应的解决方案。</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4、</w:t>
      </w:r>
      <w:r>
        <w:rPr>
          <w:rFonts w:hint="eastAsia" w:ascii="宋体" w:hAnsi="宋体" w:cs="宋体"/>
          <w:sz w:val="24"/>
        </w:rPr>
        <w:t xml:space="preserve">对机房环境、温度、湿度等各方面进行检查，排除隐患。 </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5、</w:t>
      </w:r>
      <w:r>
        <w:rPr>
          <w:rFonts w:hint="eastAsia" w:ascii="宋体" w:hAnsi="宋体" w:cs="宋体"/>
          <w:sz w:val="24"/>
        </w:rPr>
        <w:t>对SymantecBE，Vmware 等软件进行日常性检查，并分析日志报告。</w:t>
      </w:r>
      <w:r>
        <w:rPr>
          <w:rFonts w:hint="eastAsia" w:ascii="MS Mincho" w:hAnsi="MS Mincho" w:eastAsia="MS Mincho" w:cs="MS Mincho"/>
          <w:sz w:val="24"/>
        </w:rPr>
        <w:t> </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 xml:space="preserve">对于服务范围内的系统软件、应用软件提供版本管理和升级服务。对于发布的相关软件最新版本，与台州市公共资源交易中心一起做好升级工作。 </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若原厂商发布新的系统软件版本或补丁升级程序，提供系统软件版本和补丁测试，以及软件版本和补丁的升级实施服务。</w:t>
      </w:r>
    </w:p>
    <w:p>
      <w:pPr>
        <w:tabs>
          <w:tab w:val="left" w:pos="8280"/>
        </w:tabs>
        <w:autoSpaceDE w:val="0"/>
        <w:autoSpaceDN w:val="0"/>
        <w:adjustRightInd w:val="0"/>
        <w:spacing w:line="360" w:lineRule="auto"/>
        <w:ind w:right="23"/>
        <w:rPr>
          <w:rFonts w:hint="eastAsia" w:ascii="宋体" w:hAnsi="宋体" w:cs="宋体"/>
          <w:b/>
          <w:bCs/>
          <w:sz w:val="24"/>
        </w:rPr>
      </w:pPr>
      <w:r>
        <w:rPr>
          <w:rFonts w:hint="eastAsia" w:ascii="宋体" w:hAnsi="宋体" w:cs="宋体"/>
          <w:b/>
          <w:bCs/>
          <w:sz w:val="24"/>
        </w:rPr>
        <w:t>3.2 常规性维护服务</w:t>
      </w:r>
    </w:p>
    <w:p>
      <w:pPr>
        <w:tabs>
          <w:tab w:val="left" w:pos="8280"/>
        </w:tabs>
        <w:autoSpaceDE w:val="0"/>
        <w:autoSpaceDN w:val="0"/>
        <w:adjustRightInd w:val="0"/>
        <w:spacing w:line="360" w:lineRule="auto"/>
        <w:ind w:right="23"/>
        <w:rPr>
          <w:rFonts w:ascii="宋体" w:hAnsi="宋体" w:cs="宋体"/>
          <w:sz w:val="24"/>
        </w:rPr>
      </w:pPr>
      <w:r>
        <w:rPr>
          <w:rFonts w:hint="eastAsia" w:ascii="宋体" w:hAnsi="宋体" w:cs="宋体"/>
          <w:sz w:val="24"/>
        </w:rPr>
        <w:t>服务方须根据用户需要，作好如下维护服务工作：</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1、</w:t>
      </w:r>
      <w:r>
        <w:rPr>
          <w:rFonts w:hint="eastAsia" w:ascii="宋体" w:hAnsi="宋体" w:cs="宋体"/>
          <w:sz w:val="24"/>
        </w:rPr>
        <w:t>用户系统计划性停机、重启。</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2、</w:t>
      </w:r>
      <w:r>
        <w:rPr>
          <w:rFonts w:hint="eastAsia" w:ascii="宋体" w:hAnsi="宋体" w:cs="宋体"/>
          <w:sz w:val="24"/>
        </w:rPr>
        <w:t>用户软硬件系统更正性维护服务。</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3、</w:t>
      </w:r>
      <w:r>
        <w:rPr>
          <w:rFonts w:hint="eastAsia" w:ascii="宋体" w:hAnsi="宋体" w:cs="宋体"/>
          <w:sz w:val="24"/>
        </w:rPr>
        <w:t>用户软硬件系统版本、补丁升级及与之相关的应用数据迁移。</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4、</w:t>
      </w:r>
      <w:r>
        <w:rPr>
          <w:rFonts w:hint="eastAsia" w:ascii="宋体" w:hAnsi="宋体" w:cs="宋体"/>
          <w:sz w:val="24"/>
        </w:rPr>
        <w:t xml:space="preserve">针对服务器、磁盘阵列的性能运行情况，进行检测分析，判断是否需要更换或扩容。 </w:t>
      </w:r>
    </w:p>
    <w:p>
      <w:pPr>
        <w:pStyle w:val="25"/>
        <w:tabs>
          <w:tab w:val="left" w:pos="8280"/>
        </w:tabs>
        <w:autoSpaceDE w:val="0"/>
        <w:autoSpaceDN w:val="0"/>
        <w:adjustRightInd w:val="0"/>
        <w:spacing w:line="360" w:lineRule="auto"/>
        <w:ind w:right="23" w:firstLine="420" w:firstLineChars="0"/>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制定周密的系统应急处理方案并验证其可靠性,</w:t>
      </w:r>
      <w:r>
        <w:rPr>
          <w:rFonts w:hint="eastAsia" w:ascii="宋体" w:hAnsi="宋体" w:cs="宋体"/>
          <w:b/>
          <w:bCs/>
          <w:sz w:val="24"/>
          <w:highlight w:val="none"/>
        </w:rPr>
        <w:t>并在中标一个月内提供纸质应急方案。</w:t>
      </w:r>
    </w:p>
    <w:p>
      <w:pPr>
        <w:pStyle w:val="25"/>
        <w:tabs>
          <w:tab w:val="left" w:pos="8280"/>
        </w:tabs>
        <w:autoSpaceDE w:val="0"/>
        <w:autoSpaceDN w:val="0"/>
        <w:adjustRightInd w:val="0"/>
        <w:spacing w:line="360" w:lineRule="auto"/>
        <w:ind w:right="23" w:firstLine="420" w:firstLineChars="0"/>
        <w:rPr>
          <w:rFonts w:hint="eastAsia" w:ascii="宋体" w:hAnsi="宋体" w:cs="宋体"/>
          <w:sz w:val="24"/>
        </w:rPr>
      </w:pPr>
      <w:r>
        <w:rPr>
          <w:rFonts w:hint="eastAsia" w:ascii="宋体" w:hAnsi="宋体" w:cs="宋体"/>
          <w:sz w:val="24"/>
          <w:lang w:val="en-US" w:eastAsia="zh-CN"/>
        </w:rPr>
        <w:t>6、</w:t>
      </w:r>
      <w:r>
        <w:rPr>
          <w:rFonts w:hint="eastAsia" w:ascii="宋体" w:hAnsi="宋体" w:cs="宋体"/>
          <w:sz w:val="24"/>
        </w:rPr>
        <w:t>提供软硬件系统技术咨询服务：包含使用咨询服务、扩容扩建技术方案咨询、疑难问题咨询等。</w:t>
      </w:r>
    </w:p>
    <w:p>
      <w:pPr>
        <w:pStyle w:val="25"/>
        <w:tabs>
          <w:tab w:val="left" w:pos="8280"/>
        </w:tabs>
        <w:autoSpaceDE w:val="0"/>
        <w:autoSpaceDN w:val="0"/>
        <w:adjustRightInd w:val="0"/>
        <w:spacing w:line="360" w:lineRule="auto"/>
        <w:ind w:right="23" w:firstLine="420" w:firstLineChars="0"/>
        <w:rPr>
          <w:rFonts w:hint="eastAsia" w:ascii="宋体" w:hAnsi="宋体" w:eastAsia="宋体" w:cs="宋体"/>
          <w:sz w:val="24"/>
          <w:highlight w:val="none"/>
          <w:lang w:val="en-US" w:eastAsia="zh-CN"/>
        </w:rPr>
      </w:pPr>
      <w:r>
        <w:rPr>
          <w:rFonts w:hint="eastAsia" w:ascii="宋体" w:hAnsi="宋体" w:cs="宋体"/>
          <w:sz w:val="24"/>
          <w:lang w:val="en-US" w:eastAsia="zh-CN"/>
        </w:rPr>
        <w:t>7、</w:t>
      </w:r>
      <w:r>
        <w:rPr>
          <w:rFonts w:hint="eastAsia" w:ascii="宋体" w:hAnsi="宋体" w:cs="宋体"/>
          <w:sz w:val="24"/>
          <w:highlight w:val="none"/>
        </w:rPr>
        <w:t>用户有升级、扩容需求时，供方须提供一个合理成熟的升级方案，并负责做好整个升级方案实施的配合工作。</w:t>
      </w:r>
    </w:p>
    <w:p>
      <w:pPr>
        <w:tabs>
          <w:tab w:val="left" w:pos="8280"/>
        </w:tabs>
        <w:autoSpaceDE w:val="0"/>
        <w:autoSpaceDN w:val="0"/>
        <w:adjustRightInd w:val="0"/>
        <w:spacing w:line="360" w:lineRule="auto"/>
        <w:ind w:right="23"/>
        <w:rPr>
          <w:rFonts w:hint="eastAsia" w:ascii="宋体" w:hAnsi="宋体" w:cs="宋体"/>
          <w:b/>
          <w:bCs/>
          <w:sz w:val="24"/>
        </w:rPr>
      </w:pPr>
      <w:r>
        <w:rPr>
          <w:rFonts w:hint="eastAsia" w:ascii="宋体" w:hAnsi="宋体" w:cs="宋体"/>
          <w:b/>
          <w:bCs/>
          <w:sz w:val="24"/>
        </w:rPr>
        <w:t>3.3 应急故障处理服务</w:t>
      </w:r>
    </w:p>
    <w:p>
      <w:pPr>
        <w:tabs>
          <w:tab w:val="left" w:pos="8280"/>
        </w:tabs>
        <w:autoSpaceDE w:val="0"/>
        <w:autoSpaceDN w:val="0"/>
        <w:adjustRightInd w:val="0"/>
        <w:spacing w:line="360" w:lineRule="auto"/>
        <w:ind w:right="23" w:firstLine="480" w:firstLineChars="200"/>
        <w:rPr>
          <w:rFonts w:ascii="宋体" w:hAnsi="宋体" w:cs="宋体"/>
          <w:color w:val="auto"/>
          <w:sz w:val="24"/>
          <w:highlight w:val="none"/>
        </w:rPr>
      </w:pPr>
      <w:r>
        <w:rPr>
          <w:rFonts w:hint="eastAsia" w:ascii="宋体" w:hAnsi="宋体" w:cs="宋体"/>
          <w:color w:val="auto"/>
          <w:sz w:val="24"/>
        </w:rPr>
        <w:t>服务方接到故障通知电话后，应认真进行故障分析判定等准备工作，</w:t>
      </w:r>
      <w:r>
        <w:rPr>
          <w:rFonts w:hint="eastAsia" w:ascii="宋体" w:hAnsi="宋体" w:cs="宋体"/>
          <w:color w:val="auto"/>
          <w:sz w:val="24"/>
          <w:highlight w:val="none"/>
        </w:rPr>
        <w:t>15分钟之内做出响应，</w:t>
      </w:r>
      <w:r>
        <w:rPr>
          <w:rFonts w:hint="eastAsia" w:ascii="宋体" w:hAnsi="宋体" w:cs="宋体"/>
          <w:color w:val="auto"/>
          <w:sz w:val="24"/>
          <w:highlight w:val="none"/>
          <w:lang w:val="en-US" w:eastAsia="zh-CN"/>
        </w:rPr>
        <w:t>根据故障等级在规定时间内</w:t>
      </w:r>
      <w:r>
        <w:rPr>
          <w:rFonts w:hint="eastAsia" w:ascii="宋体" w:hAnsi="宋体" w:cs="宋体"/>
          <w:color w:val="auto"/>
          <w:sz w:val="24"/>
          <w:highlight w:val="none"/>
        </w:rPr>
        <w:t xml:space="preserve">赶赴现场提供现场服务。 </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针对</w:t>
      </w:r>
      <w:r>
        <w:rPr>
          <w:rFonts w:hint="eastAsia" w:ascii="宋体" w:hAnsi="宋体" w:cs="宋体"/>
          <w:sz w:val="24"/>
          <w:lang w:eastAsia="zh-CN"/>
        </w:rPr>
        <w:t>采购人</w:t>
      </w:r>
      <w:r>
        <w:rPr>
          <w:rFonts w:hint="eastAsia" w:ascii="宋体" w:hAnsi="宋体" w:cs="宋体"/>
          <w:sz w:val="24"/>
        </w:rPr>
        <w:t>设备具体应用环境及业务要求，制定出设备在遇到重大故障时的应急处理预案，提出切实可行的备份切换方案及措施，确保生产业务能在最短时间内恢复正常。</w:t>
      </w:r>
    </w:p>
    <w:p>
      <w:pPr>
        <w:tabs>
          <w:tab w:val="left" w:pos="8280"/>
        </w:tabs>
        <w:autoSpaceDE w:val="0"/>
        <w:autoSpaceDN w:val="0"/>
        <w:adjustRightInd w:val="0"/>
        <w:spacing w:line="360" w:lineRule="auto"/>
        <w:ind w:right="23" w:firstLine="480" w:firstLineChars="200"/>
        <w:rPr>
          <w:rFonts w:hint="eastAsia" w:ascii="宋体" w:hAnsi="宋体" w:eastAsia="宋体" w:cs="宋体"/>
          <w:sz w:val="24"/>
          <w:highlight w:val="yellow"/>
          <w:lang w:eastAsia="zh-CN"/>
        </w:rPr>
      </w:pPr>
      <w:r>
        <w:rPr>
          <w:rFonts w:hint="eastAsia" w:ascii="宋体" w:hAnsi="宋体" w:cs="宋体"/>
          <w:sz w:val="24"/>
        </w:rPr>
        <w:t>当有故障器件需要更换时，须提供同品牌同型号同容量的替换上</w:t>
      </w:r>
      <w:r>
        <w:rPr>
          <w:rFonts w:hint="eastAsia" w:ascii="宋体" w:hAnsi="宋体" w:cs="宋体"/>
          <w:sz w:val="24"/>
          <w:lang w:eastAsia="zh-CN"/>
        </w:rPr>
        <w:t>。</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rPr>
        <w:t>故障处理完毕7个工作日内，维保公司提供“故障分析报告”和“故障处理报告”，并签字盖印章，提交信息中心备案。</w:t>
      </w:r>
    </w:p>
    <w:p>
      <w:pPr>
        <w:tabs>
          <w:tab w:val="left" w:pos="8280"/>
        </w:tabs>
        <w:autoSpaceDE w:val="0"/>
        <w:autoSpaceDN w:val="0"/>
        <w:adjustRightInd w:val="0"/>
        <w:spacing w:line="360" w:lineRule="auto"/>
        <w:ind w:right="23"/>
        <w:rPr>
          <w:rFonts w:hint="eastAsia" w:ascii="宋体" w:hAnsi="宋体" w:cs="宋体"/>
          <w:b/>
          <w:bCs/>
          <w:sz w:val="24"/>
        </w:rPr>
      </w:pPr>
      <w:r>
        <w:rPr>
          <w:rFonts w:hint="eastAsia" w:ascii="宋体" w:hAnsi="宋体" w:cs="宋体"/>
          <w:b/>
          <w:bCs/>
          <w:sz w:val="24"/>
        </w:rPr>
        <w:t>3.</w:t>
      </w:r>
      <w:r>
        <w:rPr>
          <w:rFonts w:hint="eastAsia" w:ascii="宋体" w:hAnsi="宋体" w:cs="宋体"/>
          <w:b/>
          <w:bCs/>
          <w:sz w:val="24"/>
          <w:lang w:val="en-US" w:eastAsia="zh-CN"/>
        </w:rPr>
        <w:t>4</w:t>
      </w:r>
      <w:r>
        <w:rPr>
          <w:rFonts w:hint="eastAsia" w:ascii="宋体" w:hAnsi="宋体" w:cs="宋体"/>
          <w:b/>
          <w:bCs/>
          <w:sz w:val="24"/>
        </w:rPr>
        <w:t xml:space="preserve"> 备品备件服务</w:t>
      </w:r>
    </w:p>
    <w:p>
      <w:pPr>
        <w:tabs>
          <w:tab w:val="left" w:pos="8280"/>
        </w:tabs>
        <w:autoSpaceDE w:val="0"/>
        <w:autoSpaceDN w:val="0"/>
        <w:adjustRightInd w:val="0"/>
        <w:spacing w:line="360" w:lineRule="auto"/>
        <w:ind w:right="23" w:firstLine="480" w:firstLineChars="200"/>
        <w:rPr>
          <w:rFonts w:ascii="宋体" w:hAnsi="宋体" w:cs="宋体"/>
          <w:sz w:val="24"/>
        </w:rPr>
      </w:pPr>
      <w:r>
        <w:rPr>
          <w:rFonts w:hint="eastAsia" w:ascii="宋体" w:hAnsi="宋体" w:cs="宋体"/>
          <w:sz w:val="24"/>
          <w:highlight w:val="none"/>
          <w:lang w:eastAsia="zh-CN"/>
        </w:rPr>
        <w:t>供应商</w:t>
      </w:r>
      <w:r>
        <w:rPr>
          <w:rFonts w:hint="eastAsia" w:ascii="宋体" w:hAnsi="宋体" w:cs="宋体"/>
          <w:sz w:val="24"/>
          <w:highlight w:val="none"/>
        </w:rPr>
        <w:t>拥有自主的备件库，并提供备件库地址</w:t>
      </w:r>
      <w:r>
        <w:rPr>
          <w:rFonts w:hint="eastAsia" w:ascii="宋体" w:hAnsi="宋体" w:cs="宋体"/>
          <w:sz w:val="24"/>
        </w:rPr>
        <w:t>。当发生严重故障时，备件送达台州公共资源交易中心机房现场时间不能超过4小时。根据所有可能发生的硬件故障，提供完整备件库，第一时间提供备件更换，并及时补充备件库。</w:t>
      </w:r>
    </w:p>
    <w:p>
      <w:pPr>
        <w:tabs>
          <w:tab w:val="left" w:pos="8280"/>
        </w:tabs>
        <w:autoSpaceDE w:val="0"/>
        <w:autoSpaceDN w:val="0"/>
        <w:adjustRightInd w:val="0"/>
        <w:spacing w:line="360" w:lineRule="auto"/>
        <w:ind w:right="23"/>
        <w:rPr>
          <w:rFonts w:hint="eastAsia" w:ascii="宋体" w:hAnsi="宋体" w:cs="宋体"/>
          <w:b/>
          <w:bCs/>
          <w:sz w:val="24"/>
        </w:rPr>
      </w:pPr>
      <w:r>
        <w:rPr>
          <w:rFonts w:hint="eastAsia" w:ascii="宋体" w:hAnsi="宋体" w:cs="宋体"/>
          <w:b/>
          <w:bCs/>
          <w:sz w:val="24"/>
        </w:rPr>
        <w:t>3.</w:t>
      </w:r>
      <w:r>
        <w:rPr>
          <w:rFonts w:hint="eastAsia" w:ascii="宋体" w:hAnsi="宋体" w:cs="宋体"/>
          <w:b/>
          <w:bCs/>
          <w:sz w:val="24"/>
          <w:lang w:val="en-US" w:eastAsia="zh-CN"/>
        </w:rPr>
        <w:t>5</w:t>
      </w:r>
      <w:r>
        <w:rPr>
          <w:rFonts w:hint="eastAsia" w:ascii="宋体" w:hAnsi="宋体" w:cs="宋体"/>
          <w:b/>
          <w:bCs/>
          <w:sz w:val="24"/>
        </w:rPr>
        <w:t xml:space="preserve"> 特征库升级</w:t>
      </w:r>
    </w:p>
    <w:p>
      <w:pPr>
        <w:tabs>
          <w:tab w:val="left" w:pos="8280"/>
        </w:tabs>
        <w:autoSpaceDE w:val="0"/>
        <w:autoSpaceDN w:val="0"/>
        <w:adjustRightInd w:val="0"/>
        <w:spacing w:line="360" w:lineRule="auto"/>
        <w:ind w:right="23" w:firstLine="480" w:firstLineChars="200"/>
        <w:rPr>
          <w:rFonts w:hint="eastAsia" w:eastAsia="宋体"/>
          <w:lang w:eastAsia="zh-CN"/>
        </w:rPr>
      </w:pPr>
      <w:r>
        <w:rPr>
          <w:rFonts w:hint="eastAsia" w:ascii="宋体" w:hAnsi="宋体" w:cs="宋体"/>
          <w:sz w:val="24"/>
        </w:rPr>
        <w:t>提供以</w:t>
      </w:r>
      <w:r>
        <w:rPr>
          <w:rFonts w:hint="eastAsia" w:ascii="宋体" w:hAnsi="宋体" w:cs="宋体"/>
          <w:sz w:val="24"/>
          <w:lang w:val="en-US" w:eastAsia="zh-CN"/>
        </w:rPr>
        <w:t>下</w:t>
      </w:r>
      <w:r>
        <w:rPr>
          <w:rFonts w:hint="eastAsia" w:ascii="宋体" w:hAnsi="宋体" w:cs="宋体"/>
          <w:sz w:val="24"/>
        </w:rPr>
        <w:t>设备特征库或病毒库的升级服务</w:t>
      </w:r>
      <w:r>
        <w:rPr>
          <w:rFonts w:hint="eastAsia" w:ascii="宋体" w:hAnsi="宋体" w:cs="宋体"/>
          <w:sz w:val="24"/>
          <w:lang w:eastAsia="zh-CN"/>
        </w:rPr>
        <w:t>：</w:t>
      </w:r>
    </w:p>
    <w:tbl>
      <w:tblPr>
        <w:tblStyle w:val="19"/>
        <w:tblW w:w="7054" w:type="dxa"/>
        <w:jc w:val="center"/>
        <w:tblLayout w:type="fixed"/>
        <w:tblCellMar>
          <w:top w:w="0" w:type="dxa"/>
          <w:left w:w="108" w:type="dxa"/>
          <w:bottom w:w="0" w:type="dxa"/>
          <w:right w:w="108" w:type="dxa"/>
        </w:tblCellMar>
      </w:tblPr>
      <w:tblGrid>
        <w:gridCol w:w="1115"/>
        <w:gridCol w:w="1970"/>
        <w:gridCol w:w="2693"/>
        <w:gridCol w:w="1276"/>
      </w:tblGrid>
      <w:tr>
        <w:tblPrEx>
          <w:tblCellMar>
            <w:top w:w="0" w:type="dxa"/>
            <w:left w:w="108" w:type="dxa"/>
            <w:bottom w:w="0" w:type="dxa"/>
            <w:right w:w="108" w:type="dxa"/>
          </w:tblCellMar>
        </w:tblPrEx>
        <w:trPr>
          <w:trHeight w:val="600" w:hRule="atLeast"/>
          <w:jc w:val="center"/>
        </w:trPr>
        <w:tc>
          <w:tcPr>
            <w:tcW w:w="11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b/>
                <w:bCs/>
                <w:sz w:val="24"/>
              </w:rPr>
            </w:pPr>
            <w:r>
              <w:rPr>
                <w:rFonts w:hint="eastAsia" w:ascii="宋体" w:hAnsi="宋体"/>
                <w:b/>
                <w:bCs/>
                <w:sz w:val="24"/>
              </w:rPr>
              <w:t>序号</w:t>
            </w:r>
          </w:p>
        </w:tc>
        <w:tc>
          <w:tcPr>
            <w:tcW w:w="19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uto"/>
              <w:jc w:val="center"/>
              <w:rPr>
                <w:rFonts w:ascii="宋体" w:hAnsi="宋体"/>
                <w:b/>
                <w:bCs/>
                <w:sz w:val="24"/>
              </w:rPr>
            </w:pPr>
            <w:r>
              <w:rPr>
                <w:rFonts w:hint="eastAsia" w:ascii="宋体" w:hAnsi="宋体"/>
                <w:b/>
                <w:bCs/>
                <w:sz w:val="24"/>
              </w:rPr>
              <w:t>设备类型</w:t>
            </w:r>
          </w:p>
        </w:tc>
        <w:tc>
          <w:tcPr>
            <w:tcW w:w="2693"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jc w:val="center"/>
              <w:rPr>
                <w:rFonts w:ascii="宋体" w:hAnsi="宋体"/>
                <w:b/>
                <w:bCs/>
                <w:sz w:val="24"/>
              </w:rPr>
            </w:pPr>
            <w:r>
              <w:rPr>
                <w:rFonts w:hint="eastAsia" w:ascii="宋体" w:hAnsi="宋体"/>
                <w:b/>
                <w:bCs/>
                <w:sz w:val="24"/>
              </w:rPr>
              <w:t>品牌型号</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spacing w:line="360" w:lineRule="auto"/>
              <w:rPr>
                <w:rFonts w:ascii="宋体" w:hAnsi="宋体"/>
                <w:b/>
                <w:bCs/>
                <w:sz w:val="24"/>
              </w:rPr>
            </w:pPr>
            <w:r>
              <w:rPr>
                <w:rFonts w:hint="eastAsia" w:ascii="宋体" w:hAnsi="宋体"/>
                <w:b/>
                <w:bCs/>
                <w:sz w:val="24"/>
              </w:rPr>
              <w:t>数量</w:t>
            </w:r>
          </w:p>
        </w:tc>
      </w:tr>
      <w:tr>
        <w:tblPrEx>
          <w:tblCellMar>
            <w:top w:w="0" w:type="dxa"/>
            <w:left w:w="108" w:type="dxa"/>
            <w:bottom w:w="0" w:type="dxa"/>
            <w:right w:w="108" w:type="dxa"/>
          </w:tblCellMar>
        </w:tblPrEx>
        <w:trPr>
          <w:trHeight w:val="491"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1</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防火墙</w:t>
            </w:r>
          </w:p>
        </w:tc>
        <w:tc>
          <w:tcPr>
            <w:tcW w:w="269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天融信TG-51131</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1</w:t>
            </w:r>
          </w:p>
        </w:tc>
      </w:tr>
      <w:tr>
        <w:tblPrEx>
          <w:tblCellMar>
            <w:top w:w="0" w:type="dxa"/>
            <w:left w:w="108" w:type="dxa"/>
            <w:bottom w:w="0" w:type="dxa"/>
            <w:right w:w="108" w:type="dxa"/>
          </w:tblCellMar>
        </w:tblPrEx>
        <w:trPr>
          <w:trHeight w:val="552" w:hRule="atLeast"/>
          <w:jc w:val="center"/>
        </w:trPr>
        <w:tc>
          <w:tcPr>
            <w:tcW w:w="111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2</w:t>
            </w:r>
          </w:p>
        </w:tc>
        <w:tc>
          <w:tcPr>
            <w:tcW w:w="197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IPS入侵防御</w:t>
            </w:r>
          </w:p>
        </w:tc>
        <w:tc>
          <w:tcPr>
            <w:tcW w:w="2693" w:type="dxa"/>
            <w:tcBorders>
              <w:top w:val="nil"/>
              <w:left w:val="nil"/>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天融信TopIDP 3000</w:t>
            </w:r>
          </w:p>
        </w:tc>
        <w:tc>
          <w:tcPr>
            <w:tcW w:w="1276" w:type="dxa"/>
            <w:tcBorders>
              <w:top w:val="nil"/>
              <w:left w:val="nil"/>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1</w:t>
            </w:r>
          </w:p>
        </w:tc>
      </w:tr>
      <w:tr>
        <w:tblPrEx>
          <w:tblCellMar>
            <w:top w:w="0" w:type="dxa"/>
            <w:left w:w="108" w:type="dxa"/>
            <w:bottom w:w="0" w:type="dxa"/>
            <w:right w:w="108" w:type="dxa"/>
          </w:tblCellMar>
        </w:tblPrEx>
        <w:trPr>
          <w:trHeight w:val="31"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ascii="宋体" w:hAnsi="宋体"/>
                <w:sz w:val="24"/>
              </w:rPr>
              <w:t>3</w:t>
            </w:r>
          </w:p>
        </w:tc>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防火墙</w:t>
            </w:r>
          </w:p>
        </w:tc>
        <w:tc>
          <w:tcPr>
            <w:tcW w:w="2693"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color w:val="000000"/>
                <w:sz w:val="24"/>
              </w:rPr>
              <w:t>安恒DAS-NGFW1600-NG</w:t>
            </w: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1</w:t>
            </w:r>
          </w:p>
        </w:tc>
      </w:tr>
      <w:tr>
        <w:tblPrEx>
          <w:tblCellMar>
            <w:top w:w="0" w:type="dxa"/>
            <w:left w:w="108" w:type="dxa"/>
            <w:bottom w:w="0" w:type="dxa"/>
            <w:right w:w="108" w:type="dxa"/>
          </w:tblCellMar>
        </w:tblPrEx>
        <w:trPr>
          <w:trHeight w:val="445"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rPr>
            </w:pPr>
            <w:r>
              <w:rPr>
                <w:rFonts w:ascii="宋体" w:hAnsi="宋体"/>
                <w:sz w:val="24"/>
              </w:rPr>
              <w:t>4</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防病毒软件</w:t>
            </w:r>
          </w:p>
        </w:tc>
        <w:tc>
          <w:tcPr>
            <w:tcW w:w="269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cs="宋体"/>
                <w:sz w:val="24"/>
              </w:rPr>
              <w:t>瑞星企业版</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1</w:t>
            </w:r>
          </w:p>
        </w:tc>
      </w:tr>
      <w:tr>
        <w:tblPrEx>
          <w:tblCellMar>
            <w:top w:w="0" w:type="dxa"/>
            <w:left w:w="108" w:type="dxa"/>
            <w:bottom w:w="0" w:type="dxa"/>
            <w:right w:w="108" w:type="dxa"/>
          </w:tblCellMar>
        </w:tblPrEx>
        <w:trPr>
          <w:trHeight w:val="445"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rPr>
            </w:pPr>
            <w:r>
              <w:rPr>
                <w:rFonts w:ascii="宋体" w:hAnsi="宋体"/>
                <w:sz w:val="24"/>
              </w:rPr>
              <w:t>5</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cs="宋体"/>
                <w:sz w:val="24"/>
              </w:rPr>
              <w:t>抗D</w:t>
            </w:r>
            <w:r>
              <w:rPr>
                <w:rFonts w:ascii="宋体" w:hAnsi="宋体" w:cs="宋体"/>
                <w:sz w:val="24"/>
              </w:rPr>
              <w:t>DOS</w:t>
            </w:r>
            <w:r>
              <w:rPr>
                <w:rFonts w:hint="eastAsia" w:ascii="宋体" w:hAnsi="宋体" w:cs="宋体"/>
                <w:sz w:val="24"/>
              </w:rPr>
              <w:t>设备</w:t>
            </w:r>
          </w:p>
        </w:tc>
        <w:tc>
          <w:tcPr>
            <w:tcW w:w="2693" w:type="dxa"/>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sz w:val="24"/>
              </w:rPr>
            </w:pPr>
            <w:r>
              <w:rPr>
                <w:rFonts w:hint="eastAsia" w:ascii="宋体" w:hAnsi="宋体"/>
                <w:sz w:val="24"/>
              </w:rPr>
              <w:t>安恒D</w:t>
            </w:r>
            <w:r>
              <w:rPr>
                <w:rFonts w:ascii="宋体" w:hAnsi="宋体"/>
                <w:sz w:val="24"/>
              </w:rPr>
              <w:t>AS-DDoS-2000</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1</w:t>
            </w:r>
          </w:p>
        </w:tc>
      </w:tr>
      <w:tr>
        <w:tblPrEx>
          <w:tblCellMar>
            <w:top w:w="0" w:type="dxa"/>
            <w:left w:w="108" w:type="dxa"/>
            <w:bottom w:w="0" w:type="dxa"/>
            <w:right w:w="108" w:type="dxa"/>
          </w:tblCellMar>
        </w:tblPrEx>
        <w:trPr>
          <w:trHeight w:val="445"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rPr>
            </w:pPr>
            <w:r>
              <w:rPr>
                <w:rFonts w:ascii="宋体" w:hAnsi="宋体"/>
                <w:sz w:val="24"/>
              </w:rPr>
              <w:t>6</w:t>
            </w:r>
          </w:p>
        </w:tc>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A</w:t>
            </w:r>
            <w:r>
              <w:rPr>
                <w:rFonts w:ascii="宋体" w:hAnsi="宋体"/>
                <w:sz w:val="24"/>
              </w:rPr>
              <w:t>PT</w:t>
            </w:r>
          </w:p>
        </w:tc>
        <w:tc>
          <w:tcPr>
            <w:tcW w:w="269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安恒D</w:t>
            </w:r>
            <w:r>
              <w:rPr>
                <w:rFonts w:ascii="宋体" w:hAnsi="宋体"/>
                <w:sz w:val="24"/>
              </w:rPr>
              <w:t>AS-APT-500</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sz w:val="24"/>
              </w:rPr>
            </w:pPr>
            <w:r>
              <w:rPr>
                <w:rFonts w:hint="eastAsia" w:ascii="宋体" w:hAnsi="宋体"/>
                <w:sz w:val="24"/>
              </w:rPr>
              <w:t>1</w:t>
            </w:r>
          </w:p>
        </w:tc>
      </w:tr>
    </w:tbl>
    <w:p>
      <w:pPr>
        <w:tabs>
          <w:tab w:val="left" w:pos="8280"/>
        </w:tabs>
        <w:autoSpaceDE w:val="0"/>
        <w:autoSpaceDN w:val="0"/>
        <w:adjustRightInd w:val="0"/>
        <w:spacing w:line="360" w:lineRule="auto"/>
        <w:ind w:right="23"/>
        <w:rPr>
          <w:rFonts w:hint="eastAsia" w:ascii="宋体" w:hAnsi="宋体" w:cs="宋体"/>
          <w:b/>
          <w:bCs/>
          <w:sz w:val="24"/>
        </w:rPr>
      </w:pPr>
      <w:r>
        <w:rPr>
          <w:rFonts w:hint="eastAsia" w:ascii="宋体" w:hAnsi="宋体" w:cs="宋体"/>
          <w:b/>
          <w:bCs/>
          <w:sz w:val="24"/>
        </w:rPr>
        <w:t>3.</w:t>
      </w:r>
      <w:r>
        <w:rPr>
          <w:rFonts w:hint="eastAsia" w:ascii="宋体" w:hAnsi="宋体" w:cs="宋体"/>
          <w:b/>
          <w:bCs/>
          <w:sz w:val="24"/>
          <w:lang w:val="en-US" w:eastAsia="zh-CN"/>
        </w:rPr>
        <w:t xml:space="preserve">6 </w:t>
      </w:r>
      <w:r>
        <w:rPr>
          <w:rFonts w:hint="eastAsia" w:ascii="宋体" w:hAnsi="宋体" w:cs="宋体"/>
          <w:b/>
          <w:bCs/>
          <w:sz w:val="24"/>
        </w:rPr>
        <w:t>安全服务（不少于1年四次）</w:t>
      </w:r>
    </w:p>
    <w:tbl>
      <w:tblPr>
        <w:tblStyle w:val="19"/>
        <w:tblW w:w="829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704" w:type="dxa"/>
            <w:shd w:val="clear" w:color="auto" w:fill="auto"/>
            <w:vAlign w:val="center"/>
          </w:tcPr>
          <w:p>
            <w:pPr>
              <w:widowControl/>
              <w:spacing w:line="360" w:lineRule="auto"/>
              <w:rPr>
                <w:rFonts w:ascii="宋体" w:hAnsi="宋体" w:cs="宋体"/>
                <w:b/>
                <w:bCs/>
                <w:color w:val="000000"/>
                <w:kern w:val="0"/>
                <w:sz w:val="24"/>
              </w:rPr>
            </w:pPr>
            <w:r>
              <w:rPr>
                <w:rFonts w:hint="eastAsia" w:ascii="宋体" w:hAnsi="宋体" w:cs="宋体"/>
                <w:b/>
                <w:bCs/>
                <w:color w:val="000000"/>
                <w:kern w:val="0"/>
                <w:sz w:val="24"/>
              </w:rPr>
              <w:t>安全服务名称</w:t>
            </w:r>
          </w:p>
        </w:tc>
        <w:tc>
          <w:tcPr>
            <w:tcW w:w="6586" w:type="dxa"/>
            <w:shd w:val="clear" w:color="auto" w:fill="auto"/>
            <w:vAlign w:val="center"/>
          </w:tcPr>
          <w:p>
            <w:pPr>
              <w:widowControl/>
              <w:spacing w:line="360" w:lineRule="auto"/>
              <w:jc w:val="center"/>
              <w:rPr>
                <w:rFonts w:ascii="宋体" w:hAnsi="宋体" w:cs="宋体"/>
                <w:b/>
                <w:bCs/>
                <w:color w:val="000000"/>
                <w:kern w:val="0"/>
                <w:sz w:val="24"/>
              </w:rPr>
            </w:pPr>
            <w:r>
              <w:rPr>
                <w:rFonts w:hint="eastAsia" w:ascii="宋体" w:hAnsi="宋体" w:cs="宋体"/>
                <w:b/>
                <w:bCs/>
                <w:color w:val="000000"/>
                <w:kern w:val="0"/>
                <w:sz w:val="24"/>
              </w:rPr>
              <w:t>安全服务内容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4" w:type="dxa"/>
            <w:shd w:val="clear" w:color="auto" w:fill="auto"/>
            <w:vAlign w:val="center"/>
          </w:tcPr>
          <w:p>
            <w:pPr>
              <w:spacing w:line="360" w:lineRule="auto"/>
              <w:rPr>
                <w:rFonts w:ascii="宋体" w:hAnsi="宋体"/>
                <w:sz w:val="24"/>
              </w:rPr>
            </w:pPr>
            <w:r>
              <w:rPr>
                <w:rFonts w:hint="eastAsia" w:ascii="宋体" w:hAnsi="宋体"/>
                <w:sz w:val="24"/>
              </w:rPr>
              <w:t>漏洞扫描</w:t>
            </w:r>
          </w:p>
        </w:tc>
        <w:tc>
          <w:tcPr>
            <w:tcW w:w="6586" w:type="dxa"/>
            <w:shd w:val="clear" w:color="auto" w:fill="auto"/>
            <w:vAlign w:val="center"/>
          </w:tcPr>
          <w:p>
            <w:pPr>
              <w:spacing w:line="360" w:lineRule="auto"/>
              <w:rPr>
                <w:rFonts w:ascii="宋体" w:hAnsi="宋体"/>
                <w:sz w:val="24"/>
              </w:rPr>
            </w:pPr>
            <w:r>
              <w:rPr>
                <w:rFonts w:ascii="宋体" w:hAnsi="宋体"/>
                <w:sz w:val="24"/>
              </w:rPr>
              <w:t>采用漏洞扫描工具对服务范围内各种软硬件设备进行网络层、</w:t>
            </w:r>
            <w:r>
              <w:rPr>
                <w:rFonts w:hint="eastAsia" w:ascii="宋体" w:hAnsi="宋体"/>
                <w:sz w:val="24"/>
              </w:rPr>
              <w:t>操作</w:t>
            </w:r>
            <w:r>
              <w:rPr>
                <w:rFonts w:ascii="宋体" w:hAnsi="宋体"/>
                <w:sz w:val="24"/>
              </w:rPr>
              <w:t>系统、数据库、应用层面的全面扫描与分析</w:t>
            </w:r>
            <w:r>
              <w:rPr>
                <w:rFonts w:hint="eastAsia" w:ascii="宋体" w:hAnsi="宋体"/>
                <w:sz w:val="24"/>
              </w:rPr>
              <w:t>，提供漏洞扫描报告和安全加固建议报</w:t>
            </w:r>
            <w:r>
              <w:rPr>
                <w:rFonts w:hint="eastAsia" w:ascii="宋体" w:hAnsi="宋体"/>
                <w:sz w:val="24"/>
                <w:highlight w:val="none"/>
              </w:rPr>
              <w:t>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704" w:type="dxa"/>
            <w:shd w:val="clear" w:color="auto" w:fill="auto"/>
            <w:vAlign w:val="center"/>
          </w:tcPr>
          <w:p>
            <w:pPr>
              <w:spacing w:line="360" w:lineRule="auto"/>
              <w:rPr>
                <w:rFonts w:ascii="宋体" w:hAnsi="宋体"/>
                <w:sz w:val="24"/>
              </w:rPr>
            </w:pPr>
            <w:r>
              <w:rPr>
                <w:rFonts w:hint="eastAsia" w:ascii="宋体" w:hAnsi="宋体"/>
                <w:sz w:val="24"/>
              </w:rPr>
              <w:t>渗透测试</w:t>
            </w:r>
          </w:p>
        </w:tc>
        <w:tc>
          <w:tcPr>
            <w:tcW w:w="6586" w:type="dxa"/>
            <w:shd w:val="clear" w:color="auto" w:fill="auto"/>
            <w:vAlign w:val="center"/>
          </w:tcPr>
          <w:p>
            <w:pPr>
              <w:spacing w:line="360" w:lineRule="auto"/>
              <w:rPr>
                <w:rFonts w:hint="eastAsia" w:ascii="宋体" w:hAnsi="宋体" w:eastAsia="宋体"/>
                <w:sz w:val="24"/>
                <w:lang w:eastAsia="zh-CN"/>
              </w:rPr>
            </w:pPr>
            <w:r>
              <w:rPr>
                <w:rFonts w:hint="eastAsia" w:ascii="宋体" w:hAnsi="宋体"/>
                <w:sz w:val="24"/>
              </w:rPr>
              <w:t>主要是模拟黑客的攻击方法对系统和网络进行非破坏性质的攻击性测试，目的是侵入系统，获取系统控制权并将入侵的过程和细节产生报告给用户，由此证实用户系统所存在的安全威胁和风险</w:t>
            </w:r>
            <w:r>
              <w:rPr>
                <w:rFonts w:hint="eastAsia"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704" w:type="dxa"/>
            <w:shd w:val="clear" w:color="auto" w:fill="auto"/>
            <w:vAlign w:val="center"/>
          </w:tcPr>
          <w:p>
            <w:pPr>
              <w:spacing w:line="360" w:lineRule="auto"/>
              <w:rPr>
                <w:rFonts w:ascii="宋体" w:hAnsi="宋体"/>
                <w:sz w:val="24"/>
              </w:rPr>
            </w:pPr>
            <w:r>
              <w:rPr>
                <w:rFonts w:hint="eastAsia" w:ascii="宋体" w:hAnsi="宋体"/>
                <w:sz w:val="24"/>
              </w:rPr>
              <w:t>协助加固</w:t>
            </w:r>
          </w:p>
        </w:tc>
        <w:tc>
          <w:tcPr>
            <w:tcW w:w="6586" w:type="dxa"/>
            <w:shd w:val="clear" w:color="auto" w:fill="auto"/>
            <w:vAlign w:val="center"/>
          </w:tcPr>
          <w:p>
            <w:pPr>
              <w:spacing w:line="360" w:lineRule="auto"/>
              <w:rPr>
                <w:rFonts w:ascii="宋体" w:hAnsi="宋体"/>
                <w:sz w:val="24"/>
              </w:rPr>
            </w:pPr>
            <w:r>
              <w:rPr>
                <w:rFonts w:hint="eastAsia" w:ascii="宋体" w:hAnsi="宋体"/>
                <w:sz w:val="24"/>
              </w:rPr>
              <w:t>针对巡检和评估过程中存在安全脆弱点的网络架构、网络设备、操作系统、应用系统和数据库系统，根据安全加固工程师制定的安全加固方案进行现场安全加固，并提供加固报告。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04" w:type="dxa"/>
            <w:shd w:val="clear" w:color="auto" w:fill="auto"/>
            <w:vAlign w:val="center"/>
          </w:tcPr>
          <w:p>
            <w:pPr>
              <w:spacing w:line="360" w:lineRule="auto"/>
              <w:rPr>
                <w:rFonts w:ascii="宋体" w:hAnsi="宋体"/>
                <w:sz w:val="24"/>
              </w:rPr>
            </w:pPr>
            <w:r>
              <w:rPr>
                <w:rFonts w:hint="eastAsia" w:ascii="宋体" w:hAnsi="宋体"/>
                <w:sz w:val="24"/>
              </w:rPr>
              <w:t>安全巡检</w:t>
            </w:r>
          </w:p>
        </w:tc>
        <w:tc>
          <w:tcPr>
            <w:tcW w:w="6586" w:type="dxa"/>
            <w:shd w:val="clear" w:color="auto" w:fill="auto"/>
            <w:vAlign w:val="center"/>
          </w:tcPr>
          <w:p>
            <w:pPr>
              <w:spacing w:line="360" w:lineRule="auto"/>
              <w:rPr>
                <w:rFonts w:ascii="宋体" w:hAnsi="宋体"/>
                <w:sz w:val="24"/>
              </w:rPr>
            </w:pPr>
            <w:r>
              <w:rPr>
                <w:rFonts w:hint="eastAsia" w:ascii="宋体" w:hAnsi="宋体"/>
                <w:sz w:val="24"/>
              </w:rPr>
              <w:t>对业务系统和数据库系统中包括网络设备、主机设备、安全设备进行定期现场安全巡检，掌握信息系统存在的安全隐患，及时落实修补措施，并提供巡检报告。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704" w:type="dxa"/>
            <w:shd w:val="clear" w:color="auto" w:fill="auto"/>
            <w:vAlign w:val="center"/>
          </w:tcPr>
          <w:p>
            <w:pPr>
              <w:spacing w:line="360" w:lineRule="auto"/>
              <w:rPr>
                <w:rFonts w:ascii="宋体" w:hAnsi="宋体"/>
                <w:sz w:val="24"/>
              </w:rPr>
            </w:pPr>
            <w:r>
              <w:rPr>
                <w:rFonts w:hint="eastAsia" w:ascii="宋体" w:hAnsi="宋体"/>
                <w:sz w:val="24"/>
              </w:rPr>
              <w:t>安全培训</w:t>
            </w:r>
          </w:p>
        </w:tc>
        <w:tc>
          <w:tcPr>
            <w:tcW w:w="6586" w:type="dxa"/>
            <w:shd w:val="clear" w:color="auto" w:fill="auto"/>
            <w:vAlign w:val="center"/>
          </w:tcPr>
          <w:p>
            <w:pPr>
              <w:spacing w:line="360" w:lineRule="auto"/>
              <w:rPr>
                <w:rFonts w:ascii="宋体" w:hAnsi="宋体"/>
                <w:sz w:val="24"/>
              </w:rPr>
            </w:pPr>
            <w:r>
              <w:rPr>
                <w:rFonts w:hint="eastAsia" w:ascii="宋体" w:hAnsi="宋体"/>
                <w:sz w:val="24"/>
              </w:rPr>
              <w:t>现场培训：产品培训及其他项目实施中必要的培训。</w:t>
            </w:r>
            <w:r>
              <w:rPr>
                <w:rFonts w:hint="eastAsia" w:ascii="宋体" w:hAnsi="宋体"/>
                <w:sz w:val="24"/>
              </w:rPr>
              <w:br w:type="textWrapping"/>
            </w:r>
            <w:r>
              <w:rPr>
                <w:rFonts w:hint="eastAsia" w:ascii="宋体" w:hAnsi="宋体"/>
                <w:sz w:val="24"/>
              </w:rPr>
              <w:t>集中培训：安全技能和安全意识培训，内容由</w:t>
            </w:r>
            <w:r>
              <w:rPr>
                <w:rFonts w:hint="eastAsia" w:ascii="宋体" w:hAnsi="宋体"/>
                <w:sz w:val="24"/>
                <w:lang w:val="en-US" w:eastAsia="zh-CN"/>
              </w:rPr>
              <w:t>采购人</w:t>
            </w:r>
            <w:r>
              <w:rPr>
                <w:rFonts w:hint="eastAsia" w:ascii="宋体" w:hAnsi="宋体"/>
                <w:sz w:val="24"/>
              </w:rPr>
              <w:t>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704" w:type="dxa"/>
            <w:shd w:val="clear" w:color="auto" w:fill="auto"/>
            <w:noWrap/>
            <w:vAlign w:val="center"/>
          </w:tcPr>
          <w:p>
            <w:pPr>
              <w:spacing w:line="360" w:lineRule="auto"/>
              <w:rPr>
                <w:rFonts w:ascii="宋体" w:hAnsi="宋体"/>
                <w:sz w:val="24"/>
              </w:rPr>
            </w:pPr>
            <w:r>
              <w:rPr>
                <w:rFonts w:hint="eastAsia" w:ascii="宋体" w:hAnsi="宋体"/>
                <w:sz w:val="24"/>
              </w:rPr>
              <w:t>应急响应</w:t>
            </w:r>
          </w:p>
        </w:tc>
        <w:tc>
          <w:tcPr>
            <w:tcW w:w="6586" w:type="dxa"/>
            <w:shd w:val="clear" w:color="auto" w:fill="auto"/>
            <w:vAlign w:val="center"/>
          </w:tcPr>
          <w:p>
            <w:pPr>
              <w:spacing w:line="360" w:lineRule="auto"/>
              <w:rPr>
                <w:rFonts w:ascii="宋体" w:hAnsi="宋体"/>
                <w:sz w:val="24"/>
              </w:rPr>
            </w:pPr>
            <w:r>
              <w:rPr>
                <w:rFonts w:hint="eastAsia" w:ascii="宋体" w:hAnsi="宋体"/>
                <w:sz w:val="24"/>
                <w:highlight w:val="none"/>
              </w:rPr>
              <w:t>在发生安全事件后，需要专业人</w:t>
            </w:r>
            <w:r>
              <w:rPr>
                <w:rFonts w:hint="eastAsia" w:ascii="宋体" w:hAnsi="宋体"/>
                <w:color w:val="auto"/>
                <w:sz w:val="24"/>
                <w:highlight w:val="none"/>
              </w:rPr>
              <w:t>员</w:t>
            </w:r>
            <w:r>
              <w:rPr>
                <w:rFonts w:hint="eastAsia" w:ascii="宋体" w:hAnsi="宋体"/>
                <w:color w:val="auto"/>
                <w:sz w:val="24"/>
                <w:highlight w:val="none"/>
                <w:lang w:val="en-US" w:eastAsia="zh-CN"/>
              </w:rPr>
              <w:t>在规定时间</w:t>
            </w:r>
            <w:r>
              <w:rPr>
                <w:rFonts w:hint="eastAsia" w:ascii="宋体" w:hAnsi="宋体"/>
                <w:color w:val="auto"/>
                <w:sz w:val="24"/>
                <w:highlight w:val="none"/>
              </w:rPr>
              <w:t>内到</w:t>
            </w:r>
            <w:r>
              <w:rPr>
                <w:rFonts w:hint="eastAsia" w:ascii="宋体" w:hAnsi="宋体"/>
                <w:sz w:val="24"/>
                <w:highlight w:val="none"/>
              </w:rPr>
              <w:t>达现场，进行7×24小时应急响应（演练）</w:t>
            </w:r>
            <w:r>
              <w:rPr>
                <w:rFonts w:hint="eastAsia" w:ascii="宋体" w:hAnsi="宋体"/>
                <w:sz w:val="24"/>
              </w:rPr>
              <w:t>，快速协助进行系统恢复，尽可能降低安全事件对系统的正常运营所造成的影响，同时对安全事件进行分析，查找事件原因，对其中存在的安全隐患进行规避。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704" w:type="dxa"/>
            <w:shd w:val="clear" w:color="auto" w:fill="auto"/>
            <w:noWrap/>
            <w:vAlign w:val="center"/>
          </w:tcPr>
          <w:p>
            <w:pPr>
              <w:spacing w:line="360" w:lineRule="auto"/>
              <w:rPr>
                <w:rFonts w:ascii="宋体" w:hAnsi="宋体"/>
                <w:sz w:val="24"/>
              </w:rPr>
            </w:pPr>
            <w:r>
              <w:rPr>
                <w:rFonts w:hint="eastAsia" w:ascii="宋体" w:hAnsi="宋体"/>
                <w:sz w:val="24"/>
              </w:rPr>
              <w:t xml:space="preserve">安全通告服务 </w:t>
            </w:r>
          </w:p>
        </w:tc>
        <w:tc>
          <w:tcPr>
            <w:tcW w:w="6586" w:type="dxa"/>
            <w:shd w:val="clear" w:color="auto" w:fill="auto"/>
            <w:vAlign w:val="center"/>
          </w:tcPr>
          <w:p>
            <w:pPr>
              <w:spacing w:line="360" w:lineRule="auto"/>
              <w:rPr>
                <w:rFonts w:ascii="宋体" w:hAnsi="宋体"/>
                <w:sz w:val="24"/>
              </w:rPr>
            </w:pPr>
            <w:r>
              <w:rPr>
                <w:rFonts w:hint="eastAsia" w:ascii="宋体" w:hAnsi="宋体"/>
                <w:sz w:val="24"/>
              </w:rPr>
              <w:t>及时提供符合客户实际情况的安全信息，包括最新的安全事件和相应的处理意见；服务期内不限次数。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704" w:type="dxa"/>
            <w:shd w:val="clear" w:color="auto" w:fill="auto"/>
            <w:noWrap/>
            <w:vAlign w:val="center"/>
          </w:tcPr>
          <w:p>
            <w:pPr>
              <w:spacing w:line="360" w:lineRule="auto"/>
              <w:rPr>
                <w:rFonts w:hint="eastAsia" w:ascii="宋体" w:hAnsi="宋体" w:eastAsia="宋体"/>
                <w:sz w:val="24"/>
                <w:lang w:val="en-US" w:eastAsia="zh-CN"/>
              </w:rPr>
            </w:pPr>
            <w:r>
              <w:rPr>
                <w:rFonts w:hint="eastAsia" w:ascii="宋体" w:hAnsi="宋体"/>
                <w:sz w:val="24"/>
                <w:lang w:val="en-US" w:eastAsia="zh-CN"/>
              </w:rPr>
              <w:t>安全值守</w:t>
            </w:r>
          </w:p>
        </w:tc>
        <w:tc>
          <w:tcPr>
            <w:tcW w:w="6586" w:type="dxa"/>
            <w:shd w:val="clear" w:color="auto" w:fill="auto"/>
            <w:vAlign w:val="center"/>
          </w:tcPr>
          <w:p>
            <w:pPr>
              <w:spacing w:line="360" w:lineRule="auto"/>
              <w:rPr>
                <w:rFonts w:hint="eastAsia" w:ascii="宋体" w:hAnsi="宋体"/>
                <w:sz w:val="24"/>
              </w:rPr>
            </w:pPr>
            <w:r>
              <w:rPr>
                <w:rFonts w:hint="eastAsia" w:ascii="宋体" w:hAnsi="宋体"/>
                <w:sz w:val="24"/>
              </w:rPr>
              <w:t>重要安全节点网络值守，如攻防演练和护网期间需提供CISP工程师和原厂攻防技术人员进行现场值守，要求不少于14人天原厂技术值守。</w:t>
            </w:r>
          </w:p>
        </w:tc>
      </w:tr>
    </w:tbl>
    <w:p>
      <w:pPr>
        <w:spacing w:line="360" w:lineRule="auto"/>
        <w:rPr>
          <w:rFonts w:ascii="宋体" w:hAnsi="宋体"/>
        </w:rPr>
      </w:pPr>
    </w:p>
    <w:p>
      <w:pPr>
        <w:tabs>
          <w:tab w:val="left" w:pos="8280"/>
        </w:tabs>
        <w:autoSpaceDE w:val="0"/>
        <w:autoSpaceDN w:val="0"/>
        <w:adjustRightInd w:val="0"/>
        <w:spacing w:line="360" w:lineRule="auto"/>
        <w:ind w:right="23"/>
        <w:rPr>
          <w:rFonts w:hint="eastAsia" w:ascii="宋体" w:hAnsi="宋体" w:cs="宋体"/>
          <w:b/>
          <w:bCs/>
          <w:sz w:val="24"/>
        </w:rPr>
      </w:pPr>
      <w:r>
        <w:rPr>
          <w:rFonts w:hint="eastAsia" w:ascii="宋体" w:hAnsi="宋体" w:cs="宋体"/>
          <w:b/>
          <w:bCs/>
          <w:sz w:val="24"/>
        </w:rPr>
        <w:t>3.</w:t>
      </w:r>
      <w:r>
        <w:rPr>
          <w:rFonts w:hint="eastAsia" w:ascii="宋体" w:hAnsi="宋体" w:cs="宋体"/>
          <w:b/>
          <w:bCs/>
          <w:sz w:val="24"/>
          <w:lang w:val="en-US" w:eastAsia="zh-CN"/>
        </w:rPr>
        <w:t>7</w:t>
      </w:r>
      <w:r>
        <w:rPr>
          <w:rFonts w:hint="eastAsia" w:ascii="宋体" w:hAnsi="宋体" w:cs="宋体"/>
          <w:b/>
          <w:bCs/>
          <w:sz w:val="24"/>
        </w:rPr>
        <w:t>备份软件服务</w:t>
      </w:r>
    </w:p>
    <w:p>
      <w:pPr>
        <w:tabs>
          <w:tab w:val="left" w:pos="8280"/>
        </w:tabs>
        <w:autoSpaceDE w:val="0"/>
        <w:autoSpaceDN w:val="0"/>
        <w:adjustRightInd w:val="0"/>
        <w:spacing w:line="360" w:lineRule="auto"/>
        <w:ind w:right="23"/>
        <w:rPr>
          <w:rFonts w:ascii="宋体" w:hAnsi="宋体" w:cs="宋体"/>
          <w:sz w:val="24"/>
        </w:rPr>
      </w:pPr>
      <w:r>
        <w:rPr>
          <w:rFonts w:hint="eastAsia" w:ascii="宋体" w:hAnsi="宋体" w:cs="宋体"/>
          <w:sz w:val="24"/>
        </w:rPr>
        <w:t>提供针对赛门铁克备份软件的备份服务，包括：</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1、</w:t>
      </w:r>
      <w:r>
        <w:rPr>
          <w:rFonts w:hint="eastAsia" w:ascii="宋体" w:hAnsi="宋体" w:cs="宋体"/>
          <w:sz w:val="24"/>
        </w:rPr>
        <w:t>提供备份系统软件技术支持服务；</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2、</w:t>
      </w:r>
      <w:r>
        <w:rPr>
          <w:rFonts w:hint="eastAsia" w:ascii="宋体" w:hAnsi="宋体" w:cs="宋体"/>
          <w:sz w:val="24"/>
        </w:rPr>
        <w:t>服务级别7*24，提供电话和现场支持，现场支持不限次数；</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3、</w:t>
      </w:r>
      <w:r>
        <w:rPr>
          <w:rFonts w:hint="eastAsia" w:ascii="宋体" w:hAnsi="宋体" w:cs="宋体"/>
          <w:sz w:val="24"/>
        </w:rPr>
        <w:t>每季度提供1次健康巡检；</w:t>
      </w:r>
    </w:p>
    <w:p>
      <w:pPr>
        <w:tabs>
          <w:tab w:val="left" w:pos="8280"/>
        </w:tabs>
        <w:autoSpaceDE w:val="0"/>
        <w:autoSpaceDN w:val="0"/>
        <w:adjustRightInd w:val="0"/>
        <w:spacing w:line="360" w:lineRule="auto"/>
        <w:ind w:right="23"/>
        <w:rPr>
          <w:rFonts w:hint="eastAsia" w:ascii="宋体" w:hAnsi="宋体" w:cs="宋体"/>
          <w:b/>
          <w:bCs/>
          <w:sz w:val="24"/>
        </w:rPr>
      </w:pPr>
      <w:r>
        <w:rPr>
          <w:rFonts w:hint="eastAsia" w:ascii="宋体" w:hAnsi="宋体" w:cs="宋体"/>
          <w:b/>
          <w:bCs/>
          <w:sz w:val="24"/>
        </w:rPr>
        <w:t>3.</w:t>
      </w:r>
      <w:r>
        <w:rPr>
          <w:rFonts w:hint="eastAsia" w:ascii="宋体" w:hAnsi="宋体" w:cs="宋体"/>
          <w:b/>
          <w:bCs/>
          <w:sz w:val="24"/>
          <w:lang w:val="en-US" w:eastAsia="zh-CN"/>
        </w:rPr>
        <w:t>8</w:t>
      </w:r>
      <w:r>
        <w:rPr>
          <w:rFonts w:hint="eastAsia" w:ascii="宋体" w:hAnsi="宋体" w:cs="宋体"/>
          <w:b/>
          <w:bCs/>
          <w:sz w:val="24"/>
        </w:rPr>
        <w:t xml:space="preserve"> 虚拟化服务</w:t>
      </w:r>
    </w:p>
    <w:p>
      <w:pPr>
        <w:tabs>
          <w:tab w:val="left" w:pos="8280"/>
        </w:tabs>
        <w:autoSpaceDE w:val="0"/>
        <w:autoSpaceDN w:val="0"/>
        <w:adjustRightInd w:val="0"/>
        <w:spacing w:line="360" w:lineRule="auto"/>
        <w:ind w:right="23"/>
        <w:rPr>
          <w:rFonts w:ascii="宋体" w:hAnsi="宋体" w:cs="宋体"/>
          <w:sz w:val="24"/>
        </w:rPr>
      </w:pPr>
      <w:r>
        <w:rPr>
          <w:rFonts w:hint="eastAsia" w:ascii="宋体" w:hAnsi="宋体" w:cs="宋体"/>
          <w:sz w:val="24"/>
        </w:rPr>
        <w:t>提供针对VMware vSphere 软件的维护服务，包括：</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1、</w:t>
      </w:r>
      <w:r>
        <w:rPr>
          <w:rFonts w:hint="eastAsia" w:ascii="宋体" w:hAnsi="宋体" w:cs="宋体"/>
          <w:sz w:val="24"/>
        </w:rPr>
        <w:t>提供VMware技术支持服务；</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2、</w:t>
      </w:r>
      <w:r>
        <w:rPr>
          <w:rFonts w:hint="eastAsia" w:ascii="宋体" w:hAnsi="宋体" w:cs="宋体"/>
          <w:sz w:val="24"/>
        </w:rPr>
        <w:t>服务级别7*24，提供电话和现场支持，现场支持不限次数；</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3、</w:t>
      </w:r>
      <w:r>
        <w:rPr>
          <w:rFonts w:hint="eastAsia" w:ascii="宋体" w:hAnsi="宋体" w:cs="宋体"/>
          <w:sz w:val="24"/>
        </w:rPr>
        <w:t>每季度提供1次健康巡检，查看资源利用率和系统事件；</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4、</w:t>
      </w:r>
      <w:r>
        <w:rPr>
          <w:rFonts w:hint="eastAsia" w:ascii="宋体" w:hAnsi="宋体" w:cs="宋体"/>
          <w:sz w:val="24"/>
        </w:rPr>
        <w:t>对VMWare虚拟化平台软件提供安装、配置、升级、打补丁、容量监控、性能优化、存在隐患问题分析等日常管理服务。</w:t>
      </w:r>
    </w:p>
    <w:p>
      <w:pPr>
        <w:pStyle w:val="25"/>
        <w:tabs>
          <w:tab w:val="left" w:pos="8280"/>
        </w:tabs>
        <w:autoSpaceDE w:val="0"/>
        <w:autoSpaceDN w:val="0"/>
        <w:adjustRightInd w:val="0"/>
        <w:spacing w:line="360" w:lineRule="auto"/>
        <w:ind w:right="23" w:firstLine="420" w:firstLineChars="0"/>
        <w:rPr>
          <w:rFonts w:ascii="宋体" w:hAnsi="宋体" w:cs="宋体"/>
          <w:sz w:val="24"/>
        </w:rPr>
      </w:pPr>
      <w:r>
        <w:rPr>
          <w:rFonts w:hint="eastAsia" w:ascii="宋体" w:hAnsi="宋体" w:cs="宋体"/>
          <w:sz w:val="24"/>
          <w:lang w:val="en-US" w:eastAsia="zh-CN"/>
        </w:rPr>
        <w:t>5、</w:t>
      </w:r>
      <w:r>
        <w:rPr>
          <w:rFonts w:hint="eastAsia" w:ascii="宋体" w:hAnsi="宋体" w:cs="宋体"/>
          <w:sz w:val="24"/>
        </w:rPr>
        <w:t>提供虚拟机的日常管理工作，包括虚拟机模板安装、虚拟机配置修改、虚拟机故障处理。</w:t>
      </w:r>
    </w:p>
    <w:p>
      <w:pPr>
        <w:tabs>
          <w:tab w:val="left" w:pos="8280"/>
        </w:tabs>
        <w:autoSpaceDE w:val="0"/>
        <w:autoSpaceDN w:val="0"/>
        <w:adjustRightInd w:val="0"/>
        <w:spacing w:line="360" w:lineRule="auto"/>
        <w:ind w:right="23"/>
        <w:rPr>
          <w:rFonts w:hint="eastAsia" w:ascii="宋体" w:hAnsi="宋体" w:cs="宋体"/>
          <w:b/>
          <w:bCs/>
          <w:sz w:val="24"/>
        </w:rPr>
      </w:pPr>
      <w:r>
        <w:rPr>
          <w:rFonts w:hint="eastAsia" w:ascii="宋体" w:hAnsi="宋体" w:cs="宋体"/>
          <w:b/>
          <w:bCs/>
          <w:sz w:val="24"/>
        </w:rPr>
        <w:t>3.</w:t>
      </w:r>
      <w:r>
        <w:rPr>
          <w:rFonts w:hint="eastAsia" w:ascii="宋体" w:hAnsi="宋体" w:cs="宋体"/>
          <w:b/>
          <w:bCs/>
          <w:sz w:val="24"/>
          <w:lang w:val="en-US" w:eastAsia="zh-CN"/>
        </w:rPr>
        <w:t xml:space="preserve">9 </w:t>
      </w:r>
      <w:r>
        <w:rPr>
          <w:rFonts w:hint="eastAsia" w:ascii="宋体" w:hAnsi="宋体" w:cs="宋体"/>
          <w:b/>
          <w:bCs/>
          <w:sz w:val="24"/>
        </w:rPr>
        <w:t>运维驻场服务</w:t>
      </w:r>
    </w:p>
    <w:p>
      <w:pPr>
        <w:spacing w:line="360" w:lineRule="auto"/>
        <w:rPr>
          <w:rFonts w:ascii="宋体" w:hAnsi="宋体" w:cs="宋体"/>
          <w:sz w:val="24"/>
        </w:rPr>
      </w:pPr>
      <w:r>
        <w:rPr>
          <w:rFonts w:hint="eastAsia" w:ascii="宋体" w:hAnsi="宋体" w:cs="宋体"/>
          <w:b w:val="0"/>
          <w:bCs/>
          <w:sz w:val="24"/>
          <w:lang w:val="en-US" w:eastAsia="zh-CN"/>
        </w:rPr>
        <w:t>1、</w:t>
      </w:r>
      <w:r>
        <w:rPr>
          <w:rFonts w:hint="eastAsia" w:ascii="宋体" w:hAnsi="宋体" w:cs="宋体"/>
          <w:b/>
          <w:sz w:val="24"/>
        </w:rPr>
        <w:t>▲</w:t>
      </w:r>
      <w:r>
        <w:rPr>
          <w:rFonts w:hint="eastAsia" w:ascii="宋体" w:hAnsi="宋体" w:cs="宋体"/>
          <w:sz w:val="24"/>
        </w:rPr>
        <w:t>驻点服务人员要求</w:t>
      </w:r>
      <w:r>
        <w:rPr>
          <w:rFonts w:hint="eastAsia" w:ascii="MS Mincho" w:hAnsi="MS Mincho" w:eastAsia="MS Mincho" w:cs="MS Mincho"/>
          <w:sz w:val="24"/>
        </w:rPr>
        <w:t> </w:t>
      </w:r>
    </w:p>
    <w:p>
      <w:pPr>
        <w:spacing w:line="360" w:lineRule="auto"/>
        <w:ind w:firstLine="420" w:firstLineChars="0"/>
        <w:rPr>
          <w:rFonts w:hint="eastAsia" w:ascii="宋体" w:hAnsi="宋体" w:eastAsia="宋体" w:cs="宋体"/>
          <w:sz w:val="24"/>
          <w:lang w:eastAsia="zh-CN"/>
        </w:rPr>
      </w:pPr>
      <w:r>
        <w:rPr>
          <w:rFonts w:hint="eastAsia" w:ascii="宋体" w:hAnsi="宋体" w:cs="宋体"/>
          <w:sz w:val="24"/>
        </w:rPr>
        <w:t>人数:1人，NE及以上资质认证，具有类似系统维护三年以上工作经验（提供驻场证明材料）</w:t>
      </w:r>
      <w:r>
        <w:rPr>
          <w:rFonts w:hint="eastAsia" w:ascii="宋体" w:hAnsi="宋体" w:cs="宋体"/>
          <w:sz w:val="24"/>
          <w:lang w:eastAsia="zh-CN"/>
        </w:rPr>
        <w:t>；</w:t>
      </w:r>
    </w:p>
    <w:p>
      <w:pPr>
        <w:spacing w:line="360" w:lineRule="auto"/>
        <w:ind w:firstLine="420" w:firstLineChars="0"/>
        <w:rPr>
          <w:rFonts w:ascii="宋体" w:hAnsi="宋体" w:cs="宋体"/>
          <w:sz w:val="24"/>
        </w:rPr>
      </w:pPr>
      <w:r>
        <w:rPr>
          <w:rFonts w:hint="eastAsia" w:ascii="宋体" w:hAnsi="宋体" w:cs="宋体"/>
          <w:sz w:val="24"/>
        </w:rPr>
        <w:t>驻点地点：台州市公共资源交易中心；</w:t>
      </w:r>
    </w:p>
    <w:p>
      <w:pPr>
        <w:spacing w:line="360" w:lineRule="auto"/>
        <w:ind w:firstLine="420" w:firstLineChars="0"/>
        <w:rPr>
          <w:rFonts w:hint="eastAsia" w:ascii="宋体" w:hAnsi="宋体" w:eastAsia="宋体" w:cs="宋体"/>
          <w:sz w:val="24"/>
          <w:lang w:eastAsia="zh-CN"/>
        </w:rPr>
      </w:pPr>
      <w:r>
        <w:rPr>
          <w:rFonts w:hint="eastAsia" w:ascii="宋体" w:hAnsi="宋体" w:cs="宋体"/>
          <w:sz w:val="24"/>
        </w:rPr>
        <w:t>驻点周期：1年</w:t>
      </w:r>
      <w:r>
        <w:rPr>
          <w:rFonts w:hint="eastAsia" w:ascii="宋体" w:hAnsi="宋体" w:cs="宋体"/>
          <w:sz w:val="24"/>
          <w:lang w:eastAsia="zh-CN"/>
        </w:rPr>
        <w:t>。</w:t>
      </w:r>
    </w:p>
    <w:p>
      <w:pPr>
        <w:spacing w:line="360" w:lineRule="auto"/>
        <w:rPr>
          <w:rFonts w:ascii="宋体" w:hAnsi="宋体" w:cs="宋体"/>
          <w:sz w:val="24"/>
        </w:rPr>
      </w:pPr>
      <w:r>
        <w:rPr>
          <w:rFonts w:hint="eastAsia" w:ascii="宋体" w:hAnsi="宋体" w:cs="宋体"/>
          <w:sz w:val="24"/>
          <w:lang w:val="en-US" w:eastAsia="zh-CN"/>
        </w:rPr>
        <w:t>2、</w:t>
      </w:r>
      <w:r>
        <w:rPr>
          <w:rFonts w:hint="eastAsia" w:ascii="宋体" w:hAnsi="宋体" w:cs="宋体"/>
          <w:sz w:val="24"/>
        </w:rPr>
        <w:t xml:space="preserve">驻点服务人员主要提供如下服务： </w:t>
      </w:r>
    </w:p>
    <w:p>
      <w:pPr>
        <w:pStyle w:val="25"/>
        <w:numPr>
          <w:ilvl w:val="0"/>
          <w:numId w:val="13"/>
        </w:numPr>
        <w:spacing w:line="360" w:lineRule="auto"/>
        <w:ind w:left="845" w:leftChars="0" w:hanging="425" w:firstLineChars="0"/>
        <w:rPr>
          <w:rFonts w:ascii="宋体" w:hAnsi="宋体" w:cs="宋体"/>
          <w:sz w:val="24"/>
        </w:rPr>
      </w:pPr>
      <w:r>
        <w:rPr>
          <w:rFonts w:hint="eastAsia" w:ascii="宋体" w:hAnsi="宋体" w:cs="宋体"/>
          <w:sz w:val="24"/>
        </w:rPr>
        <w:t>管理台州市公共资源交易中心机房内的所有相关设备，保障其安全、稳定运行。</w:t>
      </w:r>
    </w:p>
    <w:p>
      <w:pPr>
        <w:pStyle w:val="25"/>
        <w:numPr>
          <w:ilvl w:val="0"/>
          <w:numId w:val="13"/>
        </w:numPr>
        <w:spacing w:line="360" w:lineRule="auto"/>
        <w:ind w:left="845" w:leftChars="0" w:hanging="425" w:firstLineChars="0"/>
        <w:rPr>
          <w:rFonts w:ascii="宋体" w:hAnsi="宋体" w:cs="宋体"/>
          <w:sz w:val="24"/>
        </w:rPr>
      </w:pPr>
      <w:r>
        <w:rPr>
          <w:rFonts w:hint="eastAsia" w:ascii="宋体" w:hAnsi="宋体" w:cs="宋体"/>
          <w:sz w:val="24"/>
        </w:rPr>
        <w:t xml:space="preserve">做好机房设备、人员进出机房的登记管理，协助完成机房的值班值勤，监控各系统及设备的运行情况，并做好分配的其他系统日常维护工作。 </w:t>
      </w:r>
    </w:p>
    <w:p>
      <w:pPr>
        <w:pStyle w:val="25"/>
        <w:numPr>
          <w:ilvl w:val="0"/>
          <w:numId w:val="13"/>
        </w:numPr>
        <w:spacing w:line="360" w:lineRule="auto"/>
        <w:ind w:left="845" w:leftChars="0" w:hanging="425" w:firstLineChars="0"/>
        <w:rPr>
          <w:rFonts w:ascii="宋体" w:hAnsi="宋体" w:cs="宋体"/>
          <w:sz w:val="24"/>
        </w:rPr>
      </w:pPr>
      <w:r>
        <w:rPr>
          <w:rFonts w:hint="eastAsia" w:ascii="宋体" w:hAnsi="宋体" w:cs="宋体"/>
          <w:sz w:val="24"/>
        </w:rPr>
        <w:t>做好每日网络安全设备、虚拟化集群、存储等相关维保设备的日志查看工作，并形成每日巡检记录，按月对本月巡检进行月度总结，递交月度巡检报告。</w:t>
      </w:r>
    </w:p>
    <w:p>
      <w:pPr>
        <w:pStyle w:val="25"/>
        <w:numPr>
          <w:ilvl w:val="0"/>
          <w:numId w:val="13"/>
        </w:numPr>
        <w:spacing w:line="360" w:lineRule="auto"/>
        <w:ind w:left="845" w:leftChars="0" w:hanging="425" w:firstLineChars="0"/>
        <w:rPr>
          <w:rFonts w:ascii="宋体" w:hAnsi="宋体" w:cs="宋体"/>
          <w:sz w:val="24"/>
        </w:rPr>
      </w:pPr>
      <w:r>
        <w:rPr>
          <w:rFonts w:hint="eastAsia" w:ascii="宋体" w:hAnsi="宋体" w:cs="宋体"/>
          <w:sz w:val="24"/>
        </w:rPr>
        <w:t xml:space="preserve">每周对机房设备进行2次巡检。 </w:t>
      </w:r>
      <w:r>
        <w:rPr>
          <w:rFonts w:hint="eastAsia" w:ascii="MS Mincho" w:hAnsi="MS Mincho" w:eastAsia="MS Mincho" w:cs="MS Mincho"/>
          <w:sz w:val="24"/>
        </w:rPr>
        <w:t> </w:t>
      </w:r>
    </w:p>
    <w:p>
      <w:pPr>
        <w:pStyle w:val="25"/>
        <w:numPr>
          <w:ilvl w:val="0"/>
          <w:numId w:val="13"/>
        </w:numPr>
        <w:spacing w:line="360" w:lineRule="auto"/>
        <w:ind w:left="845" w:leftChars="0" w:hanging="425" w:firstLineChars="0"/>
        <w:rPr>
          <w:rFonts w:ascii="宋体" w:hAnsi="宋体" w:cs="宋体"/>
          <w:sz w:val="24"/>
        </w:rPr>
      </w:pPr>
      <w:r>
        <w:rPr>
          <w:rFonts w:hint="eastAsia" w:ascii="宋体" w:hAnsi="宋体" w:cs="宋体"/>
          <w:sz w:val="24"/>
        </w:rPr>
        <w:t>负责节假日机房设备值班备勤工作</w:t>
      </w:r>
      <w:r>
        <w:rPr>
          <w:rFonts w:hint="eastAsia" w:ascii="宋体" w:hAnsi="宋体" w:cs="宋体"/>
          <w:sz w:val="24"/>
          <w:lang w:eastAsia="zh-CN"/>
        </w:rPr>
        <w:t>。</w:t>
      </w:r>
      <w:r>
        <w:rPr>
          <w:rFonts w:hint="eastAsia" w:ascii="MS Mincho" w:hAnsi="MS Mincho" w:eastAsia="MS Mincho" w:cs="MS Mincho"/>
          <w:sz w:val="24"/>
        </w:rPr>
        <w:t> </w:t>
      </w:r>
    </w:p>
    <w:p>
      <w:pPr>
        <w:pStyle w:val="25"/>
        <w:numPr>
          <w:ilvl w:val="0"/>
          <w:numId w:val="13"/>
        </w:numPr>
        <w:spacing w:line="360" w:lineRule="auto"/>
        <w:ind w:left="845" w:leftChars="0" w:hanging="425" w:firstLineChars="0"/>
        <w:rPr>
          <w:rFonts w:ascii="宋体" w:hAnsi="宋体" w:cs="宋体"/>
          <w:sz w:val="24"/>
        </w:rPr>
      </w:pPr>
      <w:r>
        <w:rPr>
          <w:rFonts w:hint="eastAsia" w:ascii="宋体" w:hAnsi="宋体" w:cs="宋体"/>
          <w:sz w:val="24"/>
        </w:rPr>
        <w:t xml:space="preserve">完成台州市公共资源交易中心交办的其它工作。 </w:t>
      </w:r>
    </w:p>
    <w:p>
      <w:pPr>
        <w:spacing w:line="360" w:lineRule="auto"/>
        <w:rPr>
          <w:rFonts w:ascii="宋体" w:hAnsi="宋体" w:cs="宋体"/>
          <w:sz w:val="24"/>
        </w:rPr>
      </w:pPr>
      <w:r>
        <w:rPr>
          <w:rFonts w:hint="eastAsia" w:ascii="宋体" w:hAnsi="宋体" w:cs="宋体"/>
          <w:sz w:val="24"/>
          <w:lang w:val="en-US" w:eastAsia="zh-CN"/>
        </w:rPr>
        <w:t>3、</w:t>
      </w:r>
      <w:r>
        <w:rPr>
          <w:rFonts w:hint="eastAsia" w:ascii="宋体" w:hAnsi="宋体" w:cs="宋体"/>
          <w:sz w:val="24"/>
        </w:rPr>
        <w:t>备注:若驻场维护人员无法胜任日常运维工作，或无法达到用户预期要求，用户可以提出更换驻场维护人员。</w:t>
      </w:r>
      <w:r>
        <w:rPr>
          <w:rFonts w:hint="eastAsia" w:ascii="宋体" w:hAnsi="宋体" w:cs="宋体"/>
          <w:sz w:val="24"/>
          <w:lang w:val="en-US" w:eastAsia="zh-CN"/>
        </w:rPr>
        <w:t>中标人</w:t>
      </w:r>
      <w:r>
        <w:rPr>
          <w:rFonts w:hint="eastAsia" w:ascii="宋体" w:hAnsi="宋体" w:cs="宋体"/>
          <w:sz w:val="24"/>
        </w:rPr>
        <w:t>需提供经用户单位同意的同等及以上资质人员进行替换。</w:t>
      </w:r>
    </w:p>
    <w:p>
      <w:pPr>
        <w:spacing w:line="360" w:lineRule="auto"/>
        <w:rPr>
          <w:rFonts w:ascii="宋体" w:hAnsi="宋体"/>
          <w:b/>
          <w:color w:val="auto"/>
          <w:sz w:val="24"/>
        </w:rPr>
      </w:pPr>
      <w:r>
        <w:rPr>
          <w:rFonts w:hint="eastAsia" w:ascii="宋体" w:hAnsi="宋体"/>
          <w:b/>
          <w:color w:val="auto"/>
          <w:sz w:val="24"/>
        </w:rPr>
        <w:t>3.1</w:t>
      </w:r>
      <w:r>
        <w:rPr>
          <w:rFonts w:hint="eastAsia" w:ascii="宋体" w:hAnsi="宋体"/>
          <w:b/>
          <w:color w:val="auto"/>
          <w:sz w:val="24"/>
          <w:lang w:val="en-US" w:eastAsia="zh-CN"/>
        </w:rPr>
        <w:t>0</w:t>
      </w:r>
      <w:r>
        <w:rPr>
          <w:rFonts w:hint="eastAsia" w:ascii="宋体" w:hAnsi="宋体"/>
          <w:b/>
          <w:color w:val="auto"/>
          <w:sz w:val="24"/>
        </w:rPr>
        <w:t>优化整改服务</w:t>
      </w:r>
    </w:p>
    <w:p>
      <w:pPr>
        <w:spacing w:line="360" w:lineRule="auto"/>
        <w:ind w:firstLine="480" w:firstLineChars="200"/>
        <w:rPr>
          <w:rFonts w:ascii="宋体" w:hAnsi="宋体" w:cs="宋体"/>
          <w:color w:val="auto"/>
          <w:sz w:val="24"/>
        </w:rPr>
      </w:pPr>
      <w:r>
        <w:rPr>
          <w:rFonts w:hint="eastAsia" w:ascii="宋体" w:hAnsi="宋体" w:cs="宋体"/>
          <w:color w:val="auto"/>
          <w:sz w:val="24"/>
        </w:rPr>
        <w:t>在服务期内，根据公共交易资源中心现有设备环境，</w:t>
      </w:r>
      <w:r>
        <w:rPr>
          <w:rFonts w:hint="eastAsia" w:ascii="宋体" w:hAnsi="宋体" w:cs="宋体"/>
          <w:color w:val="auto"/>
          <w:sz w:val="24"/>
          <w:lang w:eastAsia="zh-CN"/>
        </w:rPr>
        <w:t>供应商</w:t>
      </w:r>
      <w:r>
        <w:rPr>
          <w:rFonts w:hint="eastAsia" w:ascii="宋体" w:hAnsi="宋体" w:cs="宋体"/>
          <w:color w:val="auto"/>
          <w:sz w:val="24"/>
        </w:rPr>
        <w:t>利用现有设备搭建灾备环境，整合虚拟化系统。</w:t>
      </w:r>
    </w:p>
    <w:p>
      <w:pPr>
        <w:spacing w:line="360" w:lineRule="auto"/>
        <w:rPr>
          <w:rFonts w:ascii="宋体" w:hAnsi="宋体"/>
          <w:b/>
          <w:sz w:val="24"/>
        </w:rPr>
      </w:pPr>
      <w:r>
        <w:rPr>
          <w:rFonts w:hint="eastAsia" w:ascii="宋体" w:hAnsi="宋体"/>
          <w:b/>
          <w:sz w:val="24"/>
        </w:rPr>
        <w:t>3.</w:t>
      </w:r>
      <w:r>
        <w:rPr>
          <w:rFonts w:hint="eastAsia" w:ascii="宋体" w:hAnsi="宋体"/>
          <w:b/>
          <w:sz w:val="24"/>
          <w:lang w:val="en-US" w:eastAsia="zh-CN"/>
        </w:rPr>
        <w:t>11</w:t>
      </w:r>
      <w:r>
        <w:rPr>
          <w:rFonts w:hint="eastAsia" w:ascii="宋体" w:hAnsi="宋体"/>
          <w:b/>
          <w:sz w:val="24"/>
        </w:rPr>
        <w:t>安全保密</w:t>
      </w:r>
    </w:p>
    <w:p>
      <w:pPr>
        <w:snapToGrid w:val="0"/>
        <w:spacing w:line="360" w:lineRule="auto"/>
        <w:ind w:firstLine="480" w:firstLineChars="200"/>
        <w:rPr>
          <w:rFonts w:ascii="宋体" w:hAnsi="宋体"/>
          <w:sz w:val="24"/>
        </w:rPr>
      </w:pPr>
      <w:r>
        <w:rPr>
          <w:rFonts w:hint="eastAsia" w:ascii="宋体" w:hAnsi="宋体"/>
          <w:sz w:val="24"/>
        </w:rPr>
        <w:t>中标人遵守安全相关规定，加强自身安全教育，做好安全防范意识，在此工作期间产生的一切安全事故问题以及其他后果由</w:t>
      </w:r>
      <w:r>
        <w:rPr>
          <w:rFonts w:hint="eastAsia" w:ascii="宋体" w:hAnsi="宋体"/>
          <w:sz w:val="24"/>
          <w:lang w:eastAsia="zh-CN"/>
        </w:rPr>
        <w:t>供应商</w:t>
      </w:r>
      <w:r>
        <w:rPr>
          <w:rFonts w:hint="eastAsia" w:ascii="宋体" w:hAnsi="宋体"/>
          <w:sz w:val="24"/>
        </w:rPr>
        <w:t>自行承担。</w:t>
      </w:r>
    </w:p>
    <w:p>
      <w:pPr>
        <w:snapToGrid w:val="0"/>
        <w:spacing w:line="360" w:lineRule="auto"/>
        <w:ind w:firstLine="480" w:firstLineChars="200"/>
        <w:rPr>
          <w:rFonts w:ascii="宋体" w:hAnsi="宋体"/>
          <w:b/>
          <w:sz w:val="24"/>
        </w:rPr>
      </w:pPr>
      <w:r>
        <w:rPr>
          <w:rFonts w:hint="eastAsia" w:ascii="宋体" w:hAnsi="宋体"/>
          <w:sz w:val="24"/>
        </w:rPr>
        <w:t>在项目实施过程中，中标人应严格遵守国家相关保密与安全法律法规，遵循采购人各项安全保密制度和规章。服务工作人员必须对工作中涉及到的业主的数据、文件等任何资料进行保密。</w:t>
      </w:r>
    </w:p>
    <w:p>
      <w:pPr>
        <w:tabs>
          <w:tab w:val="left" w:pos="8280"/>
        </w:tabs>
        <w:autoSpaceDE w:val="0"/>
        <w:autoSpaceDN w:val="0"/>
        <w:adjustRightInd w:val="0"/>
        <w:spacing w:line="360" w:lineRule="auto"/>
        <w:ind w:right="23"/>
        <w:rPr>
          <w:rFonts w:hint="eastAsia" w:ascii="宋体" w:hAnsi="宋体" w:cs="宋体"/>
          <w:b/>
          <w:bCs/>
          <w:sz w:val="24"/>
        </w:rPr>
      </w:pPr>
      <w:r>
        <w:rPr>
          <w:rFonts w:hint="eastAsia" w:ascii="宋体" w:hAnsi="宋体" w:cs="宋体"/>
          <w:b/>
          <w:bCs/>
          <w:sz w:val="24"/>
          <w:lang w:val="en-US" w:eastAsia="zh-CN"/>
        </w:rPr>
        <w:t>4、</w:t>
      </w:r>
      <w:r>
        <w:rPr>
          <w:rFonts w:hint="eastAsia" w:ascii="宋体" w:hAnsi="宋体" w:cs="宋体"/>
          <w:b/>
          <w:bCs/>
          <w:sz w:val="24"/>
        </w:rPr>
        <w:t xml:space="preserve"> 项目人员要求 </w:t>
      </w:r>
    </w:p>
    <w:p>
      <w:pPr>
        <w:tabs>
          <w:tab w:val="left" w:pos="8280"/>
        </w:tabs>
        <w:autoSpaceDE w:val="0"/>
        <w:autoSpaceDN w:val="0"/>
        <w:adjustRightInd w:val="0"/>
        <w:spacing w:line="360" w:lineRule="auto"/>
        <w:ind w:right="23" w:firstLine="480" w:firstLineChars="200"/>
        <w:rPr>
          <w:rFonts w:hint="eastAsia" w:ascii="宋体" w:hAnsi="宋体"/>
          <w:b/>
          <w:bCs/>
          <w:sz w:val="24"/>
        </w:rPr>
      </w:pPr>
      <w:r>
        <w:rPr>
          <w:rFonts w:hint="eastAsia" w:ascii="宋体" w:hAnsi="宋体" w:cs="宋体"/>
          <w:sz w:val="24"/>
          <w:lang w:val="en-US" w:eastAsia="zh-CN"/>
        </w:rPr>
        <w:t>中标人</w:t>
      </w:r>
      <w:r>
        <w:rPr>
          <w:rFonts w:hint="eastAsia" w:ascii="宋体" w:hAnsi="宋体" w:cs="宋体"/>
          <w:sz w:val="24"/>
        </w:rPr>
        <w:t>需要为</w:t>
      </w:r>
      <w:r>
        <w:rPr>
          <w:rFonts w:hint="eastAsia" w:ascii="宋体" w:hAnsi="宋体" w:cs="宋体"/>
          <w:sz w:val="24"/>
          <w:lang w:eastAsia="zh-CN"/>
        </w:rPr>
        <w:t>采购人</w:t>
      </w:r>
      <w:r>
        <w:rPr>
          <w:rFonts w:hint="eastAsia" w:ascii="宋体" w:hAnsi="宋体" w:cs="宋体"/>
          <w:sz w:val="24"/>
        </w:rPr>
        <w:t>提供本地化服务和技术支持，并至少为本次招标项目专门指派</w:t>
      </w:r>
      <w:r>
        <w:rPr>
          <w:rFonts w:hint="eastAsia" w:ascii="宋体" w:hAnsi="宋体" w:cs="宋体"/>
          <w:color w:val="FF0000"/>
          <w:sz w:val="24"/>
        </w:rPr>
        <w:t>1名项目经理、1名主机存储工程师、1名网络工程师、1名备份工程师</w:t>
      </w:r>
      <w:r>
        <w:rPr>
          <w:rFonts w:hint="eastAsia" w:ascii="宋体" w:hAnsi="宋体" w:cs="宋体"/>
          <w:sz w:val="24"/>
        </w:rPr>
        <w:t>组织协调并有效、快速的解决本次招标维护保修范围的各类故障，同时要尽量保证人员的稳定。如在维保期间，</w:t>
      </w:r>
      <w:r>
        <w:rPr>
          <w:rFonts w:hint="eastAsia" w:ascii="宋体" w:hAnsi="宋体" w:cs="宋体"/>
          <w:sz w:val="24"/>
          <w:lang w:eastAsia="zh-CN"/>
        </w:rPr>
        <w:t>采购人</w:t>
      </w:r>
      <w:r>
        <w:rPr>
          <w:rFonts w:hint="eastAsia" w:ascii="宋体" w:hAnsi="宋体" w:cs="宋体"/>
          <w:sz w:val="24"/>
        </w:rPr>
        <w:t>认为服务方工程师能力有限，可要求</w:t>
      </w:r>
      <w:r>
        <w:rPr>
          <w:rFonts w:hint="eastAsia" w:ascii="宋体" w:hAnsi="宋体" w:cs="宋体"/>
          <w:sz w:val="24"/>
          <w:lang w:eastAsia="zh-CN"/>
        </w:rPr>
        <w:t>供应商</w:t>
      </w:r>
      <w:r>
        <w:rPr>
          <w:rFonts w:hint="eastAsia" w:ascii="宋体" w:hAnsi="宋体" w:cs="宋体"/>
          <w:sz w:val="24"/>
        </w:rPr>
        <w:t>更换工程师，</w:t>
      </w:r>
      <w:r>
        <w:rPr>
          <w:rFonts w:hint="eastAsia" w:ascii="宋体" w:hAnsi="宋体" w:cs="宋体"/>
          <w:sz w:val="24"/>
          <w:lang w:val="en-US" w:eastAsia="zh-CN"/>
        </w:rPr>
        <w:t>供应商</w:t>
      </w:r>
      <w:r>
        <w:rPr>
          <w:rFonts w:hint="eastAsia" w:ascii="宋体" w:hAnsi="宋体" w:cs="宋体"/>
          <w:sz w:val="24"/>
        </w:rPr>
        <w:t>需按</w:t>
      </w:r>
      <w:r>
        <w:rPr>
          <w:rFonts w:hint="eastAsia" w:ascii="宋体" w:hAnsi="宋体" w:cs="宋体"/>
          <w:sz w:val="24"/>
          <w:lang w:eastAsia="zh-CN"/>
        </w:rPr>
        <w:t>采购人</w:t>
      </w:r>
      <w:r>
        <w:rPr>
          <w:rFonts w:hint="eastAsia" w:ascii="宋体" w:hAnsi="宋体" w:cs="宋体"/>
          <w:sz w:val="24"/>
        </w:rPr>
        <w:t>要求执行。</w:t>
      </w:r>
    </w:p>
    <w:p>
      <w:pPr>
        <w:tabs>
          <w:tab w:val="left" w:pos="8280"/>
        </w:tabs>
        <w:autoSpaceDE w:val="0"/>
        <w:autoSpaceDN w:val="0"/>
        <w:adjustRightInd w:val="0"/>
        <w:spacing w:line="360" w:lineRule="auto"/>
        <w:ind w:right="23"/>
        <w:rPr>
          <w:rFonts w:hint="eastAsia" w:ascii="宋体" w:hAnsi="宋体" w:cs="宋体"/>
          <w:b/>
          <w:bCs/>
          <w:sz w:val="24"/>
        </w:rPr>
      </w:pPr>
      <w:r>
        <w:rPr>
          <w:rFonts w:hint="eastAsia" w:ascii="宋体" w:hAnsi="宋体" w:cs="宋体"/>
          <w:b/>
          <w:bCs/>
          <w:sz w:val="24"/>
          <w:lang w:val="en-US" w:eastAsia="zh-CN"/>
        </w:rPr>
        <w:t>5、</w:t>
      </w:r>
      <w:r>
        <w:rPr>
          <w:rFonts w:hint="eastAsia" w:ascii="宋体" w:hAnsi="宋体" w:cs="宋体"/>
          <w:b/>
          <w:bCs/>
          <w:sz w:val="24"/>
        </w:rPr>
        <w:t>服务响应要求</w:t>
      </w:r>
    </w:p>
    <w:p>
      <w:pPr>
        <w:tabs>
          <w:tab w:val="left" w:pos="8280"/>
        </w:tabs>
        <w:autoSpaceDE w:val="0"/>
        <w:autoSpaceDN w:val="0"/>
        <w:adjustRightInd w:val="0"/>
        <w:spacing w:line="360" w:lineRule="auto"/>
        <w:ind w:right="23" w:firstLine="600" w:firstLineChars="250"/>
        <w:rPr>
          <w:rFonts w:ascii="宋体" w:hAnsi="宋体" w:cs="宋体"/>
          <w:color w:val="auto"/>
          <w:sz w:val="24"/>
        </w:rPr>
      </w:pPr>
      <w:r>
        <w:rPr>
          <w:rFonts w:hint="eastAsia" w:ascii="宋体" w:hAnsi="宋体" w:cs="宋体"/>
          <w:color w:val="auto"/>
          <w:sz w:val="24"/>
        </w:rPr>
        <w:t>包括电话和远程技术支持服务、现场技术支持服务两种。</w:t>
      </w:r>
    </w:p>
    <w:p>
      <w:pPr>
        <w:tabs>
          <w:tab w:val="left" w:pos="8280"/>
        </w:tabs>
        <w:autoSpaceDE w:val="0"/>
        <w:autoSpaceDN w:val="0"/>
        <w:adjustRightInd w:val="0"/>
        <w:spacing w:line="360" w:lineRule="auto"/>
        <w:ind w:right="23" w:firstLine="480" w:firstLineChars="200"/>
        <w:rPr>
          <w:rFonts w:ascii="宋体" w:hAnsi="宋体" w:cs="宋体"/>
          <w:color w:val="auto"/>
          <w:sz w:val="24"/>
        </w:rPr>
      </w:pPr>
      <w:r>
        <w:rPr>
          <w:rFonts w:hint="eastAsia" w:ascii="宋体" w:hAnsi="宋体" w:cs="宋体"/>
          <w:color w:val="auto"/>
          <w:sz w:val="24"/>
        </w:rPr>
        <w:t>（1）电话和远程技术支持响应</w:t>
      </w:r>
    </w:p>
    <w:p>
      <w:pPr>
        <w:tabs>
          <w:tab w:val="left" w:pos="8280"/>
        </w:tabs>
        <w:autoSpaceDE w:val="0"/>
        <w:autoSpaceDN w:val="0"/>
        <w:adjustRightInd w:val="0"/>
        <w:spacing w:line="360" w:lineRule="auto"/>
        <w:ind w:right="23" w:firstLine="480" w:firstLineChars="200"/>
        <w:rPr>
          <w:rFonts w:ascii="宋体" w:hAnsi="宋体" w:cs="宋体"/>
          <w:color w:val="auto"/>
          <w:sz w:val="24"/>
        </w:rPr>
      </w:pPr>
      <w:r>
        <w:rPr>
          <w:rFonts w:hint="eastAsia" w:ascii="宋体" w:hAnsi="宋体" w:cs="宋体"/>
          <w:color w:val="auto"/>
          <w:sz w:val="24"/>
        </w:rPr>
        <w:t>要求提供 7X24 不间断的电话服务支持，不限次。</w:t>
      </w:r>
      <w:r>
        <w:rPr>
          <w:rFonts w:hint="eastAsia" w:ascii="宋体" w:hAnsi="宋体" w:cs="宋体"/>
          <w:color w:val="auto"/>
          <w:sz w:val="24"/>
          <w:lang w:eastAsia="zh-CN"/>
        </w:rPr>
        <w:t>采购人</w:t>
      </w:r>
      <w:r>
        <w:rPr>
          <w:rFonts w:hint="eastAsia" w:ascii="宋体" w:hAnsi="宋体" w:cs="宋体"/>
          <w:color w:val="auto"/>
          <w:sz w:val="24"/>
        </w:rPr>
        <w:t>工作人员在使用维保范围内的软硬件设备如遇到问题,无论是软件或硬件,都随时可以从</w:t>
      </w:r>
      <w:r>
        <w:rPr>
          <w:rFonts w:hint="eastAsia" w:ascii="宋体" w:hAnsi="宋体" w:cs="宋体"/>
          <w:color w:val="auto"/>
          <w:sz w:val="24"/>
          <w:lang w:eastAsia="zh-CN"/>
        </w:rPr>
        <w:t>供应商</w:t>
      </w:r>
      <w:r>
        <w:rPr>
          <w:rFonts w:hint="eastAsia" w:ascii="宋体" w:hAnsi="宋体" w:cs="宋体"/>
          <w:color w:val="auto"/>
          <w:sz w:val="24"/>
        </w:rPr>
        <w:t>得到电话支持与帮助。</w:t>
      </w:r>
      <w:r>
        <w:rPr>
          <w:rFonts w:hint="eastAsia" w:ascii="宋体" w:hAnsi="宋体" w:cs="宋体"/>
          <w:color w:val="auto"/>
          <w:sz w:val="24"/>
          <w:lang w:eastAsia="zh-CN"/>
        </w:rPr>
        <w:t>供应商</w:t>
      </w:r>
      <w:r>
        <w:rPr>
          <w:rFonts w:hint="eastAsia" w:ascii="宋体" w:hAnsi="宋体" w:cs="宋体"/>
          <w:color w:val="auto"/>
          <w:sz w:val="24"/>
        </w:rPr>
        <w:t>需指定一名主要联系人及两名替补联系人与</w:t>
      </w:r>
      <w:r>
        <w:rPr>
          <w:rFonts w:hint="eastAsia" w:ascii="宋体" w:hAnsi="宋体" w:cs="宋体"/>
          <w:color w:val="auto"/>
          <w:sz w:val="24"/>
          <w:lang w:eastAsia="zh-CN"/>
        </w:rPr>
        <w:t>采购人</w:t>
      </w:r>
      <w:r>
        <w:rPr>
          <w:rFonts w:hint="eastAsia" w:ascii="宋体" w:hAnsi="宋体" w:cs="宋体"/>
          <w:color w:val="auto"/>
          <w:sz w:val="24"/>
        </w:rPr>
        <w:t>联系。一旦接到</w:t>
      </w:r>
      <w:r>
        <w:rPr>
          <w:rFonts w:hint="eastAsia" w:ascii="宋体" w:hAnsi="宋体" w:cs="宋体"/>
          <w:color w:val="auto"/>
          <w:sz w:val="24"/>
          <w:lang w:eastAsia="zh-CN"/>
        </w:rPr>
        <w:t>采购人</w:t>
      </w:r>
      <w:r>
        <w:rPr>
          <w:rFonts w:hint="eastAsia" w:ascii="宋体" w:hAnsi="宋体" w:cs="宋体"/>
          <w:color w:val="auto"/>
          <w:sz w:val="24"/>
        </w:rPr>
        <w:t>请求电话,</w:t>
      </w:r>
      <w:r>
        <w:rPr>
          <w:rFonts w:hint="eastAsia" w:ascii="宋体" w:hAnsi="宋体" w:cs="宋体"/>
          <w:color w:val="auto"/>
          <w:sz w:val="24"/>
          <w:lang w:eastAsia="zh-CN"/>
        </w:rPr>
        <w:t>供应商</w:t>
      </w:r>
      <w:r>
        <w:rPr>
          <w:rFonts w:hint="eastAsia" w:ascii="宋体" w:hAnsi="宋体" w:cs="宋体"/>
          <w:color w:val="auto"/>
          <w:sz w:val="24"/>
        </w:rPr>
        <w:t>的技术人员将在规定时间内通过电话解决 或回答用户所提出的问题。若</w:t>
      </w:r>
      <w:r>
        <w:rPr>
          <w:rFonts w:hint="eastAsia" w:ascii="宋体" w:hAnsi="宋体" w:cs="宋体"/>
          <w:color w:val="auto"/>
          <w:sz w:val="24"/>
          <w:lang w:eastAsia="zh-CN"/>
        </w:rPr>
        <w:t>供应商</w:t>
      </w:r>
      <w:r>
        <w:rPr>
          <w:rFonts w:hint="eastAsia" w:ascii="宋体" w:hAnsi="宋体" w:cs="宋体"/>
          <w:color w:val="auto"/>
          <w:sz w:val="24"/>
        </w:rPr>
        <w:t>指定工程师如果因特殊原因离职或更换电话，及时通知</w:t>
      </w:r>
      <w:r>
        <w:rPr>
          <w:rFonts w:hint="eastAsia" w:ascii="宋体" w:hAnsi="宋体" w:cs="宋体"/>
          <w:color w:val="auto"/>
          <w:sz w:val="24"/>
          <w:lang w:eastAsia="zh-CN"/>
        </w:rPr>
        <w:t>采购人</w:t>
      </w:r>
      <w:r>
        <w:rPr>
          <w:rFonts w:hint="eastAsia" w:ascii="宋体" w:hAnsi="宋体" w:cs="宋体"/>
          <w:color w:val="auto"/>
          <w:sz w:val="24"/>
        </w:rPr>
        <w:t>，并指定合格的接替人员。</w:t>
      </w:r>
    </w:p>
    <w:p>
      <w:pPr>
        <w:tabs>
          <w:tab w:val="left" w:pos="8280"/>
        </w:tabs>
        <w:autoSpaceDE w:val="0"/>
        <w:autoSpaceDN w:val="0"/>
        <w:adjustRightInd w:val="0"/>
        <w:spacing w:line="360" w:lineRule="auto"/>
        <w:ind w:right="23" w:firstLine="480" w:firstLineChars="200"/>
        <w:rPr>
          <w:rFonts w:ascii="宋体" w:hAnsi="宋体" w:cs="宋体"/>
          <w:color w:val="auto"/>
          <w:sz w:val="24"/>
        </w:rPr>
      </w:pPr>
      <w:r>
        <w:rPr>
          <w:rFonts w:hint="eastAsia" w:ascii="宋体" w:hAnsi="宋体" w:cs="宋体"/>
          <w:color w:val="auto"/>
          <w:sz w:val="24"/>
        </w:rPr>
        <w:t>（2）现场技术支持响应</w:t>
      </w:r>
    </w:p>
    <w:p>
      <w:pPr>
        <w:tabs>
          <w:tab w:val="left" w:pos="8280"/>
        </w:tabs>
        <w:autoSpaceDE w:val="0"/>
        <w:autoSpaceDN w:val="0"/>
        <w:adjustRightInd w:val="0"/>
        <w:spacing w:line="360" w:lineRule="auto"/>
        <w:ind w:right="23" w:firstLine="480" w:firstLineChars="200"/>
        <w:rPr>
          <w:rFonts w:ascii="宋体" w:hAnsi="宋体" w:cs="宋体"/>
          <w:color w:val="auto"/>
          <w:sz w:val="24"/>
        </w:rPr>
      </w:pPr>
      <w:r>
        <w:rPr>
          <w:rFonts w:hint="eastAsia" w:ascii="宋体" w:hAnsi="宋体" w:cs="宋体"/>
          <w:color w:val="auto"/>
          <w:sz w:val="24"/>
          <w:lang w:eastAsia="zh-CN"/>
        </w:rPr>
        <w:t>采购人</w:t>
      </w:r>
      <w:r>
        <w:rPr>
          <w:rFonts w:hint="eastAsia" w:ascii="宋体" w:hAnsi="宋体" w:cs="宋体"/>
          <w:color w:val="auto"/>
          <w:sz w:val="24"/>
        </w:rPr>
        <w:t>通过服务电话、服务销售等途径提出现场服务请求或通过远程服务方式未能解决故障问题时，</w:t>
      </w:r>
      <w:r>
        <w:rPr>
          <w:rFonts w:hint="eastAsia" w:ascii="宋体" w:hAnsi="宋体" w:cs="宋体"/>
          <w:color w:val="auto"/>
          <w:sz w:val="24"/>
          <w:lang w:eastAsia="zh-CN"/>
        </w:rPr>
        <w:t>供应商</w:t>
      </w:r>
      <w:r>
        <w:rPr>
          <w:rFonts w:hint="eastAsia" w:ascii="宋体" w:hAnsi="宋体" w:cs="宋体"/>
          <w:color w:val="auto"/>
          <w:sz w:val="24"/>
        </w:rPr>
        <w:t>要按照合同相应服务级别要求派遣工程师抵达用户现场提供现场系统故障诊断和处理、硬件故障诊断服务。本次选择7*24（周一到周日，每天24小时）服务级别。</w:t>
      </w:r>
    </w:p>
    <w:p>
      <w:pPr>
        <w:tabs>
          <w:tab w:val="left" w:pos="8280"/>
        </w:tabs>
        <w:autoSpaceDE w:val="0"/>
        <w:autoSpaceDN w:val="0"/>
        <w:adjustRightInd w:val="0"/>
        <w:spacing w:line="360" w:lineRule="auto"/>
        <w:ind w:right="23" w:firstLine="480" w:firstLineChars="200"/>
        <w:rPr>
          <w:rFonts w:ascii="宋体" w:hAnsi="宋体" w:cs="宋体"/>
          <w:color w:val="auto"/>
          <w:sz w:val="24"/>
        </w:rPr>
      </w:pPr>
      <w:r>
        <w:rPr>
          <w:rFonts w:hint="eastAsia" w:ascii="宋体" w:hAnsi="宋体" w:cs="宋体"/>
          <w:color w:val="auto"/>
          <w:sz w:val="24"/>
        </w:rPr>
        <w:t>对于严重故障（影响</w:t>
      </w:r>
      <w:r>
        <w:rPr>
          <w:rFonts w:hint="eastAsia" w:ascii="宋体" w:hAnsi="宋体" w:cs="宋体"/>
          <w:color w:val="auto"/>
          <w:sz w:val="24"/>
          <w:lang w:eastAsia="zh-CN"/>
        </w:rPr>
        <w:t>采购人</w:t>
      </w:r>
      <w:r>
        <w:rPr>
          <w:rFonts w:hint="eastAsia" w:ascii="宋体" w:hAnsi="宋体" w:cs="宋体"/>
          <w:color w:val="auto"/>
          <w:sz w:val="24"/>
        </w:rPr>
        <w:t>业务正常运作的故障），应派遣工程师到现场做技术支持。</w:t>
      </w:r>
    </w:p>
    <w:p>
      <w:pPr>
        <w:pStyle w:val="25"/>
        <w:tabs>
          <w:tab w:val="left" w:pos="8280"/>
        </w:tabs>
        <w:autoSpaceDE w:val="0"/>
        <w:autoSpaceDN w:val="0"/>
        <w:adjustRightInd w:val="0"/>
        <w:spacing w:line="360" w:lineRule="auto"/>
        <w:ind w:right="23" w:firstLine="420" w:firstLineChars="0"/>
        <w:rPr>
          <w:rFonts w:ascii="宋体" w:hAnsi="宋体" w:cs="宋体"/>
          <w:color w:val="auto"/>
          <w:sz w:val="24"/>
        </w:rPr>
      </w:pPr>
      <w:r>
        <w:rPr>
          <w:rFonts w:hint="eastAsia" w:ascii="宋体" w:hAnsi="宋体" w:cs="宋体"/>
          <w:color w:val="auto"/>
          <w:sz w:val="24"/>
        </w:rPr>
        <w:t>①响应时间：15分钟以内；</w:t>
      </w:r>
    </w:p>
    <w:p>
      <w:pPr>
        <w:pStyle w:val="25"/>
        <w:tabs>
          <w:tab w:val="left" w:pos="8280"/>
        </w:tabs>
        <w:autoSpaceDE w:val="0"/>
        <w:autoSpaceDN w:val="0"/>
        <w:adjustRightInd w:val="0"/>
        <w:spacing w:line="360" w:lineRule="auto"/>
        <w:ind w:right="23" w:firstLine="420" w:firstLineChars="0"/>
        <w:rPr>
          <w:rFonts w:ascii="宋体" w:hAnsi="宋体" w:cs="宋体"/>
          <w:color w:val="auto"/>
          <w:sz w:val="24"/>
        </w:rPr>
      </w:pPr>
      <w:r>
        <w:rPr>
          <w:rFonts w:hint="eastAsia" w:ascii="宋体" w:hAnsi="宋体" w:cs="宋体"/>
          <w:color w:val="auto"/>
          <w:sz w:val="24"/>
        </w:rPr>
        <w:t>②到场时间：接到故障通知后，2小时内到达现场；</w:t>
      </w:r>
    </w:p>
    <w:p>
      <w:pPr>
        <w:pStyle w:val="25"/>
        <w:tabs>
          <w:tab w:val="left" w:pos="8280"/>
        </w:tabs>
        <w:autoSpaceDE w:val="0"/>
        <w:autoSpaceDN w:val="0"/>
        <w:adjustRightInd w:val="0"/>
        <w:spacing w:line="360" w:lineRule="auto"/>
        <w:ind w:right="23" w:firstLine="420" w:firstLineChars="0"/>
        <w:rPr>
          <w:rFonts w:ascii="宋体" w:hAnsi="宋体" w:cs="宋体"/>
          <w:color w:val="auto"/>
          <w:sz w:val="24"/>
        </w:rPr>
      </w:pPr>
      <w:r>
        <w:rPr>
          <w:rFonts w:hint="eastAsia" w:ascii="宋体" w:hAnsi="宋体" w:cs="宋体"/>
          <w:color w:val="auto"/>
          <w:sz w:val="24"/>
        </w:rPr>
        <w:t>③修复时间：到达用户现场后，4小时内恢复。</w:t>
      </w:r>
    </w:p>
    <w:p>
      <w:pPr>
        <w:tabs>
          <w:tab w:val="left" w:pos="8280"/>
        </w:tabs>
        <w:autoSpaceDE w:val="0"/>
        <w:autoSpaceDN w:val="0"/>
        <w:adjustRightInd w:val="0"/>
        <w:spacing w:line="360" w:lineRule="auto"/>
        <w:ind w:right="23" w:firstLine="480" w:firstLineChars="200"/>
        <w:rPr>
          <w:rFonts w:ascii="宋体" w:hAnsi="宋体" w:cs="宋体"/>
          <w:color w:val="auto"/>
          <w:sz w:val="24"/>
        </w:rPr>
      </w:pPr>
      <w:r>
        <w:rPr>
          <w:rFonts w:hint="eastAsia" w:ascii="宋体" w:hAnsi="宋体" w:cs="宋体"/>
          <w:color w:val="auto"/>
          <w:sz w:val="24"/>
        </w:rPr>
        <w:t>对于一般性故障（不影响</w:t>
      </w:r>
      <w:r>
        <w:rPr>
          <w:rFonts w:hint="eastAsia" w:ascii="宋体" w:hAnsi="宋体" w:cs="宋体"/>
          <w:color w:val="auto"/>
          <w:sz w:val="24"/>
          <w:lang w:eastAsia="zh-CN"/>
        </w:rPr>
        <w:t>采购人</w:t>
      </w:r>
      <w:r>
        <w:rPr>
          <w:rFonts w:hint="eastAsia" w:ascii="宋体" w:hAnsi="宋体" w:cs="宋体"/>
          <w:color w:val="auto"/>
          <w:sz w:val="24"/>
        </w:rPr>
        <w:t>业务正常运作的故障），应派遣工程师到现场做技术支持。</w:t>
      </w:r>
    </w:p>
    <w:p>
      <w:pPr>
        <w:pStyle w:val="25"/>
        <w:tabs>
          <w:tab w:val="left" w:pos="8280"/>
        </w:tabs>
        <w:autoSpaceDE w:val="0"/>
        <w:autoSpaceDN w:val="0"/>
        <w:adjustRightInd w:val="0"/>
        <w:spacing w:line="360" w:lineRule="auto"/>
        <w:ind w:right="23" w:firstLine="420" w:firstLineChars="0"/>
        <w:rPr>
          <w:rFonts w:ascii="宋体" w:hAnsi="宋体" w:cs="宋体"/>
          <w:color w:val="auto"/>
          <w:sz w:val="24"/>
        </w:rPr>
      </w:pPr>
      <w:r>
        <w:rPr>
          <w:rFonts w:hint="eastAsia" w:ascii="宋体" w:hAnsi="宋体" w:cs="宋体"/>
          <w:color w:val="auto"/>
          <w:sz w:val="24"/>
        </w:rPr>
        <w:t>①响应时间：15分钟以内；</w:t>
      </w:r>
    </w:p>
    <w:p>
      <w:pPr>
        <w:pStyle w:val="25"/>
        <w:tabs>
          <w:tab w:val="left" w:pos="8280"/>
        </w:tabs>
        <w:autoSpaceDE w:val="0"/>
        <w:autoSpaceDN w:val="0"/>
        <w:adjustRightInd w:val="0"/>
        <w:spacing w:line="360" w:lineRule="auto"/>
        <w:ind w:right="23" w:firstLine="420" w:firstLineChars="0"/>
        <w:rPr>
          <w:rFonts w:ascii="宋体" w:hAnsi="宋体" w:cs="宋体"/>
          <w:color w:val="auto"/>
          <w:sz w:val="24"/>
        </w:rPr>
      </w:pPr>
      <w:r>
        <w:rPr>
          <w:rFonts w:hint="eastAsia" w:ascii="宋体" w:hAnsi="宋体" w:cs="宋体"/>
          <w:color w:val="auto"/>
          <w:sz w:val="24"/>
        </w:rPr>
        <w:t>②到场时间：接到故障通知后，4小时内到达现场；</w:t>
      </w:r>
    </w:p>
    <w:p>
      <w:pPr>
        <w:pStyle w:val="25"/>
        <w:tabs>
          <w:tab w:val="left" w:pos="8280"/>
        </w:tabs>
        <w:autoSpaceDE w:val="0"/>
        <w:autoSpaceDN w:val="0"/>
        <w:adjustRightInd w:val="0"/>
        <w:spacing w:line="360" w:lineRule="auto"/>
        <w:ind w:right="23" w:firstLine="420" w:firstLineChars="0"/>
        <w:rPr>
          <w:rFonts w:ascii="宋体" w:hAnsi="宋体" w:cs="宋体"/>
          <w:color w:val="auto"/>
          <w:sz w:val="24"/>
        </w:rPr>
      </w:pPr>
      <w:r>
        <w:rPr>
          <w:rFonts w:hint="eastAsia" w:ascii="宋体" w:hAnsi="宋体" w:cs="宋体"/>
          <w:color w:val="auto"/>
          <w:sz w:val="24"/>
        </w:rPr>
        <w:t>③修复时间：到达用户现场后，8小时内恢复。</w:t>
      </w:r>
    </w:p>
    <w:p/>
    <w:p>
      <w:pPr>
        <w:snapToGrid w:val="0"/>
        <w:spacing w:line="360" w:lineRule="auto"/>
        <w:rPr>
          <w:rFonts w:hint="eastAsia" w:ascii="宋体" w:hAnsi="宋体" w:eastAsia="宋体" w:cs="宋体"/>
          <w:b/>
          <w:sz w:val="24"/>
          <w:lang w:val="en-US" w:eastAsia="zh-CN"/>
        </w:rPr>
      </w:pPr>
      <w:r>
        <w:rPr>
          <w:rFonts w:hint="eastAsia" w:ascii="宋体" w:hAnsi="宋体" w:cs="宋体"/>
          <w:b/>
          <w:sz w:val="24"/>
          <w:lang w:val="en-US" w:eastAsia="zh-CN"/>
        </w:rPr>
        <w:t>6</w:t>
      </w:r>
      <w:r>
        <w:rPr>
          <w:rFonts w:hint="eastAsia" w:ascii="宋体" w:hAnsi="宋体" w:cs="宋体"/>
          <w:b/>
          <w:sz w:val="24"/>
        </w:rPr>
        <w:t>、服务考核</w:t>
      </w:r>
      <w:r>
        <w:rPr>
          <w:rFonts w:hint="eastAsia" w:ascii="宋体" w:hAnsi="宋体" w:cs="宋体"/>
          <w:b/>
          <w:sz w:val="24"/>
          <w:lang w:val="en-US" w:eastAsia="zh-CN"/>
        </w:rPr>
        <w:t>要求</w:t>
      </w:r>
    </w:p>
    <w:p>
      <w:pPr>
        <w:adjustRightInd w:val="0"/>
        <w:snapToGrid w:val="0"/>
        <w:spacing w:line="360" w:lineRule="auto"/>
        <w:ind w:firstLine="480" w:firstLineChars="200"/>
        <w:rPr>
          <w:rFonts w:ascii="宋体" w:hAnsi="宋体" w:cs="宋体"/>
          <w:sz w:val="24"/>
        </w:rPr>
      </w:pPr>
      <w:r>
        <w:rPr>
          <w:rFonts w:hint="eastAsia" w:ascii="宋体" w:hAnsi="宋体"/>
          <w:bCs/>
          <w:sz w:val="24"/>
        </w:rPr>
        <w:t>（1）工作汇报</w:t>
      </w:r>
      <w:bookmarkStart w:id="31" w:name="_GoBack"/>
      <w:r>
        <w:rPr>
          <w:rFonts w:hint="eastAsia" w:ascii="宋体" w:hAnsi="宋体"/>
          <w:bCs/>
          <w:color w:val="auto"/>
          <w:sz w:val="24"/>
        </w:rPr>
        <w:t>：</w:t>
      </w:r>
      <w:r>
        <w:rPr>
          <w:rFonts w:hint="eastAsia" w:ascii="宋体" w:hAnsi="宋体"/>
          <w:color w:val="auto"/>
          <w:sz w:val="24"/>
        </w:rPr>
        <w:t>按</w:t>
      </w:r>
      <w:r>
        <w:rPr>
          <w:rFonts w:hint="eastAsia" w:ascii="宋体" w:hAnsi="宋体"/>
          <w:color w:val="auto"/>
          <w:sz w:val="24"/>
          <w:lang w:val="en-US" w:eastAsia="zh-CN"/>
        </w:rPr>
        <w:t>采购人</w:t>
      </w:r>
      <w:r>
        <w:rPr>
          <w:rFonts w:hint="eastAsia" w:ascii="宋体" w:hAnsi="宋体"/>
          <w:color w:val="auto"/>
          <w:sz w:val="24"/>
        </w:rPr>
        <w:t>要</w:t>
      </w:r>
      <w:bookmarkEnd w:id="31"/>
      <w:r>
        <w:rPr>
          <w:rFonts w:hint="eastAsia" w:ascii="宋体" w:hAnsi="宋体"/>
          <w:sz w:val="24"/>
        </w:rPr>
        <w:t>求在每周一（非工作日顺延）</w:t>
      </w:r>
      <w:r>
        <w:rPr>
          <w:rFonts w:hint="eastAsia" w:ascii="宋体" w:hAnsi="宋体"/>
          <w:sz w:val="24"/>
          <w:highlight w:val="none"/>
        </w:rPr>
        <w:t>16时前通过微信上报截止上周日的工作反馈，不汇报反馈的，业主方有权每次从</w:t>
      </w:r>
      <w:r>
        <w:rPr>
          <w:rFonts w:hint="eastAsia" w:ascii="宋体" w:hAnsi="宋体"/>
          <w:sz w:val="24"/>
          <w:highlight w:val="none"/>
          <w:lang w:val="en-US" w:eastAsia="zh-CN"/>
        </w:rPr>
        <w:t>项目维保尾款</w:t>
      </w:r>
      <w:r>
        <w:rPr>
          <w:rFonts w:hint="eastAsia" w:ascii="宋体" w:hAnsi="宋体"/>
          <w:sz w:val="24"/>
          <w:highlight w:val="none"/>
        </w:rPr>
        <w:t>中</w:t>
      </w:r>
      <w:r>
        <w:rPr>
          <w:rFonts w:hint="eastAsia" w:ascii="宋体" w:hAnsi="宋体"/>
          <w:bCs/>
          <w:sz w:val="24"/>
          <w:highlight w:val="none"/>
        </w:rPr>
        <w:t>扣除500元，</w:t>
      </w:r>
      <w:r>
        <w:rPr>
          <w:rFonts w:hint="eastAsia" w:ascii="宋体" w:hAnsi="宋体" w:cs="Arial"/>
          <w:sz w:val="24"/>
          <w:highlight w:val="none"/>
        </w:rPr>
        <w:t>每月第一周提交上月系统运维结果及情况分析报告，并保证报告的真实性，不提交的</w:t>
      </w:r>
      <w:r>
        <w:rPr>
          <w:rFonts w:hint="eastAsia" w:ascii="宋体" w:hAnsi="宋体"/>
          <w:sz w:val="24"/>
          <w:highlight w:val="none"/>
        </w:rPr>
        <w:t>业主方有权每次从</w:t>
      </w:r>
      <w:r>
        <w:rPr>
          <w:rFonts w:hint="eastAsia" w:ascii="宋体" w:hAnsi="宋体"/>
          <w:sz w:val="24"/>
          <w:highlight w:val="none"/>
          <w:lang w:val="en-US" w:eastAsia="zh-CN"/>
        </w:rPr>
        <w:t>项目维保尾款</w:t>
      </w:r>
      <w:r>
        <w:rPr>
          <w:rFonts w:hint="eastAsia" w:ascii="宋体" w:hAnsi="宋体"/>
          <w:bCs/>
          <w:sz w:val="24"/>
          <w:highlight w:val="none"/>
        </w:rPr>
        <w:t>中扣除500元</w:t>
      </w:r>
      <w:r>
        <w:rPr>
          <w:rFonts w:hint="eastAsia" w:ascii="宋体" w:hAnsi="宋体" w:cs="Arial"/>
          <w:sz w:val="24"/>
          <w:highlight w:val="none"/>
        </w:rPr>
        <w:t>。</w:t>
      </w:r>
    </w:p>
    <w:p>
      <w:pPr>
        <w:snapToGrid w:val="0"/>
        <w:spacing w:line="360" w:lineRule="auto"/>
        <w:ind w:firstLine="480" w:firstLineChars="200"/>
        <w:rPr>
          <w:rFonts w:ascii="宋体" w:hAnsi="宋体" w:cs="宋体"/>
          <w:sz w:val="24"/>
        </w:rPr>
      </w:pPr>
      <w:r>
        <w:rPr>
          <w:rFonts w:hint="eastAsia" w:ascii="宋体" w:hAnsi="宋体" w:cs="宋体"/>
          <w:sz w:val="24"/>
        </w:rPr>
        <w:t>（2）涉及到采购维保的设备，从采购人提出故障或者服务要求开始，4小时内未解决且未能提供性能、配置、功能相同或以上备机的，视为一次服务不合格，并继续作为新提出的故障申告，重新进行服务质量考核。</w:t>
      </w:r>
    </w:p>
    <w:p>
      <w:pPr>
        <w:snapToGrid w:val="0"/>
        <w:spacing w:line="360" w:lineRule="auto"/>
        <w:ind w:firstLine="480" w:firstLineChars="200"/>
        <w:rPr>
          <w:rFonts w:ascii="宋体" w:hAnsi="宋体" w:cs="宋体"/>
          <w:sz w:val="24"/>
        </w:rPr>
      </w:pPr>
      <w:r>
        <w:rPr>
          <w:rFonts w:hint="eastAsia" w:ascii="宋体" w:hAnsi="宋体" w:cs="宋体"/>
          <w:sz w:val="24"/>
        </w:rPr>
        <w:t>（3）未按规定进行巡检或者未按要求进行现场升级的，视为一次服务不合格。</w:t>
      </w:r>
    </w:p>
    <w:p>
      <w:pPr>
        <w:snapToGrid w:val="0"/>
        <w:spacing w:line="360" w:lineRule="auto"/>
        <w:ind w:firstLine="480" w:firstLineChars="200"/>
        <w:rPr>
          <w:rFonts w:ascii="宋体" w:hAnsi="宋体" w:cs="宋体"/>
          <w:sz w:val="24"/>
        </w:rPr>
      </w:pPr>
      <w:r>
        <w:rPr>
          <w:rFonts w:hint="eastAsia" w:ascii="宋体" w:hAnsi="宋体" w:cs="宋体"/>
          <w:sz w:val="24"/>
        </w:rPr>
        <w:t>（4）若因安装及维护过程中造成采购人损失的，应由中标方进行相应赔偿，同时视为该服务年度3次服务不合格。</w:t>
      </w:r>
    </w:p>
    <w:p>
      <w:pPr>
        <w:snapToGrid w:val="0"/>
        <w:spacing w:line="360" w:lineRule="auto"/>
        <w:ind w:firstLine="480" w:firstLineChars="200"/>
        <w:rPr>
          <w:rFonts w:ascii="宋体" w:hAnsi="宋体" w:cs="宋体"/>
          <w:sz w:val="24"/>
        </w:rPr>
      </w:pPr>
      <w:r>
        <w:rPr>
          <w:rFonts w:hint="eastAsia" w:ascii="宋体" w:hAnsi="宋体" w:cs="宋体"/>
          <w:sz w:val="24"/>
        </w:rPr>
        <w:t>（5）一次服务不合格，扣3000元人民币。</w:t>
      </w:r>
    </w:p>
    <w:p>
      <w:pPr>
        <w:spacing w:line="360" w:lineRule="auto"/>
        <w:ind w:firstLine="480" w:firstLineChars="200"/>
        <w:rPr>
          <w:rFonts w:hint="eastAsia" w:ascii="宋体" w:hAnsi="宋体" w:cs="宋体"/>
          <w:sz w:val="24"/>
        </w:rPr>
      </w:pPr>
      <w:r>
        <w:rPr>
          <w:rFonts w:hint="eastAsia" w:ascii="宋体" w:hAnsi="宋体" w:cs="宋体"/>
          <w:sz w:val="24"/>
        </w:rPr>
        <w:t>（6）一个服务年度内累计超过3次服务不合格，采购人有权终止合同，剩余款项将不予支付。</w:t>
      </w:r>
    </w:p>
    <w:p>
      <w:pPr>
        <w:snapToGrid w:val="0"/>
        <w:spacing w:line="360" w:lineRule="auto"/>
        <w:rPr>
          <w:rFonts w:hint="default" w:ascii="宋体" w:hAnsi="宋体" w:cs="宋体"/>
          <w:b/>
          <w:sz w:val="24"/>
          <w:lang w:val="en-US" w:eastAsia="zh-CN"/>
        </w:rPr>
      </w:pPr>
      <w:r>
        <w:rPr>
          <w:rFonts w:hint="eastAsia" w:ascii="宋体" w:hAnsi="宋体" w:cs="宋体"/>
          <w:b/>
          <w:sz w:val="24"/>
          <w:lang w:val="en-US" w:eastAsia="zh-CN"/>
        </w:rPr>
        <w:t>7、其他要求</w:t>
      </w:r>
    </w:p>
    <w:p>
      <w:pPr>
        <w:snapToGrid w:val="0"/>
        <w:spacing w:line="360" w:lineRule="auto"/>
        <w:ind w:firstLine="600" w:firstLineChars="250"/>
        <w:rPr>
          <w:rFonts w:ascii="宋体" w:hAnsi="宋体"/>
          <w:sz w:val="24"/>
        </w:rPr>
      </w:pPr>
      <w:r>
        <w:rPr>
          <w:rFonts w:hint="eastAsia" w:ascii="宋体" w:hAnsi="宋体"/>
          <w:sz w:val="24"/>
        </w:rPr>
        <w:t>(1)维护保修服务期限内，本次所投项目的维修维护费用，包括人工费、更换零部件的一切费用均由中标人承担。</w:t>
      </w:r>
    </w:p>
    <w:p>
      <w:pPr>
        <w:snapToGrid w:val="0"/>
        <w:spacing w:line="360" w:lineRule="auto"/>
        <w:ind w:firstLine="600" w:firstLineChars="250"/>
        <w:rPr>
          <w:rFonts w:ascii="宋体" w:hAnsi="宋体"/>
          <w:sz w:val="24"/>
        </w:rPr>
      </w:pPr>
      <w:r>
        <w:rPr>
          <w:rFonts w:hint="eastAsia" w:ascii="宋体" w:hAnsi="宋体"/>
          <w:sz w:val="24"/>
        </w:rPr>
        <w:t>(2)维保服务提供商必须承诺在维保合同生效后必须对采购人的技术人员进行每年不少于一次的技术培训，使其掌握采购人整个维保设备的结构及常见故障判断和维修的知识、技能；</w:t>
      </w:r>
    </w:p>
    <w:p>
      <w:pPr>
        <w:snapToGrid w:val="0"/>
        <w:spacing w:line="360" w:lineRule="auto"/>
        <w:ind w:firstLine="600" w:firstLineChars="250"/>
        <w:rPr>
          <w:rFonts w:ascii="宋体" w:hAnsi="宋体"/>
          <w:sz w:val="24"/>
        </w:rPr>
      </w:pPr>
      <w:r>
        <w:rPr>
          <w:rFonts w:hint="eastAsia" w:ascii="宋体" w:hAnsi="宋体"/>
          <w:sz w:val="24"/>
        </w:rPr>
        <w:t>(3)在维保中标人提供维保服务期间，有义务为采购人任何相关维保设备改造的技术革新提供协助；</w:t>
      </w:r>
    </w:p>
    <w:p>
      <w:pPr>
        <w:spacing w:line="360" w:lineRule="auto"/>
        <w:ind w:firstLine="480" w:firstLineChars="200"/>
        <w:rPr>
          <w:rFonts w:ascii="宋体" w:hAnsi="宋体"/>
          <w:color w:val="auto"/>
          <w:sz w:val="24"/>
        </w:rPr>
      </w:pPr>
      <w:r>
        <w:rPr>
          <w:rFonts w:hint="eastAsia" w:ascii="宋体" w:hAnsi="宋体"/>
          <w:color w:val="auto"/>
          <w:sz w:val="24"/>
        </w:rPr>
        <w:t>(4)中标人如未能在承诺时间内解决故障或恢复系统运行，使用单位有权请第三方进行处理，所有费用由中标人支付。</w:t>
      </w:r>
    </w:p>
    <w:p>
      <w:pPr>
        <w:pStyle w:val="2"/>
        <w:spacing w:line="360" w:lineRule="auto"/>
        <w:ind w:firstLine="480"/>
        <w:rPr>
          <w:rFonts w:ascii="宋体" w:hAnsi="宋体"/>
          <w:color w:val="auto"/>
          <w:sz w:val="24"/>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)中标人需协助软件公司开展系统上云工作。</w:t>
      </w:r>
    </w:p>
    <w:p>
      <w:pPr>
        <w:pStyle w:val="2"/>
        <w:spacing w:line="360" w:lineRule="auto"/>
        <w:ind w:firstLine="480"/>
        <w:rPr>
          <w:color w:val="auto"/>
        </w:rPr>
      </w:pPr>
      <w:r>
        <w:rPr>
          <w:rFonts w:hint="eastAsia" w:ascii="宋体" w:hAnsi="宋体"/>
          <w:color w:val="auto"/>
          <w:sz w:val="24"/>
        </w:rPr>
        <w:t>(</w:t>
      </w:r>
      <w:r>
        <w:rPr>
          <w:rFonts w:ascii="宋体" w:hAnsi="宋体"/>
          <w:color w:val="auto"/>
          <w:sz w:val="24"/>
        </w:rPr>
        <w:t>6</w:t>
      </w:r>
      <w:r>
        <w:rPr>
          <w:rFonts w:hint="eastAsia" w:ascii="宋体" w:hAnsi="宋体"/>
          <w:color w:val="auto"/>
          <w:sz w:val="24"/>
        </w:rPr>
        <w:t>)中标人需根据用户实际需求</w:t>
      </w:r>
      <w:r>
        <w:rPr>
          <w:rFonts w:hint="eastAsia"/>
          <w:color w:val="auto"/>
        </w:rPr>
        <w:t>，</w:t>
      </w:r>
      <w:r>
        <w:rPr>
          <w:rFonts w:hint="eastAsia" w:ascii="宋体" w:hAnsi="宋体"/>
          <w:color w:val="auto"/>
          <w:sz w:val="24"/>
        </w:rPr>
        <w:t>提供在重要安全节点的网络值守工作。</w:t>
      </w:r>
    </w:p>
    <w:p>
      <w:pPr>
        <w:rPr>
          <w:rFonts w:hint="eastAsia"/>
        </w:rPr>
      </w:pPr>
    </w:p>
    <w:p>
      <w:pPr>
        <w:numPr>
          <w:ilvl w:val="0"/>
          <w:numId w:val="12"/>
        </w:numPr>
        <w:spacing w:line="360" w:lineRule="auto"/>
        <w:ind w:left="0" w:leftChars="0" w:firstLine="0" w:firstLineChars="0"/>
        <w:rPr>
          <w:rFonts w:hint="eastAsia" w:asciiTheme="minorEastAsia" w:hAnsiTheme="minorEastAsia" w:eastAsiaTheme="minorEastAsia"/>
          <w:b/>
          <w:sz w:val="24"/>
        </w:rPr>
      </w:pPr>
      <w:r>
        <w:rPr>
          <w:rFonts w:hint="eastAsia" w:asciiTheme="minorEastAsia" w:hAnsiTheme="minorEastAsia" w:eastAsiaTheme="minorEastAsia"/>
          <w:b/>
          <w:sz w:val="24"/>
        </w:rPr>
        <w:t>商务需求</w:t>
      </w:r>
    </w:p>
    <w:p>
      <w:pPr>
        <w:pStyle w:val="2"/>
        <w:ind w:left="0" w:leftChars="0" w:firstLine="0" w:firstLineChars="0"/>
        <w:rPr>
          <w:rFonts w:hint="default" w:eastAsia="宋体"/>
          <w:lang w:val="en-US" w:eastAsia="zh-CN"/>
        </w:rPr>
      </w:pPr>
      <w:r>
        <w:rPr>
          <w:rFonts w:hint="eastAsia" w:ascii="宋体" w:hAnsi="宋体"/>
          <w:b/>
          <w:sz w:val="24"/>
          <w:lang w:val="en-US" w:eastAsia="zh-CN"/>
        </w:rPr>
        <w:t>1、</w:t>
      </w:r>
      <w:r>
        <w:rPr>
          <w:rFonts w:hint="eastAsia" w:ascii="宋体" w:hAnsi="宋体"/>
          <w:b/>
          <w:sz w:val="24"/>
        </w:rPr>
        <w:t>服务期</w:t>
      </w:r>
      <w:r>
        <w:rPr>
          <w:rFonts w:hint="eastAsia" w:ascii="宋体" w:hAnsi="宋体"/>
          <w:sz w:val="24"/>
        </w:rPr>
        <w:t>：</w:t>
      </w:r>
      <w:r>
        <w:rPr>
          <w:rFonts w:hint="eastAsia" w:ascii="宋体" w:hAnsi="宋体"/>
          <w:sz w:val="24"/>
          <w:lang w:val="en-US" w:eastAsia="zh-CN"/>
        </w:rPr>
        <w:t>合同签订之日起一年。</w:t>
      </w:r>
    </w:p>
    <w:p>
      <w:pPr>
        <w:spacing w:line="360" w:lineRule="auto"/>
        <w:rPr>
          <w:rFonts w:ascii="宋体" w:hAnsi="宋体"/>
          <w:sz w:val="24"/>
        </w:rPr>
      </w:pPr>
      <w:r>
        <w:rPr>
          <w:rFonts w:hint="eastAsia" w:ascii="宋体" w:hAnsi="宋体"/>
          <w:b/>
          <w:sz w:val="24"/>
          <w:lang w:val="en-US" w:eastAsia="zh-CN"/>
        </w:rPr>
        <w:t>2、服务</w:t>
      </w:r>
      <w:r>
        <w:rPr>
          <w:rFonts w:hint="eastAsia" w:ascii="宋体" w:hAnsi="宋体"/>
          <w:b/>
          <w:sz w:val="24"/>
        </w:rPr>
        <w:t>时间及地点：</w:t>
      </w:r>
      <w:r>
        <w:rPr>
          <w:rFonts w:hint="eastAsia" w:ascii="宋体" w:hAnsi="宋体"/>
          <w:sz w:val="24"/>
        </w:rPr>
        <w:t>同前面“招标项目一览表”内所填的相关内容。</w:t>
      </w:r>
    </w:p>
    <w:p>
      <w:pPr>
        <w:spacing w:line="360" w:lineRule="auto"/>
        <w:rPr>
          <w:rFonts w:hint="eastAsia"/>
        </w:rPr>
      </w:pPr>
      <w:r>
        <w:rPr>
          <w:rFonts w:hint="eastAsia" w:ascii="宋体" w:hAnsi="宋体"/>
          <w:b/>
          <w:sz w:val="24"/>
          <w:lang w:val="en-US" w:eastAsia="zh-CN"/>
        </w:rPr>
        <w:t>3、</w:t>
      </w:r>
      <w:r>
        <w:rPr>
          <w:rFonts w:hint="eastAsia" w:ascii="宋体" w:hAnsi="宋体"/>
          <w:b/>
          <w:sz w:val="24"/>
        </w:rPr>
        <w:t>付款条件：</w:t>
      </w:r>
    </w:p>
    <w:p>
      <w:pPr>
        <w:pStyle w:val="2"/>
        <w:spacing w:line="360" w:lineRule="auto"/>
        <w:ind w:left="0" w:leftChars="0" w:firstLine="420" w:firstLineChars="0"/>
        <w:rPr>
          <w:rFonts w:hint="eastAsia" w:eastAsia="宋体"/>
          <w:b/>
          <w:bCs/>
          <w:lang w:val="en-US" w:eastAsia="zh-CN"/>
        </w:rPr>
      </w:pPr>
      <w:r>
        <w:rPr>
          <w:rFonts w:hint="eastAsia" w:ascii="宋体" w:hAnsi="宋体" w:cstheme="minorBidi"/>
          <w:color w:val="000000"/>
          <w:kern w:val="0"/>
          <w:sz w:val="24"/>
        </w:rPr>
        <w:t>合同签订后</w:t>
      </w:r>
      <w:r>
        <w:rPr>
          <w:rFonts w:hint="eastAsia" w:ascii="宋体" w:hAnsi="宋体" w:cstheme="minorBidi"/>
          <w:color w:val="000000"/>
          <w:kern w:val="0"/>
          <w:sz w:val="24"/>
          <w:lang w:val="en-US" w:eastAsia="zh-CN"/>
        </w:rPr>
        <w:t>支付合同金额的10%，服务满3个月后</w:t>
      </w:r>
      <w:r>
        <w:rPr>
          <w:rFonts w:hint="eastAsia" w:ascii="宋体" w:hAnsi="宋体" w:cstheme="minorBidi"/>
          <w:color w:val="000000"/>
          <w:kern w:val="0"/>
          <w:sz w:val="24"/>
        </w:rPr>
        <w:t>支付合同金额的</w:t>
      </w:r>
      <w:r>
        <w:rPr>
          <w:rFonts w:hint="eastAsia" w:ascii="宋体" w:hAnsi="宋体" w:cstheme="minorBidi"/>
          <w:color w:val="000000"/>
          <w:kern w:val="0"/>
          <w:sz w:val="24"/>
          <w:lang w:val="en-US" w:eastAsia="zh-CN"/>
        </w:rPr>
        <w:t>4</w:t>
      </w:r>
      <w:r>
        <w:rPr>
          <w:rFonts w:hint="eastAsia" w:ascii="宋体" w:hAnsi="宋体" w:cstheme="minorBidi"/>
          <w:color w:val="000000"/>
          <w:kern w:val="0"/>
          <w:sz w:val="24"/>
        </w:rPr>
        <w:t>0%，合同服务期结束后五个工作日内支付余</w:t>
      </w:r>
      <w:r>
        <w:rPr>
          <w:rFonts w:hint="eastAsia" w:ascii="宋体" w:hAnsi="宋体" w:cstheme="minorBidi"/>
          <w:color w:val="000000"/>
          <w:kern w:val="0"/>
          <w:sz w:val="24"/>
          <w:lang w:val="en-US" w:eastAsia="zh-CN"/>
        </w:rPr>
        <w:t>款；每期支付金额</w:t>
      </w:r>
      <w:r>
        <w:rPr>
          <w:rFonts w:hint="eastAsia" w:ascii="宋体" w:hAnsi="宋体" w:cstheme="minorBidi"/>
          <w:color w:val="000000"/>
          <w:kern w:val="0"/>
          <w:sz w:val="24"/>
        </w:rPr>
        <w:t>根据考核情况</w:t>
      </w:r>
      <w:r>
        <w:rPr>
          <w:rFonts w:hint="eastAsia" w:ascii="宋体" w:hAnsi="宋体" w:cstheme="minorBidi"/>
          <w:color w:val="000000"/>
          <w:kern w:val="0"/>
          <w:sz w:val="24"/>
          <w:lang w:val="en-US" w:eastAsia="zh-CN"/>
        </w:rPr>
        <w:t>支付</w:t>
      </w:r>
      <w:r>
        <w:rPr>
          <w:rFonts w:hint="eastAsia" w:ascii="宋体" w:hAnsi="宋体" w:cstheme="minorBidi"/>
          <w:color w:val="000000"/>
          <w:kern w:val="0"/>
          <w:sz w:val="24"/>
          <w:lang w:eastAsia="zh-CN"/>
        </w:rPr>
        <w:t>。</w:t>
      </w:r>
    </w:p>
    <w:p>
      <w:pPr>
        <w:pStyle w:val="11"/>
        <w:spacing w:line="360" w:lineRule="auto"/>
        <w:ind w:left="0" w:leftChars="0" w:firstLine="0" w:firstLineChars="0"/>
        <w:rPr>
          <w:rFonts w:asciiTheme="minorEastAsia" w:hAnsiTheme="minorEastAsia" w:eastAsiaTheme="minorEastAsia" w:cstheme="minorBidi"/>
          <w:kern w:val="0"/>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napToGrid w:val="0"/>
        <w:spacing w:before="156" w:beforeLines="50" w:after="156" w:afterLines="50"/>
        <w:jc w:val="center"/>
        <w:rPr>
          <w:rFonts w:ascii="宋体" w:hAnsi="宋体"/>
          <w:b/>
          <w:sz w:val="36"/>
          <w:szCs w:val="36"/>
        </w:rPr>
      </w:pPr>
      <w:r>
        <w:rPr>
          <w:rFonts w:hint="eastAsia" w:ascii="宋体" w:hAnsi="宋体"/>
          <w:b/>
          <w:sz w:val="36"/>
          <w:szCs w:val="36"/>
        </w:rPr>
        <w:t>货物类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3"/>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3"/>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3"/>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3"/>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3"/>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5</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质保期满1年后</w:t>
      </w:r>
      <w:r>
        <w:rPr>
          <w:rFonts w:hint="eastAsia" w:asciiTheme="minorEastAsia" w:hAnsiTheme="minorEastAsia" w:eastAsiaTheme="minorEastAsia" w:cstheme="minorBidi"/>
          <w:sz w:val="24"/>
          <w:lang w:val="zh-CN"/>
        </w:rPr>
        <w:t>无息退还。]</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3"/>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3"/>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3"/>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3"/>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3"/>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3"/>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3"/>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3"/>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3"/>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3"/>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3"/>
        <w:numPr>
          <w:ilvl w:val="0"/>
          <w:numId w:val="14"/>
        </w:numPr>
        <w:snapToGrid w:val="0"/>
        <w:spacing w:before="120" w:after="120" w:line="360" w:lineRule="auto"/>
        <w:ind w:left="420" w:hanging="420" w:hangingChars="175"/>
        <w:rPr>
          <w:rFonts w:asciiTheme="minorEastAsia" w:hAnsiTheme="minorEastAsia" w:eastAsiaTheme="minorEastAsia"/>
          <w:sz w:val="24"/>
        </w:rPr>
      </w:pPr>
      <w:r>
        <w:rPr>
          <w:rFonts w:hint="eastAsia" w:asciiTheme="minorEastAsia" w:hAnsiTheme="minorEastAsia" w:eastAsiaTheme="minorEastAsia"/>
          <w:sz w:val="24"/>
        </w:rPr>
        <w:t>乙方运送的货物涉及商品包装和快递包装的，参考《商品包装政府采购需求标准（试行）》、《快递包装政府采购需求标准（试行）》（财办库［2020］123号）</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3"/>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0"/>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0"/>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10"/>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spacing w:line="360" w:lineRule="auto"/>
        <w:jc w:val="left"/>
        <w:rPr>
          <w:rFonts w:asciiTheme="majorEastAsia" w:hAnsiTheme="majorEastAsia" w:eastAsiaTheme="majorEastAsia"/>
          <w:color w:val="00B0F0"/>
          <w:sz w:val="28"/>
          <w:szCs w:val="28"/>
        </w:rPr>
      </w:pPr>
    </w:p>
    <w:p>
      <w:pPr>
        <w:snapToGrid w:val="0"/>
        <w:spacing w:before="156" w:beforeLines="50" w:after="156" w:afterLines="50"/>
        <w:jc w:val="center"/>
        <w:rPr>
          <w:rFonts w:ascii="宋体" w:hAnsi="宋体"/>
          <w:b/>
          <w:sz w:val="36"/>
          <w:szCs w:val="36"/>
        </w:rPr>
      </w:pPr>
      <w:r>
        <w:rPr>
          <w:rFonts w:hint="eastAsia" w:ascii="宋体" w:hAnsi="宋体"/>
          <w:b/>
          <w:sz w:val="36"/>
          <w:szCs w:val="36"/>
        </w:rPr>
        <w:t>服务类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3"/>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3"/>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3"/>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3"/>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3"/>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pStyle w:val="13"/>
        <w:snapToGrid w:val="0"/>
        <w:spacing w:before="120" w:after="120" w:line="360" w:lineRule="auto"/>
        <w:ind w:hanging="8"/>
        <w:rPr>
          <w:rFonts w:asciiTheme="majorEastAsia" w:hAnsiTheme="majorEastAsia" w:cstheme="majorEastAsia"/>
          <w:color w:val="000000"/>
          <w:sz w:val="24"/>
        </w:rPr>
      </w:pPr>
      <w:r>
        <w:rPr>
          <w:rFonts w:hint="eastAsia" w:asciiTheme="majorEastAsia" w:hAnsiTheme="majorEastAsia" w:cstheme="majorEastAsia"/>
          <w:color w:val="000000"/>
          <w:sz w:val="24"/>
        </w:rPr>
        <w:t>中标后签订合同前5个工作日内，乙方需支付甲方合同金额的5%作为履约保证金，甲方在质保期满后5个工作日内退还乙方。</w:t>
      </w:r>
    </w:p>
    <w:p>
      <w:pPr>
        <w:pStyle w:val="13"/>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3"/>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3"/>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3"/>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3"/>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3"/>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3"/>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3"/>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3"/>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3"/>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3"/>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3"/>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3"/>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3"/>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3"/>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3"/>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3"/>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3"/>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6. 乙方运送的货物涉及商品包装和快递包装的，参考《商品包装政府采购需求标准（试行）》、《快递包装政府采购需求标准（试行）》（财办库［2020］123号）</w:t>
      </w:r>
    </w:p>
    <w:p>
      <w:pPr>
        <w:pStyle w:val="13"/>
        <w:snapToGrid w:val="0"/>
        <w:spacing w:line="360" w:lineRule="auto"/>
        <w:ind w:left="479" w:leftChars="171" w:right="26" w:hanging="120" w:hangingChars="50"/>
        <w:rPr>
          <w:rFonts w:asciiTheme="minorEastAsia" w:hAnsiTheme="minorEastAsia" w:eastAsiaTheme="minorEastAsia"/>
          <w:sz w:val="24"/>
        </w:rPr>
      </w:pP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3"/>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3"/>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3"/>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3"/>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3"/>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3"/>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10"/>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10"/>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10"/>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rPr>
          <w:rFonts w:asciiTheme="majorEastAsia" w:hAnsiTheme="majorEastAsia" w:eastAsiaTheme="majorEastAsia"/>
          <w:color w:val="00B0F0"/>
          <w:sz w:val="28"/>
          <w:szCs w:val="28"/>
        </w:rPr>
      </w:pPr>
    </w:p>
    <w:p>
      <w:pPr>
        <w:pStyle w:val="24"/>
      </w:pPr>
    </w:p>
    <w:p>
      <w:pPr>
        <w:numPr>
          <w:ilvl w:val="0"/>
          <w:numId w:val="6"/>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仿宋_GB2312" w:hAnsi="宋体" w:eastAsia="仿宋_GB2312"/>
          <w:b/>
          <w:bCs/>
          <w:sz w:val="36"/>
          <w:szCs w:val="36"/>
        </w:rPr>
      </w:pPr>
    </w:p>
    <w:p>
      <w:pPr>
        <w:numPr>
          <w:ilvl w:val="0"/>
          <w:numId w:val="15"/>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15"/>
        </w:numPr>
        <w:snapToGrid w:val="0"/>
        <w:spacing w:line="360" w:lineRule="auto"/>
        <w:ind w:firstLine="548" w:firstLineChars="196"/>
        <w:rPr>
          <w:rFonts w:ascii="宋体" w:hAnsi="宋体"/>
          <w:kern w:val="0"/>
          <w:sz w:val="28"/>
          <w:szCs w:val="28"/>
        </w:rPr>
      </w:pPr>
      <w:r>
        <w:rPr>
          <w:bCs/>
          <w:color w:val="000000"/>
          <w:sz w:val="28"/>
          <w:szCs w:val="28"/>
        </w:rPr>
        <w:t>授权</w:t>
      </w:r>
      <w:r>
        <w:rPr>
          <w:rFonts w:hint="eastAsia"/>
          <w:bCs/>
          <w:color w:val="000000"/>
          <w:sz w:val="28"/>
          <w:szCs w:val="28"/>
        </w:rPr>
        <w:t>委托</w:t>
      </w:r>
      <w:r>
        <w:rPr>
          <w:bCs/>
          <w:color w:val="000000"/>
          <w:sz w:val="28"/>
          <w:szCs w:val="28"/>
        </w:rPr>
        <w:t>书</w:t>
      </w:r>
      <w:r>
        <w:rPr>
          <w:rFonts w:hint="eastAsia" w:ascii="宋体" w:hAnsi="宋体"/>
          <w:bCs/>
          <w:sz w:val="28"/>
          <w:szCs w:val="28"/>
        </w:rPr>
        <w:t>（附件3）</w:t>
      </w:r>
    </w:p>
    <w:p>
      <w:pPr>
        <w:numPr>
          <w:ilvl w:val="0"/>
          <w:numId w:val="15"/>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ascii="宋体" w:hAnsi="宋体"/>
          <w:b/>
          <w:sz w:val="28"/>
        </w:rPr>
      </w:pPr>
    </w:p>
    <w:p>
      <w:pPr>
        <w:pStyle w:val="24"/>
        <w:rPr>
          <w:rFonts w:ascii="宋体" w:hAnsi="宋体"/>
          <w:b/>
          <w:sz w:val="28"/>
        </w:rPr>
      </w:pPr>
    </w:p>
    <w:p>
      <w:pPr>
        <w:pStyle w:val="24"/>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12" w:lineRule="auto"/>
        <w:rPr>
          <w:rFonts w:ascii="宋体" w:hAnsi="宋体"/>
          <w:b/>
          <w:sz w:val="28"/>
        </w:rPr>
      </w:pPr>
      <w:r>
        <w:rPr>
          <w:rFonts w:hint="eastAsia" w:ascii="宋体" w:hAnsi="宋体"/>
          <w:b/>
          <w:sz w:val="28"/>
        </w:rPr>
        <w:t>附件2</w:t>
      </w:r>
    </w:p>
    <w:p>
      <w:pPr>
        <w:adjustRightInd w:val="0"/>
        <w:snapToGrid w:val="0"/>
        <w:spacing w:line="312" w:lineRule="auto"/>
        <w:ind w:right="480"/>
        <w:jc w:val="center"/>
        <w:rPr>
          <w:rFonts w:ascii="宋体" w:hAnsi="宋体"/>
          <w:b/>
          <w:kern w:val="0"/>
          <w:sz w:val="32"/>
          <w:szCs w:val="32"/>
          <w:lang w:val="zh-CN"/>
        </w:rPr>
      </w:pPr>
      <w:r>
        <w:rPr>
          <w:rFonts w:hint="eastAsia" w:ascii="宋体" w:hAnsi="宋体"/>
          <w:b/>
          <w:kern w:val="0"/>
          <w:sz w:val="32"/>
          <w:szCs w:val="32"/>
          <w:lang w:val="zh-CN"/>
        </w:rPr>
        <w:t>投标声明书</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lang w:val="en-US" w:eastAsia="zh-CN"/>
        </w:rPr>
        <w:t>采购</w:t>
      </w:r>
      <w:r>
        <w:rPr>
          <w:rFonts w:hint="eastAsia" w:ascii="宋体" w:hAnsi="宋体" w:cs="宋体"/>
          <w:kern w:val="0"/>
          <w:sz w:val="24"/>
        </w:rPr>
        <w:t>机构/采购代理机构名称）：</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6"/>
        </w:num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snapToGrid w:val="0"/>
        <w:spacing w:before="156" w:beforeLines="50" w:after="50" w:line="312" w:lineRule="auto"/>
        <w:ind w:firstLine="480" w:firstLineChars="200"/>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numPr>
          <w:ilvl w:val="255"/>
          <w:numId w:val="0"/>
        </w:numPr>
        <w:snapToGrid w:val="0"/>
        <w:spacing w:before="156" w:beforeLines="50" w:after="50" w:line="312"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156" w:beforeLines="50" w:after="50" w:line="312"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before="156" w:beforeLines="50" w:after="50" w:line="312"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before="156" w:beforeLines="50" w:after="50" w:line="312"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12" w:lineRule="auto"/>
        <w:ind w:firstLine="480"/>
        <w:rPr>
          <w:rFonts w:ascii="宋体" w:hAnsi="宋体" w:cs="仿宋_GB2312"/>
          <w:kern w:val="0"/>
          <w:sz w:val="24"/>
        </w:rPr>
      </w:pPr>
    </w:p>
    <w:p>
      <w:pPr>
        <w:adjustRightInd w:val="0"/>
        <w:snapToGrid w:val="0"/>
        <w:spacing w:line="312"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投标人名称(电子印章)：</w:t>
      </w:r>
    </w:p>
    <w:p>
      <w:pPr>
        <w:adjustRightInd w:val="0"/>
        <w:snapToGrid w:val="0"/>
        <w:spacing w:line="312" w:lineRule="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adjustRightInd w:val="0"/>
        <w:snapToGrid w:val="0"/>
        <w:spacing w:line="312"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color w:val="FF66CC"/>
          <w:sz w:val="24"/>
        </w:rPr>
        <w:t>××</w:t>
      </w:r>
      <w:r>
        <w:rPr>
          <w:rFonts w:hint="eastAsia" w:ascii="宋体" w:hAnsi="宋体" w:cs="仿宋_GB2312"/>
          <w:kern w:val="0"/>
          <w:sz w:val="24"/>
          <w:lang w:val="zh-CN"/>
        </w:rPr>
        <w:t xml:space="preserve">年 </w:t>
      </w:r>
      <w:r>
        <w:rPr>
          <w:rFonts w:hint="eastAsia" w:ascii="宋体" w:hAnsi="宋体" w:cstheme="minorBidi"/>
          <w:color w:val="FF66CC"/>
          <w:sz w:val="24"/>
        </w:rPr>
        <w:t>××</w:t>
      </w:r>
      <w:r>
        <w:rPr>
          <w:rFonts w:hint="eastAsia" w:ascii="宋体" w:hAnsi="宋体" w:cs="仿宋_GB2312"/>
          <w:kern w:val="0"/>
          <w:sz w:val="24"/>
          <w:lang w:val="zh-CN"/>
        </w:rPr>
        <w:t xml:space="preserve"> 月 </w:t>
      </w:r>
      <w:r>
        <w:rPr>
          <w:rFonts w:hint="eastAsia" w:ascii="宋体" w:hAnsi="宋体" w:cstheme="minorBidi"/>
          <w:color w:val="FF66CC"/>
          <w:sz w:val="24"/>
        </w:rPr>
        <w:t>××</w:t>
      </w:r>
      <w:r>
        <w:rPr>
          <w:rFonts w:hint="eastAsia" w:ascii="宋体" w:hAnsi="宋体" w:cs="仿宋_GB2312"/>
          <w:kern w:val="0"/>
          <w:sz w:val="24"/>
          <w:lang w:val="zh-CN"/>
        </w:rPr>
        <w:t xml:space="preserve"> 日</w:t>
      </w:r>
    </w:p>
    <w:p>
      <w:pPr>
        <w:adjustRightInd w:val="0"/>
        <w:snapToGrid w:val="0"/>
        <w:spacing w:line="360" w:lineRule="auto"/>
        <w:ind w:right="480"/>
        <w:rPr>
          <w:rFonts w:ascii="宋体"/>
          <w:b/>
          <w:color w:val="FF0000"/>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color w:val="000000"/>
          <w:sz w:val="32"/>
          <w:szCs w:val="32"/>
        </w:rPr>
        <w:t>授权</w:t>
      </w:r>
      <w:r>
        <w:rPr>
          <w:rFonts w:hint="eastAsia"/>
          <w:b/>
          <w:color w:val="000000"/>
          <w:sz w:val="32"/>
          <w:szCs w:val="32"/>
        </w:rPr>
        <w:t>委托</w:t>
      </w:r>
      <w:r>
        <w:rPr>
          <w:b/>
          <w:color w:val="000000"/>
          <w:sz w:val="32"/>
          <w:szCs w:val="32"/>
        </w:rPr>
        <w:t>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lang w:eastAsia="zh-CN"/>
        </w:rPr>
        <w:t>采购</w:t>
      </w:r>
      <w:r>
        <w:rPr>
          <w:rFonts w:hint="eastAsia" w:ascii="宋体" w:hAnsi="宋体" w:cs="宋体"/>
          <w:kern w:val="0"/>
          <w:sz w:val="24"/>
        </w:rPr>
        <w:t>机构/采购代理机构名称）：</w:t>
      </w:r>
    </w:p>
    <w:p>
      <w:pPr>
        <w:pStyle w:val="13"/>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投标人全称（电子印章）：                              日期：</w:t>
      </w:r>
    </w:p>
    <w:p>
      <w:pPr>
        <w:spacing w:line="360" w:lineRule="auto"/>
        <w:rPr>
          <w:sz w:val="24"/>
        </w:rPr>
      </w:pPr>
    </w:p>
    <w:p>
      <w:pPr>
        <w:spacing w:line="360" w:lineRule="auto"/>
        <w:rPr>
          <w:b/>
          <w:sz w:val="24"/>
        </w:rPr>
      </w:pPr>
      <w:r>
        <w:rPr>
          <w:rFonts w:hint="eastAsia" w:ascii="宋体"/>
          <w:b/>
          <w:sz w:val="24"/>
        </w:rPr>
        <w:t>附：</w:t>
      </w: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156" w:beforeLines="50" w:after="50" w:line="360" w:lineRule="auto"/>
        <w:rPr>
          <w:rFonts w:ascii="仿宋_GB2312" w:hAnsi="宋体" w:eastAsia="仿宋_GB2312"/>
          <w:b/>
          <w:sz w:val="30"/>
          <w:szCs w:val="30"/>
        </w:rPr>
      </w:pPr>
      <w:r>
        <w:rPr>
          <w:rFonts w:hint="eastAsia" w:ascii="宋体" w:hAnsi="宋体"/>
          <w:b/>
          <w:sz w:val="28"/>
        </w:rPr>
        <w:t>附件4：</w:t>
      </w:r>
    </w:p>
    <w:p>
      <w:pPr>
        <w:snapToGrid w:val="0"/>
        <w:spacing w:before="156" w:beforeLines="50" w:after="50" w:line="360" w:lineRule="auto"/>
        <w:jc w:val="right"/>
        <w:rPr>
          <w:rFonts w:ascii="仿宋_GB2312" w:hAnsi="宋体" w:eastAsia="仿宋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bCs/>
          <w:color w:val="000000" w:themeColor="text1"/>
          <w:sz w:val="24"/>
          <w:lang w:val="zh-CN"/>
          <w14:textFill>
            <w14:solidFill>
              <w14:schemeClr w14:val="tx1"/>
            </w14:solidFill>
          </w14:textFill>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投标人全称（电子印章）：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第四部分  其他参考表格（此部分视情况选用）</w:t>
      </w:r>
    </w:p>
    <w:p>
      <w:pPr>
        <w:snapToGrid w:val="0"/>
        <w:spacing w:line="360" w:lineRule="auto"/>
        <w:ind w:firstLine="560" w:firstLineChars="200"/>
        <w:jc w:val="left"/>
        <w:rPr>
          <w:rFonts w:ascii="宋体" w:hAnsi="宋体" w:cs="宋体"/>
          <w:sz w:val="28"/>
          <w:szCs w:val="28"/>
        </w:rPr>
      </w:pPr>
      <w:r>
        <w:rPr>
          <w:rFonts w:hint="eastAsia" w:ascii="宋体" w:hAnsi="宋体" w:cs="宋体"/>
          <w:sz w:val="28"/>
          <w:szCs w:val="28"/>
        </w:rPr>
        <w:t>1、主要货物用材响应表(类似家具类货物采用，附件14)</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（以上内容具体描述详见“第三部分投标人须知”中“三、投标文件”的组成说明）</w:t>
      </w: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p>
    <w:p>
      <w:pPr>
        <w:pStyle w:val="28"/>
        <w:shd w:val="clear" w:color="auto" w:fill="FFFFFF"/>
        <w:spacing w:before="0" w:beforeAutospacing="0" w:after="0" w:afterAutospacing="0" w:line="360" w:lineRule="auto"/>
        <w:rPr>
          <w:b/>
          <w:sz w:val="28"/>
        </w:rPr>
      </w:pPr>
      <w:r>
        <w:rPr>
          <w:rFonts w:hint="eastAsia"/>
          <w:b/>
          <w:sz w:val="28"/>
        </w:rPr>
        <w:t>附件5</w:t>
      </w:r>
    </w:p>
    <w:p>
      <w:pPr>
        <w:pStyle w:val="28"/>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19"/>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23" w:type="dxa"/>
          </w:tcPr>
          <w:p>
            <w:pPr>
              <w:pStyle w:val="28"/>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28"/>
              <w:shd w:val="clear" w:color="auto" w:fill="FFFFFF"/>
              <w:spacing w:line="360" w:lineRule="auto"/>
              <w:rPr>
                <w:bCs/>
                <w:color w:val="000000"/>
              </w:rPr>
            </w:pPr>
          </w:p>
        </w:tc>
        <w:tc>
          <w:tcPr>
            <w:tcW w:w="2001" w:type="dxa"/>
            <w:gridSpan w:val="3"/>
          </w:tcPr>
          <w:p>
            <w:pPr>
              <w:pStyle w:val="28"/>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28"/>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23" w:type="dxa"/>
          </w:tcPr>
          <w:p>
            <w:pPr>
              <w:pStyle w:val="28"/>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28"/>
              <w:shd w:val="clear" w:color="auto" w:fill="FFFFFF"/>
              <w:spacing w:line="360" w:lineRule="auto"/>
              <w:rPr>
                <w:bCs/>
                <w:color w:val="000000"/>
                <w:spacing w:val="16"/>
              </w:rPr>
            </w:pPr>
          </w:p>
        </w:tc>
        <w:tc>
          <w:tcPr>
            <w:tcW w:w="2001" w:type="dxa"/>
            <w:gridSpan w:val="3"/>
          </w:tcPr>
          <w:p>
            <w:pPr>
              <w:pStyle w:val="28"/>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28"/>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28"/>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28"/>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28"/>
              <w:shd w:val="clear" w:color="auto" w:fill="FFFFFF"/>
              <w:spacing w:line="360" w:lineRule="auto"/>
              <w:rPr>
                <w:bCs/>
                <w:color w:val="000000"/>
                <w:spacing w:val="16"/>
              </w:rPr>
            </w:pPr>
          </w:p>
        </w:tc>
        <w:tc>
          <w:tcPr>
            <w:tcW w:w="2001" w:type="dxa"/>
            <w:gridSpan w:val="3"/>
          </w:tcPr>
          <w:p>
            <w:pPr>
              <w:pStyle w:val="28"/>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28"/>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23" w:type="dxa"/>
            <w:vMerge w:val="restart"/>
          </w:tcPr>
          <w:p>
            <w:pPr>
              <w:pStyle w:val="28"/>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28"/>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28"/>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28"/>
              <w:shd w:val="clear" w:color="auto" w:fill="FFFFFF"/>
              <w:spacing w:line="360" w:lineRule="auto"/>
              <w:rPr>
                <w:bCs/>
                <w:color w:val="000000"/>
                <w:spacing w:val="16"/>
              </w:rPr>
            </w:pPr>
          </w:p>
        </w:tc>
        <w:tc>
          <w:tcPr>
            <w:tcW w:w="2001" w:type="dxa"/>
            <w:gridSpan w:val="3"/>
            <w:vMerge w:val="restart"/>
          </w:tcPr>
          <w:p>
            <w:pPr>
              <w:pStyle w:val="28"/>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28"/>
              <w:shd w:val="clear" w:color="auto" w:fill="FFFFFF"/>
              <w:spacing w:line="360" w:lineRule="auto"/>
              <w:ind w:left="107"/>
              <w:rPr>
                <w:bCs/>
                <w:color w:val="000000"/>
              </w:rPr>
            </w:pPr>
          </w:p>
        </w:tc>
        <w:tc>
          <w:tcPr>
            <w:tcW w:w="701" w:type="dxa"/>
            <w:vMerge w:val="continue"/>
            <w:tcBorders>
              <w:bottom w:val="single" w:color="auto" w:sz="4" w:space="0"/>
            </w:tcBorders>
          </w:tcPr>
          <w:p>
            <w:pPr>
              <w:pStyle w:val="28"/>
              <w:shd w:val="clear" w:color="auto" w:fill="FFFFFF"/>
              <w:spacing w:line="360" w:lineRule="auto"/>
              <w:rPr>
                <w:bCs/>
                <w:color w:val="000000"/>
                <w:spacing w:val="16"/>
              </w:rPr>
            </w:pPr>
          </w:p>
        </w:tc>
        <w:tc>
          <w:tcPr>
            <w:tcW w:w="910" w:type="dxa"/>
            <w:gridSpan w:val="2"/>
            <w:tcBorders>
              <w:bottom w:val="single" w:color="auto" w:sz="4" w:space="0"/>
            </w:tcBorders>
          </w:tcPr>
          <w:p>
            <w:pPr>
              <w:pStyle w:val="28"/>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28"/>
              <w:shd w:val="clear" w:color="auto" w:fill="FFFFFF"/>
              <w:spacing w:line="360" w:lineRule="auto"/>
              <w:rPr>
                <w:bCs/>
                <w:color w:val="000000"/>
                <w:spacing w:val="16"/>
              </w:rPr>
            </w:pPr>
          </w:p>
        </w:tc>
        <w:tc>
          <w:tcPr>
            <w:tcW w:w="2001" w:type="dxa"/>
            <w:gridSpan w:val="3"/>
            <w:vMerge w:val="continue"/>
          </w:tcPr>
          <w:p>
            <w:pPr>
              <w:pStyle w:val="28"/>
              <w:shd w:val="clear" w:color="auto" w:fill="FFFFFF"/>
              <w:spacing w:line="360" w:lineRule="auto"/>
              <w:rPr>
                <w:bCs/>
                <w:color w:val="000000"/>
                <w:spacing w:val="16"/>
              </w:rPr>
            </w:pPr>
          </w:p>
        </w:tc>
        <w:tc>
          <w:tcPr>
            <w:tcW w:w="2151" w:type="dxa"/>
            <w:gridSpan w:val="2"/>
            <w:vMerge w:val="continue"/>
          </w:tcPr>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23" w:type="dxa"/>
            <w:vMerge w:val="restart"/>
          </w:tcPr>
          <w:p>
            <w:pPr>
              <w:pStyle w:val="28"/>
              <w:shd w:val="clear" w:color="auto" w:fill="FFFFFF"/>
              <w:spacing w:line="360" w:lineRule="auto"/>
              <w:ind w:left="107"/>
              <w:rPr>
                <w:bCs/>
                <w:color w:val="000000"/>
              </w:rPr>
            </w:pPr>
            <w:r>
              <w:rPr>
                <w:bCs/>
                <w:color w:val="000000"/>
              </w:rPr>
              <w:t>1</w:t>
            </w:r>
            <w:r>
              <w:rPr>
                <w:rFonts w:hint="eastAsia"/>
                <w:bCs/>
                <w:color w:val="000000"/>
              </w:rPr>
              <w:t>.</w:t>
            </w:r>
          </w:p>
          <w:p>
            <w:pPr>
              <w:pStyle w:val="28"/>
              <w:shd w:val="clear" w:color="auto" w:fill="FFFFFF"/>
              <w:spacing w:line="360" w:lineRule="auto"/>
              <w:ind w:left="107"/>
              <w:rPr>
                <w:bCs/>
                <w:color w:val="000000"/>
              </w:rPr>
            </w:pPr>
            <w:r>
              <w:rPr>
                <w:rFonts w:hint="eastAsia"/>
                <w:bCs/>
                <w:color w:val="000000"/>
              </w:rPr>
              <w:t>企</w:t>
            </w:r>
          </w:p>
          <w:p>
            <w:pPr>
              <w:pStyle w:val="28"/>
              <w:shd w:val="clear" w:color="auto" w:fill="FFFFFF"/>
              <w:spacing w:line="360" w:lineRule="auto"/>
              <w:ind w:left="107"/>
              <w:rPr>
                <w:bCs/>
                <w:color w:val="000000"/>
              </w:rPr>
            </w:pPr>
            <w:r>
              <w:rPr>
                <w:rFonts w:hint="eastAsia"/>
                <w:bCs/>
                <w:color w:val="000000"/>
              </w:rPr>
              <w:t>业</w:t>
            </w:r>
          </w:p>
          <w:p>
            <w:pPr>
              <w:pStyle w:val="28"/>
              <w:shd w:val="clear" w:color="auto" w:fill="FFFFFF"/>
              <w:spacing w:line="360" w:lineRule="auto"/>
              <w:ind w:left="107"/>
              <w:rPr>
                <w:bCs/>
                <w:color w:val="000000"/>
                <w:spacing w:val="27"/>
              </w:rPr>
            </w:pPr>
            <w:r>
              <w:rPr>
                <w:rFonts w:hint="eastAsia"/>
                <w:bCs/>
                <w:color w:val="000000"/>
                <w:spacing w:val="27"/>
              </w:rPr>
              <w:t>概</w:t>
            </w:r>
          </w:p>
          <w:p>
            <w:pPr>
              <w:pStyle w:val="28"/>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28"/>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28"/>
              <w:shd w:val="clear" w:color="auto" w:fill="FFFFFF"/>
              <w:spacing w:line="360" w:lineRule="auto"/>
              <w:rPr>
                <w:bCs/>
                <w:color w:val="000000"/>
                <w:spacing w:val="16"/>
              </w:rPr>
            </w:pPr>
          </w:p>
        </w:tc>
        <w:tc>
          <w:tcPr>
            <w:tcW w:w="1163" w:type="dxa"/>
            <w:tcBorders>
              <w:top w:val="nil"/>
            </w:tcBorders>
          </w:tcPr>
          <w:p>
            <w:pPr>
              <w:pStyle w:val="28"/>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28"/>
              <w:shd w:val="clear" w:color="auto" w:fill="FFFFFF"/>
              <w:spacing w:line="360" w:lineRule="auto"/>
              <w:rPr>
                <w:bCs/>
                <w:color w:val="000000"/>
                <w:spacing w:val="16"/>
              </w:rPr>
            </w:pPr>
          </w:p>
        </w:tc>
        <w:tc>
          <w:tcPr>
            <w:tcW w:w="2001" w:type="dxa"/>
            <w:gridSpan w:val="3"/>
          </w:tcPr>
          <w:p>
            <w:pPr>
              <w:pStyle w:val="28"/>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23" w:type="dxa"/>
            <w:vMerge w:val="continue"/>
          </w:tcPr>
          <w:p>
            <w:pPr>
              <w:pStyle w:val="28"/>
              <w:shd w:val="clear" w:color="auto" w:fill="FFFFFF"/>
              <w:spacing w:line="360" w:lineRule="auto"/>
              <w:ind w:left="107"/>
              <w:rPr>
                <w:bCs/>
                <w:color w:val="000000"/>
              </w:rPr>
            </w:pPr>
          </w:p>
        </w:tc>
        <w:tc>
          <w:tcPr>
            <w:tcW w:w="701" w:type="dxa"/>
          </w:tcPr>
          <w:p>
            <w:pPr>
              <w:pStyle w:val="28"/>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28"/>
              <w:shd w:val="clear" w:color="auto" w:fill="FFFFFF"/>
              <w:spacing w:line="360" w:lineRule="auto"/>
              <w:rPr>
                <w:bCs/>
                <w:color w:val="000000"/>
              </w:rPr>
            </w:pPr>
          </w:p>
        </w:tc>
        <w:tc>
          <w:tcPr>
            <w:tcW w:w="1163" w:type="dxa"/>
          </w:tcPr>
          <w:p>
            <w:pPr>
              <w:pStyle w:val="28"/>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28"/>
              <w:shd w:val="clear" w:color="auto" w:fill="FFFFFF"/>
              <w:spacing w:line="360" w:lineRule="auto"/>
              <w:ind w:firstLine="480" w:firstLineChars="200"/>
              <w:rPr>
                <w:bCs/>
                <w:color w:val="000000"/>
              </w:rPr>
            </w:pPr>
            <w:r>
              <w:rPr>
                <w:rFonts w:hint="eastAsia"/>
                <w:bCs/>
                <w:color w:val="000000"/>
              </w:rPr>
              <w:t xml:space="preserve">平方米 </w:t>
            </w:r>
          </w:p>
          <w:p>
            <w:pPr>
              <w:pStyle w:val="28"/>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28"/>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28"/>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23" w:type="dxa"/>
            <w:vMerge w:val="continue"/>
          </w:tcPr>
          <w:p>
            <w:pPr>
              <w:pStyle w:val="28"/>
              <w:shd w:val="clear" w:color="auto" w:fill="FFFFFF"/>
              <w:spacing w:line="360" w:lineRule="auto"/>
              <w:ind w:left="107"/>
              <w:rPr>
                <w:bCs/>
                <w:color w:val="000000"/>
              </w:rPr>
            </w:pPr>
          </w:p>
        </w:tc>
        <w:tc>
          <w:tcPr>
            <w:tcW w:w="701" w:type="dxa"/>
          </w:tcPr>
          <w:p>
            <w:pPr>
              <w:pStyle w:val="28"/>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28"/>
              <w:shd w:val="clear" w:color="auto" w:fill="FFFFFF"/>
              <w:spacing w:line="360" w:lineRule="auto"/>
              <w:ind w:left="2"/>
              <w:rPr>
                <w:bCs/>
                <w:color w:val="000000"/>
              </w:rPr>
            </w:pPr>
          </w:p>
        </w:tc>
        <w:tc>
          <w:tcPr>
            <w:tcW w:w="1163" w:type="dxa"/>
          </w:tcPr>
          <w:p>
            <w:pPr>
              <w:pStyle w:val="28"/>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28"/>
              <w:shd w:val="clear" w:color="auto" w:fill="FFFFFF"/>
              <w:spacing w:line="360" w:lineRule="auto"/>
              <w:ind w:left="107"/>
              <w:rPr>
                <w:bCs/>
                <w:color w:val="000000"/>
              </w:rPr>
            </w:pPr>
          </w:p>
        </w:tc>
        <w:tc>
          <w:tcPr>
            <w:tcW w:w="1218" w:type="dxa"/>
          </w:tcPr>
          <w:p>
            <w:pPr>
              <w:pStyle w:val="28"/>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28"/>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823" w:type="dxa"/>
            <w:vMerge w:val="continue"/>
          </w:tcPr>
          <w:p>
            <w:pPr>
              <w:pStyle w:val="28"/>
              <w:shd w:val="clear" w:color="auto" w:fill="FFFFFF"/>
              <w:spacing w:line="360" w:lineRule="auto"/>
              <w:ind w:left="107"/>
              <w:rPr>
                <w:bCs/>
                <w:color w:val="000000"/>
              </w:rPr>
            </w:pPr>
          </w:p>
        </w:tc>
        <w:tc>
          <w:tcPr>
            <w:tcW w:w="701" w:type="dxa"/>
          </w:tcPr>
          <w:p>
            <w:pPr>
              <w:pStyle w:val="28"/>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28"/>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23" w:type="dxa"/>
            <w:vMerge w:val="continue"/>
          </w:tcPr>
          <w:p>
            <w:pPr>
              <w:pStyle w:val="28"/>
              <w:shd w:val="clear" w:color="auto" w:fill="FFFFFF"/>
              <w:spacing w:line="360" w:lineRule="auto"/>
              <w:ind w:left="107"/>
              <w:rPr>
                <w:bCs/>
                <w:color w:val="000000"/>
              </w:rPr>
            </w:pPr>
          </w:p>
        </w:tc>
        <w:tc>
          <w:tcPr>
            <w:tcW w:w="8131" w:type="dxa"/>
            <w:gridSpan w:val="11"/>
          </w:tcPr>
          <w:p>
            <w:pPr>
              <w:pStyle w:val="28"/>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23" w:type="dxa"/>
            <w:vMerge w:val="restart"/>
          </w:tcPr>
          <w:p>
            <w:pPr>
              <w:pStyle w:val="28"/>
              <w:shd w:val="clear" w:color="auto" w:fill="FFFFFF"/>
              <w:spacing w:line="360" w:lineRule="auto"/>
              <w:ind w:left="107"/>
              <w:rPr>
                <w:bCs/>
                <w:color w:val="000000"/>
              </w:rPr>
            </w:pPr>
            <w:r>
              <w:rPr>
                <w:bCs/>
                <w:color w:val="000000"/>
              </w:rPr>
              <w:t>2</w:t>
            </w:r>
            <w:r>
              <w:rPr>
                <w:rFonts w:hint="eastAsia"/>
                <w:bCs/>
                <w:color w:val="000000"/>
              </w:rPr>
              <w:t>．</w:t>
            </w:r>
          </w:p>
          <w:p>
            <w:pPr>
              <w:pStyle w:val="28"/>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28"/>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28"/>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28"/>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28"/>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28"/>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28"/>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823" w:type="dxa"/>
            <w:vMerge w:val="continue"/>
          </w:tcPr>
          <w:p>
            <w:pPr>
              <w:pStyle w:val="28"/>
              <w:shd w:val="clear" w:color="auto" w:fill="FFFFFF"/>
              <w:spacing w:line="360" w:lineRule="auto"/>
              <w:ind w:left="107"/>
              <w:rPr>
                <w:bCs/>
                <w:color w:val="000000"/>
              </w:rPr>
            </w:pPr>
          </w:p>
        </w:tc>
        <w:tc>
          <w:tcPr>
            <w:tcW w:w="1553" w:type="dxa"/>
            <w:gridSpan w:val="2"/>
            <w:vMerge w:val="continue"/>
          </w:tcPr>
          <w:p>
            <w:pPr>
              <w:pStyle w:val="28"/>
              <w:shd w:val="clear" w:color="auto" w:fill="FFFFFF"/>
              <w:spacing w:line="360" w:lineRule="auto"/>
              <w:rPr>
                <w:bCs/>
                <w:color w:val="000000"/>
              </w:rPr>
            </w:pPr>
          </w:p>
        </w:tc>
        <w:tc>
          <w:tcPr>
            <w:tcW w:w="1333" w:type="dxa"/>
            <w:gridSpan w:val="3"/>
          </w:tcPr>
          <w:p>
            <w:pPr>
              <w:pStyle w:val="28"/>
              <w:shd w:val="clear" w:color="auto" w:fill="FFFFFF"/>
              <w:spacing w:line="360" w:lineRule="auto"/>
              <w:rPr>
                <w:bCs/>
                <w:color w:val="000000"/>
              </w:rPr>
            </w:pPr>
          </w:p>
        </w:tc>
        <w:tc>
          <w:tcPr>
            <w:tcW w:w="1418" w:type="dxa"/>
            <w:gridSpan w:val="2"/>
          </w:tcPr>
          <w:p>
            <w:pPr>
              <w:pStyle w:val="28"/>
              <w:shd w:val="clear" w:color="auto" w:fill="FFFFFF"/>
              <w:spacing w:line="360" w:lineRule="auto"/>
              <w:rPr>
                <w:bCs/>
                <w:color w:val="000000"/>
              </w:rPr>
            </w:pPr>
          </w:p>
        </w:tc>
        <w:tc>
          <w:tcPr>
            <w:tcW w:w="1276" w:type="dxa"/>
          </w:tcPr>
          <w:p>
            <w:pPr>
              <w:pStyle w:val="28"/>
              <w:shd w:val="clear" w:color="auto" w:fill="FFFFFF"/>
              <w:spacing w:line="360" w:lineRule="auto"/>
              <w:rPr>
                <w:bCs/>
                <w:color w:val="000000"/>
              </w:rPr>
            </w:pPr>
          </w:p>
        </w:tc>
        <w:tc>
          <w:tcPr>
            <w:tcW w:w="2551" w:type="dxa"/>
            <w:gridSpan w:val="3"/>
          </w:tcPr>
          <w:p>
            <w:pPr>
              <w:pStyle w:val="28"/>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23" w:type="dxa"/>
            <w:vMerge w:val="continue"/>
          </w:tcPr>
          <w:p>
            <w:pPr>
              <w:pStyle w:val="28"/>
              <w:shd w:val="clear" w:color="auto" w:fill="FFFFFF"/>
              <w:spacing w:line="360" w:lineRule="auto"/>
              <w:ind w:left="107"/>
              <w:rPr>
                <w:bCs/>
                <w:color w:val="000000"/>
                <w:spacing w:val="16"/>
              </w:rPr>
            </w:pPr>
          </w:p>
        </w:tc>
        <w:tc>
          <w:tcPr>
            <w:tcW w:w="1553" w:type="dxa"/>
            <w:gridSpan w:val="2"/>
          </w:tcPr>
          <w:p>
            <w:pPr>
              <w:pStyle w:val="28"/>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28"/>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23" w:type="dxa"/>
            <w:vMerge w:val="continue"/>
          </w:tcPr>
          <w:p>
            <w:pPr>
              <w:pStyle w:val="28"/>
              <w:shd w:val="clear" w:color="auto" w:fill="FFFFFF"/>
              <w:spacing w:line="360" w:lineRule="auto"/>
              <w:ind w:left="107"/>
              <w:rPr>
                <w:bCs/>
                <w:color w:val="000000"/>
                <w:spacing w:val="27"/>
              </w:rPr>
            </w:pPr>
          </w:p>
        </w:tc>
        <w:tc>
          <w:tcPr>
            <w:tcW w:w="1553" w:type="dxa"/>
            <w:gridSpan w:val="2"/>
          </w:tcPr>
          <w:p>
            <w:pPr>
              <w:pStyle w:val="28"/>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28"/>
              <w:shd w:val="clear" w:color="auto" w:fill="FFFFFF"/>
              <w:spacing w:line="360" w:lineRule="auto"/>
              <w:rPr>
                <w:bCs/>
                <w:color w:val="000000"/>
                <w:spacing w:val="16"/>
              </w:rPr>
            </w:pPr>
          </w:p>
        </w:tc>
      </w:tr>
    </w:tbl>
    <w:p>
      <w:pPr>
        <w:pStyle w:val="28"/>
        <w:shd w:val="clear" w:color="auto" w:fill="FFFFFF"/>
        <w:spacing w:before="0" w:beforeAutospacing="0" w:after="0" w:afterAutospacing="0" w:line="360" w:lineRule="auto"/>
        <w:rPr>
          <w:rFonts w:ascii="仿宋_GB2312" w:eastAsia="仿宋_GB2312"/>
        </w:rPr>
      </w:pPr>
    </w:p>
    <w:p>
      <w:pPr>
        <w:pStyle w:val="28"/>
        <w:shd w:val="clear" w:color="auto" w:fill="FFFFFF"/>
        <w:spacing w:before="0" w:beforeAutospacing="0" w:after="0" w:afterAutospacing="0" w:line="360" w:lineRule="auto"/>
        <w:rPr>
          <w:b/>
          <w:sz w:val="21"/>
          <w:szCs w:val="21"/>
        </w:rPr>
      </w:pPr>
      <w:r>
        <w:rPr>
          <w:rFonts w:hint="eastAsia"/>
          <w:b/>
          <w:sz w:val="21"/>
          <w:szCs w:val="21"/>
        </w:rPr>
        <w:t>要求：</w:t>
      </w:r>
    </w:p>
    <w:p>
      <w:pPr>
        <w:pStyle w:val="28"/>
        <w:shd w:val="clear" w:color="auto" w:fill="FFFFFF"/>
        <w:spacing w:before="0" w:beforeAutospacing="0" w:after="0" w:afterAutospacing="0" w:line="360" w:lineRule="auto"/>
        <w:ind w:firstLine="424" w:firstLineChars="202"/>
        <w:rPr>
          <w:color w:val="000000"/>
          <w:sz w:val="21"/>
          <w:szCs w:val="21"/>
        </w:rPr>
      </w:pPr>
      <w:r>
        <w:rPr>
          <w:rFonts w:hint="eastAsia" w:ascii="仿宋_GB2312" w:eastAsia="仿宋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8"/>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spacing w:line="360" w:lineRule="auto"/>
        <w:rPr>
          <w:rFonts w:ascii="宋体" w:hAnsi="宋体"/>
          <w:sz w:val="24"/>
        </w:rPr>
      </w:pPr>
      <w:r>
        <w:rPr>
          <w:rFonts w:hint="eastAsia" w:ascii="宋体" w:hAnsi="宋体"/>
          <w:b/>
          <w:sz w:val="28"/>
        </w:rPr>
        <w:t>附件6</w:t>
      </w:r>
    </w:p>
    <w:p>
      <w:pPr>
        <w:snapToGrid w:val="0"/>
        <w:spacing w:before="156"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156"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19"/>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4"/>
              <w:snapToGrid w:val="0"/>
              <w:spacing w:before="156"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4"/>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w:t>
      </w:r>
      <w:r>
        <w:rPr>
          <w:rFonts w:hint="eastAsia" w:ascii="宋体" w:hAnsi="宋体"/>
          <w:szCs w:val="21"/>
        </w:rPr>
        <w:t>在填写时，如本表格不适合投标单位的实际情况，可根据本表格式自行划表填写。</w:t>
      </w:r>
    </w:p>
    <w:p>
      <w:pPr>
        <w:pStyle w:val="29"/>
        <w:spacing w:line="360" w:lineRule="auto"/>
        <w:ind w:left="424" w:leftChars="202"/>
        <w:rPr>
          <w:rFonts w:ascii="宋体" w:hAnsi="宋体"/>
          <w:szCs w:val="21"/>
        </w:rPr>
      </w:pPr>
      <w:r>
        <w:rPr>
          <w:rFonts w:hint="eastAsia" w:ascii="宋体" w:hAnsi="宋体"/>
          <w:szCs w:val="21"/>
        </w:rPr>
        <w:t>2.附人员证书复印件；</w:t>
      </w:r>
    </w:p>
    <w:p>
      <w:pPr>
        <w:pStyle w:val="29"/>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56" w:afterLines="50" w:line="360" w:lineRule="auto"/>
        <w:jc w:val="left"/>
        <w:rPr>
          <w:rFonts w:ascii="宋体" w:hAnsi="宋体"/>
          <w:sz w:val="24"/>
          <w:szCs w:val="20"/>
        </w:rPr>
      </w:pPr>
    </w:p>
    <w:p>
      <w:pPr>
        <w:snapToGrid w:val="0"/>
        <w:spacing w:before="50" w:after="156"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rPr>
      </w:pPr>
      <w:r>
        <w:rPr>
          <w:rFonts w:hint="eastAsia" w:ascii="宋体" w:hAnsi="宋体"/>
          <w:b/>
          <w:sz w:val="28"/>
        </w:rPr>
        <w:t>附件7</w:t>
      </w:r>
    </w:p>
    <w:p>
      <w:pPr>
        <w:spacing w:before="156" w:beforeLines="50" w:after="156"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19"/>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19"/>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投标人名称（电子印章）：</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投标人代表签字或电子印章：</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color w:val="33CCCC"/>
          <w:sz w:val="32"/>
          <w:szCs w:val="32"/>
        </w:rPr>
        <w:t>(第 标)</w:t>
      </w:r>
    </w:p>
    <w:p>
      <w:pPr>
        <w:spacing w:line="360" w:lineRule="auto"/>
        <w:rPr>
          <w:rFonts w:ascii="宋体" w:hAnsi="宋体"/>
          <w:sz w:val="24"/>
        </w:rPr>
      </w:pPr>
    </w:p>
    <w:tbl>
      <w:tblPr>
        <w:tblStyle w:val="19"/>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30"/>
        <w:tabs>
          <w:tab w:val="left" w:pos="360"/>
        </w:tabs>
        <w:spacing w:line="360" w:lineRule="auto"/>
        <w:ind w:right="84" w:rightChars="40"/>
        <w:rPr>
          <w:rFonts w:ascii="宋体"/>
          <w:b/>
          <w:szCs w:val="21"/>
        </w:rPr>
      </w:pPr>
      <w:r>
        <w:rPr>
          <w:rFonts w:hint="eastAsia" w:ascii="宋体"/>
          <w:b/>
          <w:szCs w:val="21"/>
        </w:rPr>
        <w:t>要求：</w:t>
      </w:r>
    </w:p>
    <w:p>
      <w:pPr>
        <w:pStyle w:val="30"/>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0"/>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0"/>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31"/>
        <w:spacing w:line="360" w:lineRule="auto"/>
        <w:jc w:val="left"/>
        <w:rPr>
          <w:rFonts w:ascii="宋体" w:hAnsi="宋体"/>
          <w:b/>
          <w:sz w:val="28"/>
        </w:rPr>
      </w:pPr>
      <w:r>
        <w:rPr>
          <w:rFonts w:hint="eastAsia" w:ascii="宋体" w:hAnsi="宋体"/>
          <w:b/>
          <w:sz w:val="28"/>
        </w:rPr>
        <w:t>附件10</w:t>
      </w:r>
    </w:p>
    <w:p>
      <w:pPr>
        <w:pStyle w:val="32"/>
        <w:spacing w:line="360" w:lineRule="auto"/>
        <w:jc w:val="center"/>
        <w:rPr>
          <w:rFonts w:ascii="宋体" w:hAnsi="宋体"/>
          <w:b/>
          <w:sz w:val="32"/>
          <w:szCs w:val="32"/>
        </w:rPr>
      </w:pPr>
      <w:r>
        <w:rPr>
          <w:rFonts w:hint="eastAsia" w:ascii="宋体" w:hAnsi="宋体"/>
          <w:b/>
          <w:sz w:val="32"/>
          <w:szCs w:val="32"/>
        </w:rPr>
        <w:t>证书一览表</w:t>
      </w:r>
    </w:p>
    <w:p>
      <w:pPr>
        <w:pStyle w:val="32"/>
        <w:spacing w:line="360" w:lineRule="auto"/>
        <w:jc w:val="center"/>
        <w:rPr>
          <w:rFonts w:ascii="宋体" w:hAnsi="宋体" w:cs="Arial"/>
          <w:sz w:val="28"/>
          <w:szCs w:val="28"/>
        </w:rPr>
      </w:pPr>
    </w:p>
    <w:tbl>
      <w:tblPr>
        <w:tblStyle w:val="19"/>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2"/>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2"/>
              <w:spacing w:line="360" w:lineRule="auto"/>
              <w:jc w:val="center"/>
              <w:rPr>
                <w:rFonts w:ascii="宋体" w:hAnsi="宋体" w:cs="Arial"/>
                <w:szCs w:val="21"/>
              </w:rPr>
            </w:pPr>
          </w:p>
        </w:tc>
        <w:tc>
          <w:tcPr>
            <w:tcW w:w="2258" w:type="dxa"/>
            <w:tcBorders>
              <w:top w:val="single" w:color="auto" w:sz="4" w:space="0"/>
            </w:tcBorders>
          </w:tcPr>
          <w:p>
            <w:pPr>
              <w:pStyle w:val="32"/>
              <w:spacing w:line="360" w:lineRule="auto"/>
              <w:jc w:val="center"/>
              <w:rPr>
                <w:rFonts w:ascii="宋体" w:hAnsi="宋体" w:cs="Arial"/>
                <w:szCs w:val="21"/>
              </w:rPr>
            </w:pPr>
          </w:p>
        </w:tc>
        <w:tc>
          <w:tcPr>
            <w:tcW w:w="2260" w:type="dxa"/>
            <w:tcBorders>
              <w:top w:val="single" w:color="auto" w:sz="4" w:space="0"/>
            </w:tcBorders>
          </w:tcPr>
          <w:p>
            <w:pPr>
              <w:pStyle w:val="32"/>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2"/>
              <w:spacing w:line="360" w:lineRule="auto"/>
              <w:jc w:val="center"/>
              <w:rPr>
                <w:rFonts w:ascii="宋体" w:hAnsi="宋体" w:cs="Arial"/>
                <w:szCs w:val="21"/>
              </w:rPr>
            </w:pPr>
          </w:p>
        </w:tc>
        <w:tc>
          <w:tcPr>
            <w:tcW w:w="2258" w:type="dxa"/>
          </w:tcPr>
          <w:p>
            <w:pPr>
              <w:pStyle w:val="32"/>
              <w:spacing w:line="360" w:lineRule="auto"/>
              <w:jc w:val="center"/>
              <w:rPr>
                <w:rFonts w:ascii="宋体" w:hAnsi="宋体" w:cs="Arial"/>
                <w:szCs w:val="21"/>
              </w:rPr>
            </w:pPr>
          </w:p>
        </w:tc>
        <w:tc>
          <w:tcPr>
            <w:tcW w:w="2260" w:type="dxa"/>
          </w:tcPr>
          <w:p>
            <w:pPr>
              <w:pStyle w:val="32"/>
              <w:spacing w:line="360" w:lineRule="auto"/>
              <w:jc w:val="center"/>
              <w:rPr>
                <w:rFonts w:ascii="宋体" w:hAnsi="宋体" w:cs="Arial"/>
                <w:szCs w:val="21"/>
              </w:rPr>
            </w:pPr>
          </w:p>
        </w:tc>
        <w:tc>
          <w:tcPr>
            <w:tcW w:w="2047" w:type="dxa"/>
            <w:tcBorders>
              <w:right w:val="single" w:color="auto" w:sz="4" w:space="0"/>
            </w:tcBorders>
          </w:tcPr>
          <w:p>
            <w:pPr>
              <w:pStyle w:val="32"/>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2"/>
              <w:spacing w:line="360" w:lineRule="auto"/>
              <w:jc w:val="center"/>
              <w:rPr>
                <w:rFonts w:ascii="宋体" w:hAnsi="宋体" w:cs="Arial"/>
                <w:szCs w:val="21"/>
              </w:rPr>
            </w:pPr>
          </w:p>
        </w:tc>
        <w:tc>
          <w:tcPr>
            <w:tcW w:w="2258" w:type="dxa"/>
            <w:tcBorders>
              <w:bottom w:val="single" w:color="auto" w:sz="4" w:space="0"/>
            </w:tcBorders>
          </w:tcPr>
          <w:p>
            <w:pPr>
              <w:pStyle w:val="32"/>
              <w:spacing w:line="360" w:lineRule="auto"/>
              <w:jc w:val="center"/>
              <w:rPr>
                <w:rFonts w:ascii="宋体" w:hAnsi="宋体" w:cs="Arial"/>
                <w:szCs w:val="21"/>
              </w:rPr>
            </w:pPr>
          </w:p>
        </w:tc>
        <w:tc>
          <w:tcPr>
            <w:tcW w:w="2260" w:type="dxa"/>
            <w:tcBorders>
              <w:bottom w:val="single" w:color="auto" w:sz="4" w:space="0"/>
            </w:tcBorders>
          </w:tcPr>
          <w:p>
            <w:pPr>
              <w:pStyle w:val="32"/>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2"/>
              <w:spacing w:line="360" w:lineRule="auto"/>
              <w:jc w:val="center"/>
              <w:rPr>
                <w:rFonts w:ascii="宋体" w:hAnsi="宋体" w:cs="Arial"/>
                <w:szCs w:val="21"/>
              </w:rPr>
            </w:pPr>
          </w:p>
        </w:tc>
      </w:tr>
    </w:tbl>
    <w:p>
      <w:pPr>
        <w:pStyle w:val="32"/>
        <w:tabs>
          <w:tab w:val="left" w:pos="1050"/>
        </w:tabs>
        <w:spacing w:line="360" w:lineRule="auto"/>
        <w:rPr>
          <w:rFonts w:ascii="仿宋_GB2312" w:hAnsi="宋体" w:eastAsia="仿宋_GB2312"/>
          <w:sz w:val="24"/>
        </w:rPr>
      </w:pPr>
    </w:p>
    <w:p>
      <w:pPr>
        <w:pStyle w:val="32"/>
        <w:tabs>
          <w:tab w:val="left" w:pos="1050"/>
        </w:tabs>
        <w:spacing w:line="360" w:lineRule="auto"/>
        <w:rPr>
          <w:rFonts w:ascii="宋体" w:hAnsi="宋体"/>
          <w:szCs w:val="21"/>
        </w:rPr>
      </w:pPr>
      <w:r>
        <w:rPr>
          <w:rFonts w:hint="eastAsia" w:ascii="宋体" w:hAnsi="宋体"/>
          <w:b/>
          <w:szCs w:val="21"/>
        </w:rPr>
        <w:t>要求：</w:t>
      </w:r>
    </w:p>
    <w:p>
      <w:pPr>
        <w:pStyle w:val="32"/>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32"/>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2"/>
        <w:tabs>
          <w:tab w:val="left" w:pos="1050"/>
        </w:tabs>
        <w:spacing w:line="360" w:lineRule="auto"/>
        <w:ind w:firstLine="720" w:firstLineChars="300"/>
        <w:rPr>
          <w:rFonts w:ascii="仿宋_GB2312" w:hAnsi="宋体" w:eastAsia="仿宋_GB2312"/>
          <w:sz w:val="24"/>
        </w:rPr>
      </w:pPr>
    </w:p>
    <w:p>
      <w:pPr>
        <w:pStyle w:val="32"/>
        <w:tabs>
          <w:tab w:val="left" w:pos="1050"/>
        </w:tabs>
        <w:spacing w:line="360" w:lineRule="auto"/>
        <w:ind w:firstLine="720" w:firstLineChars="300"/>
        <w:rPr>
          <w:rFonts w:ascii="仿宋_GB2312" w:hAnsi="宋体" w:eastAsia="仿宋_GB2312"/>
          <w:sz w:val="24"/>
        </w:rPr>
      </w:pPr>
    </w:p>
    <w:p>
      <w:pPr>
        <w:pStyle w:val="32"/>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8"/>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31"/>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1"/>
        <w:spacing w:line="360" w:lineRule="auto"/>
        <w:jc w:val="center"/>
        <w:rPr>
          <w:rFonts w:ascii="仿宋_GB2312" w:eastAsia="仿宋_GB2312"/>
          <w:b/>
          <w:sz w:val="28"/>
          <w:szCs w:val="28"/>
        </w:rPr>
      </w:pPr>
    </w:p>
    <w:tbl>
      <w:tblPr>
        <w:tblStyle w:val="19"/>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1"/>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1"/>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2"/>
        <w:tabs>
          <w:tab w:val="left" w:pos="1050"/>
        </w:tabs>
        <w:spacing w:line="360" w:lineRule="auto"/>
        <w:rPr>
          <w:rFonts w:ascii="仿宋_GB2312" w:hAnsi="宋体" w:eastAsia="仿宋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19"/>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19"/>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vAlign w:val="center"/>
          </w:tcPr>
          <w:p>
            <w:pPr>
              <w:pStyle w:val="33"/>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33"/>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33"/>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33"/>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3"/>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33"/>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33"/>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33"/>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3"/>
              <w:widowControl/>
              <w:spacing w:line="360" w:lineRule="auto"/>
              <w:jc w:val="left"/>
              <w:rPr>
                <w:rFonts w:ascii="宋体" w:hAnsi="宋体" w:cs="Arial"/>
                <w:bCs/>
                <w:sz w:val="24"/>
              </w:rPr>
            </w:pPr>
          </w:p>
        </w:tc>
        <w:tc>
          <w:tcPr>
            <w:tcW w:w="2355" w:type="dxa"/>
            <w:vMerge w:val="continue"/>
            <w:vAlign w:val="center"/>
          </w:tcPr>
          <w:p>
            <w:pPr>
              <w:pStyle w:val="33"/>
              <w:widowControl/>
              <w:spacing w:line="360" w:lineRule="auto"/>
              <w:jc w:val="left"/>
              <w:rPr>
                <w:rFonts w:ascii="宋体" w:hAnsi="宋体" w:cs="Arial"/>
                <w:bCs/>
                <w:sz w:val="24"/>
              </w:rPr>
            </w:pPr>
          </w:p>
        </w:tc>
        <w:tc>
          <w:tcPr>
            <w:tcW w:w="4061" w:type="dxa"/>
          </w:tcPr>
          <w:p>
            <w:pPr>
              <w:pStyle w:val="33"/>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3"/>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33"/>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33"/>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33"/>
              <w:widowControl/>
              <w:spacing w:line="360" w:lineRule="auto"/>
              <w:jc w:val="left"/>
              <w:rPr>
                <w:rFonts w:ascii="宋体" w:hAnsi="宋体" w:cs="Arial"/>
                <w:bCs/>
                <w:sz w:val="24"/>
              </w:rPr>
            </w:pPr>
          </w:p>
          <w:p>
            <w:pPr>
              <w:pStyle w:val="33"/>
              <w:widowControl/>
              <w:spacing w:line="360" w:lineRule="auto"/>
              <w:jc w:val="left"/>
              <w:rPr>
                <w:rFonts w:ascii="宋体" w:hAnsi="宋体" w:cs="Arial"/>
                <w:bCs/>
                <w:sz w:val="24"/>
              </w:rPr>
            </w:pPr>
          </w:p>
          <w:p>
            <w:pPr>
              <w:pStyle w:val="33"/>
              <w:spacing w:line="360" w:lineRule="auto"/>
              <w:rPr>
                <w:rFonts w:ascii="宋体" w:hAnsi="宋体" w:cs="Arial"/>
                <w:bCs/>
                <w:sz w:val="24"/>
              </w:rPr>
            </w:pPr>
          </w:p>
        </w:tc>
        <w:tc>
          <w:tcPr>
            <w:tcW w:w="1373" w:type="dxa"/>
          </w:tcPr>
          <w:p>
            <w:pPr>
              <w:pStyle w:val="33"/>
              <w:widowControl/>
              <w:spacing w:line="360" w:lineRule="auto"/>
              <w:jc w:val="left"/>
              <w:rPr>
                <w:rFonts w:ascii="宋体" w:hAnsi="宋体" w:cs="Arial"/>
                <w:bCs/>
                <w:sz w:val="24"/>
              </w:rPr>
            </w:pPr>
          </w:p>
          <w:p>
            <w:pPr>
              <w:pStyle w:val="33"/>
              <w:widowControl/>
              <w:spacing w:line="360" w:lineRule="auto"/>
              <w:jc w:val="left"/>
              <w:rPr>
                <w:rFonts w:ascii="宋体" w:hAnsi="宋体" w:cs="Arial"/>
                <w:bCs/>
                <w:sz w:val="24"/>
              </w:rPr>
            </w:pPr>
          </w:p>
          <w:p>
            <w:pPr>
              <w:pStyle w:val="33"/>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33"/>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33"/>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33"/>
              <w:widowControl/>
              <w:spacing w:line="360" w:lineRule="auto"/>
              <w:jc w:val="left"/>
              <w:rPr>
                <w:rFonts w:ascii="宋体" w:hAnsi="宋体" w:cs="Arial"/>
                <w:bCs/>
                <w:i/>
                <w:sz w:val="24"/>
              </w:rPr>
            </w:pPr>
          </w:p>
          <w:p>
            <w:pPr>
              <w:pStyle w:val="33"/>
              <w:widowControl/>
              <w:spacing w:line="360" w:lineRule="auto"/>
              <w:jc w:val="left"/>
              <w:rPr>
                <w:rFonts w:ascii="宋体" w:hAnsi="宋体" w:cs="Arial"/>
                <w:bCs/>
                <w:i/>
                <w:sz w:val="24"/>
              </w:rPr>
            </w:pPr>
          </w:p>
        </w:tc>
        <w:tc>
          <w:tcPr>
            <w:tcW w:w="1373" w:type="dxa"/>
          </w:tcPr>
          <w:p>
            <w:pPr>
              <w:pStyle w:val="33"/>
              <w:widowControl/>
              <w:spacing w:line="360" w:lineRule="auto"/>
              <w:jc w:val="left"/>
              <w:rPr>
                <w:rFonts w:ascii="宋体" w:hAnsi="宋体" w:cs="Arial"/>
                <w:bCs/>
                <w:i/>
                <w:sz w:val="24"/>
              </w:rPr>
            </w:pPr>
          </w:p>
          <w:p>
            <w:pPr>
              <w:pStyle w:val="33"/>
              <w:widowControl/>
              <w:spacing w:line="360" w:lineRule="auto"/>
              <w:jc w:val="left"/>
              <w:rPr>
                <w:rFonts w:ascii="宋体" w:hAnsi="宋体" w:cs="Arial"/>
                <w:bCs/>
                <w:i/>
                <w:sz w:val="24"/>
              </w:rPr>
            </w:pPr>
          </w:p>
          <w:p>
            <w:pPr>
              <w:pStyle w:val="33"/>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vAlign w:val="center"/>
          </w:tcPr>
          <w:p>
            <w:pPr>
              <w:pStyle w:val="33"/>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33"/>
              <w:widowControl/>
              <w:spacing w:line="360" w:lineRule="auto"/>
              <w:jc w:val="left"/>
              <w:rPr>
                <w:rFonts w:ascii="宋体" w:hAnsi="宋体" w:cs="Arial"/>
                <w:bCs/>
                <w:sz w:val="24"/>
              </w:rPr>
            </w:pPr>
            <w:r>
              <w:rPr>
                <w:rFonts w:ascii="宋体" w:hAnsi="宋体" w:cs="Arial"/>
                <w:bCs/>
                <w:sz w:val="24"/>
              </w:rPr>
              <w:t>……</w:t>
            </w:r>
          </w:p>
        </w:tc>
        <w:tc>
          <w:tcPr>
            <w:tcW w:w="4061" w:type="dxa"/>
          </w:tcPr>
          <w:p>
            <w:pPr>
              <w:pStyle w:val="33"/>
              <w:widowControl/>
              <w:spacing w:line="360" w:lineRule="auto"/>
              <w:jc w:val="left"/>
              <w:rPr>
                <w:rFonts w:ascii="宋体" w:hAnsi="宋体" w:cs="Arial"/>
                <w:bCs/>
                <w:sz w:val="24"/>
              </w:rPr>
            </w:pPr>
          </w:p>
        </w:tc>
        <w:tc>
          <w:tcPr>
            <w:tcW w:w="1373" w:type="dxa"/>
          </w:tcPr>
          <w:p>
            <w:pPr>
              <w:pStyle w:val="33"/>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2"/>
        <w:rPr>
          <w:rFonts w:ascii="宋体" w:hAnsi="宋体"/>
          <w:sz w:val="24"/>
          <w:u w:val="single"/>
        </w:rPr>
      </w:pPr>
    </w:p>
    <w:p>
      <w:pPr>
        <w:pStyle w:val="34"/>
        <w:spacing w:line="360" w:lineRule="auto"/>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附件14</w:t>
      </w:r>
    </w:p>
    <w:p>
      <w:pPr>
        <w:pStyle w:val="34"/>
        <w:spacing w:line="360" w:lineRule="auto"/>
        <w:jc w:val="center"/>
        <w:rPr>
          <w:rFonts w:hAnsi="宋体"/>
          <w:b/>
          <w:color w:val="000000" w:themeColor="text1"/>
          <w:sz w:val="32"/>
          <w:szCs w:val="32"/>
          <w:lang w:val="en-GB"/>
          <w14:textFill>
            <w14:solidFill>
              <w14:schemeClr w14:val="tx1"/>
            </w14:solidFill>
          </w14:textFill>
        </w:rPr>
      </w:pPr>
      <w:r>
        <w:rPr>
          <w:rFonts w:hint="eastAsia" w:hAnsi="宋体"/>
          <w:b/>
          <w:color w:val="000000" w:themeColor="text1"/>
          <w:sz w:val="32"/>
          <w:szCs w:val="32"/>
          <w14:textFill>
            <w14:solidFill>
              <w14:schemeClr w14:val="tx1"/>
            </w14:solidFill>
          </w14:textFill>
        </w:rPr>
        <w:t>主要货物用材响应表(类似家具类货物采用)</w:t>
      </w:r>
    </w:p>
    <w:tbl>
      <w:tblPr>
        <w:tblStyle w:val="19"/>
        <w:tblW w:w="10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80"/>
        <w:gridCol w:w="1080"/>
        <w:gridCol w:w="1260"/>
        <w:gridCol w:w="900"/>
        <w:gridCol w:w="1164"/>
        <w:gridCol w:w="1260"/>
        <w:gridCol w:w="11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序号</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货物名称</w:t>
            </w:r>
          </w:p>
        </w:tc>
        <w:tc>
          <w:tcPr>
            <w:tcW w:w="1080" w:type="dxa"/>
            <w:vMerge w:val="restart"/>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产品配置</w:t>
            </w:r>
          </w:p>
        </w:tc>
        <w:tc>
          <w:tcPr>
            <w:tcW w:w="6644" w:type="dxa"/>
            <w:gridSpan w:val="6"/>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cs="宋体"/>
                <w:bCs/>
                <w:sz w:val="24"/>
              </w:rPr>
              <w:t>材料规格及参数</w:t>
            </w: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品牌</w:t>
            </w:r>
          </w:p>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商标</w:t>
            </w: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生产厂家</w:t>
            </w: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符合标准</w:t>
            </w: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性能说明</w:t>
            </w: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spacing w:line="360" w:lineRule="auto"/>
              <w:jc w:val="center"/>
              <w:rPr>
                <w:rFonts w:ascii="仿宋_GB2312" w:hAnsi="宋体" w:eastAsia="仿宋_GB2312" w:cs="宋体"/>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3"/>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3"/>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3"/>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3"/>
              <w:autoSpaceDE w:val="0"/>
              <w:autoSpaceDN w:val="0"/>
              <w:adjustRightInd w:val="0"/>
              <w:spacing w:line="360" w:lineRule="auto"/>
              <w:ind w:right="84" w:rightChars="40"/>
              <w:jc w:val="center"/>
              <w:rPr>
                <w:rFonts w:ascii="仿宋_GB2312" w:hAnsi="宋体" w:eastAsia="仿宋_GB2312"/>
                <w:sz w:val="24"/>
              </w:rPr>
            </w:pPr>
          </w:p>
        </w:tc>
      </w:tr>
    </w:tbl>
    <w:p>
      <w:pPr>
        <w:spacing w:line="360" w:lineRule="auto"/>
        <w:rPr>
          <w:rFonts w:ascii="宋体" w:hAnsi="宋体"/>
          <w:b/>
          <w:szCs w:val="21"/>
        </w:rPr>
      </w:pPr>
      <w:r>
        <w:rPr>
          <w:rFonts w:hint="eastAsia" w:ascii="宋体" w:hAnsi="宋体"/>
          <w:b/>
          <w:szCs w:val="21"/>
        </w:rPr>
        <w:t>要求：</w:t>
      </w:r>
    </w:p>
    <w:p>
      <w:pPr>
        <w:pStyle w:val="33"/>
        <w:spacing w:line="360" w:lineRule="auto"/>
        <w:ind w:left="719" w:leftChars="228" w:hanging="240" w:hangingChars="100"/>
        <w:rPr>
          <w:rFonts w:ascii="仿宋_GB2312" w:hAnsi="宋体" w:eastAsia="仿宋_GB2312"/>
          <w:sz w:val="24"/>
        </w:rPr>
      </w:pPr>
      <w:r>
        <w:rPr>
          <w:rFonts w:hint="eastAsia" w:ascii="仿宋_GB2312" w:eastAsia="仿宋_GB2312"/>
          <w:sz w:val="24"/>
        </w:rPr>
        <w:t>1.请列出以上</w:t>
      </w:r>
      <w:r>
        <w:rPr>
          <w:rFonts w:hint="eastAsia" w:ascii="仿宋_GB2312" w:hAnsi="宋体" w:eastAsia="仿宋_GB2312"/>
          <w:sz w:val="24"/>
        </w:rPr>
        <w:t>产品的各项主要用材、辅料、油漆、五金件等。</w:t>
      </w:r>
    </w:p>
    <w:p>
      <w:pPr>
        <w:pStyle w:val="33"/>
        <w:spacing w:line="360" w:lineRule="auto"/>
        <w:ind w:firstLine="480" w:firstLineChars="200"/>
        <w:rPr>
          <w:rFonts w:ascii="仿宋_GB2312" w:eastAsia="仿宋_GB2312"/>
          <w:sz w:val="24"/>
        </w:rPr>
      </w:pPr>
      <w:r>
        <w:rPr>
          <w:rFonts w:hint="eastAsia" w:ascii="仿宋_GB2312" w:eastAsia="仿宋_GB2312"/>
          <w:sz w:val="24"/>
        </w:rPr>
        <w:t>2.本表所列产品主要用材均为采购人抽样送检的范围。</w:t>
      </w:r>
    </w:p>
    <w:p>
      <w:pPr>
        <w:spacing w:line="360" w:lineRule="auto"/>
        <w:ind w:firstLine="480" w:firstLineChars="20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color w:val="FF00FF"/>
          <w:sz w:val="24"/>
        </w:rPr>
      </w:pPr>
      <w:r>
        <w:rPr>
          <w:rFonts w:hint="eastAsia" w:ascii="宋体" w:hAnsi="宋体"/>
          <w:sz w:val="24"/>
        </w:rPr>
        <w:t>日        期：</w:t>
      </w:r>
    </w:p>
    <w:p>
      <w:pPr>
        <w:spacing w:line="360" w:lineRule="auto"/>
        <w:ind w:firstLine="435"/>
        <w:rPr>
          <w:rFonts w:ascii="宋体" w:hAnsi="宋体"/>
          <w:color w:val="FF00FF"/>
          <w:sz w:val="24"/>
        </w:rPr>
      </w:pPr>
    </w:p>
    <w:p>
      <w:pPr>
        <w:spacing w:line="360" w:lineRule="auto"/>
        <w:ind w:right="-110"/>
        <w:jc w:val="left"/>
        <w:rPr>
          <w:rFonts w:ascii="宋体" w:hAnsi="宋体"/>
          <w:b/>
          <w:sz w:val="28"/>
        </w:rPr>
      </w:pPr>
    </w:p>
    <w:p>
      <w:pPr>
        <w:spacing w:line="360" w:lineRule="auto"/>
        <w:ind w:right="-110"/>
        <w:jc w:val="left"/>
        <w:rPr>
          <w:rFonts w:ascii="宋体" w:hAnsi="宋体"/>
          <w:b/>
          <w:sz w:val="28"/>
        </w:rPr>
      </w:pPr>
    </w:p>
    <w:p>
      <w:pPr>
        <w:spacing w:line="360" w:lineRule="auto"/>
        <w:ind w:right="-110"/>
        <w:jc w:val="left"/>
        <w:rPr>
          <w:rFonts w:ascii="宋体" w:hAnsi="宋体"/>
          <w:spacing w:val="40"/>
          <w:sz w:val="52"/>
          <w:szCs w:val="52"/>
        </w:rPr>
      </w:pPr>
      <w:r>
        <w:rPr>
          <w:rFonts w:hint="eastAsia" w:ascii="宋体" w:hAnsi="宋体"/>
          <w:b/>
          <w:sz w:val="28"/>
        </w:rPr>
        <w:t>附件15</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供应商全称（电子印章）：</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仿宋_GB2312" w:hAnsi="宋体" w:eastAsia="仿宋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1、开标一览表（附件16）；</w:t>
      </w:r>
    </w:p>
    <w:p>
      <w:pPr>
        <w:pStyle w:val="14"/>
        <w:snapToGrid w:val="0"/>
        <w:spacing w:line="360" w:lineRule="auto"/>
        <w:ind w:left="0" w:leftChars="0"/>
        <w:rPr>
          <w:rFonts w:ascii="宋体" w:hAnsi="宋体" w:eastAsia="宋体"/>
          <w:sz w:val="24"/>
          <w:szCs w:val="24"/>
        </w:rPr>
      </w:pPr>
      <w:r>
        <w:rPr>
          <w:rFonts w:hint="eastAsia" w:ascii="宋体" w:hAnsi="宋体" w:eastAsia="宋体"/>
          <w:sz w:val="24"/>
          <w:szCs w:val="24"/>
        </w:rPr>
        <w:t>2、报价明细表</w:t>
      </w:r>
      <w:r>
        <w:rPr>
          <w:rFonts w:hint="eastAsia" w:ascii="宋体" w:hAnsi="宋体"/>
          <w:sz w:val="24"/>
        </w:rPr>
        <w:t>（附件17）</w:t>
      </w:r>
      <w:r>
        <w:rPr>
          <w:rFonts w:hint="eastAsia" w:ascii="宋体" w:hAnsi="宋体" w:eastAsia="宋体"/>
          <w:sz w:val="24"/>
          <w:szCs w:val="24"/>
        </w:rPr>
        <w:t>；</w:t>
      </w:r>
    </w:p>
    <w:p>
      <w:pPr>
        <w:snapToGrid w:val="0"/>
        <w:spacing w:line="360" w:lineRule="auto"/>
        <w:rPr>
          <w:rFonts w:ascii="宋体" w:hAnsi="宋体"/>
          <w:sz w:val="24"/>
        </w:rPr>
      </w:pPr>
      <w:r>
        <w:rPr>
          <w:rFonts w:hint="eastAsia" w:hAnsi="宋体"/>
          <w:sz w:val="24"/>
        </w:rPr>
        <w:t>3、</w:t>
      </w:r>
      <w:r>
        <w:rPr>
          <w:rFonts w:hint="eastAsia" w:ascii="宋体" w:hAnsi="宋体"/>
          <w:sz w:val="24"/>
        </w:rPr>
        <w:t>针对报价投标人认为其他需要说明的；</w:t>
      </w:r>
    </w:p>
    <w:p>
      <w:pPr>
        <w:pStyle w:val="35"/>
        <w:spacing w:line="360" w:lineRule="auto"/>
        <w:rPr>
          <w:rFonts w:hAnsi="宋体"/>
          <w:sz w:val="24"/>
        </w:rPr>
      </w:pPr>
      <w:r>
        <w:rPr>
          <w:rFonts w:hint="eastAsia" w:hAnsi="宋体"/>
          <w:sz w:val="24"/>
        </w:rPr>
        <w:t>4、</w:t>
      </w:r>
      <w:r>
        <w:rPr>
          <w:rFonts w:hAnsi="宋体"/>
          <w:sz w:val="24"/>
        </w:rPr>
        <w:t>小微企业</w:t>
      </w:r>
      <w:r>
        <w:rPr>
          <w:rFonts w:hint="eastAsia" w:hAnsi="宋体"/>
          <w:sz w:val="24"/>
        </w:rPr>
        <w:t>等</w:t>
      </w:r>
      <w:r>
        <w:rPr>
          <w:rFonts w:hAnsi="宋体"/>
          <w:sz w:val="24"/>
        </w:rPr>
        <w:t>声明函</w:t>
      </w:r>
      <w:r>
        <w:rPr>
          <w:rFonts w:hint="eastAsia" w:hAnsi="宋体"/>
          <w:sz w:val="24"/>
        </w:rPr>
        <w:t>（附件18）；</w:t>
      </w:r>
    </w:p>
    <w:p>
      <w:pPr>
        <w:pStyle w:val="36"/>
        <w:spacing w:line="360" w:lineRule="auto"/>
        <w:rPr>
          <w:rFonts w:ascii="宋体" w:hAnsi="宋体"/>
          <w:kern w:val="0"/>
          <w:sz w:val="24"/>
        </w:rPr>
      </w:pPr>
      <w:r>
        <w:rPr>
          <w:rFonts w:hint="eastAsia" w:ascii="宋体" w:hAnsi="宋体"/>
          <w:kern w:val="0"/>
          <w:sz w:val="24"/>
        </w:rPr>
        <w:t>5、产品适用政府采购政策情况表</w:t>
      </w:r>
      <w:r>
        <w:rPr>
          <w:rFonts w:hint="eastAsia" w:ascii="宋体" w:hAnsi="宋体"/>
          <w:sz w:val="24"/>
        </w:rPr>
        <w:t>（附件19）</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r>
        <w:rPr>
          <w:rFonts w:hint="eastAsia" w:ascii="宋体" w:hAnsi="宋体"/>
          <w:b/>
          <w:sz w:val="28"/>
        </w:rPr>
        <w:t>附件16</w:t>
      </w:r>
    </w:p>
    <w:p>
      <w:pPr>
        <w:spacing w:line="360" w:lineRule="auto"/>
        <w:ind w:left="-2" w:hanging="2"/>
        <w:jc w:val="center"/>
        <w:rPr>
          <w:rFonts w:ascii="宋体" w:hAnsi="宋体"/>
          <w:b/>
          <w:color w:val="33CCCC"/>
          <w:sz w:val="32"/>
          <w:szCs w:val="32"/>
        </w:rPr>
      </w:pPr>
      <w:r>
        <w:rPr>
          <w:rFonts w:hint="eastAsia" w:ascii="宋体" w:hAnsi="宋体"/>
          <w:b/>
          <w:sz w:val="32"/>
          <w:szCs w:val="32"/>
        </w:rPr>
        <w:t>开标一览表</w:t>
      </w:r>
      <w:r>
        <w:rPr>
          <w:rFonts w:hint="eastAsia" w:ascii="宋体" w:hAnsi="宋体"/>
          <w:b/>
          <w:color w:val="33CCCC"/>
          <w:sz w:val="32"/>
          <w:szCs w:val="32"/>
        </w:rPr>
        <w:t xml:space="preserve"> (第 标)</w:t>
      </w:r>
    </w:p>
    <w:p>
      <w:pPr>
        <w:spacing w:line="360" w:lineRule="auto"/>
        <w:ind w:left="-2" w:hanging="2"/>
        <w:jc w:val="center"/>
        <w:rPr>
          <w:rFonts w:ascii="宋体" w:hAnsi="宋体"/>
          <w:b/>
          <w:color w:val="33CCCC"/>
          <w:sz w:val="32"/>
          <w:szCs w:val="32"/>
        </w:rPr>
      </w:pPr>
    </w:p>
    <w:p>
      <w:pPr>
        <w:pStyle w:val="13"/>
        <w:spacing w:line="320" w:lineRule="exact"/>
        <w:rPr>
          <w:rFonts w:hAnsi="宋体"/>
          <w:b/>
          <w:color w:val="000000"/>
          <w:sz w:val="24"/>
        </w:rPr>
      </w:pPr>
      <w:r>
        <w:rPr>
          <w:rFonts w:hAnsi="宋体"/>
          <w:b/>
          <w:color w:val="000000"/>
          <w:sz w:val="24"/>
        </w:rPr>
        <w:t>项目编号：</w:t>
      </w:r>
    </w:p>
    <w:p>
      <w:pPr>
        <w:pStyle w:val="37"/>
        <w:spacing w:line="360" w:lineRule="auto"/>
        <w:ind w:right="480"/>
        <w:jc w:val="left"/>
        <w:rPr>
          <w:rFonts w:hAnsi="宋体"/>
          <w:color w:val="000000"/>
          <w:sz w:val="24"/>
        </w:rPr>
      </w:pPr>
      <w:r>
        <w:rPr>
          <w:rFonts w:hAnsi="宋体"/>
          <w:b/>
          <w:color w:val="000000"/>
          <w:sz w:val="24"/>
        </w:rPr>
        <w:t>项目名称：</w:t>
      </w:r>
      <w:r>
        <w:rPr>
          <w:rFonts w:hint="eastAsia" w:ascii="宋体" w:hAnsi="宋体"/>
          <w:sz w:val="24"/>
        </w:rPr>
        <w:t xml:space="preserve">                                     [货币单位：人民币元]</w:t>
      </w:r>
    </w:p>
    <w:tbl>
      <w:tblPr>
        <w:tblStyle w:val="19"/>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2"/>
        <w:spacing w:line="360" w:lineRule="auto"/>
        <w:ind w:firstLineChars="200"/>
        <w:rPr>
          <w:rFonts w:ascii="宋体" w:hAnsi="宋体"/>
          <w:color w:val="FF0000"/>
          <w:kern w:val="0"/>
          <w:szCs w:val="21"/>
        </w:rPr>
      </w:pPr>
      <w:r>
        <w:rPr>
          <w:rFonts w:hint="eastAsia" w:ascii="宋体" w:hAnsi="宋体"/>
          <w:kern w:val="0"/>
          <w:szCs w:val="21"/>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left="420"/>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附件17</w:t>
      </w:r>
    </w:p>
    <w:p>
      <w:pPr>
        <w:spacing w:line="360" w:lineRule="auto"/>
        <w:ind w:left="480"/>
        <w:jc w:val="center"/>
        <w:rPr>
          <w:rFonts w:ascii="宋体" w:hAnsi="宋体"/>
        </w:rPr>
      </w:pPr>
      <w:r>
        <w:rPr>
          <w:rFonts w:hint="eastAsia" w:ascii="宋体" w:hAnsi="宋体"/>
          <w:b/>
          <w:sz w:val="32"/>
          <w:szCs w:val="32"/>
        </w:rPr>
        <w:t>报价明细表</w:t>
      </w:r>
      <w:r>
        <w:rPr>
          <w:rFonts w:hint="eastAsia" w:ascii="宋体" w:hAnsi="宋体"/>
          <w:b/>
          <w:color w:val="33CCCC"/>
          <w:sz w:val="32"/>
          <w:szCs w:val="32"/>
        </w:rPr>
        <w:t xml:space="preserve"> (第 标)</w:t>
      </w:r>
    </w:p>
    <w:p>
      <w:pPr>
        <w:spacing w:line="360" w:lineRule="auto"/>
        <w:rPr>
          <w:rFonts w:ascii="宋体" w:hAnsi="宋体"/>
          <w:sz w:val="24"/>
        </w:rPr>
      </w:pPr>
      <w:r>
        <w:rPr>
          <w:rFonts w:hint="eastAsia" w:ascii="宋体" w:hAnsi="宋体"/>
          <w:sz w:val="24"/>
        </w:rPr>
        <w:t xml:space="preserve">  项目编号：                                    [货币单位：人民币元]</w:t>
      </w:r>
    </w:p>
    <w:tbl>
      <w:tblPr>
        <w:tblStyle w:val="19"/>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vAlign w:val="center"/>
          </w:tcPr>
          <w:p>
            <w:pPr>
              <w:spacing w:line="360" w:lineRule="auto"/>
              <w:jc w:val="center"/>
              <w:rPr>
                <w:rFonts w:ascii="宋体" w:hAnsi="宋体"/>
                <w:b/>
                <w:sz w:val="24"/>
              </w:rPr>
            </w:pPr>
            <w:r>
              <w:rPr>
                <w:rFonts w:hint="eastAsia" w:ascii="宋体" w:hAnsi="宋体"/>
                <w:b/>
                <w:sz w:val="24"/>
              </w:rPr>
              <w:t>单价</w:t>
            </w:r>
          </w:p>
        </w:tc>
        <w:tc>
          <w:tcPr>
            <w:tcW w:w="992"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color w:val="000000"/>
          <w:szCs w:val="21"/>
        </w:rPr>
      </w:pPr>
      <w:r>
        <w:rPr>
          <w:rFonts w:hint="eastAsia" w:ascii="宋体" w:hAnsi="宋体"/>
          <w:color w:val="000000"/>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color w:val="000000"/>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156" w:beforeLines="50" w:after="50" w:line="360" w:lineRule="auto"/>
        <w:rPr>
          <w:rFonts w:ascii="仿宋_GB2312" w:hAnsi="宋体" w:eastAsia="仿宋_GB2312"/>
          <w:bCs/>
          <w:sz w:val="30"/>
          <w:szCs w:val="30"/>
        </w:rPr>
      </w:pPr>
      <w:r>
        <w:rPr>
          <w:rFonts w:hint="eastAsia" w:ascii="宋体" w:hAnsi="宋体"/>
          <w:b/>
          <w:sz w:val="28"/>
        </w:rPr>
        <w:t>附件18</w:t>
      </w:r>
    </w:p>
    <w:p>
      <w:pPr>
        <w:pStyle w:val="2"/>
        <w:spacing w:line="360" w:lineRule="auto"/>
        <w:ind w:left="0" w:leftChars="0" w:firstLine="0" w:firstLineChars="0"/>
        <w:jc w:val="center"/>
        <w:rPr>
          <w:rFonts w:ascii="宋体" w:hAnsi="宋体" w:cs="宋体"/>
          <w:b/>
          <w:sz w:val="32"/>
          <w:szCs w:val="32"/>
        </w:rPr>
      </w:pPr>
      <w:r>
        <w:rPr>
          <w:rFonts w:hint="eastAsia" w:ascii="宋体" w:hAnsi="宋体" w:cs="宋体"/>
          <w:b/>
          <w:sz w:val="32"/>
          <w:szCs w:val="32"/>
        </w:rPr>
        <w:t>中小企业声明函（货物）</w:t>
      </w:r>
    </w:p>
    <w:p>
      <w:pPr>
        <w:pStyle w:val="2"/>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color w:val="0000FF"/>
          <w:sz w:val="24"/>
          <w:u w:val="single"/>
        </w:rPr>
        <w:t>（单位名称）</w:t>
      </w:r>
      <w:r>
        <w:rPr>
          <w:rFonts w:hint="eastAsia" w:ascii="宋体" w:hAnsi="宋体" w:cs="宋体"/>
          <w:sz w:val="24"/>
        </w:rPr>
        <w:t>的</w:t>
      </w:r>
      <w:r>
        <w:rPr>
          <w:rFonts w:hint="eastAsia" w:ascii="宋体" w:hAnsi="宋体" w:cs="宋体"/>
          <w:color w:val="0000FF"/>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w:t>
      </w:r>
      <w:r>
        <w:rPr>
          <w:rFonts w:hint="eastAsia" w:ascii="宋体" w:hAnsi="宋体" w:cs="宋体"/>
          <w:color w:val="0000FF"/>
          <w:sz w:val="24"/>
          <w:u w:val="single"/>
        </w:rPr>
        <w:t>（标的名称）</w:t>
      </w:r>
      <w:r>
        <w:rPr>
          <w:rFonts w:hint="eastAsia" w:ascii="宋体" w:hAnsi="宋体" w:cs="宋体"/>
          <w:sz w:val="24"/>
          <w:u w:val="single"/>
        </w:rPr>
        <w:t xml:space="preserve"> </w:t>
      </w:r>
      <w:r>
        <w:rPr>
          <w:rFonts w:hint="eastAsia" w:ascii="宋体" w:hAnsi="宋体" w:cs="宋体"/>
          <w:sz w:val="24"/>
        </w:rPr>
        <w:t>，属于</w:t>
      </w:r>
      <w:r>
        <w:rPr>
          <w:rFonts w:hint="eastAsia" w:ascii="宋体" w:hAnsi="宋体" w:cs="宋体"/>
          <w:color w:val="0000FF"/>
          <w:sz w:val="24"/>
          <w:u w:val="single"/>
        </w:rPr>
        <w:t>（采购文件中明确的所属行业）</w:t>
      </w:r>
      <w:r>
        <w:rPr>
          <w:rFonts w:hint="eastAsia" w:ascii="宋体" w:hAnsi="宋体" w:cs="宋体"/>
          <w:sz w:val="24"/>
        </w:rPr>
        <w:t>行业；制造商为</w:t>
      </w:r>
      <w:r>
        <w:rPr>
          <w:rFonts w:hint="eastAsia" w:ascii="宋体" w:hAnsi="宋体" w:cs="宋体"/>
          <w:color w:val="0000FF"/>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 </w:t>
      </w:r>
      <w:r>
        <w:rPr>
          <w:rFonts w:hint="eastAsia" w:ascii="宋体" w:hAnsi="宋体" w:cs="宋体"/>
          <w:sz w:val="24"/>
        </w:rPr>
        <w:t>，属于</w:t>
      </w:r>
      <w:r>
        <w:rPr>
          <w:rFonts w:hint="eastAsia" w:ascii="宋体" w:hAnsi="宋体" w:cs="宋体"/>
          <w:color w:val="0000FF"/>
          <w:sz w:val="24"/>
          <w:u w:val="single"/>
        </w:rPr>
        <w:t>（采购文件中明确的所属行业）</w:t>
      </w:r>
      <w:r>
        <w:rPr>
          <w:rFonts w:hint="eastAsia" w:ascii="宋体" w:hAnsi="宋体" w:cs="宋体"/>
          <w:sz w:val="24"/>
        </w:rPr>
        <w:t>行业；制造商为</w:t>
      </w:r>
      <w:r>
        <w:rPr>
          <w:rFonts w:hint="eastAsia" w:ascii="宋体" w:hAnsi="宋体" w:cs="宋体"/>
          <w:color w:val="0000FF"/>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rPr>
          <w:rFonts w:ascii="宋体" w:hAnsi="宋体" w:cs="宋体"/>
          <w:sz w:val="24"/>
        </w:rPr>
      </w:pP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企业名称（盖章）：        </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日 期：                  </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ILW7Cv3AQAA1gMAAA4AAABkcnMvZTJvRG9jLnhtbK1TzW4TMRC+&#10;I/EOlu9k06il6SqbHhqVC4JIlAeYeu2sJf/J42aTl+AFkLjBiSN33ob2MRh7tyGUSw/k4Iw9nm/m&#10;+/zt4nJnDdvKiNq7hp9MppxJJ3yr3abhH2+uX805wwSuBeOdbPheIr9cvnyx6EMtZ77zppWREYjD&#10;ug8N71IKdVWh6KQFnPggHSWVjxYSbeOmaiP0hG5NNZtOX1e9j22IXkhEOl0NST4ixucAeqW0kCsv&#10;7qx0aUCN0kAiStjpgHxZplVKivReKZSJmYYT01RWakLxbV6r5QLqTYTQaTGOAM8Z4QknC9pR0wPU&#10;ChKwu6j/gbJaRI9epYnwthqIFEWIxcn0iTYfOgiycCGpMRxEx/8HK95t15HptuGzC84cWHrx+88/&#10;fn36+vDzC633378xypBMfcCabl+5dRx3GNYxc96paPM/sWG7Iu3+IK3cJSbocHYxPz0/JdXFY676&#10;UxgipjfSW5aDhhvtMmuoYfsWEzWjq49X8rHz19qY8nLGsZ5MfDY/PyNoIDsqsgGFNhAldBvOwGzI&#10;5yLFAone6DaXZyDc45WJbAtkDnJo6/sbmpczA5goQSTKL7OnEf4qzfOsALuhuKQGL1md6PMw2jZ8&#10;flxtXO4oiyVHVlnRQcMc3fp2X6St8o6euzQdrZn9dLyn+Phz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RSqldMAAAAGAQAADwAAAAAAAAABACAAAAAiAAAAZHJzL2Rvd25yZXYueG1sUEsBAhQA&#10;FAAAAAgAh07iQILW7Cv3AQAA1gMAAA4AAAAAAAAAAQAgAAAAIgEAAGRycy9lMm9Eb2MueG1sUEsF&#10;BgAAAAAGAAYAWQEAAIsFA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pStyle w:val="13"/>
        <w:spacing w:line="360" w:lineRule="auto"/>
        <w:jc w:val="center"/>
        <w:outlineLvl w:val="1"/>
        <w:rPr>
          <w:rFonts w:hint="eastAsia" w:hAnsi="宋体"/>
          <w:b/>
          <w:sz w:val="32"/>
          <w:szCs w:val="32"/>
          <w:lang w:val="en-GB"/>
        </w:rPr>
      </w:pPr>
    </w:p>
    <w:p>
      <w:pPr>
        <w:pStyle w:val="13"/>
        <w:spacing w:line="360" w:lineRule="auto"/>
        <w:jc w:val="center"/>
        <w:outlineLvl w:val="1"/>
        <w:rPr>
          <w:rFonts w:hint="eastAsia" w:hAnsi="宋体"/>
          <w:b/>
          <w:sz w:val="32"/>
          <w:szCs w:val="32"/>
          <w:lang w:val="en-GB"/>
        </w:rPr>
      </w:pPr>
    </w:p>
    <w:p>
      <w:pPr>
        <w:pStyle w:val="13"/>
        <w:spacing w:line="360" w:lineRule="auto"/>
        <w:jc w:val="center"/>
        <w:outlineLvl w:val="1"/>
        <w:rPr>
          <w:rFonts w:hint="eastAsia" w:hAnsi="宋体"/>
          <w:b/>
          <w:sz w:val="32"/>
          <w:szCs w:val="32"/>
          <w:lang w:val="en-GB"/>
        </w:rPr>
      </w:pPr>
    </w:p>
    <w:p>
      <w:pPr>
        <w:pStyle w:val="13"/>
        <w:spacing w:line="360" w:lineRule="auto"/>
        <w:jc w:val="center"/>
        <w:outlineLvl w:val="1"/>
        <w:rPr>
          <w:rFonts w:hAnsi="宋体"/>
          <w:b/>
          <w:sz w:val="32"/>
          <w:szCs w:val="32"/>
          <w:lang w:val="en-GB"/>
        </w:rPr>
      </w:pPr>
      <w:r>
        <w:rPr>
          <w:rFonts w:hint="eastAsia" w:hAnsi="宋体"/>
          <w:b/>
          <w:sz w:val="32"/>
          <w:szCs w:val="32"/>
          <w:lang w:val="en-GB"/>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单位名称（电子印章）：</w:t>
      </w:r>
    </w:p>
    <w:p>
      <w:pPr>
        <w:tabs>
          <w:tab w:val="left" w:pos="4860"/>
        </w:tabs>
        <w:spacing w:line="588" w:lineRule="exact"/>
        <w:ind w:right="1560" w:firstLine="504" w:firstLineChars="200"/>
        <w:jc w:val="center"/>
        <w:rPr>
          <w:rFonts w:ascii="宋体" w:hAnsi="宋体"/>
          <w:sz w:val="24"/>
        </w:rPr>
      </w:pPr>
      <w:r>
        <w:rPr>
          <w:rFonts w:hint="eastAsia" w:ascii="宋体" w:hAnsi="宋体"/>
          <w:spacing w:val="6"/>
          <w:sz w:val="24"/>
        </w:rPr>
        <w:t xml:space="preserve">       日  期：</w:t>
      </w: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p>
    <w:p>
      <w:pPr>
        <w:pStyle w:val="38"/>
        <w:spacing w:line="360" w:lineRule="auto"/>
        <w:rPr>
          <w:rFonts w:ascii="宋体" w:hAnsi="宋体"/>
          <w:b/>
          <w:sz w:val="28"/>
          <w:szCs w:val="28"/>
        </w:rPr>
      </w:pPr>
      <w:r>
        <w:rPr>
          <w:rFonts w:hint="eastAsia" w:ascii="宋体" w:hAnsi="宋体"/>
          <w:b/>
          <w:sz w:val="28"/>
          <w:szCs w:val="28"/>
        </w:rPr>
        <w:t>附件19</w:t>
      </w:r>
    </w:p>
    <w:p>
      <w:pPr>
        <w:pStyle w:val="39"/>
        <w:spacing w:line="360" w:lineRule="auto"/>
      </w:pPr>
    </w:p>
    <w:p>
      <w:pPr>
        <w:pStyle w:val="36"/>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36"/>
        <w:spacing w:line="360" w:lineRule="auto"/>
        <w:jc w:val="center"/>
        <w:rPr>
          <w:rFonts w:ascii="宋体" w:hAnsi="宋体"/>
          <w:b/>
          <w:sz w:val="32"/>
          <w:szCs w:val="32"/>
          <w:lang w:val="en-GB"/>
        </w:rPr>
      </w:pPr>
    </w:p>
    <w:tbl>
      <w:tblPr>
        <w:tblStyle w:val="19"/>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vAlign w:val="center"/>
          </w:tcPr>
          <w:p>
            <w:pPr>
              <w:pStyle w:val="36"/>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19"/>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1" w:type="dxa"/>
                  <w:vAlign w:val="center"/>
                </w:tcPr>
                <w:p>
                  <w:pPr>
                    <w:pStyle w:val="36"/>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36"/>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2679" w:type="dxa"/>
            <w:vAlign w:val="center"/>
          </w:tcPr>
          <w:p>
            <w:pPr>
              <w:pStyle w:val="36"/>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36"/>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36"/>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2679" w:type="dxa"/>
            <w:vAlign w:val="center"/>
          </w:tcPr>
          <w:p>
            <w:pPr>
              <w:pStyle w:val="36"/>
              <w:tabs>
                <w:tab w:val="left" w:pos="1260"/>
              </w:tabs>
              <w:jc w:val="center"/>
              <w:rPr>
                <w:rFonts w:ascii="宋体" w:hAnsi="宋体"/>
                <w:sz w:val="24"/>
                <w:lang w:val="en-GB"/>
              </w:rPr>
            </w:pPr>
          </w:p>
        </w:tc>
        <w:tc>
          <w:tcPr>
            <w:tcW w:w="3811" w:type="dxa"/>
            <w:vAlign w:val="center"/>
          </w:tcPr>
          <w:p>
            <w:pPr>
              <w:pStyle w:val="36"/>
              <w:tabs>
                <w:tab w:val="left" w:pos="1260"/>
              </w:tabs>
              <w:jc w:val="center"/>
              <w:rPr>
                <w:rFonts w:ascii="宋体" w:hAnsi="宋体"/>
                <w:sz w:val="24"/>
                <w:lang w:val="en-GB"/>
              </w:rPr>
            </w:pPr>
          </w:p>
        </w:tc>
        <w:tc>
          <w:tcPr>
            <w:tcW w:w="1621" w:type="dxa"/>
            <w:vAlign w:val="center"/>
          </w:tcPr>
          <w:p>
            <w:pPr>
              <w:pStyle w:val="36"/>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2679" w:type="dxa"/>
            <w:vAlign w:val="center"/>
          </w:tcPr>
          <w:p>
            <w:pPr>
              <w:pStyle w:val="36"/>
              <w:tabs>
                <w:tab w:val="left" w:pos="1260"/>
              </w:tabs>
              <w:jc w:val="center"/>
              <w:rPr>
                <w:rFonts w:ascii="宋体" w:hAnsi="宋体"/>
                <w:sz w:val="24"/>
                <w:lang w:val="en-GB"/>
              </w:rPr>
            </w:pPr>
          </w:p>
        </w:tc>
        <w:tc>
          <w:tcPr>
            <w:tcW w:w="3811" w:type="dxa"/>
            <w:vAlign w:val="center"/>
          </w:tcPr>
          <w:p>
            <w:pPr>
              <w:pStyle w:val="36"/>
              <w:tabs>
                <w:tab w:val="left" w:pos="1260"/>
              </w:tabs>
              <w:jc w:val="center"/>
              <w:rPr>
                <w:rFonts w:ascii="宋体" w:hAnsi="宋体"/>
                <w:sz w:val="24"/>
                <w:lang w:val="en-GB"/>
              </w:rPr>
            </w:pPr>
          </w:p>
        </w:tc>
        <w:tc>
          <w:tcPr>
            <w:tcW w:w="1621" w:type="dxa"/>
            <w:vAlign w:val="center"/>
          </w:tcPr>
          <w:p>
            <w:pPr>
              <w:pStyle w:val="36"/>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2679" w:type="dxa"/>
            <w:vAlign w:val="center"/>
          </w:tcPr>
          <w:p>
            <w:pPr>
              <w:pStyle w:val="36"/>
              <w:tabs>
                <w:tab w:val="left" w:pos="1260"/>
              </w:tabs>
              <w:jc w:val="center"/>
              <w:rPr>
                <w:rFonts w:ascii="宋体" w:hAnsi="宋体"/>
                <w:sz w:val="24"/>
                <w:lang w:val="en-GB"/>
              </w:rPr>
            </w:pPr>
          </w:p>
        </w:tc>
        <w:tc>
          <w:tcPr>
            <w:tcW w:w="3811" w:type="dxa"/>
            <w:vAlign w:val="center"/>
          </w:tcPr>
          <w:p>
            <w:pPr>
              <w:pStyle w:val="36"/>
              <w:tabs>
                <w:tab w:val="left" w:pos="1260"/>
              </w:tabs>
              <w:jc w:val="center"/>
              <w:rPr>
                <w:rFonts w:ascii="宋体" w:hAnsi="宋体"/>
                <w:sz w:val="24"/>
                <w:lang w:val="en-GB"/>
              </w:rPr>
            </w:pPr>
          </w:p>
        </w:tc>
        <w:tc>
          <w:tcPr>
            <w:tcW w:w="1621" w:type="dxa"/>
            <w:vAlign w:val="center"/>
          </w:tcPr>
          <w:p>
            <w:pPr>
              <w:pStyle w:val="36"/>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36"/>
              <w:tabs>
                <w:tab w:val="left" w:pos="1260"/>
              </w:tabs>
              <w:jc w:val="center"/>
              <w:rPr>
                <w:rFonts w:ascii="宋体" w:hAnsi="宋体"/>
                <w:sz w:val="24"/>
                <w:lang w:val="en-GB"/>
              </w:rPr>
            </w:pPr>
          </w:p>
        </w:tc>
        <w:tc>
          <w:tcPr>
            <w:tcW w:w="6490" w:type="dxa"/>
            <w:gridSpan w:val="2"/>
            <w:vAlign w:val="center"/>
          </w:tcPr>
          <w:p>
            <w:pPr>
              <w:pStyle w:val="36"/>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36"/>
              <w:tabs>
                <w:tab w:val="left" w:pos="1260"/>
              </w:tabs>
              <w:jc w:val="center"/>
              <w:rPr>
                <w:rFonts w:ascii="宋体" w:hAnsi="宋体"/>
                <w:sz w:val="24"/>
                <w:lang w:val="en-GB"/>
              </w:rPr>
            </w:pPr>
          </w:p>
        </w:tc>
      </w:tr>
    </w:tbl>
    <w:p>
      <w:pPr>
        <w:pStyle w:val="36"/>
        <w:spacing w:line="360" w:lineRule="auto"/>
        <w:rPr>
          <w:rFonts w:ascii="宋体" w:hAnsi="宋体"/>
          <w:szCs w:val="21"/>
          <w:lang w:val="en-GB"/>
        </w:rPr>
      </w:pPr>
    </w:p>
    <w:p>
      <w:pPr>
        <w:pStyle w:val="36"/>
        <w:spacing w:line="360" w:lineRule="auto"/>
        <w:rPr>
          <w:rFonts w:ascii="宋体" w:hAnsi="宋体"/>
          <w:szCs w:val="21"/>
          <w:lang w:val="en-GB"/>
        </w:rPr>
      </w:pPr>
      <w:r>
        <w:rPr>
          <w:rFonts w:hint="eastAsia" w:ascii="宋体" w:hAnsi="宋体"/>
          <w:szCs w:val="21"/>
          <w:lang w:val="en-GB"/>
        </w:rPr>
        <w:t>填报要求：</w:t>
      </w:r>
    </w:p>
    <w:p>
      <w:pPr>
        <w:pStyle w:val="36"/>
        <w:widowControl/>
        <w:numPr>
          <w:ilvl w:val="0"/>
          <w:numId w:val="17"/>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36"/>
        <w:widowControl/>
        <w:numPr>
          <w:ilvl w:val="0"/>
          <w:numId w:val="17"/>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36"/>
        <w:widowControl/>
        <w:numPr>
          <w:ilvl w:val="0"/>
          <w:numId w:val="17"/>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color w:val="FF0000"/>
          <w:szCs w:val="21"/>
        </w:rPr>
        <w:t>不符产品核</w:t>
      </w:r>
      <w:r>
        <w:rPr>
          <w:rFonts w:hint="eastAsia" w:ascii="宋体" w:hAnsi="宋体"/>
          <w:szCs w:val="21"/>
          <w:lang w:val="en-GB"/>
        </w:rPr>
        <w:t>计金额将不予以享受小微企业扶持政策优惠）。</w:t>
      </w:r>
    </w:p>
    <w:p>
      <w:pPr>
        <w:tabs>
          <w:tab w:val="left" w:pos="1418"/>
        </w:tabs>
        <w:autoSpaceDE w:val="0"/>
        <w:autoSpaceDN w:val="0"/>
        <w:adjustRightInd w:val="0"/>
        <w:spacing w:line="360" w:lineRule="auto"/>
        <w:ind w:firstLine="480" w:firstLineChars="200"/>
        <w:rPr>
          <w:rFonts w:ascii="宋体"/>
          <w:kern w:val="0"/>
          <w:sz w:val="24"/>
          <w:lang w:val="en-GB"/>
        </w:rPr>
      </w:pPr>
    </w:p>
    <w:p/>
    <w:p>
      <w:pPr>
        <w:snapToGrid w:val="0"/>
        <w:spacing w:line="360" w:lineRule="auto"/>
        <w:ind w:firstLine="480" w:firstLineChars="200"/>
        <w:jc w:val="left"/>
        <w:rPr>
          <w:rFonts w:asciiTheme="minorEastAsia" w:hAnsiTheme="minorEastAsia" w:eastAsiaTheme="minorEastAsia"/>
          <w:sz w:val="24"/>
        </w:rPr>
      </w:pPr>
    </w:p>
    <w:p/>
    <w:p/>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23</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79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5CFA382"/>
    <w:multiLevelType w:val="singleLevel"/>
    <w:tmpl w:val="95CFA382"/>
    <w:lvl w:ilvl="0" w:tentative="0">
      <w:start w:val="1"/>
      <w:numFmt w:val="decimal"/>
      <w:suff w:val="nothing"/>
      <w:lvlText w:val="%1、"/>
      <w:lvlJc w:val="left"/>
    </w:lvl>
  </w:abstractNum>
  <w:abstractNum w:abstractNumId="2">
    <w:nsid w:val="AF3E1766"/>
    <w:multiLevelType w:val="singleLevel"/>
    <w:tmpl w:val="AF3E1766"/>
    <w:lvl w:ilvl="0" w:tentative="0">
      <w:start w:val="1"/>
      <w:numFmt w:val="decimal"/>
      <w:suff w:val="nothing"/>
      <w:lvlText w:val="（%1）"/>
      <w:lvlJc w:val="left"/>
    </w:lvl>
  </w:abstractNum>
  <w:abstractNum w:abstractNumId="3">
    <w:nsid w:val="C8A3F0D0"/>
    <w:multiLevelType w:val="singleLevel"/>
    <w:tmpl w:val="C8A3F0D0"/>
    <w:lvl w:ilvl="0" w:tentative="0">
      <w:start w:val="2"/>
      <w:numFmt w:val="chineseCounting"/>
      <w:suff w:val="nothing"/>
      <w:lvlText w:val="（%1）"/>
      <w:lvlJc w:val="left"/>
      <w:pPr>
        <w:ind w:left="210" w:firstLine="0"/>
      </w:pPr>
      <w:rPr>
        <w:rFonts w:hint="eastAsia"/>
      </w:rPr>
    </w:lvl>
  </w:abstractNum>
  <w:abstractNum w:abstractNumId="4">
    <w:nsid w:val="E9CBAF48"/>
    <w:multiLevelType w:val="singleLevel"/>
    <w:tmpl w:val="E9CBAF48"/>
    <w:lvl w:ilvl="0" w:tentative="0">
      <w:start w:val="1"/>
      <w:numFmt w:val="decimal"/>
      <w:suff w:val="nothing"/>
      <w:lvlText w:val="（%1）"/>
      <w:lvlJc w:val="left"/>
    </w:lvl>
  </w:abstractNum>
  <w:abstractNum w:abstractNumId="5">
    <w:nsid w:val="EEAFAC12"/>
    <w:multiLevelType w:val="singleLevel"/>
    <w:tmpl w:val="EEAFAC12"/>
    <w:lvl w:ilvl="0" w:tentative="0">
      <w:start w:val="12"/>
      <w:numFmt w:val="decimal"/>
      <w:suff w:val="nothing"/>
      <w:lvlText w:val="%1、"/>
      <w:lvlJc w:val="left"/>
      <w:pPr>
        <w:ind w:left="-60"/>
      </w:pPr>
    </w:lvl>
  </w:abstractNum>
  <w:abstractNum w:abstractNumId="6">
    <w:nsid w:val="023419C9"/>
    <w:multiLevelType w:val="singleLevel"/>
    <w:tmpl w:val="023419C9"/>
    <w:lvl w:ilvl="0" w:tentative="0">
      <w:start w:val="2"/>
      <w:numFmt w:val="decimal"/>
      <w:suff w:val="nothing"/>
      <w:lvlText w:val="%1、"/>
      <w:lvlJc w:val="left"/>
    </w:lvl>
  </w:abstractNum>
  <w:abstractNum w:abstractNumId="7">
    <w:nsid w:val="053B5579"/>
    <w:multiLevelType w:val="multilevel"/>
    <w:tmpl w:val="053B5579"/>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3"/>
      <w:lvlJc w:val="left"/>
      <w:pPr>
        <w:ind w:left="720" w:hanging="720"/>
      </w:pPr>
      <w:rPr>
        <w:rFonts w:hint="eastAsia" w:ascii="宋体" w:hAnsi="宋体" w:eastAsia="宋体"/>
      </w:rPr>
    </w:lvl>
    <w:lvl w:ilvl="3" w:tentative="0">
      <w:start w:val="1"/>
      <w:numFmt w:val="decimal"/>
      <w:lvlText w:val="%3.%4"/>
      <w:lvlJc w:val="left"/>
      <w:pPr>
        <w:ind w:left="864" w:hanging="864"/>
      </w:pPr>
      <w:rPr>
        <w:rFonts w:hint="eastAsia" w:ascii="宋体" w:hAnsi="宋体" w:eastAsia="宋体"/>
      </w:rPr>
    </w:lvl>
    <w:lvl w:ilvl="4" w:tentative="0">
      <w:start w:val="1"/>
      <w:numFmt w:val="decimal"/>
      <w:pStyle w:val="7"/>
      <w:lvlText w:val="%3.%4.%5"/>
      <w:lvlJc w:val="left"/>
      <w:pPr>
        <w:ind w:left="1008" w:hanging="1008"/>
      </w:pPr>
      <w:rPr>
        <w:rFonts w:hint="eastAsia"/>
      </w:rPr>
    </w:lvl>
    <w:lvl w:ilvl="5" w:tentative="0">
      <w:start w:val="1"/>
      <w:numFmt w:val="decimal"/>
      <w:lvlText w:val="%3.%4.%5.%6"/>
      <w:lvlJc w:val="left"/>
      <w:pPr>
        <w:ind w:left="1152" w:hanging="1152"/>
      </w:pPr>
      <w:rPr>
        <w:rFonts w:hint="eastAsia" w:ascii="宋体" w:hAnsi="宋体" w:eastAsia="宋体"/>
      </w:rPr>
    </w:lvl>
    <w:lvl w:ilvl="6" w:tentative="0">
      <w:start w:val="1"/>
      <w:numFmt w:val="decimal"/>
      <w:lvlText w:val="%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8">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9">
    <w:nsid w:val="1F913DB7"/>
    <w:multiLevelType w:val="singleLevel"/>
    <w:tmpl w:val="1F913DB7"/>
    <w:lvl w:ilvl="0" w:tentative="0">
      <w:start w:val="6"/>
      <w:numFmt w:val="decimal"/>
      <w:suff w:val="space"/>
      <w:lvlText w:val="%1."/>
      <w:lvlJc w:val="left"/>
    </w:lvl>
  </w:abstractNum>
  <w:abstractNum w:abstractNumId="10">
    <w:nsid w:val="461E5E94"/>
    <w:multiLevelType w:val="singleLevel"/>
    <w:tmpl w:val="461E5E94"/>
    <w:lvl w:ilvl="0" w:tentative="0">
      <w:start w:val="2"/>
      <w:numFmt w:val="chineseCounting"/>
      <w:suff w:val="space"/>
      <w:lvlText w:val="第%1章"/>
      <w:lvlJc w:val="left"/>
      <w:rPr>
        <w:rFonts w:hint="eastAsia"/>
      </w:rPr>
    </w:lvl>
  </w:abstractNum>
  <w:abstractNum w:abstractNumId="11">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2">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3">
    <w:nsid w:val="66DDD653"/>
    <w:multiLevelType w:val="singleLevel"/>
    <w:tmpl w:val="66DDD653"/>
    <w:lvl w:ilvl="0" w:tentative="0">
      <w:start w:val="1"/>
      <w:numFmt w:val="chineseCounting"/>
      <w:suff w:val="space"/>
      <w:lvlText w:val="第%1章"/>
      <w:lvlJc w:val="left"/>
      <w:rPr>
        <w:rFonts w:hint="eastAsia"/>
      </w:rPr>
    </w:lvl>
  </w:abstractNum>
  <w:abstractNum w:abstractNumId="14">
    <w:nsid w:val="6836205D"/>
    <w:multiLevelType w:val="singleLevel"/>
    <w:tmpl w:val="6836205D"/>
    <w:lvl w:ilvl="0" w:tentative="0">
      <w:start w:val="1"/>
      <w:numFmt w:val="decimal"/>
      <w:lvlText w:val="(%1)"/>
      <w:lvlJc w:val="left"/>
      <w:pPr>
        <w:tabs>
          <w:tab w:val="left" w:pos="420"/>
        </w:tabs>
        <w:ind w:left="845" w:hanging="425"/>
      </w:pPr>
      <w:rPr>
        <w:rFonts w:hint="default"/>
      </w:rPr>
    </w:lvl>
  </w:abstractNum>
  <w:abstractNum w:abstractNumId="15">
    <w:nsid w:val="6C219F62"/>
    <w:multiLevelType w:val="singleLevel"/>
    <w:tmpl w:val="6C219F62"/>
    <w:lvl w:ilvl="0" w:tentative="0">
      <w:start w:val="2"/>
      <w:numFmt w:val="chineseCounting"/>
      <w:suff w:val="nothing"/>
      <w:lvlText w:val="%1、"/>
      <w:lvlJc w:val="left"/>
      <w:rPr>
        <w:rFonts w:hint="eastAsia"/>
      </w:rPr>
    </w:lvl>
  </w:abstractNum>
  <w:abstractNum w:abstractNumId="16">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num w:numId="1">
    <w:abstractNumId w:val="12"/>
  </w:num>
  <w:num w:numId="2">
    <w:abstractNumId w:val="7"/>
  </w:num>
  <w:num w:numId="3">
    <w:abstractNumId w:val="8"/>
  </w:num>
  <w:num w:numId="4">
    <w:abstractNumId w:val="11"/>
  </w:num>
  <w:num w:numId="5">
    <w:abstractNumId w:val="13"/>
  </w:num>
  <w:num w:numId="6">
    <w:abstractNumId w:val="10"/>
  </w:num>
  <w:num w:numId="7">
    <w:abstractNumId w:val="2"/>
  </w:num>
  <w:num w:numId="8">
    <w:abstractNumId w:val="3"/>
  </w:num>
  <w:num w:numId="9">
    <w:abstractNumId w:val="4"/>
  </w:num>
  <w:num w:numId="10">
    <w:abstractNumId w:val="6"/>
  </w:num>
  <w:num w:numId="11">
    <w:abstractNumId w:val="5"/>
  </w:num>
  <w:num w:numId="12">
    <w:abstractNumId w:val="15"/>
  </w:num>
  <w:num w:numId="13">
    <w:abstractNumId w:val="14"/>
  </w:num>
  <w:num w:numId="14">
    <w:abstractNumId w:val="9"/>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F2B0C"/>
    <w:rsid w:val="00AB49B7"/>
    <w:rsid w:val="010742D5"/>
    <w:rsid w:val="01851778"/>
    <w:rsid w:val="06AC20BF"/>
    <w:rsid w:val="079F5265"/>
    <w:rsid w:val="08DC3175"/>
    <w:rsid w:val="09ED09A0"/>
    <w:rsid w:val="0AAE46BD"/>
    <w:rsid w:val="0AEA3C8C"/>
    <w:rsid w:val="0B70129B"/>
    <w:rsid w:val="0DE7555E"/>
    <w:rsid w:val="10DA133A"/>
    <w:rsid w:val="11A2124C"/>
    <w:rsid w:val="13284695"/>
    <w:rsid w:val="13C30E6E"/>
    <w:rsid w:val="1537127C"/>
    <w:rsid w:val="16AC3523"/>
    <w:rsid w:val="173D243C"/>
    <w:rsid w:val="17534ECF"/>
    <w:rsid w:val="181011F1"/>
    <w:rsid w:val="1B8C6B7B"/>
    <w:rsid w:val="1BF657FB"/>
    <w:rsid w:val="1C3F7F89"/>
    <w:rsid w:val="2024650C"/>
    <w:rsid w:val="206B5D8D"/>
    <w:rsid w:val="20DB7428"/>
    <w:rsid w:val="211904D3"/>
    <w:rsid w:val="2147300F"/>
    <w:rsid w:val="23D02A2E"/>
    <w:rsid w:val="271C2095"/>
    <w:rsid w:val="27C63409"/>
    <w:rsid w:val="2A7B494F"/>
    <w:rsid w:val="2AC017A8"/>
    <w:rsid w:val="2B757A0B"/>
    <w:rsid w:val="2DAC3053"/>
    <w:rsid w:val="303650A6"/>
    <w:rsid w:val="31AB51C6"/>
    <w:rsid w:val="324C0B81"/>
    <w:rsid w:val="33091096"/>
    <w:rsid w:val="334E298F"/>
    <w:rsid w:val="346001A7"/>
    <w:rsid w:val="34F50761"/>
    <w:rsid w:val="35850AE6"/>
    <w:rsid w:val="36AA25D7"/>
    <w:rsid w:val="3AD43482"/>
    <w:rsid w:val="3B59431A"/>
    <w:rsid w:val="3D5F1729"/>
    <w:rsid w:val="4122152C"/>
    <w:rsid w:val="42455024"/>
    <w:rsid w:val="4400649E"/>
    <w:rsid w:val="4589535B"/>
    <w:rsid w:val="46F40267"/>
    <w:rsid w:val="47F77566"/>
    <w:rsid w:val="489C7EA5"/>
    <w:rsid w:val="4B8333CE"/>
    <w:rsid w:val="4B952AAF"/>
    <w:rsid w:val="4C5E5FF7"/>
    <w:rsid w:val="4D670A85"/>
    <w:rsid w:val="4DB87F6B"/>
    <w:rsid w:val="4E0623E4"/>
    <w:rsid w:val="503E14CA"/>
    <w:rsid w:val="53BC34C4"/>
    <w:rsid w:val="53D86CE4"/>
    <w:rsid w:val="553D5A1E"/>
    <w:rsid w:val="558C6CD3"/>
    <w:rsid w:val="55DD38ED"/>
    <w:rsid w:val="57361BE8"/>
    <w:rsid w:val="57AA5D1A"/>
    <w:rsid w:val="587316C8"/>
    <w:rsid w:val="5A276B68"/>
    <w:rsid w:val="5AA03CBB"/>
    <w:rsid w:val="5B7601D8"/>
    <w:rsid w:val="5BD719B1"/>
    <w:rsid w:val="5E761EB5"/>
    <w:rsid w:val="604E7769"/>
    <w:rsid w:val="61177DD5"/>
    <w:rsid w:val="62EC23EA"/>
    <w:rsid w:val="63B00595"/>
    <w:rsid w:val="641222ED"/>
    <w:rsid w:val="642B5582"/>
    <w:rsid w:val="64643953"/>
    <w:rsid w:val="6577445C"/>
    <w:rsid w:val="658C66C4"/>
    <w:rsid w:val="67856FD0"/>
    <w:rsid w:val="685F2B0C"/>
    <w:rsid w:val="6936601E"/>
    <w:rsid w:val="69C21FC2"/>
    <w:rsid w:val="6FAF2E54"/>
    <w:rsid w:val="701E5671"/>
    <w:rsid w:val="745B66AA"/>
    <w:rsid w:val="755E6626"/>
    <w:rsid w:val="75810C60"/>
    <w:rsid w:val="775F6DCE"/>
    <w:rsid w:val="7AB41B82"/>
    <w:rsid w:val="7B2D5FC8"/>
    <w:rsid w:val="7D6214A4"/>
    <w:rsid w:val="7F657E7A"/>
    <w:rsid w:val="7FAD02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4"/>
    <w:next w:val="1"/>
    <w:semiHidden/>
    <w:unhideWhenUsed/>
    <w:qFormat/>
    <w:uiPriority w:val="0"/>
    <w:pPr>
      <w:keepNext/>
      <w:keepLines/>
      <w:spacing w:before="260" w:after="260" w:line="416" w:lineRule="auto"/>
      <w:outlineLvl w:val="2"/>
    </w:pPr>
    <w:rPr>
      <w:bCs/>
      <w:szCs w:val="32"/>
    </w:rPr>
  </w:style>
  <w:style w:type="paragraph" w:styleId="6">
    <w:name w:val="heading 4"/>
    <w:basedOn w:val="4"/>
    <w:next w:val="1"/>
    <w:unhideWhenUsed/>
    <w:qFormat/>
    <w:uiPriority w:val="0"/>
    <w:pPr>
      <w:outlineLvl w:val="3"/>
    </w:pPr>
    <w:rPr>
      <w:rFonts w:ascii="等线 Light" w:hAnsi="等线 Light"/>
      <w:sz w:val="24"/>
      <w:szCs w:val="28"/>
    </w:rPr>
  </w:style>
  <w:style w:type="paragraph" w:styleId="7">
    <w:name w:val="heading 5"/>
    <w:basedOn w:val="1"/>
    <w:next w:val="1"/>
    <w:unhideWhenUsed/>
    <w:qFormat/>
    <w:uiPriority w:val="0"/>
    <w:pPr>
      <w:keepNext/>
      <w:keepLines/>
      <w:numPr>
        <w:ilvl w:val="4"/>
        <w:numId w:val="2"/>
      </w:numPr>
      <w:tabs>
        <w:tab w:val="left" w:pos="0"/>
        <w:tab w:val="left" w:pos="240"/>
      </w:tabs>
      <w:snapToGrid w:val="0"/>
      <w:spacing w:line="360" w:lineRule="auto"/>
      <w:outlineLvl w:val="4"/>
    </w:pPr>
    <w:rPr>
      <w:rFonts w:ascii="宋体" w:hAnsi="宋体" w:eastAsia="宋体" w:cs="Times New Roman"/>
      <w:b/>
      <w:bCs/>
      <w:color w:val="000000"/>
      <w:sz w:val="24"/>
      <w:szCs w:val="24"/>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8">
    <w:name w:val="List Number"/>
    <w:basedOn w:val="1"/>
    <w:qFormat/>
    <w:uiPriority w:val="0"/>
    <w:pPr>
      <w:numPr>
        <w:ilvl w:val="0"/>
        <w:numId w:val="3"/>
      </w:numPr>
    </w:pPr>
  </w:style>
  <w:style w:type="paragraph" w:styleId="9">
    <w:name w:val="annotation text"/>
    <w:basedOn w:val="1"/>
    <w:qFormat/>
    <w:uiPriority w:val="0"/>
    <w:pPr>
      <w:jc w:val="left"/>
    </w:pPr>
  </w:style>
  <w:style w:type="paragraph" w:styleId="10">
    <w:name w:val="Body Text"/>
    <w:basedOn w:val="1"/>
    <w:next w:val="11"/>
    <w:qFormat/>
    <w:uiPriority w:val="0"/>
    <w:pPr>
      <w:spacing w:line="360" w:lineRule="exact"/>
    </w:pPr>
    <w:rPr>
      <w:sz w:val="24"/>
    </w:rPr>
  </w:style>
  <w:style w:type="paragraph" w:styleId="11">
    <w:name w:val="Body Text First Indent"/>
    <w:basedOn w:val="1"/>
    <w:qFormat/>
    <w:uiPriority w:val="0"/>
    <w:pPr>
      <w:ind w:firstLine="200" w:firstLineChars="200"/>
    </w:pPr>
  </w:style>
  <w:style w:type="paragraph" w:styleId="12">
    <w:name w:val="Body Text Indent"/>
    <w:basedOn w:val="1"/>
    <w:next w:val="1"/>
    <w:qFormat/>
    <w:uiPriority w:val="0"/>
    <w:pPr>
      <w:spacing w:after="120"/>
      <w:ind w:left="420" w:leftChars="200"/>
    </w:pPr>
  </w:style>
  <w:style w:type="paragraph" w:styleId="13">
    <w:name w:val="Plain Text"/>
    <w:basedOn w:val="1"/>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Body Text First Indent 2"/>
    <w:basedOn w:val="12"/>
    <w:qFormat/>
    <w:uiPriority w:val="0"/>
    <w:pPr>
      <w:ind w:firstLine="420"/>
    </w:pPr>
  </w:style>
  <w:style w:type="table" w:styleId="20">
    <w:name w:val="Table Grid"/>
    <w:basedOn w:val="19"/>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character" w:styleId="22">
    <w:name w:val="Hyperlink"/>
    <w:qFormat/>
    <w:uiPriority w:val="0"/>
    <w:rPr>
      <w:color w:val="0000FF"/>
      <w:u w:val="single"/>
    </w:rPr>
  </w:style>
  <w:style w:type="character" w:styleId="23">
    <w:name w:val="annotation reference"/>
    <w:basedOn w:val="21"/>
    <w:unhideWhenUsed/>
    <w:qFormat/>
    <w:uiPriority w:val="0"/>
    <w:rPr>
      <w:sz w:val="21"/>
      <w:szCs w:val="21"/>
    </w:rPr>
  </w:style>
  <w:style w:type="paragraph" w:customStyle="1" w:styleId="24">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5">
    <w:name w:val="List Paragraph"/>
    <w:basedOn w:val="1"/>
    <w:qFormat/>
    <w:uiPriority w:val="34"/>
    <w:pPr>
      <w:ind w:firstLine="420" w:firstLineChars="200"/>
    </w:pPr>
    <w:rPr>
      <w:rFonts w:ascii="Calibri" w:hAnsi="Calibri"/>
      <w:szCs w:val="22"/>
    </w:rPr>
  </w:style>
  <w:style w:type="paragraph" w:customStyle="1" w:styleId="26">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7">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2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_14"/>
    <w:qFormat/>
    <w:uiPriority w:val="0"/>
    <w:rPr>
      <w:rFonts w:ascii="Times New Roman" w:hAnsi="Times New Roman" w:eastAsia="宋体" w:cs="Times New Roman"/>
      <w:sz w:val="21"/>
      <w:szCs w:val="22"/>
      <w:lang w:val="en-US" w:eastAsia="zh-CN" w:bidi="ar-SA"/>
    </w:rPr>
  </w:style>
  <w:style w:type="paragraph" w:customStyle="1" w:styleId="31">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纯文本_3"/>
    <w:basedOn w:val="33"/>
    <w:qFormat/>
    <w:uiPriority w:val="0"/>
    <w:pPr>
      <w:widowControl/>
      <w:jc w:val="left"/>
    </w:pPr>
    <w:rPr>
      <w:rFonts w:ascii="宋体" w:hAnsi="Courier New" w:eastAsiaTheme="minorEastAsia" w:cstheme="minorBidi"/>
      <w:szCs w:val="21"/>
    </w:rPr>
  </w:style>
  <w:style w:type="paragraph" w:customStyle="1" w:styleId="35">
    <w:name w:val="纯文本_0_1"/>
    <w:basedOn w:val="1"/>
    <w:qFormat/>
    <w:uiPriority w:val="0"/>
    <w:pPr>
      <w:widowControl/>
      <w:jc w:val="left"/>
    </w:pPr>
    <w:rPr>
      <w:rFonts w:ascii="宋体" w:hAnsi="Courier New" w:eastAsiaTheme="minorEastAsia" w:cstheme="minorBidi"/>
      <w:szCs w:val="21"/>
    </w:rPr>
  </w:style>
  <w:style w:type="paragraph" w:customStyle="1" w:styleId="3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0">
    <w:name w:val="font21"/>
    <w:basedOn w:val="21"/>
    <w:qFormat/>
    <w:uiPriority w:val="0"/>
    <w:rPr>
      <w:rFonts w:hint="default" w:ascii="Arial" w:hAnsi="Arial" w:cs="Arial"/>
      <w:color w:val="000000"/>
      <w:sz w:val="20"/>
      <w:szCs w:val="20"/>
      <w:u w:val="none"/>
    </w:rPr>
  </w:style>
  <w:style w:type="character" w:customStyle="1" w:styleId="41">
    <w:name w:val="font01"/>
    <w:basedOn w:val="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zebra</cp:lastModifiedBy>
  <cp:lastPrinted>2021-08-17T08:22:00Z</cp:lastPrinted>
  <dcterms:modified xsi:type="dcterms:W3CDTF">2021-08-18T01:03:17Z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4B7EBEAA550B45BD8EE4C468F8DC4A1A</vt:lpwstr>
  </property>
</Properties>
</file>