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p>
    <w:p>
      <w:pPr>
        <w:pStyle w:val="19"/>
        <w:rPr>
          <w:rFonts w:hint="eastAsia"/>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rPr>
        <w:t>TZCG-2021-GK02</w:t>
      </w:r>
      <w:r>
        <w:rPr>
          <w:rFonts w:hint="eastAsia" w:ascii="宋体"/>
          <w:b/>
          <w:kern w:val="0"/>
          <w:sz w:val="32"/>
          <w:lang w:val="en-US" w:eastAsia="zh-CN"/>
        </w:rPr>
        <w:t>9</w:t>
      </w:r>
      <w:r>
        <w:rPr>
          <w:rFonts w:hint="eastAsia" w:ascii="宋体"/>
          <w:b/>
          <w:kern w:val="0"/>
          <w:sz w:val="32"/>
        </w:rPr>
        <w:t>号</w:t>
      </w:r>
    </w:p>
    <w:p>
      <w:pPr>
        <w:autoSpaceDE w:val="0"/>
        <w:autoSpaceDN w:val="0"/>
        <w:adjustRightInd w:val="0"/>
        <w:spacing w:line="360" w:lineRule="auto"/>
        <w:jc w:val="left"/>
        <w:rPr>
          <w:rFonts w:ascii="宋体"/>
          <w:kern w:val="0"/>
          <w:sz w:val="28"/>
        </w:rPr>
      </w:pPr>
    </w:p>
    <w:p>
      <w:pPr>
        <w:pStyle w:val="19"/>
        <w:rPr>
          <w:rFonts w:ascii="宋体"/>
          <w:kern w:val="0"/>
          <w:sz w:val="28"/>
        </w:rPr>
      </w:pPr>
    </w:p>
    <w:p>
      <w:pPr>
        <w:pStyle w:val="19"/>
        <w:rPr>
          <w:rFonts w:ascii="宋体"/>
          <w:kern w:val="0"/>
          <w:sz w:val="28"/>
        </w:rPr>
      </w:pPr>
    </w:p>
    <w:p>
      <w:pPr>
        <w:pStyle w:val="19"/>
        <w:rPr>
          <w:rFonts w:ascii="宋体"/>
          <w:kern w:val="0"/>
          <w:sz w:val="28"/>
        </w:rPr>
      </w:pPr>
    </w:p>
    <w:p>
      <w:pPr>
        <w:pStyle w:val="19"/>
        <w:rPr>
          <w:rFonts w:ascii="宋体"/>
          <w:kern w:val="0"/>
          <w:sz w:val="28"/>
        </w:rPr>
      </w:pPr>
    </w:p>
    <w:p>
      <w:pPr>
        <w:pStyle w:val="19"/>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eastAsia" w:ascii="宋体"/>
          <w:kern w:val="0"/>
          <w:sz w:val="28"/>
        </w:rPr>
      </w:pPr>
      <w:r>
        <w:rPr>
          <w:rFonts w:hint="eastAsia" w:ascii="宋体"/>
          <w:kern w:val="0"/>
          <w:sz w:val="28"/>
        </w:rPr>
        <w:t>采购项目：台州市大病保险服务业务</w:t>
      </w:r>
    </w:p>
    <w:p>
      <w:pPr>
        <w:autoSpaceDE w:val="0"/>
        <w:autoSpaceDN w:val="0"/>
        <w:adjustRightInd w:val="0"/>
        <w:spacing w:line="360" w:lineRule="auto"/>
        <w:ind w:left="0" w:leftChars="0" w:firstLine="0" w:firstLineChars="0"/>
        <w:jc w:val="center"/>
        <w:rPr>
          <w:rFonts w:hint="eastAsia" w:ascii="宋体"/>
          <w:kern w:val="0"/>
          <w:sz w:val="28"/>
        </w:rPr>
      </w:pPr>
      <w:r>
        <w:rPr>
          <w:rFonts w:hint="eastAsia" w:ascii="宋体"/>
          <w:kern w:val="0"/>
          <w:sz w:val="28"/>
        </w:rPr>
        <w:t>采 购 人：台州市医疗保障局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pStyle w:val="19"/>
        <w:ind w:left="0" w:leftChars="0" w:firstLine="0" w:firstLineChars="0"/>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2021</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12</w:t>
      </w:r>
      <w:r>
        <w:rPr>
          <w:rFonts w:hint="eastAsia" w:ascii="宋体" w:hAnsi="宋体" w:cs="宋体"/>
          <w:kern w:val="0"/>
          <w:sz w:val="28"/>
          <w:szCs w:val="28"/>
        </w:rPr>
        <w:t xml:space="preserve">月 </w:t>
      </w:r>
      <w:r>
        <w:rPr>
          <w:rFonts w:hint="eastAsia" w:ascii="宋体" w:hAnsi="宋体" w:cs="宋体"/>
          <w:kern w:val="0"/>
          <w:sz w:val="28"/>
          <w:szCs w:val="28"/>
          <w:lang w:val="en-US" w:eastAsia="zh-CN"/>
        </w:rPr>
        <w:t xml:space="preserve">14 </w:t>
      </w:r>
      <w:r>
        <w:rPr>
          <w:rFonts w:hint="eastAsia" w:ascii="宋体" w:hAnsi="宋体" w:cs="宋体"/>
          <w:kern w:val="0"/>
          <w:sz w:val="28"/>
          <w:szCs w:val="28"/>
        </w:rPr>
        <w:t>日</w:t>
      </w:r>
    </w:p>
    <w:p>
      <w:pPr>
        <w:spacing w:line="360" w:lineRule="auto"/>
      </w:pPr>
    </w:p>
    <w:p>
      <w:pPr>
        <w:pStyle w:val="25"/>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rFonts w:ascii="宋体" w:hAnsi="宋体"/>
              <w:b/>
              <w:bCs/>
              <w:sz w:val="36"/>
              <w:szCs w:val="36"/>
            </w:rPr>
          </w:pPr>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6"/>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5"/>
        <w:ind w:firstLine="480" w:firstLineChars="200"/>
        <w:rPr>
          <w:rFonts w:cs="宋体"/>
          <w:b w:val="0"/>
          <w:sz w:val="24"/>
          <w:szCs w:val="24"/>
        </w:rPr>
      </w:pPr>
      <w:bookmarkStart w:id="6" w:name="_Toc35393790"/>
      <w:bookmarkStart w:id="7" w:name="_Toc35393621"/>
      <w:bookmarkStart w:id="8" w:name="_Toc28359079"/>
      <w:bookmarkStart w:id="9" w:name="_Toc28359002"/>
      <w:bookmarkStart w:id="10" w:name="_Hlk24379207"/>
      <w:r>
        <w:rPr>
          <w:rFonts w:hint="eastAsia" w:cs="宋体"/>
          <w:b w:val="0"/>
          <w:sz w:val="24"/>
          <w:szCs w:val="24"/>
          <w:lang w:val="en-US" w:eastAsia="zh-CN"/>
        </w:rPr>
        <w:t>台州市</w:t>
      </w:r>
      <w:r>
        <w:rPr>
          <w:rFonts w:hint="eastAsia" w:cs="宋体"/>
          <w:b w:val="0"/>
          <w:sz w:val="24"/>
          <w:szCs w:val="24"/>
        </w:rPr>
        <w:t>政府采购中心受台州市医疗保障局委托，就台州市大病保险服务业务项目进行公开招标，欢迎符合资格条件的国内投标人参加投标。</w:t>
      </w:r>
    </w:p>
    <w:p>
      <w:pPr>
        <w:pStyle w:val="5"/>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项目编号：TZCG-2021-GK02</w:t>
      </w:r>
      <w:r>
        <w:rPr>
          <w:rFonts w:hint="eastAsia" w:ascii="宋体" w:hAnsi="宋体" w:cs="宋体"/>
          <w:sz w:val="24"/>
          <w:lang w:val="en-US" w:eastAsia="zh-CN"/>
        </w:rPr>
        <w:t>9</w:t>
      </w:r>
      <w:r>
        <w:rPr>
          <w:rFonts w:hint="eastAsia" w:asciiTheme="minorEastAsia" w:hAnsiTheme="minorEastAsia" w:eastAsiaTheme="minorEastAsia" w:cstheme="minorEastAsia"/>
          <w:sz w:val="24"/>
        </w:rPr>
        <w:t>号</w:t>
      </w:r>
    </w:p>
    <w:bookmarkEnd w:id="10"/>
    <w:p>
      <w:pPr>
        <w:spacing w:line="360" w:lineRule="auto"/>
        <w:ind w:firstLine="480" w:firstLineChars="200"/>
      </w:pPr>
      <w:r>
        <w:rPr>
          <w:rFonts w:hint="eastAsia" w:ascii="宋体" w:hAnsi="宋体" w:cs="宋体"/>
          <w:sz w:val="24"/>
        </w:rPr>
        <w:t>项目名称：</w:t>
      </w:r>
      <w:r>
        <w:rPr>
          <w:rFonts w:hint="eastAsia" w:cs="宋体"/>
          <w:b w:val="0"/>
          <w:sz w:val="24"/>
          <w:szCs w:val="24"/>
        </w:rPr>
        <w:t>台州市大病保险服务业务</w:t>
      </w:r>
      <w:r>
        <w:rPr>
          <w:rFonts w:hint="eastAsia" w:ascii="宋体" w:hAnsi="宋体" w:cs="宋体"/>
          <w:kern w:val="0"/>
          <w:sz w:val="24"/>
        </w:rPr>
        <w:t>项目</w:t>
      </w:r>
    </w:p>
    <w:tbl>
      <w:tblPr>
        <w:tblStyle w:val="20"/>
        <w:tblpPr w:leftFromText="181" w:rightFromText="181" w:bottomFromText="170" w:vertAnchor="text" w:tblpXSpec="center" w:tblpY="1"/>
        <w:tblOverlap w:val="never"/>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113"/>
        <w:gridCol w:w="575"/>
        <w:gridCol w:w="575"/>
        <w:gridCol w:w="1337"/>
        <w:gridCol w:w="166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3113"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575"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575"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37" w:type="dxa"/>
            <w:vAlign w:val="center"/>
          </w:tcPr>
          <w:p>
            <w:pPr>
              <w:tabs>
                <w:tab w:val="left" w:pos="8280"/>
              </w:tabs>
              <w:autoSpaceDE w:val="0"/>
              <w:autoSpaceDN w:val="0"/>
              <w:adjustRightInd w:val="0"/>
              <w:jc w:val="center"/>
              <w:rPr>
                <w:rFonts w:hint="eastAsia" w:ascii="宋体" w:hAnsi="宋体" w:cs="宋体"/>
                <w:b/>
                <w:sz w:val="21"/>
                <w:szCs w:val="21"/>
                <w:lang w:val="en-US" w:eastAsia="zh-CN"/>
              </w:rPr>
            </w:pPr>
            <w:r>
              <w:rPr>
                <w:rFonts w:hint="eastAsia" w:ascii="宋体" w:hAnsi="宋体" w:cs="宋体"/>
                <w:b/>
                <w:sz w:val="21"/>
                <w:szCs w:val="21"/>
                <w:lang w:val="en-US" w:eastAsia="zh-CN"/>
              </w:rPr>
              <w:t>总预算</w:t>
            </w:r>
          </w:p>
          <w:p>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（万元）</w:t>
            </w:r>
          </w:p>
        </w:tc>
        <w:tc>
          <w:tcPr>
            <w:tcW w:w="1662" w:type="dxa"/>
            <w:vAlign w:val="center"/>
          </w:tcPr>
          <w:p>
            <w:pPr>
              <w:tabs>
                <w:tab w:val="left" w:pos="8280"/>
              </w:tabs>
              <w:autoSpaceDE w:val="0"/>
              <w:autoSpaceDN w:val="0"/>
              <w:adjustRightInd w:val="0"/>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三年最高限价</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620" w:type="dxa"/>
            <w:vAlign w:val="center"/>
          </w:tcPr>
          <w:p>
            <w:pPr>
              <w:jc w:val="center"/>
              <w:rPr>
                <w:rFonts w:ascii="宋体" w:hAnsi="宋体" w:cs="宋体"/>
                <w:b/>
                <w:sz w:val="21"/>
                <w:szCs w:val="21"/>
              </w:rPr>
            </w:pPr>
            <w:r>
              <w:rPr>
                <w:rFonts w:hint="eastAsia" w:ascii="宋体" w:hAnsi="宋体" w:eastAsia="宋体" w:cs="Times New Roman"/>
                <w:b/>
                <w:sz w:val="21"/>
                <w:szCs w:val="21"/>
                <w:lang w:val="en-US" w:eastAsia="zh-CN"/>
              </w:rPr>
              <w:t>最高预算单价</w:t>
            </w:r>
            <w:r>
              <w:rPr>
                <w:rFonts w:hint="eastAsia" w:ascii="宋体" w:hAnsi="宋体" w:eastAsia="宋体" w:cs="Times New Roman"/>
                <w:b/>
                <w:sz w:val="21"/>
                <w:szCs w:val="21"/>
              </w:rPr>
              <w:t>（三年每年人均）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5"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3113" w:type="dxa"/>
            <w:vAlign w:val="center"/>
          </w:tcPr>
          <w:p>
            <w:pPr>
              <w:tabs>
                <w:tab w:val="left" w:pos="8280"/>
              </w:tabs>
              <w:autoSpaceDE w:val="0"/>
              <w:autoSpaceDN w:val="0"/>
              <w:adjustRightInd w:val="0"/>
              <w:jc w:val="center"/>
              <w:rPr>
                <w:rFonts w:ascii="宋体" w:hAnsi="宋体" w:cs="宋体"/>
                <w:b/>
                <w:sz w:val="21"/>
                <w:szCs w:val="21"/>
              </w:rPr>
            </w:pPr>
            <w:r>
              <w:rPr>
                <w:rFonts w:hint="eastAsia" w:cs="宋体"/>
                <w:b w:val="0"/>
                <w:sz w:val="24"/>
                <w:szCs w:val="24"/>
              </w:rPr>
              <w:t>台州市大病保险服务业务</w:t>
            </w:r>
          </w:p>
        </w:tc>
        <w:tc>
          <w:tcPr>
            <w:tcW w:w="575" w:type="dxa"/>
            <w:vAlign w:val="center"/>
          </w:tcPr>
          <w:p>
            <w:pPr>
              <w:tabs>
                <w:tab w:val="left" w:pos="8280"/>
              </w:tabs>
              <w:autoSpaceDE w:val="0"/>
              <w:autoSpaceDN w:val="0"/>
              <w:adjustRightInd w:val="0"/>
              <w:jc w:val="center"/>
              <w:rPr>
                <w:rFonts w:ascii="宋体" w:hAnsi="宋体" w:cs="宋体"/>
                <w:bCs/>
                <w:sz w:val="21"/>
                <w:szCs w:val="21"/>
              </w:rPr>
            </w:pPr>
            <w:r>
              <w:rPr>
                <w:rFonts w:hint="eastAsia" w:ascii="宋体" w:hAnsi="宋体" w:cs="宋体"/>
                <w:bCs/>
                <w:sz w:val="21"/>
                <w:szCs w:val="21"/>
                <w:lang w:val="en-US" w:eastAsia="zh-CN"/>
              </w:rPr>
              <w:t>1</w:t>
            </w:r>
          </w:p>
        </w:tc>
        <w:tc>
          <w:tcPr>
            <w:tcW w:w="575" w:type="dxa"/>
            <w:vAlign w:val="center"/>
          </w:tcPr>
          <w:p>
            <w:pPr>
              <w:tabs>
                <w:tab w:val="left" w:pos="8280"/>
              </w:tabs>
              <w:autoSpaceDE w:val="0"/>
              <w:autoSpaceDN w:val="0"/>
              <w:adjustRightInd w:val="0"/>
              <w:jc w:val="center"/>
              <w:rPr>
                <w:rFonts w:ascii="宋体" w:hAnsi="宋体" w:cs="宋体"/>
                <w:bCs/>
                <w:sz w:val="21"/>
                <w:szCs w:val="21"/>
              </w:rPr>
            </w:pPr>
            <w:r>
              <w:rPr>
                <w:rFonts w:hint="eastAsia" w:ascii="宋体" w:hAnsi="宋体" w:cs="宋体"/>
                <w:bCs/>
                <w:sz w:val="21"/>
                <w:szCs w:val="21"/>
                <w:lang w:val="en-US" w:eastAsia="zh-CN"/>
              </w:rPr>
              <w:t>项</w:t>
            </w:r>
          </w:p>
        </w:tc>
        <w:tc>
          <w:tcPr>
            <w:tcW w:w="1337" w:type="dxa"/>
            <w:vAlign w:val="center"/>
          </w:tcPr>
          <w:p>
            <w:pPr>
              <w:tabs>
                <w:tab w:val="left" w:pos="8280"/>
              </w:tabs>
              <w:autoSpaceDE w:val="0"/>
              <w:autoSpaceDN w:val="0"/>
              <w:adjustRightInd w:val="0"/>
              <w:jc w:val="center"/>
              <w:rPr>
                <w:rFonts w:hint="eastAsia" w:ascii="宋体" w:hAnsi="宋体" w:cs="宋体"/>
                <w:bCs/>
                <w:sz w:val="21"/>
                <w:szCs w:val="21"/>
                <w:lang w:val="en-US" w:eastAsia="zh-CN"/>
              </w:rPr>
            </w:pPr>
            <w:r>
              <w:rPr>
                <w:rFonts w:ascii="宋体" w:hAnsi="宋体" w:cs="宋体"/>
                <w:bCs/>
                <w:sz w:val="21"/>
                <w:szCs w:val="21"/>
              </w:rPr>
              <w:t>164160</w:t>
            </w:r>
          </w:p>
        </w:tc>
        <w:tc>
          <w:tcPr>
            <w:tcW w:w="1662" w:type="dxa"/>
            <w:vAlign w:val="center"/>
          </w:tcPr>
          <w:p>
            <w:pPr>
              <w:tabs>
                <w:tab w:val="left" w:pos="8280"/>
              </w:tabs>
              <w:autoSpaceDE w:val="0"/>
              <w:autoSpaceDN w:val="0"/>
              <w:adjustRightInd w:val="0"/>
              <w:jc w:val="center"/>
              <w:rPr>
                <w:rFonts w:ascii="宋体" w:hAnsi="宋体" w:cs="宋体"/>
                <w:bCs/>
                <w:sz w:val="21"/>
                <w:szCs w:val="21"/>
              </w:rPr>
            </w:pPr>
            <w:r>
              <w:rPr>
                <w:rFonts w:hint="eastAsia" w:ascii="宋体" w:hAnsi="宋体" w:cs="宋体"/>
                <w:bCs/>
                <w:sz w:val="21"/>
                <w:szCs w:val="21"/>
                <w:lang w:val="en-US" w:eastAsia="zh-CN"/>
              </w:rPr>
              <w:t>151392</w:t>
            </w:r>
          </w:p>
        </w:tc>
        <w:tc>
          <w:tcPr>
            <w:tcW w:w="1620"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lang w:val="en-US" w:eastAsia="zh-CN"/>
              </w:rPr>
              <w:t>83元</w:t>
            </w:r>
          </w:p>
        </w:tc>
      </w:tr>
    </w:tbl>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28359080"/>
      <w:bookmarkStart w:id="12" w:name="_Toc35393791"/>
      <w:bookmarkStart w:id="13" w:name="_Toc28359003"/>
      <w:bookmarkStart w:id="14" w:name="_Toc35393622"/>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color w:val="auto"/>
          <w:sz w:val="24"/>
          <w:highlight w:val="none"/>
        </w:rPr>
      </w:pPr>
      <w:r>
        <w:rPr>
          <w:rFonts w:hint="eastAsia" w:ascii="宋体" w:hAnsi="宋体" w:cs="宋体"/>
          <w:sz w:val="24"/>
        </w:rPr>
        <w:t>（一）满足《中华人民共</w:t>
      </w:r>
      <w:r>
        <w:rPr>
          <w:rFonts w:hint="eastAsia" w:ascii="宋体" w:hAnsi="宋体" w:cs="宋体"/>
          <w:color w:val="auto"/>
          <w:sz w:val="24"/>
        </w:rPr>
        <w:t>和国</w:t>
      </w:r>
      <w:r>
        <w:rPr>
          <w:rFonts w:hint="eastAsia" w:ascii="宋体" w:hAnsi="宋体" w:cs="宋体"/>
          <w:color w:val="auto"/>
          <w:sz w:val="24"/>
          <w:highlight w:val="none"/>
        </w:rPr>
        <w:t>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eastAsiaTheme="minorEastAsia"/>
          <w:color w:val="auto"/>
          <w:sz w:val="24"/>
          <w:highlight w:val="none"/>
          <w:u w:val="single"/>
          <w:lang w:eastAsia="zh-CN"/>
        </w:rPr>
      </w:pPr>
      <w:bookmarkStart w:id="15" w:name="_Toc28359004"/>
      <w:bookmarkStart w:id="16" w:name="_Toc35393792"/>
      <w:bookmarkStart w:id="17" w:name="_Toc35393623"/>
      <w:bookmarkStart w:id="18" w:name="_Toc28359081"/>
      <w:r>
        <w:rPr>
          <w:rFonts w:hint="eastAsia" w:ascii="宋体" w:hAnsi="宋体" w:cs="宋体"/>
          <w:color w:val="auto"/>
          <w:sz w:val="24"/>
          <w:highlight w:val="none"/>
        </w:rPr>
        <w:t>（二）本项目的特定资格要求：</w:t>
      </w:r>
      <w:r>
        <w:rPr>
          <w:rFonts w:hint="eastAsia" w:asciiTheme="minorEastAsia" w:hAnsiTheme="minorEastAsia" w:eastAsiaTheme="minorEastAsia"/>
          <w:sz w:val="24"/>
          <w:szCs w:val="24"/>
          <w:highlight w:val="none"/>
          <w:u w:val="single"/>
        </w:rPr>
        <w:t>总公司已经取得</w:t>
      </w:r>
      <w:r>
        <w:rPr>
          <w:rFonts w:hint="eastAsia" w:ascii="宋体" w:hAnsi="宋体" w:eastAsia="宋体" w:cs="宋体"/>
          <w:sz w:val="24"/>
          <w:highlight w:val="none"/>
          <w:u w:val="single"/>
        </w:rPr>
        <w:t>中国</w:t>
      </w:r>
      <w:r>
        <w:rPr>
          <w:rFonts w:hint="eastAsia" w:ascii="宋体" w:hAnsi="宋体" w:eastAsia="宋体" w:cs="宋体"/>
          <w:sz w:val="24"/>
          <w:highlight w:val="none"/>
          <w:u w:val="single"/>
          <w:lang w:val="en-US" w:eastAsia="zh-CN"/>
        </w:rPr>
        <w:t>银</w:t>
      </w:r>
      <w:r>
        <w:rPr>
          <w:rFonts w:hint="eastAsia" w:ascii="宋体" w:hAnsi="宋体" w:eastAsia="宋体" w:cs="宋体"/>
          <w:sz w:val="24"/>
          <w:highlight w:val="none"/>
          <w:u w:val="single"/>
        </w:rPr>
        <w:t>保</w:t>
      </w:r>
      <w:r>
        <w:rPr>
          <w:rFonts w:hint="eastAsia" w:ascii="宋体" w:hAnsi="宋体" w:eastAsia="宋体" w:cs="宋体"/>
          <w:sz w:val="24"/>
          <w:highlight w:val="none"/>
          <w:u w:val="single"/>
          <w:lang w:val="en-US" w:eastAsia="zh-CN"/>
        </w:rPr>
        <w:t>监</w:t>
      </w:r>
      <w:r>
        <w:rPr>
          <w:rFonts w:hint="eastAsia" w:ascii="宋体" w:hAnsi="宋体" w:eastAsia="宋体" w:cs="宋体"/>
          <w:sz w:val="24"/>
          <w:highlight w:val="none"/>
          <w:u w:val="single"/>
        </w:rPr>
        <w:t>会</w:t>
      </w:r>
      <w:r>
        <w:rPr>
          <w:rFonts w:hint="eastAsia" w:asciiTheme="minorEastAsia" w:hAnsiTheme="minorEastAsia" w:eastAsiaTheme="minorEastAsia"/>
          <w:sz w:val="24"/>
          <w:szCs w:val="24"/>
          <w:highlight w:val="none"/>
          <w:u w:val="single"/>
        </w:rPr>
        <w:t>核准的开展大病保险业务资质的地市商业保险机构</w:t>
      </w:r>
      <w:r>
        <w:rPr>
          <w:rFonts w:hint="eastAsia" w:asciiTheme="minorEastAsia" w:hAnsiTheme="minorEastAsia" w:eastAsiaTheme="minorEastAsia"/>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w:t>
      </w:r>
      <w:r>
        <w:rPr>
          <w:rFonts w:hint="eastAsia" w:ascii="宋体" w:hAnsi="宋体" w:cs="宋体"/>
          <w:sz w:val="24"/>
          <w:highlight w:val="none"/>
        </w:rPr>
        <w:t>单位负责人为同一人或者存在直接控股、管理关系的不同供应商，不得同时参加同一项目投标；为</w:t>
      </w:r>
      <w:r>
        <w:rPr>
          <w:rFonts w:hint="eastAsia" w:ascii="宋体" w:hAnsi="宋体" w:cs="宋体"/>
          <w:sz w:val="24"/>
        </w:rPr>
        <w:t>本项目提供整体设计、规范编制或者项目管理、监理、检测等服务的供应商，不得再参与本项目投标。（联合体投标的，联合体各方均须满足该条款）。</w:t>
      </w:r>
    </w:p>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2021</w:t>
      </w:r>
      <w:r>
        <w:rPr>
          <w:rFonts w:hint="eastAsia" w:ascii="宋体" w:hAnsi="宋体" w:cs="宋体"/>
          <w:sz w:val="24"/>
          <w:u w:val="single"/>
        </w:rPr>
        <w:t>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2021</w:t>
      </w:r>
      <w:r>
        <w:rPr>
          <w:rFonts w:hint="eastAsia" w:ascii="宋体" w:hAnsi="宋体" w:cs="宋体"/>
          <w:sz w:val="24"/>
          <w:u w:val="single"/>
        </w:rPr>
        <w:t>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w:t>
      </w:r>
      <w:bookmarkStart w:id="113" w:name="_GoBack"/>
      <w:bookmarkEnd w:id="113"/>
      <w:r>
        <w:rPr>
          <w:rFonts w:hint="eastAsia" w:ascii="宋体" w:hAnsi="宋体" w:cs="宋体"/>
          <w:sz w:val="24"/>
        </w:rPr>
        <w:t>下载</w:t>
      </w:r>
    </w:p>
    <w:p>
      <w:pPr>
        <w:pStyle w:val="5"/>
        <w:ind w:right="0" w:firstLine="482" w:firstLineChars="200"/>
        <w:rPr>
          <w:rFonts w:cs="宋体"/>
          <w:bCs/>
          <w:sz w:val="24"/>
          <w:szCs w:val="24"/>
        </w:rPr>
      </w:pPr>
      <w:bookmarkStart w:id="19" w:name="_Toc28359082"/>
      <w:bookmarkStart w:id="20" w:name="_Toc35393793"/>
      <w:bookmarkStart w:id="21" w:name="_Toc35393624"/>
      <w:bookmarkStart w:id="22" w:name="_Toc28359005"/>
      <w:r>
        <w:rPr>
          <w:rFonts w:hint="eastAsia" w:cs="宋体"/>
          <w:bCs/>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28359084"/>
      <w:bookmarkStart w:id="24" w:name="_Toc28359007"/>
      <w:bookmarkStart w:id="25" w:name="_Toc35393625"/>
      <w:bookmarkStart w:id="26" w:name="_Toc35393794"/>
      <w:r>
        <w:rPr>
          <w:rFonts w:hint="eastAsia" w:ascii="宋体" w:hAnsi="宋体" w:cs="宋体"/>
          <w:sz w:val="24"/>
        </w:rPr>
        <w:t>（一）截止时间（开标时间）：</w:t>
      </w:r>
      <w:r>
        <w:rPr>
          <w:rFonts w:hint="eastAsia" w:ascii="宋体" w:hAnsi="宋体" w:cs="宋体"/>
          <w:bCs/>
          <w:sz w:val="24"/>
          <w:u w:val="single"/>
          <w:lang w:val="en-US" w:eastAsia="zh-CN"/>
        </w:rPr>
        <w:t>2022</w:t>
      </w:r>
      <w:r>
        <w:rPr>
          <w:rFonts w:hint="eastAsia" w:ascii="宋体" w:hAnsi="宋体" w:cs="宋体"/>
          <w:bCs/>
          <w:sz w:val="24"/>
          <w:u w:val="single"/>
        </w:rPr>
        <w:t>年</w:t>
      </w:r>
      <w:r>
        <w:rPr>
          <w:rFonts w:hint="eastAsia" w:ascii="宋体" w:hAnsi="宋体" w:cs="宋体"/>
          <w:sz w:val="24"/>
          <w:u w:val="single"/>
          <w:lang w:val="en-US" w:eastAsia="zh-CN"/>
        </w:rPr>
        <w:t>1</w:t>
      </w:r>
      <w:r>
        <w:rPr>
          <w:rFonts w:hint="eastAsia" w:ascii="宋体" w:hAnsi="宋体" w:cs="宋体"/>
          <w:bCs/>
          <w:sz w:val="24"/>
          <w:u w:val="single"/>
        </w:rPr>
        <w:t>月</w:t>
      </w:r>
      <w:r>
        <w:rPr>
          <w:rFonts w:hint="eastAsia" w:ascii="宋体" w:hAnsi="宋体" w:cs="宋体"/>
          <w:sz w:val="24"/>
          <w:u w:val="single"/>
          <w:lang w:val="en-US" w:eastAsia="zh-CN"/>
        </w:rPr>
        <w:t>12</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点整</w:t>
      </w:r>
      <w:r>
        <w:rPr>
          <w:rFonts w:hint="eastAsia" w:ascii="宋体" w:hAnsi="宋体" w:cs="宋体"/>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pPr>
        <w:pStyle w:val="1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5"/>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5"/>
        <w:ind w:right="0" w:firstLine="482" w:firstLineChars="200"/>
        <w:rPr>
          <w:rFonts w:cs="宋体"/>
          <w:bCs/>
          <w:sz w:val="24"/>
          <w:szCs w:val="24"/>
        </w:rPr>
      </w:pPr>
      <w:bookmarkStart w:id="29" w:name="_Toc28359085"/>
      <w:bookmarkStart w:id="30" w:name="_Toc35393627"/>
      <w:bookmarkStart w:id="31" w:name="_Toc28359008"/>
      <w:bookmarkStart w:id="32" w:name="_Toc35393796"/>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rPr>
        <w:t>　</w:t>
      </w:r>
      <w:r>
        <w:rPr>
          <w:rFonts w:hint="eastAsia" w:ascii="宋体" w:hAnsi="宋体" w:cs="宋体"/>
          <w:sz w:val="24"/>
          <w:u w:val="single"/>
          <w:lang w:val="en-US" w:eastAsia="zh-CN"/>
        </w:rPr>
        <w:t>台州市医疗保障局</w:t>
      </w:r>
      <w:r>
        <w:rPr>
          <w:rFonts w:hint="eastAsia" w:ascii="宋体" w:hAnsi="宋体" w:cs="宋体"/>
          <w:sz w:val="24"/>
          <w:u w:val="single"/>
        </w:rPr>
        <w:t xml:space="preserve">    </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w:t>
      </w:r>
      <w:r>
        <w:rPr>
          <w:rFonts w:hint="eastAsia" w:ascii="宋体" w:hAnsi="宋体" w:cs="宋体"/>
          <w:sz w:val="24"/>
          <w:u w:val="single"/>
          <w:lang w:val="en-US" w:eastAsia="zh-CN"/>
        </w:rPr>
        <w:t>台州市椒江区东环大道143-145号</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w:t>
      </w:r>
      <w:r>
        <w:rPr>
          <w:rFonts w:hint="eastAsia" w:ascii="宋体" w:hAnsi="宋体" w:cs="宋体"/>
          <w:sz w:val="24"/>
          <w:u w:val="single"/>
          <w:lang w:val="en-US" w:eastAsia="zh-CN"/>
        </w:rPr>
        <w:t>郑老师</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bookmarkStart w:id="33" w:name="_Toc28359009"/>
      <w:bookmarkStart w:id="34" w:name="_Toc28359086"/>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88513335</w:t>
      </w:r>
      <w:r>
        <w:rPr>
          <w:rFonts w:hint="eastAsia" w:ascii="宋体" w:hAnsi="宋体" w:cs="宋体"/>
          <w:sz w:val="24"/>
          <w:u w:val="single"/>
        </w:rPr>
        <w:t xml:space="preserve">　　  </w:t>
      </w:r>
    </w:p>
    <w:bookmarkEnd w:id="33"/>
    <w:bookmarkEnd w:id="34"/>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hint="eastAsia" w:ascii="宋体" w:hAnsi="宋体" w:cs="宋体"/>
          <w:sz w:val="24"/>
          <w:szCs w:val="24"/>
          <w:u w:val="single"/>
        </w:rPr>
      </w:pPr>
      <w:bookmarkStart w:id="35" w:name="_Toc28359010"/>
      <w:bookmarkStart w:id="36" w:name="_Toc28359087"/>
      <w:r>
        <w:rPr>
          <w:rFonts w:hint="eastAsia" w:ascii="宋体" w:hAnsi="宋体" w:cs="宋体"/>
          <w:sz w:val="24"/>
          <w:szCs w:val="24"/>
        </w:rPr>
        <w:t>名 称：</w:t>
      </w:r>
      <w:r>
        <w:rPr>
          <w:rFonts w:hint="eastAsia" w:ascii="宋体" w:hAnsi="宋体" w:cs="宋体"/>
          <w:sz w:val="24"/>
          <w:szCs w:val="24"/>
          <w:u w:val="single"/>
        </w:rPr>
        <w:t xml:space="preserve"> 台州市政府采购中心  </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台州市市府大道777号 </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项目联系人：</w:t>
      </w:r>
      <w:r>
        <w:rPr>
          <w:rFonts w:hint="eastAsia" w:ascii="宋体" w:hAnsi="宋体" w:cs="宋体"/>
          <w:sz w:val="24"/>
          <w:szCs w:val="24"/>
          <w:u w:val="single"/>
          <w:lang w:val="en-US" w:eastAsia="zh-CN"/>
        </w:rPr>
        <w:t>郑</w:t>
      </w:r>
      <w:r>
        <w:rPr>
          <w:rFonts w:hint="eastAsia" w:ascii="宋体" w:hAnsi="宋体" w:cs="宋体"/>
          <w:sz w:val="24"/>
          <w:szCs w:val="24"/>
          <w:u w:val="single"/>
        </w:rPr>
        <w:t>老师</w:t>
      </w:r>
    </w:p>
    <w:p>
      <w:pPr>
        <w:spacing w:line="360" w:lineRule="auto"/>
        <w:ind w:firstLine="480" w:firstLineChars="200"/>
        <w:rPr>
          <w:rFonts w:hint="default" w:ascii="宋体" w:hAnsi="宋体" w:cs="宋体"/>
          <w:sz w:val="24"/>
          <w:szCs w:val="24"/>
          <w:u w:val="single"/>
          <w:lang w:val="en-US"/>
        </w:rPr>
      </w:pPr>
      <w:r>
        <w:rPr>
          <w:rFonts w:hint="eastAsia" w:ascii="宋体" w:hAnsi="宋体" w:cs="宋体"/>
          <w:sz w:val="24"/>
          <w:szCs w:val="24"/>
        </w:rPr>
        <w:t>联系电话：</w:t>
      </w:r>
      <w:r>
        <w:rPr>
          <w:rFonts w:hint="eastAsia" w:ascii="宋体" w:hAnsi="宋体" w:cs="宋体"/>
          <w:sz w:val="24"/>
          <w:szCs w:val="24"/>
          <w:u w:val="single"/>
        </w:rPr>
        <w:t>0576-</w:t>
      </w:r>
      <w:r>
        <w:rPr>
          <w:rFonts w:hint="eastAsia" w:ascii="宋体" w:hAnsi="宋体" w:cs="宋体"/>
          <w:sz w:val="24"/>
          <w:szCs w:val="24"/>
          <w:u w:val="single"/>
          <w:lang w:val="en-US" w:eastAsia="zh-CN"/>
        </w:rPr>
        <w:t>88685058</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受理联系人：</w:t>
      </w:r>
      <w:r>
        <w:rPr>
          <w:rFonts w:hint="eastAsia" w:ascii="宋体" w:hAnsi="宋体" w:cs="宋体"/>
          <w:sz w:val="24"/>
          <w:szCs w:val="24"/>
          <w:u w:val="single"/>
          <w:lang w:val="en-US" w:eastAsia="zh-CN"/>
        </w:rPr>
        <w:t>侯</w:t>
      </w:r>
      <w:r>
        <w:rPr>
          <w:rFonts w:hint="eastAsia" w:ascii="宋体" w:hAnsi="宋体" w:eastAsia="宋体" w:cs="宋体"/>
          <w:sz w:val="24"/>
          <w:szCs w:val="24"/>
          <w:u w:val="single"/>
        </w:rPr>
        <w:t>女士（受理注册、中标结果相关质疑及答复）</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联系电话：</w:t>
      </w:r>
      <w:r>
        <w:rPr>
          <w:rFonts w:hint="eastAsia" w:asciiTheme="minorEastAsia" w:hAnsiTheme="minorEastAsia" w:eastAsiaTheme="minorEastAsia" w:cstheme="minorEastAsia"/>
          <w:sz w:val="24"/>
          <w:szCs w:val="24"/>
          <w:u w:val="single"/>
        </w:rPr>
        <w:t xml:space="preserve">0576-88685121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技术人员：</w:t>
      </w:r>
      <w:r>
        <w:rPr>
          <w:rFonts w:hint="eastAsia" w:ascii="宋体" w:hAnsi="宋体" w:cs="宋体"/>
          <w:sz w:val="24"/>
          <w:szCs w:val="24"/>
          <w:u w:val="single"/>
          <w:lang w:eastAsia="zh-CN"/>
        </w:rPr>
        <w:t>徐</w:t>
      </w:r>
      <w:r>
        <w:rPr>
          <w:rFonts w:hint="eastAsia" w:ascii="宋体" w:hAnsi="宋体" w:cs="宋体"/>
          <w:sz w:val="24"/>
          <w:szCs w:val="24"/>
          <w:u w:val="single"/>
        </w:rPr>
        <w:t xml:space="preserve">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eastAsia="宋体" w:cs="宋体"/>
          <w:sz w:val="24"/>
          <w:szCs w:val="24"/>
          <w:u w:val="single"/>
        </w:rPr>
        <w:t>0576-886851</w:t>
      </w:r>
      <w:r>
        <w:rPr>
          <w:rFonts w:hint="eastAsia" w:ascii="宋体" w:hAnsi="宋体" w:eastAsia="宋体" w:cs="宋体"/>
          <w:sz w:val="24"/>
          <w:szCs w:val="24"/>
          <w:u w:val="single"/>
          <w:lang w:val="en-US" w:eastAsia="zh-CN"/>
        </w:rPr>
        <w:t>61</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88206705</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p>
    <w:bookmarkEnd w:id="35"/>
    <w:bookmarkEnd w:id="36"/>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bookmarkStart w:id="37" w:name="_Toc25017_WPSOffice_Level1"/>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2021</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14</w:t>
      </w:r>
      <w:r>
        <w:rPr>
          <w:rFonts w:hint="eastAsia" w:asciiTheme="minorEastAsia" w:hAnsiTheme="minorEastAsia" w:eastAsiaTheme="minorEastAsia" w:cstheme="minorEastAsia"/>
          <w:kern w:val="0"/>
          <w:sz w:val="24"/>
        </w:rPr>
        <w:t>日</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37"/>
    </w:p>
    <w:p>
      <w:pPr>
        <w:numPr>
          <w:ilvl w:val="0"/>
          <w:numId w:val="5"/>
        </w:numPr>
        <w:ind w:firstLine="482" w:firstLineChars="200"/>
      </w:pPr>
      <w:r>
        <w:rPr>
          <w:rFonts w:hint="eastAsia" w:asciiTheme="minorEastAsia" w:hAnsiTheme="minorEastAsia" w:eastAsiaTheme="minorEastAsia"/>
          <w:b/>
          <w:sz w:val="24"/>
        </w:rPr>
        <w:t>前附表</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是/</w:t>
            </w:r>
            <w:r>
              <w:rPr>
                <w:rFonts w:hint="eastAsia" w:ascii="宋体" w:hAnsi="宋体" w:eastAsia="宋体" w:cs="宋体"/>
                <w:lang w:eastAsia="zh-CN"/>
              </w:rPr>
              <w:sym w:font="Wingdings 2" w:char="0052"/>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sym w:font="Wingdings 2" w:char="0052"/>
            </w:r>
            <w:r>
              <w:rPr>
                <w:rFonts w:hint="eastAsia" w:ascii="宋体" w:hAnsi="宋体" w:eastAsia="宋体" w:cs="宋体"/>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eastAsia="宋体" w:cs="宋体"/>
                <w:u w:val="single"/>
                <w:lang w:val="en-US" w:eastAsia="zh-CN"/>
              </w:rPr>
              <w:t>9:00</w:t>
            </w:r>
            <w:r>
              <w:rPr>
                <w:rFonts w:hint="eastAsia" w:ascii="宋体" w:hAnsi="宋体" w:eastAsia="宋体" w:cs="宋体"/>
                <w:u w:val="single"/>
              </w:rPr>
              <w:t>至</w:t>
            </w:r>
            <w:r>
              <w:rPr>
                <w:rFonts w:hint="eastAsia" w:ascii="宋体" w:hAnsi="宋体" w:eastAsia="宋体" w:cs="宋体"/>
                <w:u w:val="single"/>
                <w:lang w:val="en-US" w:eastAsia="zh-CN"/>
              </w:rPr>
              <w:t>9:30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1.使用前提：在解密截止时间前，投标人自行在线解密操作失败</w:t>
            </w:r>
            <w:r>
              <w:rPr>
                <w:rFonts w:hint="eastAsia" w:ascii="宋体" w:hAnsi="宋体" w:cs="宋体"/>
                <w:lang w:eastAsia="zh-CN"/>
              </w:rPr>
              <w:t>，</w:t>
            </w:r>
            <w:r>
              <w:rPr>
                <w:rFonts w:hint="eastAsia" w:ascii="宋体" w:hAnsi="宋体" w:eastAsia="宋体" w:cs="宋体"/>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2.递交截止时间：开标当天</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rPr>
            </w:pPr>
            <w:r>
              <w:rPr>
                <w:rFonts w:hint="eastAsia"/>
                <w:lang w:val="en-US" w:eastAsia="zh-CN"/>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rPr>
              <w:t>造成无法</w:t>
            </w:r>
            <w:r>
              <w:rPr>
                <w:rFonts w:hint="eastAsia"/>
                <w:lang w:eastAsia="zh-CN"/>
              </w:rPr>
              <w:t>响应</w:t>
            </w:r>
            <w:r>
              <w:rPr>
                <w:rFonts w:hint="eastAsia"/>
              </w:rPr>
              <w:t>或</w:t>
            </w:r>
            <w:r>
              <w:rPr>
                <w:rFonts w:hint="eastAsia"/>
                <w:lang w:eastAsia="zh-CN"/>
              </w:rPr>
              <w:t>响应</w:t>
            </w:r>
            <w:r>
              <w:rPr>
                <w:rFonts w:hint="eastAsia"/>
              </w:rPr>
              <w:t>失败等后果由供应商自行承担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线上方案讲解要求</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lang w:val="en-US" w:eastAsia="zh-CN"/>
              </w:rPr>
            </w:pPr>
            <w:r>
              <w:rPr>
                <w:rFonts w:hint="eastAsia" w:ascii="宋体" w:hAnsi="宋体" w:eastAsia="宋体" w:cs="宋体"/>
                <w:lang w:val="en-US" w:eastAsia="zh-CN"/>
              </w:rPr>
              <w:t>1</w:t>
            </w:r>
            <w:r>
              <w:rPr>
                <w:rFonts w:hint="eastAsia" w:ascii="宋体" w:hAnsi="宋体" w:cs="宋体"/>
                <w:lang w:val="en-US" w:eastAsia="zh-CN"/>
              </w:rPr>
              <w:t>.</w:t>
            </w:r>
            <w:r>
              <w:rPr>
                <w:rFonts w:hint="eastAsia"/>
                <w:lang w:val="en-US" w:eastAsia="zh-CN"/>
              </w:rPr>
              <w:t>本线上演示（讲标）通过“政采云视频讲标系统”进行线上视频演示，投标人登录政采云系统-----进入开标大厅---进入本项目进行操作。政采云视频讲标系统在线上视频演示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lang w:val="en-US" w:eastAsia="zh-CN"/>
              </w:rPr>
            </w:pPr>
            <w:r>
              <w:rPr>
                <w:rFonts w:hint="eastAsia"/>
                <w:lang w:val="en-US" w:eastAsia="zh-CN"/>
              </w:rPr>
              <w:t>“政采云视频讲标系统”评委可以看见和听见投标人的画面和声音，投标人只能听见的评委的声音，看不见评委的画面。政采云视频讲标系统目前不支持手机端。</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lang w:val="en-US" w:eastAsia="zh-CN"/>
              </w:rPr>
            </w:pPr>
            <w:r>
              <w:rPr>
                <w:rFonts w:hint="eastAsia" w:ascii="宋体" w:hAnsi="宋体" w:eastAsia="宋体" w:cs="宋体"/>
                <w:lang w:val="en-US" w:eastAsia="zh-CN"/>
              </w:rPr>
              <w:t>2.</w:t>
            </w:r>
            <w:r>
              <w:rPr>
                <w:rFonts w:hint="eastAsia"/>
                <w:lang w:val="en-US" w:eastAsia="zh-CN"/>
              </w:rPr>
              <w:t>线上演示（讲标）时投标人通过视频方式按照招标文件中的评分标准，详细向评标委员会进行介绍和演示。请各投标人提前予以模拟演示准备，以免开标时由于各种情况而造成线上视频演示不顺畅而影响得分。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lang w:val="en-US" w:eastAsia="zh-CN"/>
              </w:rPr>
            </w:pPr>
            <w:r>
              <w:rPr>
                <w:rFonts w:hint="eastAsia" w:ascii="宋体" w:hAnsi="宋体" w:eastAsia="宋体" w:cs="宋体"/>
                <w:lang w:val="en-US" w:eastAsia="zh-CN"/>
              </w:rPr>
              <w:t>3.</w:t>
            </w:r>
            <w:r>
              <w:rPr>
                <w:rFonts w:hint="eastAsia"/>
                <w:lang w:val="en-US" w:eastAsia="zh-CN"/>
              </w:rPr>
              <w:t>同时投标人也可以登录政采云系统-----进入开标大厅---进入本项目----点击桌面共享按钮，将自己的电脑共享到“政采云视频讲标系统”里来达到更加优质的演示效果。具体操作指南在《政府采购项目电子交易管理操作指南-供应商—2020年10月版》P34-P38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文件的规定，本项目(□是 /</w:t>
            </w:r>
            <w:r>
              <w:rPr>
                <w:rFonts w:hint="eastAsia" w:ascii="宋体" w:hAnsi="宋体" w:eastAsia="宋体" w:cs="宋体"/>
              </w:rPr>
              <w:sym w:font="Wingdings 2" w:char="0052"/>
            </w:r>
            <w:r>
              <w:rPr>
                <w:rFonts w:hint="eastAsia" w:ascii="宋体" w:hAnsi="宋体" w:eastAsia="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eastAsia="宋体" w:cs="宋体"/>
                <w:u w:val="single"/>
              </w:rPr>
              <w:t>服务类</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2.中小企业划分标准所属行业（具体根据《中小企业划型标准规定》执行）。</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采购标的：</w:t>
            </w:r>
            <w:r>
              <w:rPr>
                <w:rFonts w:hint="eastAsia" w:ascii="宋体" w:hAnsi="宋体" w:eastAsia="宋体" w:cs="宋体"/>
                <w:sz w:val="21"/>
                <w:szCs w:val="21"/>
                <w:u w:val="single"/>
              </w:rPr>
              <w:t xml:space="preserve">台州市大病保险服务业务 </w:t>
            </w:r>
            <w:r>
              <w:rPr>
                <w:rFonts w:hint="eastAsia" w:ascii="宋体" w:hAnsi="宋体" w:eastAsia="宋体" w:cs="宋体"/>
                <w:sz w:val="21"/>
                <w:szCs w:val="21"/>
              </w:rPr>
              <w:t>，所属行业：</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保险类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9"/>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szCs w:val="21"/>
              </w:rPr>
              <w:t>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cs="宋体"/>
                <w:lang w:eastAsia="zh-CN"/>
              </w:rPr>
              <w:t>（</w:t>
            </w:r>
            <w:r>
              <w:rPr>
                <w:rFonts w:hint="eastAsia" w:ascii="宋体" w:hAnsi="宋体" w:eastAsia="宋体" w:cs="宋体"/>
              </w:rPr>
              <w:t>注：未提供以上材料的，均不给予价格扣除</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1"/>
        <w:snapToGrid w:val="0"/>
        <w:spacing w:line="360" w:lineRule="auto"/>
        <w:ind w:firstLine="482" w:firstLineChars="200"/>
        <w:rPr>
          <w:rFonts w:hint="eastAsia" w:asciiTheme="minorEastAsia" w:hAnsiTheme="minorEastAsia" w:eastAsiaTheme="minorEastAsia"/>
          <w:b/>
          <w:sz w:val="24"/>
        </w:rPr>
      </w:pP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2"/>
        <w:numPr>
          <w:ilvl w:val="0"/>
          <w:numId w:val="6"/>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6"/>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1"/>
        <w:snapToGrid w:val="0"/>
        <w:spacing w:line="360" w:lineRule="auto"/>
        <w:ind w:left="2" w:leftChars="1" w:firstLine="482" w:firstLineChars="200"/>
        <w:rPr>
          <w:rFonts w:hAnsi="宋体"/>
          <w:b/>
          <w:sz w:val="24"/>
        </w:rPr>
      </w:pPr>
      <w:r>
        <w:rPr>
          <w:rFonts w:hint="eastAsia" w:hAnsi="宋体"/>
          <w:b/>
          <w:sz w:val="24"/>
        </w:rPr>
        <w:t>（七）特别说明</w:t>
      </w:r>
    </w:p>
    <w:p>
      <w:pPr>
        <w:pStyle w:val="11"/>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6"/>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widowControl/>
        <w:spacing w:line="360" w:lineRule="auto"/>
        <w:ind w:firstLine="480" w:firstLineChars="200"/>
        <w:rPr>
          <w:rFonts w:hint="eastAsia" w:cs="Times New Roman" w:asciiTheme="minorEastAsia" w:hAnsiTheme="minorEastAsia" w:eastAsiaTheme="minorEastAsia"/>
          <w:kern w:val="0"/>
          <w:sz w:val="24"/>
          <w:szCs w:val="20"/>
          <w:lang w:val="en-US" w:eastAsia="zh-CN" w:bidi="ar-SA"/>
        </w:rPr>
      </w:pPr>
      <w:r>
        <w:rPr>
          <w:rFonts w:hint="eastAsia" w:cs="Times New Roman" w:asciiTheme="minorEastAsia" w:hAnsiTheme="minorEastAsia" w:eastAsiaTheme="minorEastAsia"/>
          <w:kern w:val="0"/>
          <w:sz w:val="24"/>
          <w:szCs w:val="20"/>
          <w:lang w:val="en-US" w:eastAsia="zh-CN" w:bidi="ar-SA"/>
        </w:rPr>
        <w:t>（1）投标声明书；</w:t>
      </w:r>
    </w:p>
    <w:p>
      <w:pPr>
        <w:widowControl/>
        <w:spacing w:line="360" w:lineRule="auto"/>
        <w:ind w:firstLine="480" w:firstLineChars="200"/>
        <w:rPr>
          <w:rFonts w:hint="eastAsia" w:cs="Times New Roman" w:asciiTheme="minorEastAsia" w:hAnsiTheme="minorEastAsia" w:eastAsiaTheme="minorEastAsia"/>
          <w:kern w:val="0"/>
          <w:sz w:val="24"/>
          <w:szCs w:val="20"/>
          <w:lang w:val="en-US" w:eastAsia="zh-CN" w:bidi="ar-SA"/>
        </w:rPr>
      </w:pPr>
      <w:r>
        <w:rPr>
          <w:rFonts w:hint="eastAsia" w:cs="Times New Roman" w:asciiTheme="minorEastAsia" w:hAnsiTheme="minorEastAsia" w:eastAsiaTheme="minorEastAsia"/>
          <w:kern w:val="0"/>
          <w:sz w:val="24"/>
          <w:szCs w:val="20"/>
          <w:lang w:val="en-US" w:eastAsia="zh-CN" w:bidi="ar-SA"/>
        </w:rPr>
        <w:t>（2）授权委托书（法定代表人亲自办理投标事宜的，则无需提交）；</w:t>
      </w:r>
    </w:p>
    <w:p>
      <w:pPr>
        <w:widowControl/>
        <w:spacing w:line="360" w:lineRule="auto"/>
        <w:ind w:firstLine="480" w:firstLineChars="200"/>
        <w:rPr>
          <w:rFonts w:hint="eastAsia" w:cs="Times New Roman" w:asciiTheme="minorEastAsia" w:hAnsiTheme="minorEastAsia" w:eastAsiaTheme="minorEastAsia"/>
          <w:kern w:val="0"/>
          <w:sz w:val="24"/>
          <w:szCs w:val="20"/>
          <w:lang w:val="en-US" w:eastAsia="zh-CN" w:bidi="ar-SA"/>
        </w:rPr>
      </w:pPr>
      <w:r>
        <w:rPr>
          <w:rFonts w:hint="eastAsia" w:cs="Times New Roman" w:asciiTheme="minorEastAsia" w:hAnsiTheme="minorEastAsia" w:eastAsiaTheme="minorEastAsia"/>
          <w:kern w:val="0"/>
          <w:sz w:val="24"/>
          <w:szCs w:val="20"/>
          <w:lang w:val="en-US" w:eastAsia="zh-CN" w:bidi="ar-SA"/>
        </w:rPr>
        <w:t>（3）联合体授权委托书及联合体声明、协议（若项目接受联合体投标时需提供）；</w:t>
      </w:r>
    </w:p>
    <w:p>
      <w:pPr>
        <w:widowControl/>
        <w:spacing w:line="360" w:lineRule="auto"/>
        <w:ind w:firstLine="480" w:firstLineChars="200"/>
        <w:rPr>
          <w:rFonts w:hint="eastAsia" w:cs="Times New Roman" w:asciiTheme="minorEastAsia" w:hAnsiTheme="minorEastAsia" w:eastAsiaTheme="minorEastAsia"/>
          <w:kern w:val="0"/>
          <w:sz w:val="24"/>
          <w:szCs w:val="20"/>
          <w:lang w:val="en-US" w:eastAsia="zh-CN" w:bidi="ar-SA"/>
        </w:rPr>
      </w:pPr>
      <w:r>
        <w:rPr>
          <w:rFonts w:hint="eastAsia" w:cs="Times New Roman" w:asciiTheme="minorEastAsia" w:hAnsiTheme="minorEastAsia" w:eastAsiaTheme="minorEastAsia"/>
          <w:kern w:val="0"/>
          <w:sz w:val="24"/>
          <w:szCs w:val="20"/>
          <w:lang w:val="en-US" w:eastAsia="zh-CN" w:bidi="ar-SA"/>
        </w:rPr>
        <w:t>（4）法人或者其他组织的营业执照等证明文件，自然人的身份证明；</w:t>
      </w:r>
    </w:p>
    <w:p>
      <w:pPr>
        <w:widowControl/>
        <w:spacing w:line="360" w:lineRule="auto"/>
        <w:ind w:firstLine="480" w:firstLineChars="200"/>
        <w:rPr>
          <w:rFonts w:hint="eastAsia" w:cs="Times New Roman" w:asciiTheme="minorEastAsia" w:hAnsiTheme="minorEastAsia" w:eastAsiaTheme="minorEastAsia"/>
          <w:kern w:val="0"/>
          <w:sz w:val="24"/>
          <w:szCs w:val="20"/>
          <w:lang w:val="en-US" w:eastAsia="zh-CN" w:bidi="ar-SA"/>
        </w:rPr>
      </w:pPr>
      <w:r>
        <w:rPr>
          <w:rFonts w:hint="eastAsia" w:cs="Times New Roman" w:asciiTheme="minorEastAsia" w:hAnsiTheme="minorEastAsia" w:eastAsiaTheme="minorEastAsia"/>
          <w:kern w:val="0"/>
          <w:sz w:val="24"/>
          <w:szCs w:val="20"/>
          <w:lang w:val="en-US" w:eastAsia="zh-CN" w:bidi="ar-SA"/>
        </w:rPr>
        <w:t>（5）符合参与政府采购活动的资格条件并且没有税收缴纳、社会保障等方面的失信记录的承诺函；</w:t>
      </w:r>
    </w:p>
    <w:p>
      <w:pPr>
        <w:widowControl/>
        <w:spacing w:line="360" w:lineRule="auto"/>
        <w:ind w:firstLine="480" w:firstLineChars="200"/>
        <w:rPr>
          <w:rFonts w:hint="eastAsia" w:cs="Times New Roman" w:asciiTheme="minorEastAsia" w:hAnsiTheme="minorEastAsia" w:eastAsiaTheme="minorEastAsia"/>
          <w:kern w:val="0"/>
          <w:sz w:val="24"/>
          <w:szCs w:val="20"/>
          <w:lang w:val="en-US" w:eastAsia="zh-CN" w:bidi="ar-SA"/>
        </w:rPr>
      </w:pPr>
      <w:r>
        <w:rPr>
          <w:rFonts w:hint="eastAsia" w:cs="Times New Roman" w:asciiTheme="minorEastAsia" w:hAnsiTheme="minorEastAsia" w:eastAsiaTheme="minorEastAsia"/>
          <w:kern w:val="0"/>
          <w:sz w:val="24"/>
          <w:szCs w:val="20"/>
          <w:lang w:val="en-US" w:eastAsia="zh-CN" w:bidi="ar-SA"/>
        </w:rPr>
        <w:t>（6）具备履行合同所必需的设备和专业技术能力的证明材料(根据项目性质提供)；</w:t>
      </w:r>
    </w:p>
    <w:p>
      <w:pPr>
        <w:widowControl/>
        <w:spacing w:line="360" w:lineRule="auto"/>
        <w:ind w:firstLine="480" w:firstLineChars="200"/>
        <w:rPr>
          <w:rFonts w:hint="eastAsia" w:cs="Times New Roman" w:asciiTheme="minorEastAsia" w:hAnsiTheme="minorEastAsia" w:eastAsiaTheme="minorEastAsia"/>
          <w:kern w:val="0"/>
          <w:sz w:val="24"/>
          <w:szCs w:val="20"/>
          <w:lang w:val="en-US" w:eastAsia="zh-CN" w:bidi="ar-SA"/>
        </w:rPr>
      </w:pPr>
      <w:r>
        <w:rPr>
          <w:rFonts w:hint="eastAsia" w:cs="Times New Roman" w:asciiTheme="minorEastAsia" w:hAnsiTheme="minorEastAsia" w:eastAsiaTheme="minorEastAsia"/>
          <w:kern w:val="0"/>
          <w:sz w:val="24"/>
          <w:szCs w:val="20"/>
          <w:lang w:val="en-US" w:eastAsia="zh-CN" w:bidi="ar-SA"/>
        </w:rPr>
        <w:t>（7）提供采购公告中符合供应商特定条件的有效资质证书扫描件以及需要说明的其他资料。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b/>
          <w:bCs/>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项目实施人员一览表（附件7）；</w:t>
      </w:r>
    </w:p>
    <w:p>
      <w:pPr>
        <w:numPr>
          <w:ilvl w:val="0"/>
          <w:numId w:val="7"/>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7"/>
        </w:numPr>
        <w:spacing w:line="360" w:lineRule="auto"/>
        <w:ind w:firstLine="640"/>
        <w:rPr>
          <w:rFonts w:ascii="Calibri" w:hAnsi="Calibri" w:cs="Calibri"/>
          <w:sz w:val="24"/>
        </w:rPr>
      </w:pPr>
      <w:r>
        <w:rPr>
          <w:rFonts w:hint="eastAsia" w:ascii="Calibri" w:hAnsi="Calibri" w:cs="Calibri"/>
          <w:sz w:val="24"/>
        </w:rPr>
        <w:t>项目负责人资格情况表（附件8）；</w:t>
      </w:r>
    </w:p>
    <w:p>
      <w:pPr>
        <w:numPr>
          <w:ilvl w:val="0"/>
          <w:numId w:val="7"/>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7"/>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实施服务与保障的能力及方案（包括服务方式、服务网点、技术培训、实施期与运维期服务的内容和措施等）（附件9）；</w:t>
      </w:r>
    </w:p>
    <w:p>
      <w:pPr>
        <w:numPr>
          <w:ilvl w:val="0"/>
          <w:numId w:val="7"/>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8"/>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lang w:val="en-GB"/>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8"/>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9"/>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3.中标人无故拖延、拒签合同的,将取消中标资格。</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0"/>
        <w:tblpPr w:leftFromText="181" w:rightFromText="181" w:bottomFromText="170" w:vertAnchor="text" w:tblpXSpec="center" w:tblpY="1"/>
        <w:tblOverlap w:val="never"/>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75"/>
        <w:gridCol w:w="1511"/>
        <w:gridCol w:w="638"/>
        <w:gridCol w:w="662"/>
        <w:gridCol w:w="1050"/>
        <w:gridCol w:w="1539"/>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875"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511"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638"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66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050" w:type="dxa"/>
            <w:vAlign w:val="center"/>
          </w:tcPr>
          <w:p>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39" w:type="dxa"/>
            <w:vAlign w:val="center"/>
          </w:tcPr>
          <w:p>
            <w:pPr>
              <w:tabs>
                <w:tab w:val="left" w:pos="8280"/>
              </w:tabs>
              <w:autoSpaceDE w:val="0"/>
              <w:autoSpaceDN w:val="0"/>
              <w:adjustRightInd w:val="0"/>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三年最高限价</w:t>
            </w:r>
          </w:p>
          <w:p>
            <w:pPr>
              <w:tabs>
                <w:tab w:val="left" w:pos="8280"/>
              </w:tabs>
              <w:autoSpaceDE w:val="0"/>
              <w:autoSpaceDN w:val="0"/>
              <w:adjustRightInd w:val="0"/>
              <w:jc w:val="center"/>
              <w:rPr>
                <w:rFonts w:hint="eastAsia" w:ascii="宋体" w:hAnsi="宋体" w:eastAsia="宋体" w:cs="Times New Roman"/>
                <w:b/>
                <w:sz w:val="21"/>
                <w:szCs w:val="21"/>
                <w:lang w:val="en-US" w:eastAsia="zh-CN"/>
              </w:rPr>
            </w:pPr>
            <w:r>
              <w:rPr>
                <w:rFonts w:hint="eastAsia" w:ascii="宋体" w:hAnsi="宋体" w:cs="宋体"/>
                <w:b/>
                <w:sz w:val="21"/>
                <w:szCs w:val="21"/>
              </w:rPr>
              <w:t>（万元）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eastAsia="宋体" w:cs="Times New Roman"/>
                <w:b/>
                <w:sz w:val="21"/>
                <w:szCs w:val="21"/>
                <w:lang w:val="en-US" w:eastAsia="zh-CN"/>
              </w:rPr>
              <w:t>最高预算单价</w:t>
            </w:r>
            <w:r>
              <w:rPr>
                <w:rFonts w:hint="eastAsia" w:ascii="宋体" w:hAnsi="宋体" w:eastAsia="宋体" w:cs="Times New Roman"/>
                <w:b/>
                <w:sz w:val="21"/>
                <w:szCs w:val="21"/>
              </w:rPr>
              <w:t>（三年每年人均）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50"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875"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cs="宋体"/>
                <w:b w:val="0"/>
                <w:sz w:val="24"/>
                <w:szCs w:val="24"/>
              </w:rPr>
              <w:t>台州市大病保险服务业务</w:t>
            </w:r>
          </w:p>
        </w:tc>
        <w:tc>
          <w:tcPr>
            <w:tcW w:w="151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638"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662"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项</w:t>
            </w:r>
          </w:p>
        </w:tc>
        <w:tc>
          <w:tcPr>
            <w:tcW w:w="1050" w:type="dxa"/>
            <w:vAlign w:val="center"/>
          </w:tcPr>
          <w:p>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164160</w:t>
            </w:r>
          </w:p>
        </w:tc>
        <w:tc>
          <w:tcPr>
            <w:tcW w:w="1539" w:type="dxa"/>
            <w:vAlign w:val="center"/>
          </w:tcPr>
          <w:p>
            <w:pPr>
              <w:tabs>
                <w:tab w:val="left" w:pos="8280"/>
              </w:tabs>
              <w:autoSpaceDE w:val="0"/>
              <w:autoSpaceDN w:val="0"/>
              <w:adjustRightInd w:val="0"/>
              <w:jc w:val="center"/>
              <w:rPr>
                <w:rFonts w:hint="eastAsia" w:ascii="宋体" w:hAnsi="宋体" w:cs="宋体"/>
                <w:sz w:val="21"/>
                <w:szCs w:val="21"/>
                <w:lang w:val="en-US" w:eastAsia="zh-CN"/>
              </w:rPr>
            </w:pPr>
            <w:r>
              <w:rPr>
                <w:rFonts w:hint="eastAsia" w:ascii="宋体" w:hAnsi="宋体" w:cs="宋体"/>
                <w:bCs/>
                <w:sz w:val="21"/>
                <w:szCs w:val="21"/>
                <w:lang w:val="en-US" w:eastAsia="zh-CN"/>
              </w:rPr>
              <w:t>151392</w:t>
            </w:r>
          </w:p>
        </w:tc>
        <w:tc>
          <w:tcPr>
            <w:tcW w:w="1203" w:type="dxa"/>
            <w:vAlign w:val="center"/>
          </w:tcPr>
          <w:p>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83元</w:t>
            </w:r>
          </w:p>
        </w:tc>
      </w:tr>
    </w:tbl>
    <w:p>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pPr>
        <w:keepNext w:val="0"/>
        <w:keepLines w:val="0"/>
        <w:pageBreakBefore w:val="0"/>
        <w:widowControl/>
        <w:kinsoku/>
        <w:wordWrap/>
        <w:overflowPunct/>
        <w:topLinePunct w:val="0"/>
        <w:autoSpaceDN w:val="0"/>
        <w:bidi w:val="0"/>
        <w:spacing w:line="360" w:lineRule="auto"/>
        <w:ind w:firstLine="640"/>
        <w:rPr>
          <w:rFonts w:hint="eastAsia" w:ascii="宋体" w:hAnsi="宋体" w:eastAsia="宋体" w:cs="宋体"/>
          <w:b/>
          <w:bCs/>
          <w:sz w:val="24"/>
          <w:szCs w:val="24"/>
        </w:rPr>
      </w:pPr>
      <w:r>
        <w:rPr>
          <w:rFonts w:hint="eastAsia" w:ascii="宋体" w:hAnsi="宋体" w:eastAsia="宋体" w:cs="宋体"/>
          <w:b/>
          <w:bCs/>
          <w:sz w:val="24"/>
          <w:szCs w:val="24"/>
        </w:rPr>
        <w:t>1．总体说明</w:t>
      </w:r>
    </w:p>
    <w:p>
      <w:pPr>
        <w:keepNext w:val="0"/>
        <w:keepLines w:val="0"/>
        <w:pageBreakBefore w:val="0"/>
        <w:widowControl/>
        <w:kinsoku/>
        <w:wordWrap/>
        <w:overflowPunct/>
        <w:topLinePunct w:val="0"/>
        <w:autoSpaceDN w:val="0"/>
        <w:bidi w:val="0"/>
        <w:spacing w:line="360" w:lineRule="auto"/>
        <w:ind w:firstLine="640"/>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根据《浙江省人力资源和社会保障厅等5部门关于进一步完善大病保险制度的通知》（浙人社发〔2017〕135号）和《台州市全民医疗保险办法》等文件精神，台州市大病保险服务业务项</w:t>
      </w:r>
      <w:r>
        <w:rPr>
          <w:rFonts w:hint="eastAsia" w:ascii="宋体" w:hAnsi="宋体" w:eastAsia="宋体" w:cs="宋体"/>
          <w:sz w:val="24"/>
          <w:szCs w:val="24"/>
          <w:highlight w:val="none"/>
          <w:lang w:val="en-US" w:eastAsia="zh-CN"/>
        </w:rPr>
        <w:t>目按照平等投标、公开评标、择优定标的原则，以公开招标的方式确定取得大病保险业务资质的</w:t>
      </w:r>
      <w:r>
        <w:rPr>
          <w:rFonts w:hint="eastAsia" w:ascii="宋体" w:hAnsi="宋体" w:cs="宋体"/>
          <w:sz w:val="24"/>
          <w:szCs w:val="24"/>
          <w:highlight w:val="none"/>
          <w:lang w:val="en-US" w:eastAsia="zh-CN"/>
        </w:rPr>
        <w:t>地市级</w:t>
      </w:r>
      <w:r>
        <w:rPr>
          <w:rFonts w:hint="eastAsia" w:ascii="宋体" w:hAnsi="宋体" w:eastAsia="宋体" w:cs="宋体"/>
          <w:sz w:val="24"/>
          <w:szCs w:val="24"/>
          <w:highlight w:val="none"/>
          <w:lang w:val="en-US" w:eastAsia="zh-CN"/>
        </w:rPr>
        <w:t>商业保险机构承办2022-2024年（2022年1月至2024年12月）三年内台州市大病保险服务业务。</w:t>
      </w:r>
    </w:p>
    <w:p>
      <w:pPr>
        <w:keepNext w:val="0"/>
        <w:keepLines w:val="0"/>
        <w:pageBreakBefore w:val="0"/>
        <w:widowControl/>
        <w:kinsoku/>
        <w:wordWrap/>
        <w:overflowPunct/>
        <w:topLinePunct w:val="0"/>
        <w:autoSpaceDN w:val="0"/>
        <w:bidi w:val="0"/>
        <w:spacing w:line="360" w:lineRule="auto"/>
        <w:ind w:firstLine="64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中标公司接到《中标通知书》后15日内与市医保中心签订《台州市大</w:t>
      </w:r>
      <w:r>
        <w:rPr>
          <w:rFonts w:hint="eastAsia" w:ascii="宋体" w:hAnsi="宋体" w:eastAsia="宋体" w:cs="宋体"/>
          <w:color w:val="auto"/>
          <w:sz w:val="24"/>
          <w:szCs w:val="24"/>
          <w:lang w:val="en-US" w:eastAsia="zh-CN"/>
        </w:rPr>
        <w:t>病保险承办合同》，合同</w:t>
      </w:r>
      <w:r>
        <w:rPr>
          <w:rFonts w:hint="eastAsia" w:ascii="宋体" w:hAnsi="宋体" w:cs="宋体"/>
          <w:color w:val="auto"/>
          <w:sz w:val="24"/>
          <w:szCs w:val="24"/>
          <w:lang w:val="en-US" w:eastAsia="zh-CN"/>
        </w:rPr>
        <w:t>一年一签</w:t>
      </w:r>
      <w:r>
        <w:rPr>
          <w:rFonts w:hint="eastAsia" w:ascii="宋体" w:hAnsi="宋体" w:eastAsia="宋体" w:cs="宋体"/>
          <w:color w:val="auto"/>
          <w:sz w:val="24"/>
          <w:szCs w:val="24"/>
          <w:lang w:val="en-US" w:eastAsia="zh-CN"/>
        </w:rPr>
        <w:t>，无故逾期的，视作放弃，可按评标得分排名依次递补。</w:t>
      </w:r>
      <w:r>
        <w:rPr>
          <w:rFonts w:hint="eastAsia" w:ascii="宋体" w:hAnsi="宋体" w:cs="宋体"/>
          <w:color w:val="auto"/>
          <w:sz w:val="24"/>
          <w:szCs w:val="24"/>
          <w:lang w:val="en-US" w:eastAsia="zh-CN"/>
        </w:rPr>
        <w:t>得分</w:t>
      </w:r>
      <w:r>
        <w:rPr>
          <w:rFonts w:hint="eastAsia" w:ascii="宋体" w:hAnsi="宋体" w:eastAsia="宋体" w:cs="宋体"/>
          <w:color w:val="auto"/>
          <w:sz w:val="24"/>
          <w:szCs w:val="24"/>
          <w:lang w:val="en-US" w:eastAsia="zh-CN"/>
        </w:rPr>
        <w:t>前五名全部放弃的，重新组织招投标。</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年度台州市</w:t>
      </w:r>
      <w:r>
        <w:rPr>
          <w:rFonts w:hint="eastAsia" w:ascii="宋体" w:hAnsi="宋体" w:eastAsia="宋体" w:cs="宋体"/>
          <w:sz w:val="24"/>
          <w:szCs w:val="24"/>
          <w:lang w:eastAsia="zh-CN"/>
        </w:rPr>
        <w:t>大病保险</w:t>
      </w:r>
      <w:r>
        <w:rPr>
          <w:rFonts w:hint="eastAsia" w:ascii="宋体" w:hAnsi="宋体" w:eastAsia="宋体" w:cs="宋体"/>
          <w:sz w:val="24"/>
          <w:szCs w:val="24"/>
        </w:rPr>
        <w:t>的相关数据如下：</w:t>
      </w:r>
    </w:p>
    <w:tbl>
      <w:tblPr>
        <w:tblStyle w:val="20"/>
        <w:tblW w:w="8288" w:type="dxa"/>
        <w:jc w:val="center"/>
        <w:tblLayout w:type="autofit"/>
        <w:tblCellMar>
          <w:top w:w="0" w:type="dxa"/>
          <w:left w:w="108" w:type="dxa"/>
          <w:bottom w:w="0" w:type="dxa"/>
          <w:right w:w="108" w:type="dxa"/>
        </w:tblCellMar>
      </w:tblPr>
      <w:tblGrid>
        <w:gridCol w:w="1460"/>
        <w:gridCol w:w="1540"/>
        <w:gridCol w:w="1540"/>
        <w:gridCol w:w="1768"/>
        <w:gridCol w:w="1980"/>
      </w:tblGrid>
      <w:tr>
        <w:tblPrEx>
          <w:tblCellMar>
            <w:top w:w="0" w:type="dxa"/>
            <w:left w:w="108" w:type="dxa"/>
            <w:bottom w:w="0" w:type="dxa"/>
            <w:right w:w="108" w:type="dxa"/>
          </w:tblCellMar>
        </w:tblPrEx>
        <w:trPr>
          <w:trHeight w:val="885" w:hRule="atLeast"/>
          <w:jc w:val="center"/>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年度</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参保人数(人）</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大病保险待遇享受人数（人）</w:t>
            </w:r>
          </w:p>
        </w:tc>
        <w:tc>
          <w:tcPr>
            <w:tcW w:w="17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大病保险基金支出费用（万元）</w:t>
            </w:r>
          </w:p>
        </w:tc>
        <w:tc>
          <w:tcPr>
            <w:tcW w:w="19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大病保险人均标准（元）</w:t>
            </w:r>
          </w:p>
        </w:tc>
      </w:tr>
      <w:tr>
        <w:tblPrEx>
          <w:tblCellMar>
            <w:top w:w="0" w:type="dxa"/>
            <w:left w:w="108" w:type="dxa"/>
            <w:bottom w:w="0" w:type="dxa"/>
            <w:right w:w="108" w:type="dxa"/>
          </w:tblCellMar>
        </w:tblPrEx>
        <w:trPr>
          <w:trHeight w:val="1035" w:hRule="atLeast"/>
          <w:jc w:val="center"/>
        </w:trPr>
        <w:tc>
          <w:tcPr>
            <w:tcW w:w="14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201</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年</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5977640</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32162</w:t>
            </w:r>
          </w:p>
        </w:tc>
        <w:tc>
          <w:tcPr>
            <w:tcW w:w="17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47730.34</w:t>
            </w:r>
          </w:p>
        </w:tc>
        <w:tc>
          <w:tcPr>
            <w:tcW w:w="19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79.85</w:t>
            </w:r>
          </w:p>
        </w:tc>
      </w:tr>
      <w:tr>
        <w:tblPrEx>
          <w:tblCellMar>
            <w:top w:w="0" w:type="dxa"/>
            <w:left w:w="108" w:type="dxa"/>
            <w:bottom w:w="0" w:type="dxa"/>
            <w:right w:w="108" w:type="dxa"/>
          </w:tblCellMar>
        </w:tblPrEx>
        <w:trPr>
          <w:trHeight w:val="690" w:hRule="atLeast"/>
          <w:jc w:val="center"/>
        </w:trPr>
        <w:tc>
          <w:tcPr>
            <w:tcW w:w="14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6080682</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31358</w:t>
            </w:r>
          </w:p>
        </w:tc>
        <w:tc>
          <w:tcPr>
            <w:tcW w:w="17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42301.76</w:t>
            </w:r>
          </w:p>
        </w:tc>
        <w:tc>
          <w:tcPr>
            <w:tcW w:w="19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69.57</w:t>
            </w:r>
          </w:p>
        </w:tc>
      </w:tr>
    </w:tbl>
    <w:p>
      <w:pPr>
        <w:keepNext w:val="0"/>
        <w:keepLines w:val="0"/>
        <w:pageBreakBefore w:val="0"/>
        <w:kinsoku/>
        <w:wordWrap/>
        <w:overflowPunct/>
        <w:topLinePunct w:val="0"/>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备注：</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根据</w:t>
      </w:r>
      <w:r>
        <w:rPr>
          <w:rFonts w:hint="eastAsia" w:ascii="宋体" w:hAnsi="宋体" w:eastAsia="宋体" w:cs="宋体"/>
          <w:color w:val="auto"/>
          <w:kern w:val="0"/>
          <w:sz w:val="20"/>
          <w:szCs w:val="20"/>
        </w:rPr>
        <w:t>202</w:t>
      </w:r>
      <w:r>
        <w:rPr>
          <w:rFonts w:hint="eastAsia" w:ascii="宋体" w:hAnsi="宋体" w:cs="宋体"/>
          <w:color w:val="auto"/>
          <w:kern w:val="0"/>
          <w:sz w:val="20"/>
          <w:szCs w:val="20"/>
          <w:lang w:val="en-US" w:eastAsia="zh-CN"/>
        </w:rPr>
        <w:t>2</w:t>
      </w:r>
      <w:r>
        <w:rPr>
          <w:rFonts w:hint="eastAsia" w:ascii="宋体" w:hAnsi="宋体" w:eastAsia="宋体" w:cs="宋体"/>
          <w:color w:val="000000"/>
          <w:kern w:val="0"/>
          <w:sz w:val="20"/>
          <w:szCs w:val="20"/>
        </w:rPr>
        <w:t>年</w:t>
      </w:r>
      <w:r>
        <w:rPr>
          <w:rFonts w:hint="eastAsia" w:ascii="宋体" w:hAnsi="宋体" w:cs="宋体"/>
          <w:color w:val="000000"/>
          <w:kern w:val="0"/>
          <w:sz w:val="20"/>
          <w:szCs w:val="20"/>
          <w:lang w:eastAsia="zh-CN"/>
        </w:rPr>
        <w:t>执行</w:t>
      </w:r>
      <w:r>
        <w:rPr>
          <w:rFonts w:hint="eastAsia" w:ascii="宋体" w:hAnsi="宋体" w:eastAsia="宋体" w:cs="宋体"/>
          <w:color w:val="000000"/>
          <w:kern w:val="0"/>
          <w:sz w:val="20"/>
          <w:szCs w:val="20"/>
        </w:rPr>
        <w:t>的大病政策（起付标准2万元，报销比例75%；困难人员起付标准1万无，报销比例85%；自理和慢病费用纳入大病报销），</w:t>
      </w:r>
      <w:r>
        <w:rPr>
          <w:rFonts w:hint="eastAsia" w:ascii="宋体" w:hAnsi="宋体" w:eastAsia="宋体" w:cs="宋体"/>
          <w:color w:val="000000"/>
          <w:kern w:val="0"/>
          <w:sz w:val="20"/>
          <w:szCs w:val="20"/>
          <w:lang w:eastAsia="zh-CN"/>
        </w:rPr>
        <w:t>分别</w:t>
      </w:r>
      <w:r>
        <w:rPr>
          <w:rFonts w:hint="eastAsia" w:ascii="宋体" w:hAnsi="宋体" w:eastAsia="宋体" w:cs="宋体"/>
          <w:color w:val="000000"/>
          <w:kern w:val="0"/>
          <w:sz w:val="20"/>
          <w:szCs w:val="20"/>
        </w:rPr>
        <w:t>按照</w:t>
      </w:r>
      <w:r>
        <w:rPr>
          <w:rFonts w:hint="eastAsia" w:ascii="宋体" w:hAnsi="宋体" w:eastAsia="宋体" w:cs="宋体"/>
          <w:color w:val="000000"/>
          <w:kern w:val="0"/>
          <w:sz w:val="20"/>
          <w:szCs w:val="20"/>
          <w:lang w:val="en-US" w:eastAsia="zh-CN"/>
        </w:rPr>
        <w:t>2019、</w:t>
      </w:r>
      <w:r>
        <w:rPr>
          <w:rFonts w:hint="eastAsia" w:ascii="宋体" w:hAnsi="宋体" w:eastAsia="宋体" w:cs="宋体"/>
          <w:color w:val="000000"/>
          <w:kern w:val="0"/>
          <w:sz w:val="20"/>
          <w:szCs w:val="20"/>
        </w:rPr>
        <w:t>2020年的大病数据进行测算。</w:t>
      </w:r>
      <w:r>
        <w:rPr>
          <w:rFonts w:hint="eastAsia" w:ascii="宋体" w:hAnsi="宋体" w:eastAsia="宋体" w:cs="宋体"/>
          <w:color w:val="000000"/>
          <w:kern w:val="0"/>
          <w:sz w:val="20"/>
          <w:szCs w:val="20"/>
          <w:lang w:val="en-US" w:eastAsia="zh-CN"/>
        </w:rPr>
        <w:t>2、PET-CT费用暂时无法统计，未纳入，将根据政策规定另外按实支付。</w:t>
      </w:r>
    </w:p>
    <w:p>
      <w:pPr>
        <w:pStyle w:val="2"/>
        <w:rPr>
          <w:rFonts w:hint="eastAsia"/>
          <w:lang w:val="en-US" w:eastAsia="zh-CN"/>
        </w:rPr>
      </w:pP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大病保险服务项目当年保费总金额按当年大病保险参保人数乘以当年保费单价确定。本次中标价格为20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年每年的保费单价，中标单位应根据政策规定，支付所有参保人员在相应年份发生的大病保险待遇（住院病人发生费用时间以出院结算日为准，按一个医保年度享受待遇结算</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b/>
          <w:bCs/>
          <w:color w:val="auto"/>
          <w:sz w:val="24"/>
          <w:szCs w:val="24"/>
          <w:lang w:val="en-US" w:eastAsia="zh-CN"/>
        </w:rPr>
        <w:t>成本核算依据</w:t>
      </w:r>
      <w:r>
        <w:rPr>
          <w:rFonts w:hint="eastAsia" w:ascii="宋体" w:hAnsi="宋体" w:eastAsia="宋体" w:cs="宋体"/>
          <w:b/>
          <w:bCs/>
          <w:color w:val="auto"/>
          <w:sz w:val="24"/>
          <w:szCs w:val="24"/>
          <w:highlight w:val="none"/>
          <w:lang w:val="en-US" w:eastAsia="zh-CN"/>
        </w:rPr>
        <w:t>2019、2020两年大病保险人均支出以及所配备的工作人员和车辆费用，</w:t>
      </w:r>
      <w:r>
        <w:rPr>
          <w:rFonts w:hint="eastAsia" w:ascii="宋体" w:hAnsi="宋体" w:cs="宋体"/>
          <w:b/>
          <w:bCs/>
          <w:color w:val="auto"/>
          <w:sz w:val="24"/>
          <w:szCs w:val="24"/>
          <w:highlight w:val="none"/>
          <w:lang w:val="en-US" w:eastAsia="zh-CN"/>
        </w:rPr>
        <w:t>若</w:t>
      </w:r>
      <w:r>
        <w:rPr>
          <w:rFonts w:hint="eastAsia" w:ascii="宋体" w:hAnsi="宋体" w:eastAsia="宋体" w:cs="宋体"/>
          <w:b/>
          <w:bCs/>
          <w:color w:val="auto"/>
          <w:sz w:val="24"/>
          <w:szCs w:val="24"/>
          <w:highlight w:val="none"/>
          <w:lang w:val="en-US" w:eastAsia="zh-CN"/>
        </w:rPr>
        <w:t>报价低于</w:t>
      </w:r>
      <w:r>
        <w:rPr>
          <w:rFonts w:hint="eastAsia" w:ascii="宋体" w:hAnsi="宋体" w:cs="宋体"/>
          <w:b/>
          <w:bCs/>
          <w:color w:val="auto"/>
          <w:sz w:val="24"/>
          <w:szCs w:val="24"/>
          <w:highlight w:val="none"/>
          <w:lang w:val="en-US" w:eastAsia="zh-CN"/>
        </w:rPr>
        <w:t>该核算</w:t>
      </w:r>
      <w:r>
        <w:rPr>
          <w:rFonts w:hint="eastAsia" w:ascii="宋体" w:hAnsi="宋体" w:eastAsia="宋体" w:cs="宋体"/>
          <w:b/>
          <w:bCs/>
          <w:color w:val="auto"/>
          <w:sz w:val="24"/>
          <w:szCs w:val="24"/>
          <w:highlight w:val="none"/>
          <w:lang w:val="en-US" w:eastAsia="zh-CN"/>
        </w:rPr>
        <w:t>价，需作出说明。</w:t>
      </w:r>
    </w:p>
    <w:p>
      <w:pPr>
        <w:keepNext w:val="0"/>
        <w:keepLines w:val="0"/>
        <w:pageBreakBefore w:val="0"/>
        <w:kinsoku/>
        <w:wordWrap/>
        <w:overflowPunct/>
        <w:topLinePunct w:val="0"/>
        <w:autoSpaceDE w:val="0"/>
        <w:autoSpaceDN w:val="0"/>
        <w:bidi w:val="0"/>
        <w:spacing w:line="360" w:lineRule="auto"/>
        <w:ind w:left="109" w:leftChars="52" w:firstLine="482" w:firstLineChars="200"/>
        <w:textAlignment w:val="bottom"/>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2．服务内容  </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做好大病保险医疗费用的审核结算，按时支付费用；</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600" w:firstLineChars="25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4"/>
          <w:szCs w:val="24"/>
        </w:rPr>
        <w:t>按要求向市、各县（市、区）配备满足医保经办所需的社会保障、财务、医（药）学、信息技术等专业人员，总数1</w:t>
      </w:r>
      <w:r>
        <w:rPr>
          <w:rFonts w:hint="eastAsia" w:ascii="宋体" w:hAnsi="宋体" w:eastAsia="宋体" w:cs="宋体"/>
          <w:sz w:val="24"/>
          <w:szCs w:val="24"/>
          <w:lang w:val="en-US" w:eastAsia="zh-CN"/>
        </w:rPr>
        <w:t>4</w:t>
      </w:r>
      <w:r>
        <w:rPr>
          <w:rFonts w:hint="eastAsia" w:ascii="宋体" w:hAnsi="宋体" w:eastAsia="宋体" w:cs="宋体"/>
          <w:sz w:val="24"/>
          <w:szCs w:val="24"/>
        </w:rPr>
        <w:t>0人，其中医（药）学相关专业不</w:t>
      </w:r>
      <w:r>
        <w:rPr>
          <w:rFonts w:hint="eastAsia" w:ascii="宋体" w:hAnsi="宋体" w:eastAsia="宋体" w:cs="宋体"/>
          <w:sz w:val="24"/>
          <w:szCs w:val="24"/>
          <w:highlight w:val="none"/>
        </w:rPr>
        <w:t>少于</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人</w:t>
      </w:r>
      <w:r>
        <w:rPr>
          <w:rFonts w:hint="eastAsia" w:ascii="宋体" w:hAnsi="宋体" w:eastAsia="宋体" w:cs="宋体"/>
          <w:sz w:val="24"/>
          <w:szCs w:val="24"/>
          <w:lang w:eastAsia="zh-CN"/>
        </w:rPr>
        <w:t>。所有人员平均</w:t>
      </w:r>
      <w:r>
        <w:rPr>
          <w:rFonts w:hint="eastAsia" w:ascii="宋体" w:hAnsi="宋体" w:eastAsia="宋体" w:cs="宋体"/>
          <w:sz w:val="24"/>
          <w:szCs w:val="24"/>
        </w:rPr>
        <w:t>待遇水平不低于上年度台州市在岗职工平均工资水平</w:t>
      </w:r>
      <w:r>
        <w:rPr>
          <w:rFonts w:hint="eastAsia" w:ascii="宋体" w:hAnsi="宋体" w:eastAsia="宋体" w:cs="宋体"/>
          <w:sz w:val="24"/>
          <w:szCs w:val="24"/>
          <w:lang w:eastAsia="zh-CN"/>
        </w:rPr>
        <w:t>（</w:t>
      </w:r>
      <w:r>
        <w:rPr>
          <w:rFonts w:hint="eastAsia" w:ascii="宋体" w:hAnsi="宋体" w:eastAsia="宋体" w:cs="宋体"/>
          <w:sz w:val="24"/>
          <w:szCs w:val="24"/>
        </w:rPr>
        <w:t>不含五险一金单位缴费部分）；</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600" w:firstLineChars="250"/>
        <w:rPr>
          <w:rFonts w:hint="eastAsia" w:ascii="宋体" w:hAnsi="宋体" w:eastAsia="宋体" w:cs="宋体"/>
          <w:sz w:val="24"/>
          <w:szCs w:val="24"/>
          <w:lang w:val="en-US" w:eastAsia="zh-CN"/>
        </w:rPr>
      </w:pPr>
      <w:r>
        <w:rPr>
          <w:rFonts w:hint="eastAsia" w:ascii="宋体" w:hAnsi="宋体" w:eastAsia="宋体" w:cs="宋体"/>
          <w:sz w:val="24"/>
          <w:szCs w:val="24"/>
        </w:rPr>
        <w:t>2.3</w:t>
      </w:r>
      <w:r>
        <w:rPr>
          <w:rFonts w:hint="eastAsia" w:ascii="宋体" w:hAnsi="宋体" w:cs="宋体"/>
          <w:sz w:val="24"/>
          <w:szCs w:val="24"/>
          <w:lang w:val="en-US" w:eastAsia="zh-CN"/>
        </w:rPr>
        <w:t xml:space="preserve"> </w:t>
      </w:r>
      <w:r>
        <w:rPr>
          <w:rFonts w:hint="eastAsia" w:ascii="宋体" w:hAnsi="宋体" w:eastAsia="宋体" w:cs="宋体"/>
          <w:sz w:val="24"/>
          <w:szCs w:val="24"/>
        </w:rPr>
        <w:t>台州市范围内</w:t>
      </w:r>
      <w:r>
        <w:rPr>
          <w:rFonts w:hint="eastAsia" w:ascii="宋体" w:hAnsi="宋体" w:eastAsia="宋体" w:cs="宋体"/>
          <w:sz w:val="24"/>
          <w:szCs w:val="24"/>
          <w:lang w:val="en-US" w:eastAsia="zh-CN"/>
        </w:rPr>
        <w:t>大病保险赔付案件现场核查率不低于30%,单次医疗费用在 3 万元以上的稽核率不低于 80%；</w:t>
      </w:r>
      <w:r>
        <w:rPr>
          <w:rFonts w:hint="eastAsia" w:ascii="宋体" w:hAnsi="宋体" w:eastAsia="宋体" w:cs="宋体"/>
          <w:sz w:val="24"/>
          <w:szCs w:val="24"/>
          <w:lang w:eastAsia="zh-CN"/>
        </w:rPr>
        <w:t>大病保险年度赔付前</w:t>
      </w:r>
      <w:r>
        <w:rPr>
          <w:rFonts w:hint="eastAsia" w:ascii="宋体" w:hAnsi="宋体" w:eastAsia="宋体" w:cs="宋体"/>
          <w:sz w:val="24"/>
          <w:szCs w:val="24"/>
          <w:lang w:val="en-US" w:eastAsia="zh-CN"/>
        </w:rPr>
        <w:t>100名案件全部进行核查，赔付超5万元要进行标注跟踪、实时核查；对市本级及指定县市区的意外伤害案件要全部进行核查。</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分区域提供理赔勘查、审核管控需要的车辆10台（每辆行驶里程要求在10万公里以内）和符合需求的相应设备(电脑、打印机等办公用品)</w:t>
      </w:r>
      <w:r>
        <w:rPr>
          <w:rFonts w:hint="eastAsia" w:ascii="宋体" w:hAnsi="宋体" w:eastAsia="宋体" w:cs="宋体"/>
          <w:color w:val="000000" w:themeColor="text1"/>
          <w:sz w:val="24"/>
          <w:szCs w:val="24"/>
          <w:lang w:eastAsia="zh-CN"/>
          <w14:textFill>
            <w14:solidFill>
              <w14:schemeClr w14:val="tx1"/>
            </w14:solidFill>
          </w14:textFill>
        </w:rPr>
        <w:t>及所配备人员的劳动保障</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在偏远乡镇设立服务站点或提供定期巡回赔付服务；</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中标公司应在中标后3个月内组建台州市医疗保障第三方监管中心，工作人员不少于20人，主要由医学、信息、财务、法学等专业人员组成，协助医保部门开展医保基金监管、意外伤害核查、大病慢病分析等工作。为提高医保大数据监管能力，中标公司应在中标后3个月内引入第三方大数据监管公司,并报市医保局备案。引入的第三方大数据监管公司应具备对基本医疗保险、大病保险等相关数据进行采集、整理、分析、判断以及查找医保违规问题能力，有计算机技术和大数据分析技术、医学和药学、会计和审计等专业技术人员，既往有参加国家、省医保飞行检查经验的公司应予优先考虑。第三方大数据监管公司要配备长期派驻市医保中心</w:t>
      </w:r>
      <w:r>
        <w:rPr>
          <w:rFonts w:hint="eastAsia" w:ascii="宋体" w:hAnsi="宋体" w:eastAsia="宋体" w:cs="宋体"/>
          <w:color w:val="auto"/>
          <w:sz w:val="24"/>
          <w:szCs w:val="24"/>
          <w:lang w:val="en-US" w:eastAsia="zh-CN"/>
        </w:rPr>
        <w:t>人员。</w:t>
      </w:r>
      <w:r>
        <w:rPr>
          <w:rFonts w:hint="eastAsia" w:ascii="宋体" w:hAnsi="宋体" w:cs="宋体"/>
          <w:color w:val="auto"/>
          <w:sz w:val="24"/>
          <w:szCs w:val="24"/>
          <w:lang w:val="en-US" w:eastAsia="zh-CN"/>
        </w:rPr>
        <w:t>本条</w:t>
      </w:r>
      <w:r>
        <w:rPr>
          <w:rFonts w:hint="eastAsia" w:ascii="宋体" w:hAnsi="宋体" w:eastAsia="宋体" w:cs="宋体"/>
          <w:color w:val="000000" w:themeColor="text1"/>
          <w:sz w:val="24"/>
          <w:szCs w:val="24"/>
          <w:lang w:val="en-US" w:eastAsia="zh-CN"/>
          <w14:textFill>
            <w14:solidFill>
              <w14:schemeClr w14:val="tx1"/>
            </w14:solidFill>
          </w14:textFill>
        </w:rPr>
        <w:t>相关运营费用由中标公司及合作伙伴共同承担。</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实现投标承诺中提供的</w:t>
      </w:r>
      <w:r>
        <w:rPr>
          <w:rFonts w:hint="eastAsia" w:ascii="宋体" w:hAnsi="宋体" w:eastAsia="宋体" w:cs="宋体"/>
          <w:color w:val="000000" w:themeColor="text1"/>
          <w:sz w:val="24"/>
          <w:szCs w:val="24"/>
          <w:lang w:eastAsia="zh-C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服务；</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做好市、各县（市、区）医保经办机构交办的其它工作。</w:t>
      </w:r>
    </w:p>
    <w:p>
      <w:pPr>
        <w:keepNext w:val="0"/>
        <w:keepLines w:val="0"/>
        <w:pageBreakBefore w:val="0"/>
        <w:kinsoku/>
        <w:wordWrap/>
        <w:overflowPunct/>
        <w:topLinePunct w:val="0"/>
        <w:autoSpaceDE w:val="0"/>
        <w:autoSpaceDN w:val="0"/>
        <w:bidi w:val="0"/>
        <w:spacing w:line="360" w:lineRule="auto"/>
        <w:ind w:left="109" w:leftChars="52" w:firstLine="482" w:firstLineChars="200"/>
        <w:textAlignment w:val="bottom"/>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3.项目环境</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政策环境：保障对象为台州市大病保险的参保人员。</w:t>
      </w:r>
      <w:r>
        <w:rPr>
          <w:rFonts w:hint="eastAsia" w:ascii="宋体" w:hAnsi="宋体" w:eastAsia="宋体" w:cs="宋体"/>
          <w:color w:val="000000" w:themeColor="text1"/>
          <w:sz w:val="24"/>
          <w:szCs w:val="24"/>
          <w:lang w:eastAsia="zh-CN"/>
          <w14:textFill>
            <w14:solidFill>
              <w14:schemeClr w14:val="tx1"/>
            </w14:solidFill>
          </w14:textFill>
        </w:rPr>
        <w:t>按</w:t>
      </w:r>
      <w:r>
        <w:rPr>
          <w:rFonts w:hint="eastAsia" w:ascii="宋体" w:hAnsi="宋体" w:eastAsia="宋体" w:cs="宋体"/>
          <w:color w:val="000000" w:themeColor="text1"/>
          <w:sz w:val="24"/>
          <w:szCs w:val="24"/>
          <w14:textFill>
            <w14:solidFill>
              <w14:schemeClr w14:val="tx1"/>
            </w14:solidFill>
          </w14:textFill>
        </w:rPr>
        <w:t>《台州市全民医疗保险办法》</w:t>
      </w:r>
      <w:r>
        <w:rPr>
          <w:rFonts w:hint="eastAsia" w:ascii="宋体" w:hAnsi="宋体" w:eastAsia="宋体" w:cs="宋体"/>
          <w:color w:val="000000" w:themeColor="text1"/>
          <w:sz w:val="24"/>
          <w:szCs w:val="24"/>
          <w:lang w:eastAsia="zh-CN"/>
          <w14:textFill>
            <w14:solidFill>
              <w14:schemeClr w14:val="tx1"/>
            </w14:solidFill>
          </w14:textFill>
        </w:rPr>
        <w:t>（台政办发〔2018〕79号）、《台州市人民政府常务会议纪要第 79 号》、</w:t>
      </w:r>
      <w:r>
        <w:rPr>
          <w:rFonts w:hint="eastAsia" w:ascii="宋体" w:hAnsi="宋体" w:eastAsia="宋体" w:cs="宋体"/>
          <w:color w:val="000000" w:themeColor="text1"/>
          <w:sz w:val="24"/>
          <w:szCs w:val="24"/>
          <w14:textFill>
            <w14:solidFill>
              <w14:schemeClr w14:val="tx1"/>
            </w14:solidFill>
          </w14:textFill>
        </w:rPr>
        <w:t>《关于切实做好贯彻执行&lt;浙江省医疗保障条例&gt;有关事项的通知》（台医保联发〔2021〕13号）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《浙江省医疗保障局关于将肿瘤全身断层显像纳入大病保险支付范围等有关事项的通知》（浙医保发〔2021〕31号）</w:t>
      </w:r>
      <w:r>
        <w:rPr>
          <w:rFonts w:hint="eastAsia" w:ascii="宋体" w:hAnsi="宋体" w:eastAsia="宋体" w:cs="宋体"/>
          <w:color w:val="000000" w:themeColor="text1"/>
          <w:sz w:val="24"/>
          <w:szCs w:val="24"/>
          <w:lang w:val="zh-CN"/>
          <w14:textFill>
            <w14:solidFill>
              <w14:schemeClr w14:val="tx1"/>
            </w14:solidFill>
          </w14:textFill>
        </w:rPr>
        <w:t>规定</w:t>
      </w:r>
      <w:r>
        <w:rPr>
          <w:rFonts w:hint="eastAsia" w:ascii="宋体" w:hAnsi="宋体" w:eastAsia="宋体" w:cs="宋体"/>
          <w:color w:val="000000" w:themeColor="text1"/>
          <w:sz w:val="24"/>
          <w:szCs w:val="24"/>
          <w14:textFill>
            <w14:solidFill>
              <w14:schemeClr w14:val="tx1"/>
            </w14:solidFill>
          </w14:textFill>
        </w:rPr>
        <w:t>执行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如政策</w:t>
      </w:r>
      <w:r>
        <w:rPr>
          <w:rFonts w:hint="eastAsia" w:ascii="宋体" w:hAnsi="宋体" w:eastAsia="宋体" w:cs="宋体"/>
          <w:color w:val="000000" w:themeColor="text1"/>
          <w:sz w:val="24"/>
          <w:szCs w:val="24"/>
          <w:lang w:eastAsia="zh-CN"/>
          <w14:textFill>
            <w14:solidFill>
              <w14:schemeClr w14:val="tx1"/>
            </w14:solidFill>
          </w14:textFill>
        </w:rPr>
        <w:t>有</w:t>
      </w:r>
      <w:r>
        <w:rPr>
          <w:rFonts w:hint="eastAsia" w:ascii="宋体" w:hAnsi="宋体" w:eastAsia="宋体" w:cs="宋体"/>
          <w:color w:val="000000" w:themeColor="text1"/>
          <w:sz w:val="24"/>
          <w:szCs w:val="24"/>
          <w14:textFill>
            <w14:solidFill>
              <w14:schemeClr w14:val="tx1"/>
            </w14:solidFill>
          </w14:textFill>
        </w:rPr>
        <w:t>调整，按调整后的政策执行。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具体为：</w:t>
      </w:r>
      <w:r>
        <w:rPr>
          <w:rFonts w:hint="eastAsia" w:ascii="宋体" w:hAnsi="宋体" w:eastAsia="宋体" w:cs="宋体"/>
          <w:sz w:val="24"/>
          <w:szCs w:val="24"/>
        </w:rPr>
        <w:t>在一个医保结算年度内,大病保险参保人员发生的符合大病保险基金支付范围的费用，起付线2万元以上的部分，由大病保险基金承担75%;困难群众起付线降低一半，支付比例提高到 85%。大病保险待遇享受时间与基本医疗保险一致，不设封顶线。</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大病保险基金支付范围为：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住院医疗费用和特殊病种门诊、慢性病门诊等医疗费用中，符合基本医疗保险基金支付范围的个人负担部分；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慢性病门诊费用中按规定由个人支付的自理、自付费用；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符合浙江省大病保险特殊药品目录、医用耗材范围和医疗服务范围的费用。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（4）符合支付条件的肿瘤全身断层显像（PET—CT）费用。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工作环境：市、各县（市、区）医保经办机构为中标单位提供审核支付结算需要的办公坐席。中标单位和市、各县（市、区）医保经办机构双方采用合署办公的形式开展大病保险的管理和服务工</w:t>
      </w:r>
      <w:r>
        <w:rPr>
          <w:rFonts w:hint="eastAsia" w:ascii="宋体" w:hAnsi="宋体" w:eastAsia="宋体" w:cs="宋体"/>
          <w:color w:val="000000" w:themeColor="text1"/>
          <w:sz w:val="24"/>
          <w:szCs w:val="24"/>
          <w14:textFill>
            <w14:solidFill>
              <w14:schemeClr w14:val="tx1"/>
            </w14:solidFill>
          </w14:textFill>
        </w:rPr>
        <w:t>作，中标单位派出人员纳入中标单位和市、各县（市、区）医保经办机构双重管理（派出人员日常所需办公设备、稽核车辆及办公经费等由中标单位自行负责）。市、各县（市、区）医保经办机构为中标单位提供合作项目所需的业务和财务操作规程，中标单位必须严格遵照执行。</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信息技术环境：市、各县（市、区）医保信息部门负责大病保险信息系统建</w:t>
      </w:r>
      <w:r>
        <w:rPr>
          <w:rFonts w:hint="eastAsia" w:ascii="宋体" w:hAnsi="宋体" w:eastAsia="宋体" w:cs="宋体"/>
          <w:color w:val="auto"/>
          <w:sz w:val="24"/>
          <w:szCs w:val="24"/>
        </w:rPr>
        <w:t>设和维护。中标单位使用医保信息部门提供的大病保险信息系统，并承诺</w:t>
      </w:r>
      <w:r>
        <w:rPr>
          <w:rFonts w:hint="eastAsia" w:ascii="宋体" w:hAnsi="宋体" w:eastAsia="宋体" w:cs="宋体"/>
          <w:color w:val="000000" w:themeColor="text1"/>
          <w:sz w:val="24"/>
          <w:szCs w:val="24"/>
          <w14:textFill>
            <w14:solidFill>
              <w14:schemeClr w14:val="tx1"/>
            </w14:solidFill>
          </w14:textFill>
        </w:rPr>
        <w:t>落实信息安全和保密责任，所有涉及相关合作内容的信息不用于其它领域，否则将承担经济和法律责任。</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sz w:val="24"/>
          <w:szCs w:val="24"/>
          <w:lang w:eastAsia="zh-CN"/>
        </w:rPr>
      </w:pPr>
      <w:r>
        <w:rPr>
          <w:rFonts w:hint="eastAsia" w:ascii="宋体" w:hAnsi="宋体" w:eastAsia="宋体" w:cs="宋体"/>
          <w:color w:val="000000" w:themeColor="text1"/>
          <w:sz w:val="24"/>
          <w:szCs w:val="24"/>
          <w14:textFill>
            <w14:solidFill>
              <w14:schemeClr w14:val="tx1"/>
            </w14:solidFill>
          </w14:textFill>
        </w:rPr>
        <w:t>3.4</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盈利控制要求：本项目全市统一结算，根据保本微利、风险可控的原则实施盈亏管控（原合同尚未履行完毕的县（市、区），合同期内仍按原合同执行，合同期结束后纳入本项目统一结算）。一个年度内，盈亏率【（大病保险当年保费总金额-大病保险当年赔付支出-大病保险当年营运成本）/大病保险当年保费总金额】±5%（含）以内的部分，由中标单位承担（或享受）30%，基金承担（或享受）70%；差额在中标价±5%-±15%（含）以内部分，由中标单位承担（或享受）20%，基金承担（或享受）80%；差额在中标价±15%以上部分，由中标单位承担（或享受）10%，基金承担（或享受）90%。如招标人发现中标单位未尽风险管控职责导致基金异常漏损的，招标人不予承担漏损费用，并在年度结算时，扣减两倍漏损金额的保费。</w:t>
      </w:r>
      <w:r>
        <w:rPr>
          <w:rFonts w:hint="eastAsia" w:ascii="宋体" w:hAnsi="宋体" w:eastAsia="宋体" w:cs="宋体"/>
          <w:color w:val="000000" w:themeColor="text1"/>
          <w:sz w:val="24"/>
          <w:szCs w:val="24"/>
          <w:lang w:eastAsia="zh-CN"/>
          <w14:textFill>
            <w14:solidFill>
              <w14:schemeClr w14:val="tx1"/>
            </w14:solidFill>
          </w14:textFill>
        </w:rPr>
        <w:t>符合</w:t>
      </w:r>
      <w:r>
        <w:rPr>
          <w:rFonts w:hint="eastAsia" w:ascii="宋体" w:hAnsi="宋体" w:eastAsia="宋体" w:cs="宋体"/>
          <w:sz w:val="24"/>
          <w:szCs w:val="24"/>
        </w:rPr>
        <w:t>《浙江省医疗保障局关于将肿瘤全身断层显像纳入大病保险支付范围等有关事项的通知》（浙医保发〔2021〕31号）</w:t>
      </w:r>
      <w:r>
        <w:rPr>
          <w:rFonts w:hint="eastAsia" w:ascii="宋体" w:hAnsi="宋体" w:eastAsia="宋体" w:cs="宋体"/>
          <w:sz w:val="24"/>
          <w:szCs w:val="24"/>
          <w:lang w:eastAsia="zh-CN"/>
        </w:rPr>
        <w:t>规定的</w:t>
      </w:r>
      <w:r>
        <w:rPr>
          <w:rFonts w:hint="eastAsia" w:ascii="宋体" w:hAnsi="宋体" w:eastAsia="宋体" w:cs="宋体"/>
          <w:sz w:val="24"/>
          <w:szCs w:val="24"/>
          <w:lang w:val="en-US" w:eastAsia="zh-CN"/>
        </w:rPr>
        <w:t>PET-CT费用和</w:t>
      </w:r>
      <w:r>
        <w:rPr>
          <w:rFonts w:hint="eastAsia" w:ascii="宋体" w:hAnsi="宋体" w:eastAsia="宋体" w:cs="宋体"/>
          <w:sz w:val="24"/>
          <w:szCs w:val="24"/>
        </w:rPr>
        <w:t>合同期间因基本医疗保险或大病保险等重大政策调整等因素需增加的支出由大病保险基金单独支付，不计入中标单位盈亏。</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按照承保合同期进行清算，清算时点定为承保合同期结束后次年5月31日，在清算时点前承保合同期内产生的已结算大病保险费用全部纳入清算范围；</w:t>
      </w:r>
      <w:r>
        <w:rPr>
          <w:rFonts w:hint="eastAsia" w:ascii="宋体" w:hAnsi="宋体" w:eastAsia="宋体" w:cs="宋体"/>
          <w:sz w:val="24"/>
          <w:szCs w:val="24"/>
          <w:lang w:val="en-US"/>
        </w:rPr>
        <w:t>在清算时点后再受理的</w:t>
      </w:r>
      <w:r>
        <w:rPr>
          <w:rFonts w:hint="eastAsia" w:ascii="宋体" w:hAnsi="宋体" w:eastAsia="宋体" w:cs="宋体"/>
          <w:sz w:val="24"/>
          <w:szCs w:val="24"/>
          <w:lang w:val="en-US" w:eastAsia="zh-CN"/>
        </w:rPr>
        <w:t>承保合同</w:t>
      </w:r>
      <w:r>
        <w:rPr>
          <w:rFonts w:hint="eastAsia" w:ascii="宋体" w:hAnsi="宋体" w:eastAsia="宋体" w:cs="宋体"/>
          <w:sz w:val="24"/>
          <w:szCs w:val="24"/>
          <w:lang w:val="en-US"/>
        </w:rPr>
        <w:t>期内</w:t>
      </w:r>
      <w:r>
        <w:rPr>
          <w:rFonts w:hint="eastAsia" w:ascii="宋体" w:hAnsi="宋体" w:eastAsia="宋体" w:cs="宋体"/>
          <w:sz w:val="24"/>
          <w:szCs w:val="24"/>
          <w:lang w:val="en-US" w:eastAsia="zh-CN"/>
        </w:rPr>
        <w:t>产生的</w:t>
      </w:r>
      <w:r>
        <w:rPr>
          <w:rFonts w:hint="eastAsia" w:ascii="宋体" w:hAnsi="宋体" w:eastAsia="宋体" w:cs="宋体"/>
          <w:sz w:val="24"/>
          <w:szCs w:val="24"/>
          <w:lang w:val="en-US"/>
        </w:rPr>
        <w:t>大病保险</w:t>
      </w:r>
      <w:r>
        <w:rPr>
          <w:rFonts w:hint="eastAsia" w:ascii="宋体" w:hAnsi="宋体" w:eastAsia="宋体" w:cs="宋体"/>
          <w:sz w:val="24"/>
          <w:szCs w:val="24"/>
          <w:lang w:val="en-US" w:eastAsia="zh-CN"/>
        </w:rPr>
        <w:t>费用</w:t>
      </w:r>
      <w:r>
        <w:rPr>
          <w:rFonts w:hint="eastAsia" w:ascii="宋体" w:hAnsi="宋体" w:eastAsia="宋体" w:cs="宋体"/>
          <w:sz w:val="24"/>
          <w:szCs w:val="24"/>
          <w:lang w:val="en-US"/>
        </w:rPr>
        <w:t>，由</w:t>
      </w:r>
      <w:r>
        <w:rPr>
          <w:rFonts w:hint="eastAsia" w:ascii="宋体" w:hAnsi="宋体" w:eastAsia="宋体" w:cs="宋体"/>
          <w:sz w:val="24"/>
          <w:szCs w:val="24"/>
          <w:lang w:val="en-US" w:eastAsia="zh-CN"/>
        </w:rPr>
        <w:t>新一轮承保公司负责赔付，纳入新一轮大病保险赔付支出</w:t>
      </w:r>
      <w:r>
        <w:rPr>
          <w:rFonts w:hint="eastAsia" w:ascii="宋体" w:hAnsi="宋体" w:eastAsia="宋体" w:cs="宋体"/>
          <w:sz w:val="24"/>
          <w:szCs w:val="24"/>
          <w:lang w:val="en-US"/>
        </w:rPr>
        <w:t>。</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大病保险当年营运成本限1</w:t>
      </w:r>
      <w:r>
        <w:rPr>
          <w:rFonts w:hint="eastAsia" w:ascii="宋体" w:hAnsi="宋体" w:eastAsia="宋体" w:cs="宋体"/>
          <w:sz w:val="24"/>
          <w:szCs w:val="24"/>
          <w:lang w:val="en-US" w:eastAsia="zh-CN"/>
        </w:rPr>
        <w:t>4</w:t>
      </w:r>
      <w:r>
        <w:rPr>
          <w:rFonts w:hint="eastAsia" w:ascii="宋体" w:hAnsi="宋体" w:eastAsia="宋体" w:cs="宋体"/>
          <w:sz w:val="24"/>
          <w:szCs w:val="24"/>
        </w:rPr>
        <w:t>0名经办专业人员及理赔勘查、审</w:t>
      </w:r>
      <w:r>
        <w:rPr>
          <w:rFonts w:hint="eastAsia" w:ascii="宋体" w:hAnsi="宋体" w:eastAsia="宋体" w:cs="宋体"/>
          <w:color w:val="000000" w:themeColor="text1"/>
          <w:kern w:val="0"/>
          <w:sz w:val="24"/>
          <w:szCs w:val="24"/>
          <w14:textFill>
            <w14:solidFill>
              <w14:schemeClr w14:val="tx1"/>
            </w14:solidFill>
          </w14:textFill>
        </w:rPr>
        <w:t>核管控需要的10辆车的</w:t>
      </w:r>
      <w:r>
        <w:rPr>
          <w:rFonts w:hint="eastAsia" w:ascii="宋体" w:hAnsi="宋体" w:eastAsia="宋体" w:cs="宋体"/>
          <w:color w:val="000000" w:themeColor="text1"/>
          <w:sz w:val="24"/>
          <w:szCs w:val="24"/>
          <w14:textFill>
            <w14:solidFill>
              <w14:schemeClr w14:val="tx1"/>
            </w14:solidFill>
          </w14:textFill>
        </w:rPr>
        <w:t>费用（每名人员费用按照</w:t>
      </w:r>
      <w:r>
        <w:rPr>
          <w:rFonts w:hint="eastAsia" w:ascii="宋体" w:hAnsi="宋体" w:eastAsia="宋体" w:cs="宋体"/>
          <w:color w:val="000000" w:themeColor="text1"/>
          <w:kern w:val="0"/>
          <w:sz w:val="24"/>
          <w:szCs w:val="24"/>
          <w14:textFill>
            <w14:solidFill>
              <w14:schemeClr w14:val="tx1"/>
            </w14:solidFill>
          </w14:textFill>
        </w:rPr>
        <w:t>上年度台州市在岗职工平均工资水平确定</w:t>
      </w:r>
      <w:r>
        <w:rPr>
          <w:rFonts w:hint="eastAsia" w:ascii="宋体" w:hAnsi="宋体" w:eastAsia="宋体" w:cs="宋体"/>
          <w:color w:val="000000" w:themeColor="text1"/>
          <w:kern w:val="0"/>
          <w:sz w:val="24"/>
          <w:szCs w:val="24"/>
          <w:lang w:eastAsia="zh-CN"/>
          <w14:textFill>
            <w14:solidFill>
              <w14:schemeClr w14:val="tx1"/>
            </w14:solidFill>
          </w14:textFill>
        </w:rPr>
        <w:t>，政府相关部门未公布</w:t>
      </w:r>
      <w:r>
        <w:rPr>
          <w:rFonts w:hint="eastAsia" w:ascii="宋体" w:hAnsi="宋体" w:eastAsia="宋体" w:cs="宋体"/>
          <w:color w:val="000000" w:themeColor="text1"/>
          <w:kern w:val="0"/>
          <w:sz w:val="24"/>
          <w:szCs w:val="24"/>
          <w14:textFill>
            <w14:solidFill>
              <w14:schemeClr w14:val="tx1"/>
            </w14:solidFill>
          </w14:textFill>
        </w:rPr>
        <w:t>上年度台州市在岗职工平均工资水平</w:t>
      </w:r>
      <w:r>
        <w:rPr>
          <w:rFonts w:hint="eastAsia" w:ascii="宋体" w:hAnsi="宋体" w:eastAsia="宋体" w:cs="宋体"/>
          <w:color w:val="000000" w:themeColor="text1"/>
          <w:kern w:val="0"/>
          <w:sz w:val="24"/>
          <w:szCs w:val="24"/>
          <w:lang w:eastAsia="zh-CN"/>
          <w14:textFill>
            <w14:solidFill>
              <w14:schemeClr w14:val="tx1"/>
            </w14:solidFill>
          </w14:textFill>
        </w:rPr>
        <w:t>的，按最新公布标准每年递增</w:t>
      </w:r>
      <w:r>
        <w:rPr>
          <w:rFonts w:hint="eastAsia" w:ascii="宋体" w:hAnsi="宋体" w:eastAsia="宋体" w:cs="宋体"/>
          <w:color w:val="000000" w:themeColor="text1"/>
          <w:kern w:val="0"/>
          <w:sz w:val="24"/>
          <w:szCs w:val="24"/>
          <w:lang w:val="en-US" w:eastAsia="zh-CN"/>
          <w14:textFill>
            <w14:solidFill>
              <w14:schemeClr w14:val="tx1"/>
            </w14:solidFill>
          </w14:textFill>
        </w:rPr>
        <w:t>5%执行；</w:t>
      </w:r>
      <w:r>
        <w:rPr>
          <w:rFonts w:hint="eastAsia" w:ascii="宋体" w:hAnsi="宋体" w:eastAsia="宋体" w:cs="宋体"/>
          <w:color w:val="000000" w:themeColor="text1"/>
          <w:kern w:val="0"/>
          <w:sz w:val="24"/>
          <w:szCs w:val="24"/>
          <w14:textFill>
            <w14:solidFill>
              <w14:schemeClr w14:val="tx1"/>
            </w14:solidFill>
          </w14:textFill>
        </w:rPr>
        <w:t>车辆费用按照每年10万元确定）。</w:t>
      </w:r>
    </w:p>
    <w:p>
      <w:pPr>
        <w:keepNext w:val="0"/>
        <w:keepLines w:val="0"/>
        <w:pageBreakBefore w:val="0"/>
        <w:kinsoku/>
        <w:wordWrap/>
        <w:overflowPunct/>
        <w:topLinePunct w:val="0"/>
        <w:autoSpaceDE w:val="0"/>
        <w:autoSpaceDN w:val="0"/>
        <w:bidi w:val="0"/>
        <w:spacing w:line="360" w:lineRule="auto"/>
        <w:ind w:left="109" w:leftChars="52" w:firstLine="482" w:firstLineChars="200"/>
        <w:textAlignment w:val="bottom"/>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4.项目考核</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pPr>
      <w:r>
        <w:rPr>
          <w:rFonts w:hint="eastAsia" w:ascii="宋体" w:hAnsi="宋体" w:eastAsia="宋体" w:cs="宋体"/>
          <w:color w:val="000000" w:themeColor="text1"/>
          <w:sz w:val="24"/>
          <w:szCs w:val="24"/>
          <w14:textFill>
            <w14:solidFill>
              <w14:schemeClr w14:val="tx1"/>
            </w14:solidFill>
          </w14:textFill>
        </w:rPr>
        <w:t>市</w:t>
      </w:r>
      <w:r>
        <w:rPr>
          <w:rFonts w:hint="eastAsia" w:ascii="宋体" w:hAnsi="宋体" w:eastAsia="宋体" w:cs="宋体"/>
          <w:color w:val="000000" w:themeColor="text1"/>
          <w:sz w:val="24"/>
          <w:szCs w:val="24"/>
          <w:lang w:eastAsia="zh-CN"/>
          <w14:textFill>
            <w14:solidFill>
              <w14:schemeClr w14:val="tx1"/>
            </w14:solidFill>
          </w14:textFill>
        </w:rPr>
        <w:t>医疗保障局</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市</w:t>
      </w:r>
      <w:r>
        <w:rPr>
          <w:rFonts w:hint="eastAsia" w:ascii="宋体" w:hAnsi="宋体" w:eastAsia="宋体" w:cs="宋体"/>
          <w:color w:val="000000" w:themeColor="text1"/>
          <w:sz w:val="24"/>
          <w:szCs w:val="24"/>
          <w14:textFill>
            <w14:solidFill>
              <w14:schemeClr w14:val="tx1"/>
            </w14:solidFill>
          </w14:textFill>
        </w:rPr>
        <w:t>财政局等部门组织对中标单位大病保险工作开展情况进行年终考核。市、各县（市、区）医保经办机构对中标单位大病保险日常工作开展情况进行全程监管。因中标单位违规操作、审核不严造成社保基金损失的，中标单位要承担相应的经济和法律责任。中标单位在服务评分标准中承诺的各项服务以及在投标书中承诺的合作支持等内容，将列为合作的履约必要条款，并作为考核中标单位年度业绩情况的依据之一，如在年度考核中未达到承诺要求时</w:t>
      </w:r>
      <w:r>
        <w:rPr>
          <w:rFonts w:hint="eastAsia" w:ascii="宋体" w:hAnsi="宋体" w:eastAsia="宋体" w:cs="宋体"/>
          <w:color w:val="auto"/>
          <w:sz w:val="24"/>
          <w:szCs w:val="24"/>
        </w:rPr>
        <w:t>，将相应扣减其</w:t>
      </w:r>
      <w:r>
        <w:rPr>
          <w:rFonts w:hint="eastAsia" w:ascii="宋体" w:hAnsi="宋体" w:eastAsia="宋体" w:cs="宋体"/>
          <w:color w:val="000000" w:themeColor="text1"/>
          <w:sz w:val="24"/>
          <w:szCs w:val="24"/>
          <w14:textFill>
            <w14:solidFill>
              <w14:schemeClr w14:val="tx1"/>
            </w14:solidFill>
          </w14:textFill>
        </w:rPr>
        <w:t>年度大病保险保费。</w:t>
      </w:r>
    </w:p>
    <w:p>
      <w:pPr>
        <w:keepNext w:val="0"/>
        <w:keepLines w:val="0"/>
        <w:pageBreakBefore w:val="0"/>
        <w:kinsoku/>
        <w:wordWrap/>
        <w:overflowPunct/>
        <w:topLinePunct w:val="0"/>
        <w:autoSpaceDE w:val="0"/>
        <w:autoSpaceDN w:val="0"/>
        <w:bidi w:val="0"/>
        <w:spacing w:line="360" w:lineRule="auto"/>
        <w:ind w:left="109" w:leftChars="52" w:firstLine="482" w:firstLineChars="200"/>
        <w:textAlignment w:val="bottom"/>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4.1</w:t>
      </w:r>
      <w:r>
        <w:rPr>
          <w:rFonts w:hint="eastAsia" w:ascii="宋体" w:hAnsi="宋体" w:eastAsia="宋体" w:cs="宋体"/>
          <w:b/>
          <w:bCs/>
          <w:color w:val="000000" w:themeColor="text1"/>
          <w:sz w:val="24"/>
          <w:szCs w:val="24"/>
          <w:lang w:eastAsia="zh-CN"/>
          <w14:textFill>
            <w14:solidFill>
              <w14:schemeClr w14:val="tx1"/>
            </w14:solidFill>
          </w14:textFill>
        </w:rPr>
        <w:t>考核内容：</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w:t>
      </w:r>
      <w:r>
        <w:rPr>
          <w:rFonts w:hint="eastAsia" w:ascii="宋体" w:hAnsi="宋体" w:eastAsia="宋体" w:cs="宋体"/>
          <w:color w:val="000000" w:themeColor="text1"/>
          <w:sz w:val="24"/>
          <w:szCs w:val="24"/>
          <w14:textFill>
            <w14:solidFill>
              <w14:schemeClr w14:val="tx1"/>
            </w14:solidFill>
          </w14:textFill>
        </w:rPr>
        <w:t>大病保险医疗费用的审核结算情况。</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4.1.2</w:t>
      </w:r>
      <w:r>
        <w:rPr>
          <w:rFonts w:hint="eastAsia" w:ascii="宋体" w:hAnsi="宋体" w:eastAsia="宋体" w:cs="宋体"/>
          <w:color w:val="000000" w:themeColor="text1"/>
          <w:sz w:val="24"/>
          <w:szCs w:val="24"/>
          <w14:textFill>
            <w14:solidFill>
              <w14:schemeClr w14:val="tx1"/>
            </w14:solidFill>
          </w14:textFill>
        </w:rPr>
        <w:t>按时支付费用情况。</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4.1.3</w:t>
      </w:r>
      <w:r>
        <w:rPr>
          <w:rFonts w:hint="eastAsia" w:ascii="宋体" w:hAnsi="宋体" w:eastAsia="宋体" w:cs="宋体"/>
          <w:color w:val="000000" w:themeColor="text1"/>
          <w:sz w:val="24"/>
          <w:szCs w:val="24"/>
          <w14:textFill>
            <w14:solidFill>
              <w14:schemeClr w14:val="tx1"/>
            </w14:solidFill>
          </w14:textFill>
        </w:rPr>
        <w:t>人员配备情况。</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4.1.4</w:t>
      </w:r>
      <w:r>
        <w:rPr>
          <w:rFonts w:hint="eastAsia" w:ascii="宋体" w:hAnsi="宋体" w:eastAsia="宋体" w:cs="宋体"/>
          <w:color w:val="000000" w:themeColor="text1"/>
          <w:sz w:val="24"/>
          <w:szCs w:val="24"/>
          <w14:textFill>
            <w14:solidFill>
              <w14:schemeClr w14:val="tx1"/>
            </w14:solidFill>
          </w14:textFill>
        </w:rPr>
        <w:t>车辆和相应设备配备情况。</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4.1.5</w:t>
      </w:r>
      <w:r>
        <w:rPr>
          <w:rFonts w:hint="eastAsia" w:ascii="宋体" w:hAnsi="宋体" w:eastAsia="宋体" w:cs="宋体"/>
          <w:color w:val="000000" w:themeColor="text1"/>
          <w:sz w:val="24"/>
          <w:szCs w:val="24"/>
          <w14:textFill>
            <w14:solidFill>
              <w14:schemeClr w14:val="tx1"/>
            </w14:solidFill>
          </w14:textFill>
        </w:rPr>
        <w:t>现场核查大病保险赔付情况。</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4.1.6</w:t>
      </w:r>
      <w:r>
        <w:rPr>
          <w:rFonts w:hint="eastAsia" w:ascii="宋体" w:hAnsi="宋体" w:eastAsia="宋体" w:cs="宋体"/>
          <w:color w:val="000000" w:themeColor="text1"/>
          <w:sz w:val="24"/>
          <w:szCs w:val="24"/>
          <w14:textFill>
            <w14:solidFill>
              <w14:schemeClr w14:val="tx1"/>
            </w14:solidFill>
          </w14:textFill>
        </w:rPr>
        <w:t>信息安全和保密情况。</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4.1.7</w:t>
      </w:r>
      <w:r>
        <w:rPr>
          <w:rFonts w:hint="eastAsia" w:ascii="宋体" w:hAnsi="宋体" w:eastAsia="宋体" w:cs="宋体"/>
          <w:color w:val="000000" w:themeColor="text1"/>
          <w:sz w:val="24"/>
          <w:szCs w:val="24"/>
          <w14:textFill>
            <w14:solidFill>
              <w14:schemeClr w14:val="tx1"/>
            </w14:solidFill>
          </w14:textFill>
        </w:rPr>
        <w:t>内部控制和管理制度建立、运行情况。</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4.1.8</w:t>
      </w:r>
      <w:r>
        <w:rPr>
          <w:rFonts w:hint="eastAsia" w:ascii="宋体" w:hAnsi="宋体" w:eastAsia="宋体" w:cs="宋体"/>
          <w:color w:val="000000" w:themeColor="text1"/>
          <w:sz w:val="24"/>
          <w:szCs w:val="24"/>
          <w14:textFill>
            <w14:solidFill>
              <w14:schemeClr w14:val="tx1"/>
            </w14:solidFill>
          </w14:textFill>
        </w:rPr>
        <w:t>其他相关情况。</w:t>
      </w:r>
    </w:p>
    <w:p>
      <w:pPr>
        <w:keepNext w:val="0"/>
        <w:keepLines w:val="0"/>
        <w:pageBreakBefore w:val="0"/>
        <w:kinsoku/>
        <w:wordWrap/>
        <w:overflowPunct/>
        <w:topLinePunct w:val="0"/>
        <w:autoSpaceDE w:val="0"/>
        <w:autoSpaceDN w:val="0"/>
        <w:bidi w:val="0"/>
        <w:spacing w:line="360" w:lineRule="auto"/>
        <w:ind w:left="109" w:leftChars="52" w:firstLine="482" w:firstLineChars="200"/>
        <w:textAlignment w:val="bottom"/>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4.2</w:t>
      </w:r>
      <w:r>
        <w:rPr>
          <w:rFonts w:hint="eastAsia" w:ascii="宋体" w:hAnsi="宋体" w:eastAsia="宋体" w:cs="宋体"/>
          <w:b/>
          <w:bCs/>
          <w:color w:val="000000" w:themeColor="text1"/>
          <w:sz w:val="24"/>
          <w:szCs w:val="24"/>
          <w14:textFill>
            <w14:solidFill>
              <w14:schemeClr w14:val="tx1"/>
            </w14:solidFill>
          </w14:textFill>
        </w:rPr>
        <w:t>考核等次及结果运用</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综合得分制，得分在85分以上（含）的为合格等次；得分在60分（含）至85分的为基本合格等次；得分在60分以下的为不合格等次。考核结果为合格等次的，全额拨付剩余10%的保费；考核结果为基本合格等次的，责令承保公司整改，并扣除2%保费；考核结果为不合格等次的，</w:t>
      </w:r>
      <w:r>
        <w:rPr>
          <w:rFonts w:hint="eastAsia" w:ascii="宋体" w:hAnsi="宋体" w:eastAsia="宋体" w:cs="宋体"/>
          <w:color w:val="000000" w:themeColor="text1"/>
          <w:sz w:val="24"/>
          <w:szCs w:val="24"/>
          <w:lang w:eastAsia="zh-CN"/>
          <w14:textFill>
            <w14:solidFill>
              <w14:schemeClr w14:val="tx1"/>
            </w14:solidFill>
          </w14:textFill>
        </w:rPr>
        <w:t>责</w:t>
      </w:r>
      <w:r>
        <w:rPr>
          <w:rFonts w:hint="eastAsia" w:ascii="宋体" w:hAnsi="宋体" w:eastAsia="宋体" w:cs="宋体"/>
          <w:color w:val="000000" w:themeColor="text1"/>
          <w:sz w:val="24"/>
          <w:szCs w:val="24"/>
          <w14:textFill>
            <w14:solidFill>
              <w14:schemeClr w14:val="tx1"/>
            </w14:solidFill>
          </w14:textFill>
        </w:rPr>
        <w:t>令承保公司赔偿相应损失、扣除10%保费并解除承办合同。</w:t>
      </w:r>
    </w:p>
    <w:p>
      <w:pPr>
        <w:keepNext w:val="0"/>
        <w:keepLines w:val="0"/>
        <w:pageBreakBefore w:val="0"/>
        <w:kinsoku/>
        <w:wordWrap/>
        <w:overflowPunct/>
        <w:topLinePunct w:val="0"/>
        <w:autoSpaceDE w:val="0"/>
        <w:autoSpaceDN w:val="0"/>
        <w:bidi w:val="0"/>
        <w:spacing w:line="360" w:lineRule="auto"/>
        <w:ind w:left="109" w:leftChars="52" w:firstLine="420" w:firstLineChars="200"/>
        <w:textAlignment w:val="bottom"/>
        <w:rPr>
          <w:rFonts w:hint="eastAsia" w:ascii="宋体" w:hAnsi="宋体" w:eastAsia="宋体" w:cs="宋体"/>
          <w:b/>
          <w:color w:val="000000" w:themeColor="text1"/>
          <w:sz w:val="24"/>
          <w:szCs w:val="24"/>
          <w14:textFill>
            <w14:solidFill>
              <w14:schemeClr w14:val="tx1"/>
            </w14:solidFill>
          </w14:textFill>
        </w:rPr>
      </w:pPr>
      <w:r>
        <w:rPr>
          <w:rFonts w:cs="宋体"/>
        </w:rPr>
        <w:t>▲</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大病保险承办的商业保险公司基本条件</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参与投标的商业保险公司必须</w:t>
      </w:r>
      <w:r>
        <w:rPr>
          <w:rFonts w:hint="eastAsia" w:ascii="宋体" w:hAnsi="宋体" w:eastAsia="宋体" w:cs="宋体"/>
          <w:color w:val="000000" w:themeColor="text1"/>
          <w:sz w:val="24"/>
          <w:szCs w:val="24"/>
          <w14:textFill>
            <w14:solidFill>
              <w14:schemeClr w14:val="tx1"/>
            </w14:solidFill>
          </w14:textFill>
        </w:rPr>
        <w:t xml:space="preserve">具备以下条件： </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 xml:space="preserve">1 </w:t>
      </w:r>
      <w:r>
        <w:rPr>
          <w:rFonts w:hint="eastAsia" w:ascii="宋体" w:hAnsi="宋体" w:eastAsia="宋体" w:cs="宋体"/>
          <w:color w:val="auto"/>
          <w:sz w:val="24"/>
          <w:szCs w:val="24"/>
        </w:rPr>
        <w:t>依法</w:t>
      </w:r>
      <w:r>
        <w:rPr>
          <w:rFonts w:hint="eastAsia" w:ascii="宋体" w:hAnsi="宋体" w:eastAsia="宋体" w:cs="宋体"/>
          <w:color w:val="auto"/>
          <w:sz w:val="24"/>
          <w:szCs w:val="24"/>
          <w:lang w:eastAsia="zh-CN"/>
        </w:rPr>
        <w:t>合规</w:t>
      </w:r>
      <w:r>
        <w:rPr>
          <w:rFonts w:hint="eastAsia" w:ascii="宋体" w:hAnsi="宋体" w:eastAsia="宋体" w:cs="宋体"/>
          <w:color w:val="auto"/>
          <w:sz w:val="24"/>
          <w:szCs w:val="24"/>
        </w:rPr>
        <w:t>经营</w:t>
      </w:r>
      <w:r>
        <w:rPr>
          <w:rFonts w:hint="eastAsia" w:ascii="宋体" w:hAnsi="宋体" w:eastAsia="宋体" w:cs="宋体"/>
          <w:color w:val="auto"/>
          <w:sz w:val="24"/>
          <w:szCs w:val="24"/>
          <w:lang w:eastAsia="zh-CN"/>
        </w:rPr>
        <w:t>，参加本次政府采购活动前</w:t>
      </w:r>
      <w:r>
        <w:rPr>
          <w:rFonts w:hint="eastAsia" w:ascii="宋体" w:hAnsi="宋体" w:eastAsia="宋体" w:cs="宋体"/>
          <w:color w:val="auto"/>
          <w:sz w:val="24"/>
          <w:szCs w:val="24"/>
          <w:lang w:val="en-US" w:eastAsia="zh-CN"/>
        </w:rPr>
        <w:t>3年</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未受到</w:t>
      </w:r>
      <w:r>
        <w:rPr>
          <w:rFonts w:hint="eastAsia" w:ascii="宋体" w:hAnsi="宋体" w:eastAsia="宋体" w:cs="宋体"/>
          <w:color w:val="auto"/>
          <w:sz w:val="24"/>
          <w:szCs w:val="24"/>
        </w:rPr>
        <w:t>重大</w:t>
      </w:r>
      <w:r>
        <w:rPr>
          <w:rFonts w:hint="eastAsia" w:ascii="宋体" w:hAnsi="宋体" w:eastAsia="宋体" w:cs="宋体"/>
          <w:color w:val="auto"/>
          <w:sz w:val="24"/>
          <w:szCs w:val="24"/>
          <w:lang w:eastAsia="zh-CN"/>
        </w:rPr>
        <w:t>行政处罚</w:t>
      </w:r>
      <w:r>
        <w:rPr>
          <w:rFonts w:hint="eastAsia" w:ascii="宋体" w:hAnsi="宋体" w:eastAsia="宋体" w:cs="宋体"/>
          <w:color w:val="auto"/>
          <w:sz w:val="24"/>
          <w:szCs w:val="24"/>
        </w:rPr>
        <w:t>；</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 xml:space="preserve">2 </w:t>
      </w:r>
      <w:r>
        <w:rPr>
          <w:rFonts w:hint="eastAsia" w:ascii="宋体" w:hAnsi="宋体" w:eastAsia="宋体" w:cs="宋体"/>
          <w:color w:val="auto"/>
          <w:sz w:val="24"/>
          <w:szCs w:val="24"/>
        </w:rPr>
        <w:t>配备熟悉当地医保政策，且具有医学等专业背景的专职服务队伍，能够提供驻点、巡查等大病保险专项服务；</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 xml:space="preserve">3 </w:t>
      </w:r>
      <w:r>
        <w:rPr>
          <w:rFonts w:hint="eastAsia" w:ascii="宋体" w:hAnsi="宋体" w:eastAsia="宋体" w:cs="宋体"/>
          <w:color w:val="auto"/>
          <w:sz w:val="24"/>
          <w:szCs w:val="24"/>
        </w:rPr>
        <w:t>具备完善的健康保险精算、风险管理、核保核赔的制度和能力，能够对大病保险业务实行专项管理和单独核算；</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未被列入商业保险公司大病保险招投标不良记录名单</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highlight w:val="none"/>
          <w:lang w:eastAsia="zh-CN"/>
        </w:rPr>
      </w:pPr>
      <w:r>
        <w:rPr>
          <w:rFonts w:hint="eastAsia" w:ascii="宋体" w:hAnsi="宋体" w:cs="宋体"/>
          <w:color w:val="auto"/>
          <w:sz w:val="24"/>
          <w:szCs w:val="24"/>
          <w:highlight w:val="none"/>
          <w:lang w:val="en-US" w:eastAsia="zh-CN"/>
        </w:rPr>
        <w:t xml:space="preserve">5.5 </w:t>
      </w:r>
      <w:r>
        <w:rPr>
          <w:rFonts w:hint="eastAsia" w:ascii="宋体" w:hAnsi="宋体" w:eastAsia="宋体" w:cs="宋体"/>
          <w:color w:val="auto"/>
          <w:sz w:val="24"/>
          <w:szCs w:val="24"/>
          <w:highlight w:val="none"/>
          <w:lang w:eastAsia="zh-CN"/>
        </w:rPr>
        <w:t>分（支）公司属于同一商业保险集团公司的，不得超过1家</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cs="宋体"/>
          <w:color w:val="auto"/>
          <w:sz w:val="24"/>
          <w:szCs w:val="24"/>
          <w:lang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eastAsia="zh-CN"/>
        </w:rPr>
        <w:t>参加投标的分（支）公司，须经上级公司批准同意，并有相关授权</w:t>
      </w:r>
      <w:r>
        <w:rPr>
          <w:rFonts w:hint="eastAsia" w:ascii="宋体" w:hAnsi="宋体" w:eastAsia="宋体" w:cs="宋体"/>
          <w:color w:val="auto"/>
          <w:sz w:val="24"/>
          <w:szCs w:val="24"/>
          <w:lang w:eastAsia="zh-CN"/>
        </w:rPr>
        <w:t>文件</w:t>
      </w:r>
      <w:r>
        <w:rPr>
          <w:rFonts w:hint="eastAsia" w:ascii="宋体" w:hAnsi="宋体" w:cs="宋体"/>
          <w:color w:val="auto"/>
          <w:sz w:val="24"/>
          <w:szCs w:val="24"/>
          <w:lang w:eastAsia="zh-CN"/>
        </w:rPr>
        <w:t>；</w:t>
      </w:r>
    </w:p>
    <w:p>
      <w:pPr>
        <w:keepNext w:val="0"/>
        <w:keepLines w:val="0"/>
        <w:pageBreakBefore w:val="0"/>
        <w:kinsoku/>
        <w:wordWrap/>
        <w:overflowPunct/>
        <w:topLinePunct w:val="0"/>
        <w:autoSpaceDE w:val="0"/>
        <w:autoSpaceDN w:val="0"/>
        <w:bidi w:val="0"/>
        <w:spacing w:line="360" w:lineRule="auto"/>
        <w:ind w:left="109" w:leftChars="52"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 xml:space="preserve">7 </w:t>
      </w:r>
      <w:r>
        <w:rPr>
          <w:rFonts w:hint="eastAsia" w:ascii="宋体" w:hAnsi="宋体" w:eastAsia="宋体" w:cs="宋体"/>
          <w:color w:val="auto"/>
          <w:sz w:val="24"/>
          <w:szCs w:val="24"/>
          <w:lang w:eastAsia="zh-CN"/>
        </w:rPr>
        <w:t>浙江省银保监局、台州市银保监分局规定的其它条件；</w:t>
      </w:r>
    </w:p>
    <w:p>
      <w:pPr>
        <w:pStyle w:val="2"/>
        <w:rPr>
          <w:rFonts w:hint="eastAsia"/>
          <w:lang w:eastAsia="zh-CN"/>
        </w:rPr>
      </w:pPr>
    </w:p>
    <w:p>
      <w:pPr>
        <w:pStyle w:val="2"/>
      </w:pPr>
    </w:p>
    <w:p>
      <w:pPr>
        <w:keepNext w:val="0"/>
        <w:keepLines w:val="0"/>
        <w:pageBreakBefore w:val="0"/>
        <w:kinsoku/>
        <w:wordWrap/>
        <w:overflowPunct/>
        <w:topLinePunct w:val="0"/>
        <w:bidi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1"/>
        <w:keepNext w:val="0"/>
        <w:keepLines w:val="0"/>
        <w:pageBreakBefore w:val="0"/>
        <w:kinsoku/>
        <w:wordWrap/>
        <w:overflowPunct/>
        <w:topLinePunct w:val="0"/>
        <w:bidi w:val="0"/>
        <w:snapToGrid w:val="0"/>
        <w:spacing w:line="360" w:lineRule="auto"/>
        <w:ind w:firstLine="482" w:firstLineChars="200"/>
        <w:outlineLvl w:val="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hint="eastAsia" w:asciiTheme="minorEastAsia" w:hAnsiTheme="minorEastAsia" w:eastAsiaTheme="minorEastAsia"/>
          <w:b/>
          <w:color w:val="000000" w:themeColor="text1"/>
          <w:sz w:val="24"/>
          <w:lang w:val="en-US" w:eastAsia="zh-CN"/>
          <w14:textFill>
            <w14:solidFill>
              <w14:schemeClr w14:val="tx1"/>
            </w14:solidFill>
          </w14:textFill>
        </w:rPr>
        <w:t>履约期限</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20</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22</w:t>
      </w:r>
      <w:r>
        <w:rPr>
          <w:rFonts w:hint="eastAsia" w:asciiTheme="minorEastAsia" w:hAnsiTheme="minorEastAsia" w:eastAsiaTheme="minorEastAsia"/>
          <w:color w:val="000000" w:themeColor="text1"/>
          <w:kern w:val="0"/>
          <w:sz w:val="24"/>
          <w:highlight w:val="none"/>
          <w14:textFill>
            <w14:solidFill>
              <w14:schemeClr w14:val="tx1"/>
            </w14:solidFill>
          </w14:textFill>
        </w:rPr>
        <w:t>年1月-202</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highlight w:val="none"/>
          <w14:textFill>
            <w14:solidFill>
              <w14:schemeClr w14:val="tx1"/>
            </w14:solidFill>
          </w14:textFill>
        </w:rPr>
        <w:t>年12月</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合同一年一签</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w:t>
      </w:r>
    </w:p>
    <w:p>
      <w:pPr>
        <w:pStyle w:val="11"/>
        <w:keepNext w:val="0"/>
        <w:keepLines w:val="0"/>
        <w:pageBreakBefore w:val="0"/>
        <w:kinsoku/>
        <w:wordWrap/>
        <w:overflowPunct/>
        <w:topLinePunct w:val="0"/>
        <w:bidi w:val="0"/>
        <w:snapToGrid w:val="0"/>
        <w:spacing w:line="360" w:lineRule="auto"/>
        <w:ind w:firstLine="482" w:firstLineChars="200"/>
        <w:outlineLvl w:val="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（二）服务时间及地点：</w:t>
      </w:r>
      <w:r>
        <w:rPr>
          <w:rFonts w:hint="eastAsia" w:asciiTheme="minorEastAsia" w:hAnsiTheme="minorEastAsia" w:eastAsiaTheme="minorEastAsia"/>
          <w:color w:val="000000" w:themeColor="text1"/>
          <w:kern w:val="0"/>
          <w:sz w:val="24"/>
          <w14:textFill>
            <w14:solidFill>
              <w14:schemeClr w14:val="tx1"/>
            </w14:solidFill>
          </w14:textFill>
        </w:rPr>
        <w:t>同前面“招标项目一览表”内所填的相关内容。</w:t>
      </w:r>
    </w:p>
    <w:p>
      <w:pPr>
        <w:pStyle w:val="11"/>
        <w:keepNext w:val="0"/>
        <w:keepLines w:val="0"/>
        <w:pageBreakBefore w:val="0"/>
        <w:kinsoku/>
        <w:wordWrap/>
        <w:overflowPunct/>
        <w:topLinePunct w:val="0"/>
        <w:bidi w:val="0"/>
        <w:snapToGrid w:val="0"/>
        <w:spacing w:line="360" w:lineRule="auto"/>
        <w:ind w:firstLine="482" w:firstLineChars="200"/>
        <w:outlineLvl w:val="0"/>
        <w:rPr>
          <w:rFonts w:hint="eastAsia" w:hAnsi="宋体" w:cs="宋体"/>
          <w:color w:val="auto"/>
          <w:sz w:val="24"/>
          <w:lang w:eastAsia="zh-CN"/>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auto"/>
          <w:kern w:val="0"/>
          <w:sz w:val="24"/>
        </w:rPr>
        <w:t>）</w:t>
      </w:r>
      <w:r>
        <w:rPr>
          <w:rFonts w:hint="eastAsia" w:asciiTheme="minorEastAsia" w:hAnsiTheme="minorEastAsia" w:eastAsiaTheme="minorEastAsia"/>
          <w:b/>
          <w:color w:val="auto"/>
          <w:sz w:val="24"/>
        </w:rPr>
        <w:t>付款条件：</w:t>
      </w:r>
      <w:r>
        <w:rPr>
          <w:rFonts w:hint="eastAsia"/>
          <w:b w:val="0"/>
          <w:bCs/>
          <w:color w:val="auto"/>
          <w:kern w:val="0"/>
          <w:sz w:val="24"/>
          <w:highlight w:val="none"/>
        </w:rPr>
        <w:t>合同签订后</w:t>
      </w:r>
      <w:r>
        <w:rPr>
          <w:rFonts w:hint="eastAsia"/>
          <w:b w:val="0"/>
          <w:bCs/>
          <w:color w:val="auto"/>
          <w:kern w:val="0"/>
          <w:sz w:val="24"/>
          <w:highlight w:val="none"/>
          <w:lang w:val="en-US" w:eastAsia="zh-CN"/>
        </w:rPr>
        <w:t>5日内</w:t>
      </w:r>
      <w:r>
        <w:rPr>
          <w:rFonts w:hint="eastAsia"/>
          <w:b w:val="0"/>
          <w:bCs/>
          <w:color w:val="auto"/>
          <w:kern w:val="0"/>
          <w:sz w:val="24"/>
          <w:highlight w:val="none"/>
        </w:rPr>
        <w:t>，</w:t>
      </w:r>
      <w:r>
        <w:rPr>
          <w:rFonts w:hint="eastAsia"/>
          <w:b w:val="0"/>
          <w:bCs/>
          <w:color w:val="auto"/>
          <w:kern w:val="0"/>
          <w:sz w:val="24"/>
          <w:highlight w:val="none"/>
          <w:lang w:val="en-US" w:eastAsia="zh-CN"/>
        </w:rPr>
        <w:t>采购人</w:t>
      </w:r>
      <w:r>
        <w:rPr>
          <w:rFonts w:hint="eastAsia"/>
          <w:b w:val="0"/>
          <w:bCs/>
          <w:color w:val="auto"/>
          <w:kern w:val="0"/>
          <w:sz w:val="24"/>
          <w:highlight w:val="none"/>
        </w:rPr>
        <w:t>向</w:t>
      </w:r>
      <w:r>
        <w:rPr>
          <w:rFonts w:hint="eastAsia"/>
          <w:b w:val="0"/>
          <w:bCs/>
          <w:color w:val="auto"/>
          <w:kern w:val="0"/>
          <w:sz w:val="24"/>
          <w:highlight w:val="none"/>
          <w:lang w:val="en-US" w:eastAsia="zh-CN"/>
        </w:rPr>
        <w:t>中标人</w:t>
      </w:r>
      <w:r>
        <w:rPr>
          <w:rFonts w:hint="eastAsia"/>
          <w:b w:val="0"/>
          <w:bCs/>
          <w:color w:val="auto"/>
          <w:kern w:val="0"/>
          <w:sz w:val="24"/>
          <w:highlight w:val="none"/>
        </w:rPr>
        <w:t>支付</w:t>
      </w:r>
      <w:r>
        <w:rPr>
          <w:rFonts w:hint="eastAsia"/>
          <w:b w:val="0"/>
          <w:bCs/>
          <w:color w:val="auto"/>
          <w:kern w:val="0"/>
          <w:sz w:val="24"/>
          <w:highlight w:val="none"/>
          <w:lang w:val="en-US" w:eastAsia="zh-CN"/>
        </w:rPr>
        <w:t>年度中标价的</w:t>
      </w:r>
      <w:r>
        <w:rPr>
          <w:rFonts w:hint="eastAsia"/>
          <w:b w:val="0"/>
          <w:bCs/>
          <w:color w:val="auto"/>
          <w:kern w:val="0"/>
          <w:sz w:val="24"/>
          <w:highlight w:val="none"/>
        </w:rPr>
        <w:t>10%的作为预付款</w:t>
      </w:r>
      <w:r>
        <w:rPr>
          <w:rFonts w:hint="eastAsia"/>
          <w:b w:val="0"/>
          <w:bCs/>
          <w:color w:val="auto"/>
          <w:kern w:val="0"/>
          <w:sz w:val="24"/>
          <w:highlight w:val="none"/>
          <w:lang w:eastAsia="zh-CN"/>
        </w:rPr>
        <w:t>。</w:t>
      </w:r>
      <w:r>
        <w:rPr>
          <w:rFonts w:hint="eastAsia" w:ascii="宋体" w:hAnsi="宋体" w:cs="宋体"/>
          <w:color w:val="auto"/>
          <w:sz w:val="24"/>
        </w:rPr>
        <w:t>每年度一至三季度的第一个月分别支付年度中标价的</w:t>
      </w:r>
      <w:r>
        <w:rPr>
          <w:rFonts w:ascii="宋体" w:hAnsi="宋体" w:cs="宋体"/>
          <w:color w:val="auto"/>
          <w:sz w:val="24"/>
        </w:rPr>
        <w:t>25%</w:t>
      </w:r>
      <w:r>
        <w:rPr>
          <w:rFonts w:hint="eastAsia" w:hAnsi="宋体" w:cs="宋体"/>
          <w:color w:val="auto"/>
          <w:sz w:val="24"/>
          <w:lang w:eastAsia="zh-CN"/>
        </w:rPr>
        <w:t>（</w:t>
      </w:r>
      <w:r>
        <w:rPr>
          <w:rFonts w:hint="eastAsia" w:hAnsi="宋体" w:cs="宋体"/>
          <w:color w:val="auto"/>
          <w:sz w:val="24"/>
          <w:lang w:val="en-US" w:eastAsia="zh-CN"/>
        </w:rPr>
        <w:t>其中2022年第一季度支付年度中标价的15%</w:t>
      </w:r>
      <w:r>
        <w:rPr>
          <w:rFonts w:hint="eastAsia" w:hAnsi="宋体" w:cs="宋体"/>
          <w:color w:val="auto"/>
          <w:sz w:val="24"/>
          <w:lang w:eastAsia="zh-CN"/>
        </w:rPr>
        <w:t>）</w:t>
      </w:r>
      <w:r>
        <w:rPr>
          <w:rFonts w:hint="eastAsia" w:ascii="宋体" w:hAnsi="宋体" w:cs="宋体"/>
          <w:color w:val="auto"/>
          <w:sz w:val="24"/>
        </w:rPr>
        <w:t>，第四季度的第一个月支付年度中标价的</w:t>
      </w:r>
      <w:r>
        <w:rPr>
          <w:rFonts w:ascii="宋体" w:hAnsi="宋体" w:cs="宋体"/>
          <w:color w:val="auto"/>
          <w:sz w:val="24"/>
        </w:rPr>
        <w:t>15%</w:t>
      </w:r>
      <w:r>
        <w:rPr>
          <w:rFonts w:hint="eastAsia" w:ascii="宋体" w:hAnsi="宋体" w:cs="宋体"/>
          <w:color w:val="auto"/>
          <w:sz w:val="24"/>
        </w:rPr>
        <w:t>，余额部分经考核合格后</w:t>
      </w:r>
      <w:r>
        <w:rPr>
          <w:rFonts w:ascii="宋体" w:hAnsi="宋体" w:cs="宋体"/>
          <w:color w:val="auto"/>
          <w:sz w:val="24"/>
        </w:rPr>
        <w:t>10</w:t>
      </w:r>
      <w:r>
        <w:rPr>
          <w:rFonts w:hint="eastAsia" w:ascii="宋体" w:hAnsi="宋体" w:cs="宋体"/>
          <w:color w:val="auto"/>
          <w:sz w:val="24"/>
        </w:rPr>
        <w:t>日内</w:t>
      </w:r>
      <w:r>
        <w:rPr>
          <w:rFonts w:hint="eastAsia" w:hAnsi="宋体" w:cs="宋体"/>
          <w:color w:val="auto"/>
          <w:sz w:val="24"/>
          <w:lang w:eastAsia="zh-CN"/>
        </w:rPr>
        <w:t>，</w:t>
      </w:r>
      <w:r>
        <w:rPr>
          <w:rFonts w:hint="eastAsia" w:hAnsi="宋体" w:cs="宋体"/>
          <w:color w:val="auto"/>
          <w:sz w:val="24"/>
          <w:lang w:val="en-US" w:eastAsia="zh-CN"/>
        </w:rPr>
        <w:t>根据实际考核情况</w:t>
      </w:r>
      <w:r>
        <w:rPr>
          <w:rFonts w:hint="eastAsia" w:ascii="宋体" w:hAnsi="宋体" w:cs="宋体"/>
          <w:color w:val="auto"/>
          <w:sz w:val="24"/>
        </w:rPr>
        <w:t>支付</w:t>
      </w:r>
      <w:r>
        <w:rPr>
          <w:rFonts w:hint="eastAsia" w:hAnsi="宋体" w:cs="宋体"/>
          <w:color w:val="auto"/>
          <w:sz w:val="24"/>
          <w:lang w:eastAsia="zh-CN"/>
        </w:rPr>
        <w:t>（</w:t>
      </w:r>
      <w:r>
        <w:rPr>
          <w:rFonts w:hint="eastAsia" w:hAnsi="宋体" w:cs="宋体"/>
          <w:color w:val="auto"/>
          <w:sz w:val="24"/>
          <w:lang w:val="en-US" w:eastAsia="zh-CN"/>
        </w:rPr>
        <w:t>年度中标价以报价一览表中三年平均保费为准</w:t>
      </w:r>
      <w:r>
        <w:rPr>
          <w:rFonts w:hint="eastAsia" w:hAnsi="宋体" w:cs="宋体"/>
          <w:color w:val="auto"/>
          <w:sz w:val="24"/>
          <w:lang w:eastAsia="zh-CN"/>
        </w:rPr>
        <w:t>）。</w:t>
      </w:r>
    </w:p>
    <w:p>
      <w:pPr>
        <w:widowControl/>
        <w:spacing w:line="360" w:lineRule="auto"/>
        <w:ind w:firstLine="482" w:firstLineChars="200"/>
        <w:jc w:val="left"/>
      </w:pPr>
      <w:r>
        <w:rPr>
          <w:rFonts w:hint="eastAsia" w:asciiTheme="minorEastAsia" w:hAnsiTheme="minorEastAsia" w:eastAsiaTheme="minorEastAsia"/>
          <w:b/>
          <w:color w:val="auto"/>
          <w:kern w:val="0"/>
          <w:sz w:val="24"/>
        </w:rPr>
        <w:t>（</w:t>
      </w:r>
      <w:r>
        <w:rPr>
          <w:rFonts w:hint="eastAsia" w:asciiTheme="minorEastAsia" w:hAnsiTheme="minorEastAsia" w:eastAsiaTheme="minorEastAsia"/>
          <w:b/>
          <w:color w:val="auto"/>
          <w:kern w:val="0"/>
          <w:sz w:val="24"/>
          <w:lang w:val="en-US" w:eastAsia="zh-CN"/>
        </w:rPr>
        <w:t>四</w:t>
      </w:r>
      <w:r>
        <w:rPr>
          <w:rFonts w:hint="eastAsia" w:asciiTheme="minorEastAsia" w:hAnsiTheme="minorEastAsia" w:eastAsiaTheme="minorEastAsia"/>
          <w:b/>
          <w:color w:val="auto"/>
          <w:kern w:val="0"/>
          <w:sz w:val="24"/>
        </w:rPr>
        <w:t>）</w:t>
      </w:r>
      <w:r>
        <w:rPr>
          <w:rFonts w:hint="eastAsia" w:asciiTheme="minorEastAsia" w:hAnsiTheme="minorEastAsia" w:eastAsiaTheme="minorEastAsia"/>
          <w:b/>
          <w:color w:val="auto"/>
          <w:sz w:val="24"/>
          <w:lang w:val="en-US" w:eastAsia="zh-CN"/>
        </w:rPr>
        <w:t>履约保证金</w:t>
      </w:r>
      <w:r>
        <w:rPr>
          <w:rFonts w:hint="eastAsia" w:asciiTheme="minorEastAsia" w:hAnsiTheme="minorEastAsia" w:eastAsiaTheme="minorEastAsia"/>
          <w:b/>
          <w:color w:val="auto"/>
          <w:sz w:val="24"/>
        </w:rPr>
        <w:t>：</w:t>
      </w:r>
      <w:r>
        <w:rPr>
          <w:rFonts w:hint="eastAsia" w:ascii="宋体" w:hAnsi="宋体" w:cs="宋体"/>
          <w:color w:val="auto"/>
          <w:sz w:val="24"/>
        </w:rPr>
        <w:t>中标人需在合同签署后七天内按照年度中标价</w:t>
      </w:r>
      <w:r>
        <w:rPr>
          <w:rFonts w:hint="eastAsia" w:ascii="宋体" w:hAnsi="宋体" w:cs="宋体"/>
          <w:color w:val="auto"/>
          <w:sz w:val="24"/>
          <w:lang w:val="en-US" w:eastAsia="zh-CN"/>
        </w:rPr>
        <w:t>的</w:t>
      </w:r>
      <w:r>
        <w:rPr>
          <w:rFonts w:hint="eastAsia" w:hAnsi="宋体" w:cs="宋体"/>
          <w:color w:val="auto"/>
          <w:sz w:val="24"/>
          <w:lang w:val="en-US" w:eastAsia="zh-CN"/>
        </w:rPr>
        <w:t>1</w:t>
      </w:r>
      <w:r>
        <w:rPr>
          <w:rFonts w:hint="eastAsia" w:ascii="宋体" w:hAnsi="宋体" w:cs="宋体"/>
          <w:color w:val="auto"/>
          <w:sz w:val="24"/>
        </w:rPr>
        <w:t>%缴付履约保证金。该保证金在合同存续期内不计息，合同期满扣除相应罚款（如有）后</w:t>
      </w:r>
      <w:r>
        <w:rPr>
          <w:rFonts w:hint="eastAsia" w:ascii="宋体" w:hAnsi="宋体" w:cs="宋体"/>
          <w:color w:val="auto"/>
          <w:sz w:val="24"/>
          <w:lang w:val="en-US" w:eastAsia="zh-CN"/>
        </w:rPr>
        <w:t>5个工作日内</w:t>
      </w:r>
      <w:r>
        <w:rPr>
          <w:rFonts w:hint="eastAsia" w:ascii="宋体" w:hAnsi="宋体" w:cs="宋体"/>
          <w:color w:val="auto"/>
          <w:sz w:val="24"/>
        </w:rPr>
        <w:t>退还</w:t>
      </w:r>
      <w:r>
        <w:rPr>
          <w:rFonts w:hint="eastAsia" w:ascii="宋体" w:hAnsi="宋体" w:cs="宋体"/>
          <w:color w:val="auto"/>
          <w:kern w:val="0"/>
          <w:sz w:val="24"/>
        </w:rPr>
        <w:t>至受托方指定帐户</w:t>
      </w:r>
      <w:r>
        <w:rPr>
          <w:rFonts w:hint="eastAsia" w:hAnsi="宋体" w:cs="宋体"/>
          <w:color w:val="auto"/>
          <w:sz w:val="24"/>
          <w:lang w:eastAsia="zh-CN"/>
        </w:rPr>
        <w:t>（</w:t>
      </w:r>
      <w:r>
        <w:rPr>
          <w:rFonts w:hint="eastAsia" w:hAnsi="宋体" w:cs="宋体"/>
          <w:color w:val="auto"/>
          <w:sz w:val="24"/>
          <w:lang w:val="en-US" w:eastAsia="zh-CN"/>
        </w:rPr>
        <w:t>年度中标价以报价一览表中三年平均保费为准</w:t>
      </w:r>
      <w:r>
        <w:rPr>
          <w:rFonts w:hint="eastAsia" w:hAnsi="宋体" w:cs="宋体"/>
          <w:color w:val="auto"/>
          <w:sz w:val="24"/>
          <w:lang w:eastAsia="zh-CN"/>
        </w:rPr>
        <w:t>）</w:t>
      </w:r>
      <w:r>
        <w:rPr>
          <w:rFonts w:hint="eastAsia" w:ascii="宋体" w:hAnsi="宋体" w:cs="宋体"/>
          <w:color w:val="auto"/>
          <w:sz w:val="24"/>
        </w:rPr>
        <w:t>。</w:t>
      </w:r>
      <w:r>
        <w:rPr>
          <w:rFonts w:ascii="宋体" w:hAnsi="宋体" w:cs="宋体"/>
          <w:kern w:val="0"/>
          <w:sz w:val="24"/>
        </w:rPr>
        <w:t xml:space="preserve"> </w:t>
      </w:r>
    </w:p>
    <w:p>
      <w:pPr>
        <w:pStyle w:val="11"/>
        <w:keepNext w:val="0"/>
        <w:keepLines w:val="0"/>
        <w:pageBreakBefore w:val="0"/>
        <w:kinsoku/>
        <w:wordWrap/>
        <w:overflowPunct/>
        <w:topLinePunct w:val="0"/>
        <w:bidi w:val="0"/>
        <w:snapToGrid w:val="0"/>
        <w:spacing w:line="360" w:lineRule="auto"/>
        <w:ind w:firstLine="480" w:firstLineChars="200"/>
        <w:outlineLvl w:val="0"/>
        <w:rPr>
          <w:rFonts w:hint="eastAsia" w:ascii="宋体" w:hAnsi="宋体" w:cs="宋体"/>
          <w:color w:val="auto"/>
          <w:sz w:val="24"/>
        </w:rPr>
      </w:pPr>
      <w:r>
        <w:rPr>
          <w:rFonts w:hint="eastAsia" w:ascii="宋体" w:hAnsi="宋体" w:cs="宋体"/>
          <w:color w:val="auto"/>
          <w:sz w:val="24"/>
        </w:rPr>
        <w:br w:type="page"/>
      </w:r>
    </w:p>
    <w:p>
      <w:pPr>
        <w:numPr>
          <w:ilvl w:val="0"/>
          <w:numId w:val="4"/>
        </w:numPr>
        <w:spacing w:line="360" w:lineRule="auto"/>
        <w:jc w:val="center"/>
        <w:rPr>
          <w:rFonts w:asciiTheme="minorEastAsia" w:hAnsiTheme="minorEastAsia" w:eastAsiaTheme="minorEastAsia"/>
          <w:b/>
          <w:sz w:val="36"/>
          <w:szCs w:val="36"/>
        </w:rPr>
      </w:pPr>
      <w:bookmarkStart w:id="39" w:name="_Toc31173_WPSOffice_Level1"/>
      <w:r>
        <w:rPr>
          <w:rFonts w:hint="eastAsia" w:asciiTheme="minorEastAsia" w:hAnsiTheme="minorEastAsia" w:eastAsiaTheme="minorEastAsia"/>
          <w:b/>
          <w:sz w:val="36"/>
          <w:szCs w:val="36"/>
        </w:rPr>
        <w:t>评标</w:t>
      </w:r>
      <w:bookmarkEnd w:id="39"/>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1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lang w:val="en-US" w:eastAsia="zh-CN"/>
        </w:rPr>
        <w:t>8</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8"/>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w:t>
      </w:r>
      <w:r>
        <w:rPr>
          <w:rFonts w:hint="eastAsia" w:ascii="宋体"/>
          <w:b w:val="0"/>
          <w:bCs w:val="0"/>
          <w:color w:val="000000"/>
          <w:sz w:val="24"/>
          <w:lang w:val="zh-CN"/>
        </w:rPr>
        <w:t>主管预算单位统筹后未预留份额专门面向中小企业采购的采购项目，以及预留份额项目中的非预留部分：</w:t>
      </w:r>
      <w:r>
        <w:rPr>
          <w:rFonts w:hint="eastAsia" w:ascii="宋体"/>
          <w:b w:val="0"/>
          <w:bCs w:val="0"/>
          <w:color w:val="000000"/>
          <w:sz w:val="24"/>
        </w:rPr>
        <w:t>对</w:t>
      </w:r>
      <w:r>
        <w:rPr>
          <w:rFonts w:hint="eastAsia" w:ascii="宋体"/>
          <w:b w:val="0"/>
          <w:bCs w:val="0"/>
          <w:color w:val="000000"/>
          <w:sz w:val="24"/>
          <w:lang w:val="zh-CN"/>
        </w:rPr>
        <w:t>小微企业</w:t>
      </w:r>
      <w:r>
        <w:rPr>
          <w:rFonts w:hint="eastAsia" w:ascii="宋体"/>
          <w:b w:val="0"/>
          <w:bCs w:val="0"/>
          <w:color w:val="000000"/>
          <w:sz w:val="24"/>
        </w:rPr>
        <w:t>报价</w:t>
      </w:r>
      <w:r>
        <w:rPr>
          <w:rFonts w:hint="eastAsia" w:ascii="宋体"/>
          <w:b w:val="0"/>
          <w:bCs w:val="0"/>
          <w:color w:val="000000"/>
          <w:sz w:val="24"/>
          <w:lang w:val="zh-CN"/>
        </w:rPr>
        <w:t>给予 6 %-10%的扣除，用扣除后的价格计算评标基准价和投标报价。联合体各方均为小微企业的，联合体视同为小微企业，</w:t>
      </w:r>
      <w:r>
        <w:rPr>
          <w:rFonts w:hint="eastAsia" w:ascii="宋体"/>
          <w:b w:val="0"/>
          <w:bCs w:val="0"/>
          <w:color w:val="000000"/>
          <w:sz w:val="24"/>
        </w:rPr>
        <w:t>对报价</w:t>
      </w:r>
      <w:r>
        <w:rPr>
          <w:rFonts w:hint="eastAsia" w:ascii="宋体"/>
          <w:b w:val="0"/>
          <w:bCs w:val="0"/>
          <w:color w:val="000000"/>
          <w:sz w:val="24"/>
          <w:lang w:val="zh-CN"/>
        </w:rPr>
        <w:t>给予 6 %-10%的扣除；联合协议或者分包意向协议约定小微企业的合同份额占到合同总金额 30%以上的，</w:t>
      </w:r>
      <w:r>
        <w:rPr>
          <w:rFonts w:hint="eastAsia" w:ascii="宋体"/>
          <w:b w:val="0"/>
          <w:bCs w:val="0"/>
          <w:color w:val="000000"/>
          <w:sz w:val="24"/>
        </w:rPr>
        <w:t>对报价</w:t>
      </w:r>
      <w:r>
        <w:rPr>
          <w:rFonts w:hint="eastAsia" w:ascii="宋体"/>
          <w:b w:val="0"/>
          <w:bCs w:val="0"/>
          <w:color w:val="000000"/>
          <w:sz w:val="24"/>
          <w:lang w:val="zh-CN"/>
        </w:rPr>
        <w:t>给予2%</w:t>
      </w:r>
      <w:r>
        <w:rPr>
          <w:rFonts w:hint="eastAsia" w:ascii="宋体"/>
          <w:b w:val="0"/>
          <w:bCs w:val="0"/>
          <w:color w:val="000000"/>
          <w:sz w:val="24"/>
        </w:rPr>
        <w:t>-3%</w:t>
      </w:r>
      <w:r>
        <w:rPr>
          <w:rFonts w:hint="eastAsia" w:ascii="宋体"/>
          <w:b w:val="0"/>
          <w:bCs w:val="0"/>
          <w:color w:val="000000"/>
          <w:sz w:val="24"/>
          <w:lang w:val="zh-CN"/>
        </w:rPr>
        <w:t>的价</w:t>
      </w:r>
      <w:r>
        <w:rPr>
          <w:rFonts w:hint="eastAsia" w:ascii="宋体"/>
          <w:color w:val="000000"/>
          <w:sz w:val="24"/>
          <w:lang w:val="zh-CN"/>
        </w:rPr>
        <w:t>格扣除，用扣除后的价格计算评标基准价和响应报价。同一投标人（包括联合体），小微企业、监狱</w:t>
      </w:r>
      <w:r>
        <w:rPr>
          <w:rFonts w:hint="eastAsia" w:ascii="宋体"/>
          <w:sz w:val="24"/>
          <w:lang w:val="zh-CN"/>
        </w:rPr>
        <w:t>企业、残疾人福利性单位价格扣除优惠只享受一次，不得重复享受。</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pPr>
        <w:pStyle w:val="9"/>
        <w:spacing w:line="360" w:lineRule="auto"/>
        <w:ind w:firstLine="480" w:firstLineChars="200"/>
        <w:jc w:val="both"/>
        <w:rPr>
          <w:rFonts w:asciiTheme="minorEastAsia" w:hAnsiTheme="minorEastAsia" w:eastAsiaTheme="minorEastAsia"/>
          <w:sz w:val="24"/>
        </w:rPr>
      </w:pPr>
    </w:p>
    <w:p>
      <w:pPr>
        <w:pStyle w:val="9"/>
        <w:spacing w:line="360" w:lineRule="auto"/>
        <w:ind w:firstLine="480" w:firstLineChars="200"/>
        <w:jc w:val="both"/>
        <w:rPr>
          <w:rFonts w:asciiTheme="minorEastAsia" w:hAnsiTheme="minorEastAsia" w:eastAsiaTheme="minorEastAsia"/>
          <w:sz w:val="24"/>
        </w:rPr>
      </w:pPr>
    </w:p>
    <w:tbl>
      <w:tblPr>
        <w:tblStyle w:val="20"/>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spacing w:val="0"/>
                <w:w w:val="100"/>
                <w:szCs w:val="21"/>
              </w:rPr>
            </w:pPr>
            <w:r>
              <w:rPr>
                <w:rFonts w:hint="eastAsia"/>
                <w:spacing w:val="0"/>
                <w:w w:val="100"/>
                <w:szCs w:val="21"/>
              </w:rPr>
              <w:t>具有独立承担民事责任的能力</w:t>
            </w:r>
          </w:p>
        </w:tc>
        <w:tc>
          <w:tcPr>
            <w:tcW w:w="7092"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spacing w:val="0"/>
                <w:w w:val="100"/>
                <w:szCs w:val="21"/>
              </w:rPr>
            </w:pPr>
            <w:r>
              <w:rPr>
                <w:rFonts w:hint="eastAsia"/>
                <w:spacing w:val="0"/>
                <w:w w:val="100"/>
                <w:szCs w:val="21"/>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spacing w:val="0"/>
                <w:w w:val="100"/>
                <w:szCs w:val="21"/>
              </w:rPr>
            </w:pPr>
            <w:r>
              <w:rPr>
                <w:rFonts w:hint="eastAsia"/>
                <w:spacing w:val="0"/>
                <w:w w:val="100"/>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spacing w:val="0"/>
                <w:w w:val="100"/>
                <w:szCs w:val="21"/>
              </w:rPr>
            </w:pPr>
            <w:r>
              <w:rPr>
                <w:rFonts w:hint="eastAsia"/>
                <w:spacing w:val="0"/>
                <w:w w:val="100"/>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spacing w:val="0"/>
                <w:w w:val="100"/>
                <w:szCs w:val="21"/>
              </w:rPr>
            </w:pPr>
            <w:r>
              <w:rPr>
                <w:rFonts w:hint="eastAsia"/>
                <w:spacing w:val="0"/>
                <w:w w:val="100"/>
                <w:szCs w:val="21"/>
              </w:rPr>
              <w:t>具有良好的商业信誉和健全的财务会计制度</w:t>
            </w:r>
          </w:p>
        </w:tc>
        <w:tc>
          <w:tcPr>
            <w:tcW w:w="7092"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117" w:line="300" w:lineRule="auto"/>
              <w:ind w:left="15" w:leftChars="7" w:right="-17" w:rightChars="-8" w:firstLine="403" w:firstLineChars="192"/>
              <w:textAlignment w:val="auto"/>
              <w:rPr>
                <w:spacing w:val="0"/>
                <w:w w:val="100"/>
                <w:szCs w:val="21"/>
              </w:rPr>
            </w:pPr>
            <w:r>
              <w:rPr>
                <w:rFonts w:hint="eastAsia"/>
                <w:spacing w:val="0"/>
                <w:w w:val="100"/>
                <w:szCs w:val="21"/>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spacing w:val="0"/>
                <w:w w:val="100"/>
                <w:szCs w:val="21"/>
              </w:rPr>
            </w:pPr>
            <w:r>
              <w:rPr>
                <w:rFonts w:hint="eastAsia"/>
                <w:spacing w:val="0"/>
                <w:w w:val="100"/>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1" w:line="300" w:lineRule="auto"/>
              <w:ind w:left="15" w:leftChars="7" w:right="-17" w:rightChars="-8" w:firstLine="403" w:firstLineChars="192"/>
              <w:textAlignment w:val="auto"/>
              <w:rPr>
                <w:spacing w:val="0"/>
                <w:w w:val="100"/>
                <w:szCs w:val="21"/>
              </w:rPr>
            </w:pPr>
            <w:r>
              <w:rPr>
                <w:rFonts w:hint="eastAsia"/>
                <w:spacing w:val="0"/>
                <w:w w:val="100"/>
                <w:szCs w:val="21"/>
              </w:rPr>
              <w:t>按投标文件格式填报设备及专业技术能力情况（根据附件5《投标人基本情况表》和附件6《项目实施人员一览表》填报）。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spacing w:val="0"/>
                <w:w w:val="100"/>
                <w:szCs w:val="21"/>
              </w:rPr>
            </w:pPr>
            <w:r>
              <w:rPr>
                <w:rFonts w:hint="eastAsia"/>
                <w:spacing w:val="0"/>
                <w:w w:val="100"/>
                <w:szCs w:val="21"/>
              </w:rPr>
              <w:t>参加采购活动前3年内，在经营活动中没有重大违法记录</w:t>
            </w:r>
          </w:p>
        </w:tc>
        <w:tc>
          <w:tcPr>
            <w:tcW w:w="7092"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spacing w:val="0"/>
                <w:w w:val="100"/>
                <w:szCs w:val="21"/>
              </w:rPr>
            </w:pPr>
            <w:r>
              <w:rPr>
                <w:rFonts w:hint="eastAsia"/>
                <w:spacing w:val="0"/>
                <w:w w:val="100"/>
                <w:szCs w:val="21"/>
              </w:rPr>
              <w:t>信用记录</w:t>
            </w:r>
          </w:p>
        </w:tc>
        <w:tc>
          <w:tcPr>
            <w:tcW w:w="7092"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spacing w:val="0"/>
                <w:w w:val="100"/>
                <w:szCs w:val="21"/>
              </w:rPr>
            </w:pPr>
            <w:r>
              <w:rPr>
                <w:rFonts w:hint="eastAsia"/>
                <w:spacing w:val="0"/>
                <w:w w:val="100"/>
              </w:rPr>
              <w:t>1.</w:t>
            </w:r>
            <w:r>
              <w:rPr>
                <w:spacing w:val="0"/>
                <w:w w:val="100"/>
              </w:rPr>
              <w:t>截止时点：</w:t>
            </w:r>
            <w:r>
              <w:rPr>
                <w:rFonts w:hint="eastAsia"/>
                <w:spacing w:val="0"/>
                <w:w w:val="100"/>
              </w:rPr>
              <w:t>开标后评标前</w:t>
            </w:r>
            <w:r>
              <w:rPr>
                <w:spacing w:val="0"/>
                <w:w w:val="100"/>
              </w:rPr>
              <w:t>。</w:t>
            </w:r>
          </w:p>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spacing w:val="0"/>
                <w:w w:val="100"/>
                <w:szCs w:val="21"/>
              </w:rPr>
            </w:pPr>
            <w:r>
              <w:rPr>
                <w:rFonts w:hint="eastAsia"/>
                <w:spacing w:val="0"/>
                <w:w w:val="100"/>
              </w:rPr>
              <w:t>2.</w:t>
            </w:r>
            <w:r>
              <w:rPr>
                <w:spacing w:val="0"/>
                <w:w w:val="100"/>
              </w:rPr>
              <w:t>信用信息查询记录和证据留存的具体方式：由采购组织机构在规定查询时间内打印信用信息查询记录并归入项目档案。</w:t>
            </w:r>
            <w:r>
              <w:rPr>
                <w:spacing w:val="0"/>
                <w:w w:val="100"/>
              </w:rPr>
              <w:br w:type="textWrapping"/>
            </w:r>
            <w:r>
              <w:rPr>
                <w:rFonts w:hint="eastAsia"/>
                <w:spacing w:val="0"/>
                <w:w w:val="100"/>
              </w:rPr>
              <w:t xml:space="preserve">    3.</w:t>
            </w:r>
            <w:r>
              <w:rPr>
                <w:spacing w:val="0"/>
                <w:w w:val="100"/>
              </w:rPr>
              <w:t>使用规则</w:t>
            </w:r>
            <w:r>
              <w:rPr>
                <w:rFonts w:hint="eastAsia"/>
                <w:spacing w:val="0"/>
                <w:w w:val="100"/>
              </w:rPr>
              <w:t>：投标人</w:t>
            </w:r>
            <w:r>
              <w:rPr>
                <w:spacing w:val="0"/>
                <w:w w:val="100"/>
              </w:rPr>
              <w:t>未被列入“信用中国”失信被执行人或重大税收违法案件当事人名单；</w:t>
            </w:r>
            <w:r>
              <w:rPr>
                <w:rFonts w:hint="eastAsia"/>
                <w:spacing w:val="0"/>
                <w:w w:val="100"/>
              </w:rPr>
              <w:t>未</w:t>
            </w:r>
            <w:r>
              <w:rPr>
                <w:spacing w:val="0"/>
                <w:w w:val="100"/>
              </w:rPr>
              <w:t>处于“中国政府采购网”政府采购严重违法失信行为信息记录中的禁止参加政府采购活动期间（以联合体形式投标时，联合体各方均须满足该条款）</w:t>
            </w:r>
            <w:r>
              <w:rPr>
                <w:rFonts w:hint="eastAsia"/>
                <w:spacing w:val="0"/>
                <w:w w:val="1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spacing w:val="0"/>
                <w:w w:val="100"/>
                <w:szCs w:val="21"/>
              </w:rPr>
            </w:pPr>
            <w:r>
              <w:rPr>
                <w:rFonts w:hint="eastAsia"/>
                <w:spacing w:val="0"/>
                <w:w w:val="100"/>
                <w:szCs w:val="21"/>
              </w:rPr>
              <w:t>必须符合法律、行政法规规定的其他条件</w:t>
            </w:r>
          </w:p>
        </w:tc>
        <w:tc>
          <w:tcPr>
            <w:tcW w:w="7092"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1.单位负责人为同一人或者存在直接控股、管理关系的不同供应商，不得同时参加本项目投标。</w:t>
            </w:r>
          </w:p>
          <w:p>
            <w:pPr>
              <w:pStyle w:val="45"/>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2.为本项目提供整体设计、规范编制或者项目管理、监理、检测等服务的供应商，不得再参与本项目投标。</w:t>
            </w:r>
          </w:p>
          <w:p>
            <w:pPr>
              <w:pStyle w:val="45"/>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48" w:line="300" w:lineRule="auto"/>
              <w:ind w:left="0" w:leftChars="0" w:right="3" w:rightChars="0" w:hanging="10" w:firstLineChars="0"/>
              <w:jc w:val="center"/>
              <w:textAlignment w:val="auto"/>
              <w:rPr>
                <w:spacing w:val="0"/>
                <w:w w:val="100"/>
                <w:szCs w:val="21"/>
              </w:rPr>
            </w:pPr>
            <w:r>
              <w:rPr>
                <w:rFonts w:hint="eastAsia"/>
                <w:spacing w:val="0"/>
                <w:w w:val="100"/>
                <w:szCs w:val="21"/>
              </w:rPr>
              <w:t>联合体投标</w:t>
            </w:r>
          </w:p>
        </w:tc>
        <w:tc>
          <w:tcPr>
            <w:tcW w:w="7092"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本项目不接受联合体投标（以联合体形式投标时，提交《联合体共同投标协议书》原件扫描件）。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913"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spacing w:val="0"/>
                <w:w w:val="100"/>
                <w:szCs w:val="21"/>
                <w:highlight w:val="none"/>
              </w:rPr>
            </w:pPr>
            <w:r>
              <w:rPr>
                <w:rFonts w:hint="eastAsia"/>
                <w:spacing w:val="0"/>
                <w:w w:val="100"/>
                <w:szCs w:val="21"/>
                <w:highlight w:val="none"/>
              </w:rPr>
              <w:t>资质</w:t>
            </w:r>
          </w:p>
        </w:tc>
        <w:tc>
          <w:tcPr>
            <w:tcW w:w="7092"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rFonts w:hint="eastAsia" w:eastAsia="宋体"/>
                <w:spacing w:val="0"/>
                <w:w w:val="100"/>
                <w:szCs w:val="21"/>
                <w:highlight w:val="none"/>
                <w:lang w:eastAsia="zh-CN"/>
              </w:rPr>
            </w:pPr>
            <w:r>
              <w:rPr>
                <w:rFonts w:hint="eastAsia"/>
                <w:spacing w:val="0"/>
                <w:w w:val="100"/>
                <w:szCs w:val="21"/>
                <w:highlight w:val="none"/>
              </w:rPr>
              <w:t>总公司已经取得中国保监会核准的开展大病保险业务资质的地市商业保险机构</w:t>
            </w:r>
            <w:r>
              <w:rPr>
                <w:rFonts w:hint="eastAsia"/>
                <w:spacing w:val="0"/>
                <w:w w:val="1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1913"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spacing w:val="0"/>
                <w:w w:val="100"/>
                <w:szCs w:val="21"/>
              </w:rPr>
            </w:pPr>
            <w:r>
              <w:rPr>
                <w:rFonts w:hint="eastAsia"/>
                <w:spacing w:val="0"/>
                <w:w w:val="100"/>
                <w:szCs w:val="21"/>
              </w:rPr>
              <w:t>落实政府采购政策需满足的资格要求</w:t>
            </w:r>
          </w:p>
        </w:tc>
        <w:tc>
          <w:tcPr>
            <w:tcW w:w="7092" w:type="dxa"/>
            <w:shd w:val="clear" w:color="auto" w:fill="F6F6F6"/>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eastAsia="宋体"/>
                <w:spacing w:val="0"/>
                <w:w w:val="100"/>
                <w:szCs w:val="21"/>
                <w:lang w:eastAsia="zh-CN"/>
              </w:rPr>
            </w:pPr>
            <w:r>
              <w:rPr>
                <w:rFonts w:hint="eastAsia"/>
                <w:spacing w:val="0"/>
                <w:w w:val="100"/>
                <w:lang w:val="en-US" w:eastAsia="zh-CN"/>
              </w:rPr>
              <w:t>无</w:t>
            </w: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投标文件</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“▲”实质性条款</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串通投标</w:t>
            </w:r>
          </w:p>
        </w:tc>
        <w:tc>
          <w:tcPr>
            <w:tcW w:w="7183" w:type="dxa"/>
            <w:shd w:val="clear" w:color="auto" w:fill="F6F6F6"/>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附加条件</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投标文件未含有采购人不可接受的附加条件。</w:t>
            </w:r>
          </w:p>
        </w:tc>
      </w:tr>
    </w:tbl>
    <w:p>
      <w:pPr>
        <w:pStyle w:val="17"/>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p>
      <w:pPr>
        <w:numPr>
          <w:ilvl w:val="0"/>
          <w:numId w:val="0"/>
        </w:numPr>
        <w:tabs>
          <w:tab w:val="left" w:pos="2329"/>
        </w:tabs>
        <w:autoSpaceDE w:val="0"/>
        <w:autoSpaceDN w:val="0"/>
        <w:adjustRightInd w:val="0"/>
        <w:spacing w:line="360" w:lineRule="auto"/>
        <w:ind w:right="85" w:rightChars="0"/>
      </w:pPr>
      <w:r>
        <w:rPr>
          <w:rFonts w:hint="eastAsia" w:ascii="宋体" w:hAnsi="Times New Roman" w:eastAsia="宋体" w:cs="Times New Roman"/>
          <w:b/>
          <w:bCs/>
          <w:sz w:val="24"/>
          <w:lang w:val="en-US" w:eastAsia="zh-CN"/>
        </w:rPr>
        <w:t>1.</w:t>
      </w:r>
      <w:r>
        <w:rPr>
          <w:rFonts w:hint="eastAsia" w:ascii="宋体" w:hAnsi="Times New Roman" w:eastAsia="宋体" w:cs="Times New Roman"/>
          <w:b/>
          <w:bCs/>
          <w:sz w:val="24"/>
        </w:rPr>
        <w:t>评分</w:t>
      </w:r>
      <w:r>
        <w:rPr>
          <w:rFonts w:hint="eastAsia" w:ascii="宋体"/>
          <w:b/>
          <w:bCs/>
          <w:sz w:val="24"/>
        </w:rPr>
        <w:t>标准</w:t>
      </w:r>
    </w:p>
    <w:tbl>
      <w:tblPr>
        <w:tblStyle w:val="20"/>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69"/>
        <w:gridCol w:w="6831"/>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jc w:val="center"/>
        </w:trPr>
        <w:tc>
          <w:tcPr>
            <w:tcW w:w="108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项目内容</w:t>
            </w:r>
          </w:p>
        </w:tc>
        <w:tc>
          <w:tcPr>
            <w:tcW w:w="106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细分项目</w:t>
            </w:r>
          </w:p>
        </w:tc>
        <w:tc>
          <w:tcPr>
            <w:tcW w:w="68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 xml:space="preserve">评   分   </w:t>
            </w:r>
            <w:r>
              <w:rPr>
                <w:rFonts w:hint="eastAsia" w:ascii="宋体" w:hAnsi="宋体" w:cs="宋体"/>
                <w:b/>
                <w:bCs/>
                <w:i w:val="0"/>
                <w:iCs w:val="0"/>
                <w:color w:val="000000"/>
                <w:kern w:val="0"/>
                <w:sz w:val="21"/>
                <w:szCs w:val="21"/>
                <w:u w:val="none"/>
                <w:lang w:val="en-US" w:eastAsia="zh-CN" w:bidi="ar"/>
              </w:rPr>
              <w:t>细   则</w:t>
            </w: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jc w:val="center"/>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综合情况（17分）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综合偿付能力</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w:t>
            </w:r>
            <w:r>
              <w:rPr>
                <w:rFonts w:hint="eastAsia" w:ascii="宋体" w:hAnsi="宋体" w:cs="宋体"/>
                <w:i w:val="0"/>
                <w:iCs w:val="0"/>
                <w:color w:val="auto"/>
                <w:kern w:val="0"/>
                <w:sz w:val="21"/>
                <w:szCs w:val="21"/>
                <w:highlight w:val="none"/>
                <w:u w:val="none"/>
                <w:lang w:val="en-US" w:eastAsia="zh-CN" w:bidi="ar"/>
              </w:rPr>
              <w:t>投标人总公司</w:t>
            </w:r>
            <w:r>
              <w:rPr>
                <w:rFonts w:hint="eastAsia" w:ascii="宋体" w:hAnsi="宋体" w:eastAsia="宋体" w:cs="宋体"/>
                <w:i w:val="0"/>
                <w:iCs w:val="0"/>
                <w:color w:val="auto"/>
                <w:kern w:val="0"/>
                <w:sz w:val="21"/>
                <w:szCs w:val="21"/>
                <w:highlight w:val="none"/>
                <w:u w:val="none"/>
                <w:lang w:val="en-US" w:eastAsia="zh-CN" w:bidi="ar"/>
              </w:rPr>
              <w:t>202</w:t>
            </w:r>
            <w:r>
              <w:rPr>
                <w:rFonts w:hint="default"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年度</w:t>
            </w:r>
            <w:r>
              <w:rPr>
                <w:rFonts w:hint="eastAsia" w:ascii="宋体" w:hAnsi="宋体" w:cs="宋体"/>
                <w:i w:val="0"/>
                <w:iCs w:val="0"/>
                <w:color w:val="auto"/>
                <w:kern w:val="0"/>
                <w:sz w:val="21"/>
                <w:szCs w:val="21"/>
                <w:highlight w:val="none"/>
                <w:u w:val="none"/>
                <w:lang w:val="en-US" w:eastAsia="zh-CN" w:bidi="ar"/>
              </w:rPr>
              <w:t>前三季度平均</w:t>
            </w:r>
            <w:r>
              <w:rPr>
                <w:rFonts w:hint="eastAsia" w:ascii="宋体" w:hAnsi="宋体" w:eastAsia="宋体" w:cs="宋体"/>
                <w:i w:val="0"/>
                <w:iCs w:val="0"/>
                <w:color w:val="auto"/>
                <w:kern w:val="0"/>
                <w:sz w:val="21"/>
                <w:szCs w:val="21"/>
                <w:highlight w:val="none"/>
                <w:u w:val="none"/>
                <w:lang w:val="en-US" w:eastAsia="zh-CN" w:bidi="ar"/>
              </w:rPr>
              <w:t>的综合偿付能力充足率达300%（含）以上的得4分，250%-300%的得3分，200%-250%的得2分，150%-200%的得1分，其他不得分。（</w:t>
            </w:r>
            <w:r>
              <w:rPr>
                <w:rFonts w:hint="eastAsia" w:ascii="宋体" w:hAnsi="宋体" w:cs="宋体"/>
                <w:i w:val="0"/>
                <w:iCs w:val="0"/>
                <w:color w:val="auto"/>
                <w:kern w:val="0"/>
                <w:sz w:val="21"/>
                <w:szCs w:val="21"/>
                <w:highlight w:val="none"/>
                <w:u w:val="none"/>
                <w:lang w:val="en-US" w:eastAsia="zh-CN" w:bidi="ar"/>
              </w:rPr>
              <w:t>需提供偿付能力报告等相关证明材料</w:t>
            </w:r>
            <w:r>
              <w:rPr>
                <w:rFonts w:hint="eastAsia" w:ascii="宋体" w:hAnsi="宋体" w:eastAsia="宋体" w:cs="宋体"/>
                <w:i w:val="0"/>
                <w:iCs w:val="0"/>
                <w:color w:val="auto"/>
                <w:kern w:val="0"/>
                <w:sz w:val="21"/>
                <w:szCs w:val="21"/>
                <w:highlight w:val="none"/>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赔款贡献</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w:t>
            </w: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2018-2020年全险种赔款支出（含给付，不含退保,三年支出总额) 排名，第一名得4分，每下降一名扣0.5分。（财产险、人身险分序列排名</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提供银保监部门</w:t>
            </w:r>
            <w:r>
              <w:rPr>
                <w:rFonts w:hint="eastAsia" w:ascii="宋体" w:hAnsi="宋体" w:cs="宋体"/>
                <w:i w:val="0"/>
                <w:iCs w:val="0"/>
                <w:color w:val="auto"/>
                <w:kern w:val="0"/>
                <w:sz w:val="21"/>
                <w:szCs w:val="21"/>
                <w:highlight w:val="none"/>
                <w:u w:val="none"/>
                <w:lang w:val="en-US" w:eastAsia="zh-CN" w:bidi="ar"/>
              </w:rPr>
              <w:t>数据</w:t>
            </w:r>
            <w:r>
              <w:rPr>
                <w:rFonts w:hint="eastAsia" w:ascii="宋体" w:hAnsi="宋体" w:eastAsia="宋体" w:cs="宋体"/>
                <w:i w:val="0"/>
                <w:iCs w:val="0"/>
                <w:color w:val="auto"/>
                <w:kern w:val="0"/>
                <w:sz w:val="21"/>
                <w:szCs w:val="21"/>
                <w:highlight w:val="none"/>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本地化服务</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根据投标人现有或承诺的本地化服务能力（包括但不限于服务网点、响应时间等）进行评分，最高得5分。（需提供相关证明材料原件扫描件）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荣誉情况</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w:t>
            </w:r>
            <w:r>
              <w:rPr>
                <w:rFonts w:hint="eastAsia" w:ascii="宋体" w:hAnsi="宋体" w:cs="宋体"/>
                <w:i w:val="0"/>
                <w:iCs w:val="0"/>
                <w:color w:val="auto"/>
                <w:kern w:val="0"/>
                <w:sz w:val="21"/>
                <w:szCs w:val="21"/>
                <w:highlight w:val="none"/>
                <w:u w:val="none"/>
                <w:lang w:val="en-US" w:eastAsia="zh-CN" w:bidi="ar"/>
              </w:rPr>
              <w:t>人自2018-2020年</w:t>
            </w:r>
            <w:r>
              <w:rPr>
                <w:rFonts w:hint="eastAsia" w:ascii="宋体" w:hAnsi="宋体" w:eastAsia="宋体" w:cs="宋体"/>
                <w:i w:val="0"/>
                <w:iCs w:val="0"/>
                <w:color w:val="auto"/>
                <w:kern w:val="0"/>
                <w:sz w:val="21"/>
                <w:szCs w:val="21"/>
                <w:highlight w:val="none"/>
                <w:u w:val="none"/>
                <w:lang w:val="en-US" w:eastAsia="zh-CN" w:bidi="ar"/>
              </w:rPr>
              <w:t>，获国家、省级党委政府、中央各部委荣誉的，每项得0.5分，获地市级</w:t>
            </w:r>
            <w:r>
              <w:rPr>
                <w:rFonts w:hint="eastAsia" w:ascii="宋体" w:hAnsi="宋体" w:cs="宋体"/>
                <w:i w:val="0"/>
                <w:iCs w:val="0"/>
                <w:color w:val="auto"/>
                <w:kern w:val="0"/>
                <w:sz w:val="21"/>
                <w:szCs w:val="21"/>
                <w:highlight w:val="none"/>
                <w:u w:val="none"/>
                <w:lang w:val="en-US" w:eastAsia="zh-CN" w:bidi="ar"/>
              </w:rPr>
              <w:t>党委</w:t>
            </w:r>
            <w:r>
              <w:rPr>
                <w:rFonts w:hint="eastAsia" w:ascii="宋体" w:hAnsi="宋体" w:eastAsia="宋体" w:cs="宋体"/>
                <w:i w:val="0"/>
                <w:iCs w:val="0"/>
                <w:color w:val="auto"/>
                <w:kern w:val="0"/>
                <w:sz w:val="21"/>
                <w:szCs w:val="21"/>
                <w:highlight w:val="none"/>
                <w:u w:val="none"/>
                <w:lang w:val="en-US" w:eastAsia="zh-CN" w:bidi="ar"/>
              </w:rPr>
              <w:t>政府、省级政府各部门，每项得0.3分。累计得分最高2分。（提供文件或证书原件扫描件）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经营评价</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以投标人总公司2019年的</w:t>
            </w:r>
            <w:r>
              <w:rPr>
                <w:rFonts w:hint="eastAsia" w:ascii="宋体" w:hAnsi="宋体" w:eastAsia="宋体" w:cs="宋体"/>
                <w:i w:val="0"/>
                <w:iCs w:val="0"/>
                <w:color w:val="auto"/>
                <w:kern w:val="0"/>
                <w:sz w:val="21"/>
                <w:szCs w:val="21"/>
                <w:highlight w:val="none"/>
                <w:u w:val="none"/>
                <w:lang w:val="en-US" w:eastAsia="zh-CN" w:bidi="ar"/>
              </w:rPr>
              <w:t>经营评价打分，A级</w:t>
            </w:r>
            <w:r>
              <w:rPr>
                <w:rFonts w:hint="eastAsia" w:ascii="宋体" w:hAnsi="宋体" w:cs="宋体"/>
                <w:i w:val="0"/>
                <w:iCs w:val="0"/>
                <w:color w:val="auto"/>
                <w:kern w:val="0"/>
                <w:sz w:val="21"/>
                <w:szCs w:val="21"/>
                <w:highlight w:val="none"/>
                <w:u w:val="none"/>
                <w:lang w:val="en-US" w:eastAsia="zh-CN" w:bidi="ar"/>
              </w:rPr>
              <w:t>及以上</w:t>
            </w:r>
            <w:r>
              <w:rPr>
                <w:rFonts w:hint="eastAsia" w:ascii="宋体" w:hAnsi="宋体" w:eastAsia="宋体" w:cs="宋体"/>
                <w:i w:val="0"/>
                <w:iCs w:val="0"/>
                <w:color w:val="auto"/>
                <w:kern w:val="0"/>
                <w:sz w:val="21"/>
                <w:szCs w:val="21"/>
                <w:highlight w:val="none"/>
                <w:u w:val="none"/>
                <w:lang w:val="en-US" w:eastAsia="zh-CN" w:bidi="ar"/>
              </w:rPr>
              <w:t>得2分，B级</w:t>
            </w:r>
            <w:r>
              <w:rPr>
                <w:rFonts w:hint="eastAsia" w:ascii="宋体" w:hAnsi="宋体" w:cs="宋体"/>
                <w:i w:val="0"/>
                <w:iCs w:val="0"/>
                <w:color w:val="auto"/>
                <w:kern w:val="0"/>
                <w:sz w:val="21"/>
                <w:szCs w:val="21"/>
                <w:highlight w:val="none"/>
                <w:u w:val="none"/>
                <w:lang w:val="en-US" w:eastAsia="zh-CN" w:bidi="ar"/>
              </w:rPr>
              <w:t>得1分，B级</w:t>
            </w:r>
            <w:r>
              <w:rPr>
                <w:rFonts w:hint="eastAsia" w:ascii="宋体" w:hAnsi="宋体" w:eastAsia="宋体" w:cs="宋体"/>
                <w:i w:val="0"/>
                <w:iCs w:val="0"/>
                <w:color w:val="auto"/>
                <w:kern w:val="0"/>
                <w:sz w:val="21"/>
                <w:szCs w:val="21"/>
                <w:highlight w:val="none"/>
                <w:u w:val="none"/>
                <w:lang w:val="en-US" w:eastAsia="zh-CN" w:bidi="ar"/>
              </w:rPr>
              <w:t>以下不得分。（</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提供银保监部门</w:t>
            </w:r>
            <w:r>
              <w:rPr>
                <w:rFonts w:hint="eastAsia" w:ascii="宋体" w:hAnsi="宋体" w:cs="宋体"/>
                <w:i w:val="0"/>
                <w:iCs w:val="0"/>
                <w:color w:val="auto"/>
                <w:kern w:val="0"/>
                <w:sz w:val="21"/>
                <w:szCs w:val="21"/>
                <w:highlight w:val="none"/>
                <w:u w:val="none"/>
                <w:lang w:val="en-US" w:eastAsia="zh-CN" w:bidi="ar"/>
              </w:rPr>
              <w:t>数据</w:t>
            </w:r>
            <w:r>
              <w:rPr>
                <w:rFonts w:hint="eastAsia" w:ascii="宋体" w:hAnsi="宋体" w:eastAsia="宋体" w:cs="宋体"/>
                <w:i w:val="0"/>
                <w:iCs w:val="0"/>
                <w:color w:val="auto"/>
                <w:kern w:val="0"/>
                <w:sz w:val="21"/>
                <w:szCs w:val="21"/>
                <w:highlight w:val="none"/>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服务能力（2</w:t>
            </w:r>
            <w:r>
              <w:rPr>
                <w:rFonts w:hint="eastAsia" w:ascii="宋体" w:hAnsi="宋体" w:cs="宋体"/>
                <w:b/>
                <w:bCs/>
                <w:i w:val="0"/>
                <w:iCs w:val="0"/>
                <w:color w:val="000000"/>
                <w:kern w:val="0"/>
                <w:sz w:val="21"/>
                <w:szCs w:val="21"/>
                <w:u w:val="none"/>
                <w:lang w:val="en-US" w:eastAsia="zh-CN" w:bidi="ar"/>
              </w:rPr>
              <w:t>9</w:t>
            </w:r>
            <w:r>
              <w:rPr>
                <w:rFonts w:hint="eastAsia" w:ascii="宋体" w:hAnsi="宋体" w:eastAsia="宋体" w:cs="宋体"/>
                <w:b/>
                <w:bCs/>
                <w:i w:val="0"/>
                <w:iCs w:val="0"/>
                <w:color w:val="000000"/>
                <w:kern w:val="0"/>
                <w:sz w:val="21"/>
                <w:szCs w:val="21"/>
                <w:u w:val="none"/>
                <w:lang w:val="en-US" w:eastAsia="zh-CN" w:bidi="ar"/>
              </w:rPr>
              <w:t>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政保合作</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w:t>
            </w:r>
            <w:r>
              <w:rPr>
                <w:rFonts w:hint="eastAsia" w:ascii="宋体" w:hAnsi="宋体" w:cs="宋体"/>
                <w:i w:val="0"/>
                <w:iCs w:val="0"/>
                <w:color w:val="auto"/>
                <w:kern w:val="0"/>
                <w:sz w:val="21"/>
                <w:szCs w:val="21"/>
                <w:highlight w:val="none"/>
                <w:u w:val="none"/>
                <w:lang w:val="en-US" w:eastAsia="zh-CN" w:bidi="ar"/>
              </w:rPr>
              <w:t>人</w:t>
            </w:r>
            <w:r>
              <w:rPr>
                <w:rFonts w:hint="eastAsia" w:ascii="宋体" w:hAnsi="宋体" w:eastAsia="宋体" w:cs="宋体"/>
                <w:i w:val="0"/>
                <w:iCs w:val="0"/>
                <w:color w:val="auto"/>
                <w:kern w:val="0"/>
                <w:sz w:val="21"/>
                <w:szCs w:val="21"/>
                <w:highlight w:val="none"/>
                <w:u w:val="none"/>
                <w:lang w:val="en-US" w:eastAsia="zh-CN" w:bidi="ar"/>
              </w:rPr>
              <w:t>与政府部门</w:t>
            </w:r>
            <w:r>
              <w:rPr>
                <w:rFonts w:hint="eastAsia" w:ascii="宋体" w:hAnsi="宋体" w:cs="宋体"/>
                <w:i w:val="0"/>
                <w:iCs w:val="0"/>
                <w:color w:val="auto"/>
                <w:kern w:val="0"/>
                <w:sz w:val="21"/>
                <w:szCs w:val="21"/>
                <w:highlight w:val="none"/>
                <w:u w:val="none"/>
                <w:lang w:val="en-US" w:eastAsia="zh-CN" w:bidi="ar"/>
              </w:rPr>
              <w:t>自</w:t>
            </w:r>
            <w:r>
              <w:rPr>
                <w:rFonts w:hint="eastAsia" w:ascii="宋体" w:hAnsi="宋体" w:eastAsia="宋体" w:cs="宋体"/>
                <w:i w:val="0"/>
                <w:iCs w:val="0"/>
                <w:color w:val="auto"/>
                <w:kern w:val="0"/>
                <w:sz w:val="21"/>
                <w:szCs w:val="21"/>
                <w:highlight w:val="none"/>
                <w:u w:val="none"/>
                <w:lang w:val="en-US" w:eastAsia="zh-CN" w:bidi="ar"/>
              </w:rPr>
              <w:t>2018-2020年</w:t>
            </w:r>
            <w:r>
              <w:rPr>
                <w:rFonts w:hint="eastAsia" w:ascii="宋体" w:hAnsi="宋体" w:cs="宋体"/>
                <w:i w:val="0"/>
                <w:iCs w:val="0"/>
                <w:color w:val="auto"/>
                <w:kern w:val="0"/>
                <w:sz w:val="21"/>
                <w:szCs w:val="21"/>
                <w:highlight w:val="none"/>
                <w:u w:val="none"/>
                <w:lang w:val="en-US" w:eastAsia="zh-CN" w:bidi="ar"/>
              </w:rPr>
              <w:t>，有</w:t>
            </w:r>
            <w:r>
              <w:rPr>
                <w:rFonts w:hint="eastAsia"/>
                <w:color w:val="auto"/>
                <w:highlight w:val="none"/>
                <w:lang w:val="en-US" w:eastAsia="zh-CN"/>
              </w:rPr>
              <w:t>与</w:t>
            </w:r>
            <w:r>
              <w:rPr>
                <w:rFonts w:hint="eastAsia" w:ascii="宋体" w:hAnsi="宋体" w:cs="宋体"/>
                <w:i w:val="0"/>
                <w:iCs w:val="0"/>
                <w:color w:val="auto"/>
                <w:kern w:val="0"/>
                <w:sz w:val="21"/>
                <w:szCs w:val="21"/>
                <w:highlight w:val="none"/>
                <w:u w:val="none"/>
                <w:lang w:val="en-US" w:eastAsia="zh-CN" w:bidi="ar"/>
              </w:rPr>
              <w:t>本项目相关</w:t>
            </w:r>
            <w:r>
              <w:rPr>
                <w:rFonts w:hint="eastAsia" w:ascii="宋体" w:hAnsi="宋体" w:eastAsia="宋体" w:cs="宋体"/>
                <w:i w:val="0"/>
                <w:iCs w:val="0"/>
                <w:color w:val="auto"/>
                <w:kern w:val="0"/>
                <w:sz w:val="21"/>
                <w:szCs w:val="21"/>
                <w:highlight w:val="none"/>
                <w:u w:val="none"/>
                <w:lang w:val="en-US" w:eastAsia="zh-CN" w:bidi="ar"/>
              </w:rPr>
              <w:t>领域合作项目，每个得0.3分。累计得分最高3分。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w:t>
            </w:r>
            <w:r>
              <w:rPr>
                <w:rFonts w:hint="eastAsia" w:ascii="宋体" w:hAnsi="宋体" w:cs="宋体"/>
                <w:i w:val="0"/>
                <w:iCs w:val="0"/>
                <w:color w:val="auto"/>
                <w:kern w:val="0"/>
                <w:sz w:val="21"/>
                <w:szCs w:val="21"/>
                <w:highlight w:val="none"/>
                <w:u w:val="none"/>
                <w:lang w:val="en-US" w:eastAsia="zh-CN" w:bidi="ar"/>
              </w:rPr>
              <w:t>合同及相关</w:t>
            </w:r>
            <w:r>
              <w:rPr>
                <w:rFonts w:hint="eastAsia" w:ascii="宋体" w:hAnsi="宋体" w:eastAsia="宋体" w:cs="宋体"/>
                <w:i w:val="0"/>
                <w:iCs w:val="0"/>
                <w:color w:val="auto"/>
                <w:kern w:val="0"/>
                <w:sz w:val="21"/>
                <w:szCs w:val="21"/>
                <w:highlight w:val="none"/>
                <w:u w:val="none"/>
                <w:lang w:val="en-US" w:eastAsia="zh-CN" w:bidi="ar"/>
              </w:rPr>
              <w:t>证明材料</w:t>
            </w:r>
            <w:r>
              <w:rPr>
                <w:rFonts w:hint="eastAsia" w:ascii="宋体" w:hAnsi="宋体" w:cs="宋体"/>
                <w:i w:val="0"/>
                <w:iCs w:val="0"/>
                <w:color w:val="auto"/>
                <w:kern w:val="0"/>
                <w:sz w:val="21"/>
                <w:szCs w:val="21"/>
                <w:highlight w:val="none"/>
                <w:u w:val="none"/>
                <w:lang w:val="en-US" w:eastAsia="zh-CN" w:bidi="ar"/>
              </w:rPr>
              <w:t>的原件扫描件）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4"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服务方案</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围绕科学管理、优质服务、审核监督、网络建设、紧密配合、成本预算、人员配备、人员培训等方面，设计本项目的实施方案。根据方案完整、优化、合理、可操作程度等情况，进行分档评分：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①方案符合采购人需求、详实、内容新颖、操作性强的给10-6.1分；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②方案合理、内容完整、可操作的给6-2.1分；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③方案粗糙、内容缺漏、操作性差的给 2-0分。</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（需进行线上方案讲解，阐述时间不超过5分钟）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投诉情况</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以</w:t>
            </w:r>
            <w:r>
              <w:rPr>
                <w:rFonts w:hint="eastAsia" w:ascii="宋体" w:hAnsi="宋体" w:eastAsia="宋体" w:cs="宋体"/>
                <w:i w:val="0"/>
                <w:iCs w:val="0"/>
                <w:color w:val="auto"/>
                <w:kern w:val="0"/>
                <w:sz w:val="21"/>
                <w:szCs w:val="21"/>
                <w:highlight w:val="none"/>
                <w:u w:val="none"/>
                <w:lang w:val="en-US" w:eastAsia="zh-CN" w:bidi="ar"/>
              </w:rPr>
              <w:t>投</w:t>
            </w:r>
            <w:r>
              <w:rPr>
                <w:rFonts w:hint="eastAsia" w:ascii="宋体" w:hAnsi="宋体" w:cs="宋体"/>
                <w:i w:val="0"/>
                <w:iCs w:val="0"/>
                <w:color w:val="auto"/>
                <w:kern w:val="0"/>
                <w:sz w:val="21"/>
                <w:szCs w:val="21"/>
                <w:highlight w:val="none"/>
                <w:u w:val="none"/>
                <w:lang w:val="en-US" w:eastAsia="zh-CN" w:bidi="ar"/>
              </w:rPr>
              <w:t>标人</w:t>
            </w:r>
            <w:r>
              <w:rPr>
                <w:rFonts w:hint="eastAsia" w:ascii="宋体" w:hAnsi="宋体" w:cs="宋体"/>
                <w:i w:val="0"/>
                <w:iCs w:val="0"/>
                <w:strike w:val="0"/>
                <w:dstrike w:val="0"/>
                <w:color w:val="auto"/>
                <w:kern w:val="0"/>
                <w:sz w:val="21"/>
                <w:szCs w:val="21"/>
                <w:highlight w:val="none"/>
                <w:u w:val="none"/>
                <w:lang w:val="en-US" w:eastAsia="zh-CN" w:bidi="ar"/>
              </w:rPr>
              <w:t>总公司</w:t>
            </w:r>
            <w:r>
              <w:rPr>
                <w:rFonts w:hint="default" w:ascii="宋体" w:hAnsi="宋体" w:eastAsia="宋体" w:cs="宋体"/>
                <w:i w:val="0"/>
                <w:iCs w:val="0"/>
                <w:color w:val="auto"/>
                <w:kern w:val="0"/>
                <w:sz w:val="21"/>
                <w:szCs w:val="21"/>
                <w:highlight w:val="none"/>
                <w:u w:val="none"/>
                <w:lang w:val="en-US" w:eastAsia="zh-CN" w:bidi="ar"/>
              </w:rPr>
              <w:t>202</w:t>
            </w:r>
            <w:r>
              <w:rPr>
                <w:rFonts w:hint="eastAsia" w:ascii="宋体" w:hAnsi="宋体" w:cs="宋体"/>
                <w:i w:val="0"/>
                <w:iCs w:val="0"/>
                <w:color w:val="auto"/>
                <w:kern w:val="0"/>
                <w:sz w:val="21"/>
                <w:szCs w:val="21"/>
                <w:highlight w:val="none"/>
                <w:u w:val="none"/>
                <w:lang w:val="en-US" w:eastAsia="zh-CN" w:bidi="ar"/>
              </w:rPr>
              <w:t>1</w:t>
            </w:r>
            <w:r>
              <w:rPr>
                <w:rFonts w:hint="default" w:ascii="宋体" w:hAnsi="宋体" w:eastAsia="宋体" w:cs="宋体"/>
                <w:i w:val="0"/>
                <w:iCs w:val="0"/>
                <w:color w:val="auto"/>
                <w:kern w:val="0"/>
                <w:sz w:val="21"/>
                <w:szCs w:val="21"/>
                <w:highlight w:val="none"/>
                <w:u w:val="none"/>
                <w:lang w:val="en-US" w:eastAsia="zh-CN" w:bidi="ar"/>
              </w:rPr>
              <w:t>年</w:t>
            </w:r>
            <w:r>
              <w:rPr>
                <w:rFonts w:hint="eastAsia" w:ascii="宋体" w:hAnsi="宋体" w:eastAsia="宋体" w:cs="宋体"/>
                <w:i w:val="0"/>
                <w:iCs w:val="0"/>
                <w:color w:val="auto"/>
                <w:kern w:val="0"/>
                <w:sz w:val="21"/>
                <w:szCs w:val="21"/>
                <w:highlight w:val="none"/>
                <w:u w:val="none"/>
                <w:lang w:val="en-US" w:eastAsia="zh-CN" w:bidi="ar"/>
              </w:rPr>
              <w:t>中国银保监会公布的保险消费万张保单投诉量（</w:t>
            </w:r>
            <w:r>
              <w:rPr>
                <w:rFonts w:hint="eastAsia" w:ascii="宋体" w:hAnsi="宋体" w:cs="宋体"/>
                <w:i w:val="0"/>
                <w:iCs w:val="0"/>
                <w:color w:val="auto"/>
                <w:kern w:val="0"/>
                <w:sz w:val="21"/>
                <w:szCs w:val="21"/>
                <w:highlight w:val="none"/>
                <w:u w:val="none"/>
                <w:lang w:val="en-US" w:eastAsia="zh-CN" w:bidi="ar"/>
              </w:rPr>
              <w:t>前三季度汇总</w:t>
            </w:r>
            <w:r>
              <w:rPr>
                <w:rFonts w:hint="eastAsia" w:ascii="宋体" w:hAnsi="宋体" w:eastAsia="宋体" w:cs="宋体"/>
                <w:i w:val="0"/>
                <w:iCs w:val="0"/>
                <w:color w:val="auto"/>
                <w:kern w:val="0"/>
                <w:sz w:val="21"/>
                <w:szCs w:val="21"/>
                <w:highlight w:val="none"/>
                <w:u w:val="none"/>
                <w:lang w:val="en-US" w:eastAsia="zh-CN" w:bidi="ar"/>
              </w:rPr>
              <w:t>）按低到高顺序排名，第一名得4分，每下降一名扣0.5分。（财产险、人身险分序列排名</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提供银保监部门</w:t>
            </w:r>
            <w:r>
              <w:rPr>
                <w:rFonts w:hint="eastAsia" w:ascii="宋体" w:hAnsi="宋体" w:cs="宋体"/>
                <w:i w:val="0"/>
                <w:iCs w:val="0"/>
                <w:color w:val="auto"/>
                <w:kern w:val="0"/>
                <w:sz w:val="21"/>
                <w:szCs w:val="21"/>
                <w:highlight w:val="none"/>
                <w:u w:val="none"/>
                <w:lang w:val="en-US" w:eastAsia="zh-CN" w:bidi="ar"/>
              </w:rPr>
              <w:t>数据</w:t>
            </w:r>
            <w:r>
              <w:rPr>
                <w:rFonts w:hint="eastAsia" w:ascii="宋体" w:hAnsi="宋体" w:eastAsia="宋体" w:cs="宋体"/>
                <w:i w:val="0"/>
                <w:iCs w:val="0"/>
                <w:color w:val="auto"/>
                <w:kern w:val="0"/>
                <w:sz w:val="21"/>
                <w:szCs w:val="21"/>
                <w:highlight w:val="none"/>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清算管理</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1.承诺每月15日前赔付大病费用（1分）；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2.承诺每年5月31日前完成上一年度大病清算（1分）；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3.承诺负责处理在清算时点2022年5月31日后，受理上一轮承保合同期内发生的大病保险费用，纳入本轮承保赔付支出（1分）。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服务延伸</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auto"/>
                <w:lang w:val="en-US" w:eastAsia="zh-CN"/>
              </w:rPr>
            </w:pPr>
            <w:r>
              <w:rPr>
                <w:rFonts w:hint="eastAsia"/>
                <w:color w:val="auto"/>
                <w:lang w:val="en-US" w:eastAsia="zh-CN"/>
              </w:rPr>
              <w:t>承诺提供其它针对医保及参保人员增值服务的(如在偏远乡镇设立服务站点或提供定期巡回赔付服务），根据增值服务方案切实科学性、合理性、可操作性，进行分档评分：</w:t>
            </w:r>
            <w:r>
              <w:rPr>
                <w:rFonts w:hint="eastAsia"/>
                <w:color w:val="auto"/>
                <w:lang w:val="en-US" w:eastAsia="zh-CN"/>
              </w:rPr>
              <w:br w:type="textWrapping"/>
            </w:r>
            <w:r>
              <w:rPr>
                <w:rFonts w:hint="eastAsia"/>
                <w:color w:val="auto"/>
                <w:lang w:val="en-US" w:eastAsia="zh-CN"/>
              </w:rPr>
              <w:t>①方案符合采购人需求、详实、内容新颖、操作性强的给3-2.1分；</w:t>
            </w:r>
            <w:r>
              <w:rPr>
                <w:rFonts w:hint="eastAsia"/>
                <w:color w:val="auto"/>
                <w:lang w:val="en-US" w:eastAsia="zh-CN"/>
              </w:rPr>
              <w:br w:type="textWrapping"/>
            </w:r>
            <w:r>
              <w:rPr>
                <w:rFonts w:hint="eastAsia"/>
                <w:color w:val="auto"/>
                <w:lang w:val="en-US" w:eastAsia="zh-CN"/>
              </w:rPr>
              <w:t>②</w:t>
            </w:r>
            <w:r>
              <w:rPr>
                <w:rFonts w:hint="eastAsia" w:eastAsia="宋体"/>
                <w:color w:val="auto"/>
                <w:lang w:val="en-US" w:eastAsia="zh-CN"/>
              </w:rPr>
              <w:t>方案合理、内容完整、可操作的给2-1.1分；</w:t>
            </w:r>
            <w:r>
              <w:rPr>
                <w:rFonts w:hint="eastAsia" w:eastAsia="宋体"/>
                <w:color w:val="auto"/>
                <w:lang w:val="en-US" w:eastAsia="zh-CN"/>
              </w:rPr>
              <w:br w:type="textWrapping"/>
            </w:r>
            <w:r>
              <w:rPr>
                <w:rFonts w:hint="eastAsia" w:eastAsia="宋体"/>
                <w:color w:val="auto"/>
                <w:lang w:val="en-US" w:eastAsia="zh-CN"/>
              </w:rPr>
              <w:t>③方案粗糙、内容缺漏、操作性差的给 1-0分。</w:t>
            </w:r>
          </w:p>
          <w:p>
            <w:pPr>
              <w:keepNext w:val="0"/>
              <w:keepLines w:val="0"/>
              <w:widowControl/>
              <w:suppressLineNumbers w:val="0"/>
              <w:jc w:val="left"/>
              <w:textAlignment w:val="center"/>
              <w:rPr>
                <w:rFonts w:hint="eastAsia"/>
                <w:b/>
                <w:bCs/>
                <w:color w:val="auto"/>
              </w:rPr>
            </w:pPr>
            <w:r>
              <w:rPr>
                <w:rFonts w:hint="eastAsia" w:ascii="宋体" w:hAnsi="宋体" w:eastAsia="宋体" w:cs="宋体"/>
                <w:b/>
                <w:bCs/>
                <w:i w:val="0"/>
                <w:iCs w:val="0"/>
                <w:color w:val="auto"/>
                <w:kern w:val="0"/>
                <w:sz w:val="21"/>
                <w:szCs w:val="21"/>
                <w:u w:val="none"/>
                <w:lang w:val="en-US" w:eastAsia="zh-CN" w:bidi="ar"/>
              </w:rPr>
              <w:t>（需进行</w:t>
            </w:r>
            <w:r>
              <w:rPr>
                <w:rFonts w:hint="eastAsia" w:ascii="宋体" w:hAnsi="宋体" w:cs="宋体"/>
                <w:b/>
                <w:bCs/>
                <w:i w:val="0"/>
                <w:iCs w:val="0"/>
                <w:color w:val="auto"/>
                <w:kern w:val="0"/>
                <w:sz w:val="21"/>
                <w:szCs w:val="21"/>
                <w:u w:val="none"/>
                <w:lang w:val="en-US" w:eastAsia="zh-CN" w:bidi="ar"/>
              </w:rPr>
              <w:t>线上</w:t>
            </w:r>
            <w:r>
              <w:rPr>
                <w:rFonts w:hint="eastAsia" w:ascii="宋体" w:hAnsi="宋体" w:eastAsia="宋体" w:cs="宋体"/>
                <w:b/>
                <w:bCs/>
                <w:i w:val="0"/>
                <w:iCs w:val="0"/>
                <w:color w:val="auto"/>
                <w:kern w:val="0"/>
                <w:sz w:val="21"/>
                <w:szCs w:val="21"/>
                <w:u w:val="none"/>
                <w:lang w:val="en-US" w:eastAsia="zh-CN" w:bidi="ar"/>
              </w:rPr>
              <w:t>方案讲解，阐述时间不超过3分钟）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特色服务</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w:t>
            </w:r>
            <w:r>
              <w:rPr>
                <w:rFonts w:hint="eastAsia" w:ascii="宋体" w:hAnsi="宋体" w:cs="宋体"/>
                <w:i w:val="0"/>
                <w:iCs w:val="0"/>
                <w:color w:val="auto"/>
                <w:kern w:val="0"/>
                <w:sz w:val="21"/>
                <w:szCs w:val="21"/>
                <w:u w:val="none"/>
                <w:lang w:val="en-US" w:eastAsia="zh-CN" w:bidi="ar"/>
              </w:rPr>
              <w:t>人</w:t>
            </w:r>
            <w:r>
              <w:rPr>
                <w:rFonts w:hint="eastAsia" w:ascii="宋体" w:hAnsi="宋体" w:eastAsia="宋体" w:cs="宋体"/>
                <w:i w:val="0"/>
                <w:iCs w:val="0"/>
                <w:color w:val="auto"/>
                <w:kern w:val="0"/>
                <w:sz w:val="21"/>
                <w:szCs w:val="21"/>
                <w:u w:val="none"/>
                <w:lang w:val="en-US" w:eastAsia="zh-CN" w:bidi="ar"/>
              </w:rPr>
              <w:t>针对大病保险参保人员或理赔对象制定特色服务方案，承诺对年度赔付超1万元的参保人进行电话回访、超5万元的参保人进行上门慰问的得3分。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设备保障</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根据投标人配备的理赔勘查、审核管控需要的自有车辆（至少10辆，每辆行驶里程要求在10万公里以内）和相应的设备的情况进行打分，最高得</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分。（需提供车辆行驶证，行驶里程表照片，车辆保险凭证，所有复印件资料加盖参加竞标的保险公司公章）。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jc w:val="center"/>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风险控制（21分）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核查方案</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出具详细的医保核查监管方案，具有有效措施做到事前预防，事中监督，事后稽核，控制查处不合理医疗费用。根据承诺采取的核查手段的科学性、合理性、可操作性，进行分档评分：</w:t>
            </w:r>
            <w:r>
              <w:rPr>
                <w:rFonts w:hint="eastAsia"/>
                <w:color w:val="auto"/>
                <w:lang w:val="en-US" w:eastAsia="zh-CN"/>
              </w:rPr>
              <w:br w:type="textWrapping"/>
            </w:r>
            <w:r>
              <w:rPr>
                <w:rFonts w:hint="eastAsia"/>
                <w:color w:val="auto"/>
                <w:lang w:val="en-US" w:eastAsia="zh-CN"/>
              </w:rPr>
              <w:t>①方案符合采购人需求、详实、内容新颖、操作性强的给6-4.1分；</w:t>
            </w:r>
            <w:r>
              <w:rPr>
                <w:rFonts w:hint="eastAsia"/>
                <w:color w:val="auto"/>
                <w:lang w:val="en-US" w:eastAsia="zh-CN"/>
              </w:rPr>
              <w:br w:type="textWrapping"/>
            </w:r>
            <w:r>
              <w:rPr>
                <w:rFonts w:hint="eastAsia"/>
                <w:color w:val="auto"/>
                <w:lang w:val="en-US" w:eastAsia="zh-CN"/>
              </w:rPr>
              <w:t>②方案合理、内容完整、可操作的给4-2.1分；</w:t>
            </w:r>
            <w:r>
              <w:rPr>
                <w:rFonts w:hint="eastAsia"/>
                <w:color w:val="auto"/>
                <w:lang w:val="en-US" w:eastAsia="zh-CN"/>
              </w:rPr>
              <w:br w:type="textWrapping"/>
            </w:r>
            <w:r>
              <w:rPr>
                <w:rFonts w:hint="eastAsia"/>
                <w:color w:val="auto"/>
                <w:lang w:val="en-US" w:eastAsia="zh-CN"/>
              </w:rPr>
              <w:t>③方案粗糙、内容缺漏、操作性差的给 2-0分。</w:t>
            </w:r>
          </w:p>
          <w:p>
            <w:pPr>
              <w:pStyle w:val="10"/>
              <w:bidi w:val="0"/>
              <w:rPr>
                <w:rFonts w:hint="eastAsia"/>
                <w:color w:val="auto"/>
              </w:rPr>
            </w:pPr>
            <w:r>
              <w:rPr>
                <w:rFonts w:hint="eastAsia" w:ascii="宋体" w:hAnsi="宋体" w:eastAsia="宋体" w:cs="宋体"/>
                <w:b/>
                <w:bCs/>
                <w:i w:val="0"/>
                <w:iCs w:val="0"/>
                <w:color w:val="auto"/>
                <w:kern w:val="0"/>
                <w:sz w:val="21"/>
                <w:szCs w:val="21"/>
                <w:u w:val="none"/>
                <w:lang w:val="en-US" w:eastAsia="zh-CN" w:bidi="ar"/>
              </w:rPr>
              <w:t>（需进行</w:t>
            </w:r>
            <w:r>
              <w:rPr>
                <w:rFonts w:hint="eastAsia" w:ascii="宋体" w:hAnsi="宋体" w:cs="宋体"/>
                <w:b/>
                <w:bCs/>
                <w:i w:val="0"/>
                <w:iCs w:val="0"/>
                <w:color w:val="auto"/>
                <w:kern w:val="0"/>
                <w:sz w:val="21"/>
                <w:szCs w:val="21"/>
                <w:u w:val="none"/>
                <w:lang w:val="en-US" w:eastAsia="zh-CN" w:bidi="ar"/>
              </w:rPr>
              <w:t>线上</w:t>
            </w:r>
            <w:r>
              <w:rPr>
                <w:rFonts w:hint="eastAsia" w:ascii="宋体" w:hAnsi="宋体" w:eastAsia="宋体" w:cs="宋体"/>
                <w:b/>
                <w:bCs/>
                <w:i w:val="0"/>
                <w:iCs w:val="0"/>
                <w:color w:val="auto"/>
                <w:kern w:val="0"/>
                <w:sz w:val="21"/>
                <w:szCs w:val="21"/>
                <w:u w:val="none"/>
                <w:lang w:val="en-US" w:eastAsia="zh-CN" w:bidi="ar"/>
              </w:rPr>
              <w:t>方案讲解，阐述时间不超过5分钟）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核查比例</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1.承诺配合医保部门开展稽核、监督等工作，大病保险赔付案件核查率不低于 30%,单次医疗费用在 3 万元以上的稽核率不低于 80%（2.5分）。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2.承诺对大病保险年度赔付前100名案件全部进行核查，赔付超5万元的要进行标注跟踪、实时核查；对意外伤害案件全部进行核查（2.5分）。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5"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协助开展基金监管、运行分析</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承诺组建医疗保障第三方监管中心（20人）和引入第三方大数据监管公司，协助采购人提高医保基金管理能力，加强对定点医药机构监督。开展医保基金、大病、慢病分析，同时保证医保数据的安全。根据方案可行性、内容是否详细、全面、合理、有效进行评价，进行分档评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①方案符合采购人需求、详实、内容新颖、操作性强的给6-4.1分；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②方案合理、内容完整、可操作的给4-2.1分；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③方案粗糙、内容缺漏、操作性差的给 2-0分。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承诺的得相应分数，不承诺的不得分。</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（需进行线上方案讲解，阐述时间不超过5分钟）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上级公司承担风险承诺</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参加竞标的保险公司的上级公司承诺当参加竞标的保险公司无能力支付赔偿金额时由上级公司承担赔偿责任的得4分（提供上级公司承诺文件）。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jc w:val="center"/>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专业水平（1</w:t>
            </w:r>
            <w:r>
              <w:rPr>
                <w:rFonts w:hint="eastAsia" w:ascii="宋体" w:hAnsi="宋体" w:cs="宋体"/>
                <w:b/>
                <w:bCs/>
                <w:i w:val="0"/>
                <w:iCs w:val="0"/>
                <w:color w:val="000000"/>
                <w:kern w:val="0"/>
                <w:sz w:val="21"/>
                <w:szCs w:val="21"/>
                <w:u w:val="none"/>
                <w:lang w:val="en-US" w:eastAsia="zh-CN" w:bidi="ar"/>
              </w:rPr>
              <w:t>8</w:t>
            </w:r>
            <w:r>
              <w:rPr>
                <w:rFonts w:hint="eastAsia" w:ascii="宋体" w:hAnsi="宋体" w:eastAsia="宋体" w:cs="宋体"/>
                <w:b/>
                <w:bCs/>
                <w:i w:val="0"/>
                <w:iCs w:val="0"/>
                <w:color w:val="000000"/>
                <w:kern w:val="0"/>
                <w:sz w:val="21"/>
                <w:szCs w:val="21"/>
                <w:u w:val="none"/>
                <w:lang w:val="en-US" w:eastAsia="zh-CN" w:bidi="ar"/>
              </w:rPr>
              <w:t>分）</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专业人员配备</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承诺为本项目配备140名经办专业人员（以社会保障、财务、医（药）学、信息技术等相关专业人员为主，学历为专科及以上）得</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分，每少一名扣0.1分，扣完为止。</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其中配备</w:t>
            </w:r>
            <w:r>
              <w:rPr>
                <w:rFonts w:hint="eastAsia" w:ascii="宋体" w:hAnsi="宋体" w:eastAsia="宋体" w:cs="宋体"/>
                <w:i w:val="0"/>
                <w:iCs w:val="0"/>
                <w:color w:val="auto"/>
                <w:kern w:val="0"/>
                <w:sz w:val="21"/>
                <w:szCs w:val="21"/>
                <w:highlight w:val="none"/>
                <w:u w:val="none"/>
                <w:lang w:val="en-US" w:eastAsia="zh-CN" w:bidi="ar"/>
              </w:rPr>
              <w:t>医（药）学相关专业不少于</w:t>
            </w:r>
            <w:r>
              <w:rPr>
                <w:rFonts w:hint="eastAsia" w:ascii="宋体" w:hAnsi="宋体" w:cs="宋体"/>
                <w:i w:val="0"/>
                <w:iCs w:val="0"/>
                <w:color w:val="auto"/>
                <w:kern w:val="0"/>
                <w:sz w:val="21"/>
                <w:szCs w:val="21"/>
                <w:highlight w:val="none"/>
                <w:u w:val="none"/>
                <w:lang w:val="en-US" w:eastAsia="zh-CN" w:bidi="ar"/>
              </w:rPr>
              <w:t>40</w:t>
            </w:r>
            <w:r>
              <w:rPr>
                <w:rFonts w:hint="eastAsia" w:ascii="宋体" w:hAnsi="宋体" w:eastAsia="宋体" w:cs="宋体"/>
                <w:i w:val="0"/>
                <w:iCs w:val="0"/>
                <w:color w:val="auto"/>
                <w:kern w:val="0"/>
                <w:sz w:val="21"/>
                <w:szCs w:val="21"/>
                <w:highlight w:val="none"/>
                <w:u w:val="none"/>
                <w:lang w:val="en-US" w:eastAsia="zh-CN" w:bidi="ar"/>
              </w:rPr>
              <w:t>人</w:t>
            </w:r>
            <w:r>
              <w:rPr>
                <w:rFonts w:hint="eastAsia" w:ascii="宋体" w:hAnsi="宋体" w:eastAsia="宋体" w:cs="宋体"/>
                <w:i w:val="0"/>
                <w:iCs w:val="0"/>
                <w:strike w:val="0"/>
                <w:dstrike w:val="0"/>
                <w:color w:val="auto"/>
                <w:kern w:val="0"/>
                <w:sz w:val="21"/>
                <w:szCs w:val="21"/>
                <w:highlight w:val="none"/>
                <w:u w:val="none"/>
                <w:lang w:val="en-US" w:eastAsia="zh-CN" w:bidi="ar"/>
              </w:rPr>
              <w:t>（提供</w:t>
            </w:r>
            <w:r>
              <w:rPr>
                <w:rFonts w:hint="eastAsia" w:ascii="宋体" w:hAnsi="宋体" w:cs="宋体"/>
                <w:i w:val="0"/>
                <w:iCs w:val="0"/>
                <w:strike w:val="0"/>
                <w:dstrike w:val="0"/>
                <w:color w:val="auto"/>
                <w:kern w:val="0"/>
                <w:sz w:val="21"/>
                <w:szCs w:val="21"/>
                <w:highlight w:val="none"/>
                <w:u w:val="none"/>
                <w:lang w:val="en-US" w:eastAsia="zh-CN" w:bidi="ar"/>
              </w:rPr>
              <w:t>至少20</w:t>
            </w:r>
            <w:r>
              <w:rPr>
                <w:rFonts w:hint="eastAsia" w:ascii="宋体" w:hAnsi="宋体" w:eastAsia="宋体" w:cs="宋体"/>
                <w:i w:val="0"/>
                <w:iCs w:val="0"/>
                <w:strike w:val="0"/>
                <w:dstrike w:val="0"/>
                <w:color w:val="auto"/>
                <w:kern w:val="0"/>
                <w:sz w:val="21"/>
                <w:szCs w:val="21"/>
                <w:highlight w:val="none"/>
                <w:u w:val="none"/>
                <w:lang w:val="en-US" w:eastAsia="zh-CN" w:bidi="ar"/>
              </w:rPr>
              <w:t>人的毕业证书原件和2021年10月在投标单位及下属公司的参保证明，不提供的不得分）</w:t>
            </w:r>
            <w:r>
              <w:rPr>
                <w:rFonts w:hint="eastAsia" w:ascii="宋体" w:hAnsi="宋体" w:eastAsia="宋体" w:cs="宋体"/>
                <w:i w:val="0"/>
                <w:iCs w:val="0"/>
                <w:color w:val="auto"/>
                <w:kern w:val="0"/>
                <w:sz w:val="21"/>
                <w:szCs w:val="21"/>
                <w:highlight w:val="none"/>
                <w:u w:val="none"/>
                <w:lang w:val="en-US" w:eastAsia="zh-CN" w:bidi="ar"/>
              </w:rPr>
              <w:t>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分，每少一名扣0.15分，扣完为止。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承诺额外</w:t>
            </w:r>
            <w:r>
              <w:rPr>
                <w:rFonts w:hint="eastAsia" w:ascii="宋体" w:hAnsi="宋体" w:eastAsia="宋体" w:cs="宋体"/>
                <w:i w:val="0"/>
                <w:iCs w:val="0"/>
                <w:color w:val="auto"/>
                <w:kern w:val="0"/>
                <w:sz w:val="21"/>
                <w:szCs w:val="21"/>
                <w:u w:val="none"/>
                <w:lang w:val="en-US" w:eastAsia="zh-CN" w:bidi="ar"/>
              </w:rPr>
              <w:t>为市级医保中心配备并长期派驻大病保险项目管理团队得1分。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4"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绩效考评</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建立科学、先进的对经办专业人员进行系统绩效评价、作业管理、培训管理、薪酬管理系统，根据绩效考评方案切实科学性、合理性、可操作性，进行分档评分（阐述时间不超过3分钟）：</w:t>
            </w:r>
            <w:r>
              <w:rPr>
                <w:rFonts w:hint="eastAsia"/>
                <w:color w:val="auto"/>
                <w:lang w:val="en-US" w:eastAsia="zh-CN"/>
              </w:rPr>
              <w:br w:type="textWrapping"/>
            </w:r>
            <w:r>
              <w:rPr>
                <w:rFonts w:hint="eastAsia"/>
                <w:color w:val="auto"/>
                <w:lang w:val="en-US" w:eastAsia="zh-CN"/>
              </w:rPr>
              <w:t>①方案符合采购人需求、详实、内容新颖、操作性强的给6-4.1分；</w:t>
            </w:r>
            <w:r>
              <w:rPr>
                <w:rFonts w:hint="eastAsia"/>
                <w:color w:val="auto"/>
                <w:lang w:val="en-US" w:eastAsia="zh-CN"/>
              </w:rPr>
              <w:br w:type="textWrapping"/>
            </w:r>
            <w:r>
              <w:rPr>
                <w:rFonts w:hint="eastAsia"/>
                <w:color w:val="auto"/>
                <w:lang w:val="en-US" w:eastAsia="zh-CN"/>
              </w:rPr>
              <w:t>②方案合理、内容完整、可操作的给4-2.1分；</w:t>
            </w:r>
            <w:r>
              <w:rPr>
                <w:rFonts w:hint="eastAsia"/>
                <w:color w:val="auto"/>
                <w:lang w:val="en-US" w:eastAsia="zh-CN"/>
              </w:rPr>
              <w:br w:type="textWrapping"/>
            </w:r>
            <w:r>
              <w:rPr>
                <w:rFonts w:hint="eastAsia"/>
                <w:color w:val="auto"/>
                <w:lang w:val="en-US" w:eastAsia="zh-CN"/>
              </w:rPr>
              <w:t>③方案粗糙、内容缺漏、操作性差的给2-0分。</w:t>
            </w:r>
          </w:p>
          <w:p>
            <w:pPr>
              <w:pStyle w:val="10"/>
              <w:bidi w:val="0"/>
              <w:rPr>
                <w:rFonts w:hint="eastAsia"/>
                <w:color w:val="auto"/>
              </w:rPr>
            </w:pPr>
            <w:r>
              <w:rPr>
                <w:rFonts w:hint="eastAsia" w:ascii="宋体" w:hAnsi="宋体" w:eastAsia="宋体" w:cs="宋体"/>
                <w:b/>
                <w:bCs/>
                <w:i w:val="0"/>
                <w:iCs w:val="0"/>
                <w:color w:val="auto"/>
                <w:kern w:val="0"/>
                <w:sz w:val="21"/>
                <w:szCs w:val="21"/>
                <w:u w:val="none"/>
                <w:lang w:val="en-US" w:eastAsia="zh-CN" w:bidi="ar"/>
              </w:rPr>
              <w:t>（需进行</w:t>
            </w:r>
            <w:r>
              <w:rPr>
                <w:rFonts w:hint="eastAsia" w:ascii="宋体" w:hAnsi="宋体" w:cs="宋体"/>
                <w:b/>
                <w:bCs/>
                <w:i w:val="0"/>
                <w:iCs w:val="0"/>
                <w:color w:val="auto"/>
                <w:kern w:val="0"/>
                <w:sz w:val="21"/>
                <w:szCs w:val="21"/>
                <w:u w:val="none"/>
                <w:lang w:val="en-US" w:eastAsia="zh-CN" w:bidi="ar"/>
              </w:rPr>
              <w:t>线上</w:t>
            </w:r>
            <w:r>
              <w:rPr>
                <w:rFonts w:hint="eastAsia" w:ascii="宋体" w:hAnsi="宋体" w:eastAsia="宋体" w:cs="宋体"/>
                <w:b/>
                <w:bCs/>
                <w:i w:val="0"/>
                <w:iCs w:val="0"/>
                <w:color w:val="auto"/>
                <w:kern w:val="0"/>
                <w:sz w:val="21"/>
                <w:szCs w:val="21"/>
                <w:u w:val="none"/>
                <w:lang w:val="en-US" w:eastAsia="zh-CN" w:bidi="ar"/>
              </w:rPr>
              <w:t>方案讲解，阐述时间不超过5分钟）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纠纷调解</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制定大病理赔规范和纠纷调解机制，有效控制参保人员投诉率：方案科学合理、内容完整、控制率强的给3分；方案合理、内容常规、控制率尚可的给2分；方案粗糙、内容缺漏、控制率较差的给1分。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报表测算和运行分析</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承诺理赔结算准确及时，按时上报各类报表，每个季度做好基金收支预算、结算和测算工作并出具运行分析报告得2分。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价格（15分）</w:t>
            </w:r>
          </w:p>
        </w:tc>
        <w:tc>
          <w:tcPr>
            <w:tcW w:w="7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以合格投标人有效总报价中的最低价为基准价，基准价为15分。报价得分＝（评标基准价/最终报价）×15%×100（小数点后保留2位小数）。（</w:t>
            </w:r>
            <w:r>
              <w:rPr>
                <w:rFonts w:hint="eastAsia" w:ascii="宋体" w:hAnsi="宋体" w:eastAsia="宋体" w:cs="宋体"/>
                <w:szCs w:val="21"/>
              </w:rPr>
              <w:t>注：</w:t>
            </w:r>
            <w:r>
              <w:rPr>
                <w:rFonts w:hint="eastAsia" w:ascii="宋体" w:hAnsi="宋体" w:eastAsia="宋体" w:cs="宋体"/>
              </w:rPr>
              <w:t>符合本章第七点政府采购政策的，对报价给予</w:t>
            </w:r>
            <w:r>
              <w:rPr>
                <w:rFonts w:hint="eastAsia" w:ascii="宋体" w:hAnsi="宋体" w:eastAsia="宋体" w:cs="宋体"/>
                <w:u w:val="single"/>
              </w:rPr>
              <w:t xml:space="preserve"> </w:t>
            </w:r>
            <w:r>
              <w:rPr>
                <w:rFonts w:hint="eastAsia" w:ascii="宋体" w:hAnsi="宋体" w:cs="宋体"/>
                <w:u w:val="single"/>
                <w:lang w:val="en-US" w:eastAsia="zh-CN"/>
              </w:rPr>
              <w:t>6%</w:t>
            </w:r>
            <w:r>
              <w:rPr>
                <w:rFonts w:hint="eastAsia" w:ascii="宋体" w:hAnsi="宋体" w:eastAsia="宋体" w:cs="宋体"/>
                <w:u w:val="single"/>
              </w:rPr>
              <w:t xml:space="preserve"> </w:t>
            </w:r>
            <w:r>
              <w:rPr>
                <w:rFonts w:hint="eastAsia" w:ascii="宋体" w:hAnsi="宋体" w:eastAsia="宋体" w:cs="宋体"/>
                <w:szCs w:val="21"/>
              </w:rPr>
              <w:t>的价格扣除，用扣除后的价格参与评审。</w:t>
            </w:r>
            <w:r>
              <w:rPr>
                <w:rFonts w:hint="eastAsia" w:ascii="宋体" w:hAnsi="宋体" w:eastAsia="宋体" w:cs="宋体"/>
                <w:i w:val="0"/>
                <w:iCs w:val="0"/>
                <w:color w:val="000000"/>
                <w:kern w:val="0"/>
                <w:sz w:val="21"/>
                <w:szCs w:val="21"/>
                <w:u w:val="none"/>
                <w:lang w:val="en-US" w:eastAsia="zh-CN" w:bidi="ar"/>
              </w:rPr>
              <w:t>)</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0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2"/>
      </w:pPr>
    </w:p>
    <w:p>
      <w:pPr>
        <w:spacing w:line="360" w:lineRule="auto"/>
        <w:rPr>
          <w:rFonts w:hint="eastAsia"/>
        </w:rPr>
      </w:pPr>
      <w:r>
        <w:rPr>
          <w:rFonts w:hint="eastAsia"/>
          <w:b/>
          <w:bCs/>
        </w:rPr>
        <w:t>注</w:t>
      </w:r>
      <w:r>
        <w:rPr>
          <w:rFonts w:hint="eastAsia"/>
        </w:rPr>
        <w:t>：①请扫描上传合同、证书、报告及其他相关证明材料的原件至投标文件，并加盖公章。</w:t>
      </w:r>
    </w:p>
    <w:p>
      <w:pPr>
        <w:spacing w:line="360" w:lineRule="auto"/>
        <w:ind w:firstLine="420" w:firstLineChars="200"/>
        <w:rPr>
          <w:rFonts w:hint="eastAsia" w:ascii="宋体" w:hAnsi="宋体" w:eastAsia="宋体" w:cs="宋体"/>
          <w:i w:val="0"/>
          <w:iCs w:val="0"/>
          <w:color w:val="auto"/>
          <w:kern w:val="0"/>
          <w:sz w:val="21"/>
          <w:szCs w:val="21"/>
          <w:u w:val="none"/>
          <w:lang w:val="en-US" w:eastAsia="zh-CN" w:bidi="ar"/>
        </w:rPr>
      </w:pPr>
      <w:r>
        <w:rPr>
          <w:rFonts w:hint="eastAsia"/>
          <w:lang w:val="en-US" w:eastAsia="zh-CN"/>
        </w:rPr>
        <w:t>②以上需承诺事项，</w:t>
      </w:r>
      <w:r>
        <w:rPr>
          <w:rFonts w:hint="eastAsia" w:ascii="宋体" w:hAnsi="宋体" w:eastAsia="宋体" w:cs="宋体"/>
          <w:i w:val="0"/>
          <w:iCs w:val="0"/>
          <w:color w:val="auto"/>
          <w:kern w:val="0"/>
          <w:sz w:val="21"/>
          <w:szCs w:val="21"/>
          <w:u w:val="none"/>
          <w:lang w:val="en-US" w:eastAsia="zh-CN" w:bidi="ar"/>
        </w:rPr>
        <w:t>承诺的得相应分数，不承诺的不得分。</w:t>
      </w:r>
    </w:p>
    <w:p>
      <w:pPr>
        <w:pStyle w:val="2"/>
        <w:rPr>
          <w:rFonts w:hint="default"/>
          <w:lang w:val="en-US" w:eastAsia="zh-CN"/>
        </w:rPr>
      </w:pP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5"/>
      </w:pPr>
    </w:p>
    <w:p>
      <w:pPr>
        <w:pStyle w:val="25"/>
      </w:pPr>
    </w:p>
    <w:p>
      <w:pPr>
        <w:pStyle w:val="25"/>
      </w:pPr>
    </w:p>
    <w:p>
      <w:pPr>
        <w:rPr>
          <w:rFonts w:hint="eastAsia" w:asciiTheme="minorEastAsia" w:hAnsiTheme="minorEastAsia" w:eastAsiaTheme="minorEastAsia"/>
          <w:b/>
          <w:sz w:val="36"/>
          <w:szCs w:val="36"/>
        </w:rPr>
      </w:pPr>
      <w:bookmarkStart w:id="40" w:name="_Toc27944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0"/>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spacing w:line="360" w:lineRule="auto"/>
        <w:ind w:firstLine="480" w:firstLineChars="200"/>
        <w:rPr>
          <w:rFonts w:ascii="宋体" w:hAnsi="宋体" w:cs="宋体"/>
          <w:color w:val="auto"/>
          <w:sz w:val="24"/>
        </w:rPr>
      </w:pPr>
      <w:r>
        <w:rPr>
          <w:rFonts w:hAnsi="宋体"/>
          <w:color w:val="auto"/>
          <w:sz w:val="24"/>
        </w:rPr>
        <w:t>项目名称：</w:t>
      </w:r>
      <w:r>
        <w:rPr>
          <w:rFonts w:hint="eastAsia" w:cs="宋体"/>
          <w:b w:val="0"/>
          <w:color w:val="auto"/>
          <w:sz w:val="24"/>
          <w:szCs w:val="24"/>
        </w:rPr>
        <w:t>台州市大病保险服务业务</w:t>
      </w:r>
      <w:r>
        <w:rPr>
          <w:rFonts w:hint="eastAsia" w:ascii="宋体" w:hAnsi="宋体" w:cs="宋体"/>
          <w:color w:val="auto"/>
          <w:kern w:val="0"/>
          <w:sz w:val="24"/>
        </w:rPr>
        <w:t>项目</w:t>
      </w:r>
      <w:r>
        <w:rPr>
          <w:rFonts w:hAnsi="宋体"/>
          <w:color w:val="auto"/>
          <w:sz w:val="24"/>
        </w:rPr>
        <w:t xml:space="preserve">     项目编号：</w:t>
      </w:r>
      <w:r>
        <w:rPr>
          <w:rFonts w:hint="eastAsia" w:ascii="宋体" w:hAnsi="宋体" w:cs="宋体"/>
          <w:color w:val="auto"/>
          <w:sz w:val="24"/>
        </w:rPr>
        <w:t>TZCG-2021-GK02</w:t>
      </w:r>
      <w:r>
        <w:rPr>
          <w:rFonts w:hint="eastAsia" w:ascii="宋体" w:hAnsi="宋体" w:cs="宋体"/>
          <w:color w:val="auto"/>
          <w:sz w:val="24"/>
          <w:lang w:val="en-US" w:eastAsia="zh-CN"/>
        </w:rPr>
        <w:t>9</w:t>
      </w:r>
      <w:r>
        <w:rPr>
          <w:rFonts w:hint="eastAsia" w:asciiTheme="minorEastAsia" w:hAnsiTheme="minorEastAsia" w:eastAsiaTheme="minorEastAsia" w:cstheme="minorEastAsia"/>
          <w:color w:val="auto"/>
          <w:sz w:val="24"/>
        </w:rPr>
        <w:t>号</w:t>
      </w:r>
    </w:p>
    <w:p>
      <w:pPr>
        <w:spacing w:line="360" w:lineRule="auto"/>
        <w:rPr>
          <w:rFonts w:ascii="宋体" w:cs="宋体"/>
          <w:color w:val="auto"/>
          <w:sz w:val="24"/>
        </w:rPr>
      </w:pPr>
      <w:r>
        <w:rPr>
          <w:rFonts w:hint="eastAsia" w:ascii="宋体" w:hAnsi="宋体" w:cs="宋体"/>
          <w:color w:val="auto"/>
          <w:sz w:val="24"/>
        </w:rPr>
        <w:t>采购人（全称）：台州市</w:t>
      </w:r>
      <w:r>
        <w:rPr>
          <w:rFonts w:hint="eastAsia" w:ascii="宋体" w:hAnsi="宋体" w:cs="宋体"/>
          <w:color w:val="auto"/>
          <w:sz w:val="24"/>
          <w:lang w:eastAsia="zh-CN"/>
        </w:rPr>
        <w:t>医疗保障局</w:t>
      </w:r>
    </w:p>
    <w:p>
      <w:pPr>
        <w:spacing w:line="360" w:lineRule="auto"/>
        <w:rPr>
          <w:rFonts w:ascii="宋体" w:cs="宋体"/>
          <w:color w:val="auto"/>
          <w:sz w:val="24"/>
        </w:rPr>
      </w:pPr>
      <w:r>
        <w:rPr>
          <w:rFonts w:hint="eastAsia" w:ascii="宋体" w:hAnsi="宋体" w:cs="宋体"/>
          <w:color w:val="auto"/>
          <w:sz w:val="24"/>
        </w:rPr>
        <w:t>受托方（全称）：台州市</w:t>
      </w:r>
      <w:r>
        <w:rPr>
          <w:rFonts w:hint="eastAsia" w:ascii="宋体" w:hAnsi="宋体" w:cs="宋体"/>
          <w:color w:val="auto"/>
          <w:sz w:val="24"/>
          <w:lang w:eastAsia="zh-CN"/>
        </w:rPr>
        <w:t>医疗保险服务中心</w:t>
      </w:r>
    </w:p>
    <w:p>
      <w:pPr>
        <w:pStyle w:val="11"/>
        <w:snapToGrid w:val="0"/>
        <w:spacing w:line="360" w:lineRule="auto"/>
        <w:rPr>
          <w:rFonts w:hAnsi="宋体"/>
          <w:color w:val="auto"/>
          <w:sz w:val="24"/>
        </w:rPr>
      </w:pPr>
      <w:r>
        <w:rPr>
          <w:rFonts w:hint="eastAsia" w:ascii="宋体" w:hAnsi="宋体" w:cs="宋体"/>
          <w:color w:val="auto"/>
          <w:sz w:val="24"/>
        </w:rPr>
        <w:t>承保方（全称）：</w:t>
      </w:r>
    </w:p>
    <w:p>
      <w:pPr>
        <w:spacing w:line="360" w:lineRule="auto"/>
        <w:ind w:firstLine="480" w:firstLineChars="200"/>
        <w:rPr>
          <w:rFonts w:ascii="宋体" w:cs="宋体"/>
          <w:color w:val="auto"/>
          <w:sz w:val="24"/>
        </w:rPr>
      </w:pPr>
      <w:r>
        <w:rPr>
          <w:rFonts w:hint="eastAsia" w:ascii="宋体" w:hAnsi="宋体" w:cs="宋体"/>
          <w:color w:val="auto"/>
          <w:sz w:val="24"/>
        </w:rPr>
        <w:t>为加强和规范统一台州市大病保险服务工作，依据《中华人民共和国合同法》、《中华人民共和国政府采购法》及其他有关法律、行政法规，遵循平等、自愿、公平和诚实信用的原则，合同各方协商一致，订立本合同，由受托方代表采购人与承保方签订合同。</w:t>
      </w:r>
    </w:p>
    <w:p>
      <w:pPr>
        <w:numPr>
          <w:ilvl w:val="0"/>
          <w:numId w:val="9"/>
        </w:numPr>
        <w:spacing w:line="360" w:lineRule="auto"/>
        <w:ind w:firstLine="335" w:firstLineChars="139"/>
        <w:jc w:val="left"/>
        <w:outlineLvl w:val="0"/>
        <w:rPr>
          <w:rFonts w:ascii="宋体" w:cs="宋体"/>
          <w:b/>
          <w:bCs/>
          <w:color w:val="auto"/>
          <w:sz w:val="24"/>
        </w:rPr>
      </w:pPr>
      <w:r>
        <w:rPr>
          <w:rFonts w:hint="eastAsia" w:ascii="宋体" w:hAnsi="宋体" w:cs="宋体"/>
          <w:b/>
          <w:bCs/>
          <w:color w:val="auto"/>
          <w:sz w:val="24"/>
        </w:rPr>
        <w:t>保险内容</w:t>
      </w:r>
    </w:p>
    <w:p>
      <w:pPr>
        <w:adjustRightInd w:val="0"/>
        <w:spacing w:line="360" w:lineRule="auto"/>
        <w:ind w:firstLine="333" w:firstLineChars="139"/>
        <w:jc w:val="left"/>
        <w:rPr>
          <w:rFonts w:ascii="宋体" w:cs="宋体"/>
          <w:color w:val="auto"/>
          <w:sz w:val="24"/>
        </w:rPr>
      </w:pPr>
      <w:r>
        <w:rPr>
          <w:rFonts w:hint="eastAsia" w:ascii="宋体" w:hAnsi="宋体" w:cs="宋体"/>
          <w:color w:val="auto"/>
          <w:sz w:val="24"/>
        </w:rPr>
        <w:t>采购人授权受托方将台州市大病保险服务委托给承保方统一承办。双方共同执行《关于开展大病保险工作的指导意见》（发改社会〔</w:t>
      </w:r>
      <w:r>
        <w:rPr>
          <w:rFonts w:ascii="宋体" w:hAnsi="宋体" w:cs="宋体"/>
          <w:color w:val="auto"/>
          <w:sz w:val="24"/>
        </w:rPr>
        <w:t>2012</w:t>
      </w:r>
      <w:r>
        <w:rPr>
          <w:rFonts w:hint="eastAsia" w:ascii="宋体" w:hAnsi="宋体" w:cs="宋体"/>
          <w:color w:val="auto"/>
          <w:sz w:val="24"/>
        </w:rPr>
        <w:t>〕</w:t>
      </w:r>
      <w:r>
        <w:rPr>
          <w:rFonts w:ascii="宋体" w:hAnsi="宋体" w:cs="宋体"/>
          <w:color w:val="auto"/>
          <w:sz w:val="24"/>
        </w:rPr>
        <w:t>2605</w:t>
      </w:r>
      <w:r>
        <w:rPr>
          <w:rFonts w:hint="eastAsia" w:ascii="宋体" w:hAnsi="宋体" w:cs="宋体"/>
          <w:color w:val="auto"/>
          <w:sz w:val="24"/>
        </w:rPr>
        <w:t>号）、《浙江省人民政府办公厅关于加快建立和完善大病保险制度有关问题的通知》（浙政办发〔</w:t>
      </w:r>
      <w:r>
        <w:rPr>
          <w:rFonts w:ascii="宋体" w:hAnsi="宋体" w:cs="宋体"/>
          <w:color w:val="auto"/>
          <w:sz w:val="24"/>
        </w:rPr>
        <w:t>2014</w:t>
      </w:r>
      <w:r>
        <w:rPr>
          <w:rFonts w:hint="eastAsia" w:ascii="宋体" w:hAnsi="宋体" w:cs="宋体"/>
          <w:color w:val="auto"/>
          <w:sz w:val="24"/>
        </w:rPr>
        <w:t>〕</w:t>
      </w:r>
      <w:r>
        <w:rPr>
          <w:rFonts w:ascii="宋体" w:hAnsi="宋体" w:cs="宋体"/>
          <w:color w:val="auto"/>
          <w:sz w:val="24"/>
        </w:rPr>
        <w:t>122</w:t>
      </w:r>
      <w:r>
        <w:rPr>
          <w:rFonts w:hint="eastAsia" w:ascii="宋体" w:hAnsi="宋体" w:cs="宋体"/>
          <w:color w:val="auto"/>
          <w:sz w:val="24"/>
        </w:rPr>
        <w:t>号）、《浙江省人力资源和社会保障厅等</w:t>
      </w:r>
      <w:r>
        <w:rPr>
          <w:rFonts w:ascii="宋体" w:hAnsi="宋体" w:cs="宋体"/>
          <w:color w:val="auto"/>
          <w:sz w:val="24"/>
        </w:rPr>
        <w:t>5</w:t>
      </w:r>
      <w:r>
        <w:rPr>
          <w:rFonts w:hint="eastAsia" w:ascii="宋体" w:hAnsi="宋体" w:cs="宋体"/>
          <w:color w:val="auto"/>
          <w:sz w:val="24"/>
        </w:rPr>
        <w:t>部门关于进一步完善大病保险制度的通知》（浙人社发〔</w:t>
      </w:r>
      <w:r>
        <w:rPr>
          <w:rFonts w:ascii="宋体" w:hAnsi="宋体" w:cs="宋体"/>
          <w:color w:val="auto"/>
          <w:sz w:val="24"/>
        </w:rPr>
        <w:t>2017</w:t>
      </w:r>
      <w:r>
        <w:rPr>
          <w:rFonts w:hint="eastAsia" w:ascii="宋体" w:hAnsi="宋体" w:cs="宋体"/>
          <w:color w:val="auto"/>
          <w:sz w:val="24"/>
        </w:rPr>
        <w:t>〕</w:t>
      </w:r>
      <w:r>
        <w:rPr>
          <w:rFonts w:ascii="宋体" w:hAnsi="宋体" w:cs="宋体"/>
          <w:color w:val="auto"/>
          <w:sz w:val="24"/>
        </w:rPr>
        <w:t>135</w:t>
      </w:r>
      <w:r>
        <w:rPr>
          <w:rFonts w:hint="eastAsia" w:ascii="宋体" w:hAnsi="宋体" w:cs="宋体"/>
          <w:color w:val="auto"/>
          <w:sz w:val="24"/>
        </w:rPr>
        <w:t>号）和《台州市全民医疗保险办法》（台政办发〔</w:t>
      </w:r>
      <w:r>
        <w:rPr>
          <w:rFonts w:ascii="宋体" w:hAnsi="宋体" w:cs="宋体"/>
          <w:color w:val="auto"/>
          <w:sz w:val="24"/>
        </w:rPr>
        <w:t>2018</w:t>
      </w:r>
      <w:r>
        <w:rPr>
          <w:rFonts w:hint="eastAsia" w:ascii="宋体" w:hAnsi="宋体" w:cs="宋体"/>
          <w:color w:val="auto"/>
          <w:sz w:val="24"/>
        </w:rPr>
        <w:t>〕</w:t>
      </w:r>
      <w:r>
        <w:rPr>
          <w:rFonts w:ascii="宋体" w:hAnsi="宋体" w:cs="宋体"/>
          <w:color w:val="auto"/>
          <w:sz w:val="24"/>
        </w:rPr>
        <w:t>79</w:t>
      </w:r>
      <w:r>
        <w:rPr>
          <w:rFonts w:hint="eastAsia" w:ascii="宋体" w:hAnsi="宋体" w:cs="宋体"/>
          <w:color w:val="auto"/>
          <w:sz w:val="24"/>
        </w:rPr>
        <w:t>号）规定及相关法规、文件，详见台州市政府采购中心招标文件和承保方投标文件。</w:t>
      </w:r>
    </w:p>
    <w:p>
      <w:pPr>
        <w:numPr>
          <w:ilvl w:val="0"/>
          <w:numId w:val="9"/>
        </w:numPr>
        <w:spacing w:line="360" w:lineRule="auto"/>
        <w:ind w:firstLine="335" w:firstLineChars="139"/>
        <w:jc w:val="left"/>
        <w:outlineLvl w:val="0"/>
        <w:rPr>
          <w:rFonts w:ascii="宋体" w:cs="宋体"/>
          <w:b/>
          <w:bCs/>
          <w:color w:val="auto"/>
          <w:sz w:val="24"/>
        </w:rPr>
      </w:pPr>
      <w:r>
        <w:rPr>
          <w:rFonts w:hint="eastAsia" w:ascii="宋体" w:hAnsi="宋体" w:cs="宋体"/>
          <w:b/>
          <w:bCs/>
          <w:color w:val="auto"/>
          <w:sz w:val="24"/>
        </w:rPr>
        <w:t>投保人与被保险人</w:t>
      </w:r>
    </w:p>
    <w:p>
      <w:pPr>
        <w:spacing w:line="360" w:lineRule="auto"/>
        <w:ind w:firstLine="360" w:firstLineChars="150"/>
        <w:rPr>
          <w:rFonts w:ascii="宋体" w:cs="宋体"/>
          <w:color w:val="auto"/>
          <w:sz w:val="24"/>
        </w:rPr>
      </w:pPr>
      <w:r>
        <w:rPr>
          <w:rFonts w:hint="eastAsia" w:ascii="宋体" w:hAnsi="宋体" w:cs="宋体"/>
          <w:color w:val="auto"/>
          <w:sz w:val="24"/>
        </w:rPr>
        <w:t>受托方为投保人，所有参加台州市大病保险的人员为被保险人。被保险人通过受托方统一向承保方投保大病医疗保险。</w:t>
      </w:r>
    </w:p>
    <w:p>
      <w:pPr>
        <w:numPr>
          <w:ilvl w:val="0"/>
          <w:numId w:val="9"/>
        </w:numPr>
        <w:spacing w:line="360" w:lineRule="auto"/>
        <w:ind w:firstLine="335" w:firstLineChars="139"/>
        <w:jc w:val="left"/>
        <w:outlineLvl w:val="0"/>
        <w:rPr>
          <w:rFonts w:ascii="宋体" w:cs="宋体"/>
          <w:b/>
          <w:bCs/>
          <w:color w:val="auto"/>
          <w:sz w:val="24"/>
        </w:rPr>
      </w:pPr>
      <w:r>
        <w:rPr>
          <w:rFonts w:hint="eastAsia" w:ascii="宋体" w:hAnsi="宋体" w:cs="宋体"/>
          <w:b/>
          <w:bCs/>
          <w:color w:val="auto"/>
          <w:sz w:val="24"/>
        </w:rPr>
        <w:t>保险合同期限</w:t>
      </w:r>
    </w:p>
    <w:p>
      <w:pPr>
        <w:tabs>
          <w:tab w:val="left" w:pos="8280"/>
        </w:tabs>
        <w:autoSpaceDE w:val="0"/>
        <w:autoSpaceDN w:val="0"/>
        <w:adjustRightInd w:val="0"/>
        <w:spacing w:line="360" w:lineRule="auto"/>
        <w:ind w:right="25" w:firstLine="360" w:firstLineChars="150"/>
        <w:rPr>
          <w:rFonts w:ascii="宋体" w:cs="宋体"/>
          <w:color w:val="auto"/>
          <w:sz w:val="24"/>
        </w:rPr>
      </w:pPr>
      <w:r>
        <w:rPr>
          <w:rFonts w:hint="eastAsia" w:ascii="宋体" w:hAnsi="宋体" w:cs="宋体"/>
          <w:color w:val="auto"/>
          <w:sz w:val="24"/>
        </w:rPr>
        <w:t>本保险期间为</w:t>
      </w:r>
      <w:r>
        <w:rPr>
          <w:rFonts w:ascii="宋体" w:hAnsi="宋体" w:cs="宋体"/>
          <w:color w:val="auto"/>
          <w:sz w:val="24"/>
          <w:u w:val="single"/>
        </w:rPr>
        <w:t>20</w:t>
      </w:r>
      <w:r>
        <w:rPr>
          <w:rFonts w:hint="eastAsia" w:ascii="宋体" w:hAnsi="宋体" w:cs="宋体"/>
          <w:color w:val="auto"/>
          <w:sz w:val="24"/>
          <w:u w:val="single"/>
          <w:lang w:val="en-US" w:eastAsia="zh-CN"/>
        </w:rPr>
        <w:t>22</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1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至</w:t>
      </w:r>
      <w:r>
        <w:rPr>
          <w:rFonts w:hint="eastAsia" w:ascii="宋体" w:hAnsi="宋体" w:cs="宋体"/>
          <w:color w:val="auto"/>
          <w:sz w:val="24"/>
          <w:u w:val="single"/>
          <w:lang w:val="en-US" w:eastAsia="zh-CN"/>
        </w:rPr>
        <w:t xml:space="preserve"> </w:t>
      </w:r>
      <w:r>
        <w:rPr>
          <w:rFonts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12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lang w:eastAsia="zh-CN"/>
        </w:rPr>
        <w:t>（</w:t>
      </w:r>
      <w:r>
        <w:rPr>
          <w:rFonts w:hint="eastAsia" w:ascii="宋体" w:hAnsi="宋体" w:cs="宋体"/>
          <w:color w:val="auto"/>
          <w:sz w:val="24"/>
          <w:lang w:val="en-US" w:eastAsia="zh-CN"/>
        </w:rPr>
        <w:t>合同一年一签</w:t>
      </w:r>
      <w:r>
        <w:rPr>
          <w:rFonts w:hint="eastAsia" w:ascii="宋体" w:hAnsi="宋体" w:cs="宋体"/>
          <w:color w:val="auto"/>
          <w:sz w:val="24"/>
          <w:lang w:eastAsia="zh-CN"/>
        </w:rPr>
        <w:t>）</w:t>
      </w:r>
      <w:r>
        <w:rPr>
          <w:rFonts w:hint="eastAsia" w:ascii="宋体" w:hAnsi="宋体" w:cs="宋体"/>
          <w:color w:val="auto"/>
          <w:sz w:val="24"/>
        </w:rPr>
        <w:t>，大病保险年度与基本医疗保险年度一致，既发生的时间以出院结算日为准。</w:t>
      </w:r>
    </w:p>
    <w:p>
      <w:pPr>
        <w:numPr>
          <w:ilvl w:val="0"/>
          <w:numId w:val="9"/>
        </w:numPr>
        <w:spacing w:line="360" w:lineRule="auto"/>
        <w:ind w:firstLine="335" w:firstLineChars="139"/>
        <w:jc w:val="left"/>
        <w:outlineLvl w:val="0"/>
        <w:rPr>
          <w:rFonts w:ascii="宋体" w:cs="宋体"/>
          <w:b/>
          <w:bCs/>
          <w:color w:val="auto"/>
          <w:sz w:val="24"/>
        </w:rPr>
      </w:pPr>
      <w:r>
        <w:rPr>
          <w:rFonts w:hint="eastAsia" w:ascii="宋体" w:hAnsi="宋体" w:cs="宋体"/>
          <w:b/>
          <w:bCs/>
          <w:color w:val="auto"/>
          <w:sz w:val="24"/>
        </w:rPr>
        <w:t>合同价款</w:t>
      </w:r>
    </w:p>
    <w:p>
      <w:pPr>
        <w:numPr>
          <w:ilvl w:val="0"/>
          <w:numId w:val="10"/>
        </w:numPr>
        <w:spacing w:line="360" w:lineRule="auto"/>
        <w:ind w:firstLine="640"/>
        <w:rPr>
          <w:rFonts w:hint="eastAsia" w:ascii="宋体" w:hAnsi="宋体" w:eastAsia="宋体" w:cs="宋体"/>
          <w:color w:val="auto"/>
          <w:sz w:val="24"/>
        </w:rPr>
      </w:pPr>
      <w:r>
        <w:rPr>
          <w:rFonts w:hint="eastAsia" w:ascii="宋体" w:hAnsi="宋体" w:cs="宋体"/>
          <w:color w:val="auto"/>
          <w:sz w:val="24"/>
        </w:rPr>
        <w:t>参保保费：大病保险项目当年保费总金额</w:t>
      </w:r>
      <w:r>
        <w:rPr>
          <w:rFonts w:hint="eastAsia" w:ascii="宋体" w:hAnsi="宋体" w:cs="宋体"/>
          <w:color w:val="FF0000"/>
          <w:sz w:val="24"/>
          <w:lang w:eastAsia="zh-CN"/>
        </w:rPr>
        <w:t>，城乡居民</w:t>
      </w:r>
      <w:r>
        <w:rPr>
          <w:rFonts w:hint="eastAsia" w:ascii="宋体" w:hAnsi="宋体" w:cs="宋体"/>
          <w:color w:val="FF0000"/>
          <w:sz w:val="24"/>
        </w:rPr>
        <w:t>按当年期末大病保险参保人数</w:t>
      </w:r>
      <w:r>
        <w:rPr>
          <w:rFonts w:hint="eastAsia" w:ascii="宋体" w:hAnsi="宋体" w:cs="宋体"/>
          <w:color w:val="FF0000"/>
          <w:sz w:val="24"/>
          <w:lang w:eastAsia="zh-CN"/>
        </w:rPr>
        <w:t>、职工按当年平均大病保险参保</w:t>
      </w:r>
      <w:r>
        <w:rPr>
          <w:rFonts w:hint="eastAsia" w:ascii="宋体" w:hAnsi="宋体" w:cs="宋体"/>
          <w:color w:val="auto"/>
          <w:sz w:val="24"/>
          <w:lang w:eastAsia="zh-CN"/>
        </w:rPr>
        <w:t>人数</w:t>
      </w:r>
      <w:r>
        <w:rPr>
          <w:rFonts w:hint="eastAsia" w:ascii="宋体" w:hAnsi="宋体" w:cs="宋体"/>
          <w:color w:val="auto"/>
          <w:sz w:val="24"/>
        </w:rPr>
        <w:t>乘以当年保费</w:t>
      </w:r>
      <w:r>
        <w:rPr>
          <w:rFonts w:hint="eastAsia" w:ascii="宋体" w:hAnsi="宋体" w:eastAsia="宋体" w:cs="宋体"/>
          <w:color w:val="auto"/>
          <w:sz w:val="24"/>
        </w:rPr>
        <w:t>单价确定。</w:t>
      </w:r>
    </w:p>
    <w:p>
      <w:pPr>
        <w:numPr>
          <w:ilvl w:val="0"/>
          <w:numId w:val="10"/>
        </w:numPr>
        <w:spacing w:line="360" w:lineRule="auto"/>
        <w:ind w:firstLine="640"/>
        <w:rPr>
          <w:rFonts w:hint="eastAsia" w:ascii="宋体" w:hAnsi="宋体" w:eastAsia="宋体" w:cs="宋体"/>
          <w:color w:val="auto"/>
          <w:sz w:val="24"/>
        </w:rPr>
      </w:pPr>
      <w:r>
        <w:rPr>
          <w:rFonts w:hint="eastAsia" w:ascii="宋体" w:hAnsi="宋体" w:eastAsia="宋体" w:cs="宋体"/>
          <w:color w:val="auto"/>
          <w:sz w:val="24"/>
        </w:rPr>
        <w:t>理赔</w:t>
      </w:r>
      <w:r>
        <w:rPr>
          <w:rFonts w:hint="eastAsia" w:ascii="宋体" w:hAnsi="宋体" w:eastAsia="宋体" w:cs="宋体"/>
          <w:color w:val="auto"/>
          <w:sz w:val="24"/>
          <w:lang w:eastAsia="zh-CN"/>
        </w:rPr>
        <w:t>内容</w:t>
      </w:r>
      <w:r>
        <w:rPr>
          <w:rFonts w:hint="eastAsia" w:ascii="宋体" w:hAnsi="宋体" w:eastAsia="宋体" w:cs="宋体"/>
          <w:color w:val="auto"/>
          <w:sz w:val="24"/>
        </w:rPr>
        <w:t>：保障对象为台州市大病保险的参保人员。在一个医保结算年度内,大病保险参保人员发生的符合大病保险基金支付范围的费用，起付线2万元以上的部分，由大病保险基金承担75%;困难群众起付线降低一半，支付比例提高到 85%。大病保险待遇享受时间与基本医疗保险一致，不设封顶线。</w:t>
      </w:r>
    </w:p>
    <w:p>
      <w:pPr>
        <w:numPr>
          <w:ilvl w:val="0"/>
          <w:numId w:val="10"/>
        </w:numPr>
        <w:spacing w:line="360" w:lineRule="auto"/>
        <w:ind w:firstLine="640"/>
        <w:rPr>
          <w:rFonts w:hint="eastAsia" w:ascii="宋体" w:hAnsi="宋体" w:eastAsia="宋体" w:cs="宋体"/>
          <w:color w:val="auto"/>
          <w:sz w:val="24"/>
        </w:rPr>
      </w:pPr>
      <w:r>
        <w:rPr>
          <w:rFonts w:hint="eastAsia" w:ascii="宋体" w:hAnsi="宋体" w:eastAsia="宋体" w:cs="宋体"/>
          <w:color w:val="auto"/>
          <w:sz w:val="24"/>
        </w:rPr>
        <w:t>大病保险基金支付范围为：</w:t>
      </w:r>
    </w:p>
    <w:p>
      <w:pPr>
        <w:numPr>
          <w:ilvl w:val="0"/>
          <w:numId w:val="0"/>
        </w:numPr>
        <w:spacing w:line="360" w:lineRule="auto"/>
        <w:ind w:firstLine="420" w:firstLineChars="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住院医疗费用和特殊病种门诊、慢性病门诊等医疗费用中，符合基本医疗保险基金支付范围的个人负担部分；</w:t>
      </w:r>
    </w:p>
    <w:p>
      <w:pPr>
        <w:numPr>
          <w:ilvl w:val="0"/>
          <w:numId w:val="0"/>
        </w:numPr>
        <w:spacing w:line="360" w:lineRule="auto"/>
        <w:ind w:firstLine="420" w:firstLineChars="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慢性病门诊费用中按规定由个人支付的自理、自付费用；</w:t>
      </w:r>
    </w:p>
    <w:p>
      <w:pPr>
        <w:numPr>
          <w:ilvl w:val="0"/>
          <w:numId w:val="0"/>
        </w:numPr>
        <w:spacing w:line="360" w:lineRule="auto"/>
        <w:ind w:firstLine="420" w:firstLineChars="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符合浙江省大病保险特殊药品目录、医用耗材范围和医疗服务范围的费用。</w:t>
      </w:r>
    </w:p>
    <w:p>
      <w:pPr>
        <w:numPr>
          <w:ilvl w:val="0"/>
          <w:numId w:val="0"/>
        </w:numPr>
        <w:spacing w:line="360" w:lineRule="auto"/>
        <w:ind w:firstLine="420" w:firstLineChars="0"/>
        <w:rPr>
          <w:rFonts w:hint="eastAsia" w:ascii="宋体" w:hAnsi="宋体" w:eastAsia="宋体" w:cs="宋体"/>
          <w:color w:val="auto"/>
          <w:sz w:val="24"/>
        </w:rPr>
      </w:pPr>
      <w:r>
        <w:rPr>
          <w:rFonts w:hint="eastAsia" w:ascii="宋体" w:hAnsi="宋体" w:eastAsia="宋体" w:cs="宋体"/>
          <w:color w:val="auto"/>
          <w:sz w:val="24"/>
          <w:lang w:val="en-US" w:eastAsia="zh-CN"/>
        </w:rPr>
        <w:t>（4）符合支付条件的肿瘤全身断层显像（PET—CT）费用。</w:t>
      </w:r>
    </w:p>
    <w:p>
      <w:pPr>
        <w:numPr>
          <w:ilvl w:val="0"/>
          <w:numId w:val="9"/>
        </w:numPr>
        <w:spacing w:line="360" w:lineRule="auto"/>
        <w:ind w:firstLine="335" w:firstLineChars="139"/>
        <w:jc w:val="left"/>
        <w:outlineLvl w:val="0"/>
        <w:rPr>
          <w:rFonts w:ascii="宋体" w:cs="宋体"/>
          <w:b/>
          <w:bCs/>
          <w:color w:val="auto"/>
          <w:sz w:val="24"/>
        </w:rPr>
      </w:pPr>
      <w:r>
        <w:rPr>
          <w:rFonts w:hint="eastAsia" w:ascii="宋体" w:hAnsi="宋体" w:cs="宋体"/>
          <w:b/>
          <w:bCs/>
          <w:color w:val="auto"/>
          <w:sz w:val="24"/>
        </w:rPr>
        <w:t>付款方式</w:t>
      </w:r>
    </w:p>
    <w:p>
      <w:pPr>
        <w:spacing w:line="360" w:lineRule="auto"/>
        <w:ind w:firstLine="333" w:firstLineChars="139"/>
        <w:rPr>
          <w:rFonts w:hint="eastAsia"/>
          <w:color w:val="auto"/>
          <w:lang w:eastAsia="zh-CN"/>
        </w:rPr>
      </w:pPr>
      <w:r>
        <w:rPr>
          <w:rFonts w:hint="eastAsia" w:ascii="宋体" w:hAnsi="宋体" w:cs="宋体"/>
          <w:color w:val="auto"/>
          <w:sz w:val="24"/>
        </w:rPr>
        <w:t>台州市</w:t>
      </w:r>
      <w:r>
        <w:rPr>
          <w:rFonts w:hint="eastAsia" w:ascii="宋体" w:hAnsi="宋体" w:cs="宋体"/>
          <w:color w:val="auto"/>
          <w:sz w:val="24"/>
          <w:lang w:eastAsia="zh-CN"/>
        </w:rPr>
        <w:t>医疗保险服务中心</w:t>
      </w:r>
      <w:r>
        <w:rPr>
          <w:rFonts w:hint="eastAsia" w:ascii="宋体" w:hAnsi="宋体" w:cs="宋体"/>
          <w:color w:val="auto"/>
          <w:sz w:val="24"/>
          <w:lang w:val="en-US" w:eastAsia="zh-CN"/>
        </w:rPr>
        <w:t>在合同签订后</w:t>
      </w:r>
      <w:r>
        <w:rPr>
          <w:rFonts w:hint="eastAsia" w:ascii="宋体" w:hAnsi="宋体" w:cs="宋体"/>
          <w:color w:val="FF0000"/>
          <w:sz w:val="24"/>
          <w:lang w:val="en-US" w:eastAsia="zh-CN"/>
        </w:rPr>
        <w:t>5日内</w:t>
      </w:r>
      <w:r>
        <w:rPr>
          <w:rFonts w:hint="eastAsia" w:ascii="宋体" w:hAnsi="宋体" w:cs="宋体"/>
          <w:color w:val="auto"/>
          <w:sz w:val="24"/>
          <w:lang w:val="en-US" w:eastAsia="zh-CN"/>
        </w:rPr>
        <w:t>，支付年度中标价的10%作为预付款。</w:t>
      </w:r>
      <w:r>
        <w:rPr>
          <w:rFonts w:hint="eastAsia" w:ascii="宋体" w:hAnsi="宋体" w:cs="宋体"/>
          <w:color w:val="auto"/>
          <w:sz w:val="24"/>
        </w:rPr>
        <w:t>每年度第一至第三季度的第一个月分别支付年度中标价的</w:t>
      </w:r>
      <w:r>
        <w:rPr>
          <w:rFonts w:ascii="宋体" w:hAnsi="宋体" w:cs="宋体"/>
          <w:color w:val="auto"/>
          <w:sz w:val="24"/>
        </w:rPr>
        <w:t>25%</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其中2022年第一季度支付年度中标价的15%</w:t>
      </w:r>
      <w:r>
        <w:rPr>
          <w:rFonts w:hint="eastAsia" w:ascii="宋体" w:hAnsi="宋体" w:eastAsia="宋体" w:cs="宋体"/>
          <w:color w:val="auto"/>
          <w:sz w:val="24"/>
          <w:lang w:eastAsia="zh-CN"/>
        </w:rPr>
        <w:t>）</w:t>
      </w:r>
      <w:r>
        <w:rPr>
          <w:rFonts w:hint="eastAsia" w:ascii="宋体" w:hAnsi="宋体" w:cs="宋体"/>
          <w:color w:val="auto"/>
          <w:sz w:val="24"/>
        </w:rPr>
        <w:t>，第四季度的第一个月支付年度中标价的</w:t>
      </w:r>
      <w:r>
        <w:rPr>
          <w:rFonts w:ascii="宋体" w:hAnsi="宋体" w:cs="宋体"/>
          <w:color w:val="auto"/>
          <w:sz w:val="24"/>
        </w:rPr>
        <w:t>15%</w:t>
      </w:r>
      <w:r>
        <w:rPr>
          <w:rFonts w:hint="eastAsia" w:ascii="宋体" w:hAnsi="宋体" w:cs="宋体"/>
          <w:color w:val="auto"/>
          <w:sz w:val="24"/>
        </w:rPr>
        <w:t>，余额部分（当年期末大病保险参保人数乘以当年中标单价减去前四季度支付的保险费）经考核合格后</w:t>
      </w:r>
      <w:r>
        <w:rPr>
          <w:rFonts w:ascii="宋体" w:hAnsi="宋体" w:cs="宋体"/>
          <w:color w:val="auto"/>
          <w:sz w:val="24"/>
        </w:rPr>
        <w:t>10</w:t>
      </w:r>
      <w:r>
        <w:rPr>
          <w:rFonts w:hint="eastAsia" w:ascii="宋体" w:hAnsi="宋体" w:cs="宋体"/>
          <w:color w:val="auto"/>
          <w:sz w:val="24"/>
        </w:rPr>
        <w:t>日内</w:t>
      </w:r>
      <w:r>
        <w:rPr>
          <w:rFonts w:hint="eastAsia" w:ascii="宋体" w:hAnsi="宋体" w:cs="宋体"/>
          <w:color w:val="auto"/>
          <w:sz w:val="24"/>
          <w:lang w:eastAsia="zh-CN"/>
        </w:rPr>
        <w:t>，</w:t>
      </w:r>
      <w:r>
        <w:rPr>
          <w:rFonts w:hint="eastAsia" w:hAnsi="宋体" w:cs="宋体"/>
          <w:color w:val="auto"/>
          <w:sz w:val="24"/>
          <w:lang w:val="en-US" w:eastAsia="zh-CN"/>
        </w:rPr>
        <w:t>根据实际考核情况</w:t>
      </w:r>
      <w:r>
        <w:rPr>
          <w:rFonts w:hint="eastAsia" w:ascii="宋体" w:hAnsi="宋体" w:cs="宋体"/>
          <w:color w:val="auto"/>
          <w:sz w:val="24"/>
        </w:rPr>
        <w:t>支付</w:t>
      </w:r>
      <w:r>
        <w:rPr>
          <w:rFonts w:hint="eastAsia" w:hAnsi="宋体" w:cs="宋体"/>
          <w:color w:val="auto"/>
          <w:sz w:val="24"/>
          <w:lang w:eastAsia="zh-CN"/>
        </w:rPr>
        <w:t>（</w:t>
      </w:r>
      <w:r>
        <w:rPr>
          <w:rFonts w:hint="eastAsia" w:hAnsi="宋体" w:cs="宋体"/>
          <w:color w:val="auto"/>
          <w:sz w:val="24"/>
          <w:lang w:val="en-US" w:eastAsia="zh-CN"/>
        </w:rPr>
        <w:t>年度中标价以报价一览表中三年平均保费为准</w:t>
      </w:r>
      <w:r>
        <w:rPr>
          <w:rFonts w:hint="eastAsia" w:hAnsi="宋体" w:cs="宋体"/>
          <w:color w:val="auto"/>
          <w:sz w:val="24"/>
          <w:lang w:eastAsia="zh-CN"/>
        </w:rPr>
        <w:t>）。</w:t>
      </w:r>
    </w:p>
    <w:p>
      <w:pPr>
        <w:numPr>
          <w:ilvl w:val="0"/>
          <w:numId w:val="9"/>
        </w:numPr>
        <w:spacing w:line="360" w:lineRule="auto"/>
        <w:ind w:firstLine="335" w:firstLineChars="139"/>
        <w:jc w:val="left"/>
        <w:outlineLvl w:val="0"/>
        <w:rPr>
          <w:rFonts w:ascii="宋体" w:cs="宋体"/>
          <w:b/>
          <w:bCs/>
          <w:color w:val="auto"/>
          <w:sz w:val="24"/>
        </w:rPr>
      </w:pPr>
      <w:r>
        <w:rPr>
          <w:rFonts w:hint="eastAsia" w:ascii="宋体" w:hAnsi="宋体" w:cs="宋体"/>
          <w:b/>
          <w:bCs/>
          <w:color w:val="auto"/>
          <w:sz w:val="24"/>
        </w:rPr>
        <w:t>理赔处理</w:t>
      </w:r>
    </w:p>
    <w:p>
      <w:pPr>
        <w:spacing w:line="360" w:lineRule="auto"/>
        <w:ind w:firstLine="333" w:firstLineChars="139"/>
        <w:rPr>
          <w:rFonts w:hint="eastAsia" w:ascii="宋体" w:hAnsi="宋体" w:cs="宋体"/>
          <w:color w:val="auto"/>
          <w:sz w:val="24"/>
        </w:rPr>
      </w:pPr>
      <w:r>
        <w:rPr>
          <w:rFonts w:hint="eastAsia" w:ascii="宋体" w:hAnsi="宋体" w:cs="宋体"/>
          <w:color w:val="auto"/>
          <w:sz w:val="24"/>
        </w:rPr>
        <w:t>承保方1月</w:t>
      </w:r>
      <w:r>
        <w:rPr>
          <w:rFonts w:hint="eastAsia" w:ascii="宋体" w:hAnsi="宋体" w:cs="宋体"/>
          <w:color w:val="auto"/>
          <w:sz w:val="24"/>
          <w:u w:val="single"/>
          <w:lang w:val="en-US" w:eastAsia="zh-CN"/>
        </w:rPr>
        <w:t xml:space="preserve">   </w:t>
      </w:r>
      <w:r>
        <w:rPr>
          <w:rFonts w:hint="eastAsia" w:ascii="宋体" w:hAnsi="宋体" w:cs="宋体"/>
          <w:color w:val="auto"/>
          <w:sz w:val="24"/>
        </w:rPr>
        <w:t>日前付给受托方当年收缴保费10%的周转金。被保险人发生的大病费用，受托方先予以支付，次月再向承保方结算，承保方在收到受托方结算清单后10个工作日内，将理赔款项支付给受托方。</w:t>
      </w:r>
    </w:p>
    <w:p>
      <w:pPr>
        <w:numPr>
          <w:ilvl w:val="0"/>
          <w:numId w:val="9"/>
        </w:numPr>
        <w:spacing w:line="360" w:lineRule="auto"/>
        <w:ind w:firstLine="335" w:firstLineChars="139"/>
        <w:jc w:val="left"/>
        <w:outlineLvl w:val="0"/>
        <w:rPr>
          <w:rFonts w:ascii="宋体" w:cs="宋体"/>
          <w:b/>
          <w:bCs/>
          <w:color w:val="auto"/>
          <w:sz w:val="24"/>
        </w:rPr>
      </w:pPr>
      <w:r>
        <w:rPr>
          <w:rFonts w:hint="eastAsia" w:ascii="宋体" w:hAnsi="宋体" w:cs="宋体"/>
          <w:b/>
          <w:bCs/>
          <w:color w:val="auto"/>
          <w:sz w:val="24"/>
        </w:rPr>
        <w:t>承保方承诺</w:t>
      </w:r>
    </w:p>
    <w:p>
      <w:pPr>
        <w:numPr>
          <w:ilvl w:val="0"/>
          <w:numId w:val="11"/>
        </w:numPr>
        <w:tabs>
          <w:tab w:val="left" w:pos="0"/>
          <w:tab w:val="clear" w:pos="425"/>
        </w:tabs>
        <w:spacing w:line="360" w:lineRule="auto"/>
        <w:ind w:left="6" w:firstLine="506" w:firstLineChars="211"/>
        <w:rPr>
          <w:rFonts w:ascii="宋体" w:cs="宋体"/>
          <w:color w:val="auto"/>
          <w:sz w:val="24"/>
        </w:rPr>
      </w:pPr>
      <w:r>
        <w:rPr>
          <w:rFonts w:hint="eastAsia" w:ascii="宋体" w:hAnsi="宋体" w:cs="宋体"/>
          <w:color w:val="auto"/>
          <w:sz w:val="24"/>
        </w:rPr>
        <w:t>不得拒绝投保方团体参加大病保险的投保人中的任何个例参保。对手续不齐全的理赔申请，应及时告知补充有关材料。</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rPr>
      </w:pPr>
      <w:r>
        <w:rPr>
          <w:rFonts w:hint="eastAsia" w:ascii="宋体" w:hAnsi="宋体" w:cs="宋体"/>
          <w:color w:val="auto"/>
          <w:sz w:val="24"/>
        </w:rPr>
        <w:t>使用市</w:t>
      </w:r>
      <w:r>
        <w:rPr>
          <w:rFonts w:hint="eastAsia" w:ascii="宋体" w:hAnsi="宋体" w:cs="宋体"/>
          <w:color w:val="auto"/>
          <w:sz w:val="24"/>
          <w:lang w:eastAsia="zh-CN"/>
        </w:rPr>
        <w:t>医疗保障局</w:t>
      </w:r>
      <w:r>
        <w:rPr>
          <w:rFonts w:hint="eastAsia" w:ascii="宋体" w:hAnsi="宋体" w:cs="宋体"/>
          <w:color w:val="auto"/>
          <w:sz w:val="24"/>
        </w:rPr>
        <w:t>信息部门提供的大病保险信息系统，落实信息安全和保密责</w:t>
      </w:r>
      <w:r>
        <w:rPr>
          <w:rFonts w:hint="eastAsia" w:ascii="宋体" w:hAnsi="宋体" w:eastAsia="宋体" w:cs="宋体"/>
          <w:color w:val="auto"/>
          <w:sz w:val="24"/>
        </w:rPr>
        <w:t>任，所有涉及相关合作内容的信息不用于其它领域，否则将承担经济和法律责任。</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rPr>
      </w:pPr>
      <w:r>
        <w:rPr>
          <w:rFonts w:hint="eastAsia" w:ascii="宋体" w:hAnsi="宋体" w:eastAsia="宋体" w:cs="宋体"/>
          <w:color w:val="auto"/>
          <w:sz w:val="24"/>
        </w:rPr>
        <w:t>做好大病保险医疗费用的审核结算，按时支付费用；</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rPr>
      </w:pPr>
      <w:r>
        <w:rPr>
          <w:rFonts w:hint="eastAsia" w:ascii="宋体" w:hAnsi="宋体" w:eastAsia="宋体" w:cs="宋体"/>
          <w:color w:val="auto"/>
          <w:sz w:val="24"/>
        </w:rPr>
        <w:t>按要求向市、各县（市、区）配备满足医保经办所需的社会保障、财务、医（药）学、信息技术等专业人员，总数1</w:t>
      </w:r>
      <w:r>
        <w:rPr>
          <w:rFonts w:hint="eastAsia" w:ascii="宋体" w:hAnsi="宋体" w:eastAsia="宋体" w:cs="宋体"/>
          <w:color w:val="auto"/>
          <w:sz w:val="24"/>
          <w:lang w:val="en-US" w:eastAsia="zh-CN"/>
        </w:rPr>
        <w:t>4</w:t>
      </w:r>
      <w:r>
        <w:rPr>
          <w:rFonts w:hint="eastAsia" w:ascii="宋体" w:hAnsi="宋体" w:eastAsia="宋体" w:cs="宋体"/>
          <w:color w:val="auto"/>
          <w:sz w:val="24"/>
        </w:rPr>
        <w:t>0人，其中医（药）学相关</w:t>
      </w:r>
      <w:r>
        <w:rPr>
          <w:rFonts w:hint="eastAsia" w:ascii="宋体" w:hAnsi="宋体" w:eastAsia="宋体" w:cs="宋体"/>
          <w:color w:val="auto"/>
          <w:sz w:val="24"/>
          <w:highlight w:val="none"/>
        </w:rPr>
        <w:t>专业不少于</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。所有</w:t>
      </w:r>
      <w:r>
        <w:rPr>
          <w:rFonts w:hint="eastAsia" w:ascii="宋体" w:hAnsi="宋体" w:eastAsia="宋体" w:cs="宋体"/>
          <w:color w:val="auto"/>
          <w:sz w:val="24"/>
          <w:lang w:eastAsia="zh-CN"/>
        </w:rPr>
        <w:t>人员平均</w:t>
      </w:r>
      <w:r>
        <w:rPr>
          <w:rFonts w:hint="eastAsia" w:ascii="宋体" w:hAnsi="宋体" w:eastAsia="宋体" w:cs="宋体"/>
          <w:color w:val="auto"/>
          <w:sz w:val="24"/>
        </w:rPr>
        <w:t>待遇水平不低于上年度台州市在岗职工平均工资水平</w:t>
      </w:r>
      <w:r>
        <w:rPr>
          <w:rFonts w:hint="eastAsia" w:ascii="宋体" w:hAnsi="宋体" w:eastAsia="宋体" w:cs="宋体"/>
          <w:color w:val="auto"/>
          <w:sz w:val="24"/>
          <w:lang w:eastAsia="zh-CN"/>
        </w:rPr>
        <w:t>（</w:t>
      </w:r>
      <w:r>
        <w:rPr>
          <w:rFonts w:hint="eastAsia" w:ascii="宋体" w:hAnsi="宋体" w:eastAsia="宋体" w:cs="宋体"/>
          <w:color w:val="auto"/>
          <w:sz w:val="24"/>
        </w:rPr>
        <w:t>不含五险一金单位缴费部分）；</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lang w:val="en-US" w:eastAsia="zh-CN"/>
        </w:rPr>
      </w:pPr>
      <w:r>
        <w:rPr>
          <w:rFonts w:hint="eastAsia" w:ascii="宋体" w:hAnsi="宋体" w:eastAsia="宋体" w:cs="宋体"/>
          <w:color w:val="auto"/>
          <w:sz w:val="24"/>
        </w:rPr>
        <w:t>台州市范围内</w:t>
      </w:r>
      <w:r>
        <w:rPr>
          <w:rFonts w:hint="eastAsia" w:ascii="宋体" w:hAnsi="宋体" w:eastAsia="宋体" w:cs="宋体"/>
          <w:color w:val="auto"/>
          <w:sz w:val="24"/>
          <w:lang w:val="en-US" w:eastAsia="zh-CN"/>
        </w:rPr>
        <w:t>大病保险赔付案件现场核查率不低于 30%,单次医疗费用在 3 万元以上的稽核率不低于 80%；</w:t>
      </w:r>
      <w:r>
        <w:rPr>
          <w:rFonts w:hint="eastAsia" w:ascii="宋体" w:hAnsi="宋体" w:eastAsia="宋体" w:cs="宋体"/>
          <w:color w:val="auto"/>
          <w:sz w:val="24"/>
          <w:lang w:eastAsia="zh-CN"/>
        </w:rPr>
        <w:t>大病保险年度赔付前</w:t>
      </w:r>
      <w:r>
        <w:rPr>
          <w:rFonts w:hint="eastAsia" w:ascii="宋体" w:hAnsi="宋体" w:eastAsia="宋体" w:cs="宋体"/>
          <w:color w:val="auto"/>
          <w:sz w:val="24"/>
          <w:lang w:val="en-US" w:eastAsia="zh-CN"/>
        </w:rPr>
        <w:t>100名案件全部进行核查，赔付超5万元要进行标注跟踪、实时核查；对市本级及指定县市区的意外伤害案件要全部进行核查。</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rPr>
      </w:pPr>
      <w:r>
        <w:rPr>
          <w:rFonts w:hint="eastAsia" w:ascii="宋体" w:hAnsi="宋体" w:eastAsia="宋体" w:cs="宋体"/>
          <w:color w:val="auto"/>
          <w:sz w:val="24"/>
        </w:rPr>
        <w:t>分区域提供理赔勘查、审核管控需要的车辆10台（每辆行驶里程要求在10万公里以内）和符合需求的相应设备(电脑、打印机等办公用品)</w:t>
      </w:r>
      <w:r>
        <w:rPr>
          <w:rFonts w:hint="eastAsia" w:ascii="宋体" w:hAnsi="宋体" w:eastAsia="宋体" w:cs="宋体"/>
          <w:color w:val="auto"/>
          <w:sz w:val="24"/>
          <w:lang w:eastAsia="zh-CN"/>
        </w:rPr>
        <w:t>及所配备人员的劳动保障</w:t>
      </w:r>
      <w:r>
        <w:rPr>
          <w:rFonts w:hint="eastAsia" w:ascii="宋体" w:hAnsi="宋体" w:eastAsia="宋体" w:cs="宋体"/>
          <w:color w:val="auto"/>
          <w:sz w:val="24"/>
        </w:rPr>
        <w:t xml:space="preserve">； </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rPr>
      </w:pPr>
      <w:r>
        <w:rPr>
          <w:rFonts w:hint="eastAsia" w:ascii="宋体" w:hAnsi="宋体" w:eastAsia="宋体" w:cs="宋体"/>
          <w:color w:val="auto"/>
          <w:sz w:val="24"/>
        </w:rPr>
        <w:t>在偏远乡镇设立服务站点或提供定期巡回赔付服务；</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在中标后3个月内组建台州市医疗保障第三方监管中心，工作人员不少于20人，主要由医学、信息、财务、法学等专业人员组成，协助医保部门开展医保基金监管、意外伤害核查、大病慢病分析等工作。为提高医保大数据监管能力，中标公司应在中标后3个月内引入第三方大数据监管公司,并报市医保局备案。引入的第三方大数据监管公司应具备对基本医疗保险、大病保险等相关数据进行采集、整理、分析、判断以及查找医保违规问题能力，有计算机技术和大数据分析技术、医学和药学、会计和审计等专业技术人员，既往有参加国家、省医保飞行检查经验的公司应予优先考虑。第三方大数据监管公司要配备长期派驻市医保中心人员。相关运营费用由中标公司及合作伙伴共同承担。</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rPr>
      </w:pPr>
      <w:r>
        <w:rPr>
          <w:rFonts w:hint="eastAsia" w:ascii="宋体" w:hAnsi="宋体" w:eastAsia="宋体" w:cs="宋体"/>
          <w:color w:val="auto"/>
          <w:sz w:val="24"/>
        </w:rPr>
        <w:t>实现投标承诺中提供的</w:t>
      </w:r>
      <w:r>
        <w:rPr>
          <w:rFonts w:hint="eastAsia" w:ascii="宋体" w:hAnsi="宋体" w:eastAsia="宋体" w:cs="宋体"/>
          <w:color w:val="auto"/>
          <w:sz w:val="24"/>
          <w:lang w:eastAsia="zh-CN"/>
        </w:rPr>
        <w:t>其他</w:t>
      </w:r>
      <w:r>
        <w:rPr>
          <w:rFonts w:hint="eastAsia" w:ascii="宋体" w:hAnsi="宋体" w:eastAsia="宋体" w:cs="宋体"/>
          <w:color w:val="auto"/>
          <w:sz w:val="24"/>
        </w:rPr>
        <w:t>服务；</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rPr>
      </w:pPr>
      <w:r>
        <w:rPr>
          <w:rFonts w:hint="eastAsia" w:ascii="宋体" w:hAnsi="宋体" w:eastAsia="宋体" w:cs="宋体"/>
          <w:color w:val="auto"/>
          <w:sz w:val="24"/>
        </w:rPr>
        <w:t>做好市、各县（市、区）医保经办机构交办的其它工作。</w:t>
      </w:r>
    </w:p>
    <w:p>
      <w:pPr>
        <w:numPr>
          <w:ilvl w:val="0"/>
          <w:numId w:val="11"/>
        </w:numPr>
        <w:tabs>
          <w:tab w:val="left" w:pos="0"/>
          <w:tab w:val="clear" w:pos="425"/>
        </w:tabs>
        <w:spacing w:line="360" w:lineRule="auto"/>
        <w:ind w:left="6" w:firstLine="506" w:firstLineChars="211"/>
        <w:rPr>
          <w:rFonts w:hint="eastAsia" w:ascii="宋体" w:hAnsi="宋体" w:eastAsia="宋体" w:cs="宋体"/>
          <w:color w:val="auto"/>
          <w:sz w:val="24"/>
        </w:rPr>
      </w:pPr>
      <w:r>
        <w:rPr>
          <w:rFonts w:hint="eastAsia" w:ascii="宋体" w:hAnsi="宋体" w:eastAsia="宋体" w:cs="宋体"/>
          <w:color w:val="auto"/>
          <w:sz w:val="24"/>
        </w:rPr>
        <w:t>自觉接受采购人、市、各县（市、区）</w:t>
      </w:r>
      <w:r>
        <w:rPr>
          <w:rFonts w:hint="eastAsia" w:ascii="宋体" w:hAnsi="宋体" w:eastAsia="宋体" w:cs="宋体"/>
          <w:color w:val="auto"/>
          <w:sz w:val="24"/>
          <w:lang w:eastAsia="zh-CN"/>
        </w:rPr>
        <w:t>医</w:t>
      </w:r>
      <w:r>
        <w:rPr>
          <w:rFonts w:hint="eastAsia" w:ascii="宋体" w:hAnsi="宋体" w:eastAsia="宋体" w:cs="宋体"/>
          <w:color w:val="auto"/>
          <w:sz w:val="24"/>
        </w:rPr>
        <w:t>保经办机构的监督检查。</w:t>
      </w:r>
    </w:p>
    <w:p>
      <w:pPr>
        <w:numPr>
          <w:ilvl w:val="0"/>
          <w:numId w:val="9"/>
        </w:numPr>
        <w:spacing w:line="360" w:lineRule="auto"/>
        <w:ind w:firstLine="335" w:firstLineChars="139"/>
        <w:jc w:val="left"/>
        <w:outlineLvl w:val="0"/>
        <w:rPr>
          <w:rFonts w:hint="eastAsia" w:ascii="宋体" w:hAnsi="宋体" w:eastAsia="宋体" w:cs="宋体"/>
          <w:b/>
          <w:bCs/>
          <w:color w:val="auto"/>
          <w:sz w:val="24"/>
        </w:rPr>
      </w:pPr>
      <w:r>
        <w:rPr>
          <w:rFonts w:hint="eastAsia" w:ascii="宋体" w:hAnsi="宋体" w:eastAsia="宋体" w:cs="宋体"/>
          <w:b/>
          <w:bCs/>
          <w:color w:val="auto"/>
          <w:sz w:val="24"/>
        </w:rPr>
        <w:t>受托方承诺</w:t>
      </w:r>
    </w:p>
    <w:p>
      <w:pPr>
        <w:numPr>
          <w:ilvl w:val="0"/>
          <w:numId w:val="12"/>
        </w:numPr>
        <w:tabs>
          <w:tab w:val="left" w:pos="0"/>
          <w:tab w:val="clear" w:pos="425"/>
        </w:tabs>
        <w:spacing w:line="360" w:lineRule="auto"/>
        <w:ind w:left="6" w:firstLine="506" w:firstLineChars="211"/>
        <w:rPr>
          <w:rFonts w:ascii="宋体" w:cs="宋体"/>
          <w:color w:val="auto"/>
          <w:sz w:val="24"/>
        </w:rPr>
      </w:pPr>
      <w:r>
        <w:rPr>
          <w:rFonts w:hint="eastAsia" w:ascii="宋体" w:hAnsi="宋体" w:cs="宋体"/>
          <w:color w:val="auto"/>
          <w:sz w:val="24"/>
        </w:rPr>
        <w:t>将已参加基本医疗保险的参保人，全部纳入大病保险。每月向承保方提供上月有效参保人数及基本情况等信息；每季度第一个月</w:t>
      </w:r>
      <w:r>
        <w:rPr>
          <w:rFonts w:ascii="宋体" w:hAnsi="宋体" w:cs="宋体"/>
          <w:color w:val="auto"/>
          <w:sz w:val="24"/>
        </w:rPr>
        <w:t>10</w:t>
      </w:r>
      <w:r>
        <w:rPr>
          <w:rFonts w:hint="eastAsia" w:ascii="宋体" w:hAnsi="宋体" w:cs="宋体"/>
          <w:color w:val="auto"/>
          <w:sz w:val="24"/>
        </w:rPr>
        <w:t>日前向承保方支付保险费金额。</w:t>
      </w:r>
    </w:p>
    <w:p>
      <w:pPr>
        <w:numPr>
          <w:ilvl w:val="0"/>
          <w:numId w:val="12"/>
        </w:numPr>
        <w:tabs>
          <w:tab w:val="left" w:pos="0"/>
          <w:tab w:val="clear" w:pos="425"/>
        </w:tabs>
        <w:spacing w:line="360" w:lineRule="auto"/>
        <w:ind w:left="6" w:firstLine="506" w:firstLineChars="211"/>
        <w:rPr>
          <w:rFonts w:ascii="宋体" w:cs="宋体"/>
          <w:color w:val="auto"/>
          <w:sz w:val="24"/>
        </w:rPr>
      </w:pPr>
      <w:r>
        <w:rPr>
          <w:rFonts w:hint="eastAsia" w:ascii="宋体" w:hAnsi="宋体" w:cs="宋体"/>
          <w:color w:val="auto"/>
          <w:sz w:val="24"/>
        </w:rPr>
        <w:t>市、</w:t>
      </w:r>
      <w:r>
        <w:rPr>
          <w:rFonts w:hint="eastAsia" w:ascii="宋体" w:hAnsi="宋体"/>
          <w:color w:val="auto"/>
          <w:sz w:val="24"/>
        </w:rPr>
        <w:t>各县（市、区）</w:t>
      </w:r>
      <w:r>
        <w:rPr>
          <w:rFonts w:hint="eastAsia" w:ascii="宋体" w:hAnsi="宋体"/>
          <w:color w:val="auto"/>
          <w:sz w:val="24"/>
          <w:lang w:eastAsia="zh-CN"/>
        </w:rPr>
        <w:t>医</w:t>
      </w:r>
      <w:r>
        <w:rPr>
          <w:rFonts w:hint="eastAsia" w:ascii="宋体" w:hAnsi="宋体" w:cs="宋体"/>
          <w:color w:val="auto"/>
          <w:sz w:val="24"/>
        </w:rPr>
        <w:t>保经办机构为承保方提供审核支付结算需要的办公坐席。</w:t>
      </w:r>
    </w:p>
    <w:p>
      <w:pPr>
        <w:numPr>
          <w:ilvl w:val="0"/>
          <w:numId w:val="12"/>
        </w:numPr>
        <w:tabs>
          <w:tab w:val="left" w:pos="0"/>
          <w:tab w:val="clear" w:pos="425"/>
        </w:tabs>
        <w:spacing w:line="360" w:lineRule="auto"/>
        <w:ind w:left="6" w:firstLine="506" w:firstLineChars="211"/>
        <w:rPr>
          <w:rFonts w:ascii="宋体" w:cs="宋体"/>
          <w:color w:val="auto"/>
          <w:sz w:val="24"/>
        </w:rPr>
      </w:pPr>
      <w:r>
        <w:rPr>
          <w:rFonts w:hint="eastAsia" w:ascii="宋体" w:hAnsi="宋体" w:cs="宋体"/>
          <w:color w:val="auto"/>
          <w:sz w:val="24"/>
        </w:rPr>
        <w:t>市</w:t>
      </w:r>
      <w:r>
        <w:rPr>
          <w:rFonts w:hint="eastAsia" w:ascii="宋体" w:hAnsi="宋体" w:cs="宋体"/>
          <w:color w:val="auto"/>
          <w:sz w:val="24"/>
          <w:lang w:eastAsia="zh-CN"/>
        </w:rPr>
        <w:t>医保局</w:t>
      </w:r>
      <w:r>
        <w:rPr>
          <w:rFonts w:hint="eastAsia" w:ascii="宋体" w:hAnsi="宋体" w:cs="宋体"/>
          <w:color w:val="auto"/>
          <w:sz w:val="24"/>
        </w:rPr>
        <w:t>部门负责市区大病医疗保险信息系统建设和维护。</w:t>
      </w:r>
    </w:p>
    <w:p>
      <w:pPr>
        <w:numPr>
          <w:ilvl w:val="0"/>
          <w:numId w:val="12"/>
        </w:numPr>
        <w:tabs>
          <w:tab w:val="left" w:pos="0"/>
          <w:tab w:val="clear" w:pos="425"/>
        </w:tabs>
        <w:spacing w:line="360" w:lineRule="auto"/>
        <w:ind w:left="6" w:firstLine="506" w:firstLineChars="211"/>
        <w:rPr>
          <w:rFonts w:ascii="宋体" w:cs="宋体"/>
          <w:color w:val="auto"/>
          <w:sz w:val="24"/>
        </w:rPr>
      </w:pPr>
      <w:r>
        <w:rPr>
          <w:rFonts w:hint="eastAsia" w:ascii="宋体" w:hAnsi="宋体" w:cs="宋体"/>
          <w:color w:val="auto"/>
          <w:sz w:val="24"/>
        </w:rPr>
        <w:t>承保方与定点医疗机构之间需要协调的工作，采购人、受托方予以配合。</w:t>
      </w:r>
    </w:p>
    <w:p>
      <w:pPr>
        <w:numPr>
          <w:ilvl w:val="0"/>
          <w:numId w:val="12"/>
        </w:numPr>
        <w:tabs>
          <w:tab w:val="left" w:pos="0"/>
          <w:tab w:val="clear" w:pos="425"/>
        </w:tabs>
        <w:spacing w:line="360" w:lineRule="auto"/>
        <w:ind w:left="6" w:firstLine="506" w:firstLineChars="211"/>
        <w:rPr>
          <w:rFonts w:ascii="宋体" w:cs="宋体"/>
          <w:color w:val="auto"/>
          <w:sz w:val="24"/>
        </w:rPr>
      </w:pPr>
      <w:r>
        <w:rPr>
          <w:rFonts w:hint="eastAsia" w:ascii="宋体" w:hAnsi="宋体" w:cs="宋体"/>
          <w:color w:val="auto"/>
          <w:sz w:val="24"/>
        </w:rPr>
        <w:t>承保方有权核查被保险人的住院病历、医疗处方、诊断报告、费用明细表和其他与医疗费用有关的一切原始资料以及基本医疗保险统筹基金支付范围内的医疗费用，受托方应予以配合。承保方去定点医疗机构核查大病医疗保险基金支付的医疗费用时，受托方原则上应派人协助。</w:t>
      </w:r>
    </w:p>
    <w:p>
      <w:pPr>
        <w:numPr>
          <w:ilvl w:val="0"/>
          <w:numId w:val="12"/>
        </w:numPr>
        <w:tabs>
          <w:tab w:val="left" w:pos="0"/>
          <w:tab w:val="clear" w:pos="425"/>
        </w:tabs>
        <w:spacing w:line="360" w:lineRule="auto"/>
        <w:ind w:left="6" w:firstLine="506" w:firstLineChars="211"/>
        <w:rPr>
          <w:rFonts w:ascii="宋体" w:cs="宋体"/>
          <w:color w:val="auto"/>
          <w:sz w:val="24"/>
        </w:rPr>
      </w:pPr>
      <w:r>
        <w:rPr>
          <w:rFonts w:hint="eastAsia" w:ascii="宋体" w:hAnsi="宋体" w:cs="宋体"/>
          <w:color w:val="auto"/>
          <w:sz w:val="24"/>
        </w:rPr>
        <w:t>市、</w:t>
      </w:r>
      <w:r>
        <w:rPr>
          <w:rFonts w:hint="eastAsia" w:ascii="宋体" w:hAnsi="宋体"/>
          <w:color w:val="auto"/>
          <w:sz w:val="24"/>
        </w:rPr>
        <w:t>各县（市、区）</w:t>
      </w:r>
      <w:r>
        <w:rPr>
          <w:rFonts w:hint="eastAsia" w:ascii="宋体" w:hAnsi="宋体"/>
          <w:color w:val="auto"/>
          <w:sz w:val="24"/>
          <w:lang w:eastAsia="zh-CN"/>
        </w:rPr>
        <w:t>医</w:t>
      </w:r>
      <w:r>
        <w:rPr>
          <w:rFonts w:hint="eastAsia" w:ascii="宋体" w:hAnsi="宋体" w:cs="宋体"/>
          <w:color w:val="auto"/>
          <w:sz w:val="24"/>
        </w:rPr>
        <w:t>保经办机构以适当方式向承保方提供连接基本医疗保险的信息平台接口，便利承保方联网查询信息等。</w:t>
      </w:r>
    </w:p>
    <w:p>
      <w:pPr>
        <w:numPr>
          <w:ilvl w:val="0"/>
          <w:numId w:val="9"/>
        </w:numPr>
        <w:spacing w:line="360" w:lineRule="auto"/>
        <w:ind w:firstLine="335" w:firstLineChars="139"/>
        <w:jc w:val="left"/>
        <w:outlineLvl w:val="0"/>
        <w:rPr>
          <w:rFonts w:ascii="宋体" w:cs="宋体"/>
          <w:b/>
          <w:bCs/>
          <w:color w:val="auto"/>
          <w:sz w:val="24"/>
        </w:rPr>
      </w:pPr>
      <w:r>
        <w:rPr>
          <w:rFonts w:hint="eastAsia" w:ascii="宋体" w:hAnsi="宋体" w:cs="宋体"/>
          <w:b/>
          <w:bCs/>
          <w:color w:val="auto"/>
          <w:sz w:val="24"/>
        </w:rPr>
        <w:t>项目考核</w:t>
      </w:r>
    </w:p>
    <w:p>
      <w:pPr>
        <w:widowControl/>
        <w:spacing w:line="360" w:lineRule="auto"/>
        <w:ind w:firstLine="480" w:firstLineChars="200"/>
        <w:jc w:val="left"/>
        <w:rPr>
          <w:rFonts w:ascii="宋体" w:cs="宋体"/>
          <w:color w:val="auto"/>
          <w:kern w:val="0"/>
          <w:sz w:val="24"/>
        </w:rPr>
      </w:pPr>
      <w:r>
        <w:rPr>
          <w:rFonts w:hint="eastAsia" w:ascii="宋体" w:hAnsi="宋体" w:cs="宋体"/>
          <w:color w:val="auto"/>
          <w:kern w:val="0"/>
          <w:sz w:val="24"/>
        </w:rPr>
        <w:t>市</w:t>
      </w:r>
      <w:r>
        <w:rPr>
          <w:rFonts w:hint="eastAsia" w:ascii="宋体" w:hAnsi="宋体" w:cs="宋体"/>
          <w:color w:val="auto"/>
          <w:kern w:val="0"/>
          <w:sz w:val="24"/>
          <w:lang w:eastAsia="zh-CN"/>
        </w:rPr>
        <w:t>医保</w:t>
      </w:r>
      <w:r>
        <w:rPr>
          <w:rFonts w:hint="eastAsia" w:ascii="宋体" w:hAnsi="宋体" w:cs="宋体"/>
          <w:color w:val="auto"/>
          <w:kern w:val="0"/>
          <w:sz w:val="24"/>
        </w:rPr>
        <w:t>局、财政局等部门组织对中标单位大病保险工作开展情况进行年终考核。市、各县（市、区）医保经办机构对中标单位大病保险日常工作开展情况进行全程监管。因中标单位违规操作、审核不严造成社保基金损失的，中标单位要承担相应的经济和法律责任。中标单位在服务评分标准中承诺的各项服务以及在投标书中承诺的合作支持等内容，将列为合作的履约必要条款，并作为考核中标单位年度业绩情况的依据之一，如在年度考核中未达到承诺要求时，将相应扣减其年度大病保险保费。</w:t>
      </w:r>
    </w:p>
    <w:p>
      <w:pPr>
        <w:numPr>
          <w:ilvl w:val="0"/>
          <w:numId w:val="9"/>
        </w:numPr>
        <w:spacing w:line="360" w:lineRule="auto"/>
        <w:ind w:firstLine="335" w:firstLineChars="139"/>
        <w:jc w:val="left"/>
        <w:outlineLvl w:val="0"/>
        <w:rPr>
          <w:rFonts w:ascii="宋体" w:cs="宋体"/>
          <w:b/>
          <w:bCs/>
          <w:color w:val="auto"/>
          <w:sz w:val="24"/>
        </w:rPr>
      </w:pPr>
      <w:r>
        <w:rPr>
          <w:rFonts w:hint="eastAsia" w:ascii="宋体" w:hAnsi="宋体" w:cs="宋体"/>
          <w:b/>
          <w:bCs/>
          <w:color w:val="auto"/>
          <w:sz w:val="24"/>
        </w:rPr>
        <w:t>年度结算</w:t>
      </w:r>
    </w:p>
    <w:p>
      <w:pPr>
        <w:widowControl/>
        <w:numPr>
          <w:ilvl w:val="0"/>
          <w:numId w:val="13"/>
        </w:numPr>
        <w:spacing w:line="360" w:lineRule="auto"/>
        <w:ind w:firstLine="480" w:firstLineChars="200"/>
        <w:jc w:val="left"/>
        <w:rPr>
          <w:rFonts w:hint="eastAsia" w:ascii="宋体" w:hAnsi="宋体" w:eastAsia="宋体" w:cs="宋体"/>
          <w:color w:val="auto"/>
          <w:kern w:val="0"/>
          <w:sz w:val="24"/>
        </w:rPr>
      </w:pPr>
      <w:r>
        <w:rPr>
          <w:rFonts w:hint="eastAsia" w:ascii="宋体" w:hAnsi="宋体" w:cs="宋体"/>
          <w:color w:val="auto"/>
          <w:kern w:val="0"/>
          <w:sz w:val="24"/>
        </w:rPr>
        <w:t>本项目全市统一结算，根据保本微利、风险可控的原则实施盈亏管控（原合同尚未履行完毕的县（市、区），合同期内仍按原合同执行，合同期结束后纳入本项目统一结算）。一个年度内，盈亏率【（大病保险当年保费总金额</w:t>
      </w:r>
      <w:r>
        <w:rPr>
          <w:rFonts w:ascii="宋体" w:cs="宋体"/>
          <w:color w:val="auto"/>
          <w:kern w:val="0"/>
          <w:sz w:val="24"/>
        </w:rPr>
        <w:t>-</w:t>
      </w:r>
      <w:r>
        <w:rPr>
          <w:rFonts w:hint="eastAsia" w:ascii="宋体" w:hAnsi="宋体" w:cs="宋体"/>
          <w:color w:val="auto"/>
          <w:kern w:val="0"/>
          <w:sz w:val="24"/>
        </w:rPr>
        <w:t>大病保险当年赔付支出</w:t>
      </w:r>
      <w:r>
        <w:rPr>
          <w:rFonts w:ascii="宋体" w:cs="宋体"/>
          <w:color w:val="auto"/>
          <w:kern w:val="0"/>
          <w:sz w:val="24"/>
        </w:rPr>
        <w:t>-</w:t>
      </w:r>
      <w:r>
        <w:rPr>
          <w:rFonts w:hint="eastAsia" w:ascii="宋体" w:hAnsi="宋体" w:cs="宋体"/>
          <w:color w:val="auto"/>
          <w:kern w:val="0"/>
          <w:sz w:val="24"/>
        </w:rPr>
        <w:t>大病保险当年营运成本）</w:t>
      </w:r>
      <w:r>
        <w:rPr>
          <w:rFonts w:ascii="宋体" w:hAnsi="宋体" w:cs="宋体"/>
          <w:color w:val="auto"/>
          <w:kern w:val="0"/>
          <w:sz w:val="24"/>
        </w:rPr>
        <w:t>/</w:t>
      </w:r>
      <w:r>
        <w:rPr>
          <w:rFonts w:hint="eastAsia" w:ascii="宋体" w:hAnsi="宋体" w:cs="宋体"/>
          <w:color w:val="auto"/>
          <w:kern w:val="0"/>
          <w:sz w:val="24"/>
        </w:rPr>
        <w:t>大病保险当年保费总金额】±</w:t>
      </w:r>
      <w:r>
        <w:rPr>
          <w:rFonts w:ascii="宋体" w:hAnsi="宋体" w:cs="宋体"/>
          <w:color w:val="auto"/>
          <w:kern w:val="0"/>
          <w:sz w:val="24"/>
        </w:rPr>
        <w:t>5%</w:t>
      </w:r>
      <w:r>
        <w:rPr>
          <w:rFonts w:hint="eastAsia" w:ascii="宋体" w:hAnsi="宋体" w:cs="宋体"/>
          <w:color w:val="auto"/>
          <w:kern w:val="0"/>
          <w:sz w:val="24"/>
        </w:rPr>
        <w:t>（含）以内的部分，由中标单位承担（或享受）</w:t>
      </w:r>
      <w:r>
        <w:rPr>
          <w:rFonts w:ascii="宋体" w:hAnsi="宋体" w:cs="宋体"/>
          <w:color w:val="auto"/>
          <w:kern w:val="0"/>
          <w:sz w:val="24"/>
        </w:rPr>
        <w:t>30%</w:t>
      </w:r>
      <w:r>
        <w:rPr>
          <w:rFonts w:hint="eastAsia" w:ascii="宋体" w:hAnsi="宋体" w:cs="宋体"/>
          <w:color w:val="auto"/>
          <w:kern w:val="0"/>
          <w:sz w:val="24"/>
        </w:rPr>
        <w:t>，基金承担（或享受）</w:t>
      </w:r>
      <w:r>
        <w:rPr>
          <w:rFonts w:ascii="宋体" w:hAnsi="宋体" w:cs="宋体"/>
          <w:color w:val="auto"/>
          <w:kern w:val="0"/>
          <w:sz w:val="24"/>
        </w:rPr>
        <w:t>70%</w:t>
      </w:r>
      <w:r>
        <w:rPr>
          <w:rFonts w:hint="eastAsia" w:ascii="宋体" w:hAnsi="宋体" w:cs="宋体"/>
          <w:color w:val="auto"/>
          <w:kern w:val="0"/>
          <w:sz w:val="24"/>
        </w:rPr>
        <w:t>；差额在中标价±</w:t>
      </w:r>
      <w:r>
        <w:rPr>
          <w:rFonts w:ascii="宋体" w:hAnsi="宋体" w:cs="宋体"/>
          <w:color w:val="auto"/>
          <w:kern w:val="0"/>
          <w:sz w:val="24"/>
        </w:rPr>
        <w:t>5%-</w:t>
      </w:r>
      <w:r>
        <w:rPr>
          <w:rFonts w:hint="eastAsia" w:ascii="宋体" w:hAnsi="宋体" w:cs="宋体"/>
          <w:color w:val="auto"/>
          <w:kern w:val="0"/>
          <w:sz w:val="24"/>
        </w:rPr>
        <w:t>±</w:t>
      </w:r>
      <w:r>
        <w:rPr>
          <w:rFonts w:ascii="宋体" w:hAnsi="宋体" w:cs="宋体"/>
          <w:color w:val="auto"/>
          <w:kern w:val="0"/>
          <w:sz w:val="24"/>
        </w:rPr>
        <w:t>15%</w:t>
      </w:r>
      <w:r>
        <w:rPr>
          <w:rFonts w:hint="eastAsia" w:ascii="宋体" w:hAnsi="宋体" w:cs="宋体"/>
          <w:color w:val="auto"/>
          <w:kern w:val="0"/>
          <w:sz w:val="24"/>
        </w:rPr>
        <w:t>（含）以内部分，由中标单位承担（或享受）</w:t>
      </w:r>
      <w:r>
        <w:rPr>
          <w:rFonts w:ascii="宋体" w:hAnsi="宋体" w:cs="宋体"/>
          <w:color w:val="auto"/>
          <w:kern w:val="0"/>
          <w:sz w:val="24"/>
        </w:rPr>
        <w:t>20%</w:t>
      </w:r>
      <w:r>
        <w:rPr>
          <w:rFonts w:hint="eastAsia" w:ascii="宋体" w:hAnsi="宋体" w:cs="宋体"/>
          <w:color w:val="auto"/>
          <w:kern w:val="0"/>
          <w:sz w:val="24"/>
        </w:rPr>
        <w:t>，基金承担（或享受）</w:t>
      </w:r>
      <w:r>
        <w:rPr>
          <w:rFonts w:ascii="宋体" w:hAnsi="宋体" w:cs="宋体"/>
          <w:color w:val="auto"/>
          <w:kern w:val="0"/>
          <w:sz w:val="24"/>
        </w:rPr>
        <w:t>80%</w:t>
      </w:r>
      <w:r>
        <w:rPr>
          <w:rFonts w:hint="eastAsia" w:ascii="宋体" w:hAnsi="宋体" w:cs="宋体"/>
          <w:color w:val="auto"/>
          <w:kern w:val="0"/>
          <w:sz w:val="24"/>
        </w:rPr>
        <w:t>；差额在中标价±</w:t>
      </w:r>
      <w:r>
        <w:rPr>
          <w:rFonts w:ascii="宋体" w:hAnsi="宋体" w:cs="宋体"/>
          <w:color w:val="auto"/>
          <w:kern w:val="0"/>
          <w:sz w:val="24"/>
        </w:rPr>
        <w:t>15%</w:t>
      </w:r>
      <w:r>
        <w:rPr>
          <w:rFonts w:hint="eastAsia" w:ascii="宋体" w:hAnsi="宋体" w:cs="宋体"/>
          <w:color w:val="auto"/>
          <w:kern w:val="0"/>
          <w:sz w:val="24"/>
        </w:rPr>
        <w:t>以上部分，由中标</w:t>
      </w:r>
      <w:r>
        <w:rPr>
          <w:rFonts w:hint="eastAsia" w:ascii="宋体" w:hAnsi="宋体" w:eastAsia="宋体" w:cs="宋体"/>
          <w:color w:val="auto"/>
          <w:kern w:val="0"/>
          <w:sz w:val="24"/>
        </w:rPr>
        <w:t>单位承担（或享受）10%，基金承担（或享受）90%。如招标人发现中标单位未尽风险管控职责导致基金异常漏损的，招标人不予承担漏损费用，并在年度结算时，扣减两倍漏损金额的保费。</w:t>
      </w:r>
      <w:r>
        <w:rPr>
          <w:rFonts w:hint="eastAsia" w:ascii="宋体" w:hAnsi="宋体" w:eastAsia="宋体" w:cs="宋体"/>
          <w:color w:val="auto"/>
          <w:kern w:val="0"/>
          <w:sz w:val="24"/>
          <w:lang w:eastAsia="zh-CN"/>
        </w:rPr>
        <w:t>符合</w:t>
      </w:r>
      <w:r>
        <w:rPr>
          <w:rFonts w:hint="eastAsia" w:ascii="宋体" w:hAnsi="宋体" w:eastAsia="宋体" w:cs="宋体"/>
          <w:color w:val="auto"/>
          <w:kern w:val="0"/>
          <w:sz w:val="24"/>
        </w:rPr>
        <w:t>《浙江省医疗保障局关于将肿瘤全身断层显像纳入大病保险支付范围等有关事项的通知》（浙医保发〔2021〕31号）</w:t>
      </w:r>
      <w:r>
        <w:rPr>
          <w:rFonts w:hint="eastAsia" w:ascii="宋体" w:hAnsi="宋体" w:eastAsia="宋体" w:cs="宋体"/>
          <w:color w:val="auto"/>
          <w:kern w:val="0"/>
          <w:sz w:val="24"/>
          <w:lang w:eastAsia="zh-CN"/>
        </w:rPr>
        <w:t>规定的</w:t>
      </w:r>
      <w:r>
        <w:rPr>
          <w:rFonts w:hint="eastAsia" w:ascii="宋体" w:hAnsi="宋体" w:eastAsia="宋体" w:cs="宋体"/>
          <w:color w:val="auto"/>
          <w:kern w:val="0"/>
          <w:sz w:val="24"/>
          <w:lang w:val="en-US" w:eastAsia="zh-CN"/>
        </w:rPr>
        <w:t>PET-CT费用和</w:t>
      </w:r>
      <w:r>
        <w:rPr>
          <w:rFonts w:hint="eastAsia" w:ascii="宋体" w:hAnsi="宋体" w:eastAsia="宋体" w:cs="宋体"/>
          <w:color w:val="auto"/>
          <w:kern w:val="0"/>
          <w:sz w:val="24"/>
        </w:rPr>
        <w:t>合同期间因基本医疗保险或大病保险等重大政策调整等因素需增加的支出由大病保险基金单独支付，不计入中标单位盈亏。</w:t>
      </w:r>
    </w:p>
    <w:p>
      <w:pPr>
        <w:widowControl/>
        <w:numPr>
          <w:ilvl w:val="0"/>
          <w:numId w:val="13"/>
        </w:num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按照承保合同期进行清算，清算时点定为承保合同期结束后次年5月31日，在清算时点前承保合同期内产生的已结算大病保险费用全部纳入清算范围；</w:t>
      </w:r>
      <w:r>
        <w:rPr>
          <w:rFonts w:hint="eastAsia" w:ascii="宋体" w:hAnsi="宋体" w:eastAsia="宋体" w:cs="宋体"/>
          <w:color w:val="auto"/>
          <w:kern w:val="0"/>
          <w:sz w:val="24"/>
          <w:lang w:val="en-US"/>
        </w:rPr>
        <w:t>在清算时点后再受理的</w:t>
      </w:r>
      <w:r>
        <w:rPr>
          <w:rFonts w:hint="eastAsia" w:ascii="宋体" w:hAnsi="宋体" w:eastAsia="宋体" w:cs="宋体"/>
          <w:color w:val="auto"/>
          <w:kern w:val="0"/>
          <w:sz w:val="24"/>
          <w:lang w:val="en-US" w:eastAsia="zh-CN"/>
        </w:rPr>
        <w:t>承保合同</w:t>
      </w:r>
      <w:r>
        <w:rPr>
          <w:rFonts w:hint="eastAsia" w:ascii="宋体" w:hAnsi="宋体" w:eastAsia="宋体" w:cs="宋体"/>
          <w:color w:val="auto"/>
          <w:kern w:val="0"/>
          <w:sz w:val="24"/>
          <w:lang w:val="en-US"/>
        </w:rPr>
        <w:t>期内</w:t>
      </w:r>
      <w:r>
        <w:rPr>
          <w:rFonts w:hint="eastAsia" w:ascii="宋体" w:hAnsi="宋体" w:eastAsia="宋体" w:cs="宋体"/>
          <w:color w:val="auto"/>
          <w:kern w:val="0"/>
          <w:sz w:val="24"/>
          <w:lang w:val="en-US" w:eastAsia="zh-CN"/>
        </w:rPr>
        <w:t>产生的</w:t>
      </w:r>
      <w:r>
        <w:rPr>
          <w:rFonts w:hint="eastAsia" w:ascii="宋体" w:hAnsi="宋体" w:eastAsia="宋体" w:cs="宋体"/>
          <w:color w:val="auto"/>
          <w:kern w:val="0"/>
          <w:sz w:val="24"/>
          <w:lang w:val="en-US"/>
        </w:rPr>
        <w:t>大病保险</w:t>
      </w:r>
      <w:r>
        <w:rPr>
          <w:rFonts w:hint="eastAsia" w:ascii="宋体" w:hAnsi="宋体" w:eastAsia="宋体" w:cs="宋体"/>
          <w:color w:val="auto"/>
          <w:kern w:val="0"/>
          <w:sz w:val="24"/>
          <w:lang w:val="en-US" w:eastAsia="zh-CN"/>
        </w:rPr>
        <w:t>费用</w:t>
      </w:r>
      <w:r>
        <w:rPr>
          <w:rFonts w:hint="eastAsia" w:ascii="宋体" w:hAnsi="宋体" w:eastAsia="宋体" w:cs="宋体"/>
          <w:color w:val="auto"/>
          <w:kern w:val="0"/>
          <w:sz w:val="24"/>
          <w:lang w:val="en-US"/>
        </w:rPr>
        <w:t>，由</w:t>
      </w:r>
      <w:r>
        <w:rPr>
          <w:rFonts w:hint="eastAsia" w:ascii="宋体" w:hAnsi="宋体" w:eastAsia="宋体" w:cs="宋体"/>
          <w:color w:val="auto"/>
          <w:kern w:val="0"/>
          <w:sz w:val="24"/>
          <w:lang w:val="en-US" w:eastAsia="zh-CN"/>
        </w:rPr>
        <w:t>新一轮承保公司负责赔付，纳入新一轮大病保险赔付支出</w:t>
      </w:r>
      <w:r>
        <w:rPr>
          <w:rFonts w:hint="eastAsia" w:ascii="宋体" w:hAnsi="宋体" w:eastAsia="宋体" w:cs="宋体"/>
          <w:color w:val="auto"/>
          <w:kern w:val="0"/>
          <w:sz w:val="24"/>
          <w:lang w:val="en-US"/>
        </w:rPr>
        <w:t>。</w:t>
      </w:r>
    </w:p>
    <w:p>
      <w:pPr>
        <w:widowControl/>
        <w:numPr>
          <w:ilvl w:val="0"/>
          <w:numId w:val="13"/>
        </w:num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大病保险当年营运成本限1</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0名经办专业人员及理赔勘查、审核管控需要的10辆车的费用（每名人员费用按照上年度台州市在岗职工平均工资水平确定</w:t>
      </w:r>
      <w:r>
        <w:rPr>
          <w:rFonts w:hint="eastAsia" w:ascii="宋体" w:hAnsi="宋体" w:eastAsia="宋体" w:cs="宋体"/>
          <w:color w:val="auto"/>
          <w:kern w:val="0"/>
          <w:sz w:val="24"/>
          <w:lang w:eastAsia="zh-CN"/>
        </w:rPr>
        <w:t>，政府相关部门未公布</w:t>
      </w:r>
      <w:r>
        <w:rPr>
          <w:rFonts w:hint="eastAsia" w:ascii="宋体" w:hAnsi="宋体" w:eastAsia="宋体" w:cs="宋体"/>
          <w:color w:val="auto"/>
          <w:kern w:val="0"/>
          <w:sz w:val="24"/>
        </w:rPr>
        <w:t>上年度台州市在岗职工平均工资水平</w:t>
      </w:r>
      <w:r>
        <w:rPr>
          <w:rFonts w:hint="eastAsia" w:ascii="宋体" w:hAnsi="宋体" w:eastAsia="宋体" w:cs="宋体"/>
          <w:color w:val="auto"/>
          <w:kern w:val="0"/>
          <w:sz w:val="24"/>
          <w:lang w:eastAsia="zh-CN"/>
        </w:rPr>
        <w:t>的，按最新公布标准每年递增</w:t>
      </w:r>
      <w:r>
        <w:rPr>
          <w:rFonts w:hint="eastAsia" w:ascii="宋体" w:hAnsi="宋体" w:eastAsia="宋体" w:cs="宋体"/>
          <w:color w:val="auto"/>
          <w:kern w:val="0"/>
          <w:sz w:val="24"/>
          <w:lang w:val="en-US" w:eastAsia="zh-CN"/>
        </w:rPr>
        <w:t>5%执行；</w:t>
      </w:r>
      <w:r>
        <w:rPr>
          <w:rFonts w:hint="eastAsia" w:ascii="宋体" w:hAnsi="宋体" w:eastAsia="宋体" w:cs="宋体"/>
          <w:color w:val="auto"/>
          <w:kern w:val="0"/>
          <w:sz w:val="24"/>
        </w:rPr>
        <w:t>车辆费用按照每年10万元确定）。</w:t>
      </w:r>
    </w:p>
    <w:p>
      <w:pPr>
        <w:numPr>
          <w:ilvl w:val="0"/>
          <w:numId w:val="9"/>
        </w:numPr>
        <w:spacing w:line="360" w:lineRule="auto"/>
        <w:ind w:firstLine="335" w:firstLineChars="139"/>
        <w:jc w:val="left"/>
        <w:outlineLvl w:val="0"/>
        <w:rPr>
          <w:rFonts w:ascii="宋体" w:cs="宋体"/>
          <w:b/>
          <w:bCs/>
          <w:color w:val="000000"/>
          <w:sz w:val="24"/>
        </w:rPr>
      </w:pPr>
      <w:r>
        <w:rPr>
          <w:rFonts w:hint="eastAsia" w:ascii="宋体" w:hAnsi="宋体" w:cs="宋体"/>
          <w:b/>
          <w:bCs/>
          <w:color w:val="000000"/>
          <w:sz w:val="24"/>
        </w:rPr>
        <w:t>履约保证金</w:t>
      </w:r>
    </w:p>
    <w:p>
      <w:pPr>
        <w:widowControl/>
        <w:spacing w:line="360" w:lineRule="auto"/>
        <w:ind w:firstLine="480" w:firstLineChars="200"/>
        <w:jc w:val="left"/>
      </w:pPr>
      <w:r>
        <w:rPr>
          <w:rFonts w:hint="eastAsia" w:ascii="宋体" w:hAnsi="宋体" w:cs="宋体"/>
          <w:kern w:val="0"/>
          <w:sz w:val="24"/>
        </w:rPr>
        <w:t>履约保证金为中标年度保费的</w:t>
      </w:r>
      <w:r>
        <w:rPr>
          <w:rFonts w:ascii="宋体" w:hAnsi="宋体" w:cs="宋体"/>
          <w:kern w:val="0"/>
          <w:sz w:val="24"/>
        </w:rPr>
        <w:t>1%</w:t>
      </w:r>
      <w:r>
        <w:rPr>
          <w:rFonts w:hint="eastAsia" w:ascii="宋体" w:hAnsi="宋体" w:cs="宋体"/>
          <w:kern w:val="0"/>
          <w:sz w:val="24"/>
        </w:rPr>
        <w:t>（参保人数按</w:t>
      </w:r>
      <w:r>
        <w:rPr>
          <w:rFonts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年末实际参保人数计算），承保方需在合同签订前将履约保证金转付至受托方指定帐户。</w:t>
      </w:r>
      <w:r>
        <w:rPr>
          <w:rFonts w:ascii="宋体" w:hAnsi="宋体" w:cs="宋体"/>
          <w:kern w:val="0"/>
          <w:sz w:val="24"/>
        </w:rPr>
        <w:t xml:space="preserve"> </w:t>
      </w:r>
    </w:p>
    <w:p>
      <w:pPr>
        <w:numPr>
          <w:ilvl w:val="0"/>
          <w:numId w:val="9"/>
        </w:numPr>
        <w:spacing w:line="360" w:lineRule="auto"/>
        <w:ind w:firstLine="335" w:firstLineChars="139"/>
        <w:jc w:val="left"/>
        <w:outlineLvl w:val="0"/>
        <w:rPr>
          <w:rFonts w:ascii="宋体" w:cs="宋体"/>
          <w:b/>
          <w:bCs/>
          <w:color w:val="000000"/>
          <w:sz w:val="24"/>
        </w:rPr>
      </w:pPr>
      <w:r>
        <w:rPr>
          <w:rFonts w:hint="eastAsia" w:ascii="宋体" w:hAnsi="宋体" w:cs="宋体"/>
          <w:b/>
          <w:bCs/>
          <w:color w:val="000000"/>
          <w:sz w:val="24"/>
        </w:rPr>
        <w:t>违约责任</w:t>
      </w:r>
    </w:p>
    <w:p>
      <w:pPr>
        <w:numPr>
          <w:ilvl w:val="0"/>
          <w:numId w:val="14"/>
        </w:numPr>
        <w:spacing w:line="360" w:lineRule="auto"/>
        <w:ind w:left="6" w:firstLine="506" w:firstLineChars="211"/>
        <w:rPr>
          <w:rFonts w:ascii="宋体" w:cs="宋体"/>
          <w:color w:val="000000"/>
          <w:sz w:val="24"/>
        </w:rPr>
      </w:pPr>
      <w:r>
        <w:rPr>
          <w:rFonts w:hint="eastAsia" w:ascii="宋体" w:hAnsi="宋体" w:cs="宋体"/>
          <w:color w:val="000000"/>
          <w:sz w:val="24"/>
        </w:rPr>
        <w:t>合同各方应严格履行本协议之规定，若一方违约，则应承担对方因违约造成的所有损失。</w:t>
      </w:r>
    </w:p>
    <w:p>
      <w:pPr>
        <w:numPr>
          <w:ilvl w:val="0"/>
          <w:numId w:val="14"/>
        </w:numPr>
        <w:spacing w:line="360" w:lineRule="auto"/>
        <w:ind w:left="6" w:firstLine="506" w:firstLineChars="211"/>
        <w:rPr>
          <w:rFonts w:ascii="宋体" w:cs="宋体"/>
          <w:color w:val="000000"/>
          <w:sz w:val="24"/>
        </w:rPr>
      </w:pPr>
      <w:r>
        <w:rPr>
          <w:rFonts w:hint="eastAsia" w:ascii="宋体" w:hAnsi="宋体" w:cs="宋体"/>
          <w:color w:val="000000"/>
          <w:sz w:val="24"/>
        </w:rPr>
        <w:t>本协议未尽事宜，合同双方协商解决。</w:t>
      </w:r>
    </w:p>
    <w:p>
      <w:pPr>
        <w:numPr>
          <w:ilvl w:val="0"/>
          <w:numId w:val="14"/>
        </w:numPr>
        <w:spacing w:line="360" w:lineRule="auto"/>
        <w:ind w:left="6" w:firstLine="506" w:firstLineChars="211"/>
        <w:rPr>
          <w:rFonts w:ascii="宋体" w:cs="宋体"/>
          <w:color w:val="000000"/>
          <w:sz w:val="24"/>
        </w:rPr>
      </w:pPr>
      <w:r>
        <w:rPr>
          <w:rFonts w:hint="eastAsia" w:ascii="宋体" w:hAnsi="宋体" w:cs="宋体"/>
          <w:color w:val="000000"/>
          <w:sz w:val="24"/>
        </w:rPr>
        <w:t>合同纠纷按《中华人民共和国合同法》执行。</w:t>
      </w:r>
    </w:p>
    <w:p>
      <w:pPr>
        <w:numPr>
          <w:ilvl w:val="0"/>
          <w:numId w:val="9"/>
        </w:numPr>
        <w:spacing w:line="360" w:lineRule="auto"/>
        <w:ind w:firstLine="335" w:firstLineChars="139"/>
        <w:jc w:val="left"/>
        <w:outlineLvl w:val="0"/>
        <w:rPr>
          <w:rFonts w:ascii="宋体" w:cs="宋体"/>
          <w:b/>
          <w:bCs/>
          <w:color w:val="000000"/>
          <w:sz w:val="24"/>
        </w:rPr>
      </w:pPr>
      <w:r>
        <w:rPr>
          <w:rFonts w:hint="eastAsia" w:ascii="宋体" w:hAnsi="宋体" w:cs="宋体"/>
          <w:b/>
          <w:bCs/>
          <w:color w:val="000000"/>
          <w:sz w:val="24"/>
        </w:rPr>
        <w:t>解决合同纠纷的方式</w:t>
      </w:r>
    </w:p>
    <w:p>
      <w:pPr>
        <w:spacing w:line="360" w:lineRule="auto"/>
        <w:ind w:firstLine="480" w:firstLineChars="200"/>
        <w:rPr>
          <w:rFonts w:ascii="宋体" w:cs="宋体"/>
          <w:color w:val="000000"/>
          <w:sz w:val="24"/>
        </w:rPr>
      </w:pPr>
      <w:r>
        <w:rPr>
          <w:rFonts w:hint="eastAsia" w:ascii="宋体" w:hAnsi="宋体" w:cs="宋体"/>
          <w:color w:val="000000"/>
          <w:sz w:val="24"/>
        </w:rPr>
        <w:t>向合同签订地的人民法院提出诉讼。</w:t>
      </w:r>
    </w:p>
    <w:p>
      <w:pPr>
        <w:numPr>
          <w:ilvl w:val="0"/>
          <w:numId w:val="9"/>
        </w:numPr>
        <w:spacing w:line="360" w:lineRule="auto"/>
        <w:ind w:firstLine="335" w:firstLineChars="139"/>
        <w:jc w:val="left"/>
        <w:outlineLvl w:val="0"/>
        <w:rPr>
          <w:rFonts w:ascii="宋体" w:cs="宋体"/>
          <w:b/>
          <w:bCs/>
          <w:color w:val="000000"/>
          <w:sz w:val="24"/>
        </w:rPr>
      </w:pPr>
      <w:r>
        <w:rPr>
          <w:rFonts w:hint="eastAsia" w:ascii="宋体" w:hAnsi="宋体" w:cs="宋体"/>
          <w:b/>
          <w:bCs/>
          <w:color w:val="000000"/>
          <w:sz w:val="24"/>
        </w:rPr>
        <w:t>组成合同的文件</w:t>
      </w:r>
    </w:p>
    <w:p>
      <w:pPr>
        <w:numPr>
          <w:ilvl w:val="0"/>
          <w:numId w:val="15"/>
        </w:numPr>
        <w:spacing w:line="360" w:lineRule="auto"/>
        <w:ind w:left="6" w:firstLine="506" w:firstLineChars="211"/>
        <w:rPr>
          <w:rFonts w:ascii="宋体" w:cs="宋体"/>
          <w:color w:val="000000"/>
          <w:sz w:val="24"/>
        </w:rPr>
      </w:pPr>
      <w:r>
        <w:rPr>
          <w:rFonts w:hint="eastAsia" w:ascii="宋体" w:hAnsi="宋体" w:cs="宋体"/>
          <w:color w:val="000000"/>
          <w:sz w:val="24"/>
        </w:rPr>
        <w:t>本合同</w:t>
      </w:r>
    </w:p>
    <w:p>
      <w:pPr>
        <w:numPr>
          <w:ilvl w:val="0"/>
          <w:numId w:val="15"/>
        </w:numPr>
        <w:spacing w:line="360" w:lineRule="auto"/>
        <w:ind w:left="6" w:firstLine="506" w:firstLineChars="211"/>
        <w:rPr>
          <w:rFonts w:ascii="宋体" w:cs="宋体"/>
          <w:color w:val="000000"/>
          <w:sz w:val="24"/>
        </w:rPr>
      </w:pPr>
      <w:r>
        <w:rPr>
          <w:rFonts w:hint="eastAsia" w:ascii="宋体" w:hAnsi="宋体" w:cs="宋体"/>
          <w:color w:val="000000"/>
          <w:sz w:val="24"/>
        </w:rPr>
        <w:t>本项目招标文件</w:t>
      </w:r>
    </w:p>
    <w:p>
      <w:pPr>
        <w:numPr>
          <w:ilvl w:val="0"/>
          <w:numId w:val="15"/>
        </w:numPr>
        <w:spacing w:line="360" w:lineRule="auto"/>
        <w:ind w:left="6" w:firstLine="506" w:firstLineChars="211"/>
        <w:rPr>
          <w:rFonts w:ascii="宋体" w:cs="宋体"/>
          <w:color w:val="000000"/>
          <w:sz w:val="24"/>
        </w:rPr>
      </w:pPr>
      <w:r>
        <w:rPr>
          <w:rFonts w:hint="eastAsia" w:ascii="宋体" w:hAnsi="宋体" w:cs="宋体"/>
          <w:color w:val="000000"/>
          <w:sz w:val="24"/>
        </w:rPr>
        <w:t>本项目投标文件及其附件</w:t>
      </w:r>
    </w:p>
    <w:p>
      <w:pPr>
        <w:numPr>
          <w:ilvl w:val="0"/>
          <w:numId w:val="15"/>
        </w:numPr>
        <w:spacing w:line="360" w:lineRule="auto"/>
        <w:ind w:left="6" w:firstLine="506" w:firstLineChars="211"/>
        <w:rPr>
          <w:rFonts w:ascii="宋体" w:cs="宋体"/>
          <w:color w:val="000000"/>
          <w:sz w:val="24"/>
        </w:rPr>
      </w:pPr>
      <w:r>
        <w:rPr>
          <w:rFonts w:hint="eastAsia" w:ascii="宋体" w:hAnsi="宋体" w:cs="宋体"/>
          <w:color w:val="000000"/>
          <w:sz w:val="24"/>
        </w:rPr>
        <w:t>本项目中标通知书</w:t>
      </w:r>
    </w:p>
    <w:p>
      <w:pPr>
        <w:spacing w:line="360" w:lineRule="auto"/>
        <w:ind w:firstLine="480" w:firstLineChars="200"/>
        <w:rPr>
          <w:rFonts w:ascii="宋体" w:cs="宋体"/>
          <w:color w:val="000000"/>
          <w:sz w:val="24"/>
        </w:rPr>
      </w:pPr>
      <w:r>
        <w:rPr>
          <w:rFonts w:hint="eastAsia" w:ascii="宋体" w:hAnsi="宋体" w:cs="宋体"/>
          <w:color w:val="000000"/>
          <w:sz w:val="24"/>
        </w:rPr>
        <w:t>本合同双方约定</w:t>
      </w:r>
      <w:r>
        <w:rPr>
          <w:rFonts w:ascii="宋体" w:hAnsi="宋体" w:cs="宋体"/>
          <w:color w:val="000000"/>
          <w:sz w:val="24"/>
          <w:u w:val="single"/>
        </w:rPr>
        <w:t>20</w:t>
      </w:r>
      <w:r>
        <w:rPr>
          <w:rFonts w:hint="eastAsia" w:ascii="宋体" w:hAnsi="宋体" w:cs="宋体"/>
          <w:color w:val="000000"/>
          <w:sz w:val="24"/>
          <w:u w:val="single"/>
          <w:lang w:val="en-US" w:eastAsia="zh-CN"/>
        </w:rPr>
        <w:t>22</w:t>
      </w:r>
      <w:r>
        <w:rPr>
          <w:rFonts w:hint="eastAsia" w:ascii="宋体" w:hAnsi="宋体" w:cs="宋体"/>
          <w:color w:val="000000"/>
          <w:sz w:val="24"/>
          <w:u w:val="single"/>
        </w:rPr>
        <w:t>年</w:t>
      </w:r>
      <w:r>
        <w:rPr>
          <w:rFonts w:hint="eastAsia" w:ascii="宋体" w:hAnsi="宋体" w:cs="宋体"/>
          <w:color w:val="000000"/>
          <w:sz w:val="24"/>
          <w:u w:val="single"/>
          <w:lang w:val="en-US" w:eastAsia="zh-CN"/>
        </w:rPr>
        <w:t>1</w:t>
      </w:r>
      <w:r>
        <w:rPr>
          <w:rFonts w:hint="eastAsia" w:ascii="宋体" w:hAnsi="宋体" w:cs="宋体"/>
          <w:color w:val="000000"/>
          <w:sz w:val="24"/>
          <w:u w:val="single"/>
        </w:rPr>
        <w:t>月</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日</w:t>
      </w:r>
      <w:r>
        <w:rPr>
          <w:rFonts w:hint="eastAsia" w:ascii="宋体" w:hAnsi="宋体" w:cs="宋体"/>
          <w:color w:val="000000"/>
          <w:sz w:val="24"/>
        </w:rPr>
        <w:t>起生效</w:t>
      </w:r>
    </w:p>
    <w:p>
      <w:pPr>
        <w:numPr>
          <w:ilvl w:val="0"/>
          <w:numId w:val="9"/>
        </w:numPr>
        <w:spacing w:line="360" w:lineRule="auto"/>
        <w:ind w:firstLine="482" w:firstLineChars="200"/>
        <w:outlineLvl w:val="0"/>
        <w:rPr>
          <w:rFonts w:ascii="宋体" w:cs="宋体"/>
          <w:b/>
          <w:bCs/>
          <w:color w:val="000000"/>
          <w:sz w:val="24"/>
        </w:rPr>
      </w:pPr>
      <w:r>
        <w:rPr>
          <w:rFonts w:hint="eastAsia" w:ascii="宋体" w:hAnsi="宋体" w:cs="宋体"/>
          <w:b/>
          <w:bCs/>
          <w:color w:val="000000"/>
          <w:sz w:val="24"/>
        </w:rPr>
        <w:t>合同份数</w:t>
      </w:r>
    </w:p>
    <w:p>
      <w:pPr>
        <w:spacing w:line="360" w:lineRule="auto"/>
        <w:ind w:firstLine="480" w:firstLineChars="200"/>
        <w:rPr>
          <w:rFonts w:ascii="宋体" w:cs="宋体"/>
          <w:b/>
          <w:bCs/>
          <w:color w:val="000000"/>
          <w:sz w:val="24"/>
        </w:rPr>
      </w:pPr>
      <w:r>
        <w:rPr>
          <w:rFonts w:hint="eastAsia" w:ascii="宋体" w:hAnsi="宋体" w:cs="宋体"/>
          <w:color w:val="000000"/>
          <w:sz w:val="24"/>
        </w:rPr>
        <w:t>本合同一式</w:t>
      </w:r>
      <w:r>
        <w:rPr>
          <w:rFonts w:hint="eastAsia" w:ascii="宋体" w:hAnsi="宋体" w:cs="宋体"/>
          <w:color w:val="FF0000"/>
          <w:sz w:val="24"/>
          <w:lang w:eastAsia="zh-CN"/>
        </w:rPr>
        <w:t>肆</w:t>
      </w:r>
      <w:r>
        <w:rPr>
          <w:rFonts w:hint="eastAsia" w:ascii="宋体" w:hAnsi="宋体" w:cs="宋体"/>
          <w:color w:val="000000"/>
          <w:sz w:val="24"/>
        </w:rPr>
        <w:t>份。合同各方各执壹份，</w:t>
      </w:r>
      <w:r>
        <w:rPr>
          <w:rFonts w:hint="eastAsia" w:ascii="宋体" w:hAnsi="宋体" w:cs="宋体"/>
          <w:color w:val="FF0000"/>
          <w:sz w:val="24"/>
        </w:rPr>
        <w:t>市</w:t>
      </w:r>
      <w:r>
        <w:rPr>
          <w:rFonts w:hint="eastAsia" w:ascii="宋体" w:hAnsi="宋体" w:cs="宋体"/>
          <w:color w:val="FF0000"/>
          <w:sz w:val="24"/>
          <w:lang w:eastAsia="zh-CN"/>
        </w:rPr>
        <w:t>医保</w:t>
      </w:r>
      <w:r>
        <w:rPr>
          <w:rFonts w:hint="eastAsia" w:ascii="宋体" w:hAnsi="宋体" w:cs="宋体"/>
          <w:color w:val="FF0000"/>
          <w:sz w:val="24"/>
        </w:rPr>
        <w:t>行政主管部门</w:t>
      </w:r>
      <w:r>
        <w:rPr>
          <w:rFonts w:hint="eastAsia" w:ascii="宋体" w:hAnsi="宋体" w:cs="宋体"/>
          <w:color w:val="000000"/>
          <w:sz w:val="24"/>
        </w:rPr>
        <w:t>备案壹份，政府采购机构备案壹份。</w:t>
      </w:r>
    </w:p>
    <w:p>
      <w:pPr>
        <w:numPr>
          <w:ilvl w:val="0"/>
          <w:numId w:val="9"/>
        </w:numPr>
        <w:spacing w:line="360" w:lineRule="auto"/>
        <w:ind w:firstLine="482" w:firstLineChars="200"/>
        <w:outlineLvl w:val="0"/>
        <w:rPr>
          <w:rFonts w:ascii="宋体" w:cs="宋体"/>
          <w:b/>
          <w:bCs/>
          <w:color w:val="000000"/>
          <w:sz w:val="24"/>
        </w:rPr>
      </w:pPr>
      <w:r>
        <w:rPr>
          <w:rFonts w:hint="eastAsia" w:ascii="宋体" w:hAnsi="宋体" w:cs="宋体"/>
          <w:b/>
          <w:bCs/>
          <w:color w:val="000000"/>
          <w:sz w:val="24"/>
        </w:rPr>
        <w:t>其它约定事项</w:t>
      </w:r>
    </w:p>
    <w:p>
      <w:pPr>
        <w:ind w:firstLine="480" w:firstLineChars="200"/>
        <w:rPr>
          <w:rFonts w:hint="eastAsia" w:ascii="宋体" w:eastAsia="宋体" w:cs="宋体"/>
          <w:color w:val="000000"/>
          <w:sz w:val="24"/>
          <w:lang w:eastAsia="zh-CN"/>
        </w:rPr>
      </w:pPr>
      <w:r>
        <w:rPr>
          <w:rFonts w:hint="eastAsia" w:ascii="宋体" w:hAnsi="宋体" w:cs="宋体"/>
          <w:color w:val="000000"/>
          <w:sz w:val="24"/>
        </w:rPr>
        <w:t>本合同内容与上级下达的新文件（或规定条例）有缺失或不符部分，自新文件（或规定条例）生效之日起无条件自动变更，双方签订补充合同一同生效</w:t>
      </w:r>
      <w:r>
        <w:rPr>
          <w:rFonts w:hint="eastAsia" w:ascii="宋体" w:hAnsi="宋体" w:cs="宋体"/>
          <w:color w:val="000000"/>
          <w:sz w:val="24"/>
          <w:lang w:eastAsia="zh-CN"/>
        </w:rPr>
        <w:t>。</w:t>
      </w:r>
    </w:p>
    <w:p>
      <w:pPr>
        <w:widowControl/>
        <w:spacing w:line="360" w:lineRule="auto"/>
        <w:ind w:firstLine="480" w:firstLineChars="200"/>
        <w:rPr>
          <w:rFonts w:ascii="宋体" w:hAnsi="宋体" w:cstheme="minorBidi"/>
          <w:sz w:val="24"/>
        </w:rPr>
      </w:pP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41" w:name="_Toc5481_WPSOffice_Level1"/>
      <w:r>
        <w:rPr>
          <w:rFonts w:hint="eastAsia" w:asciiTheme="minorEastAsia" w:hAnsiTheme="minorEastAsia" w:eastAsiaTheme="minorEastAsia"/>
          <w:b/>
          <w:sz w:val="36"/>
          <w:szCs w:val="36"/>
        </w:rPr>
        <w:t>第六章 投标文件格式</w:t>
      </w:r>
      <w:bookmarkEnd w:id="41"/>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2" w:name="_Toc19093_WPSOffice_Level1"/>
      <w:bookmarkStart w:id="43" w:name="_Toc4956_WPSOffice_Level1"/>
      <w:bookmarkStart w:id="44" w:name="_Toc32372_WPSOffice_Level1"/>
      <w:r>
        <w:rPr>
          <w:rFonts w:hint="eastAsia"/>
          <w:sz w:val="52"/>
          <w:szCs w:val="52"/>
        </w:rPr>
        <w:t>项目名称</w:t>
      </w:r>
      <w:bookmarkEnd w:id="42"/>
      <w:bookmarkEnd w:id="43"/>
      <w:bookmarkEnd w:id="4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9"/>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6"/>
        </w:numPr>
        <w:spacing w:line="360" w:lineRule="auto"/>
        <w:ind w:hanging="5"/>
        <w:rPr>
          <w:sz w:val="28"/>
          <w:szCs w:val="36"/>
        </w:rPr>
      </w:pPr>
      <w:bookmarkStart w:id="45" w:name="_Toc27049_WPSOffice_Level1"/>
      <w:bookmarkStart w:id="46" w:name="_Toc12587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5"/>
      <w:bookmarkEnd w:id="46"/>
    </w:p>
    <w:p>
      <w:pPr>
        <w:numPr>
          <w:ilvl w:val="0"/>
          <w:numId w:val="16"/>
        </w:numPr>
        <w:spacing w:line="360" w:lineRule="auto"/>
        <w:ind w:hanging="5"/>
        <w:rPr>
          <w:sz w:val="28"/>
          <w:szCs w:val="36"/>
        </w:rPr>
      </w:pPr>
      <w:bookmarkStart w:id="47" w:name="_Toc25574_WPSOffice_Level1"/>
      <w:bookmarkStart w:id="48" w:name="_Toc28306_WPSOffice_Level1"/>
      <w:r>
        <w:rPr>
          <w:rFonts w:hint="eastAsia"/>
          <w:sz w:val="28"/>
          <w:szCs w:val="36"/>
        </w:rPr>
        <w:t>授权委托书（法定代表人办理投标事宜的，则无需提交)（附件</w:t>
      </w:r>
      <w:r>
        <w:rPr>
          <w:rFonts w:hint="eastAsia"/>
          <w:sz w:val="28"/>
          <w:szCs w:val="36"/>
          <w:lang w:val="en-US" w:eastAsia="zh-CN"/>
        </w:rPr>
        <w:t>2</w:t>
      </w:r>
      <w:r>
        <w:rPr>
          <w:rFonts w:hint="eastAsia"/>
          <w:sz w:val="28"/>
          <w:szCs w:val="36"/>
        </w:rPr>
        <w:t>）</w:t>
      </w:r>
      <w:bookmarkEnd w:id="47"/>
      <w:bookmarkEnd w:id="48"/>
    </w:p>
    <w:p>
      <w:pPr>
        <w:numPr>
          <w:ilvl w:val="0"/>
          <w:numId w:val="16"/>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6"/>
        </w:numPr>
        <w:spacing w:line="360" w:lineRule="auto"/>
        <w:ind w:hanging="5"/>
        <w:rPr>
          <w:sz w:val="28"/>
          <w:szCs w:val="36"/>
        </w:rPr>
      </w:pPr>
      <w:bookmarkStart w:id="49" w:name="_Toc29616_WPSOffice_Level1"/>
      <w:bookmarkStart w:id="50" w:name="_Toc32100_WPSOffice_Level1"/>
      <w:r>
        <w:rPr>
          <w:rFonts w:hint="eastAsia"/>
          <w:sz w:val="28"/>
          <w:szCs w:val="36"/>
        </w:rPr>
        <w:t>法人或者其他组织的营业执照等证明文件，自然人的身份证明</w:t>
      </w:r>
      <w:bookmarkEnd w:id="49"/>
      <w:bookmarkEnd w:id="50"/>
    </w:p>
    <w:p>
      <w:pPr>
        <w:numPr>
          <w:ilvl w:val="0"/>
          <w:numId w:val="16"/>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6"/>
        </w:numPr>
        <w:spacing w:line="360" w:lineRule="auto"/>
        <w:ind w:hanging="5"/>
        <w:rPr>
          <w:sz w:val="28"/>
          <w:szCs w:val="36"/>
        </w:rPr>
      </w:pPr>
      <w:bookmarkStart w:id="51" w:name="_Toc2696_WPSOffice_Level1"/>
      <w:bookmarkStart w:id="52" w:name="_Toc30751_WPSOffice_Level1"/>
      <w:r>
        <w:rPr>
          <w:rFonts w:hint="eastAsia"/>
          <w:sz w:val="28"/>
          <w:szCs w:val="36"/>
        </w:rPr>
        <w:t>具备履行合同所必需的设备和专业技术能力的证明材料</w:t>
      </w:r>
      <w:bookmarkEnd w:id="51"/>
      <w:bookmarkEnd w:id="52"/>
    </w:p>
    <w:p>
      <w:pPr>
        <w:numPr>
          <w:ilvl w:val="0"/>
          <w:numId w:val="16"/>
        </w:numPr>
        <w:spacing w:line="360" w:lineRule="auto"/>
        <w:ind w:hanging="5"/>
        <w:rPr>
          <w:sz w:val="28"/>
          <w:szCs w:val="36"/>
        </w:rPr>
      </w:pPr>
      <w:bookmarkStart w:id="53" w:name="_Toc4587_WPSOffice_Level1"/>
      <w:bookmarkStart w:id="54" w:name="_Toc14150_WPSOffice_Level1"/>
      <w:r>
        <w:rPr>
          <w:rFonts w:hint="eastAsia"/>
          <w:sz w:val="28"/>
          <w:szCs w:val="36"/>
        </w:rPr>
        <w:t>本项目要求的特定资质证书</w:t>
      </w:r>
      <w:bookmarkEnd w:id="53"/>
      <w:bookmarkEnd w:id="54"/>
    </w:p>
    <w:p>
      <w:pPr>
        <w:spacing w:line="360" w:lineRule="auto"/>
        <w:rPr>
          <w:rFonts w:ascii="宋体" w:hAnsi="宋体"/>
          <w:b/>
          <w:sz w:val="28"/>
        </w:rPr>
      </w:pPr>
    </w:p>
    <w:p>
      <w:pPr>
        <w:spacing w:line="360" w:lineRule="auto"/>
        <w:ind w:left="420"/>
        <w:rPr>
          <w:rFonts w:ascii="宋体" w:hAnsi="宋体"/>
          <w:b/>
          <w:sz w:val="28"/>
        </w:rPr>
      </w:pPr>
    </w:p>
    <w:p>
      <w:pPr>
        <w:pStyle w:val="25"/>
        <w:rPr>
          <w:rFonts w:ascii="宋体" w:hAnsi="宋体"/>
          <w:b/>
          <w:sz w:val="28"/>
        </w:rPr>
      </w:pPr>
    </w:p>
    <w:p>
      <w:pPr>
        <w:pStyle w:val="25"/>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8"/>
        <w:rPr>
          <w:rFonts w:ascii="宋体" w:hAnsi="宋体"/>
          <w:b/>
          <w:sz w:val="28"/>
        </w:rPr>
      </w:pPr>
    </w:p>
    <w:p>
      <w:pPr>
        <w:pStyle w:val="8"/>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5" w:name="_Toc30723_WPSOffice_Level1"/>
      <w:bookmarkStart w:id="56" w:name="_Toc31708_WPSOffice_Level1"/>
      <w:r>
        <w:rPr>
          <w:rFonts w:hint="eastAsia" w:ascii="宋体" w:hAnsi="宋体"/>
          <w:b/>
          <w:kern w:val="0"/>
          <w:sz w:val="32"/>
          <w:szCs w:val="32"/>
          <w:lang w:val="zh-CN"/>
        </w:rPr>
        <w:t>投标声明书</w:t>
      </w:r>
      <w:bookmarkEnd w:id="55"/>
      <w:bookmarkEnd w:id="56"/>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7"/>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7"/>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7"/>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7"/>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7"/>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7"/>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19"/>
        <w:ind w:left="0" w:leftChars="0" w:firstLine="0" w:firstLineChars="0"/>
        <w:rPr>
          <w:rFonts w:hint="eastAsia"/>
          <w:lang w:val="en-US" w:eastAsia="zh-CN"/>
        </w:rPr>
      </w:pPr>
    </w:p>
    <w:p>
      <w:pPr>
        <w:pStyle w:val="19"/>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eastAsia" w:ascii="宋体" w:eastAsia="宋体"/>
          <w:b/>
          <w:sz w:val="30"/>
          <w:szCs w:val="30"/>
          <w:lang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hAnsi="宋体"/>
          <w:b/>
          <w:sz w:val="32"/>
          <w:szCs w:val="32"/>
          <w:u w:val="single"/>
        </w:rPr>
      </w:pPr>
      <w:bookmarkStart w:id="57" w:name="_Toc24373_WPSOffice_Level1"/>
      <w:bookmarkStart w:id="58" w:name="_Toc6870_WPSOffice_Level1"/>
      <w:r>
        <w:rPr>
          <w:b/>
          <w:sz w:val="32"/>
          <w:szCs w:val="32"/>
        </w:rPr>
        <w:t>授权</w:t>
      </w:r>
      <w:r>
        <w:rPr>
          <w:rFonts w:hint="eastAsia"/>
          <w:b/>
          <w:sz w:val="32"/>
          <w:szCs w:val="32"/>
        </w:rPr>
        <w:t>委托</w:t>
      </w:r>
      <w:r>
        <w:rPr>
          <w:b/>
          <w:sz w:val="32"/>
          <w:szCs w:val="32"/>
        </w:rPr>
        <w:t>书</w:t>
      </w:r>
      <w:bookmarkEnd w:id="57"/>
      <w:bookmarkEnd w:id="58"/>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both"/>
        <w:rPr>
          <w:rFonts w:hint="eastAsia"/>
          <w:sz w:val="52"/>
          <w:szCs w:val="52"/>
        </w:rPr>
      </w:pPr>
      <w:bookmarkStart w:id="59" w:name="_Toc16825_WPSOffice_Level1"/>
      <w:bookmarkStart w:id="60" w:name="_Toc26389_WPSOffice_Level1"/>
      <w:bookmarkStart w:id="61" w:name="_Toc12331_WPSOffice_Level1"/>
    </w:p>
    <w:p>
      <w:pPr>
        <w:jc w:val="center"/>
        <w:rPr>
          <w:sz w:val="52"/>
          <w:szCs w:val="52"/>
        </w:rPr>
      </w:pPr>
      <w:r>
        <w:rPr>
          <w:rFonts w:hint="eastAsia"/>
          <w:sz w:val="52"/>
          <w:szCs w:val="52"/>
        </w:rPr>
        <w:t>项目名称</w:t>
      </w:r>
      <w:bookmarkEnd w:id="59"/>
      <w:bookmarkEnd w:id="60"/>
      <w:bookmarkEnd w:id="6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19"/>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ind w:left="0" w:leftChars="0" w:firstLine="0" w:firstLineChars="0"/>
        <w:rPr>
          <w:rFonts w:ascii="仿宋_GB2312" w:hAnsi="宋体" w:eastAsia="仿宋_GB2312"/>
          <w:b/>
          <w:sz w:val="36"/>
          <w:szCs w:val="36"/>
        </w:rPr>
      </w:pPr>
    </w:p>
    <w:p>
      <w:pPr>
        <w:jc w:val="center"/>
        <w:rPr>
          <w:b/>
          <w:bCs/>
          <w:sz w:val="32"/>
          <w:szCs w:val="32"/>
          <w:lang w:val="zh-CN"/>
        </w:rPr>
      </w:pPr>
      <w:bookmarkStart w:id="62" w:name="_Toc5889_WPSOffice_Level1"/>
      <w:bookmarkStart w:id="63" w:name="_Toc11308_WPSOffice_Level1"/>
    </w:p>
    <w:p>
      <w:pPr>
        <w:pStyle w:val="2"/>
        <w:rPr>
          <w:b/>
          <w:bCs/>
          <w:sz w:val="32"/>
          <w:szCs w:val="32"/>
          <w:lang w:val="zh-CN"/>
        </w:rPr>
      </w:pPr>
    </w:p>
    <w:p>
      <w:pPr>
        <w:rPr>
          <w:b/>
          <w:bCs/>
          <w:sz w:val="32"/>
          <w:szCs w:val="32"/>
          <w:lang w:val="zh-CN"/>
        </w:rPr>
      </w:pPr>
      <w:r>
        <w:rPr>
          <w:b/>
          <w:bCs/>
          <w:sz w:val="32"/>
          <w:szCs w:val="32"/>
          <w:lang w:val="zh-CN"/>
        </w:rPr>
        <w:br w:type="page"/>
      </w:r>
    </w:p>
    <w:p>
      <w:pPr>
        <w:pStyle w:val="2"/>
        <w:rPr>
          <w:b/>
          <w:bCs/>
          <w:sz w:val="32"/>
          <w:szCs w:val="32"/>
          <w:lang w:val="zh-CN"/>
        </w:rPr>
      </w:pPr>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2"/>
      <w:bookmarkEnd w:id="63"/>
    </w:p>
    <w:p>
      <w:pPr>
        <w:spacing w:line="360" w:lineRule="auto"/>
        <w:rPr>
          <w:sz w:val="24"/>
          <w:szCs w:val="24"/>
        </w:rPr>
      </w:pPr>
    </w:p>
    <w:p>
      <w:pPr>
        <w:spacing w:line="360" w:lineRule="auto"/>
        <w:ind w:firstLine="562" w:firstLineChars="200"/>
        <w:rPr>
          <w:b/>
          <w:bCs/>
          <w:sz w:val="28"/>
          <w:szCs w:val="28"/>
        </w:rPr>
      </w:pPr>
      <w:bookmarkStart w:id="64" w:name="_Toc21250_WPSOffice_Level1"/>
      <w:bookmarkStart w:id="65" w:name="_Toc20529_WPSOffice_Level1"/>
      <w:r>
        <w:rPr>
          <w:rFonts w:hint="eastAsia"/>
          <w:b/>
          <w:bCs/>
          <w:sz w:val="28"/>
          <w:szCs w:val="28"/>
        </w:rPr>
        <w:t>第一部分  技术方案描述部分</w:t>
      </w:r>
      <w:bookmarkEnd w:id="64"/>
      <w:bookmarkEnd w:id="65"/>
    </w:p>
    <w:p>
      <w:pPr>
        <w:numPr>
          <w:ilvl w:val="0"/>
          <w:numId w:val="18"/>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3</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项目需求的理解与分析</w:t>
      </w:r>
    </w:p>
    <w:p>
      <w:pPr>
        <w:numPr>
          <w:ilvl w:val="0"/>
          <w:numId w:val="18"/>
        </w:numPr>
        <w:spacing w:line="360" w:lineRule="auto"/>
        <w:ind w:left="5" w:firstLine="415"/>
        <w:rPr>
          <w:sz w:val="28"/>
          <w:szCs w:val="28"/>
        </w:rPr>
      </w:pPr>
      <w:r>
        <w:rPr>
          <w:rFonts w:hint="eastAsia"/>
          <w:sz w:val="28"/>
          <w:szCs w:val="28"/>
        </w:rPr>
        <w:t>总体设计（技术、服务）方案</w:t>
      </w:r>
    </w:p>
    <w:p>
      <w:pPr>
        <w:numPr>
          <w:ilvl w:val="0"/>
          <w:numId w:val="18"/>
        </w:numPr>
        <w:spacing w:line="360" w:lineRule="auto"/>
        <w:ind w:left="5" w:firstLine="415"/>
        <w:rPr>
          <w:sz w:val="28"/>
          <w:szCs w:val="28"/>
        </w:rPr>
      </w:pPr>
      <w:r>
        <w:rPr>
          <w:rFonts w:hint="eastAsia"/>
          <w:sz w:val="28"/>
          <w:szCs w:val="28"/>
        </w:rPr>
        <w:t>功能设计方案</w:t>
      </w:r>
    </w:p>
    <w:p>
      <w:pPr>
        <w:numPr>
          <w:ilvl w:val="0"/>
          <w:numId w:val="18"/>
        </w:numPr>
        <w:spacing w:line="360" w:lineRule="auto"/>
        <w:ind w:left="5" w:firstLine="415"/>
        <w:rPr>
          <w:sz w:val="28"/>
          <w:szCs w:val="28"/>
        </w:rPr>
      </w:pPr>
      <w:r>
        <w:rPr>
          <w:rFonts w:hint="eastAsia"/>
          <w:sz w:val="28"/>
          <w:szCs w:val="28"/>
        </w:rPr>
        <w:t>质量保证方案</w:t>
      </w:r>
    </w:p>
    <w:p>
      <w:pPr>
        <w:numPr>
          <w:ilvl w:val="0"/>
          <w:numId w:val="18"/>
        </w:numPr>
        <w:spacing w:line="360" w:lineRule="auto"/>
        <w:ind w:left="5" w:firstLine="415"/>
        <w:rPr>
          <w:sz w:val="28"/>
          <w:szCs w:val="28"/>
        </w:rPr>
      </w:pPr>
      <w:r>
        <w:rPr>
          <w:rFonts w:hint="eastAsia"/>
          <w:sz w:val="28"/>
          <w:szCs w:val="28"/>
        </w:rPr>
        <w:t>项目实施方案</w:t>
      </w:r>
    </w:p>
    <w:p>
      <w:pPr>
        <w:numPr>
          <w:ilvl w:val="0"/>
          <w:numId w:val="18"/>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4</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5</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工程量/原材料、人工费清单（均不含报价）</w:t>
      </w:r>
    </w:p>
    <w:p>
      <w:pPr>
        <w:numPr>
          <w:ilvl w:val="0"/>
          <w:numId w:val="18"/>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6</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8"/>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7</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6" w:name="_Toc30029_WPSOffice_Level1"/>
      <w:bookmarkStart w:id="67" w:name="_Toc20986_WPSOffice_Level1"/>
      <w:r>
        <w:rPr>
          <w:rFonts w:hint="eastAsia"/>
          <w:b/>
          <w:bCs/>
          <w:sz w:val="28"/>
          <w:szCs w:val="28"/>
        </w:rPr>
        <w:t xml:space="preserve">第二部分  </w:t>
      </w:r>
      <w:bookmarkEnd w:id="66"/>
      <w:bookmarkEnd w:id="67"/>
      <w:r>
        <w:rPr>
          <w:rFonts w:hint="eastAsia"/>
          <w:b/>
          <w:bCs/>
          <w:sz w:val="28"/>
          <w:szCs w:val="28"/>
        </w:rPr>
        <w:t>商务响应及其他部分</w:t>
      </w:r>
    </w:p>
    <w:p>
      <w:pPr>
        <w:numPr>
          <w:ilvl w:val="0"/>
          <w:numId w:val="19"/>
        </w:numPr>
        <w:spacing w:line="360" w:lineRule="auto"/>
        <w:ind w:hanging="5"/>
        <w:rPr>
          <w:sz w:val="28"/>
          <w:szCs w:val="28"/>
        </w:rPr>
      </w:pPr>
      <w:r>
        <w:rPr>
          <w:rFonts w:hint="eastAsia"/>
          <w:sz w:val="28"/>
          <w:szCs w:val="28"/>
        </w:rPr>
        <w:t>证书一览表（附件</w:t>
      </w:r>
      <w:r>
        <w:rPr>
          <w:rFonts w:hint="eastAsia"/>
          <w:sz w:val="28"/>
          <w:szCs w:val="28"/>
          <w:lang w:val="en-US" w:eastAsia="zh-CN"/>
        </w:rPr>
        <w:t>8</w:t>
      </w:r>
      <w:r>
        <w:rPr>
          <w:rFonts w:hint="eastAsia"/>
          <w:sz w:val="28"/>
          <w:szCs w:val="28"/>
        </w:rPr>
        <w:t>）</w:t>
      </w:r>
    </w:p>
    <w:p>
      <w:pPr>
        <w:numPr>
          <w:ilvl w:val="0"/>
          <w:numId w:val="19"/>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9</w:t>
      </w:r>
      <w:r>
        <w:rPr>
          <w:rFonts w:hint="eastAsia"/>
          <w:sz w:val="28"/>
          <w:szCs w:val="28"/>
        </w:rPr>
        <w:t>）</w:t>
      </w:r>
    </w:p>
    <w:p>
      <w:pPr>
        <w:pStyle w:val="8"/>
        <w:numPr>
          <w:ilvl w:val="0"/>
          <w:numId w:val="19"/>
        </w:numPr>
        <w:spacing w:line="360" w:lineRule="auto"/>
        <w:ind w:hanging="5"/>
        <w:rPr>
          <w:sz w:val="28"/>
          <w:szCs w:val="28"/>
        </w:rPr>
      </w:pPr>
      <w:r>
        <w:rPr>
          <w:rFonts w:hint="eastAsia"/>
          <w:sz w:val="28"/>
          <w:szCs w:val="28"/>
        </w:rPr>
        <w:t>商务需求响应表（附件1</w:t>
      </w:r>
      <w:r>
        <w:rPr>
          <w:rFonts w:hint="eastAsia"/>
          <w:sz w:val="28"/>
          <w:szCs w:val="28"/>
          <w:lang w:val="en-US" w:eastAsia="zh-CN"/>
        </w:rPr>
        <w:t>0</w:t>
      </w:r>
      <w:r>
        <w:rPr>
          <w:rFonts w:hint="eastAsia"/>
          <w:sz w:val="28"/>
          <w:szCs w:val="28"/>
        </w:rPr>
        <w:t>）</w:t>
      </w:r>
    </w:p>
    <w:p>
      <w:pPr>
        <w:pStyle w:val="8"/>
        <w:spacing w:line="360" w:lineRule="auto"/>
        <w:ind w:firstLine="480" w:firstLineChars="200"/>
        <w:rPr>
          <w:sz w:val="24"/>
          <w:szCs w:val="24"/>
        </w:rPr>
      </w:pPr>
    </w:p>
    <w:p>
      <w:pPr>
        <w:rPr>
          <w:sz w:val="28"/>
          <w:szCs w:val="28"/>
        </w:rPr>
      </w:pPr>
      <w:r>
        <w:rPr>
          <w:sz w:val="28"/>
          <w:szCs w:val="28"/>
        </w:rPr>
        <w:br w:type="page"/>
      </w:r>
    </w:p>
    <w:p>
      <w:pPr>
        <w:pStyle w:val="8"/>
        <w:ind w:left="0" w:leftChars="0" w:firstLine="0" w:firstLineChars="0"/>
        <w:rPr>
          <w:sz w:val="28"/>
          <w:szCs w:val="28"/>
        </w:rPr>
      </w:pPr>
    </w:p>
    <w:p>
      <w:pPr>
        <w:pStyle w:val="29"/>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3</w:t>
      </w:r>
    </w:p>
    <w:p>
      <w:pPr>
        <w:pStyle w:val="29"/>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8" w:name="_Toc14261_WPSOffice_Level1"/>
      <w:bookmarkStart w:id="69" w:name="_Toc13307_WPSOffice_Level1"/>
      <w:r>
        <w:rPr>
          <w:rFonts w:hint="eastAsia"/>
          <w:b/>
          <w:color w:val="auto"/>
          <w:sz w:val="32"/>
          <w:szCs w:val="32"/>
        </w:rPr>
        <w:t>投标</w:t>
      </w:r>
      <w:r>
        <w:rPr>
          <w:rFonts w:hint="eastAsia"/>
          <w:b/>
          <w:bCs/>
          <w:color w:val="auto"/>
          <w:sz w:val="32"/>
          <w:szCs w:val="32"/>
        </w:rPr>
        <w:t>人基本情况表</w:t>
      </w:r>
      <w:bookmarkEnd w:id="68"/>
      <w:bookmarkEnd w:id="69"/>
    </w:p>
    <w:tbl>
      <w:tblPr>
        <w:tblStyle w:val="2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bCs/>
              </w:rPr>
              <w:t>1</w:t>
            </w:r>
            <w:r>
              <w:rPr>
                <w:rFonts w:hint="eastAsia"/>
                <w:bCs/>
              </w:rPr>
              <w:t>.</w:t>
            </w:r>
          </w:p>
          <w:p>
            <w:pPr>
              <w:pStyle w:val="29"/>
              <w:shd w:val="clear" w:color="auto" w:fill="FFFFFF"/>
              <w:spacing w:before="0" w:beforeAutospacing="0" w:after="0" w:afterAutospacing="0"/>
              <w:jc w:val="center"/>
              <w:rPr>
                <w:bCs/>
              </w:rPr>
            </w:pPr>
            <w:r>
              <w:rPr>
                <w:rFonts w:hint="eastAsia"/>
                <w:bCs/>
              </w:rPr>
              <w:t>企</w:t>
            </w:r>
          </w:p>
          <w:p>
            <w:pPr>
              <w:pStyle w:val="29"/>
              <w:shd w:val="clear" w:color="auto" w:fill="FFFFFF"/>
              <w:spacing w:before="0" w:beforeAutospacing="0" w:after="0" w:afterAutospacing="0"/>
              <w:jc w:val="center"/>
              <w:rPr>
                <w:bCs/>
              </w:rPr>
            </w:pPr>
            <w:r>
              <w:rPr>
                <w:rFonts w:hint="eastAsia"/>
                <w:bCs/>
              </w:rPr>
              <w:t>业</w:t>
            </w:r>
          </w:p>
          <w:p>
            <w:pPr>
              <w:pStyle w:val="29"/>
              <w:shd w:val="clear" w:color="auto" w:fill="FFFFFF"/>
              <w:spacing w:before="0" w:beforeAutospacing="0" w:after="0" w:afterAutospacing="0"/>
              <w:jc w:val="center"/>
              <w:rPr>
                <w:bCs/>
              </w:rPr>
            </w:pPr>
            <w:r>
              <w:rPr>
                <w:rFonts w:hint="eastAsia"/>
                <w:bCs/>
              </w:rPr>
              <w:t>概</w:t>
            </w:r>
          </w:p>
          <w:p>
            <w:pPr>
              <w:pStyle w:val="29"/>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平方米</w:t>
            </w:r>
          </w:p>
          <w:p>
            <w:pPr>
              <w:pStyle w:val="29"/>
              <w:shd w:val="clear" w:color="auto" w:fill="FFFFFF"/>
              <w:spacing w:before="0" w:beforeAutospacing="0" w:after="0" w:afterAutospacing="0"/>
              <w:jc w:val="center"/>
              <w:rPr>
                <w:bCs/>
              </w:rPr>
            </w:pPr>
            <w:r>
              <w:rPr>
                <w:rFonts w:hint="eastAsia"/>
                <w:bCs/>
              </w:rPr>
              <w:t>□自有</w:t>
            </w:r>
          </w:p>
          <w:p>
            <w:pPr>
              <w:pStyle w:val="29"/>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bCs/>
              </w:rPr>
              <w:t>2</w:t>
            </w:r>
            <w:r>
              <w:rPr>
                <w:rFonts w:hint="eastAsia"/>
                <w:bCs/>
              </w:rPr>
              <w:t>．</w:t>
            </w:r>
          </w:p>
          <w:p>
            <w:pPr>
              <w:pStyle w:val="29"/>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29"/>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29"/>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29"/>
              <w:spacing w:before="0" w:beforeAutospacing="0" w:after="0" w:afterAutospacing="0"/>
              <w:jc w:val="center"/>
              <w:rPr>
                <w:bCs/>
              </w:rPr>
            </w:pPr>
          </w:p>
        </w:tc>
        <w:tc>
          <w:tcPr>
            <w:tcW w:w="1276" w:type="dxa"/>
            <w:tcMar>
              <w:top w:w="57" w:type="dxa"/>
              <w:left w:w="85" w:type="dxa"/>
              <w:bottom w:w="0" w:type="dxa"/>
              <w:right w:w="85" w:type="dxa"/>
            </w:tcMar>
            <w:vAlign w:val="center"/>
          </w:tcPr>
          <w:p>
            <w:pPr>
              <w:pStyle w:val="29"/>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29"/>
              <w:spacing w:before="0" w:beforeAutospacing="0" w:after="0" w:afterAutospacing="0"/>
              <w:jc w:val="center"/>
              <w:rPr>
                <w:bCs/>
              </w:rPr>
            </w:pPr>
          </w:p>
        </w:tc>
        <w:tc>
          <w:tcPr>
            <w:tcW w:w="933" w:type="dxa"/>
            <w:tcMar>
              <w:top w:w="57" w:type="dxa"/>
              <w:left w:w="85" w:type="dxa"/>
              <w:bottom w:w="0" w:type="dxa"/>
              <w:right w:w="85" w:type="dxa"/>
            </w:tcMar>
            <w:vAlign w:val="center"/>
          </w:tcPr>
          <w:p>
            <w:pPr>
              <w:pStyle w:val="29"/>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bl>
    <w:p>
      <w:pPr>
        <w:pStyle w:val="29"/>
        <w:shd w:val="clear" w:color="auto" w:fill="FFFFFF"/>
        <w:spacing w:before="0" w:beforeAutospacing="0" w:after="0" w:afterAutospacing="0" w:line="360" w:lineRule="auto"/>
        <w:rPr>
          <w:b/>
          <w:sz w:val="21"/>
          <w:szCs w:val="21"/>
        </w:rPr>
      </w:pPr>
      <w:r>
        <w:rPr>
          <w:rFonts w:hint="eastAsia"/>
          <w:b/>
          <w:sz w:val="21"/>
          <w:szCs w:val="21"/>
        </w:rPr>
        <w:t>要求：</w:t>
      </w:r>
    </w:p>
    <w:p>
      <w:pPr>
        <w:pStyle w:val="29"/>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19"/>
      </w:pPr>
    </w:p>
    <w:p>
      <w:pPr>
        <w:pStyle w:val="19"/>
      </w:pPr>
    </w:p>
    <w:p>
      <w:pPr>
        <w:pStyle w:val="19"/>
      </w:pPr>
    </w:p>
    <w:p>
      <w:pPr>
        <w:pStyle w:val="19"/>
      </w:pPr>
    </w:p>
    <w:p>
      <w:pPr>
        <w:pStyle w:val="19"/>
      </w:pPr>
    </w:p>
    <w:p>
      <w:pPr>
        <w:pStyle w:val="19"/>
      </w:pPr>
    </w:p>
    <w:p>
      <w:pPr>
        <w:pStyle w:val="19"/>
      </w:pPr>
    </w:p>
    <w:p>
      <w:pPr>
        <w:pStyle w:val="19"/>
        <w:ind w:left="0" w:leftChars="0" w:firstLine="0" w:firstLineChars="0"/>
      </w:pPr>
    </w:p>
    <w:p>
      <w:pPr>
        <w:pStyle w:val="19"/>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4</w:t>
      </w:r>
    </w:p>
    <w:p>
      <w:pPr>
        <w:spacing w:line="360" w:lineRule="auto"/>
        <w:jc w:val="center"/>
        <w:rPr>
          <w:rFonts w:ascii="宋体" w:hAnsi="宋体"/>
          <w:sz w:val="24"/>
        </w:rPr>
      </w:pPr>
      <w:bookmarkStart w:id="70" w:name="_Toc12856_WPSOffice_Level1"/>
      <w:bookmarkStart w:id="71"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70"/>
      <w:bookmarkEnd w:id="71"/>
    </w:p>
    <w:tbl>
      <w:tblPr>
        <w:tblStyle w:val="20"/>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1"/>
        <w:tabs>
          <w:tab w:val="left" w:pos="360"/>
        </w:tabs>
        <w:spacing w:line="360" w:lineRule="auto"/>
        <w:ind w:right="84" w:rightChars="40"/>
        <w:rPr>
          <w:rFonts w:ascii="宋体"/>
          <w:b/>
          <w:szCs w:val="21"/>
        </w:rPr>
      </w:pPr>
      <w:r>
        <w:rPr>
          <w:rFonts w:hint="eastAsia" w:ascii="宋体"/>
          <w:b/>
          <w:szCs w:val="21"/>
        </w:rPr>
        <w:t>要求：</w:t>
      </w:r>
    </w:p>
    <w:p>
      <w:pPr>
        <w:pStyle w:val="31"/>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1"/>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1"/>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5</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2" w:name="_Toc20569_WPSOffice_Level1"/>
      <w:bookmarkStart w:id="73" w:name="_Toc23671_WPSOffice_Level1"/>
      <w:r>
        <w:rPr>
          <w:rFonts w:hint="eastAsia" w:ascii="宋体" w:hAnsi="宋体"/>
          <w:b/>
          <w:sz w:val="32"/>
          <w:szCs w:val="32"/>
        </w:rPr>
        <w:t>项目实施人员一览表</w:t>
      </w:r>
      <w:bookmarkEnd w:id="72"/>
      <w:bookmarkEnd w:id="73"/>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0"/>
        <w:spacing w:line="360" w:lineRule="auto"/>
        <w:ind w:left="424" w:leftChars="202"/>
        <w:rPr>
          <w:rFonts w:ascii="宋体" w:hAnsi="宋体"/>
          <w:szCs w:val="21"/>
        </w:rPr>
      </w:pPr>
      <w:r>
        <w:rPr>
          <w:rFonts w:hint="eastAsia" w:ascii="宋体" w:hAnsi="宋体"/>
          <w:szCs w:val="21"/>
        </w:rPr>
        <w:t>2.附人员证书。</w:t>
      </w:r>
    </w:p>
    <w:p>
      <w:pPr>
        <w:pStyle w:val="30"/>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19"/>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6</w:t>
      </w:r>
    </w:p>
    <w:p>
      <w:pPr>
        <w:spacing w:beforeLines="50" w:afterLines="50" w:line="360" w:lineRule="auto"/>
        <w:ind w:right="-10"/>
        <w:jc w:val="center"/>
        <w:rPr>
          <w:rFonts w:ascii="宋体" w:hAnsi="宋体"/>
          <w:b/>
          <w:bCs/>
          <w:sz w:val="32"/>
          <w:szCs w:val="32"/>
        </w:rPr>
      </w:pPr>
      <w:bookmarkStart w:id="74" w:name="_Toc23055_WPSOffice_Level1"/>
      <w:bookmarkStart w:id="75" w:name="_Toc12710_WPSOffice_Level1"/>
      <w:r>
        <w:rPr>
          <w:rFonts w:hint="eastAsia" w:ascii="宋体" w:hAnsi="宋体"/>
          <w:b/>
          <w:bCs/>
          <w:sz w:val="32"/>
          <w:szCs w:val="32"/>
        </w:rPr>
        <w:t>项目负责人资格情况表</w:t>
      </w:r>
      <w:bookmarkEnd w:id="74"/>
      <w:bookmarkEnd w:id="75"/>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0"/>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4"/>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4"/>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4"/>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4"/>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4"/>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4"/>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p>
            <w:pPr>
              <w:pStyle w:val="34"/>
              <w:widowControl/>
              <w:spacing w:line="360" w:lineRule="auto"/>
              <w:jc w:val="left"/>
              <w:rPr>
                <w:rFonts w:ascii="宋体" w:hAnsi="宋体" w:cs="Arial"/>
                <w:bCs/>
                <w:sz w:val="21"/>
                <w:szCs w:val="21"/>
              </w:rPr>
            </w:pPr>
          </w:p>
          <w:p>
            <w:pPr>
              <w:pStyle w:val="34"/>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p>
            <w:pPr>
              <w:pStyle w:val="34"/>
              <w:widowControl/>
              <w:spacing w:line="360" w:lineRule="auto"/>
              <w:jc w:val="left"/>
              <w:rPr>
                <w:rFonts w:ascii="宋体" w:hAnsi="宋体" w:cs="Arial"/>
                <w:bCs/>
                <w:sz w:val="21"/>
                <w:szCs w:val="21"/>
              </w:rPr>
            </w:pPr>
          </w:p>
          <w:p>
            <w:pPr>
              <w:pStyle w:val="34"/>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i/>
                <w:sz w:val="21"/>
                <w:szCs w:val="21"/>
              </w:rPr>
            </w:pPr>
          </w:p>
          <w:p>
            <w:pPr>
              <w:pStyle w:val="34"/>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i/>
                <w:sz w:val="21"/>
                <w:szCs w:val="21"/>
              </w:rPr>
            </w:pPr>
          </w:p>
          <w:p>
            <w:pPr>
              <w:pStyle w:val="34"/>
              <w:widowControl/>
              <w:spacing w:line="360" w:lineRule="auto"/>
              <w:jc w:val="left"/>
              <w:rPr>
                <w:rFonts w:ascii="宋体" w:hAnsi="宋体" w:cs="Arial"/>
                <w:bCs/>
                <w:i/>
                <w:sz w:val="21"/>
                <w:szCs w:val="21"/>
              </w:rPr>
            </w:pPr>
          </w:p>
          <w:p>
            <w:pPr>
              <w:pStyle w:val="34"/>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2"/>
        <w:spacing w:line="360" w:lineRule="auto"/>
        <w:jc w:val="left"/>
        <w:rPr>
          <w:rFonts w:hint="eastAsia" w:ascii="宋体" w:hAnsi="宋体"/>
          <w:b/>
          <w:sz w:val="28"/>
        </w:rPr>
      </w:pPr>
    </w:p>
    <w:p>
      <w:pPr>
        <w:pStyle w:val="32"/>
        <w:spacing w:line="360" w:lineRule="auto"/>
        <w:jc w:val="left"/>
        <w:rPr>
          <w:rFonts w:hint="eastAsia" w:ascii="宋体" w:hAnsi="宋体"/>
          <w:b/>
          <w:sz w:val="28"/>
        </w:rPr>
      </w:pPr>
    </w:p>
    <w:p>
      <w:pPr>
        <w:pStyle w:val="32"/>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pStyle w:val="33"/>
        <w:spacing w:line="360" w:lineRule="auto"/>
        <w:jc w:val="center"/>
        <w:rPr>
          <w:rFonts w:ascii="宋体" w:hAnsi="宋体" w:cs="Arial"/>
          <w:sz w:val="28"/>
          <w:szCs w:val="28"/>
        </w:rPr>
      </w:pPr>
      <w:bookmarkStart w:id="76" w:name="_Toc17604_WPSOffice_Level1"/>
      <w:bookmarkStart w:id="77" w:name="_Toc11030_WPSOffice_Level1"/>
      <w:r>
        <w:rPr>
          <w:rFonts w:hint="eastAsia" w:ascii="宋体" w:hAnsi="宋体"/>
          <w:b/>
          <w:sz w:val="32"/>
          <w:szCs w:val="32"/>
        </w:rPr>
        <w:t>证书一览表</w:t>
      </w:r>
      <w:bookmarkEnd w:id="76"/>
      <w:bookmarkEnd w:id="77"/>
    </w:p>
    <w:tbl>
      <w:tblPr>
        <w:tblStyle w:val="2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bl>
    <w:p>
      <w:pPr>
        <w:pStyle w:val="33"/>
        <w:tabs>
          <w:tab w:val="left" w:pos="1050"/>
        </w:tabs>
        <w:spacing w:line="360" w:lineRule="auto"/>
        <w:rPr>
          <w:rFonts w:ascii="宋体" w:hAnsi="宋体"/>
          <w:szCs w:val="21"/>
        </w:rPr>
      </w:pPr>
      <w:r>
        <w:rPr>
          <w:rFonts w:hint="eastAsia" w:ascii="宋体" w:hAnsi="宋体"/>
          <w:b/>
          <w:szCs w:val="21"/>
        </w:rPr>
        <w:t>要求：</w:t>
      </w:r>
    </w:p>
    <w:p>
      <w:pPr>
        <w:pStyle w:val="33"/>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3"/>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3"/>
        <w:tabs>
          <w:tab w:val="left" w:pos="1050"/>
        </w:tabs>
        <w:spacing w:line="360" w:lineRule="auto"/>
        <w:rPr>
          <w:rFonts w:ascii="仿宋_GB2312" w:hAnsi="宋体" w:eastAsia="仿宋_GB2312"/>
          <w:sz w:val="24"/>
        </w:rPr>
      </w:pPr>
    </w:p>
    <w:p>
      <w:pPr>
        <w:pStyle w:val="33"/>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19"/>
        <w:rPr>
          <w:rFonts w:ascii="宋体" w:hAnsi="宋体"/>
          <w:b/>
          <w:sz w:val="28"/>
        </w:rPr>
      </w:pPr>
    </w:p>
    <w:p>
      <w:pPr>
        <w:pStyle w:val="19"/>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jc w:val="center"/>
        <w:rPr>
          <w:rFonts w:hint="eastAsia" w:ascii="宋体" w:hAnsi="宋体"/>
          <w:b/>
          <w:bCs/>
          <w:kern w:val="0"/>
          <w:sz w:val="32"/>
          <w:szCs w:val="32"/>
        </w:rPr>
      </w:pPr>
      <w:bookmarkStart w:id="78" w:name="_Toc19231_WPSOffice_Level1"/>
      <w:bookmarkStart w:id="79" w:name="_Toc7134_WPSOffice_Level1"/>
      <w:r>
        <w:rPr>
          <w:rFonts w:hint="eastAsia" w:ascii="宋体" w:hAnsi="宋体"/>
          <w:b/>
          <w:bCs/>
          <w:kern w:val="0"/>
          <w:sz w:val="32"/>
          <w:szCs w:val="32"/>
        </w:rPr>
        <w:t>投标人类似项目实施情况一览表</w:t>
      </w:r>
      <w:bookmarkEnd w:id="78"/>
      <w:bookmarkEnd w:id="79"/>
    </w:p>
    <w:tbl>
      <w:tblPr>
        <w:tblStyle w:val="2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3"/>
        <w:tabs>
          <w:tab w:val="left" w:pos="1050"/>
        </w:tabs>
        <w:spacing w:line="360" w:lineRule="auto"/>
        <w:rPr>
          <w:rFonts w:ascii="宋体" w:hAnsi="宋体"/>
          <w:b/>
          <w:sz w:val="28"/>
        </w:rPr>
      </w:pPr>
    </w:p>
    <w:p>
      <w:pPr>
        <w:pStyle w:val="33"/>
        <w:tabs>
          <w:tab w:val="left" w:pos="1050"/>
        </w:tabs>
        <w:spacing w:line="360" w:lineRule="auto"/>
        <w:rPr>
          <w:rFonts w:ascii="宋体" w:hAnsi="宋体"/>
          <w:b/>
          <w:sz w:val="28"/>
        </w:rPr>
      </w:pPr>
    </w:p>
    <w:p>
      <w:pPr>
        <w:pStyle w:val="33"/>
        <w:tabs>
          <w:tab w:val="left" w:pos="1050"/>
        </w:tabs>
        <w:spacing w:line="360" w:lineRule="auto"/>
        <w:rPr>
          <w:rFonts w:ascii="宋体" w:hAnsi="宋体"/>
          <w:b/>
          <w:sz w:val="28"/>
        </w:rPr>
      </w:pPr>
    </w:p>
    <w:p>
      <w:pPr>
        <w:pStyle w:val="33"/>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ind w:left="549" w:hanging="549" w:hangingChars="171"/>
        <w:jc w:val="center"/>
        <w:rPr>
          <w:rFonts w:ascii="宋体" w:hAnsi="宋体"/>
          <w:b/>
          <w:sz w:val="18"/>
          <w:szCs w:val="18"/>
        </w:rPr>
      </w:pPr>
      <w:bookmarkStart w:id="80" w:name="_Toc21582_WPSOffice_Level1"/>
      <w:bookmarkStart w:id="81" w:name="_Toc3068_WPSOffice_Level1"/>
      <w:r>
        <w:rPr>
          <w:rFonts w:hint="eastAsia" w:ascii="宋体" w:hAnsi="宋体"/>
          <w:b/>
          <w:sz w:val="32"/>
          <w:szCs w:val="32"/>
        </w:rPr>
        <w:t>商务需求响应表(第 标)</w:t>
      </w:r>
      <w:bookmarkEnd w:id="80"/>
      <w:bookmarkEnd w:id="81"/>
    </w:p>
    <w:tbl>
      <w:tblPr>
        <w:tblStyle w:val="2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sz w:val="52"/>
          <w:szCs w:val="52"/>
        </w:rPr>
      </w:pPr>
      <w:bookmarkStart w:id="82" w:name="_Toc4615_WPSOffice_Level1"/>
      <w:bookmarkStart w:id="83" w:name="_Toc30468_WPSOffice_Level1"/>
      <w:bookmarkStart w:id="84" w:name="_Toc21322_WPSOffice_Level1"/>
    </w:p>
    <w:p>
      <w:pPr>
        <w:jc w:val="center"/>
        <w:rPr>
          <w:sz w:val="52"/>
          <w:szCs w:val="52"/>
        </w:rPr>
      </w:pPr>
      <w:r>
        <w:rPr>
          <w:rFonts w:hint="eastAsia"/>
          <w:sz w:val="52"/>
          <w:szCs w:val="52"/>
        </w:rPr>
        <w:t>项目名称</w:t>
      </w:r>
      <w:bookmarkEnd w:id="82"/>
      <w:bookmarkEnd w:id="83"/>
      <w:bookmarkEnd w:id="8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rPr>
      </w:pPr>
      <w:bookmarkStart w:id="85" w:name="_Toc9453_WPSOffice_Level1"/>
      <w:bookmarkStart w:id="86" w:name="_Toc8885_WPSOffice_Level1"/>
      <w:r>
        <w:rPr>
          <w:rFonts w:hint="eastAsia"/>
          <w:sz w:val="84"/>
          <w:szCs w:val="84"/>
        </w:rPr>
        <w:t>报</w:t>
      </w:r>
      <w:bookmarkEnd w:id="85"/>
      <w:bookmarkEnd w:id="86"/>
    </w:p>
    <w:p>
      <w:pPr>
        <w:jc w:val="center"/>
        <w:rPr>
          <w:sz w:val="84"/>
          <w:szCs w:val="84"/>
        </w:rPr>
      </w:pPr>
      <w:bookmarkStart w:id="87" w:name="_Toc10910_WPSOffice_Level1"/>
      <w:bookmarkStart w:id="88" w:name="_Toc7485_WPSOffice_Level1"/>
      <w:r>
        <w:rPr>
          <w:rFonts w:hint="eastAsia"/>
          <w:sz w:val="84"/>
          <w:szCs w:val="84"/>
        </w:rPr>
        <w:t>价</w:t>
      </w:r>
      <w:bookmarkEnd w:id="87"/>
      <w:bookmarkEnd w:id="88"/>
    </w:p>
    <w:p>
      <w:pPr>
        <w:jc w:val="center"/>
        <w:rPr>
          <w:sz w:val="84"/>
          <w:szCs w:val="84"/>
        </w:rPr>
      </w:pPr>
      <w:bookmarkStart w:id="89" w:name="_Toc3932_WPSOffice_Level1"/>
      <w:bookmarkStart w:id="90" w:name="_Toc14572_WPSOffice_Level1"/>
      <w:r>
        <w:rPr>
          <w:rFonts w:hint="eastAsia"/>
          <w:sz w:val="84"/>
          <w:szCs w:val="84"/>
        </w:rPr>
        <w:t>文</w:t>
      </w:r>
      <w:bookmarkEnd w:id="89"/>
      <w:bookmarkEnd w:id="90"/>
    </w:p>
    <w:p>
      <w:pPr>
        <w:jc w:val="center"/>
        <w:rPr>
          <w:sz w:val="84"/>
          <w:szCs w:val="84"/>
        </w:rPr>
      </w:pPr>
      <w:bookmarkStart w:id="91" w:name="_Toc7562_WPSOffice_Level1"/>
      <w:bookmarkStart w:id="92" w:name="_Toc16973_WPSOffice_Level1"/>
      <w:r>
        <w:rPr>
          <w:rFonts w:hint="eastAsia"/>
          <w:sz w:val="84"/>
          <w:szCs w:val="84"/>
        </w:rPr>
        <w:t>件</w:t>
      </w:r>
      <w:bookmarkEnd w:id="91"/>
      <w:bookmarkEnd w:id="92"/>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3" w:name="_Toc4603_WPSOffice_Level1"/>
      <w:bookmarkStart w:id="94" w:name="_Toc26700_WPSOffice_Level1"/>
      <w:r>
        <w:rPr>
          <w:rFonts w:hint="eastAsia" w:ascii="宋体" w:hAnsi="宋体"/>
          <w:sz w:val="36"/>
          <w:szCs w:val="36"/>
        </w:rPr>
        <w:t>投标人全称（公章）：</w:t>
      </w:r>
      <w:bookmarkEnd w:id="93"/>
      <w:bookmarkEnd w:id="94"/>
    </w:p>
    <w:p>
      <w:pPr>
        <w:spacing w:line="360" w:lineRule="auto"/>
        <w:ind w:right="-108" w:firstLine="720" w:firstLineChars="200"/>
        <w:rPr>
          <w:rFonts w:ascii="宋体" w:hAnsi="宋体"/>
          <w:sz w:val="36"/>
          <w:szCs w:val="36"/>
        </w:rPr>
      </w:pPr>
      <w:bookmarkStart w:id="95" w:name="_Toc1391_WPSOffice_Level1"/>
      <w:bookmarkStart w:id="96" w:name="_Toc32593_WPSOffice_Level1"/>
      <w:r>
        <w:rPr>
          <w:rFonts w:hint="eastAsia" w:ascii="宋体" w:hAnsi="宋体"/>
          <w:sz w:val="36"/>
          <w:szCs w:val="36"/>
        </w:rPr>
        <w:t>地    址：</w:t>
      </w:r>
      <w:bookmarkEnd w:id="95"/>
      <w:bookmarkEnd w:id="96"/>
    </w:p>
    <w:p>
      <w:pPr>
        <w:spacing w:line="360" w:lineRule="auto"/>
        <w:ind w:right="-108" w:firstLine="720" w:firstLineChars="200"/>
        <w:rPr>
          <w:rFonts w:ascii="宋体" w:hAnsi="宋体"/>
          <w:sz w:val="36"/>
          <w:szCs w:val="36"/>
        </w:rPr>
      </w:pPr>
      <w:bookmarkStart w:id="97" w:name="_Toc20938_WPSOffice_Level1"/>
      <w:bookmarkStart w:id="98" w:name="_Toc3791_WPSOffice_Level1"/>
      <w:r>
        <w:rPr>
          <w:rFonts w:hint="eastAsia" w:ascii="宋体" w:hAnsi="宋体"/>
          <w:sz w:val="36"/>
          <w:szCs w:val="36"/>
        </w:rPr>
        <w:t>时    间：</w:t>
      </w:r>
      <w:bookmarkEnd w:id="97"/>
      <w:bookmarkEnd w:id="98"/>
    </w:p>
    <w:p>
      <w:pPr>
        <w:spacing w:line="360" w:lineRule="auto"/>
        <w:ind w:right="-108"/>
        <w:jc w:val="center"/>
        <w:rPr>
          <w:rFonts w:ascii="仿宋_GB2312" w:hAnsi="宋体" w:eastAsia="仿宋_GB2312"/>
          <w:b/>
          <w:sz w:val="36"/>
          <w:szCs w:val="36"/>
        </w:rPr>
      </w:pPr>
    </w:p>
    <w:p>
      <w:pPr>
        <w:pStyle w:val="19"/>
      </w:pPr>
    </w:p>
    <w:p>
      <w:pPr>
        <w:pStyle w:val="19"/>
      </w:pPr>
    </w:p>
    <w:p>
      <w:pPr>
        <w:pStyle w:val="19"/>
      </w:pPr>
    </w:p>
    <w:p>
      <w:pPr>
        <w:pStyle w:val="19"/>
      </w:pPr>
    </w:p>
    <w:p>
      <w:pPr>
        <w:pStyle w:val="19"/>
      </w:pPr>
    </w:p>
    <w:p>
      <w:pPr>
        <w:pStyle w:val="19"/>
      </w:pPr>
    </w:p>
    <w:p>
      <w:pPr>
        <w:pStyle w:val="19"/>
      </w:pPr>
    </w:p>
    <w:p>
      <w:pPr>
        <w:pStyle w:val="8"/>
        <w:rPr>
          <w:rFonts w:ascii="仿宋_GB2312" w:hAnsi="宋体" w:eastAsia="仿宋_GB2312"/>
          <w:b/>
          <w:sz w:val="36"/>
          <w:szCs w:val="36"/>
        </w:rPr>
      </w:pPr>
    </w:p>
    <w:p>
      <w:pPr>
        <w:spacing w:line="480" w:lineRule="auto"/>
        <w:jc w:val="center"/>
        <w:rPr>
          <w:rFonts w:hint="eastAsia" w:ascii="宋体" w:hAnsi="宋体"/>
          <w:b/>
          <w:bCs/>
          <w:sz w:val="36"/>
          <w:szCs w:val="36"/>
        </w:rPr>
      </w:pPr>
      <w:bookmarkStart w:id="99" w:name="_Toc19972_WPSOffice_Level1"/>
      <w:bookmarkStart w:id="100" w:name="_Toc29537_WPSOffice_Level1"/>
      <w:r>
        <w:rPr>
          <w:rFonts w:hint="eastAsia" w:ascii="宋体" w:hAnsi="宋体"/>
          <w:b/>
          <w:bCs/>
          <w:sz w:val="36"/>
          <w:szCs w:val="36"/>
        </w:rPr>
        <w:t>报价文件目录</w:t>
      </w:r>
      <w:bookmarkEnd w:id="99"/>
      <w:bookmarkEnd w:id="100"/>
    </w:p>
    <w:p>
      <w:pPr>
        <w:pStyle w:val="19"/>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101" w:name="_Toc29988_WPSOffice_Level1"/>
      <w:bookmarkStart w:id="102"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bookmarkEnd w:id="101"/>
      <w:bookmarkEnd w:id="102"/>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103" w:name="_Toc15601_WPSOffice_Level1"/>
      <w:bookmarkStart w:id="104"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103"/>
      <w:bookmarkEnd w:id="104"/>
    </w:p>
    <w:p>
      <w:pPr>
        <w:pStyle w:val="11"/>
        <w:spacing w:line="360" w:lineRule="auto"/>
        <w:jc w:val="both"/>
        <w:outlineLvl w:val="1"/>
        <w:rPr>
          <w:rFonts w:hint="eastAsia" w:asciiTheme="minorEastAsia" w:hAnsiTheme="minorEastAsia" w:eastAsiaTheme="minorEastAsia" w:cstheme="minorEastAsia"/>
          <w:sz w:val="28"/>
          <w:szCs w:val="28"/>
        </w:rPr>
      </w:pPr>
      <w:bookmarkStart w:id="105" w:name="_Toc45_WPSOffice_Level1"/>
      <w:bookmarkStart w:id="106"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105"/>
      <w:bookmarkEnd w:id="106"/>
    </w:p>
    <w:p>
      <w:pPr>
        <w:spacing w:line="360" w:lineRule="auto"/>
        <w:jc w:val="both"/>
        <w:rPr>
          <w:rFonts w:hint="eastAsia" w:asciiTheme="minorEastAsia" w:hAnsiTheme="minorEastAsia" w:eastAsiaTheme="minorEastAsia" w:cstheme="minorEastAsia"/>
          <w:sz w:val="28"/>
          <w:szCs w:val="28"/>
        </w:rPr>
      </w:pPr>
      <w:bookmarkStart w:id="107" w:name="_Toc14672_WPSOffice_Level1"/>
      <w:bookmarkStart w:id="108" w:name="_Toc3001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107"/>
      <w:bookmarkEnd w:id="108"/>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pStyle w:val="2"/>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2" w:hanging="2"/>
        <w:jc w:val="center"/>
        <w:rPr>
          <w:rFonts w:ascii="宋体" w:hAnsi="宋体"/>
          <w:b/>
          <w:sz w:val="32"/>
          <w:szCs w:val="32"/>
        </w:rPr>
      </w:pPr>
      <w:bookmarkStart w:id="109" w:name="_Toc16144_WPSOffice_Level1"/>
      <w:bookmarkStart w:id="110" w:name="_Toc30363_WPSOffice_Level1"/>
      <w:r>
        <w:rPr>
          <w:rFonts w:hint="eastAsia" w:ascii="宋体" w:hAnsi="宋体"/>
          <w:b/>
          <w:sz w:val="32"/>
          <w:szCs w:val="32"/>
        </w:rPr>
        <w:t xml:space="preserve">开标一览表 </w:t>
      </w:r>
      <w:bookmarkEnd w:id="109"/>
      <w:bookmarkEnd w:id="110"/>
    </w:p>
    <w:p>
      <w:pPr>
        <w:spacing w:line="360" w:lineRule="auto"/>
        <w:ind w:left="-2" w:hanging="2"/>
        <w:jc w:val="center"/>
        <w:rPr>
          <w:rFonts w:ascii="宋体" w:hAnsi="宋体"/>
          <w:b/>
          <w:sz w:val="32"/>
          <w:szCs w:val="32"/>
        </w:rPr>
      </w:pPr>
    </w:p>
    <w:p>
      <w:pPr>
        <w:pStyle w:val="11"/>
        <w:spacing w:line="360" w:lineRule="auto"/>
        <w:ind w:firstLine="482" w:firstLineChars="200"/>
        <w:rPr>
          <w:rFonts w:hAnsi="宋体"/>
          <w:b/>
          <w:sz w:val="24"/>
        </w:rPr>
      </w:pPr>
      <w:r>
        <w:rPr>
          <w:rFonts w:hAnsi="宋体"/>
          <w:b/>
          <w:sz w:val="24"/>
        </w:rPr>
        <w:t>项目编号：</w:t>
      </w:r>
    </w:p>
    <w:p>
      <w:pPr>
        <w:pStyle w:val="38"/>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0"/>
        <w:tblW w:w="88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095"/>
        <w:gridCol w:w="189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1050" w:type="dxa"/>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4095" w:type="dxa"/>
            <w:vAlign w:val="center"/>
          </w:tcPr>
          <w:p>
            <w:pPr>
              <w:spacing w:line="360" w:lineRule="auto"/>
              <w:ind w:firstLine="964" w:firstLineChars="400"/>
              <w:rPr>
                <w:rFonts w:ascii="宋体" w:hAnsi="宋体"/>
                <w:b/>
                <w:color w:val="000000"/>
                <w:sz w:val="24"/>
              </w:rPr>
            </w:pPr>
            <w:r>
              <w:rPr>
                <w:rFonts w:hint="eastAsia" w:ascii="宋体" w:hAnsi="宋体"/>
                <w:b/>
                <w:color w:val="000000"/>
                <w:sz w:val="24"/>
              </w:rPr>
              <w:t>项目名称</w:t>
            </w:r>
          </w:p>
        </w:tc>
        <w:tc>
          <w:tcPr>
            <w:tcW w:w="1890" w:type="dxa"/>
            <w:vAlign w:val="center"/>
          </w:tcPr>
          <w:p>
            <w:pPr>
              <w:tabs>
                <w:tab w:val="left" w:pos="8280"/>
              </w:tabs>
              <w:autoSpaceDE w:val="0"/>
              <w:autoSpaceDN w:val="0"/>
              <w:adjustRightInd w:val="0"/>
              <w:spacing w:line="360" w:lineRule="auto"/>
              <w:ind w:right="25"/>
              <w:rPr>
                <w:rFonts w:ascii="宋体" w:hAnsi="宋体"/>
                <w:b/>
                <w:color w:val="000000"/>
                <w:sz w:val="24"/>
              </w:rPr>
            </w:pPr>
            <w:r>
              <w:rPr>
                <w:rFonts w:hint="eastAsia" w:ascii="宋体" w:hAnsi="宋体"/>
                <w:b/>
                <w:color w:val="000000"/>
                <w:sz w:val="24"/>
              </w:rPr>
              <w:t>单价（元/人</w:t>
            </w:r>
            <w:r>
              <w:rPr>
                <w:rFonts w:hint="eastAsia" w:ascii="仿宋_GB2312" w:hAnsi="新宋体" w:eastAsia="仿宋_GB2312"/>
                <w:color w:val="000000"/>
                <w:sz w:val="30"/>
                <w:szCs w:val="30"/>
              </w:rPr>
              <w:t>·</w:t>
            </w:r>
            <w:r>
              <w:rPr>
                <w:rFonts w:hint="eastAsia" w:ascii="宋体" w:hAnsi="宋体"/>
                <w:b/>
                <w:color w:val="000000"/>
                <w:sz w:val="24"/>
              </w:rPr>
              <w:t>年）</w:t>
            </w:r>
          </w:p>
        </w:tc>
        <w:tc>
          <w:tcPr>
            <w:tcW w:w="1785" w:type="dxa"/>
            <w:vAlign w:val="center"/>
          </w:tcPr>
          <w:p>
            <w:pPr>
              <w:widowControl/>
              <w:jc w:val="left"/>
              <w:rPr>
                <w:rFonts w:ascii="宋体" w:hAnsi="宋体"/>
                <w:b/>
                <w:color w:val="000000"/>
                <w:sz w:val="24"/>
              </w:rPr>
            </w:pPr>
          </w:p>
          <w:p>
            <w:pPr>
              <w:tabs>
                <w:tab w:val="left" w:pos="8280"/>
              </w:tabs>
              <w:autoSpaceDE w:val="0"/>
              <w:autoSpaceDN w:val="0"/>
              <w:adjustRightInd w:val="0"/>
              <w:spacing w:line="360" w:lineRule="auto"/>
              <w:ind w:right="25"/>
              <w:rPr>
                <w:rFonts w:ascii="宋体" w:hAnsi="宋体"/>
                <w:b/>
                <w:color w:val="000000"/>
                <w:sz w:val="24"/>
              </w:rPr>
            </w:pPr>
            <w:r>
              <w:rPr>
                <w:rFonts w:hint="eastAsia" w:ascii="宋体" w:hAnsi="宋体"/>
                <w:b/>
                <w:color w:val="000000"/>
                <w:sz w:val="24"/>
              </w:rPr>
              <w:t>总价（统一按</w:t>
            </w:r>
            <w:r>
              <w:rPr>
                <w:rFonts w:hint="eastAsia" w:ascii="宋体" w:hAnsi="宋体"/>
                <w:b/>
                <w:color w:val="000000"/>
                <w:sz w:val="24"/>
                <w:lang w:val="en-US" w:eastAsia="zh-CN"/>
              </w:rPr>
              <w:t>608</w:t>
            </w:r>
            <w:r>
              <w:rPr>
                <w:rFonts w:hint="eastAsia" w:ascii="宋体" w:hAnsi="宋体"/>
                <w:b/>
                <w:color w:val="000000"/>
                <w:sz w:val="24"/>
              </w:rPr>
              <w:t>万人估算）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50" w:type="dxa"/>
            <w:vAlign w:val="center"/>
          </w:tcPr>
          <w:p>
            <w:pPr>
              <w:tabs>
                <w:tab w:val="left" w:pos="8280"/>
              </w:tabs>
              <w:autoSpaceDE w:val="0"/>
              <w:autoSpaceDN w:val="0"/>
              <w:adjustRightInd w:val="0"/>
              <w:spacing w:line="360" w:lineRule="auto"/>
              <w:ind w:right="25"/>
              <w:jc w:val="center"/>
              <w:rPr>
                <w:rFonts w:ascii="宋体" w:hAnsi="宋体"/>
                <w:color w:val="000000"/>
                <w:sz w:val="24"/>
              </w:rPr>
            </w:pPr>
            <w:r>
              <w:rPr>
                <w:rFonts w:hint="eastAsia" w:ascii="宋体" w:hAnsi="宋体"/>
                <w:color w:val="000000"/>
                <w:sz w:val="24"/>
              </w:rPr>
              <w:t>1</w:t>
            </w:r>
          </w:p>
        </w:tc>
        <w:tc>
          <w:tcPr>
            <w:tcW w:w="4095" w:type="dxa"/>
            <w:vAlign w:val="center"/>
          </w:tcPr>
          <w:p>
            <w:pPr>
              <w:tabs>
                <w:tab w:val="left" w:pos="8280"/>
              </w:tabs>
              <w:autoSpaceDE w:val="0"/>
              <w:autoSpaceDN w:val="0"/>
              <w:adjustRightInd w:val="0"/>
              <w:spacing w:line="360" w:lineRule="auto"/>
              <w:ind w:right="25" w:firstLine="240"/>
              <w:rPr>
                <w:rFonts w:ascii="宋体" w:hAnsi="宋体"/>
                <w:color w:val="000000"/>
                <w:sz w:val="24"/>
              </w:rPr>
            </w:pPr>
            <w:r>
              <w:rPr>
                <w:rFonts w:hint="eastAsia" w:ascii="宋体" w:hAnsi="宋体"/>
                <w:color w:val="000000"/>
                <w:sz w:val="24"/>
                <w:lang w:val="en-US" w:eastAsia="zh-CN"/>
              </w:rPr>
              <w:t>2022</w:t>
            </w:r>
            <w:r>
              <w:rPr>
                <w:rFonts w:hint="eastAsia" w:ascii="宋体" w:hAnsi="宋体"/>
                <w:color w:val="000000"/>
                <w:sz w:val="24"/>
              </w:rPr>
              <w:t>年保费</w:t>
            </w:r>
          </w:p>
        </w:tc>
        <w:tc>
          <w:tcPr>
            <w:tcW w:w="1890" w:type="dxa"/>
            <w:vAlign w:val="center"/>
          </w:tcPr>
          <w:p>
            <w:pPr>
              <w:tabs>
                <w:tab w:val="left" w:pos="8280"/>
              </w:tabs>
              <w:autoSpaceDE w:val="0"/>
              <w:autoSpaceDN w:val="0"/>
              <w:adjustRightInd w:val="0"/>
              <w:spacing w:line="360" w:lineRule="auto"/>
              <w:ind w:right="25"/>
              <w:rPr>
                <w:rFonts w:ascii="宋体" w:hAnsi="宋体"/>
                <w:b/>
                <w:color w:val="000000"/>
                <w:sz w:val="24"/>
              </w:rPr>
            </w:pPr>
          </w:p>
        </w:tc>
        <w:tc>
          <w:tcPr>
            <w:tcW w:w="1785" w:type="dxa"/>
            <w:vAlign w:val="center"/>
          </w:tcPr>
          <w:p>
            <w:pPr>
              <w:tabs>
                <w:tab w:val="left" w:pos="8280"/>
              </w:tabs>
              <w:autoSpaceDE w:val="0"/>
              <w:autoSpaceDN w:val="0"/>
              <w:adjustRightInd w:val="0"/>
              <w:spacing w:line="360" w:lineRule="auto"/>
              <w:ind w:right="25"/>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50" w:type="dxa"/>
            <w:vAlign w:val="center"/>
          </w:tcPr>
          <w:p>
            <w:pPr>
              <w:spacing w:line="360" w:lineRule="auto"/>
              <w:ind w:firstLine="360" w:firstLineChars="150"/>
              <w:rPr>
                <w:rFonts w:ascii="宋体" w:hAnsi="宋体"/>
                <w:color w:val="000000"/>
                <w:sz w:val="24"/>
              </w:rPr>
            </w:pPr>
            <w:r>
              <w:rPr>
                <w:rFonts w:hint="eastAsia" w:ascii="宋体" w:hAnsi="宋体"/>
                <w:color w:val="000000"/>
                <w:sz w:val="24"/>
              </w:rPr>
              <w:t>2</w:t>
            </w:r>
          </w:p>
        </w:tc>
        <w:tc>
          <w:tcPr>
            <w:tcW w:w="4095" w:type="dxa"/>
            <w:vAlign w:val="center"/>
          </w:tcPr>
          <w:p>
            <w:pPr>
              <w:tabs>
                <w:tab w:val="left" w:pos="8280"/>
              </w:tabs>
              <w:autoSpaceDE w:val="0"/>
              <w:autoSpaceDN w:val="0"/>
              <w:adjustRightInd w:val="0"/>
              <w:spacing w:line="360" w:lineRule="auto"/>
              <w:ind w:right="25" w:firstLine="240"/>
              <w:rPr>
                <w:rFonts w:ascii="宋体" w:hAnsi="宋体"/>
                <w:color w:val="000000"/>
                <w:sz w:val="24"/>
              </w:rPr>
            </w:pPr>
            <w:r>
              <w:rPr>
                <w:rFonts w:hint="eastAsia" w:ascii="宋体" w:hAnsi="宋体"/>
                <w:color w:val="000000"/>
                <w:sz w:val="24"/>
              </w:rPr>
              <w:t>202</w:t>
            </w:r>
            <w:r>
              <w:rPr>
                <w:rFonts w:hint="eastAsia" w:ascii="宋体" w:hAnsi="宋体"/>
                <w:color w:val="000000"/>
                <w:sz w:val="24"/>
                <w:lang w:val="en-US" w:eastAsia="zh-CN"/>
              </w:rPr>
              <w:t>3</w:t>
            </w:r>
            <w:r>
              <w:rPr>
                <w:rFonts w:hint="eastAsia" w:ascii="宋体" w:hAnsi="宋体"/>
                <w:color w:val="000000"/>
                <w:sz w:val="24"/>
              </w:rPr>
              <w:t>年保费</w:t>
            </w:r>
          </w:p>
        </w:tc>
        <w:tc>
          <w:tcPr>
            <w:tcW w:w="1890" w:type="dxa"/>
            <w:vAlign w:val="center"/>
          </w:tcPr>
          <w:p>
            <w:pPr>
              <w:spacing w:line="360" w:lineRule="auto"/>
              <w:rPr>
                <w:rFonts w:ascii="宋体" w:hAnsi="宋体"/>
                <w:color w:val="000000"/>
                <w:sz w:val="24"/>
              </w:rPr>
            </w:pPr>
          </w:p>
        </w:tc>
        <w:tc>
          <w:tcPr>
            <w:tcW w:w="1785"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50" w:type="dxa"/>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4095" w:type="dxa"/>
            <w:vAlign w:val="center"/>
          </w:tcPr>
          <w:p>
            <w:pPr>
              <w:tabs>
                <w:tab w:val="left" w:pos="8280"/>
              </w:tabs>
              <w:autoSpaceDE w:val="0"/>
              <w:autoSpaceDN w:val="0"/>
              <w:adjustRightInd w:val="0"/>
              <w:spacing w:line="360" w:lineRule="auto"/>
              <w:ind w:right="25" w:firstLine="240"/>
              <w:rPr>
                <w:rFonts w:ascii="宋体" w:hAnsi="宋体"/>
                <w:color w:val="000000"/>
                <w:sz w:val="24"/>
              </w:rPr>
            </w:pPr>
            <w:r>
              <w:rPr>
                <w:rFonts w:hint="eastAsia" w:ascii="宋体" w:hAnsi="宋体"/>
                <w:color w:val="000000"/>
                <w:sz w:val="24"/>
              </w:rPr>
              <w:t>202</w:t>
            </w:r>
            <w:r>
              <w:rPr>
                <w:rFonts w:hint="eastAsia" w:ascii="宋体" w:hAnsi="宋体"/>
                <w:color w:val="000000"/>
                <w:sz w:val="24"/>
                <w:lang w:val="en-US" w:eastAsia="zh-CN"/>
              </w:rPr>
              <w:t>4</w:t>
            </w:r>
            <w:r>
              <w:rPr>
                <w:rFonts w:hint="eastAsia" w:ascii="宋体" w:hAnsi="宋体"/>
                <w:color w:val="000000"/>
                <w:sz w:val="24"/>
              </w:rPr>
              <w:t>年保费</w:t>
            </w:r>
          </w:p>
        </w:tc>
        <w:tc>
          <w:tcPr>
            <w:tcW w:w="1890" w:type="dxa"/>
            <w:vAlign w:val="center"/>
          </w:tcPr>
          <w:p>
            <w:pPr>
              <w:spacing w:line="360" w:lineRule="auto"/>
              <w:rPr>
                <w:rFonts w:ascii="宋体" w:hAnsi="宋体"/>
                <w:color w:val="000000"/>
                <w:sz w:val="24"/>
              </w:rPr>
            </w:pPr>
          </w:p>
        </w:tc>
        <w:tc>
          <w:tcPr>
            <w:tcW w:w="1785"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50" w:type="dxa"/>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4095" w:type="dxa"/>
            <w:vAlign w:val="center"/>
          </w:tcPr>
          <w:p>
            <w:pPr>
              <w:tabs>
                <w:tab w:val="left" w:pos="8280"/>
              </w:tabs>
              <w:autoSpaceDE w:val="0"/>
              <w:autoSpaceDN w:val="0"/>
              <w:adjustRightInd w:val="0"/>
              <w:spacing w:line="360" w:lineRule="auto"/>
              <w:ind w:right="25" w:firstLine="240"/>
              <w:rPr>
                <w:rFonts w:ascii="宋体" w:hAnsi="宋体"/>
                <w:color w:val="000000"/>
                <w:sz w:val="24"/>
              </w:rPr>
            </w:pPr>
            <w:r>
              <w:rPr>
                <w:rFonts w:hint="eastAsia" w:ascii="宋体" w:hAnsi="宋体"/>
                <w:color w:val="000000"/>
                <w:sz w:val="24"/>
              </w:rPr>
              <w:t>三年平均保费</w:t>
            </w:r>
          </w:p>
        </w:tc>
        <w:tc>
          <w:tcPr>
            <w:tcW w:w="1890" w:type="dxa"/>
            <w:vAlign w:val="center"/>
          </w:tcPr>
          <w:p>
            <w:pPr>
              <w:spacing w:line="360" w:lineRule="auto"/>
              <w:ind w:left="2367"/>
              <w:rPr>
                <w:rFonts w:ascii="宋体" w:hAnsi="宋体"/>
                <w:color w:val="000000"/>
                <w:sz w:val="24"/>
              </w:rPr>
            </w:pPr>
          </w:p>
        </w:tc>
        <w:tc>
          <w:tcPr>
            <w:tcW w:w="1785" w:type="dxa"/>
            <w:vAlign w:val="center"/>
          </w:tcPr>
          <w:p>
            <w:pPr>
              <w:spacing w:line="360" w:lineRule="auto"/>
              <w:ind w:left="2367"/>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820" w:type="dxa"/>
            <w:gridSpan w:val="4"/>
            <w:tcBorders>
              <w:bottom w:val="single" w:color="auto" w:sz="4" w:space="0"/>
            </w:tcBorders>
            <w:vAlign w:val="center"/>
          </w:tcPr>
          <w:p>
            <w:pPr>
              <w:spacing w:line="360" w:lineRule="auto"/>
              <w:ind w:firstLine="241" w:firstLineChars="100"/>
              <w:rPr>
                <w:rFonts w:ascii="宋体" w:hAnsi="宋体"/>
                <w:b/>
                <w:color w:val="000000"/>
                <w:sz w:val="24"/>
              </w:rPr>
            </w:pPr>
            <w:r>
              <w:rPr>
                <w:rFonts w:hint="eastAsia" w:ascii="宋体" w:hAnsi="宋体"/>
                <w:b/>
                <w:color w:val="000000"/>
                <w:sz w:val="24"/>
              </w:rPr>
              <w:t>三年合计总价人民币</w:t>
            </w:r>
            <w:r>
              <w:rPr>
                <w:rFonts w:hint="eastAsia" w:ascii="宋体" w:hAnsi="宋体"/>
                <w:color w:val="000000"/>
                <w:sz w:val="24"/>
              </w:rPr>
              <w:t>：</w:t>
            </w:r>
            <w:r>
              <w:rPr>
                <w:rFonts w:hint="eastAsia" w:ascii="宋体" w:hAnsi="宋体"/>
                <w:b/>
                <w:color w:val="000000"/>
                <w:sz w:val="24"/>
              </w:rPr>
              <w:t>大写：  　　　　　　　　　小写：</w:t>
            </w:r>
          </w:p>
        </w:tc>
      </w:tr>
    </w:tbl>
    <w:p>
      <w:pPr>
        <w:spacing w:line="360" w:lineRule="auto"/>
        <w:rPr>
          <w:rFonts w:hint="eastAsia" w:ascii="宋体" w:hAnsi="宋体"/>
          <w:b/>
          <w:szCs w:val="21"/>
        </w:rPr>
      </w:pPr>
    </w:p>
    <w:p>
      <w:pPr>
        <w:spacing w:line="360" w:lineRule="auto"/>
        <w:ind w:firstLine="422" w:firstLineChars="200"/>
        <w:rPr>
          <w:rFonts w:hint="eastAsia" w:ascii="宋体" w:hAnsi="宋体"/>
          <w:b/>
          <w:szCs w:val="21"/>
        </w:rPr>
      </w:pPr>
    </w:p>
    <w:p>
      <w:pPr>
        <w:spacing w:line="360" w:lineRule="auto"/>
        <w:ind w:firstLine="422" w:firstLineChars="20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19"/>
        <w:ind w:left="0" w:leftChars="0" w:firstLine="0" w:firstLineChars="0"/>
        <w:rPr>
          <w:rFonts w:hint="eastAsia" w:ascii="宋体" w:hAnsi="宋体"/>
          <w:sz w:val="24"/>
        </w:rPr>
      </w:pPr>
    </w:p>
    <w:p>
      <w:pPr>
        <w:pStyle w:val="19"/>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19"/>
        <w:ind w:left="0" w:leftChars="0" w:firstLine="0" w:firstLineChars="0"/>
        <w:rPr>
          <w:rFonts w:hint="eastAsia"/>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12</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1"/>
        <w:spacing w:line="360" w:lineRule="auto"/>
        <w:ind w:firstLine="482" w:firstLineChars="200"/>
        <w:rPr>
          <w:rFonts w:hAnsi="宋体"/>
          <w:b/>
          <w:sz w:val="24"/>
        </w:rPr>
      </w:pPr>
      <w:r>
        <w:rPr>
          <w:rFonts w:hAnsi="宋体"/>
          <w:b/>
          <w:sz w:val="24"/>
        </w:rPr>
        <w:t>项目编号：</w:t>
      </w:r>
    </w:p>
    <w:p>
      <w:pPr>
        <w:pStyle w:val="38"/>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序号</w:t>
            </w:r>
          </w:p>
        </w:tc>
        <w:tc>
          <w:tcPr>
            <w:tcW w:w="1921"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 w:val="21"/>
                <w:szCs w:val="21"/>
              </w:rPr>
            </w:pPr>
            <w:r>
              <w:rPr>
                <w:rFonts w:hint="eastAsia" w:ascii="宋体" w:hAnsi="宋体"/>
                <w:b/>
                <w:sz w:val="21"/>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单价（元/人/月）</w:t>
            </w:r>
          </w:p>
        </w:tc>
        <w:tc>
          <w:tcPr>
            <w:tcW w:w="1473"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小计</w:t>
            </w:r>
          </w:p>
        </w:tc>
        <w:tc>
          <w:tcPr>
            <w:tcW w:w="1266"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47"/>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人员费用（不含加班补贴）</w:t>
            </w: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47"/>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3</w:t>
      </w:r>
    </w:p>
    <w:p>
      <w:pPr>
        <w:pStyle w:val="39"/>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39"/>
        <w:spacing w:line="360" w:lineRule="auto"/>
        <w:jc w:val="center"/>
        <w:rPr>
          <w:rFonts w:ascii="宋体" w:hAnsi="宋体"/>
          <w:b/>
          <w:sz w:val="24"/>
          <w:lang w:val="en-GB"/>
        </w:rPr>
      </w:pPr>
    </w:p>
    <w:p>
      <w:pPr>
        <w:pStyle w:val="39"/>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39"/>
        <w:numPr>
          <w:ilvl w:val="0"/>
          <w:numId w:val="20"/>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39"/>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39"/>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39"/>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39"/>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39"/>
        <w:spacing w:line="360" w:lineRule="auto"/>
        <w:ind w:firstLine="480" w:firstLineChars="200"/>
        <w:rPr>
          <w:rFonts w:ascii="宋体" w:hAnsi="宋体" w:cs="Arial"/>
          <w:bCs/>
          <w:sz w:val="24"/>
        </w:rPr>
      </w:pPr>
    </w:p>
    <w:p>
      <w:pPr>
        <w:pStyle w:val="39"/>
        <w:spacing w:line="360" w:lineRule="auto"/>
        <w:rPr>
          <w:rFonts w:ascii="宋体" w:hAnsi="宋体"/>
          <w:sz w:val="24"/>
        </w:rPr>
      </w:pPr>
    </w:p>
    <w:p>
      <w:pPr>
        <w:pStyle w:val="39"/>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39"/>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8"/>
        <w:rPr>
          <w:rFonts w:ascii="宋体" w:hAnsi="宋体" w:cs="宋体"/>
          <w:sz w:val="24"/>
          <w:szCs w:val="24"/>
        </w:rPr>
      </w:pPr>
    </w:p>
    <w:p>
      <w:pPr>
        <w:pStyle w:val="8"/>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11" w:name="_Toc27483_WPSOffice_Level1"/>
      <w:bookmarkStart w:id="112" w:name="_Toc17646_WPSOffice_Level1"/>
      <w:r>
        <w:rPr>
          <w:rFonts w:hint="eastAsia" w:hAnsi="宋体" w:cs="宋体"/>
          <w:b/>
          <w:sz w:val="32"/>
          <w:szCs w:val="32"/>
          <w:lang w:val="en-GB"/>
        </w:rPr>
        <w:t>残疾人福利性单位声明函</w:t>
      </w:r>
      <w:bookmarkEnd w:id="111"/>
      <w:bookmarkEnd w:id="112"/>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19"/>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39"/>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39"/>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39"/>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BF4CFBA1"/>
    <w:multiLevelType w:val="singleLevel"/>
    <w:tmpl w:val="BF4CFBA1"/>
    <w:lvl w:ilvl="0" w:tentative="0">
      <w:start w:val="1"/>
      <w:numFmt w:val="decimal"/>
      <w:lvlText w:val="%1."/>
      <w:lvlJc w:val="left"/>
      <w:pPr>
        <w:tabs>
          <w:tab w:val="left" w:pos="312"/>
        </w:tabs>
      </w:pPr>
    </w:lvl>
  </w:abstractNum>
  <w:abstractNum w:abstractNumId="2">
    <w:nsid w:val="C8F99F11"/>
    <w:multiLevelType w:val="singleLevel"/>
    <w:tmpl w:val="C8F99F11"/>
    <w:lvl w:ilvl="0" w:tentative="0">
      <w:start w:val="1"/>
      <w:numFmt w:val="decimal"/>
      <w:lvlText w:val="%1."/>
      <w:lvlJc w:val="left"/>
      <w:pPr>
        <w:ind w:left="425" w:hanging="425"/>
      </w:pPr>
      <w:rPr>
        <w:rFonts w:hint="default"/>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5">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6">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53F985B4"/>
    <w:multiLevelType w:val="singleLevel"/>
    <w:tmpl w:val="53F985B4"/>
    <w:lvl w:ilvl="0" w:tentative="0">
      <w:start w:val="1"/>
      <w:numFmt w:val="decimal"/>
      <w:lvlText w:val="%1."/>
      <w:lvlJc w:val="left"/>
      <w:pPr>
        <w:tabs>
          <w:tab w:val="left" w:pos="312"/>
        </w:tabs>
      </w:pPr>
    </w:lvl>
  </w:abstractNum>
  <w:abstractNum w:abstractNumId="9">
    <w:nsid w:val="574108D2"/>
    <w:multiLevelType w:val="singleLevel"/>
    <w:tmpl w:val="574108D2"/>
    <w:lvl w:ilvl="0" w:tentative="0">
      <w:start w:val="1"/>
      <w:numFmt w:val="chineseCounting"/>
      <w:suff w:val="nothing"/>
      <w:lvlText w:val="%1、"/>
      <w:lvlJc w:val="left"/>
      <w:pPr>
        <w:ind w:firstLine="420"/>
      </w:pPr>
      <w:rPr>
        <w:rFonts w:hint="eastAsia" w:cs="Times New Roman"/>
      </w:rPr>
    </w:lvl>
  </w:abstractNum>
  <w:abstractNum w:abstractNumId="10">
    <w:nsid w:val="57518190"/>
    <w:multiLevelType w:val="singleLevel"/>
    <w:tmpl w:val="57518190"/>
    <w:lvl w:ilvl="0" w:tentative="0">
      <w:start w:val="1"/>
      <w:numFmt w:val="decimal"/>
      <w:lvlText w:val="%1."/>
      <w:lvlJc w:val="left"/>
      <w:pPr>
        <w:tabs>
          <w:tab w:val="left" w:pos="425"/>
        </w:tabs>
        <w:ind w:left="425" w:hanging="425"/>
      </w:pPr>
      <w:rPr>
        <w:rFonts w:hint="default" w:cs="Times New Roman"/>
      </w:rPr>
    </w:lvl>
  </w:abstractNum>
  <w:abstractNum w:abstractNumId="11">
    <w:nsid w:val="57520F1C"/>
    <w:multiLevelType w:val="singleLevel"/>
    <w:tmpl w:val="57520F1C"/>
    <w:lvl w:ilvl="0" w:tentative="0">
      <w:start w:val="1"/>
      <w:numFmt w:val="decimal"/>
      <w:lvlText w:val="%1."/>
      <w:lvlJc w:val="left"/>
      <w:pPr>
        <w:tabs>
          <w:tab w:val="left" w:pos="425"/>
        </w:tabs>
        <w:ind w:left="425" w:hanging="425"/>
      </w:pPr>
      <w:rPr>
        <w:rFonts w:hint="default" w:cs="Times New Roman"/>
      </w:rPr>
    </w:lvl>
  </w:abstractNum>
  <w:abstractNum w:abstractNumId="12">
    <w:nsid w:val="57520F32"/>
    <w:multiLevelType w:val="singleLevel"/>
    <w:tmpl w:val="57520F32"/>
    <w:lvl w:ilvl="0" w:tentative="0">
      <w:start w:val="1"/>
      <w:numFmt w:val="decimal"/>
      <w:lvlText w:val="%1."/>
      <w:lvlJc w:val="left"/>
      <w:pPr>
        <w:tabs>
          <w:tab w:val="left" w:pos="425"/>
        </w:tabs>
        <w:ind w:left="425" w:hanging="425"/>
      </w:pPr>
      <w:rPr>
        <w:rFonts w:hint="default" w:cs="Times New Roman"/>
      </w:rPr>
    </w:lvl>
  </w:abstractNum>
  <w:abstractNum w:abstractNumId="13">
    <w:nsid w:val="5752135B"/>
    <w:multiLevelType w:val="singleLevel"/>
    <w:tmpl w:val="5752135B"/>
    <w:lvl w:ilvl="0" w:tentative="0">
      <w:start w:val="1"/>
      <w:numFmt w:val="decimal"/>
      <w:suff w:val="nothing"/>
      <w:lvlText w:val="%1．"/>
      <w:lvlJc w:val="left"/>
      <w:pPr>
        <w:ind w:firstLine="400"/>
      </w:pPr>
      <w:rPr>
        <w:rFonts w:hint="default" w:cs="Times New Roman"/>
      </w:rPr>
    </w:lvl>
  </w:abstractNum>
  <w:abstractNum w:abstractNumId="14">
    <w:nsid w:val="5754EC66"/>
    <w:multiLevelType w:val="singleLevel"/>
    <w:tmpl w:val="5754EC66"/>
    <w:lvl w:ilvl="0" w:tentative="0">
      <w:start w:val="1"/>
      <w:numFmt w:val="decimal"/>
      <w:lvlText w:val="%1."/>
      <w:lvlJc w:val="left"/>
      <w:pPr>
        <w:tabs>
          <w:tab w:val="left" w:pos="425"/>
        </w:tabs>
        <w:ind w:left="425" w:hanging="425"/>
      </w:pPr>
      <w:rPr>
        <w:rFonts w:hint="default" w:cs="Times New Roman"/>
      </w:rPr>
    </w:lvl>
  </w:abstractNum>
  <w:abstractNum w:abstractNumId="15">
    <w:nsid w:val="5BE338C7"/>
    <w:multiLevelType w:val="singleLevel"/>
    <w:tmpl w:val="5BE338C7"/>
    <w:lvl w:ilvl="0" w:tentative="0">
      <w:start w:val="1"/>
      <w:numFmt w:val="decimal"/>
      <w:lvlText w:val="%1."/>
      <w:lvlJc w:val="left"/>
      <w:pPr>
        <w:ind w:left="425" w:hanging="425"/>
      </w:pPr>
      <w:rPr>
        <w:rFonts w:hint="default"/>
      </w:rPr>
    </w:lvl>
  </w:abstractNum>
  <w:abstractNum w:abstractNumId="16">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7">
    <w:nsid w:val="66DDD653"/>
    <w:multiLevelType w:val="singleLevel"/>
    <w:tmpl w:val="66DDD653"/>
    <w:lvl w:ilvl="0" w:tentative="0">
      <w:start w:val="1"/>
      <w:numFmt w:val="chineseCounting"/>
      <w:suff w:val="space"/>
      <w:lvlText w:val="第%1章"/>
      <w:lvlJc w:val="left"/>
      <w:rPr>
        <w:rFonts w:hint="eastAsia"/>
      </w:rPr>
    </w:lvl>
  </w:abstractNum>
  <w:abstractNum w:abstractNumId="18">
    <w:nsid w:val="678CFB24"/>
    <w:multiLevelType w:val="singleLevel"/>
    <w:tmpl w:val="678CFB24"/>
    <w:lvl w:ilvl="0" w:tentative="0">
      <w:start w:val="1"/>
      <w:numFmt w:val="chineseCounting"/>
      <w:suff w:val="nothing"/>
      <w:lvlText w:val="%1、"/>
      <w:lvlJc w:val="left"/>
      <w:rPr>
        <w:rFonts w:hint="eastAsia"/>
      </w:rPr>
    </w:lvl>
  </w:abstractNum>
  <w:abstractNum w:abstractNumId="19">
    <w:nsid w:val="7488A27B"/>
    <w:multiLevelType w:val="singleLevel"/>
    <w:tmpl w:val="7488A27B"/>
    <w:lvl w:ilvl="0" w:tentative="0">
      <w:start w:val="1"/>
      <w:numFmt w:val="decimal"/>
      <w:lvlText w:val="%1."/>
      <w:lvlJc w:val="left"/>
      <w:pPr>
        <w:ind w:left="425" w:hanging="425"/>
      </w:pPr>
      <w:rPr>
        <w:rFonts w:hint="default"/>
      </w:rPr>
    </w:lvl>
  </w:abstractNum>
  <w:num w:numId="1">
    <w:abstractNumId w:val="16"/>
  </w:num>
  <w:num w:numId="2">
    <w:abstractNumId w:val="6"/>
  </w:num>
  <w:num w:numId="3">
    <w:abstractNumId w:val="17"/>
  </w:num>
  <w:num w:numId="4">
    <w:abstractNumId w:val="7"/>
  </w:num>
  <w:num w:numId="5">
    <w:abstractNumId w:val="18"/>
  </w:num>
  <w:num w:numId="6">
    <w:abstractNumId w:val="3"/>
  </w:num>
  <w:num w:numId="7">
    <w:abstractNumId w:val="4"/>
  </w:num>
  <w:num w:numId="8">
    <w:abstractNumId w:val="5"/>
  </w:num>
  <w:num w:numId="9">
    <w:abstractNumId w:val="9"/>
  </w:num>
  <w:num w:numId="10">
    <w:abstractNumId w:val="13"/>
  </w:num>
  <w:num w:numId="11">
    <w:abstractNumId w:val="10"/>
  </w:num>
  <w:num w:numId="12">
    <w:abstractNumId w:val="14"/>
  </w:num>
  <w:num w:numId="13">
    <w:abstractNumId w:val="1"/>
  </w:num>
  <w:num w:numId="14">
    <w:abstractNumId w:val="11"/>
  </w:num>
  <w:num w:numId="15">
    <w:abstractNumId w:val="12"/>
  </w:num>
  <w:num w:numId="16">
    <w:abstractNumId w:val="0"/>
  </w:num>
  <w:num w:numId="17">
    <w:abstractNumId w:val="15"/>
  </w:num>
  <w:num w:numId="18">
    <w:abstractNumId w:val="19"/>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30D77"/>
    <w:rsid w:val="00071BA1"/>
    <w:rsid w:val="000A2B60"/>
    <w:rsid w:val="001146EF"/>
    <w:rsid w:val="00165EE9"/>
    <w:rsid w:val="00186236"/>
    <w:rsid w:val="002247DA"/>
    <w:rsid w:val="00291503"/>
    <w:rsid w:val="00315916"/>
    <w:rsid w:val="0047463F"/>
    <w:rsid w:val="0049548B"/>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FC1E7F"/>
    <w:rsid w:val="00FF7A94"/>
    <w:rsid w:val="010742D5"/>
    <w:rsid w:val="010F7B98"/>
    <w:rsid w:val="01270A4D"/>
    <w:rsid w:val="01851778"/>
    <w:rsid w:val="01A729ED"/>
    <w:rsid w:val="01AE11E6"/>
    <w:rsid w:val="01B729F0"/>
    <w:rsid w:val="01E96BCD"/>
    <w:rsid w:val="01F53A09"/>
    <w:rsid w:val="020531A4"/>
    <w:rsid w:val="02222883"/>
    <w:rsid w:val="025C79DC"/>
    <w:rsid w:val="02A01370"/>
    <w:rsid w:val="02B40E52"/>
    <w:rsid w:val="02C62BA9"/>
    <w:rsid w:val="02F31BED"/>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0046C8"/>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686ED2"/>
    <w:rsid w:val="09CE19BC"/>
    <w:rsid w:val="09E70A54"/>
    <w:rsid w:val="09E84CCD"/>
    <w:rsid w:val="0A051115"/>
    <w:rsid w:val="0A3A5C5D"/>
    <w:rsid w:val="0A8528D5"/>
    <w:rsid w:val="0A8A0A3A"/>
    <w:rsid w:val="0AB52BD8"/>
    <w:rsid w:val="0AD56F1F"/>
    <w:rsid w:val="0ADA13C4"/>
    <w:rsid w:val="0ADD6933"/>
    <w:rsid w:val="0AEA3C8C"/>
    <w:rsid w:val="0B1E0CF0"/>
    <w:rsid w:val="0B1E2894"/>
    <w:rsid w:val="0B3A637F"/>
    <w:rsid w:val="0BCE1370"/>
    <w:rsid w:val="0BCF240A"/>
    <w:rsid w:val="0BD84E5C"/>
    <w:rsid w:val="0BE34CD8"/>
    <w:rsid w:val="0BE83010"/>
    <w:rsid w:val="0BF47D4E"/>
    <w:rsid w:val="0BF86799"/>
    <w:rsid w:val="0C0C6D89"/>
    <w:rsid w:val="0C377F1F"/>
    <w:rsid w:val="0C516743"/>
    <w:rsid w:val="0C5D1BDB"/>
    <w:rsid w:val="0C7E2237"/>
    <w:rsid w:val="0CA34118"/>
    <w:rsid w:val="0CA758F8"/>
    <w:rsid w:val="0CCD457A"/>
    <w:rsid w:val="0CED2959"/>
    <w:rsid w:val="0CEF3BF8"/>
    <w:rsid w:val="0D000761"/>
    <w:rsid w:val="0D1A753D"/>
    <w:rsid w:val="0D3F7F2E"/>
    <w:rsid w:val="0D6344EC"/>
    <w:rsid w:val="0D705EC6"/>
    <w:rsid w:val="0D7446FA"/>
    <w:rsid w:val="0DB14507"/>
    <w:rsid w:val="0DB757B9"/>
    <w:rsid w:val="0DC9020F"/>
    <w:rsid w:val="0DD34088"/>
    <w:rsid w:val="0DE545F3"/>
    <w:rsid w:val="0DE7555E"/>
    <w:rsid w:val="0E0316BF"/>
    <w:rsid w:val="0E072513"/>
    <w:rsid w:val="0E2D758B"/>
    <w:rsid w:val="0E503282"/>
    <w:rsid w:val="0EFB5DDF"/>
    <w:rsid w:val="0F0D0D2C"/>
    <w:rsid w:val="0F385060"/>
    <w:rsid w:val="0F58781F"/>
    <w:rsid w:val="0F5D7625"/>
    <w:rsid w:val="0F6147A2"/>
    <w:rsid w:val="0F86061B"/>
    <w:rsid w:val="0F902FB7"/>
    <w:rsid w:val="0FC27645"/>
    <w:rsid w:val="0FD4645C"/>
    <w:rsid w:val="1007199F"/>
    <w:rsid w:val="1008458B"/>
    <w:rsid w:val="101A3630"/>
    <w:rsid w:val="101F3682"/>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534E9"/>
    <w:rsid w:val="15287486"/>
    <w:rsid w:val="1578154F"/>
    <w:rsid w:val="15840A84"/>
    <w:rsid w:val="15AF033B"/>
    <w:rsid w:val="16031113"/>
    <w:rsid w:val="160C1329"/>
    <w:rsid w:val="161A0B74"/>
    <w:rsid w:val="16332D75"/>
    <w:rsid w:val="16502A53"/>
    <w:rsid w:val="16725D01"/>
    <w:rsid w:val="16777B9F"/>
    <w:rsid w:val="168F227C"/>
    <w:rsid w:val="169A575C"/>
    <w:rsid w:val="16AD5C51"/>
    <w:rsid w:val="16C11894"/>
    <w:rsid w:val="16C377D3"/>
    <w:rsid w:val="17032A27"/>
    <w:rsid w:val="171F0861"/>
    <w:rsid w:val="1731374B"/>
    <w:rsid w:val="173B1F0E"/>
    <w:rsid w:val="173D243C"/>
    <w:rsid w:val="17534ECF"/>
    <w:rsid w:val="178F2133"/>
    <w:rsid w:val="17DC7BF0"/>
    <w:rsid w:val="180053F0"/>
    <w:rsid w:val="181011F1"/>
    <w:rsid w:val="18535FDC"/>
    <w:rsid w:val="185F5F75"/>
    <w:rsid w:val="188227EF"/>
    <w:rsid w:val="189220EE"/>
    <w:rsid w:val="189E4B47"/>
    <w:rsid w:val="18E36CFC"/>
    <w:rsid w:val="19000C71"/>
    <w:rsid w:val="19112D11"/>
    <w:rsid w:val="192A06DB"/>
    <w:rsid w:val="193028F8"/>
    <w:rsid w:val="19800DAF"/>
    <w:rsid w:val="198218DD"/>
    <w:rsid w:val="198D1B84"/>
    <w:rsid w:val="198E4D52"/>
    <w:rsid w:val="19923F06"/>
    <w:rsid w:val="19AF2729"/>
    <w:rsid w:val="19E51688"/>
    <w:rsid w:val="19EE2A8B"/>
    <w:rsid w:val="19EE41FA"/>
    <w:rsid w:val="1A1830B1"/>
    <w:rsid w:val="1A2F4589"/>
    <w:rsid w:val="1A45294F"/>
    <w:rsid w:val="1A4C1D4A"/>
    <w:rsid w:val="1A587B66"/>
    <w:rsid w:val="1A5A6066"/>
    <w:rsid w:val="1A5B78E2"/>
    <w:rsid w:val="1A647FAE"/>
    <w:rsid w:val="1A777345"/>
    <w:rsid w:val="1A813E1F"/>
    <w:rsid w:val="1A8357FC"/>
    <w:rsid w:val="1A8962C8"/>
    <w:rsid w:val="1A9B5FFB"/>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CA7323"/>
    <w:rsid w:val="1DEC270F"/>
    <w:rsid w:val="1DF10281"/>
    <w:rsid w:val="1E0672A1"/>
    <w:rsid w:val="1E0D3D46"/>
    <w:rsid w:val="1E331E3B"/>
    <w:rsid w:val="1E352CD0"/>
    <w:rsid w:val="1E370C0B"/>
    <w:rsid w:val="1E4E212D"/>
    <w:rsid w:val="1E561B49"/>
    <w:rsid w:val="1E5A2895"/>
    <w:rsid w:val="1E5B5B74"/>
    <w:rsid w:val="1E847B39"/>
    <w:rsid w:val="1E860C88"/>
    <w:rsid w:val="1EAD27E8"/>
    <w:rsid w:val="1ED462A6"/>
    <w:rsid w:val="1ED734FA"/>
    <w:rsid w:val="1EDB21B2"/>
    <w:rsid w:val="1EE21D29"/>
    <w:rsid w:val="1EE72005"/>
    <w:rsid w:val="1F097887"/>
    <w:rsid w:val="1F2F246F"/>
    <w:rsid w:val="1F3E1D5D"/>
    <w:rsid w:val="1F6E3177"/>
    <w:rsid w:val="1F6F04BA"/>
    <w:rsid w:val="1F8129BD"/>
    <w:rsid w:val="20027E74"/>
    <w:rsid w:val="2024650C"/>
    <w:rsid w:val="204663FA"/>
    <w:rsid w:val="20624FA2"/>
    <w:rsid w:val="206A1137"/>
    <w:rsid w:val="20780880"/>
    <w:rsid w:val="20835E3C"/>
    <w:rsid w:val="20AA1825"/>
    <w:rsid w:val="20BB1EB1"/>
    <w:rsid w:val="21144C23"/>
    <w:rsid w:val="21246D4B"/>
    <w:rsid w:val="212A75E7"/>
    <w:rsid w:val="214B4A3D"/>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2FE4C9E"/>
    <w:rsid w:val="23052BAC"/>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4F6FAE"/>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441A50"/>
    <w:rsid w:val="28C64B8B"/>
    <w:rsid w:val="28D868C7"/>
    <w:rsid w:val="28D9203E"/>
    <w:rsid w:val="295E1181"/>
    <w:rsid w:val="298330BD"/>
    <w:rsid w:val="29B00B02"/>
    <w:rsid w:val="29B661A7"/>
    <w:rsid w:val="29C32435"/>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DD21A05"/>
    <w:rsid w:val="2E073EDF"/>
    <w:rsid w:val="2E1A2D69"/>
    <w:rsid w:val="2E1C2312"/>
    <w:rsid w:val="2E617376"/>
    <w:rsid w:val="2ED13170"/>
    <w:rsid w:val="2F011E82"/>
    <w:rsid w:val="2F415E64"/>
    <w:rsid w:val="2F60404A"/>
    <w:rsid w:val="2F6858EF"/>
    <w:rsid w:val="2F7674B4"/>
    <w:rsid w:val="2FC51659"/>
    <w:rsid w:val="2FCB2DE8"/>
    <w:rsid w:val="30082C17"/>
    <w:rsid w:val="301A6B35"/>
    <w:rsid w:val="301F2B6C"/>
    <w:rsid w:val="302124D4"/>
    <w:rsid w:val="30385048"/>
    <w:rsid w:val="30400DE6"/>
    <w:rsid w:val="3046030C"/>
    <w:rsid w:val="30577166"/>
    <w:rsid w:val="306B70B4"/>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A73DCC"/>
    <w:rsid w:val="32B63AAA"/>
    <w:rsid w:val="32EB6A85"/>
    <w:rsid w:val="3304078A"/>
    <w:rsid w:val="33091096"/>
    <w:rsid w:val="33232830"/>
    <w:rsid w:val="3341533E"/>
    <w:rsid w:val="33843CA1"/>
    <w:rsid w:val="344D764F"/>
    <w:rsid w:val="346534AA"/>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24099"/>
    <w:rsid w:val="36787E34"/>
    <w:rsid w:val="3692435D"/>
    <w:rsid w:val="36FC06E4"/>
    <w:rsid w:val="370B0055"/>
    <w:rsid w:val="374976F8"/>
    <w:rsid w:val="37533A9C"/>
    <w:rsid w:val="37821544"/>
    <w:rsid w:val="3787676D"/>
    <w:rsid w:val="37953793"/>
    <w:rsid w:val="37A53093"/>
    <w:rsid w:val="37E702EC"/>
    <w:rsid w:val="38727414"/>
    <w:rsid w:val="388B6973"/>
    <w:rsid w:val="38AF4648"/>
    <w:rsid w:val="38B3392D"/>
    <w:rsid w:val="38B37C06"/>
    <w:rsid w:val="38E50A97"/>
    <w:rsid w:val="390055EC"/>
    <w:rsid w:val="391E370A"/>
    <w:rsid w:val="392F5095"/>
    <w:rsid w:val="393C7ED6"/>
    <w:rsid w:val="39465433"/>
    <w:rsid w:val="39581B4E"/>
    <w:rsid w:val="395B6912"/>
    <w:rsid w:val="396271DB"/>
    <w:rsid w:val="399976A4"/>
    <w:rsid w:val="39A56F77"/>
    <w:rsid w:val="39BE4A11"/>
    <w:rsid w:val="3A27520A"/>
    <w:rsid w:val="3A3F6C87"/>
    <w:rsid w:val="3A465FD4"/>
    <w:rsid w:val="3A956A72"/>
    <w:rsid w:val="3AD70862"/>
    <w:rsid w:val="3AE76311"/>
    <w:rsid w:val="3B1109C9"/>
    <w:rsid w:val="3B2552D7"/>
    <w:rsid w:val="3B3F7D03"/>
    <w:rsid w:val="3B970D6B"/>
    <w:rsid w:val="3BE51125"/>
    <w:rsid w:val="3BE90506"/>
    <w:rsid w:val="3BEB6832"/>
    <w:rsid w:val="3BF178CC"/>
    <w:rsid w:val="3BFA2E9E"/>
    <w:rsid w:val="3BFF4511"/>
    <w:rsid w:val="3C40766B"/>
    <w:rsid w:val="3C476B61"/>
    <w:rsid w:val="3C583A62"/>
    <w:rsid w:val="3C813EBD"/>
    <w:rsid w:val="3C925C0E"/>
    <w:rsid w:val="3CA24375"/>
    <w:rsid w:val="3CB702EA"/>
    <w:rsid w:val="3CBD35C8"/>
    <w:rsid w:val="3CC24029"/>
    <w:rsid w:val="3CCF0F73"/>
    <w:rsid w:val="3CE437F4"/>
    <w:rsid w:val="3D386985"/>
    <w:rsid w:val="3D3906B1"/>
    <w:rsid w:val="3D4F25CE"/>
    <w:rsid w:val="3D584E9B"/>
    <w:rsid w:val="3D752B3C"/>
    <w:rsid w:val="3D880E45"/>
    <w:rsid w:val="3D9C69C1"/>
    <w:rsid w:val="3DA0424A"/>
    <w:rsid w:val="3DA419D7"/>
    <w:rsid w:val="3DDA6370"/>
    <w:rsid w:val="3DDD2C1B"/>
    <w:rsid w:val="3DFF5060"/>
    <w:rsid w:val="3E136870"/>
    <w:rsid w:val="3E4D1237"/>
    <w:rsid w:val="3E5D5F3B"/>
    <w:rsid w:val="3E615282"/>
    <w:rsid w:val="3E646581"/>
    <w:rsid w:val="3E8429B9"/>
    <w:rsid w:val="3E886F46"/>
    <w:rsid w:val="3EA572C5"/>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C652D1"/>
    <w:rsid w:val="40D16C5D"/>
    <w:rsid w:val="410A3110"/>
    <w:rsid w:val="41105572"/>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8D4536"/>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BD758C"/>
    <w:rsid w:val="46C67C71"/>
    <w:rsid w:val="46DB6342"/>
    <w:rsid w:val="46F207EA"/>
    <w:rsid w:val="46F40267"/>
    <w:rsid w:val="46F87058"/>
    <w:rsid w:val="47283388"/>
    <w:rsid w:val="474319B9"/>
    <w:rsid w:val="4750618B"/>
    <w:rsid w:val="477A20CD"/>
    <w:rsid w:val="47C35102"/>
    <w:rsid w:val="47C90408"/>
    <w:rsid w:val="47CA3491"/>
    <w:rsid w:val="47DE0285"/>
    <w:rsid w:val="47EA0372"/>
    <w:rsid w:val="47F77566"/>
    <w:rsid w:val="48131737"/>
    <w:rsid w:val="481C1F20"/>
    <w:rsid w:val="48221986"/>
    <w:rsid w:val="482932B2"/>
    <w:rsid w:val="48353471"/>
    <w:rsid w:val="48452D6C"/>
    <w:rsid w:val="48490177"/>
    <w:rsid w:val="48734131"/>
    <w:rsid w:val="48801F0A"/>
    <w:rsid w:val="489C4879"/>
    <w:rsid w:val="489C7EA5"/>
    <w:rsid w:val="490E5A67"/>
    <w:rsid w:val="49276E58"/>
    <w:rsid w:val="494B4338"/>
    <w:rsid w:val="497C5511"/>
    <w:rsid w:val="49B65DC9"/>
    <w:rsid w:val="4A131AB1"/>
    <w:rsid w:val="4A282B58"/>
    <w:rsid w:val="4A34760C"/>
    <w:rsid w:val="4A64259A"/>
    <w:rsid w:val="4AA4128B"/>
    <w:rsid w:val="4AAA7028"/>
    <w:rsid w:val="4AD50D4A"/>
    <w:rsid w:val="4ADC75C4"/>
    <w:rsid w:val="4B2977E3"/>
    <w:rsid w:val="4B3A3263"/>
    <w:rsid w:val="4B404F96"/>
    <w:rsid w:val="4B5F395F"/>
    <w:rsid w:val="4BB73A13"/>
    <w:rsid w:val="4BE22955"/>
    <w:rsid w:val="4C491FB6"/>
    <w:rsid w:val="4C501E02"/>
    <w:rsid w:val="4C60411D"/>
    <w:rsid w:val="4C9743B6"/>
    <w:rsid w:val="4CA56DBD"/>
    <w:rsid w:val="4CCD70EB"/>
    <w:rsid w:val="4CD15334"/>
    <w:rsid w:val="4CDC2AC2"/>
    <w:rsid w:val="4CEF194A"/>
    <w:rsid w:val="4D027104"/>
    <w:rsid w:val="4D123D13"/>
    <w:rsid w:val="4D4473CA"/>
    <w:rsid w:val="4D537EEC"/>
    <w:rsid w:val="4D594184"/>
    <w:rsid w:val="4D670A85"/>
    <w:rsid w:val="4D80617B"/>
    <w:rsid w:val="4D806473"/>
    <w:rsid w:val="4D8C1650"/>
    <w:rsid w:val="4DB87F6B"/>
    <w:rsid w:val="4DC608A6"/>
    <w:rsid w:val="4DF85FC0"/>
    <w:rsid w:val="4E1074C8"/>
    <w:rsid w:val="4E2B1D2E"/>
    <w:rsid w:val="4E527CB0"/>
    <w:rsid w:val="4E6F1EF6"/>
    <w:rsid w:val="4E7B029B"/>
    <w:rsid w:val="4E9C2A45"/>
    <w:rsid w:val="4EC76DE4"/>
    <w:rsid w:val="4ECB07EA"/>
    <w:rsid w:val="4EDA18B9"/>
    <w:rsid w:val="4F216F20"/>
    <w:rsid w:val="4F573543"/>
    <w:rsid w:val="4F6D467A"/>
    <w:rsid w:val="4FED507D"/>
    <w:rsid w:val="4FFB62E9"/>
    <w:rsid w:val="501C4E89"/>
    <w:rsid w:val="502B325D"/>
    <w:rsid w:val="505D795E"/>
    <w:rsid w:val="50630959"/>
    <w:rsid w:val="50A13EEF"/>
    <w:rsid w:val="50DD3BA3"/>
    <w:rsid w:val="50E61CAB"/>
    <w:rsid w:val="50E8074E"/>
    <w:rsid w:val="5132754D"/>
    <w:rsid w:val="513564CC"/>
    <w:rsid w:val="514E3A09"/>
    <w:rsid w:val="517C3AF1"/>
    <w:rsid w:val="51915B3D"/>
    <w:rsid w:val="519F5121"/>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AD22196"/>
    <w:rsid w:val="5B46719F"/>
    <w:rsid w:val="5B737DCF"/>
    <w:rsid w:val="5B81031A"/>
    <w:rsid w:val="5BA42A14"/>
    <w:rsid w:val="5BB47CCC"/>
    <w:rsid w:val="5BD05B9D"/>
    <w:rsid w:val="5BD343E6"/>
    <w:rsid w:val="5BE00F61"/>
    <w:rsid w:val="5BF1296B"/>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7E280E"/>
    <w:rsid w:val="5EA343F9"/>
    <w:rsid w:val="5EDE3F38"/>
    <w:rsid w:val="5F164D5E"/>
    <w:rsid w:val="5F2D2E3D"/>
    <w:rsid w:val="5F511649"/>
    <w:rsid w:val="5F741C71"/>
    <w:rsid w:val="5F884475"/>
    <w:rsid w:val="5F940261"/>
    <w:rsid w:val="5FAC17B4"/>
    <w:rsid w:val="5FBD31DA"/>
    <w:rsid w:val="5FBE713C"/>
    <w:rsid w:val="5FBF2C9F"/>
    <w:rsid w:val="5FC32C16"/>
    <w:rsid w:val="5FDA399F"/>
    <w:rsid w:val="5FFA79ED"/>
    <w:rsid w:val="60350249"/>
    <w:rsid w:val="606D0EF6"/>
    <w:rsid w:val="60806A99"/>
    <w:rsid w:val="60B442A8"/>
    <w:rsid w:val="60F47F8E"/>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1E6DCE"/>
    <w:rsid w:val="642B5582"/>
    <w:rsid w:val="644878A5"/>
    <w:rsid w:val="64516BFF"/>
    <w:rsid w:val="64643953"/>
    <w:rsid w:val="64963CFA"/>
    <w:rsid w:val="64B31A3E"/>
    <w:rsid w:val="64BB7086"/>
    <w:rsid w:val="64DF720B"/>
    <w:rsid w:val="64FB2F8F"/>
    <w:rsid w:val="65007D86"/>
    <w:rsid w:val="6502750F"/>
    <w:rsid w:val="655769D7"/>
    <w:rsid w:val="658C66C4"/>
    <w:rsid w:val="65B76CC0"/>
    <w:rsid w:val="65C86337"/>
    <w:rsid w:val="65DC6542"/>
    <w:rsid w:val="65FE3124"/>
    <w:rsid w:val="66475BEE"/>
    <w:rsid w:val="66921396"/>
    <w:rsid w:val="669268C9"/>
    <w:rsid w:val="669A00A1"/>
    <w:rsid w:val="669A0A1D"/>
    <w:rsid w:val="66C77EC3"/>
    <w:rsid w:val="66CD32EE"/>
    <w:rsid w:val="66EF31C1"/>
    <w:rsid w:val="67286643"/>
    <w:rsid w:val="67340A1D"/>
    <w:rsid w:val="67415D12"/>
    <w:rsid w:val="67645CC5"/>
    <w:rsid w:val="679D0438"/>
    <w:rsid w:val="679F14A6"/>
    <w:rsid w:val="67A71109"/>
    <w:rsid w:val="67A7594A"/>
    <w:rsid w:val="67DA328C"/>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CC6A33"/>
    <w:rsid w:val="6BE446D9"/>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4D3B78"/>
    <w:rsid w:val="6D7C6B86"/>
    <w:rsid w:val="6D886D51"/>
    <w:rsid w:val="6D98425A"/>
    <w:rsid w:val="6D9C4CB2"/>
    <w:rsid w:val="6DAC52D8"/>
    <w:rsid w:val="6DCC4C0D"/>
    <w:rsid w:val="6DCD5D3E"/>
    <w:rsid w:val="6DE52F24"/>
    <w:rsid w:val="6E0D5193"/>
    <w:rsid w:val="6E1312A6"/>
    <w:rsid w:val="6E2B38B7"/>
    <w:rsid w:val="6E42100A"/>
    <w:rsid w:val="6E4341AC"/>
    <w:rsid w:val="6E9D5BDB"/>
    <w:rsid w:val="6EF54E4F"/>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3E4BE8"/>
    <w:rsid w:val="726C56B8"/>
    <w:rsid w:val="7288771C"/>
    <w:rsid w:val="728B07C2"/>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9C6025"/>
    <w:rsid w:val="75D40046"/>
    <w:rsid w:val="75D96E3B"/>
    <w:rsid w:val="75E1612D"/>
    <w:rsid w:val="75F04951"/>
    <w:rsid w:val="762F29E5"/>
    <w:rsid w:val="764374F1"/>
    <w:rsid w:val="768E78BE"/>
    <w:rsid w:val="76944E76"/>
    <w:rsid w:val="769A26CA"/>
    <w:rsid w:val="76C34928"/>
    <w:rsid w:val="76CB6F68"/>
    <w:rsid w:val="76D17FE1"/>
    <w:rsid w:val="76DF15B8"/>
    <w:rsid w:val="76FB601C"/>
    <w:rsid w:val="7708778F"/>
    <w:rsid w:val="770B7BD2"/>
    <w:rsid w:val="77366320"/>
    <w:rsid w:val="778364BE"/>
    <w:rsid w:val="7799548D"/>
    <w:rsid w:val="77CD68F0"/>
    <w:rsid w:val="77ED1FBE"/>
    <w:rsid w:val="78287E44"/>
    <w:rsid w:val="783D055C"/>
    <w:rsid w:val="787764A6"/>
    <w:rsid w:val="78867CFB"/>
    <w:rsid w:val="789B6A68"/>
    <w:rsid w:val="78AE1EE3"/>
    <w:rsid w:val="78D06FA5"/>
    <w:rsid w:val="78F044C0"/>
    <w:rsid w:val="793D3D59"/>
    <w:rsid w:val="795F47C4"/>
    <w:rsid w:val="795F4B87"/>
    <w:rsid w:val="7964594B"/>
    <w:rsid w:val="799447B2"/>
    <w:rsid w:val="79993DEC"/>
    <w:rsid w:val="79CD1CC3"/>
    <w:rsid w:val="79D33A4B"/>
    <w:rsid w:val="79EA1578"/>
    <w:rsid w:val="79F9227E"/>
    <w:rsid w:val="7A03141B"/>
    <w:rsid w:val="7A2F68CB"/>
    <w:rsid w:val="7A532F6D"/>
    <w:rsid w:val="7A6E38A0"/>
    <w:rsid w:val="7A9E603E"/>
    <w:rsid w:val="7AA163B3"/>
    <w:rsid w:val="7AB01F3D"/>
    <w:rsid w:val="7ACE4950"/>
    <w:rsid w:val="7ADB04CF"/>
    <w:rsid w:val="7ADD1DF2"/>
    <w:rsid w:val="7AFE0D18"/>
    <w:rsid w:val="7B4B5341"/>
    <w:rsid w:val="7B5B1A0B"/>
    <w:rsid w:val="7B70050C"/>
    <w:rsid w:val="7B856E03"/>
    <w:rsid w:val="7BB31608"/>
    <w:rsid w:val="7BCE7867"/>
    <w:rsid w:val="7BD95DD9"/>
    <w:rsid w:val="7BE50BC8"/>
    <w:rsid w:val="7BF9716D"/>
    <w:rsid w:val="7C077508"/>
    <w:rsid w:val="7C1F4334"/>
    <w:rsid w:val="7C42078B"/>
    <w:rsid w:val="7C5713BA"/>
    <w:rsid w:val="7C695398"/>
    <w:rsid w:val="7C6D2C5C"/>
    <w:rsid w:val="7C736635"/>
    <w:rsid w:val="7C867073"/>
    <w:rsid w:val="7C8D2D58"/>
    <w:rsid w:val="7CA503F5"/>
    <w:rsid w:val="7CB302CB"/>
    <w:rsid w:val="7CBA40B0"/>
    <w:rsid w:val="7CCA1F6A"/>
    <w:rsid w:val="7D1948FD"/>
    <w:rsid w:val="7D1961AD"/>
    <w:rsid w:val="7D2C6F9F"/>
    <w:rsid w:val="7D543264"/>
    <w:rsid w:val="7D6D7156"/>
    <w:rsid w:val="7D7115AD"/>
    <w:rsid w:val="7D741635"/>
    <w:rsid w:val="7D860110"/>
    <w:rsid w:val="7DAE4568"/>
    <w:rsid w:val="7DC85A4E"/>
    <w:rsid w:val="7DF550BA"/>
    <w:rsid w:val="7E4A2EF5"/>
    <w:rsid w:val="7E531FFF"/>
    <w:rsid w:val="7E5E764B"/>
    <w:rsid w:val="7EAC4159"/>
    <w:rsid w:val="7ECB55B8"/>
    <w:rsid w:val="7EE626A2"/>
    <w:rsid w:val="7EEC63E7"/>
    <w:rsid w:val="7EF54C4F"/>
    <w:rsid w:val="7EFB3937"/>
    <w:rsid w:val="7F020EC4"/>
    <w:rsid w:val="7F381A2F"/>
    <w:rsid w:val="7F5957B0"/>
    <w:rsid w:val="7F9846AE"/>
    <w:rsid w:val="7F9A7F46"/>
    <w:rsid w:val="7FAD0277"/>
    <w:rsid w:val="7FBB2451"/>
    <w:rsid w:val="7FBD28C5"/>
    <w:rsid w:val="7FC50214"/>
    <w:rsid w:val="7FD34D39"/>
    <w:rsid w:val="7FEF71EF"/>
    <w:rsid w:val="9C4D3966"/>
    <w:rsid w:val="D7FBDDC5"/>
    <w:rsid w:val="FBFB702C"/>
    <w:rsid w:val="FEF7D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0"/>
    <w:pPr>
      <w:spacing w:line="360" w:lineRule="exact"/>
    </w:pPr>
    <w:rPr>
      <w:sz w:val="24"/>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qFormat/>
    <w:uiPriority w:val="0"/>
    <w:pPr>
      <w:ind w:firstLine="200" w:firstLineChars="200"/>
    </w:pPr>
  </w:style>
  <w:style w:type="paragraph" w:styleId="19">
    <w:name w:val="Body Text First Indent 2"/>
    <w:basedOn w:val="3"/>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4"/>
    <w:qFormat/>
    <w:uiPriority w:val="0"/>
    <w:rPr>
      <w:rFonts w:ascii="Times New Roman" w:hAnsi="Times New Roman" w:eastAsia="宋体" w:cs="Times New Roman"/>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3"/>
    <w:basedOn w:val="34"/>
    <w:qFormat/>
    <w:uiPriority w:val="0"/>
    <w:pPr>
      <w:widowControl/>
      <w:jc w:val="left"/>
    </w:pPr>
    <w:rPr>
      <w:rFonts w:ascii="宋体" w:hAnsi="Courier New" w:eastAsiaTheme="minorEastAsia" w:cstheme="minorBidi"/>
      <w:szCs w:val="21"/>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font21"/>
    <w:basedOn w:val="22"/>
    <w:qFormat/>
    <w:uiPriority w:val="0"/>
    <w:rPr>
      <w:rFonts w:hint="default" w:ascii="Arial" w:hAnsi="Arial" w:cs="Arial"/>
      <w:color w:val="000000"/>
      <w:sz w:val="20"/>
      <w:szCs w:val="20"/>
      <w:u w:val="none"/>
    </w:rPr>
  </w:style>
  <w:style w:type="character" w:customStyle="1" w:styleId="42">
    <w:name w:val="font01"/>
    <w:basedOn w:val="22"/>
    <w:qFormat/>
    <w:uiPriority w:val="0"/>
    <w:rPr>
      <w:rFonts w:hint="eastAsia" w:ascii="宋体" w:hAnsi="宋体" w:eastAsia="宋体" w:cs="宋体"/>
      <w:color w:val="000000"/>
      <w:sz w:val="20"/>
      <w:szCs w:val="20"/>
      <w:u w:val="none"/>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5">
    <w:name w:val="Table Paragraph"/>
    <w:basedOn w:val="1"/>
    <w:qFormat/>
    <w:uiPriority w:val="1"/>
    <w:rPr>
      <w:rFonts w:ascii="宋体" w:hAnsi="宋体" w:cs="宋体"/>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批注框文本 Char"/>
    <w:basedOn w:val="22"/>
    <w:link w:val="13"/>
    <w:qFormat/>
    <w:uiPriority w:val="0"/>
    <w:rPr>
      <w:kern w:val="2"/>
      <w:sz w:val="18"/>
      <w:szCs w:val="18"/>
    </w:rPr>
  </w:style>
  <w:style w:type="paragraph" w:customStyle="1" w:styleId="49">
    <w:name w:val="英文"/>
    <w:basedOn w:val="1"/>
    <w:link w:val="51"/>
    <w:qFormat/>
    <w:uiPriority w:val="0"/>
    <w:pPr>
      <w:adjustRightInd w:val="0"/>
      <w:snapToGrid w:val="0"/>
      <w:spacing w:line="360" w:lineRule="auto"/>
      <w:ind w:firstLine="480" w:firstLineChars="200"/>
    </w:pPr>
    <w:rPr>
      <w:rFonts w:ascii="Arial" w:hAnsi="Arial" w:cs="Arial"/>
      <w:sz w:val="24"/>
    </w:rPr>
  </w:style>
  <w:style w:type="paragraph" w:customStyle="1" w:styleId="50">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1">
    <w:name w:val="英文 Char"/>
    <w:link w:val="49"/>
    <w:qFormat/>
    <w:uiPriority w:val="0"/>
    <w:rPr>
      <w:rFonts w:ascii="Arial" w:hAnsi="Arial" w:cs="Arial"/>
      <w:sz w:val="24"/>
    </w:rPr>
  </w:style>
  <w:style w:type="paragraph" w:customStyle="1" w:styleId="52">
    <w:name w:val="题目"/>
    <w:basedOn w:val="1"/>
    <w:qFormat/>
    <w:uiPriority w:val="0"/>
    <w:pPr>
      <w:spacing w:beforeLines="100" w:afterLines="100" w:line="360" w:lineRule="auto"/>
      <w:jc w:val="center"/>
    </w:pPr>
    <w:rPr>
      <w:rFonts w:ascii="方正小标宋_GBK" w:hAnsi="新宋体" w:eastAsia="方正小标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3259</Words>
  <Characters>18580</Characters>
  <Lines>154</Lines>
  <Paragraphs>43</Paragraphs>
  <TotalTime>98</TotalTime>
  <ScaleCrop>false</ScaleCrop>
  <LinksUpToDate>false</LinksUpToDate>
  <CharactersWithSpaces>21796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2021-02-06T09:06:00Z</dcterms:created>
  <dc:creator>Thorpe521</dc:creator>
  <cp:lastModifiedBy>zebora</cp:lastModifiedBy>
  <cp:lastPrinted>2021-12-08T05:45:00Z</cp:lastPrinted>
  <dcterms:modified xsi:type="dcterms:W3CDTF">2021-12-23T05:36:15Z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EA4A0E49513944B4AD60CAF286B291CA</vt:lpwstr>
  </property>
</Properties>
</file>