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CG-20</w:t>
      </w:r>
      <w:r>
        <w:rPr>
          <w:rFonts w:hint="eastAsia" w:ascii="宋体"/>
          <w:b/>
          <w:kern w:val="0"/>
          <w:sz w:val="32"/>
        </w:rPr>
        <w:t>21</w:t>
      </w:r>
      <w:r>
        <w:rPr>
          <w:rFonts w:ascii="宋体"/>
          <w:b/>
          <w:kern w:val="0"/>
          <w:sz w:val="32"/>
        </w:rPr>
        <w:t>-</w:t>
      </w:r>
      <w:r>
        <w:rPr>
          <w:rFonts w:hint="eastAsia" w:ascii="宋体"/>
          <w:b/>
          <w:kern w:val="0"/>
          <w:sz w:val="32"/>
        </w:rPr>
        <w:t>GK0</w:t>
      </w:r>
      <w:r>
        <w:rPr>
          <w:rFonts w:hint="eastAsia" w:ascii="宋体"/>
          <w:b/>
          <w:kern w:val="0"/>
          <w:sz w:val="32"/>
          <w:lang w:val="en-US" w:eastAsia="zh-CN"/>
        </w:rPr>
        <w:t>18</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077" w:firstLineChars="742"/>
        <w:jc w:val="left"/>
        <w:rPr>
          <w:rFonts w:hint="eastAsia" w:ascii="宋体" w:eastAsia="宋体"/>
          <w:kern w:val="0"/>
          <w:sz w:val="24"/>
          <w:szCs w:val="22"/>
          <w:lang w:val="en-US" w:eastAsia="zh-CN"/>
        </w:rPr>
      </w:pPr>
      <w:r>
        <w:rPr>
          <w:rFonts w:hint="eastAsia" w:ascii="宋体"/>
          <w:kern w:val="0"/>
          <w:sz w:val="28"/>
        </w:rPr>
        <w:t>采购项目：</w:t>
      </w:r>
      <w:r>
        <w:rPr>
          <w:rFonts w:hint="eastAsia" w:ascii="宋体"/>
          <w:kern w:val="0"/>
          <w:sz w:val="24"/>
          <w:szCs w:val="22"/>
        </w:rPr>
        <w:t xml:space="preserve"> </w:t>
      </w:r>
      <w:r>
        <w:rPr>
          <w:rFonts w:hint="eastAsia" w:ascii="宋体"/>
          <w:kern w:val="0"/>
          <w:sz w:val="24"/>
          <w:szCs w:val="22"/>
          <w:lang w:val="zh-CN"/>
        </w:rPr>
        <w:t>台州市政务大厅2.0数字化改造</w:t>
      </w:r>
      <w:r>
        <w:rPr>
          <w:rFonts w:hint="eastAsia" w:ascii="宋体"/>
          <w:kern w:val="0"/>
          <w:sz w:val="24"/>
          <w:szCs w:val="22"/>
          <w:lang w:val="en-US" w:eastAsia="zh-CN"/>
        </w:rPr>
        <w:t>硬件升级</w:t>
      </w:r>
      <w:r>
        <w:rPr>
          <w:rFonts w:hint="eastAsia" w:ascii="宋体"/>
          <w:kern w:val="0"/>
          <w:sz w:val="24"/>
          <w:szCs w:val="22"/>
          <w:lang w:val="zh-CN"/>
        </w:rPr>
        <w:t>项目</w:t>
      </w:r>
    </w:p>
    <w:p>
      <w:pPr>
        <w:autoSpaceDE w:val="0"/>
        <w:autoSpaceDN w:val="0"/>
        <w:adjustRightInd w:val="0"/>
        <w:spacing w:line="360" w:lineRule="auto"/>
        <w:ind w:firstLine="2077" w:firstLineChars="742"/>
        <w:jc w:val="left"/>
        <w:rPr>
          <w:rFonts w:hint="eastAsia" w:ascii="宋体"/>
          <w:kern w:val="0"/>
          <w:sz w:val="28"/>
          <w:lang w:val="zh-CN"/>
        </w:rPr>
      </w:pPr>
      <w:r>
        <w:rPr>
          <w:rFonts w:hint="eastAsia" w:ascii="宋体"/>
          <w:kern w:val="0"/>
          <w:sz w:val="28"/>
          <w:lang w:val="zh-CN"/>
        </w:rPr>
        <w:t>采购人： 台州市人民政府行政服务中心</w:t>
      </w:r>
    </w:p>
    <w:p>
      <w:pPr>
        <w:autoSpaceDE w:val="0"/>
        <w:autoSpaceDN w:val="0"/>
        <w:adjustRightInd w:val="0"/>
        <w:spacing w:line="360" w:lineRule="auto"/>
        <w:ind w:firstLine="2077" w:firstLineChars="742"/>
        <w:jc w:val="left"/>
        <w:rPr>
          <w:rFonts w:ascii="宋体"/>
          <w:kern w:val="0"/>
          <w:sz w:val="28"/>
        </w:rPr>
      </w:pP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 xml:space="preserve">2021年 </w:t>
      </w:r>
      <w:r>
        <w:rPr>
          <w:rFonts w:hint="eastAsia" w:ascii="宋体" w:hAnsi="宋体" w:cs="宋体"/>
          <w:kern w:val="0"/>
          <w:sz w:val="28"/>
          <w:szCs w:val="28"/>
          <w:lang w:val="en-US" w:eastAsia="zh-CN"/>
        </w:rPr>
        <w:t xml:space="preserve">10 </w:t>
      </w:r>
      <w:r>
        <w:rPr>
          <w:rFonts w:hint="eastAsia" w:ascii="宋体" w:hAnsi="宋体" w:cs="宋体"/>
          <w:kern w:val="0"/>
          <w:sz w:val="28"/>
          <w:szCs w:val="28"/>
        </w:rPr>
        <w:t>月</w:t>
      </w:r>
      <w:r>
        <w:rPr>
          <w:rFonts w:hint="eastAsia" w:ascii="宋体" w:hAnsi="宋体" w:cs="宋体"/>
          <w:kern w:val="0"/>
          <w:sz w:val="28"/>
          <w:szCs w:val="28"/>
          <w:lang w:val="en-US" w:eastAsia="zh-CN"/>
        </w:rPr>
        <w:t xml:space="preserve"> 11 </w:t>
      </w:r>
      <w:r>
        <w:rPr>
          <w:rFonts w:hint="eastAsia" w:ascii="宋体" w:hAnsi="宋体" w:cs="宋体"/>
          <w:kern w:val="0"/>
          <w:sz w:val="28"/>
          <w:szCs w:val="28"/>
        </w:rPr>
        <w:t>日</w:t>
      </w:r>
    </w:p>
    <w:p>
      <w:pPr>
        <w:spacing w:line="360" w:lineRule="auto"/>
      </w:pPr>
    </w:p>
    <w:p>
      <w:pPr>
        <w:pStyle w:val="24"/>
      </w:pPr>
    </w:p>
    <w:p>
      <w:pPr>
        <w:spacing w:line="360" w:lineRule="auto"/>
      </w:pPr>
    </w:p>
    <w:p>
      <w:pPr>
        <w:jc w:val="center"/>
        <w:rPr>
          <w:rFonts w:ascii="宋体" w:hAnsi="宋体" w:cs="Arial"/>
          <w:b/>
          <w:bCs/>
          <w:sz w:val="36"/>
          <w:szCs w:val="36"/>
        </w:rPr>
      </w:pPr>
      <w:r>
        <w:rPr>
          <w:rFonts w:hint="eastAsia" w:ascii="宋体" w:hAnsi="宋体" w:cs="Arial"/>
          <w:b/>
          <w:bCs/>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pPr>
        <w:spacing w:line="360" w:lineRule="auto"/>
        <w:rPr>
          <w:rFonts w:ascii="新宋体" w:hAnsi="新宋体" w:eastAsia="新宋体"/>
          <w:sz w:val="28"/>
          <w:szCs w:val="28"/>
        </w:rPr>
      </w:pP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公开招标采购公告</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投标人须知</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评标办法及评分标准</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公开招标需求</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政府采购合同主要条款指引</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电子投标文件格式附件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numPr>
          <w:ilvl w:val="0"/>
          <w:numId w:val="5"/>
        </w:num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t xml:space="preserve"> 公开</w:t>
      </w:r>
      <w:r>
        <w:rPr>
          <w:rFonts w:hint="eastAsia" w:asciiTheme="majorEastAsia" w:hAnsiTheme="majorEastAsia" w:eastAsiaTheme="majorEastAsia"/>
          <w:b/>
          <w:sz w:val="36"/>
          <w:szCs w:val="36"/>
        </w:rPr>
        <w:t>招标采购公告</w:t>
      </w:r>
    </w:p>
    <w:p>
      <w:pPr>
        <w:pStyle w:val="9"/>
        <w:ind w:firstLine="0"/>
      </w:pPr>
    </w:p>
    <w:p>
      <w:pPr>
        <w:pStyle w:val="3"/>
        <w:numPr>
          <w:ilvl w:val="0"/>
          <w:numId w:val="0"/>
        </w:numPr>
        <w:tabs>
          <w:tab w:val="left" w:pos="0"/>
          <w:tab w:val="left" w:pos="3165"/>
          <w:tab w:val="center" w:pos="4153"/>
        </w:tabs>
        <w:autoSpaceDE w:val="0"/>
        <w:autoSpaceDN w:val="0"/>
        <w:adjustRightInd w:val="0"/>
        <w:spacing w:before="0" w:after="0"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asciiTheme="minorEastAsia" w:hAnsiTheme="minorEastAsia" w:eastAsiaTheme="minorEastAsia" w:cstheme="minorEastAsia"/>
          <w:b w:val="0"/>
          <w:sz w:val="28"/>
        </w:rPr>
      </w:pPr>
      <w:r>
        <w:rPr>
          <w:rFonts w:hint="eastAsia" w:ascii="宋体"/>
          <w:kern w:val="0"/>
          <w:sz w:val="28"/>
          <w:lang w:val="zh-CN"/>
        </w:rPr>
        <w:t>台州市人民政府行政服务中心台州市政务大厅2.0数字化改造</w:t>
      </w:r>
      <w:r>
        <w:rPr>
          <w:rFonts w:hint="eastAsia" w:ascii="宋体"/>
          <w:kern w:val="0"/>
          <w:sz w:val="28"/>
          <w:lang w:val="en-US" w:eastAsia="zh-CN"/>
        </w:rPr>
        <w:t>硬件升级</w:t>
      </w:r>
      <w:r>
        <w:rPr>
          <w:rFonts w:hint="eastAsia" w:ascii="宋体"/>
          <w:kern w:val="0"/>
          <w:sz w:val="28"/>
          <w:lang w:val="zh-CN"/>
        </w:rPr>
        <w:t>项目</w:t>
      </w:r>
      <w:r>
        <w:rPr>
          <w:rFonts w:hint="eastAsia" w:cs="Arial" w:asciiTheme="minorEastAsia" w:hAnsiTheme="minorEastAsia" w:eastAsiaTheme="minorEastAsia"/>
          <w:sz w:val="28"/>
          <w:szCs w:val="28"/>
        </w:rPr>
        <w:t xml:space="preserve">的潜在投标人应在“浙江省政府采购网”（http:// www.zjzfcg.gov.cn）和“台州市公共资源交易中心”（ </w:t>
      </w:r>
      <w:r>
        <w:fldChar w:fldCharType="begin"/>
      </w:r>
      <w:r>
        <w:instrText xml:space="preserve"> HYPERLINK "http://www.xjztb.cn" </w:instrText>
      </w:r>
      <w:r>
        <w:fldChar w:fldCharType="separate"/>
      </w:r>
      <w:r>
        <w:rPr>
          <w:rFonts w:hint="eastAsia" w:cs="Arial" w:asciiTheme="minorEastAsia" w:hAnsiTheme="minorEastAsia" w:eastAsiaTheme="minorEastAsia"/>
          <w:sz w:val="28"/>
          <w:szCs w:val="28"/>
        </w:rPr>
        <w:t>http://www.tzztb.com</w:t>
      </w:r>
      <w:r>
        <w:rPr>
          <w:rFonts w:hint="eastAsia" w:cs="Arial" w:asciiTheme="minorEastAsia" w:hAnsiTheme="minorEastAsia" w:eastAsiaTheme="minorEastAsia"/>
          <w:sz w:val="28"/>
          <w:szCs w:val="28"/>
        </w:rPr>
        <w:fldChar w:fldCharType="end"/>
      </w:r>
      <w:r>
        <w:rPr>
          <w:rFonts w:hint="eastAsia" w:cs="Arial" w:asciiTheme="minorEastAsia" w:hAnsiTheme="minorEastAsia" w:eastAsiaTheme="minorEastAsia"/>
          <w:sz w:val="28"/>
          <w:szCs w:val="28"/>
        </w:rPr>
        <w:t>）获取招标文件，并于</w:t>
      </w:r>
      <w:r>
        <w:rPr>
          <w:rFonts w:hint="eastAsia" w:cs="Arial" w:asciiTheme="minorEastAsia" w:hAnsiTheme="minorEastAsia" w:eastAsiaTheme="minorEastAsia"/>
          <w:color w:val="0000FF"/>
          <w:sz w:val="28"/>
          <w:szCs w:val="28"/>
        </w:rPr>
        <w:t xml:space="preserve"> 2021年</w:t>
      </w:r>
      <w:r>
        <w:rPr>
          <w:rFonts w:hint="eastAsia" w:cs="Arial" w:asciiTheme="minorEastAsia" w:hAnsiTheme="minorEastAsia" w:eastAsiaTheme="minorEastAsia"/>
          <w:color w:val="0000FF"/>
          <w:sz w:val="28"/>
          <w:szCs w:val="28"/>
          <w:lang w:val="en-US" w:eastAsia="zh-CN"/>
        </w:rPr>
        <w:t>11</w:t>
      </w:r>
      <w:r>
        <w:rPr>
          <w:rFonts w:hint="eastAsia" w:cs="Arial" w:asciiTheme="minorEastAsia" w:hAnsiTheme="minorEastAsia" w:eastAsiaTheme="minorEastAsia"/>
          <w:color w:val="0000FF"/>
          <w:sz w:val="28"/>
          <w:szCs w:val="28"/>
        </w:rPr>
        <w:t>月</w:t>
      </w:r>
      <w:r>
        <w:rPr>
          <w:rFonts w:hint="eastAsia" w:cs="Arial" w:asciiTheme="minorEastAsia" w:hAnsiTheme="minorEastAsia" w:eastAsiaTheme="minorEastAsia"/>
          <w:color w:val="0000FF"/>
          <w:sz w:val="28"/>
          <w:szCs w:val="28"/>
          <w:lang w:val="en-US" w:eastAsia="zh-CN"/>
        </w:rPr>
        <w:t>2</w:t>
      </w:r>
      <w:r>
        <w:rPr>
          <w:rFonts w:hint="eastAsia" w:cs="Arial" w:asciiTheme="minorEastAsia" w:hAnsiTheme="minorEastAsia" w:eastAsiaTheme="minorEastAsia"/>
          <w:color w:val="0000FF"/>
          <w:sz w:val="28"/>
          <w:szCs w:val="28"/>
        </w:rPr>
        <w:t>日 9点</w:t>
      </w:r>
      <w:r>
        <w:rPr>
          <w:rFonts w:hint="eastAsia" w:cs="Arial" w:asciiTheme="minorEastAsia" w:hAnsiTheme="minorEastAsia" w:eastAsiaTheme="minorEastAsia"/>
          <w:sz w:val="28"/>
          <w:szCs w:val="28"/>
        </w:rPr>
        <w:t xml:space="preserve"> 00 分（北京时间）前在浙江政府采购云平台递</w:t>
      </w:r>
      <w:r>
        <w:rPr>
          <w:rFonts w:hint="eastAsia"/>
          <w:sz w:val="28"/>
          <w:szCs w:val="28"/>
        </w:rPr>
        <w:t>交电</w:t>
      </w:r>
      <w:r>
        <w:rPr>
          <w:rFonts w:hint="eastAsia" w:cs="Arial" w:asciiTheme="minorEastAsia" w:hAnsiTheme="minorEastAsia" w:eastAsiaTheme="minorEastAsia"/>
          <w:sz w:val="28"/>
          <w:szCs w:val="28"/>
        </w:rPr>
        <w:t>子投标文件。</w:t>
      </w:r>
      <w:bookmarkStart w:id="0" w:name="_Toc35393790"/>
      <w:bookmarkStart w:id="1" w:name="_Toc35393621"/>
      <w:bookmarkStart w:id="2" w:name="_Toc28359079"/>
      <w:bookmarkStart w:id="3" w:name="_Toc28359002"/>
      <w:bookmarkStart w:id="4" w:name="_Hlk24379207"/>
    </w:p>
    <w:p>
      <w:pPr>
        <w:pStyle w:val="4"/>
        <w:rPr>
          <w:rFonts w:asciiTheme="minorEastAsia" w:hAnsiTheme="minorEastAsia" w:eastAsiaTheme="minorEastAsia" w:cstheme="minorEastAsia"/>
          <w:b w:val="0"/>
          <w:sz w:val="28"/>
        </w:rPr>
      </w:pPr>
      <w:r>
        <w:rPr>
          <w:rFonts w:hint="eastAsia" w:asciiTheme="minorEastAsia" w:hAnsiTheme="minorEastAsia" w:eastAsiaTheme="minorEastAsia" w:cstheme="minorEastAsia"/>
          <w:b w:val="0"/>
          <w:sz w:val="28"/>
        </w:rPr>
        <w:t>一、项目基本情况</w:t>
      </w:r>
      <w:bookmarkEnd w:id="0"/>
      <w:bookmarkEnd w:id="1"/>
      <w:bookmarkEnd w:id="2"/>
      <w:bookmarkEnd w:id="3"/>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项目编号：TZCG-2021-GK0</w:t>
      </w:r>
      <w:r>
        <w:rPr>
          <w:rFonts w:hint="eastAsia" w:asciiTheme="minorEastAsia" w:hAnsiTheme="minorEastAsia" w:eastAsiaTheme="minorEastAsia" w:cstheme="minorEastAsia"/>
          <w:sz w:val="28"/>
          <w:szCs w:val="28"/>
          <w:lang w:val="en-US" w:eastAsia="zh-CN"/>
        </w:rPr>
        <w:t>18</w:t>
      </w:r>
      <w:r>
        <w:rPr>
          <w:rFonts w:hint="eastAsia" w:asciiTheme="minorEastAsia" w:hAnsiTheme="minorEastAsia" w:eastAsiaTheme="minorEastAsia" w:cstheme="minorEastAsia"/>
          <w:sz w:val="28"/>
          <w:szCs w:val="28"/>
        </w:rPr>
        <w:t>号</w:t>
      </w:r>
    </w:p>
    <w:bookmarkEnd w:id="4"/>
    <w:p>
      <w:pPr>
        <w:spacing w:line="360" w:lineRule="auto"/>
        <w:ind w:firstLine="560" w:firstLineChars="200"/>
        <w:rPr>
          <w:rFonts w:hint="eastAsia" w:ascii="宋体"/>
          <w:kern w:val="0"/>
          <w:sz w:val="28"/>
          <w:lang w:val="zh-CN"/>
        </w:rPr>
      </w:pPr>
      <w:r>
        <w:rPr>
          <w:rFonts w:hint="eastAsia" w:asciiTheme="minorEastAsia" w:hAnsiTheme="minorEastAsia" w:eastAsiaTheme="minorEastAsia" w:cstheme="minorEastAsia"/>
          <w:sz w:val="28"/>
          <w:szCs w:val="28"/>
        </w:rPr>
        <w:t>采购需求：</w:t>
      </w:r>
      <w:r>
        <w:rPr>
          <w:rFonts w:hint="eastAsia" w:ascii="宋体"/>
          <w:kern w:val="0"/>
          <w:sz w:val="28"/>
          <w:lang w:val="zh-CN"/>
        </w:rPr>
        <w:t>台州市政务大厅2.0数字化改造</w:t>
      </w:r>
      <w:r>
        <w:rPr>
          <w:rFonts w:hint="eastAsia" w:ascii="宋体"/>
          <w:kern w:val="0"/>
          <w:sz w:val="28"/>
          <w:lang w:val="en-US" w:eastAsia="zh-CN"/>
        </w:rPr>
        <w:t>硬件升级</w:t>
      </w:r>
      <w:r>
        <w:rPr>
          <w:rFonts w:hint="eastAsia" w:ascii="宋体"/>
          <w:kern w:val="0"/>
          <w:sz w:val="28"/>
          <w:lang w:val="zh-CN"/>
        </w:rPr>
        <w:t>项目</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项目名称：</w:t>
      </w:r>
    </w:p>
    <w:tbl>
      <w:tblPr>
        <w:tblStyle w:val="19"/>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040"/>
        <w:gridCol w:w="1650"/>
        <w:gridCol w:w="690"/>
        <w:gridCol w:w="675"/>
        <w:gridCol w:w="1125"/>
        <w:gridCol w:w="1215"/>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654"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标段号</w:t>
            </w:r>
          </w:p>
        </w:tc>
        <w:tc>
          <w:tcPr>
            <w:tcW w:w="2040" w:type="dxa"/>
            <w:vAlign w:val="center"/>
          </w:tcPr>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w:t>
            </w:r>
          </w:p>
        </w:tc>
        <w:tc>
          <w:tcPr>
            <w:tcW w:w="165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kern w:val="0"/>
                <w:sz w:val="24"/>
                <w:szCs w:val="24"/>
              </w:rPr>
              <w:t>简要技术要求</w:t>
            </w:r>
            <w:r>
              <w:rPr>
                <w:rFonts w:hint="eastAsia" w:asciiTheme="minorEastAsia" w:hAnsiTheme="minorEastAsia" w:eastAsiaTheme="minorEastAsia" w:cstheme="minorEastAsia"/>
                <w:b/>
                <w:kern w:val="0"/>
                <w:sz w:val="24"/>
                <w:szCs w:val="24"/>
                <w:lang w:eastAsia="zh-CN"/>
              </w:rPr>
              <w:t>、</w:t>
            </w:r>
            <w:r>
              <w:rPr>
                <w:rFonts w:hint="eastAsia" w:asciiTheme="minorEastAsia" w:hAnsiTheme="minorEastAsia" w:eastAsiaTheme="minorEastAsia" w:cstheme="minorEastAsia"/>
                <w:b/>
                <w:kern w:val="0"/>
                <w:sz w:val="24"/>
                <w:szCs w:val="24"/>
              </w:rPr>
              <w:t>服务要求</w:t>
            </w:r>
            <w:r>
              <w:rPr>
                <w:rFonts w:hint="eastAsia" w:asciiTheme="minorEastAsia" w:hAnsiTheme="minorEastAsia" w:eastAsiaTheme="minorEastAsia" w:cstheme="minorEastAsia"/>
                <w:b/>
                <w:kern w:val="0"/>
                <w:sz w:val="24"/>
                <w:szCs w:val="24"/>
                <w:lang w:val="en-US" w:eastAsia="zh-CN"/>
              </w:rPr>
              <w:t>等</w:t>
            </w:r>
          </w:p>
        </w:tc>
        <w:tc>
          <w:tcPr>
            <w:tcW w:w="69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rPr>
              <w:t>数量</w:t>
            </w:r>
          </w:p>
        </w:tc>
        <w:tc>
          <w:tcPr>
            <w:tcW w:w="67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w:t>
            </w:r>
          </w:p>
        </w:tc>
        <w:tc>
          <w:tcPr>
            <w:tcW w:w="112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预算（万元）</w:t>
            </w:r>
          </w:p>
        </w:tc>
        <w:tc>
          <w:tcPr>
            <w:tcW w:w="1215" w:type="dxa"/>
            <w:vAlign w:val="center"/>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建设期、</w:t>
            </w:r>
            <w:r>
              <w:rPr>
                <w:rFonts w:hint="eastAsia" w:asciiTheme="minorEastAsia" w:hAnsiTheme="minorEastAsia" w:eastAsiaTheme="minorEastAsia" w:cstheme="minorEastAsia"/>
                <w:b/>
                <w:sz w:val="24"/>
                <w:szCs w:val="24"/>
              </w:rPr>
              <w:t>交货期</w:t>
            </w:r>
          </w:p>
        </w:tc>
        <w:tc>
          <w:tcPr>
            <w:tcW w:w="1208" w:type="dxa"/>
            <w:vAlign w:val="center"/>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654" w:type="dxa"/>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w:t>
            </w:r>
          </w:p>
        </w:tc>
        <w:tc>
          <w:tcPr>
            <w:tcW w:w="2040" w:type="dxa"/>
            <w:vAlign w:val="center"/>
          </w:tcPr>
          <w:p>
            <w:pPr>
              <w:spacing w:line="360" w:lineRule="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台州市政务大厅2.0数字化改造</w:t>
            </w:r>
            <w:r>
              <w:rPr>
                <w:rFonts w:hint="eastAsia" w:asciiTheme="minorEastAsia" w:hAnsiTheme="minorEastAsia" w:eastAsiaTheme="minorEastAsia"/>
                <w:sz w:val="24"/>
                <w:szCs w:val="24"/>
                <w:lang w:val="en-US" w:eastAsia="zh-CN"/>
              </w:rPr>
              <w:t>硬件升级</w:t>
            </w:r>
            <w:r>
              <w:rPr>
                <w:rFonts w:hint="eastAsia" w:asciiTheme="minorEastAsia" w:hAnsiTheme="minorEastAsia" w:eastAsiaTheme="minorEastAsia"/>
                <w:sz w:val="24"/>
                <w:szCs w:val="24"/>
                <w:lang w:val="zh-CN"/>
              </w:rPr>
              <w:t>项目</w:t>
            </w:r>
          </w:p>
        </w:tc>
        <w:tc>
          <w:tcPr>
            <w:tcW w:w="1650" w:type="dxa"/>
            <w:vAlign w:val="center"/>
          </w:tcPr>
          <w:p>
            <w:pPr>
              <w:tabs>
                <w:tab w:val="left" w:pos="8280"/>
              </w:tabs>
              <w:autoSpaceDE w:val="0"/>
              <w:autoSpaceDN w:val="0"/>
              <w:adjustRightInd w:val="0"/>
              <w:spacing w:line="360" w:lineRule="auto"/>
              <w:ind w:right="25" w:rightChars="0"/>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详见第四章技术需求</w:t>
            </w:r>
          </w:p>
        </w:tc>
        <w:tc>
          <w:tcPr>
            <w:tcW w:w="690" w:type="dxa"/>
            <w:vAlign w:val="center"/>
          </w:tcPr>
          <w:p>
            <w:pPr>
              <w:tabs>
                <w:tab w:val="left" w:pos="8280"/>
              </w:tabs>
              <w:autoSpaceDE w:val="0"/>
              <w:autoSpaceDN w:val="0"/>
              <w:adjustRightInd w:val="0"/>
              <w:spacing w:line="360" w:lineRule="auto"/>
              <w:ind w:right="25" w:rightChars="0"/>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75" w:type="dxa"/>
            <w:vAlign w:val="center"/>
          </w:tcPr>
          <w:p>
            <w:pPr>
              <w:tabs>
                <w:tab w:val="left" w:pos="8280"/>
              </w:tabs>
              <w:autoSpaceDE w:val="0"/>
              <w:autoSpaceDN w:val="0"/>
              <w:adjustRightInd w:val="0"/>
              <w:spacing w:line="360" w:lineRule="auto"/>
              <w:ind w:right="25" w:rightChars="0"/>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w:t>
            </w:r>
          </w:p>
        </w:tc>
        <w:tc>
          <w:tcPr>
            <w:tcW w:w="1125" w:type="dxa"/>
            <w:vAlign w:val="center"/>
          </w:tcPr>
          <w:p>
            <w:pPr>
              <w:tabs>
                <w:tab w:val="left" w:pos="8280"/>
              </w:tabs>
              <w:autoSpaceDE w:val="0"/>
              <w:autoSpaceDN w:val="0"/>
              <w:adjustRightInd w:val="0"/>
              <w:spacing w:line="360" w:lineRule="auto"/>
              <w:ind w:right="25" w:rightChars="0"/>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75.01</w:t>
            </w:r>
          </w:p>
        </w:tc>
        <w:tc>
          <w:tcPr>
            <w:tcW w:w="1215" w:type="dxa"/>
            <w:vAlign w:val="center"/>
          </w:tcPr>
          <w:p>
            <w:pPr>
              <w:tabs>
                <w:tab w:val="left" w:pos="8280"/>
              </w:tabs>
              <w:autoSpaceDE w:val="0"/>
              <w:autoSpaceDN w:val="0"/>
              <w:adjustRightInd w:val="0"/>
              <w:spacing w:line="360" w:lineRule="auto"/>
              <w:ind w:right="25" w:rightChars="0"/>
              <w:jc w:val="both"/>
              <w:rPr>
                <w:rFonts w:hint="default"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Cs/>
                <w:sz w:val="24"/>
                <w:szCs w:val="24"/>
                <w:lang w:val="en-US" w:eastAsia="zh-CN"/>
              </w:rPr>
              <w:t>合同签订之日起60日内</w:t>
            </w:r>
          </w:p>
        </w:tc>
        <w:tc>
          <w:tcPr>
            <w:tcW w:w="1208" w:type="dxa"/>
            <w:vAlign w:val="center"/>
          </w:tcPr>
          <w:p>
            <w:pPr>
              <w:autoSpaceDE w:val="0"/>
              <w:autoSpaceDN w:val="0"/>
              <w:adjustRightInd w:val="0"/>
              <w:spacing w:line="360" w:lineRule="auto"/>
              <w:ind w:right="25"/>
              <w:jc w:val="left"/>
              <w:rPr>
                <w:rFonts w:asciiTheme="minorEastAsia" w:hAnsiTheme="minorEastAsia" w:eastAsiaTheme="minorEastAsia" w:cstheme="minorEastAsia"/>
                <w:b/>
                <w:sz w:val="28"/>
                <w:szCs w:val="28"/>
              </w:rPr>
            </w:pPr>
            <w:r>
              <w:rPr>
                <w:rFonts w:hint="eastAsia" w:ascii="宋体"/>
                <w:kern w:val="0"/>
                <w:sz w:val="24"/>
                <w:szCs w:val="22"/>
                <w:lang w:val="zh-CN"/>
              </w:rPr>
              <w:t>台州市人民政府行政服务中心</w:t>
            </w:r>
          </w:p>
        </w:tc>
      </w:tr>
    </w:tbl>
    <w:p>
      <w:pPr>
        <w:widowControl/>
        <w:tabs>
          <w:tab w:val="left" w:pos="0"/>
        </w:tabs>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1、本次采购产品为非进口产品。</w:t>
      </w:r>
    </w:p>
    <w:p>
      <w:pPr>
        <w:spacing w:line="360" w:lineRule="auto"/>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2、本项目不接受联合体投标</w:t>
      </w:r>
      <w:r>
        <w:rPr>
          <w:rFonts w:hint="eastAsia" w:asciiTheme="minorEastAsia" w:hAnsiTheme="minorEastAsia" w:eastAsiaTheme="minorEastAsia" w:cstheme="minorEastAsia"/>
          <w:sz w:val="28"/>
          <w:szCs w:val="28"/>
          <w:highlight w:val="none"/>
          <w:lang w:eastAsia="zh-CN"/>
        </w:rPr>
        <w:t>。</w:t>
      </w:r>
    </w:p>
    <w:p>
      <w:pPr>
        <w:pStyle w:val="4"/>
        <w:rPr>
          <w:rFonts w:asciiTheme="minorEastAsia" w:hAnsiTheme="minorEastAsia" w:eastAsiaTheme="minorEastAsia" w:cstheme="minorEastAsia"/>
          <w:b w:val="0"/>
          <w:sz w:val="28"/>
        </w:rPr>
      </w:pPr>
      <w:bookmarkStart w:id="5" w:name="_Toc28359080"/>
      <w:bookmarkStart w:id="6" w:name="_Toc28359003"/>
      <w:bookmarkStart w:id="7" w:name="_Toc35393622"/>
      <w:bookmarkStart w:id="8" w:name="_Toc35393791"/>
      <w:r>
        <w:rPr>
          <w:rFonts w:hint="eastAsia" w:asciiTheme="minorEastAsia" w:hAnsiTheme="minorEastAsia" w:eastAsiaTheme="minorEastAsia" w:cstheme="minorEastAsia"/>
          <w:b w:val="0"/>
          <w:sz w:val="28"/>
        </w:rPr>
        <w:t>二、申请人的资格要求：</w:t>
      </w:r>
      <w:bookmarkEnd w:id="5"/>
      <w:bookmarkEnd w:id="6"/>
      <w:bookmarkEnd w:id="7"/>
      <w:bookmarkEnd w:id="8"/>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1.满足《中华人民共和国政府采购法》第二十二条规定；</w:t>
      </w:r>
    </w:p>
    <w:p>
      <w:pPr>
        <w:spacing w:line="360" w:lineRule="auto"/>
        <w:ind w:firstLine="560" w:firstLineChars="200"/>
        <w:rPr>
          <w:rFonts w:asciiTheme="minorEastAsia" w:hAnsiTheme="minorEastAsia" w:eastAsiaTheme="minorEastAsia" w:cstheme="minorEastAsia"/>
          <w:sz w:val="28"/>
          <w:szCs w:val="28"/>
          <w:u w:val="single"/>
        </w:rPr>
      </w:pPr>
      <w:bookmarkStart w:id="9" w:name="_Toc28359004"/>
      <w:bookmarkStart w:id="10" w:name="_Toc35393623"/>
      <w:bookmarkStart w:id="11" w:name="_Toc35393792"/>
      <w:bookmarkStart w:id="12" w:name="_Toc28359081"/>
      <w:r>
        <w:rPr>
          <w:rFonts w:hint="eastAsia" w:asciiTheme="minorEastAsia" w:hAnsiTheme="minorEastAsia" w:eastAsiaTheme="minorEastAsia" w:cstheme="minorEastAsia"/>
          <w:sz w:val="28"/>
          <w:szCs w:val="28"/>
        </w:rPr>
        <w:t>2.本项目的特定资格要求：无。</w:t>
      </w:r>
    </w:p>
    <w:p>
      <w:pPr>
        <w:pStyle w:val="4"/>
        <w:rPr>
          <w:rFonts w:asciiTheme="minorEastAsia" w:hAnsiTheme="minorEastAsia" w:eastAsiaTheme="minorEastAsia" w:cstheme="minorEastAsia"/>
          <w:b w:val="0"/>
          <w:sz w:val="28"/>
        </w:rPr>
      </w:pPr>
      <w:r>
        <w:rPr>
          <w:rFonts w:hint="eastAsia" w:asciiTheme="minorEastAsia" w:hAnsiTheme="minorEastAsia" w:eastAsiaTheme="minorEastAsia" w:cstheme="minorEastAsia"/>
          <w:b w:val="0"/>
          <w:sz w:val="28"/>
        </w:rPr>
        <w:t>三、获取招标文件</w:t>
      </w:r>
      <w:bookmarkEnd w:id="9"/>
      <w:bookmarkEnd w:id="10"/>
      <w:bookmarkEnd w:id="11"/>
      <w:bookmarkEnd w:id="12"/>
    </w:p>
    <w:p>
      <w:pPr>
        <w:spacing w:line="360" w:lineRule="auto"/>
        <w:ind w:firstLine="5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时间：</w:t>
      </w:r>
      <w:r>
        <w:rPr>
          <w:rFonts w:hint="eastAsia" w:asciiTheme="minorEastAsia" w:hAnsiTheme="minorEastAsia" w:eastAsiaTheme="minorEastAsia" w:cstheme="minorEastAsia"/>
          <w:color w:val="0000FF"/>
          <w:sz w:val="28"/>
          <w:szCs w:val="28"/>
          <w:u w:val="single"/>
        </w:rPr>
        <w:t>2021年</w:t>
      </w:r>
      <w:r>
        <w:rPr>
          <w:rFonts w:hint="eastAsia" w:asciiTheme="minorEastAsia" w:hAnsiTheme="minorEastAsia" w:eastAsiaTheme="minorEastAsia" w:cstheme="minorEastAsia"/>
          <w:color w:val="0000FF"/>
          <w:sz w:val="28"/>
          <w:szCs w:val="28"/>
          <w:u w:val="single"/>
          <w:lang w:val="en-US" w:eastAsia="zh-CN"/>
        </w:rPr>
        <w:t>10</w:t>
      </w:r>
      <w:r>
        <w:rPr>
          <w:rFonts w:hint="eastAsia" w:asciiTheme="minorEastAsia" w:hAnsiTheme="minorEastAsia" w:eastAsiaTheme="minorEastAsia" w:cstheme="minorEastAsia"/>
          <w:color w:val="0000FF"/>
          <w:sz w:val="28"/>
          <w:szCs w:val="28"/>
          <w:u w:val="single"/>
        </w:rPr>
        <w:t>月</w:t>
      </w:r>
      <w:r>
        <w:rPr>
          <w:rFonts w:hint="eastAsia" w:asciiTheme="minorEastAsia" w:hAnsiTheme="minorEastAsia" w:eastAsiaTheme="minorEastAsia" w:cstheme="minorEastAsia"/>
          <w:color w:val="0000FF"/>
          <w:sz w:val="28"/>
          <w:szCs w:val="28"/>
          <w:u w:val="single"/>
          <w:lang w:val="en-US" w:eastAsia="zh-CN"/>
        </w:rPr>
        <w:t>12</w:t>
      </w:r>
      <w:r>
        <w:rPr>
          <w:rFonts w:hint="eastAsia" w:asciiTheme="minorEastAsia" w:hAnsiTheme="minorEastAsia" w:eastAsiaTheme="minorEastAsia" w:cstheme="minorEastAsia"/>
          <w:color w:val="0000FF"/>
          <w:sz w:val="28"/>
          <w:szCs w:val="28"/>
          <w:u w:val="single"/>
        </w:rPr>
        <w:t>日</w:t>
      </w:r>
      <w:r>
        <w:rPr>
          <w:rFonts w:hint="eastAsia" w:asciiTheme="minorEastAsia" w:hAnsiTheme="minorEastAsia" w:eastAsiaTheme="minorEastAsia" w:cstheme="minorEastAsia"/>
          <w:color w:val="0000FF"/>
          <w:sz w:val="28"/>
          <w:szCs w:val="28"/>
        </w:rPr>
        <w:t>至</w:t>
      </w:r>
      <w:r>
        <w:rPr>
          <w:rFonts w:hint="eastAsia" w:asciiTheme="minorEastAsia" w:hAnsiTheme="minorEastAsia" w:eastAsiaTheme="minorEastAsia" w:cstheme="minorEastAsia"/>
          <w:color w:val="0000FF"/>
          <w:sz w:val="28"/>
          <w:szCs w:val="28"/>
          <w:u w:val="single"/>
        </w:rPr>
        <w:t>2021年</w:t>
      </w:r>
      <w:r>
        <w:rPr>
          <w:rFonts w:hint="eastAsia" w:asciiTheme="minorEastAsia" w:hAnsiTheme="minorEastAsia" w:eastAsiaTheme="minorEastAsia" w:cstheme="minorEastAsia"/>
          <w:color w:val="0000FF"/>
          <w:sz w:val="28"/>
          <w:szCs w:val="28"/>
          <w:u w:val="single"/>
          <w:lang w:val="en-US" w:eastAsia="zh-CN"/>
        </w:rPr>
        <w:t>10</w:t>
      </w:r>
      <w:r>
        <w:rPr>
          <w:rFonts w:hint="eastAsia" w:asciiTheme="minorEastAsia" w:hAnsiTheme="minorEastAsia" w:eastAsiaTheme="minorEastAsia" w:cstheme="minorEastAsia"/>
          <w:color w:val="0000FF"/>
          <w:sz w:val="28"/>
          <w:szCs w:val="28"/>
          <w:u w:val="single"/>
        </w:rPr>
        <w:t>月</w:t>
      </w:r>
      <w:r>
        <w:rPr>
          <w:rFonts w:hint="eastAsia" w:asciiTheme="minorEastAsia" w:hAnsiTheme="minorEastAsia" w:eastAsiaTheme="minorEastAsia" w:cstheme="minorEastAsia"/>
          <w:color w:val="0000FF"/>
          <w:sz w:val="28"/>
          <w:szCs w:val="28"/>
          <w:u w:val="single"/>
          <w:lang w:val="en-US" w:eastAsia="zh-CN"/>
        </w:rPr>
        <w:t>18</w:t>
      </w:r>
      <w:r>
        <w:rPr>
          <w:rFonts w:hint="eastAsia" w:asciiTheme="minorEastAsia" w:hAnsiTheme="minorEastAsia" w:eastAsiaTheme="minorEastAsia" w:cstheme="minorEastAsia"/>
          <w:color w:val="0000FF"/>
          <w:sz w:val="28"/>
          <w:szCs w:val="28"/>
          <w:u w:val="single"/>
        </w:rPr>
        <w:t>日</w:t>
      </w:r>
      <w:r>
        <w:rPr>
          <w:rFonts w:hint="eastAsia" w:asciiTheme="minorEastAsia" w:hAnsiTheme="minorEastAsia" w:eastAsiaTheme="minorEastAsia" w:cstheme="minorEastAsia"/>
          <w:sz w:val="28"/>
          <w:szCs w:val="28"/>
          <w:u w:val="single"/>
        </w:rPr>
        <w:t>（提供期限自本公告发布之日起不得少于5个工作日）</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方式：投标人在浙江政府采购云平台（</w:t>
      </w:r>
      <w:r>
        <w:rPr>
          <w:rStyle w:val="22"/>
          <w:rFonts w:hint="eastAsia" w:asciiTheme="minorEastAsia" w:hAnsiTheme="minorEastAsia" w:eastAsiaTheme="minorEastAsia" w:cstheme="minorEastAsia"/>
          <w:bCs/>
          <w:color w:val="auto"/>
          <w:sz w:val="28"/>
          <w:szCs w:val="28"/>
        </w:rPr>
        <w:t>http://www.zcygov.cn）</w:t>
      </w:r>
      <w:r>
        <w:rPr>
          <w:rFonts w:hint="eastAsia" w:asciiTheme="minorEastAsia" w:hAnsiTheme="minorEastAsia" w:eastAsiaTheme="minorEastAsia" w:cstheme="minorEastAsia"/>
          <w:sz w:val="28"/>
          <w:szCs w:val="28"/>
        </w:rPr>
        <w:t>进行网上报名后可免费下载。</w:t>
      </w:r>
      <w:r>
        <w:rPr>
          <w:rFonts w:hint="eastAsia" w:asciiTheme="minorEastAsia" w:hAnsiTheme="minorEastAsia" w:eastAsiaTheme="minorEastAsia" w:cstheme="minorEastAsia"/>
          <w:b/>
          <w:bCs/>
          <w:sz w:val="28"/>
          <w:szCs w:val="28"/>
        </w:rPr>
        <w:t>提示：采购机构将拒绝非报名供应商的电子投标文件。</w:t>
      </w:r>
    </w:p>
    <w:p>
      <w:pPr>
        <w:pStyle w:val="4"/>
        <w:rPr>
          <w:rFonts w:asciiTheme="minorEastAsia" w:hAnsiTheme="minorEastAsia" w:eastAsiaTheme="minorEastAsia" w:cstheme="minorEastAsia"/>
          <w:b w:val="0"/>
          <w:sz w:val="28"/>
        </w:rPr>
      </w:pPr>
      <w:bookmarkStart w:id="13" w:name="_Toc28359005"/>
      <w:bookmarkStart w:id="14" w:name="_Toc28359082"/>
      <w:bookmarkStart w:id="15" w:name="_Toc35393793"/>
      <w:bookmarkStart w:id="16" w:name="_Toc35393624"/>
      <w:r>
        <w:rPr>
          <w:rFonts w:hint="eastAsia" w:asciiTheme="minorEastAsia" w:hAnsiTheme="minorEastAsia" w:eastAsiaTheme="minorEastAsia" w:cstheme="minorEastAsia"/>
          <w:b w:val="0"/>
          <w:sz w:val="28"/>
        </w:rPr>
        <w:t>四、提交投标文件</w:t>
      </w:r>
      <w:bookmarkEnd w:id="13"/>
      <w:bookmarkEnd w:id="14"/>
      <w:r>
        <w:rPr>
          <w:rFonts w:hint="eastAsia" w:asciiTheme="minorEastAsia" w:hAnsiTheme="minorEastAsia" w:eastAsiaTheme="minorEastAsia" w:cstheme="minorEastAsia"/>
          <w:b w:val="0"/>
          <w:sz w:val="28"/>
        </w:rPr>
        <w:t>截止时间、开标时间和地点</w:t>
      </w:r>
      <w:bookmarkEnd w:id="15"/>
      <w:bookmarkEnd w:id="16"/>
    </w:p>
    <w:p>
      <w:pPr>
        <w:spacing w:line="360" w:lineRule="auto"/>
        <w:ind w:firstLine="560" w:firstLineChars="200"/>
        <w:rPr>
          <w:rFonts w:asciiTheme="minorEastAsia" w:hAnsiTheme="minorEastAsia" w:eastAsiaTheme="minorEastAsia" w:cstheme="minorEastAsia"/>
          <w:iCs/>
          <w:sz w:val="28"/>
          <w:szCs w:val="28"/>
          <w:u w:val="single"/>
        </w:rPr>
      </w:pPr>
      <w:r>
        <w:rPr>
          <w:rFonts w:hint="eastAsia" w:asciiTheme="minorEastAsia" w:hAnsiTheme="minorEastAsia" w:eastAsiaTheme="minorEastAsia" w:cstheme="minorEastAsia"/>
          <w:bCs/>
          <w:color w:val="0000FF"/>
          <w:sz w:val="28"/>
          <w:szCs w:val="28"/>
          <w:u w:val="single"/>
        </w:rPr>
        <w:t xml:space="preserve"> 2021年</w:t>
      </w:r>
      <w:r>
        <w:rPr>
          <w:rFonts w:hint="eastAsia" w:asciiTheme="minorEastAsia" w:hAnsiTheme="minorEastAsia" w:eastAsiaTheme="minorEastAsia" w:cstheme="minorEastAsia"/>
          <w:color w:val="0000FF"/>
          <w:sz w:val="28"/>
          <w:szCs w:val="28"/>
          <w:u w:val="single"/>
          <w:lang w:val="en-US" w:eastAsia="zh-CN"/>
        </w:rPr>
        <w:t>11</w:t>
      </w:r>
      <w:r>
        <w:rPr>
          <w:rFonts w:hint="eastAsia" w:asciiTheme="minorEastAsia" w:hAnsiTheme="minorEastAsia" w:eastAsiaTheme="minorEastAsia" w:cstheme="minorEastAsia"/>
          <w:bCs/>
          <w:color w:val="0000FF"/>
          <w:sz w:val="28"/>
          <w:szCs w:val="28"/>
          <w:u w:val="single"/>
        </w:rPr>
        <w:t>月</w:t>
      </w:r>
      <w:r>
        <w:rPr>
          <w:rFonts w:hint="eastAsia" w:asciiTheme="minorEastAsia" w:hAnsiTheme="minorEastAsia" w:eastAsiaTheme="minorEastAsia" w:cstheme="minorEastAsia"/>
          <w:bCs/>
          <w:color w:val="0000FF"/>
          <w:sz w:val="28"/>
          <w:szCs w:val="28"/>
          <w:u w:val="single"/>
          <w:lang w:val="en-US" w:eastAsia="zh-CN"/>
        </w:rPr>
        <w:t>2</w:t>
      </w:r>
      <w:r>
        <w:rPr>
          <w:rFonts w:hint="eastAsia" w:asciiTheme="minorEastAsia" w:hAnsiTheme="minorEastAsia" w:eastAsiaTheme="minorEastAsia" w:cstheme="minorEastAsia"/>
          <w:bCs/>
          <w:color w:val="0000FF"/>
          <w:sz w:val="28"/>
          <w:szCs w:val="28"/>
          <w:u w:val="single"/>
        </w:rPr>
        <w:t>日9点整</w:t>
      </w:r>
      <w:r>
        <w:rPr>
          <w:rFonts w:hint="eastAsia" w:asciiTheme="minorEastAsia" w:hAnsiTheme="minorEastAsia" w:eastAsiaTheme="minorEastAsia" w:cstheme="minorEastAsia"/>
          <w:bCs/>
          <w:sz w:val="28"/>
          <w:szCs w:val="28"/>
        </w:rPr>
        <w:t>（北京时间）</w:t>
      </w:r>
      <w:r>
        <w:rPr>
          <w:rFonts w:hint="eastAsia" w:asciiTheme="minorEastAsia" w:hAnsiTheme="minorEastAsia" w:eastAsiaTheme="minorEastAsia" w:cstheme="minorEastAsia"/>
          <w:iCs/>
          <w:sz w:val="28"/>
          <w:szCs w:val="28"/>
          <w:u w:val="single"/>
        </w:rPr>
        <w:t>（自招标文件开始发出之日起至投标人提交投标文件截止之日止，不得少于20日）</w:t>
      </w:r>
    </w:p>
    <w:p>
      <w:pPr>
        <w:pStyle w:val="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投标网址：浙江政府采购云平台（</w:t>
      </w:r>
      <w:r>
        <w:rPr>
          <w:rFonts w:hint="eastAsia" w:asciiTheme="minorEastAsia" w:hAnsiTheme="minorEastAsia" w:eastAsiaTheme="minorEastAsia" w:cstheme="minorEastAsia"/>
          <w:sz w:val="28"/>
          <w:szCs w:val="28"/>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asciiTheme="minorEastAsia" w:hAnsiTheme="minorEastAsia" w:eastAsiaTheme="minorEastAsia" w:cstheme="minorEastAsia"/>
          <w:sz w:val="28"/>
          <w:szCs w:val="28"/>
        </w:rPr>
        <w:t>http://www.zcygov.cn）。</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本项目只接受电子投标文件，具体操作要求见前附表。请在开标当日09:00至09:30完成电子投标文件解密。</w:t>
      </w:r>
    </w:p>
    <w:p>
      <w:pPr>
        <w:pStyle w:val="4"/>
        <w:rPr>
          <w:rFonts w:asciiTheme="minorEastAsia" w:hAnsiTheme="minorEastAsia" w:eastAsiaTheme="minorEastAsia" w:cstheme="minorEastAsia"/>
          <w:b w:val="0"/>
          <w:sz w:val="28"/>
        </w:rPr>
      </w:pPr>
      <w:bookmarkStart w:id="17" w:name="_Toc28359007"/>
      <w:bookmarkStart w:id="18" w:name="_Toc28359084"/>
      <w:bookmarkStart w:id="19" w:name="_Toc35393794"/>
      <w:bookmarkStart w:id="20" w:name="_Toc35393625"/>
      <w:r>
        <w:rPr>
          <w:rFonts w:hint="eastAsia" w:asciiTheme="minorEastAsia" w:hAnsiTheme="minorEastAsia" w:eastAsiaTheme="minorEastAsia" w:cstheme="minorEastAsia"/>
          <w:b w:val="0"/>
          <w:sz w:val="28"/>
        </w:rPr>
        <w:t>五、公告期限</w:t>
      </w:r>
      <w:bookmarkEnd w:id="17"/>
      <w:bookmarkEnd w:id="18"/>
      <w:bookmarkEnd w:id="19"/>
      <w:bookmarkEnd w:id="20"/>
    </w:p>
    <w:p>
      <w:pPr>
        <w:spacing w:line="360" w:lineRule="auto"/>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4"/>
        <w:rPr>
          <w:rFonts w:asciiTheme="minorEastAsia" w:hAnsiTheme="minorEastAsia" w:eastAsiaTheme="minorEastAsia" w:cstheme="minorEastAsia"/>
          <w:b w:val="0"/>
          <w:sz w:val="28"/>
        </w:rPr>
      </w:pPr>
      <w:bookmarkStart w:id="21" w:name="_Toc35393626"/>
      <w:bookmarkStart w:id="22" w:name="_Toc35393795"/>
      <w:r>
        <w:rPr>
          <w:rFonts w:hint="eastAsia" w:asciiTheme="minorEastAsia" w:hAnsiTheme="minorEastAsia" w:eastAsiaTheme="minorEastAsia" w:cstheme="minorEastAsia"/>
          <w:b w:val="0"/>
          <w:sz w:val="28"/>
        </w:rPr>
        <w:t>六、其他补充事宜</w:t>
      </w:r>
      <w:bookmarkEnd w:id="21"/>
      <w:bookmarkEnd w:id="22"/>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供应商认为采购文件使自己的权益受到损害的，可以自收到采购文件之日（获取截止日之后收到采购文件的，以获取截止日为准）起7个工作日内且应当在采购投标截止时间之前，以书面形式一次性向采购人和集中</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机构提出同一环节的质疑。否则，被质疑人可不予接受。质疑供应商对采购人、集中</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机构的答复不满意或者采购人、集中</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机构未在规定的时间内作出答复的，可以在答复期满后十五个工作日内向同级政府采购监督管理部门投诉。</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2、根据《浙江省政府采购供应商注册及诚信管理暂行办法》浙财采监【2009】28号文件，请各投标供应商及时办理浙江政府采购网“政府采购供应商注册”手续。</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3、参与政府采购项目的注册供应商，需登录浙江省政府采购网（</w:t>
      </w:r>
      <w:r>
        <w:fldChar w:fldCharType="begin"/>
      </w:r>
      <w:r>
        <w:instrText xml:space="preserve"> HYPERLINK "http://www.tzztb.com/tzcms/zfcg.jhtml" </w:instrText>
      </w:r>
      <w:r>
        <w:fldChar w:fldCharType="separate"/>
      </w:r>
      <w:r>
        <w:rPr>
          <w:rFonts w:hint="eastAsia" w:asciiTheme="minorEastAsia" w:hAnsiTheme="minorEastAsia" w:eastAsiaTheme="minorEastAsia" w:cstheme="minorEastAsia"/>
          <w:sz w:val="28"/>
          <w:szCs w:val="28"/>
        </w:rPr>
        <w:t>http://www.zjzfcg.gov.cn</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）进行网上报名；尚未注册的供应商应当先在浙江政府采购网上申请注册，注册后再进行网上报名。</w:t>
      </w:r>
    </w:p>
    <w:p>
      <w:pPr>
        <w:pStyle w:val="4"/>
        <w:rPr>
          <w:rFonts w:asciiTheme="minorEastAsia" w:hAnsiTheme="minorEastAsia" w:eastAsiaTheme="minorEastAsia" w:cstheme="minorEastAsia"/>
          <w:b w:val="0"/>
          <w:sz w:val="28"/>
        </w:rPr>
      </w:pPr>
      <w:bookmarkStart w:id="23" w:name="_Toc35393627"/>
      <w:bookmarkStart w:id="24" w:name="_Toc35393796"/>
      <w:bookmarkStart w:id="25" w:name="_Toc28359008"/>
      <w:bookmarkStart w:id="26" w:name="_Toc28359085"/>
      <w:r>
        <w:rPr>
          <w:rFonts w:hint="eastAsia" w:asciiTheme="minorEastAsia" w:hAnsiTheme="minorEastAsia" w:eastAsiaTheme="minorEastAsia" w:cstheme="minorEastAsia"/>
          <w:b w:val="0"/>
          <w:sz w:val="28"/>
        </w:rPr>
        <w:t>七、对本次招标提出询问，请按以下方式联系。</w:t>
      </w:r>
      <w:bookmarkEnd w:id="23"/>
      <w:bookmarkEnd w:id="24"/>
      <w:bookmarkEnd w:id="25"/>
      <w:bookmarkEnd w:id="26"/>
    </w:p>
    <w:p>
      <w:pPr>
        <w:snapToGri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xml:space="preserve">　1.采购人（受理采购文件相关质疑及答复） </w:t>
      </w:r>
    </w:p>
    <w:p>
      <w:pPr>
        <w:spacing w:line="360" w:lineRule="auto"/>
        <w:ind w:left="1079" w:leftChars="371" w:hanging="300" w:hangingChars="12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zh-CN"/>
        </w:rPr>
        <w:t>台州市人民政府行政服务中心</w:t>
      </w:r>
      <w:r>
        <w:rPr>
          <w:rFonts w:hint="eastAsia" w:asciiTheme="minorEastAsia" w:hAnsiTheme="minorEastAsia" w:eastAsiaTheme="minorEastAsia" w:cstheme="minorEastAsia"/>
          <w:sz w:val="24"/>
          <w:u w:val="single"/>
        </w:rPr>
        <w:t>　　</w:t>
      </w:r>
    </w:p>
    <w:p>
      <w:pPr>
        <w:spacing w:line="360" w:lineRule="auto"/>
        <w:ind w:left="1079" w:leftChars="371" w:hanging="300" w:hangingChars="12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lang w:val="zh-CN"/>
        </w:rPr>
        <w:t>浙江省台州市开发大道692号　　</w:t>
      </w:r>
    </w:p>
    <w:p>
      <w:pPr>
        <w:spacing w:line="360" w:lineRule="auto"/>
        <w:ind w:left="1079" w:leftChars="371" w:hanging="300" w:hangingChars="125"/>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杨老师  </w:t>
      </w:r>
      <w:r>
        <w:rPr>
          <w:rFonts w:hint="eastAsia" w:asciiTheme="minorEastAsia" w:hAnsiTheme="minorEastAsia" w:eastAsiaTheme="minorEastAsia" w:cstheme="minorEastAsia"/>
          <w:sz w:val="24"/>
          <w:u w:val="single"/>
        </w:rPr>
        <w:t>　　　　　　　　　　</w:t>
      </w:r>
      <w:bookmarkStart w:id="27" w:name="_Toc28359086"/>
      <w:bookmarkStart w:id="28" w:name="_Toc28359009"/>
    </w:p>
    <w:p>
      <w:pPr>
        <w:spacing w:line="360" w:lineRule="auto"/>
        <w:ind w:left="1079" w:leftChars="371" w:hanging="300" w:hangingChars="125"/>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0576-88325502</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w:t>
      </w:r>
    </w:p>
    <w:p>
      <w:pPr>
        <w:pStyle w:val="9"/>
      </w:pPr>
    </w:p>
    <w:p>
      <w:pPr>
        <w:spacing w:line="360" w:lineRule="auto"/>
        <w:ind w:firstLine="840" w:firstLineChars="3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2.</w:t>
      </w:r>
      <w:bookmarkEnd w:id="27"/>
      <w:bookmarkEnd w:id="28"/>
      <w:r>
        <w:rPr>
          <w:rFonts w:hint="eastAsia" w:asciiTheme="minorEastAsia" w:hAnsiTheme="minorEastAsia" w:eastAsiaTheme="minorEastAsia" w:cstheme="minorEastAsia"/>
          <w:b/>
          <w:sz w:val="28"/>
          <w:szCs w:val="28"/>
        </w:rPr>
        <w:t>集中采购机构</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台州市公共资源交易中心</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台州市市府大道777号　</w:t>
      </w:r>
    </w:p>
    <w:p>
      <w:pPr>
        <w:spacing w:line="360" w:lineRule="auto"/>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项目联系人：</w:t>
      </w:r>
      <w:bookmarkStart w:id="29" w:name="_Toc28359010"/>
      <w:bookmarkStart w:id="30" w:name="_Toc28359087"/>
      <w:r>
        <w:rPr>
          <w:rFonts w:hint="eastAsia" w:asciiTheme="minorEastAsia" w:hAnsiTheme="minorEastAsia" w:eastAsiaTheme="minorEastAsia" w:cstheme="minorEastAsia"/>
          <w:sz w:val="24"/>
          <w:u w:val="single"/>
        </w:rPr>
        <w:t xml:space="preserve">　郑女士　　　　　  </w:t>
      </w:r>
    </w:p>
    <w:p>
      <w:pPr>
        <w:spacing w:line="360" w:lineRule="auto"/>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0576-88685058　　　</w:t>
      </w:r>
    </w:p>
    <w:p>
      <w:pPr>
        <w:spacing w:line="360" w:lineRule="auto"/>
        <w:ind w:left="1558" w:leftChars="399" w:hanging="720" w:hanging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窗口联系人：</w:t>
      </w:r>
      <w:r>
        <w:rPr>
          <w:rFonts w:hint="eastAsia" w:asciiTheme="minorEastAsia" w:hAnsiTheme="minorEastAsia" w:eastAsiaTheme="minorEastAsia" w:cstheme="minorEastAsia"/>
          <w:sz w:val="24"/>
          <w:lang w:val="en-US" w:eastAsia="zh-CN"/>
        </w:rPr>
        <w:t>侯</w:t>
      </w:r>
      <w:r>
        <w:rPr>
          <w:rFonts w:hint="eastAsia" w:asciiTheme="minorEastAsia" w:hAnsiTheme="minorEastAsia" w:eastAsiaTheme="minorEastAsia" w:cstheme="minorEastAsia"/>
          <w:sz w:val="24"/>
        </w:rPr>
        <w:t>女士（受理供应商注册、中标结果相关质疑及答复）</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联系电话：0576-88685121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FFFFFF"/>
        </w:rPr>
        <w:t>台州市政府采购中心</w:t>
      </w:r>
      <w:r>
        <w:rPr>
          <w:rFonts w:hint="eastAsia" w:asciiTheme="minorEastAsia" w:hAnsiTheme="minorEastAsia" w:eastAsiaTheme="minorEastAsia" w:cstheme="minorEastAsia"/>
          <w:kern w:val="0"/>
          <w:sz w:val="28"/>
          <w:szCs w:val="28"/>
        </w:rPr>
        <w:t xml:space="preserve"> </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 xml:space="preserve">                                          2021年</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kern w:val="0"/>
          <w:sz w:val="28"/>
          <w:szCs w:val="28"/>
        </w:rPr>
        <w:t>月</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kern w:val="0"/>
          <w:sz w:val="28"/>
          <w:szCs w:val="28"/>
        </w:rPr>
        <w:t>日</w:t>
      </w:r>
    </w:p>
    <w:p>
      <w:pPr>
        <w:rPr>
          <w:rFonts w:eastAsiaTheme="minorEastAsia"/>
        </w:rPr>
      </w:pPr>
      <w:r>
        <w:rPr>
          <w:rFonts w:eastAsiaTheme="minorEastAsia"/>
        </w:rPr>
        <w:br w:type="page"/>
      </w:r>
    </w:p>
    <w:p>
      <w:pPr>
        <w:pStyle w:val="9"/>
        <w:rPr>
          <w:rFonts w:eastAsiaTheme="minorEastAsia"/>
        </w:rPr>
      </w:pPr>
    </w:p>
    <w:bookmarkEnd w:id="29"/>
    <w:bookmarkEnd w:id="30"/>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前附表</w:t>
      </w:r>
    </w:p>
    <w:tbl>
      <w:tblPr>
        <w:tblStyle w:val="19"/>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供应商特定</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答疑会或</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电子投标要求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投标人须按照采购文件和电子交易平台的要求编制并加密电子投标文件。截止时间：北京时</w:t>
            </w:r>
            <w:r>
              <w:rPr>
                <w:rFonts w:hint="eastAsia" w:ascii="宋体" w:hAnsi="宋体" w:cs="宋体"/>
                <w:color w:val="0000FF"/>
                <w:sz w:val="24"/>
              </w:rPr>
              <w:t>间20</w:t>
            </w:r>
            <w:r>
              <w:rPr>
                <w:rFonts w:hint="eastAsia" w:ascii="宋体" w:hAnsi="宋体" w:cs="Arial"/>
                <w:color w:val="0000FF"/>
                <w:sz w:val="24"/>
              </w:rPr>
              <w:t>21</w:t>
            </w:r>
            <w:r>
              <w:rPr>
                <w:rFonts w:hint="eastAsia" w:ascii="宋体" w:hAnsi="宋体" w:cs="宋体"/>
                <w:color w:val="0000FF"/>
                <w:sz w:val="24"/>
              </w:rPr>
              <w:t>年</w:t>
            </w:r>
            <w:r>
              <w:rPr>
                <w:rFonts w:hint="eastAsia" w:ascii="宋体" w:hAnsi="宋体" w:cs="宋体"/>
                <w:color w:val="0000FF"/>
                <w:sz w:val="24"/>
                <w:lang w:val="en-US" w:eastAsia="zh-CN"/>
              </w:rPr>
              <w:t>11</w:t>
            </w:r>
            <w:r>
              <w:rPr>
                <w:rFonts w:hint="eastAsia" w:ascii="宋体" w:hAnsi="宋体" w:cs="Arial"/>
                <w:color w:val="0000FF"/>
                <w:sz w:val="24"/>
              </w:rPr>
              <w:t>月</w:t>
            </w:r>
            <w:r>
              <w:rPr>
                <w:rFonts w:hint="eastAsia" w:ascii="宋体" w:hAnsi="宋体" w:cs="Arial"/>
                <w:color w:val="0000FF"/>
                <w:sz w:val="24"/>
                <w:lang w:val="en-US" w:eastAsia="zh-CN"/>
              </w:rPr>
              <w:t>2</w:t>
            </w:r>
            <w:r>
              <w:rPr>
                <w:rFonts w:hint="eastAsia" w:ascii="宋体" w:hAnsi="宋体" w:cs="Arial"/>
                <w:color w:val="0000FF"/>
                <w:sz w:val="24"/>
              </w:rPr>
              <w:t>日09:0</w:t>
            </w:r>
            <w:r>
              <w:rPr>
                <w:rFonts w:hint="eastAsia" w:ascii="宋体" w:hAnsi="宋体" w:cs="Arial"/>
                <w:sz w:val="24"/>
              </w:rPr>
              <w:t>0</w:t>
            </w:r>
          </w:p>
          <w:p>
            <w:pPr>
              <w:pStyle w:val="18"/>
              <w:spacing w:line="360" w:lineRule="auto"/>
              <w:ind w:left="0" w:leftChars="0" w:firstLine="0"/>
              <w:jc w:val="left"/>
              <w:rPr>
                <w:rFonts w:ascii="宋体" w:hAnsi="宋体" w:cs="宋体"/>
                <w:sz w:val="24"/>
              </w:rPr>
            </w:pPr>
            <w:r>
              <w:rPr>
                <w:rFonts w:hint="eastAsia" w:ascii="宋体" w:hAnsi="宋体" w:cs="宋体"/>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逾期上传的电子投标文件恕不接受。</w:t>
            </w:r>
          </w:p>
          <w:p>
            <w:pPr>
              <w:pStyle w:val="10"/>
              <w:spacing w:line="360" w:lineRule="auto"/>
            </w:pPr>
            <w:r>
              <w:rPr>
                <w:rFonts w:hint="eastAsia"/>
                <w:b/>
                <w:bCs/>
                <w:sz w:val="24"/>
              </w:rPr>
              <w:t>温馨提醒：供应商应提前上传，以便在上传时遇到技术问题，有充足的时间请教平台的技术人员。</w:t>
            </w:r>
            <w:r>
              <w:rPr>
                <w:rFonts w:hint="eastAsia"/>
                <w:sz w:val="24"/>
              </w:rPr>
              <w:t>平台技术人员联系人：徐女士；联系电话：0576-88685161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宋体" w:hAnsi="宋体" w:cs="宋体"/>
                <w:sz w:val="24"/>
              </w:rPr>
            </w:pPr>
            <w:r>
              <w:rPr>
                <w:rFonts w:hint="eastAsia" w:ascii="宋体" w:hAnsi="宋体" w:cs="宋体"/>
                <w:sz w:val="24"/>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宋体" w:hAnsi="宋体" w:cs="宋体"/>
                <w:sz w:val="24"/>
              </w:rPr>
            </w:pPr>
            <w:r>
              <w:rPr>
                <w:rFonts w:hint="eastAsia" w:ascii="宋体" w:hAnsi="宋体" w:cs="宋体"/>
                <w:sz w:val="24"/>
              </w:rPr>
              <w:t>电子投标文件在线解密时间：北京时间</w:t>
            </w:r>
            <w:r>
              <w:rPr>
                <w:rFonts w:hint="eastAsia" w:ascii="宋体" w:hAnsi="宋体" w:cs="宋体"/>
                <w:color w:val="0000FF"/>
                <w:sz w:val="24"/>
              </w:rPr>
              <w:t>2021年</w:t>
            </w:r>
            <w:r>
              <w:rPr>
                <w:rFonts w:hint="eastAsia" w:ascii="宋体" w:hAnsi="宋体" w:cs="宋体"/>
                <w:color w:val="0000FF"/>
                <w:sz w:val="24"/>
                <w:lang w:val="en-US" w:eastAsia="zh-CN"/>
              </w:rPr>
              <w:t>11</w:t>
            </w:r>
            <w:r>
              <w:rPr>
                <w:rFonts w:hint="eastAsia" w:ascii="宋体" w:hAnsi="宋体" w:cs="宋体"/>
                <w:color w:val="0000FF"/>
                <w:sz w:val="24"/>
              </w:rPr>
              <w:t>月</w:t>
            </w:r>
            <w:r>
              <w:rPr>
                <w:rFonts w:hint="eastAsia" w:ascii="宋体" w:hAnsi="宋体" w:cs="宋体"/>
                <w:color w:val="0000FF"/>
                <w:sz w:val="24"/>
                <w:lang w:val="en-US" w:eastAsia="zh-CN"/>
              </w:rPr>
              <w:t>2</w:t>
            </w:r>
            <w:r>
              <w:rPr>
                <w:rFonts w:hint="eastAsia" w:ascii="宋体" w:hAnsi="宋体" w:cs="宋体"/>
                <w:color w:val="0000FF"/>
                <w:sz w:val="24"/>
              </w:rPr>
              <w:t>日09:</w:t>
            </w:r>
            <w:r>
              <w:rPr>
                <w:rFonts w:hint="eastAsia" w:ascii="宋体" w:hAnsi="宋体" w:cs="宋体"/>
                <w:sz w:val="24"/>
              </w:rPr>
              <w:t>00至09:30；</w:t>
            </w:r>
          </w:p>
          <w:p>
            <w:pPr>
              <w:pStyle w:val="18"/>
              <w:spacing w:line="360" w:lineRule="auto"/>
              <w:ind w:left="0" w:leftChars="0" w:firstLine="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徐工：18806862938）在采监处的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宋体" w:hAnsi="宋体" w:cs="宋体"/>
                <w:sz w:val="24"/>
              </w:rPr>
            </w:pPr>
            <w:r>
              <w:rPr>
                <w:rFonts w:hint="eastAsia" w:ascii="宋体" w:hAnsi="宋体" w:cs="宋体"/>
                <w:sz w:val="24"/>
              </w:rPr>
              <w:t>备份电子投标</w:t>
            </w:r>
          </w:p>
          <w:p>
            <w:pPr>
              <w:pStyle w:val="18"/>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Theme="majorEastAsia" w:hAnsiTheme="majorEastAsia" w:eastAsiaTheme="majorEastAsia" w:cstheme="majorEastAsia"/>
                <w:b/>
                <w:bCs/>
                <w:sz w:val="24"/>
              </w:rPr>
            </w:pPr>
            <w:r>
              <w:rPr>
                <w:rFonts w:hint="eastAsia" w:ascii="宋体" w:hAnsi="宋体" w:cs="宋体"/>
                <w:sz w:val="24"/>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宋体" w:hAnsi="宋体" w:cs="宋体"/>
                <w:sz w:val="24"/>
              </w:rPr>
            </w:pPr>
            <w:r>
              <w:rPr>
                <w:rFonts w:hint="eastAsia" w:ascii="宋体" w:hAnsi="宋体" w:cs="宋体"/>
                <w:sz w:val="24"/>
              </w:rPr>
              <w:t>1.使用前提：投标人自行在线解密操作失败无法按时寻求技术人员帮助解密，或者投标人寻求技术人员帮助仍无法按时完成解密；</w:t>
            </w:r>
          </w:p>
          <w:p>
            <w:pPr>
              <w:pStyle w:val="18"/>
              <w:spacing w:line="360" w:lineRule="auto"/>
              <w:ind w:left="0" w:leftChars="0" w:firstLine="0"/>
              <w:jc w:val="left"/>
              <w:rPr>
                <w:rFonts w:ascii="宋体" w:hAnsi="宋体" w:cs="宋体"/>
                <w:sz w:val="24"/>
              </w:rPr>
            </w:pPr>
            <w:r>
              <w:rPr>
                <w:rFonts w:hint="eastAsia" w:ascii="宋体" w:hAnsi="宋体" w:cs="宋体"/>
                <w:sz w:val="24"/>
              </w:rPr>
              <w:t>2.递交截止时间：</w:t>
            </w:r>
            <w:r>
              <w:rPr>
                <w:rFonts w:hint="eastAsia" w:ascii="宋体" w:hAnsi="宋体" w:cs="宋体"/>
                <w:sz w:val="24"/>
                <w:lang w:val="en-US" w:eastAsia="zh-CN"/>
              </w:rPr>
              <w:t>11</w:t>
            </w:r>
            <w:r>
              <w:rPr>
                <w:rFonts w:hint="eastAsia" w:ascii="宋体" w:hAnsi="宋体" w:cs="宋体"/>
                <w:color w:val="0000FF"/>
                <w:sz w:val="24"/>
              </w:rPr>
              <w:t>月</w:t>
            </w:r>
            <w:r>
              <w:rPr>
                <w:rFonts w:hint="eastAsia" w:ascii="宋体" w:hAnsi="宋体" w:cs="宋体"/>
                <w:color w:val="0000FF"/>
                <w:sz w:val="24"/>
                <w:lang w:val="en-US" w:eastAsia="zh-CN"/>
              </w:rPr>
              <w:t>2</w:t>
            </w:r>
            <w:r>
              <w:rPr>
                <w:rFonts w:hint="eastAsia" w:ascii="宋体" w:hAnsi="宋体" w:cs="宋体"/>
                <w:color w:val="0000FF"/>
                <w:sz w:val="24"/>
              </w:rPr>
              <w:t>日09:50；</w:t>
            </w:r>
          </w:p>
          <w:p>
            <w:pPr>
              <w:pStyle w:val="18"/>
              <w:spacing w:line="360" w:lineRule="auto"/>
              <w:ind w:left="0" w:leftChars="0" w:firstLine="0"/>
              <w:jc w:val="left"/>
              <w:rPr>
                <w:rFonts w:ascii="宋体" w:hAnsi="宋体" w:cs="宋体"/>
                <w:sz w:val="24"/>
              </w:rPr>
            </w:pPr>
            <w:r>
              <w:rPr>
                <w:rFonts w:hint="eastAsia" w:ascii="宋体" w:hAnsi="宋体" w:cs="宋体"/>
                <w:sz w:val="24"/>
              </w:rPr>
              <w:t>3.投递邮箱：开标当日钉钉直播群公布的指定邮箱；</w:t>
            </w:r>
          </w:p>
          <w:p>
            <w:pPr>
              <w:pStyle w:val="18"/>
              <w:spacing w:line="360" w:lineRule="auto"/>
              <w:ind w:left="0" w:leftChars="0" w:firstLine="0"/>
              <w:jc w:val="left"/>
              <w:rPr>
                <w:rFonts w:ascii="宋体" w:hAnsi="宋体" w:cs="宋体"/>
                <w:sz w:val="24"/>
              </w:rPr>
            </w:pPr>
            <w:r>
              <w:rPr>
                <w:rFonts w:hint="eastAsia" w:ascii="宋体" w:hAnsi="宋体" w:cs="宋体"/>
                <w:sz w:val="24"/>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投标有效期为开标后90天，</w:t>
            </w:r>
            <w:r>
              <w:rPr>
                <w:rFonts w:hint="eastAsia" w:asciiTheme="majorEastAsia" w:hAnsiTheme="majorEastAsia" w:eastAsiaTheme="majorEastAsia" w:cstheme="majorEastAsia"/>
                <w:kern w:val="0"/>
                <w:sz w:val="24"/>
              </w:rPr>
              <w:t>投标有效期从提交电子投标文件的截止之日起算。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1954"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rPr>
                <w:rFonts w:ascii="宋体" w:hAnsi="宋体" w:cs="宋体"/>
                <w:sz w:val="24"/>
                <w:szCs w:val="24"/>
              </w:rPr>
            </w:pPr>
            <w:r>
              <w:rPr>
                <w:rFonts w:hint="eastAsia" w:ascii="宋体" w:hAnsi="宋体" w:cs="宋体"/>
                <w:sz w:val="24"/>
                <w:szCs w:val="24"/>
              </w:rPr>
              <w:t>不见面开标直播</w:t>
            </w:r>
          </w:p>
          <w:p>
            <w:pPr>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360" w:lineRule="auto"/>
              <w:rPr>
                <w:rFonts w:hint="default" w:asciiTheme="majorEastAsia" w:hAnsiTheme="majorEastAsia" w:eastAsiaTheme="majorEastAsia" w:cstheme="majorEastAsia"/>
              </w:rPr>
            </w:pPr>
            <w:r>
              <w:rPr>
                <w:rFonts w:cs="宋体"/>
              </w:rPr>
              <w:t>本项目开评标环节实行全流程电子化，采取不见面钉钉直播开标，投标人可自行下载“钉钉软件”观看。（钉钉直播群号为：</w:t>
            </w:r>
            <w:r>
              <w:rPr>
                <w:rFonts w:ascii="微软雅黑" w:hAnsi="微软雅黑" w:eastAsia="微软雅黑" w:cs="微软雅黑"/>
                <w:i w:val="0"/>
                <w:iCs w:val="0"/>
                <w:caps w:val="0"/>
                <w:spacing w:val="0"/>
                <w:sz w:val="21"/>
                <w:szCs w:val="21"/>
                <w:shd w:val="clear" w:fill="FFFFFF"/>
              </w:rPr>
              <w:t>31544696</w:t>
            </w:r>
            <w:r>
              <w:rPr>
                <w:rFonts w:cs="宋体"/>
              </w:rPr>
              <w:t>，投标人只能于开标当天8：30以后搜索到群号，并申请进群。采购组织机构按照采购文件规定的时间通过电子交易平台组织开标、开启响应文件，所有供应商均应当准时在线参加。</w:t>
            </w:r>
            <w:r>
              <w:rPr>
                <w:rFonts w:cs="宋体"/>
                <w:color w:val="FF0000"/>
              </w:rPr>
              <w:t>如未参加，</w:t>
            </w:r>
            <w:r>
              <w:rPr>
                <w:rFonts w:cs="宋体"/>
                <w:bCs/>
                <w:color w:val="FF0000"/>
              </w:rPr>
              <w:t>造成无法投标或投标失败等后果由供应商自行承担。</w:t>
            </w:r>
            <w:r>
              <w:rPr>
                <w:rFonts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cs="Arial" w:asciiTheme="minorEastAsia" w:hAnsiTheme="minorEastAsia" w:eastAsiaTheme="minorEastAsia"/>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440" w:lineRule="exact"/>
              <w:rPr>
                <w:rFonts w:hAnsi="宋体" w:cs="宋体"/>
                <w:bCs/>
                <w:sz w:val="24"/>
              </w:rPr>
            </w:pPr>
            <w:r>
              <w:rPr>
                <w:rFonts w:hint="eastAsia" w:hAnsi="宋体" w:cs="宋体"/>
                <w:bCs/>
                <w:sz w:val="24"/>
              </w:rPr>
              <w:t>1.本项目实行电子采购，采用电子投标文件。若供应商参与投标，自行承担投标一切费用。</w:t>
            </w:r>
          </w:p>
          <w:p>
            <w:pPr>
              <w:pStyle w:val="13"/>
              <w:adjustRightInd w:val="0"/>
              <w:snapToGrid w:val="0"/>
              <w:spacing w:line="440" w:lineRule="exact"/>
              <w:rPr>
                <w:rFonts w:hAnsi="宋体" w:cs="宋体"/>
                <w:bCs/>
                <w:sz w:val="24"/>
              </w:rPr>
            </w:pPr>
            <w:r>
              <w:rPr>
                <w:rFonts w:hint="eastAsia" w:hAnsi="宋体" w:cs="宋体"/>
                <w:bCs/>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440" w:lineRule="exact"/>
              <w:rPr>
                <w:rFonts w:ascii="宋体" w:hAnsi="宋体" w:cs="宋体"/>
                <w:bCs/>
                <w:sz w:val="24"/>
              </w:rPr>
            </w:pPr>
            <w:r>
              <w:rPr>
                <w:rFonts w:hint="eastAsia" w:ascii="宋体" w:hAnsi="宋体" w:cs="宋体"/>
                <w:bCs/>
                <w:sz w:val="24"/>
              </w:rPr>
              <w:t>3.电子投标文件制作：</w:t>
            </w:r>
          </w:p>
          <w:p>
            <w:pPr>
              <w:spacing w:line="440" w:lineRule="exact"/>
              <w:rPr>
                <w:rFonts w:ascii="宋体" w:hAnsi="宋体" w:cs="宋体"/>
                <w:bCs/>
                <w:sz w:val="24"/>
              </w:rPr>
            </w:pPr>
            <w:r>
              <w:rPr>
                <w:rFonts w:hint="eastAsia" w:ascii="宋体" w:hAnsi="宋体" w:cs="宋体"/>
                <w:bCs/>
                <w:sz w:val="24"/>
              </w:rPr>
              <w:t>3.1应按照本项目招标文件和政采云平台的要求编制、加密并递交电子投标文件。供应商在使用系统进行投标的过程中遇到涉及平台使用的任何问题，可致电政采云平台技术支持热线咨询，联系方式：400-881-7190。</w:t>
            </w:r>
          </w:p>
          <w:p>
            <w:pPr>
              <w:spacing w:line="440" w:lineRule="exact"/>
              <w:rPr>
                <w:rFonts w:asciiTheme="majorEastAsia" w:hAnsiTheme="majorEastAsia" w:eastAsiaTheme="majorEastAsia" w:cstheme="majorEastAsia"/>
                <w:sz w:val="24"/>
              </w:rPr>
            </w:pPr>
            <w:r>
              <w:rPr>
                <w:rFonts w:hint="eastAsia" w:ascii="宋体" w:hAnsi="宋体" w:cs="宋体"/>
                <w:bCs/>
                <w:sz w:val="24"/>
              </w:rPr>
              <w:t>3.2投标人通过“政采云”平台电子投标工具制作电子投标文件，电子投标工具请供应商自行前往浙江省政府采购网下载并安装，（下载网址：http://www.zjzfcg.gov.cn/bidClientTemplate/2019-09-24/12975.html），电子投标文件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Cs/>
                <w:sz w:val="24"/>
              </w:rPr>
            </w:pPr>
            <w:r>
              <w:rPr>
                <w:rFonts w:cs="Arial" w:asciiTheme="minorEastAsia" w:hAnsiTheme="minorEastAsia" w:eastAsiaTheme="minorEastAsia"/>
                <w:bCs/>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sz w:val="24"/>
              </w:rPr>
            </w:pPr>
            <w:r>
              <w:rPr>
                <w:rFonts w:hint="eastAsia" w:cs="Arial" w:asciiTheme="minorEastAsia" w:hAnsiTheme="minorEastAsia" w:eastAsiaTheme="minorEastAsia"/>
                <w:sz w:val="24"/>
              </w:rPr>
              <w:t>1、查询渠道：信用中国（网址：</w:t>
            </w:r>
            <w:r>
              <w:fldChar w:fldCharType="begin"/>
            </w:r>
            <w:r>
              <w:instrText xml:space="preserve"> HYPERLINK "http://www.creditchina.gov.cn" </w:instrText>
            </w:r>
            <w:r>
              <w:fldChar w:fldCharType="separate"/>
            </w:r>
            <w:r>
              <w:rPr>
                <w:rFonts w:cs="Arial" w:asciiTheme="minorEastAsia" w:hAnsiTheme="minorEastAsia" w:eastAsiaTheme="minorEastAsia"/>
                <w:sz w:val="24"/>
              </w:rPr>
              <w:t>http://www.creditchina.gov.cn</w:t>
            </w:r>
            <w:r>
              <w:rPr>
                <w:rFonts w:cs="Arial" w:asciiTheme="minorEastAsia" w:hAnsiTheme="minorEastAsia" w:eastAsiaTheme="minorEastAsia"/>
                <w:sz w:val="24"/>
              </w:rPr>
              <w:fldChar w:fldCharType="end"/>
            </w:r>
            <w:r>
              <w:rPr>
                <w:rFonts w:hint="eastAsia" w:cs="Arial" w:asciiTheme="minorEastAsia" w:hAnsiTheme="minorEastAsia" w:eastAsiaTheme="minorEastAsia"/>
                <w:sz w:val="24"/>
              </w:rPr>
              <w:t>）、中国政府采购网(网址：</w:t>
            </w:r>
            <w:r>
              <w:rPr>
                <w:rFonts w:cs="Arial" w:asciiTheme="minorEastAsia" w:hAnsiTheme="minorEastAsia" w:eastAsiaTheme="minorEastAsia"/>
                <w:sz w:val="24"/>
              </w:rPr>
              <w:t>http://www.ccgp.gov.cn</w:t>
            </w:r>
            <w:r>
              <w:rPr>
                <w:rFonts w:hint="eastAsia" w:cs="Arial" w:asciiTheme="minorEastAsia" w:hAnsiTheme="minorEastAsia" w:eastAsiaTheme="minorEastAsia"/>
                <w:sz w:val="24"/>
              </w:rPr>
              <w:t>）、</w:t>
            </w:r>
            <w:r>
              <w:rPr>
                <w:rFonts w:hint="eastAsia" w:ascii="宋体" w:hAnsi="宋体" w:cs="Arial"/>
                <w:sz w:val="24"/>
              </w:rPr>
              <w:t>国家企业信用信息公示系统（http://www.gsxt.gov.cn/index.html）等。</w:t>
            </w:r>
          </w:p>
          <w:p>
            <w:pPr>
              <w:snapToGrid w:val="0"/>
              <w:spacing w:line="360" w:lineRule="auto"/>
              <w:rPr>
                <w:rFonts w:cs="Arial" w:asciiTheme="minorEastAsia" w:hAnsiTheme="minorEastAsia" w:eastAsiaTheme="minorEastAsia"/>
                <w:b/>
                <w:bCs/>
                <w:sz w:val="24"/>
                <w:shd w:val="clear" w:color="FFFFFF" w:fill="D9D9D9"/>
              </w:rPr>
            </w:pPr>
            <w:r>
              <w:rPr>
                <w:rFonts w:hint="eastAsia" w:cs="Arial" w:asciiTheme="minorEastAsia" w:hAnsiTheme="minorEastAsia" w:eastAsiaTheme="minorEastAsia"/>
                <w:sz w:val="24"/>
              </w:rPr>
              <w:t>2、截止时点：评审结束前。</w:t>
            </w:r>
          </w:p>
          <w:p>
            <w:pPr>
              <w:snapToGrid w:val="0"/>
              <w:spacing w:line="360" w:lineRule="auto"/>
              <w:rPr>
                <w:rFonts w:cs="Arial" w:asciiTheme="minorEastAsia" w:hAnsiTheme="minorEastAsia" w:eastAsiaTheme="minorEastAsia"/>
                <w:sz w:val="24"/>
              </w:rPr>
            </w:pPr>
            <w:r>
              <w:rPr>
                <w:rFonts w:hint="eastAsia" w:cs="Arial" w:asciiTheme="minorEastAsia" w:hAnsiTheme="minorEastAsia" w:eastAsiaTheme="minorEastAsia"/>
                <w:sz w:val="24"/>
              </w:rPr>
              <w:t>3、</w:t>
            </w:r>
            <w:r>
              <w:rPr>
                <w:rFonts w:cs="Arial" w:asciiTheme="minorEastAsia" w:hAnsiTheme="minorEastAsia" w:eastAsiaTheme="minorEastAsia"/>
                <w:sz w:val="24"/>
              </w:rPr>
              <w:t>信用信息查询记录和证据留存的具体方式</w:t>
            </w:r>
            <w:r>
              <w:rPr>
                <w:rFonts w:hint="eastAsia" w:cs="Arial" w:asciiTheme="minorEastAsia" w:hAnsiTheme="minorEastAsia" w:eastAsiaTheme="minorEastAsia"/>
                <w:sz w:val="24"/>
              </w:rPr>
              <w:t>：由采购组织机构在规定查询时间内打印信用信息查询记录并归入项目档案。</w:t>
            </w:r>
          </w:p>
          <w:p>
            <w:pPr>
              <w:snapToGrid w:val="0"/>
              <w:spacing w:line="360" w:lineRule="auto"/>
              <w:rPr>
                <w:rFonts w:asciiTheme="majorEastAsia" w:hAnsiTheme="majorEastAsia" w:cstheme="majorEastAsia"/>
                <w:sz w:val="24"/>
              </w:rPr>
            </w:pPr>
            <w:r>
              <w:rPr>
                <w:rFonts w:hint="eastAsia" w:cs="Arial" w:asciiTheme="minorEastAsia" w:hAnsiTheme="minorEastAsia" w:eastAsiaTheme="minorEastAsia"/>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sz w:val="24"/>
              </w:rPr>
              <w:t>将被</w:t>
            </w:r>
            <w:r>
              <w:rPr>
                <w:rFonts w:hint="eastAsia" w:cs="Arial" w:asciiTheme="minorEastAsia" w:hAnsiTheme="minorEastAsia" w:eastAsiaTheme="minorEastAsia"/>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cs="Arial" w:asciiTheme="minorEastAsia" w:hAnsiTheme="minorEastAsia" w:eastAsiaTheme="minorEastAsia"/>
                <w:sz w:val="24"/>
              </w:rPr>
            </w:pPr>
            <w:r>
              <w:rPr>
                <w:rFonts w:hint="eastAsia" w:cs="Arial" w:asciiTheme="minorEastAsia" w:hAnsiTheme="minorEastAsia" w:eastAsiaTheme="minorEastAsia"/>
                <w:color w:val="FF0000"/>
                <w:sz w:val="24"/>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10"/>
              <w:rPr>
                <w:rFonts w:asciiTheme="majorEastAsia" w:hAnsiTheme="majorEastAsia" w:cstheme="majorEastAsia"/>
                <w:sz w:val="24"/>
              </w:rPr>
            </w:pPr>
            <w:r>
              <w:rPr>
                <w:rFonts w:hint="eastAsia" w:asciiTheme="majorEastAsia" w:hAnsiTheme="majorEastAsia" w:cstheme="majorEastAsia"/>
                <w:b w:val="0"/>
                <w:bCs w:val="0"/>
                <w:color w:val="auto"/>
                <w:sz w:val="24"/>
                <w:szCs w:val="24"/>
                <w:lang w:val="en-US" w:eastAsia="zh-CN"/>
              </w:rPr>
              <w:t>中标人需在合同签署后七天内按照合同总价的5%缴付履约保证金，采购人在质保期满后7个工作日内无息退还。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lang w:val="zh-CN"/>
              </w:rPr>
              <w:t>带“</w:t>
            </w:r>
            <w:r>
              <w:rPr>
                <w:rFonts w:hint="eastAsia" w:asciiTheme="majorEastAsia" w:hAnsiTheme="majorEastAsia" w:eastAsiaTheme="majorEastAsia" w:cstheme="majorEastAsia"/>
                <w:bCs/>
                <w:sz w:val="24"/>
              </w:rPr>
              <w:t>▲”的条款是实质性条款，电子投标文件须作出实质性响应，否则作无效投标处理。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本招标文件解释权属于采购人和</w:t>
            </w:r>
            <w:r>
              <w:rPr>
                <w:rFonts w:hint="eastAsia" w:ascii="宋体" w:hAnsi="宋体" w:cs="Arial"/>
                <w:sz w:val="24"/>
              </w:rPr>
              <w:t>台州市政府采购中心</w:t>
            </w:r>
          </w:p>
        </w:tc>
      </w:tr>
    </w:tbl>
    <w:p>
      <w:pPr>
        <w:pStyle w:val="10"/>
        <w:spacing w:line="360" w:lineRule="auto"/>
        <w:ind w:firstLine="480" w:firstLineChars="200"/>
        <w:rPr>
          <w:rFonts w:ascii="宋体" w:hAnsi="宋体" w:cs="Arial"/>
          <w:sz w:val="24"/>
        </w:rPr>
      </w:pP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156" w:beforeLines="50" w:line="360" w:lineRule="auto"/>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5"/>
        <w:keepNext w:val="0"/>
        <w:keepLines w:val="0"/>
        <w:tabs>
          <w:tab w:val="left" w:pos="0"/>
          <w:tab w:val="left" w:pos="851"/>
        </w:tabs>
        <w:snapToGrid w:val="0"/>
        <w:spacing w:before="0" w:after="0"/>
        <w:ind w:firstLine="569"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156"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3"/>
        <w:snapToGrid w:val="0"/>
        <w:spacing w:line="360" w:lineRule="auto"/>
        <w:ind w:left="2" w:leftChars="1" w:firstLine="482" w:firstLineChars="200"/>
        <w:rPr>
          <w:rFonts w:hAnsi="宋体"/>
          <w:b/>
          <w:sz w:val="24"/>
        </w:rPr>
      </w:pPr>
      <w:r>
        <w:rPr>
          <w:rFonts w:hint="eastAsia" w:hAnsi="宋体"/>
          <w:b/>
          <w:sz w:val="24"/>
        </w:rPr>
        <w:t>（四）特别说明</w:t>
      </w:r>
    </w:p>
    <w:p>
      <w:pPr>
        <w:pStyle w:val="13"/>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25"/>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5"/>
        <w:keepNext w:val="0"/>
        <w:keepLines w:val="0"/>
        <w:tabs>
          <w:tab w:val="left" w:pos="851"/>
        </w:tabs>
        <w:snapToGrid w:val="0"/>
        <w:spacing w:before="0" w:after="0" w:line="360" w:lineRule="auto"/>
        <w:ind w:firstLine="482"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5"/>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5"/>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5"/>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仿宋_GB2312" w:hAnsi="仿宋_GB2312" w:eastAsia="仿宋_GB2312" w:cs="仿宋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投标人接到招标文件后，按照采购组织机构的要求提供：资格证明文件、商务与技术文件和报价文件。</w:t>
      </w:r>
      <w:r>
        <w:rPr>
          <w:rFonts w:hint="eastAsia" w:asciiTheme="minorEastAsia" w:hAnsiTheme="minorEastAsia" w:eastAsiaTheme="minorEastAsia"/>
          <w:kern w:val="0"/>
          <w:sz w:val="24"/>
          <w:lang w:val="zh-CN"/>
        </w:rPr>
        <w:t>【特别提示：如在投标时有要求提供资料原件的，将原件扫描放入投标文件。】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rPr>
      </w:pPr>
      <w:r>
        <w:rPr>
          <w:rFonts w:hint="eastAsia" w:ascii="宋体" w:hAnsi="宋体" w:cs="宋体"/>
          <w:sz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rPr>
      </w:pPr>
      <w:r>
        <w:rPr>
          <w:rFonts w:hint="eastAsia" w:ascii="宋体" w:hAnsi="宋体" w:cs="宋体"/>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p>
    <w:p>
      <w:pPr>
        <w:pStyle w:val="9"/>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sz w:val="24"/>
          <w:lang w:val="zh-CN"/>
        </w:rPr>
      </w:pPr>
      <w:r>
        <w:rPr>
          <w:rFonts w:hint="eastAsia" w:ascii="宋体" w:hAnsi="宋体" w:cs="宋体"/>
          <w:sz w:val="24"/>
        </w:rPr>
        <w:t>（6）投标人认为需要提供的其他资料（包括可能影响投标人商务与技术文件评分的各类证明材料）。</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10"/>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（5）投标报价单填写需清楚明了，并加盖电子印章。因表达不清引起的后果由投标人负责。</w:t>
      </w:r>
    </w:p>
    <w:p>
      <w:pPr>
        <w:autoSpaceDE w:val="0"/>
        <w:autoSpaceDN w:val="0"/>
        <w:adjustRightIn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8"/>
        </w:numPr>
        <w:rPr>
          <w:rFonts w:asciiTheme="minorEastAsia" w:hAnsiTheme="minorEastAsia" w:eastAsiaTheme="minorEastAsia"/>
          <w:b/>
          <w:bCs/>
          <w:kern w:val="0"/>
          <w:sz w:val="24"/>
        </w:rPr>
      </w:pPr>
      <w:r>
        <w:rPr>
          <w:rFonts w:hint="eastAsia" w:asciiTheme="minorEastAsia" w:hAnsiTheme="minorEastAsia" w:eastAsiaTheme="minorEastAsia"/>
          <w:b/>
          <w:bCs/>
          <w:kern w:val="0"/>
          <w:sz w:val="24"/>
        </w:rPr>
        <w:t>投标方式：本项目采用电子投标。</w:t>
      </w:r>
    </w:p>
    <w:p>
      <w:pPr>
        <w:autoSpaceDE w:val="0"/>
        <w:autoSpaceDN w:val="0"/>
        <w:adjustRightInd w:val="0"/>
        <w:spacing w:line="360" w:lineRule="auto"/>
        <w:ind w:firstLine="482" w:firstLineChars="20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440" w:lineRule="exact"/>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44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电子投标文件部分：投标人应根据“政采云供应商项目采购-电子招投标操作指南”及本招标文件规定的格式和顺序编制电子投标文件并进行关联定位。</w:t>
      </w:r>
    </w:p>
    <w:p>
      <w:pPr>
        <w:spacing w:line="440" w:lineRule="exact"/>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10"/>
        <w:spacing w:line="360" w:lineRule="auto"/>
        <w:ind w:firstLine="480" w:firstLineChars="200"/>
      </w:pPr>
      <w:r>
        <w:rPr>
          <w:rFonts w:hint="eastAsia" w:ascii="宋体" w:hAnsi="宋体"/>
          <w:sz w:val="24"/>
        </w:rPr>
        <w:t>（2）投标人应对所提供的全部资料的真实性、有效性承担法律责任，电子投标文件中盖章之处必须加盖电子印章。</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3、电子投标文件的补充、修改和撤回。</w:t>
      </w:r>
    </w:p>
    <w:p>
      <w:pPr>
        <w:tabs>
          <w:tab w:val="left" w:pos="960"/>
          <w:tab w:val="left" w:pos="1418"/>
        </w:tabs>
        <w:autoSpaceDE w:val="0"/>
        <w:autoSpaceDN w:val="0"/>
        <w:adjustRightInd w:val="0"/>
        <w:spacing w:line="360" w:lineRule="auto"/>
        <w:ind w:firstLine="440" w:firstLineChars="200"/>
        <w:rPr>
          <w:rFonts w:ascii="宋体" w:hAnsi="宋体" w:cs="宋体"/>
          <w:sz w:val="22"/>
          <w:szCs w:val="22"/>
        </w:rPr>
      </w:pPr>
      <w:r>
        <w:rPr>
          <w:rFonts w:hint="eastAsia" w:ascii="宋体" w:hAnsi="宋体" w:cs="宋体"/>
          <w:sz w:val="22"/>
          <w:szCs w:val="22"/>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8"/>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lang w:val="en-GB"/>
        </w:rPr>
      </w:pPr>
      <w:r>
        <w:rPr>
          <w:rFonts w:hint="eastAsia" w:ascii="宋体" w:hAnsi="宋体"/>
          <w:sz w:val="24"/>
          <w:lang w:val="en-GB"/>
        </w:rPr>
        <w:t>自投标截止日起90天电子投标文件应保持有效。有效期不足的电子投标文件将被拒绝。</w:t>
      </w:r>
    </w:p>
    <w:p>
      <w:pPr>
        <w:pStyle w:val="8"/>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480" w:lineRule="exact"/>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480" w:lineRule="exact"/>
        <w:ind w:firstLine="480" w:firstLineChars="200"/>
        <w:jc w:val="left"/>
        <w:rPr>
          <w:rFonts w:ascii="宋体" w:hAnsi="宋体" w:cs="宋体"/>
          <w:sz w:val="24"/>
        </w:rPr>
      </w:pPr>
      <w:r>
        <w:rPr>
          <w:rFonts w:hint="eastAsia" w:ascii="宋体" w:hAnsi="宋体" w:cs="宋体"/>
          <w:sz w:val="24"/>
        </w:rPr>
        <w:t>3、公布开标结果。</w:t>
      </w:r>
    </w:p>
    <w:p>
      <w:pPr>
        <w:snapToGrid w:val="0"/>
        <w:spacing w:line="480" w:lineRule="exact"/>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9"/>
        </w:numPr>
        <w:snapToGrid w:val="0"/>
        <w:spacing w:line="480" w:lineRule="exact"/>
        <w:ind w:firstLine="480" w:firstLineChars="20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在采监处的监督下远程协助其完成解密，仍无法完成解密的，应按规定及时递交备份电子投标文件，否则，视同放弃投标。</w:t>
      </w:r>
    </w:p>
    <w:p>
      <w:pPr>
        <w:snapToGrid w:val="0"/>
        <w:spacing w:line="480" w:lineRule="exact"/>
        <w:ind w:firstLine="480" w:firstLineChars="200"/>
        <w:jc w:val="left"/>
        <w:rPr>
          <w:rFonts w:ascii="仿宋_GB2312" w:hAnsi="宋体" w:eastAsia="仿宋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仿宋_GB2312" w:hAnsi="宋体" w:eastAsia="仿宋_GB2312"/>
          <w:b/>
          <w:sz w:val="24"/>
        </w:rPr>
        <w:t>特别说明：政采云公司如对电子化开标及评审程序有调整的，按调整后的程序操作。</w:t>
      </w:r>
    </w:p>
    <w:p>
      <w:pPr>
        <w:pStyle w:val="13"/>
        <w:snapToGrid w:val="0"/>
        <w:spacing w:line="360" w:lineRule="auto"/>
        <w:ind w:firstLine="420" w:firstLineChars="200"/>
      </w:pPr>
    </w:p>
    <w:p>
      <w:pPr>
        <w:pStyle w:val="13"/>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3"/>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3"/>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10"/>
        <w:spacing w:line="360" w:lineRule="auto"/>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10"/>
        <w:numPr>
          <w:ilvl w:val="0"/>
          <w:numId w:val="10"/>
        </w:numPr>
        <w:spacing w:line="360" w:lineRule="auto"/>
        <w:rPr>
          <w:rFonts w:asciiTheme="minorEastAsia" w:hAnsiTheme="minorEastAsia" w:eastAsiaTheme="minorEastAsia"/>
          <w:b/>
          <w:bCs/>
        </w:rPr>
      </w:pPr>
      <w:r>
        <w:rPr>
          <w:rFonts w:asciiTheme="minorEastAsia" w:hAnsiTheme="minorEastAsia" w:eastAsiaTheme="minorEastAsia"/>
          <w:b/>
          <w:bCs/>
        </w:rPr>
        <w:t>符合性审查</w:t>
      </w:r>
    </w:p>
    <w:p>
      <w:pPr>
        <w:pStyle w:val="10"/>
        <w:spacing w:line="360" w:lineRule="auto"/>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17"/>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17"/>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3"/>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17"/>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3"/>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17"/>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11" w:firstLineChars="196"/>
        <w:jc w:val="left"/>
        <w:rPr>
          <w:rFonts w:asciiTheme="minorEastAsia" w:hAnsiTheme="minorEastAsia" w:eastAsiaTheme="minorEastAsia"/>
          <w:b/>
          <w:bCs/>
          <w:sz w:val="24"/>
        </w:rPr>
      </w:pPr>
      <w:r>
        <w:rPr>
          <w:rFonts w:asciiTheme="minorEastAsia" w:hAnsiTheme="minorEastAsia" w:eastAsiaTheme="minorEastAsia"/>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17"/>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评标委员会认为投标人的报价明显低于其他通过符合性审查投标人的报价，有可能影响产品质量或者不能诚信履约的，应当要求其在合理的时间内提供</w:t>
      </w:r>
      <w:r>
        <w:rPr>
          <w:rFonts w:hint="eastAsia"/>
          <w:sz w:val="24"/>
        </w:rPr>
        <w:t>进行电子答复</w:t>
      </w:r>
      <w:r>
        <w:rPr>
          <w:rFonts w:asciiTheme="minorEastAsia" w:hAnsiTheme="minorEastAsia" w:eastAsiaTheme="minorEastAsia"/>
          <w:sz w:val="24"/>
        </w:rPr>
        <w:t>，必要时提交相关证明材料；投标人不能证明其报价合理性的，评标委员会应当将其作为无效投标处理。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u w:val="single"/>
        </w:rPr>
        <w:t xml:space="preserve"> 8 </w:t>
      </w:r>
      <w:r>
        <w:rPr>
          <w:rFonts w:asciiTheme="minorEastAsia" w:hAnsiTheme="minorEastAsia" w:eastAsiaTheme="minorEastAsia"/>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9"/>
        <w:rPr>
          <w:rFonts w:eastAsiaTheme="minorEastAsia"/>
        </w:rPr>
      </w:pPr>
      <w:r>
        <w:rPr>
          <w:rFonts w:hint="eastAsia" w:asciiTheme="minorEastAsia" w:hAnsiTheme="minorEastAsia" w:eastAsiaTheme="minorEastAsia"/>
          <w:kern w:val="0"/>
          <w:sz w:val="24"/>
        </w:rPr>
        <w:t>11、商务条款不响应。</w:t>
      </w:r>
    </w:p>
    <w:p>
      <w:pPr>
        <w:numPr>
          <w:ilvl w:val="0"/>
          <w:numId w:val="11"/>
        </w:numPr>
        <w:tabs>
          <w:tab w:val="right" w:pos="8306"/>
        </w:tabs>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17"/>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17"/>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17"/>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17"/>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3"/>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3"/>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3"/>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17"/>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rPr>
        <w:t>六、定标</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10"/>
        <w:spacing w:line="360" w:lineRule="auto"/>
        <w:ind w:firstLine="480" w:firstLineChars="200"/>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w:t>
      </w:r>
      <w:r>
        <w:rPr>
          <w:rFonts w:hint="eastAsia" w:ascii="宋体" w:hAnsi="宋体"/>
          <w:color w:val="FF0000"/>
          <w:kern w:val="0"/>
          <w:sz w:val="24"/>
        </w:rPr>
        <w:t>公告</w:t>
      </w:r>
      <w:r>
        <w:rPr>
          <w:rFonts w:hint="eastAsia" w:ascii="宋体" w:hAnsi="宋体"/>
          <w:kern w:val="0"/>
          <w:sz w:val="24"/>
        </w:rPr>
        <w:t>的同时，向中标人发出中标通知书。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600" w:firstLineChars="250"/>
        <w:jc w:val="both"/>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17"/>
        <w:spacing w:before="0" w:beforeAutospacing="0" w:after="0" w:afterAutospacing="0" w:line="360" w:lineRule="auto"/>
        <w:ind w:firstLine="600" w:firstLineChars="250"/>
        <w:jc w:val="both"/>
        <w:rPr>
          <w:rFonts w:hint="default"/>
        </w:rPr>
      </w:pPr>
      <w:r>
        <w:t>2、采购人不得向中标人提出任何不合理的要求作为签订合同的条件。</w:t>
      </w:r>
    </w:p>
    <w:p>
      <w:pPr>
        <w:pStyle w:val="17"/>
        <w:spacing w:before="0" w:beforeAutospacing="0" w:after="0" w:afterAutospacing="0" w:line="360" w:lineRule="auto"/>
        <w:ind w:firstLine="420" w:firstLineChars="175"/>
        <w:jc w:val="both"/>
        <w:rPr>
          <w:rFonts w:hint="default"/>
        </w:rPr>
      </w:pPr>
      <w:r>
        <w:t>3、中标供应商无故拖延、拒签合同的,将取消中标资格。</w:t>
      </w:r>
    </w:p>
    <w:p>
      <w:pPr>
        <w:pStyle w:val="17"/>
        <w:spacing w:before="0" w:beforeAutospacing="0" w:after="0" w:afterAutospacing="0" w:line="360" w:lineRule="auto"/>
        <w:ind w:firstLine="480" w:firstLineChars="200"/>
        <w:jc w:val="both"/>
        <w:rPr>
          <w:rFonts w:hint="default"/>
        </w:rPr>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7"/>
        <w:spacing w:line="360" w:lineRule="auto"/>
        <w:ind w:firstLine="480" w:firstLineChars="200"/>
        <w:rPr>
          <w:rFonts w:hint="default" w:cs="仿宋_GB2312"/>
        </w:rPr>
      </w:pPr>
      <w:r>
        <w:t>5、询问或者质疑事项可能影响中标结果的，采购人应当暂停签订合同，已经签订合同的，应当中止履行合同（中标结果的质疑期为中标结果公告期限届满之日起七个工作日）。</w:t>
      </w:r>
    </w:p>
    <w:p>
      <w:pPr>
        <w:pStyle w:val="17"/>
        <w:spacing w:line="360" w:lineRule="auto"/>
        <w:ind w:firstLine="424" w:firstLineChars="176"/>
        <w:rPr>
          <w:rFonts w:hint="default" w:cs="仿宋_GB2312"/>
          <w:b/>
        </w:rPr>
      </w:pPr>
      <w:r>
        <w:rPr>
          <w:b/>
        </w:rPr>
        <w:t>（二）合同公告及备案</w:t>
      </w:r>
    </w:p>
    <w:p>
      <w:pPr>
        <w:pStyle w:val="2"/>
        <w:spacing w:line="360" w:lineRule="auto"/>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0"/>
        <w:spacing w:line="360" w:lineRule="auto"/>
        <w:ind w:firstLine="420" w:firstLineChars="175"/>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rPr>
          <w:rFonts w:ascii="宋体" w:hAnsi="宋体"/>
          <w:sz w:val="24"/>
        </w:rPr>
      </w:pPr>
      <w:r>
        <w:rPr>
          <w:rFonts w:hint="eastAsia" w:ascii="宋体" w:hAnsi="宋体"/>
          <w:sz w:val="24"/>
        </w:rPr>
        <w:br w:type="page"/>
      </w:r>
    </w:p>
    <w:p>
      <w:pPr>
        <w:pStyle w:val="10"/>
        <w:spacing w:line="360" w:lineRule="auto"/>
        <w:rPr>
          <w:rFonts w:ascii="宋体" w:hAnsi="宋体"/>
          <w:sz w:val="24"/>
        </w:rPr>
      </w:pP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kern w:val="0"/>
          <w:sz w:val="24"/>
        </w:rPr>
      </w:pPr>
      <w:r>
        <w:rPr>
          <w:rFonts w:hint="eastAsia" w:asciiTheme="minorEastAsia" w:hAnsiTheme="minorEastAsia" w:eastAsiaTheme="minorEastAsia"/>
          <w:kern w:val="0"/>
          <w:sz w:val="24"/>
        </w:rPr>
        <w:t>一、采购组织机构将组织评标委员会，对投标人提供的电子投标文件进行综合评审。</w:t>
      </w:r>
    </w:p>
    <w:p>
      <w:pPr>
        <w:autoSpaceDE w:val="0"/>
        <w:autoSpaceDN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二、本次招标项目的评标方法为综合评分法，总计100分。评标标准按以下6项内容及分值进行评审。</w:t>
      </w:r>
    </w:p>
    <w:tbl>
      <w:tblPr>
        <w:tblStyle w:val="19"/>
        <w:tblW w:w="5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24" w:type="dxa"/>
            <w:tcBorders>
              <w:tl2br w:val="single" w:color="auto" w:sz="4" w:space="0"/>
            </w:tcBorders>
          </w:tcPr>
          <w:p>
            <w:pPr>
              <w:autoSpaceDE w:val="0"/>
              <w:autoSpaceDN w:val="0"/>
              <w:adjustRightInd w:val="0"/>
              <w:jc w:val="left"/>
              <w:rPr>
                <w:rFonts w:ascii="宋体" w:hAnsi="宋体" w:cs="Arial"/>
                <w:sz w:val="24"/>
              </w:rPr>
            </w:pPr>
            <w:r>
              <w:rPr>
                <w:rFonts w:hint="eastAsia" w:ascii="宋体" w:hAnsi="宋体" w:cs="Arial"/>
                <w:sz w:val="24"/>
              </w:rPr>
              <w:t xml:space="preserve">          标段</w:t>
            </w:r>
          </w:p>
          <w:p>
            <w:pPr>
              <w:autoSpaceDE w:val="0"/>
              <w:autoSpaceDN w:val="0"/>
              <w:adjustRightInd w:val="0"/>
              <w:jc w:val="left"/>
              <w:rPr>
                <w:rFonts w:ascii="宋体" w:hAnsi="宋体" w:cs="Arial"/>
                <w:sz w:val="24"/>
              </w:rPr>
            </w:pPr>
            <w:r>
              <w:rPr>
                <w:rFonts w:hint="eastAsia" w:ascii="宋体" w:hAnsi="宋体" w:cs="Arial"/>
                <w:sz w:val="24"/>
              </w:rPr>
              <w:t>类别</w:t>
            </w:r>
          </w:p>
        </w:tc>
        <w:tc>
          <w:tcPr>
            <w:tcW w:w="2635" w:type="dxa"/>
            <w:vAlign w:val="center"/>
          </w:tcPr>
          <w:p>
            <w:pPr>
              <w:autoSpaceDE w:val="0"/>
              <w:autoSpaceDN w:val="0"/>
              <w:adjustRightInd w:val="0"/>
              <w:spacing w:line="480" w:lineRule="auto"/>
              <w:jc w:val="center"/>
              <w:rPr>
                <w:rFonts w:hint="eastAsia" w:ascii="宋体" w:hAnsi="宋体" w:eastAsia="宋体" w:cs="Arial"/>
                <w:sz w:val="24"/>
                <w:lang w:eastAsia="zh-CN"/>
              </w:rPr>
            </w:pPr>
            <w:r>
              <w:rPr>
                <w:rFonts w:hint="eastAsia" w:ascii="宋体" w:hAnsi="宋体" w:cs="Arial"/>
                <w:sz w:val="24"/>
                <w:lang w:val="en-US"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技术评分</w:t>
            </w:r>
          </w:p>
        </w:tc>
        <w:tc>
          <w:tcPr>
            <w:tcW w:w="2635"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实力信誉及业绩评分</w:t>
            </w:r>
          </w:p>
        </w:tc>
        <w:tc>
          <w:tcPr>
            <w:tcW w:w="2635"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售后服务评分</w:t>
            </w:r>
          </w:p>
        </w:tc>
        <w:tc>
          <w:tcPr>
            <w:tcW w:w="2635"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投标文件制作评分</w:t>
            </w:r>
          </w:p>
        </w:tc>
        <w:tc>
          <w:tcPr>
            <w:tcW w:w="2635" w:type="dxa"/>
            <w:vAlign w:val="center"/>
          </w:tcPr>
          <w:p>
            <w:pPr>
              <w:autoSpaceDE w:val="0"/>
              <w:autoSpaceDN w:val="0"/>
              <w:adjustRightInd w:val="0"/>
              <w:jc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价格分</w:t>
            </w:r>
          </w:p>
        </w:tc>
        <w:tc>
          <w:tcPr>
            <w:tcW w:w="2635" w:type="dxa"/>
            <w:vAlign w:val="center"/>
          </w:tcPr>
          <w:p>
            <w:pPr>
              <w:autoSpaceDE w:val="0"/>
              <w:autoSpaceDN w:val="0"/>
              <w:adjustRightInd w:val="0"/>
              <w:jc w:val="center"/>
              <w:rPr>
                <w:rFonts w:ascii="宋体" w:hAnsi="宋体" w:cs="Arial"/>
                <w:sz w:val="24"/>
              </w:rPr>
            </w:pPr>
            <w:r>
              <w:rPr>
                <w:rFonts w:hint="eastAsia" w:ascii="宋体" w:hAnsi="宋体" w:cs="Arial"/>
                <w:sz w:val="24"/>
              </w:rPr>
              <w:t>30</w:t>
            </w:r>
          </w:p>
        </w:tc>
      </w:tr>
    </w:tbl>
    <w:p>
      <w:pPr>
        <w:autoSpaceDE w:val="0"/>
        <w:autoSpaceDN w:val="0"/>
        <w:adjustRightInd w:val="0"/>
        <w:spacing w:line="360" w:lineRule="auto"/>
        <w:ind w:right="84" w:firstLine="472"/>
        <w:rPr>
          <w:rFonts w:ascii="宋体"/>
          <w:bCs/>
          <w:sz w:val="24"/>
          <w:lang w:val="zh-CN"/>
        </w:rPr>
      </w:pPr>
      <w:r>
        <w:rPr>
          <w:rFonts w:hint="eastAsia" w:ascii="宋体"/>
          <w:bCs/>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bCs/>
          <w:sz w:val="24"/>
          <w:lang w:val="zh-CN"/>
        </w:rPr>
        <w:t>（二）各投标人商务与技术文件</w:t>
      </w:r>
      <w:r>
        <w:rPr>
          <w:rFonts w:hint="eastAsia" w:ascii="宋体"/>
          <w:kern w:val="0"/>
          <w:sz w:val="24"/>
          <w:lang w:val="zh-CN"/>
        </w:rPr>
        <w:t>得分按照评标委员会成</w:t>
      </w:r>
      <w:r>
        <w:rPr>
          <w:rFonts w:hint="eastAsia" w:ascii="宋体"/>
          <w:bCs/>
          <w:sz w:val="24"/>
          <w:lang w:val="zh-CN"/>
        </w:rPr>
        <w:t>员的独立评分结果汇总后的算术平均分计算，计算公式为：</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hAnsi="宋体"/>
          <w:sz w:val="24"/>
        </w:rPr>
        <w:t>商务与技术文件得分</w:t>
      </w:r>
      <w:r>
        <w:rPr>
          <w:rFonts w:hint="eastAsia" w:ascii="宋体"/>
          <w:bCs/>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sz w:val="24"/>
          <w:lang w:val="zh-CN"/>
        </w:rPr>
      </w:pPr>
      <w:r>
        <w:rPr>
          <w:rFonts w:hint="eastAsia" w:ascii="宋体"/>
          <w:bCs/>
          <w:sz w:val="24"/>
          <w:lang w:val="zh-CN"/>
        </w:rPr>
        <w:t>（三）</w:t>
      </w:r>
      <w:r>
        <w:rPr>
          <w:rFonts w:hint="eastAsia" w:ascii="宋体"/>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sz w:val="24"/>
          <w:u w:val="single"/>
        </w:rPr>
      </w:pPr>
      <w:r>
        <w:rPr>
          <w:rFonts w:hint="eastAsia" w:ascii="宋体" w:hAnsi="宋体" w:eastAsia="宋体" w:cs="宋体"/>
          <w:sz w:val="24"/>
          <w:szCs w:val="24"/>
          <w:u w:val="single"/>
        </w:rPr>
        <w:t>投标报价得分=(评标基准价／投标报价)×30%×100 。</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lang w:val="en-US" w:eastAsia="zh-CN"/>
        </w:rPr>
        <w:t>中小</w:t>
      </w:r>
      <w:r>
        <w:rPr>
          <w:rFonts w:hint="eastAsia" w:ascii="宋体"/>
          <w:sz w:val="24"/>
          <w:lang w:val="zh-CN"/>
        </w:rPr>
        <w:t>企业声明函》，如投标人提供其他小微企业制造的货物，应同时提供制造商的《</w:t>
      </w:r>
      <w:r>
        <w:rPr>
          <w:rFonts w:hint="eastAsia" w:ascii="宋体"/>
          <w:sz w:val="24"/>
          <w:lang w:val="en-US" w:eastAsia="zh-CN"/>
        </w:rPr>
        <w:t>中小</w:t>
      </w:r>
      <w:r>
        <w:rPr>
          <w:rFonts w:hint="eastAsia" w:ascii="宋体"/>
          <w:sz w:val="24"/>
          <w:lang w:val="zh-CN"/>
        </w:rPr>
        <w:t>企业声明函（制造商）》，</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rPr>
        <w:t>相应的</w:t>
      </w:r>
      <w:r>
        <w:rPr>
          <w:rFonts w:hint="eastAsia" w:ascii="宋体"/>
          <w:sz w:val="24"/>
        </w:rPr>
        <w:t>小微企业优惠政策。</w:t>
      </w:r>
      <w:r>
        <w:rPr>
          <w:rFonts w:hint="eastAsia" w:ascii="宋体"/>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具体优惠：对于小型微型企业产品的价格给予</w:t>
      </w:r>
      <w:r>
        <w:rPr>
          <w:rFonts w:hint="eastAsia" w:ascii="宋体"/>
          <w:sz w:val="24"/>
          <w:u w:val="single"/>
          <w:lang w:val="zh-CN"/>
        </w:rPr>
        <w:t xml:space="preserve"> </w:t>
      </w:r>
      <w:r>
        <w:rPr>
          <w:rFonts w:hint="eastAsia" w:ascii="宋体"/>
          <w:sz w:val="24"/>
          <w:u w:val="single"/>
        </w:rPr>
        <w:t>6</w:t>
      </w:r>
      <w:r>
        <w:rPr>
          <w:rFonts w:hint="eastAsia" w:ascii="宋体"/>
          <w:sz w:val="24"/>
          <w:u w:val="single"/>
          <w:lang w:val="zh-CN"/>
        </w:rPr>
        <w:t xml:space="preserve">  </w:t>
      </w:r>
      <w:r>
        <w:rPr>
          <w:rFonts w:hint="eastAsia" w:ascii="宋体"/>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sz w:val="24"/>
          <w:lang w:val="zh-CN"/>
        </w:rPr>
        <w:t>注：得分以系统计算为准，保留2位小数。</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4"/>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六、本次评分具体分值细化条款如下表：</w:t>
      </w:r>
    </w:p>
    <w:p>
      <w:pPr>
        <w:pStyle w:val="24"/>
        <w:ind w:firstLine="480" w:firstLineChars="200"/>
        <w:rPr>
          <w:rFonts w:hint="eastAsia" w:asciiTheme="minorEastAsia" w:hAnsiTheme="minorEastAsia" w:eastAsiaTheme="minorEastAsia"/>
          <w:sz w:val="24"/>
          <w:szCs w:val="24"/>
        </w:rPr>
      </w:pPr>
    </w:p>
    <w:p>
      <w:pPr>
        <w:pStyle w:val="24"/>
      </w:pPr>
    </w:p>
    <w:tbl>
      <w:tblPr>
        <w:tblStyle w:val="19"/>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353"/>
        <w:gridCol w:w="651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360" w:type="dxa"/>
            <w:tcBorders>
              <w:top w:val="single" w:color="auto" w:sz="4" w:space="0"/>
              <w:left w:val="single" w:color="auto" w:sz="4" w:space="0"/>
              <w:bottom w:val="single" w:color="auto" w:sz="4" w:space="0"/>
              <w:right w:val="single" w:color="auto" w:sz="4" w:space="0"/>
            </w:tcBorders>
            <w:shd w:val="clear" w:color="auto" w:fill="B3B3B3"/>
            <w:noWrap w:val="0"/>
            <w:vAlign w:val="center"/>
          </w:tcPr>
          <w:p>
            <w:pPr>
              <w:spacing w:line="36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打分项目</w:t>
            </w:r>
          </w:p>
        </w:tc>
        <w:tc>
          <w:tcPr>
            <w:tcW w:w="7872" w:type="dxa"/>
            <w:gridSpan w:val="2"/>
            <w:tcBorders>
              <w:top w:val="single" w:color="auto" w:sz="4" w:space="0"/>
              <w:left w:val="single" w:color="auto" w:sz="4" w:space="0"/>
              <w:bottom w:val="single" w:color="auto" w:sz="4" w:space="0"/>
              <w:right w:val="single" w:color="auto" w:sz="4" w:space="0"/>
            </w:tcBorders>
            <w:shd w:val="clear" w:color="auto" w:fill="B3B3B3"/>
            <w:noWrap w:val="0"/>
            <w:vAlign w:val="center"/>
          </w:tcPr>
          <w:p>
            <w:pPr>
              <w:spacing w:line="36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打分细则</w:t>
            </w:r>
          </w:p>
        </w:tc>
        <w:tc>
          <w:tcPr>
            <w:tcW w:w="777" w:type="dxa"/>
            <w:tcBorders>
              <w:top w:val="single" w:color="auto" w:sz="4" w:space="0"/>
              <w:left w:val="single" w:color="auto" w:sz="4" w:space="0"/>
              <w:bottom w:val="single" w:color="auto" w:sz="4" w:space="0"/>
              <w:right w:val="single" w:color="auto" w:sz="4" w:space="0"/>
            </w:tcBorders>
            <w:shd w:val="clear" w:color="auto" w:fill="B3B3B3"/>
            <w:noWrap w:val="0"/>
            <w:vAlign w:val="center"/>
          </w:tcPr>
          <w:p>
            <w:pPr>
              <w:spacing w:line="36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60" w:type="dxa"/>
            <w:vMerge w:val="restart"/>
            <w:tcBorders>
              <w:top w:val="single" w:color="auto" w:sz="4" w:space="0"/>
              <w:left w:val="single" w:color="auto" w:sz="4" w:space="0"/>
              <w:right w:val="single" w:color="auto" w:sz="4" w:space="0"/>
            </w:tcBorders>
            <w:noWrap w:val="0"/>
            <w:vAlign w:val="center"/>
          </w:tcPr>
          <w:p>
            <w:pPr>
              <w:pStyle w:val="9"/>
              <w:spacing w:line="360" w:lineRule="auto"/>
              <w:ind w:left="0" w:leftChars="0" w:firstLine="0" w:firstLineChars="0"/>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技术性能</w:t>
            </w:r>
            <w:r>
              <w:rPr>
                <w:rFonts w:hint="eastAsia" w:ascii="宋体" w:hAnsi="宋体" w:eastAsia="宋体" w:cs="宋体"/>
                <w:b/>
                <w:bCs/>
                <w:color w:val="000000"/>
                <w:sz w:val="21"/>
                <w:szCs w:val="21"/>
                <w:lang w:val="en-US" w:eastAsia="zh-CN"/>
              </w:rPr>
              <w:t>(42</w:t>
            </w:r>
            <w:r>
              <w:rPr>
                <w:rFonts w:hint="eastAsia" w:ascii="宋体" w:hAnsi="宋体" w:eastAsia="宋体" w:cs="宋体"/>
                <w:b/>
                <w:bCs/>
                <w:color w:val="000000"/>
                <w:sz w:val="21"/>
                <w:szCs w:val="21"/>
              </w:rPr>
              <w:t>分</w:t>
            </w:r>
            <w:r>
              <w:rPr>
                <w:rFonts w:hint="eastAsia" w:ascii="宋体" w:hAnsi="宋体" w:eastAsia="宋体" w:cs="宋体"/>
                <w:b/>
                <w:bCs/>
                <w:color w:val="000000"/>
                <w:sz w:val="21"/>
                <w:szCs w:val="21"/>
                <w:lang w:val="en-US" w:eastAsia="zh-CN"/>
              </w:rPr>
              <w:t>)</w:t>
            </w:r>
          </w:p>
        </w:tc>
        <w:tc>
          <w:tcPr>
            <w:tcW w:w="135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技术方案</w:t>
            </w:r>
          </w:p>
        </w:tc>
        <w:tc>
          <w:tcPr>
            <w:tcW w:w="6519" w:type="dxa"/>
            <w:tcBorders>
              <w:top w:val="single" w:color="auto" w:sz="4" w:space="0"/>
              <w:left w:val="single" w:color="auto" w:sz="4" w:space="0"/>
              <w:right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pacing w:val="-2"/>
                <w:sz w:val="21"/>
                <w:szCs w:val="21"/>
                <w:lang w:val="en-US" w:eastAsia="zh-CN"/>
              </w:rPr>
            </w:pPr>
            <w:r>
              <w:rPr>
                <w:rFonts w:hint="eastAsia" w:ascii="宋体" w:hAnsi="宋体" w:eastAsia="宋体" w:cs="宋体"/>
                <w:color w:val="000000"/>
                <w:spacing w:val="-2"/>
                <w:sz w:val="21"/>
                <w:szCs w:val="21"/>
              </w:rPr>
              <w:t>根据技术方案的完整性、先进性、可行性、安全性，拓展性和可靠性，以及今后升级扩容的意见建议，实施进度及需要的配件清单等进行综合评分：第一档5-4.1分，第二档4-3.1分，第三档3-2.1分，第四档2-1.1分，第五档1-0分</w:t>
            </w:r>
            <w:r>
              <w:rPr>
                <w:rFonts w:hint="eastAsia" w:ascii="宋体" w:hAnsi="宋体" w:eastAsia="宋体" w:cs="宋体"/>
                <w:color w:val="000000"/>
                <w:spacing w:val="-2"/>
                <w:sz w:val="21"/>
                <w:szCs w:val="21"/>
                <w:lang w:eastAsia="zh-CN"/>
              </w:rPr>
              <w:t>。</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000000"/>
                <w:sz w:val="21"/>
                <w:szCs w:val="21"/>
              </w:rPr>
            </w:pPr>
          </w:p>
        </w:tc>
        <w:tc>
          <w:tcPr>
            <w:tcW w:w="1353" w:type="dxa"/>
            <w:vMerge w:val="restar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综合性能</w:t>
            </w:r>
          </w:p>
        </w:tc>
        <w:tc>
          <w:tcPr>
            <w:tcW w:w="6519" w:type="dxa"/>
            <w:tcBorders>
              <w:top w:val="single" w:color="auto" w:sz="4" w:space="0"/>
              <w:left w:val="single" w:color="auto" w:sz="4" w:space="0"/>
              <w:right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pacing w:val="-2"/>
                <w:sz w:val="21"/>
                <w:szCs w:val="21"/>
              </w:rPr>
            </w:pPr>
            <w:r>
              <w:rPr>
                <w:rFonts w:hint="eastAsia" w:ascii="宋体" w:hAnsi="宋体" w:eastAsia="宋体" w:cs="宋体"/>
                <w:color w:val="0000FF"/>
                <w:spacing w:val="-2"/>
                <w:sz w:val="21"/>
                <w:szCs w:val="21"/>
                <w:lang w:val="en-US" w:eastAsia="zh-CN"/>
              </w:rPr>
              <w:t>根据所投设备的综合性能、技术参数的先进性、质量稳定性、安全性等综合评分，第一档12-9.7；第二档9.6-7.3；第三档7.2-4.9；第四档4.8-2.4，第五档2.3-0。</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auto"/>
                <w:sz w:val="21"/>
                <w:szCs w:val="21"/>
                <w:highlight w:val="yellow"/>
                <w:lang w:val="en-US" w:eastAsia="zh-CN"/>
              </w:rPr>
            </w:pPr>
            <w:r>
              <w:rPr>
                <w:rFonts w:hint="eastAsia" w:ascii="宋体" w:hAnsi="宋体" w:cs="宋体"/>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000000"/>
                <w:sz w:val="21"/>
                <w:szCs w:val="21"/>
              </w:rPr>
            </w:pPr>
          </w:p>
        </w:tc>
        <w:tc>
          <w:tcPr>
            <w:tcW w:w="135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kern w:val="0"/>
                <w:sz w:val="21"/>
                <w:szCs w:val="21"/>
              </w:rPr>
            </w:pPr>
          </w:p>
        </w:tc>
        <w:tc>
          <w:tcPr>
            <w:tcW w:w="6519" w:type="dxa"/>
            <w:tcBorders>
              <w:top w:val="single" w:color="auto" w:sz="4" w:space="0"/>
              <w:left w:val="single" w:color="auto" w:sz="4" w:space="0"/>
              <w:right w:val="single" w:color="auto" w:sz="4" w:space="0"/>
            </w:tcBorders>
            <w:noWrap w:val="0"/>
            <w:vAlign w:val="center"/>
          </w:tcPr>
          <w:p>
            <w:pPr>
              <w:pStyle w:val="26"/>
              <w:spacing w:line="360" w:lineRule="auto"/>
              <w:ind w:firstLine="412" w:firstLineChars="200"/>
              <w:rPr>
                <w:rFonts w:hint="eastAsia" w:ascii="宋体" w:hAnsi="宋体" w:eastAsia="宋体" w:cs="宋体"/>
                <w:sz w:val="21"/>
                <w:szCs w:val="21"/>
              </w:rPr>
            </w:pPr>
            <w:r>
              <w:rPr>
                <w:rFonts w:hint="eastAsia" w:ascii="宋体" w:hAnsi="宋体" w:eastAsia="宋体" w:cs="宋体"/>
                <w:color w:val="000000"/>
                <w:spacing w:val="-2"/>
                <w:sz w:val="21"/>
                <w:szCs w:val="21"/>
              </w:rPr>
              <w:t>投标设备所有技术参数均符合招标文件的要求的或正偏离的得</w:t>
            </w:r>
            <w:r>
              <w:rPr>
                <w:rFonts w:hint="eastAsia" w:ascii="宋体" w:hAnsi="宋体" w:eastAsia="宋体" w:cs="宋体"/>
                <w:color w:val="000000"/>
                <w:spacing w:val="-2"/>
                <w:sz w:val="21"/>
                <w:szCs w:val="21"/>
                <w:lang w:val="en-US" w:eastAsia="zh-CN"/>
              </w:rPr>
              <w:t>16</w:t>
            </w:r>
            <w:r>
              <w:rPr>
                <w:rFonts w:hint="eastAsia" w:ascii="宋体" w:hAnsi="宋体" w:eastAsia="宋体" w:cs="宋体"/>
                <w:color w:val="000000"/>
                <w:spacing w:val="-2"/>
                <w:sz w:val="21"/>
                <w:szCs w:val="21"/>
              </w:rPr>
              <w:t>分；</w:t>
            </w:r>
            <w:r>
              <w:rPr>
                <w:rFonts w:hint="eastAsia" w:ascii="宋体" w:hAnsi="宋体" w:eastAsia="宋体" w:cs="宋体"/>
                <w:color w:val="0000FF"/>
                <w:spacing w:val="-2"/>
                <w:sz w:val="21"/>
                <w:szCs w:val="21"/>
              </w:rPr>
              <w:t>“★”每负偏离一条扣</w:t>
            </w:r>
            <w:r>
              <w:rPr>
                <w:rFonts w:hint="eastAsia" w:ascii="宋体" w:hAnsi="宋体" w:eastAsia="宋体" w:cs="宋体"/>
                <w:color w:val="0000FF"/>
                <w:spacing w:val="-2"/>
                <w:sz w:val="21"/>
                <w:szCs w:val="21"/>
                <w:lang w:val="en-US" w:eastAsia="zh-CN"/>
              </w:rPr>
              <w:t>2</w:t>
            </w:r>
            <w:r>
              <w:rPr>
                <w:rFonts w:hint="eastAsia" w:ascii="宋体" w:hAnsi="宋体" w:eastAsia="宋体" w:cs="宋体"/>
                <w:color w:val="0000FF"/>
                <w:spacing w:val="-2"/>
                <w:sz w:val="21"/>
                <w:szCs w:val="21"/>
              </w:rPr>
              <w:t>分；其他每负偏离一项扣</w:t>
            </w:r>
            <w:r>
              <w:rPr>
                <w:rFonts w:hint="eastAsia" w:ascii="宋体" w:hAnsi="宋体" w:eastAsia="宋体" w:cs="宋体"/>
                <w:color w:val="0000FF"/>
                <w:spacing w:val="-2"/>
                <w:sz w:val="21"/>
                <w:szCs w:val="21"/>
                <w:lang w:val="en-US" w:eastAsia="zh-CN"/>
              </w:rPr>
              <w:t>1</w:t>
            </w:r>
            <w:r>
              <w:rPr>
                <w:rFonts w:hint="eastAsia" w:ascii="宋体" w:hAnsi="宋体" w:eastAsia="宋体" w:cs="宋体"/>
                <w:color w:val="0000FF"/>
                <w:spacing w:val="-2"/>
                <w:sz w:val="21"/>
                <w:szCs w:val="21"/>
              </w:rPr>
              <w:t>分。</w:t>
            </w:r>
          </w:p>
          <w:p>
            <w:pPr>
              <w:pStyle w:val="26"/>
              <w:widowControl w:val="0"/>
              <w:spacing w:line="360" w:lineRule="auto"/>
              <w:ind w:firstLine="412" w:firstLineChars="200"/>
              <w:jc w:val="both"/>
              <w:rPr>
                <w:rFonts w:hint="eastAsia" w:ascii="宋体" w:hAnsi="宋体" w:eastAsia="宋体" w:cs="宋体"/>
                <w:color w:val="000000"/>
                <w:spacing w:val="-2"/>
                <w:sz w:val="21"/>
                <w:szCs w:val="21"/>
              </w:rPr>
            </w:pPr>
            <w:r>
              <w:rPr>
                <w:rFonts w:hint="eastAsia" w:ascii="宋体" w:hAnsi="宋体" w:eastAsia="宋体" w:cs="宋体"/>
                <w:color w:val="000000"/>
                <w:spacing w:val="-2"/>
                <w:sz w:val="21"/>
                <w:szCs w:val="21"/>
              </w:rPr>
              <w:t>注：技术参数中要求提供相关部门检验报告或证明文件的，投标文件中必须按要求提供，否则视为技术参数负偏离。</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lang w:eastAsia="zh-CN"/>
              </w:rPr>
            </w:pPr>
            <w:r>
              <w:rPr>
                <w:rFonts w:hint="eastAsia" w:ascii="宋体" w:hAnsi="宋体" w:cs="宋体"/>
                <w:color w:val="0000FF"/>
                <w:sz w:val="21"/>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360"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000000"/>
                <w:sz w:val="21"/>
                <w:szCs w:val="21"/>
              </w:rPr>
            </w:pPr>
          </w:p>
        </w:tc>
        <w:tc>
          <w:tcPr>
            <w:tcW w:w="1353" w:type="dxa"/>
            <w:vMerge w:val="restart"/>
            <w:tcBorders>
              <w:right w:val="single" w:color="auto" w:sz="4" w:space="0"/>
            </w:tcBorders>
            <w:noWrap w:val="0"/>
            <w:vAlign w:val="center"/>
          </w:tcPr>
          <w:p>
            <w:pPr>
              <w:widowControl/>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实施方案</w:t>
            </w:r>
          </w:p>
        </w:tc>
        <w:tc>
          <w:tcPr>
            <w:tcW w:w="6519" w:type="dxa"/>
            <w:tcBorders>
              <w:right w:val="single" w:color="auto" w:sz="4" w:space="0"/>
            </w:tcBorders>
            <w:noWrap w:val="0"/>
            <w:vAlign w:val="center"/>
          </w:tcPr>
          <w:p>
            <w:pPr>
              <w:spacing w:line="360" w:lineRule="auto"/>
              <w:ind w:firstLine="412" w:firstLineChars="200"/>
              <w:rPr>
                <w:rFonts w:hint="eastAsia" w:ascii="宋体" w:hAnsi="宋体" w:eastAsia="宋体" w:cs="宋体"/>
                <w:color w:val="000000"/>
                <w:spacing w:val="-2"/>
                <w:sz w:val="21"/>
                <w:szCs w:val="21"/>
              </w:rPr>
            </w:pPr>
            <w:r>
              <w:rPr>
                <w:rFonts w:hint="eastAsia" w:ascii="宋体" w:hAnsi="宋体" w:eastAsia="宋体" w:cs="宋体"/>
                <w:color w:val="000000"/>
                <w:spacing w:val="-2"/>
                <w:sz w:val="21"/>
                <w:szCs w:val="21"/>
              </w:rPr>
              <w:t>投标人</w:t>
            </w:r>
            <w:r>
              <w:rPr>
                <w:rFonts w:hint="eastAsia" w:ascii="宋体" w:hAnsi="宋体" w:eastAsia="宋体" w:cs="宋体"/>
                <w:color w:val="000000"/>
                <w:spacing w:val="-2"/>
                <w:sz w:val="21"/>
                <w:szCs w:val="21"/>
                <w:lang w:val="en-US" w:eastAsia="zh-CN"/>
              </w:rPr>
              <w:t>根据客户需求及项目现场情况编制</w:t>
            </w:r>
            <w:r>
              <w:rPr>
                <w:rFonts w:hint="eastAsia" w:ascii="宋体" w:hAnsi="宋体" w:eastAsia="宋体" w:cs="宋体"/>
                <w:color w:val="000000"/>
                <w:spacing w:val="-2"/>
                <w:sz w:val="21"/>
                <w:szCs w:val="21"/>
              </w:rPr>
              <w:t>项目组织实施方案</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包括</w:t>
            </w:r>
            <w:r>
              <w:rPr>
                <w:rFonts w:hint="eastAsia" w:ascii="宋体" w:hAnsi="宋体" w:eastAsia="宋体" w:cs="宋体"/>
                <w:color w:val="000000"/>
                <w:spacing w:val="-2"/>
                <w:sz w:val="21"/>
                <w:szCs w:val="21"/>
              </w:rPr>
              <w:t>安装调试、原有系统扩容升级、试运行等</w:t>
            </w:r>
            <w:r>
              <w:rPr>
                <w:rFonts w:hint="eastAsia" w:ascii="宋体" w:hAnsi="宋体" w:eastAsia="宋体" w:cs="宋体"/>
                <w:color w:val="000000"/>
                <w:spacing w:val="-2"/>
                <w:sz w:val="21"/>
                <w:szCs w:val="21"/>
                <w:lang w:val="en-US" w:eastAsia="zh-CN"/>
              </w:rPr>
              <w:t>内容，根据方案</w:t>
            </w:r>
            <w:r>
              <w:rPr>
                <w:rFonts w:hint="eastAsia" w:ascii="宋体" w:hAnsi="宋体" w:eastAsia="宋体" w:cs="宋体"/>
                <w:color w:val="000000"/>
                <w:spacing w:val="-2"/>
                <w:sz w:val="21"/>
                <w:szCs w:val="21"/>
              </w:rPr>
              <w:t>的科学性、合理性、规范性和可操作性，进行综合评价打分</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第一档：6-4.1，第二档4-2.1，第三档2-0。</w:t>
            </w:r>
          </w:p>
        </w:tc>
        <w:tc>
          <w:tcPr>
            <w:tcW w:w="777"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60"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000000"/>
                <w:sz w:val="21"/>
                <w:szCs w:val="21"/>
              </w:rPr>
            </w:pPr>
          </w:p>
        </w:tc>
        <w:tc>
          <w:tcPr>
            <w:tcW w:w="1353" w:type="dxa"/>
            <w:vMerge w:val="continue"/>
            <w:tcBorders>
              <w:right w:val="single" w:color="auto" w:sz="4" w:space="0"/>
            </w:tcBorders>
            <w:noWrap w:val="0"/>
            <w:vAlign w:val="center"/>
          </w:tcPr>
          <w:p>
            <w:pPr>
              <w:widowControl/>
              <w:spacing w:line="360" w:lineRule="auto"/>
              <w:jc w:val="center"/>
              <w:rPr>
                <w:rFonts w:hint="eastAsia" w:ascii="宋体" w:hAnsi="宋体" w:eastAsia="宋体" w:cs="宋体"/>
                <w:b/>
                <w:bCs/>
                <w:color w:val="000000"/>
                <w:sz w:val="21"/>
                <w:szCs w:val="21"/>
              </w:rPr>
            </w:pPr>
          </w:p>
        </w:tc>
        <w:tc>
          <w:tcPr>
            <w:tcW w:w="6519" w:type="dxa"/>
            <w:tcBorders>
              <w:right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pacing w:val="-2"/>
                <w:sz w:val="21"/>
                <w:szCs w:val="21"/>
              </w:rPr>
            </w:pPr>
            <w:r>
              <w:rPr>
                <w:rFonts w:hint="eastAsia" w:ascii="宋体" w:hAnsi="宋体" w:eastAsia="宋体" w:cs="宋体"/>
                <w:color w:val="000000"/>
                <w:spacing w:val="-2"/>
                <w:sz w:val="21"/>
                <w:szCs w:val="21"/>
                <w:lang w:val="en-US" w:eastAsia="zh-CN"/>
              </w:rPr>
              <w:t>根据</w:t>
            </w:r>
            <w:r>
              <w:rPr>
                <w:rFonts w:hint="eastAsia" w:ascii="宋体" w:hAnsi="宋体" w:eastAsia="宋体" w:cs="宋体"/>
                <w:color w:val="000000"/>
                <w:spacing w:val="-2"/>
                <w:sz w:val="21"/>
                <w:szCs w:val="21"/>
              </w:rPr>
              <w:t>投标人对本项目安排的项目管理制度及措施、测试和验收方案（应完全满足软件运行的环境要求）进行</w:t>
            </w:r>
            <w:r>
              <w:rPr>
                <w:rFonts w:hint="eastAsia" w:ascii="宋体" w:hAnsi="宋体" w:eastAsia="宋体" w:cs="宋体"/>
                <w:color w:val="000000"/>
                <w:spacing w:val="-2"/>
                <w:sz w:val="21"/>
                <w:szCs w:val="21"/>
                <w:lang w:val="en-US" w:eastAsia="zh-CN"/>
              </w:rPr>
              <w:t>分档</w:t>
            </w:r>
            <w:r>
              <w:rPr>
                <w:rFonts w:hint="eastAsia" w:ascii="宋体" w:hAnsi="宋体" w:eastAsia="宋体" w:cs="宋体"/>
                <w:color w:val="000000"/>
                <w:spacing w:val="-2"/>
                <w:sz w:val="21"/>
                <w:szCs w:val="21"/>
              </w:rPr>
              <w:t>打分，</w:t>
            </w:r>
            <w:r>
              <w:rPr>
                <w:rFonts w:hint="eastAsia" w:ascii="宋体" w:hAnsi="宋体" w:eastAsia="宋体" w:cs="宋体"/>
                <w:color w:val="000000"/>
                <w:spacing w:val="-2"/>
                <w:sz w:val="21"/>
                <w:szCs w:val="21"/>
                <w:lang w:val="en-US" w:eastAsia="zh-CN"/>
              </w:rPr>
              <w:t>第一档：3-2.1，第二档2-1.1，第三档1-0</w:t>
            </w:r>
            <w:r>
              <w:rPr>
                <w:rFonts w:hint="eastAsia" w:ascii="宋体" w:hAnsi="宋体" w:eastAsia="宋体" w:cs="宋体"/>
                <w:color w:val="000000"/>
                <w:spacing w:val="-2"/>
                <w:sz w:val="21"/>
                <w:szCs w:val="21"/>
              </w:rPr>
              <w:t>。</w:t>
            </w:r>
          </w:p>
        </w:tc>
        <w:tc>
          <w:tcPr>
            <w:tcW w:w="777"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0" w:type="dxa"/>
            <w:vMerge w:val="restart"/>
            <w:tcBorders>
              <w:left w:val="single" w:color="auto" w:sz="4" w:space="0"/>
              <w:right w:val="single" w:color="auto" w:sz="4" w:space="0"/>
            </w:tcBorders>
            <w:noWrap w:val="0"/>
            <w:vAlign w:val="center"/>
          </w:tcPr>
          <w:p>
            <w:pPr>
              <w:pStyle w:val="9"/>
              <w:spacing w:line="360" w:lineRule="auto"/>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实力信誉</w:t>
            </w:r>
          </w:p>
          <w:p>
            <w:pPr>
              <w:pStyle w:val="9"/>
              <w:spacing w:line="360" w:lineRule="auto"/>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及业绩</w:t>
            </w:r>
          </w:p>
          <w:p>
            <w:pPr>
              <w:pStyle w:val="9"/>
              <w:spacing w:line="360" w:lineRule="auto"/>
              <w:ind w:left="0" w:leftChars="0" w:firstLine="0" w:firstLineChars="0"/>
              <w:jc w:val="center"/>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w:t>
            </w:r>
            <w:r>
              <w:rPr>
                <w:rFonts w:hint="eastAsia" w:ascii="宋体" w:hAnsi="宋体" w:eastAsia="宋体" w:cs="宋体"/>
                <w:b/>
                <w:bCs/>
                <w:color w:val="auto"/>
                <w:kern w:val="0"/>
                <w:sz w:val="21"/>
                <w:szCs w:val="21"/>
              </w:rPr>
              <w:t>17分</w:t>
            </w:r>
            <w:r>
              <w:rPr>
                <w:rFonts w:hint="eastAsia" w:ascii="宋体" w:hAnsi="宋体" w:eastAsia="宋体" w:cs="宋体"/>
                <w:b/>
                <w:bCs/>
                <w:color w:val="auto"/>
                <w:kern w:val="0"/>
                <w:sz w:val="21"/>
                <w:szCs w:val="21"/>
                <w:lang w:val="en-US" w:eastAsia="zh-CN"/>
              </w:rPr>
              <w:t>)</w:t>
            </w:r>
          </w:p>
        </w:tc>
        <w:tc>
          <w:tcPr>
            <w:tcW w:w="1353"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供应商实力</w:t>
            </w:r>
          </w:p>
        </w:tc>
        <w:tc>
          <w:tcPr>
            <w:tcW w:w="6519" w:type="dxa"/>
            <w:tcBorders>
              <w:top w:val="single" w:color="auto" w:sz="4" w:space="0"/>
              <w:left w:val="single" w:color="auto" w:sz="4" w:space="0"/>
              <w:bottom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z w:val="21"/>
                <w:szCs w:val="21"/>
              </w:rPr>
            </w:pPr>
            <w:r>
              <w:rPr>
                <w:rFonts w:hint="eastAsia" w:ascii="宋体" w:hAnsi="宋体" w:eastAsia="宋体" w:cs="宋体"/>
                <w:color w:val="000000"/>
                <w:spacing w:val="-2"/>
                <w:sz w:val="21"/>
                <w:szCs w:val="21"/>
              </w:rPr>
              <w:t>根据</w:t>
            </w:r>
            <w:r>
              <w:rPr>
                <w:rFonts w:hint="eastAsia" w:ascii="宋体" w:hAnsi="宋体" w:eastAsia="宋体" w:cs="宋体"/>
                <w:color w:val="000000"/>
                <w:spacing w:val="-2"/>
                <w:sz w:val="21"/>
                <w:szCs w:val="21"/>
                <w:lang w:val="en-US" w:eastAsia="zh-CN"/>
              </w:rPr>
              <w:t>投标人</w:t>
            </w:r>
            <w:r>
              <w:rPr>
                <w:rFonts w:hint="eastAsia" w:ascii="宋体" w:hAnsi="宋体" w:eastAsia="宋体" w:cs="宋体"/>
                <w:color w:val="000000"/>
                <w:spacing w:val="-2"/>
                <w:sz w:val="21"/>
                <w:szCs w:val="21"/>
              </w:rPr>
              <w:t>的企业经营情况（包括财务状况、履约能力等）进行打分。</w:t>
            </w:r>
            <w:r>
              <w:rPr>
                <w:rFonts w:hint="eastAsia" w:ascii="宋体" w:hAnsi="宋体" w:eastAsia="宋体" w:cs="宋体"/>
                <w:color w:val="000000"/>
                <w:kern w:val="2"/>
                <w:sz w:val="21"/>
                <w:szCs w:val="21"/>
              </w:rPr>
              <w:t>（需提供上一年的财务报表）</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1"/>
                <w:szCs w:val="21"/>
              </w:rPr>
            </w:pPr>
          </w:p>
        </w:tc>
        <w:tc>
          <w:tcPr>
            <w:tcW w:w="1353"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供应商信誉</w:t>
            </w:r>
          </w:p>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（客观分）</w:t>
            </w:r>
          </w:p>
        </w:tc>
        <w:tc>
          <w:tcPr>
            <w:tcW w:w="6519" w:type="dxa"/>
            <w:tcBorders>
              <w:top w:val="single" w:color="auto" w:sz="4" w:space="0"/>
              <w:left w:val="single" w:color="auto" w:sz="4" w:space="0"/>
              <w:bottom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z w:val="21"/>
                <w:szCs w:val="21"/>
              </w:rPr>
            </w:pPr>
            <w:r>
              <w:rPr>
                <w:rFonts w:hint="eastAsia" w:ascii="宋体" w:hAnsi="宋体" w:eastAsia="宋体" w:cs="宋体"/>
                <w:color w:val="000000"/>
                <w:spacing w:val="-2"/>
                <w:sz w:val="21"/>
                <w:szCs w:val="21"/>
              </w:rPr>
              <w:t>投标人具有</w:t>
            </w:r>
            <w:r>
              <w:rPr>
                <w:rFonts w:hint="eastAsia" w:ascii="宋体" w:hAnsi="宋体" w:eastAsia="宋体" w:cs="宋体"/>
                <w:b w:val="0"/>
                <w:bCs w:val="0"/>
                <w:color w:val="auto"/>
                <w:spacing w:val="-2"/>
                <w:sz w:val="21"/>
                <w:szCs w:val="21"/>
                <w:lang w:val="en-US" w:eastAsia="zh-CN"/>
              </w:rPr>
              <w:t>ISO9001</w:t>
            </w:r>
            <w:r>
              <w:rPr>
                <w:rFonts w:hint="eastAsia" w:ascii="宋体" w:hAnsi="宋体" w:eastAsia="宋体" w:cs="宋体"/>
                <w:color w:val="000000"/>
                <w:spacing w:val="-2"/>
                <w:sz w:val="21"/>
                <w:szCs w:val="21"/>
              </w:rPr>
              <w:t>质量管理体系、</w:t>
            </w:r>
            <w:r>
              <w:rPr>
                <w:rFonts w:hint="eastAsia" w:ascii="宋体" w:hAnsi="宋体" w:eastAsia="宋体" w:cs="宋体"/>
                <w:b w:val="0"/>
                <w:bCs w:val="0"/>
                <w:color w:val="0000FF"/>
                <w:spacing w:val="-2"/>
                <w:sz w:val="21"/>
                <w:szCs w:val="21"/>
                <w:lang w:val="en-US" w:eastAsia="zh-CN"/>
              </w:rPr>
              <w:t>ISO27001信息安全管理体系认证证书的</w:t>
            </w:r>
            <w:r>
              <w:rPr>
                <w:rFonts w:hint="eastAsia" w:ascii="宋体" w:hAnsi="宋体" w:eastAsia="宋体" w:cs="宋体"/>
                <w:color w:val="000000"/>
                <w:spacing w:val="-2"/>
                <w:sz w:val="21"/>
                <w:szCs w:val="21"/>
              </w:rPr>
              <w:t>，每一个得1分，最高得2分。</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1"/>
                <w:szCs w:val="21"/>
              </w:rPr>
            </w:pPr>
          </w:p>
        </w:tc>
        <w:tc>
          <w:tcPr>
            <w:tcW w:w="1353"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项目团队</w:t>
            </w:r>
          </w:p>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能力</w:t>
            </w:r>
          </w:p>
        </w:tc>
        <w:tc>
          <w:tcPr>
            <w:tcW w:w="6519" w:type="dxa"/>
            <w:tcBorders>
              <w:top w:val="single" w:color="auto" w:sz="4" w:space="0"/>
              <w:left w:val="single" w:color="auto" w:sz="4" w:space="0"/>
              <w:bottom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pacing w:val="-2"/>
                <w:sz w:val="21"/>
                <w:szCs w:val="21"/>
              </w:rPr>
            </w:pPr>
            <w:r>
              <w:rPr>
                <w:rFonts w:hint="eastAsia" w:ascii="宋体" w:hAnsi="宋体" w:eastAsia="宋体" w:cs="宋体"/>
                <w:color w:val="000000"/>
                <w:spacing w:val="-2"/>
                <w:sz w:val="21"/>
                <w:szCs w:val="21"/>
              </w:rPr>
              <w:t>项目负责人具备与本项目相适应的资质类别:项目管理类、网络工程类，具备一个类别证书得1分，最高得2分。</w:t>
            </w:r>
          </w:p>
          <w:p>
            <w:pPr>
              <w:pStyle w:val="26"/>
              <w:widowControl w:val="0"/>
              <w:spacing w:line="360" w:lineRule="auto"/>
              <w:jc w:val="both"/>
              <w:rPr>
                <w:rFonts w:hint="eastAsia" w:ascii="宋体" w:hAnsi="宋体" w:eastAsia="宋体" w:cs="宋体"/>
                <w:color w:val="000000"/>
                <w:spacing w:val="-2"/>
                <w:sz w:val="21"/>
                <w:szCs w:val="21"/>
              </w:rPr>
            </w:pPr>
            <w:r>
              <w:rPr>
                <w:rFonts w:hint="eastAsia" w:ascii="宋体" w:hAnsi="宋体" w:eastAsia="宋体" w:cs="宋体"/>
                <w:b/>
                <w:bCs/>
                <w:color w:val="auto"/>
                <w:sz w:val="21"/>
                <w:szCs w:val="21"/>
              </w:rPr>
              <w:t>需要提供相关证书扫描件，对应人员在</w:t>
            </w:r>
            <w:r>
              <w:rPr>
                <w:rFonts w:hint="eastAsia" w:ascii="宋体" w:hAnsi="宋体" w:eastAsia="宋体" w:cs="宋体"/>
                <w:b/>
                <w:bCs/>
                <w:color w:val="auto"/>
                <w:sz w:val="21"/>
                <w:szCs w:val="21"/>
                <w:lang w:eastAsia="zh-CN"/>
              </w:rPr>
              <w:t>投标人</w:t>
            </w:r>
            <w:r>
              <w:rPr>
                <w:rFonts w:hint="eastAsia" w:ascii="宋体" w:hAnsi="宋体" w:eastAsia="宋体" w:cs="宋体"/>
                <w:b/>
                <w:bCs/>
                <w:color w:val="auto"/>
                <w:sz w:val="21"/>
                <w:szCs w:val="21"/>
              </w:rPr>
              <w:t>单位近</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个月</w:t>
            </w:r>
            <w:r>
              <w:rPr>
                <w:rFonts w:hint="eastAsia" w:ascii="宋体" w:hAnsi="宋体" w:eastAsia="宋体" w:cs="宋体"/>
                <w:b/>
                <w:bCs/>
                <w:color w:val="auto"/>
                <w:sz w:val="21"/>
                <w:szCs w:val="21"/>
                <w:lang w:val="en-US" w:eastAsia="zh-CN"/>
              </w:rPr>
              <w:t>及以上</w:t>
            </w:r>
            <w:r>
              <w:rPr>
                <w:rFonts w:hint="eastAsia" w:ascii="宋体" w:hAnsi="宋体" w:eastAsia="宋体" w:cs="宋体"/>
                <w:b/>
                <w:bCs/>
                <w:color w:val="auto"/>
                <w:sz w:val="21"/>
                <w:szCs w:val="21"/>
              </w:rPr>
              <w:t>的社保证明（截止开标之日起）。</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1"/>
                <w:szCs w:val="21"/>
              </w:rPr>
            </w:pPr>
          </w:p>
        </w:tc>
        <w:tc>
          <w:tcPr>
            <w:tcW w:w="1353" w:type="dxa"/>
            <w:vMerge w:val="continue"/>
            <w:tcBorders>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rPr>
            </w:pPr>
          </w:p>
        </w:tc>
        <w:tc>
          <w:tcPr>
            <w:tcW w:w="6519" w:type="dxa"/>
            <w:tcBorders>
              <w:top w:val="single" w:color="auto" w:sz="4" w:space="0"/>
              <w:left w:val="single" w:color="auto" w:sz="4" w:space="0"/>
              <w:bottom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pacing w:val="-2"/>
                <w:sz w:val="21"/>
                <w:szCs w:val="21"/>
              </w:rPr>
            </w:pPr>
            <w:r>
              <w:rPr>
                <w:rFonts w:hint="eastAsia" w:ascii="宋体" w:hAnsi="宋体" w:eastAsia="宋体" w:cs="宋体"/>
                <w:color w:val="000000"/>
                <w:spacing w:val="-2"/>
                <w:sz w:val="21"/>
                <w:szCs w:val="21"/>
              </w:rPr>
              <w:t>项目实施团队成员具备与本项目相适应或高于的资质证书（包括但不限于以下），如应具备信息系统项目管理师、PMP、信息安全规划师、CISP、网络工程师、ITIL、H3CSCE等认证，每有1个团队成员具备其中1项认证证书的得1分，最</w:t>
            </w:r>
            <w:r>
              <w:rPr>
                <w:rFonts w:hint="eastAsia" w:ascii="宋体" w:hAnsi="宋体" w:eastAsia="宋体" w:cs="宋体"/>
                <w:color w:val="000000"/>
                <w:spacing w:val="-2"/>
                <w:sz w:val="21"/>
                <w:szCs w:val="21"/>
                <w:lang w:val="en-US" w:eastAsia="zh-CN"/>
              </w:rPr>
              <w:t>高得</w:t>
            </w:r>
            <w:r>
              <w:rPr>
                <w:rFonts w:hint="eastAsia" w:ascii="宋体" w:hAnsi="宋体" w:eastAsia="宋体" w:cs="宋体"/>
                <w:color w:val="000000"/>
                <w:spacing w:val="-2"/>
                <w:sz w:val="21"/>
                <w:szCs w:val="21"/>
              </w:rPr>
              <w:t>6分。</w:t>
            </w:r>
          </w:p>
          <w:p>
            <w:pPr>
              <w:pStyle w:val="26"/>
              <w:widowControl w:val="0"/>
              <w:spacing w:line="360" w:lineRule="auto"/>
              <w:jc w:val="both"/>
              <w:rPr>
                <w:rFonts w:hint="eastAsia" w:ascii="宋体" w:hAnsi="宋体" w:eastAsia="宋体" w:cs="宋体"/>
                <w:color w:val="000000"/>
                <w:spacing w:val="-2"/>
                <w:sz w:val="21"/>
                <w:szCs w:val="21"/>
              </w:rPr>
            </w:pPr>
            <w:r>
              <w:rPr>
                <w:rFonts w:hint="eastAsia" w:ascii="宋体" w:hAnsi="宋体" w:eastAsia="宋体" w:cs="宋体"/>
                <w:b/>
                <w:bCs/>
                <w:color w:val="auto"/>
                <w:sz w:val="21"/>
                <w:szCs w:val="21"/>
              </w:rPr>
              <w:t>需要提供相关证书扫描件，对应人员在</w:t>
            </w:r>
            <w:r>
              <w:rPr>
                <w:rFonts w:hint="eastAsia" w:ascii="宋体" w:hAnsi="宋体" w:eastAsia="宋体" w:cs="宋体"/>
                <w:b/>
                <w:bCs/>
                <w:color w:val="auto"/>
                <w:sz w:val="21"/>
                <w:szCs w:val="21"/>
                <w:lang w:eastAsia="zh-CN"/>
              </w:rPr>
              <w:t>投标人</w:t>
            </w:r>
            <w:r>
              <w:rPr>
                <w:rFonts w:hint="eastAsia" w:ascii="宋体" w:hAnsi="宋体" w:eastAsia="宋体" w:cs="宋体"/>
                <w:b/>
                <w:bCs/>
                <w:color w:val="auto"/>
                <w:sz w:val="21"/>
                <w:szCs w:val="21"/>
              </w:rPr>
              <w:t>单位近</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个月</w:t>
            </w:r>
            <w:r>
              <w:rPr>
                <w:rFonts w:hint="eastAsia" w:ascii="宋体" w:hAnsi="宋体" w:eastAsia="宋体" w:cs="宋体"/>
                <w:b/>
                <w:bCs/>
                <w:color w:val="auto"/>
                <w:sz w:val="21"/>
                <w:szCs w:val="21"/>
                <w:lang w:val="en-US" w:eastAsia="zh-CN"/>
              </w:rPr>
              <w:t>及以上</w:t>
            </w:r>
            <w:r>
              <w:rPr>
                <w:rFonts w:hint="eastAsia" w:ascii="宋体" w:hAnsi="宋体" w:eastAsia="宋体" w:cs="宋体"/>
                <w:b/>
                <w:bCs/>
                <w:color w:val="auto"/>
                <w:sz w:val="21"/>
                <w:szCs w:val="21"/>
              </w:rPr>
              <w:t>的社保证明（截止开标之日起）。</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1"/>
                <w:szCs w:val="21"/>
              </w:rPr>
            </w:pPr>
          </w:p>
        </w:tc>
        <w:tc>
          <w:tcPr>
            <w:tcW w:w="1353"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项目业绩</w:t>
            </w:r>
          </w:p>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（客观分）</w:t>
            </w:r>
          </w:p>
        </w:tc>
        <w:tc>
          <w:tcPr>
            <w:tcW w:w="6519" w:type="dxa"/>
            <w:tcBorders>
              <w:top w:val="single" w:color="auto" w:sz="4" w:space="0"/>
              <w:left w:val="single" w:color="auto" w:sz="4" w:space="0"/>
              <w:bottom w:val="single" w:color="auto" w:sz="4" w:space="0"/>
            </w:tcBorders>
            <w:noWrap w:val="0"/>
            <w:vAlign w:val="center"/>
          </w:tcPr>
          <w:p>
            <w:pPr>
              <w:pStyle w:val="26"/>
              <w:widowControl w:val="0"/>
              <w:spacing w:line="360" w:lineRule="auto"/>
              <w:ind w:firstLine="420" w:firstLineChars="200"/>
              <w:jc w:val="both"/>
              <w:rPr>
                <w:rFonts w:hint="eastAsia" w:ascii="宋体" w:hAnsi="宋体" w:eastAsia="宋体" w:cs="宋体"/>
                <w:color w:val="000000"/>
                <w:sz w:val="21"/>
                <w:szCs w:val="21"/>
              </w:rPr>
            </w:pPr>
            <w:r>
              <w:rPr>
                <w:rFonts w:hint="eastAsia" w:ascii="宋体" w:hAnsi="宋体" w:eastAsia="宋体" w:cs="宋体"/>
                <w:color w:val="000000"/>
                <w:sz w:val="21"/>
                <w:szCs w:val="21"/>
              </w:rPr>
              <w:t>根据投标投标人提供的自</w:t>
            </w:r>
            <w:r>
              <w:rPr>
                <w:rFonts w:hint="eastAsia" w:ascii="宋体" w:hAnsi="宋体" w:eastAsia="宋体" w:cs="宋体"/>
                <w:color w:val="0000FF"/>
                <w:sz w:val="21"/>
                <w:szCs w:val="21"/>
              </w:rPr>
              <w:t>20</w:t>
            </w:r>
            <w:r>
              <w:rPr>
                <w:rFonts w:hint="eastAsia" w:ascii="宋体" w:hAnsi="宋体" w:eastAsia="宋体" w:cs="宋体"/>
                <w:color w:val="0000FF"/>
                <w:sz w:val="21"/>
                <w:szCs w:val="21"/>
                <w:lang w:val="en-US" w:eastAsia="zh-CN"/>
              </w:rPr>
              <w:t>18</w:t>
            </w:r>
            <w:r>
              <w:rPr>
                <w:rFonts w:hint="eastAsia" w:ascii="宋体" w:hAnsi="宋体" w:eastAsia="宋体" w:cs="宋体"/>
                <w:color w:val="0000FF"/>
                <w:sz w:val="21"/>
                <w:szCs w:val="21"/>
              </w:rPr>
              <w:t>年1月</w:t>
            </w:r>
            <w:r>
              <w:rPr>
                <w:rFonts w:hint="eastAsia" w:ascii="宋体" w:hAnsi="宋体" w:eastAsia="宋体" w:cs="宋体"/>
                <w:color w:val="000000"/>
                <w:sz w:val="21"/>
                <w:szCs w:val="21"/>
              </w:rPr>
              <w:t>（以合同签订时间为准）至今的同类项目业绩，每提供一个合同得1分，最高得5分，需提供合同复印件。</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360" w:type="dxa"/>
            <w:vMerge w:val="restart"/>
            <w:tcBorders>
              <w:left w:val="single" w:color="auto" w:sz="4" w:space="0"/>
              <w:right w:val="single" w:color="auto" w:sz="4" w:space="0"/>
            </w:tcBorders>
            <w:noWrap w:val="0"/>
            <w:vAlign w:val="center"/>
          </w:tcPr>
          <w:p>
            <w:pPr>
              <w:pStyle w:val="9"/>
              <w:spacing w:line="360" w:lineRule="auto"/>
              <w:ind w:left="0" w:leftChars="0" w:firstLine="0" w:firstLine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售后服务</w:t>
            </w:r>
          </w:p>
          <w:p>
            <w:pPr>
              <w:pStyle w:val="9"/>
              <w:spacing w:line="360" w:lineRule="auto"/>
              <w:ind w:left="0" w:leftChars="0" w:firstLine="0" w:firstLine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承诺</w:t>
            </w:r>
          </w:p>
          <w:p>
            <w:pPr>
              <w:pStyle w:val="9"/>
              <w:spacing w:line="360" w:lineRule="auto"/>
              <w:ind w:left="0" w:leftChars="0" w:firstLine="0" w:firstLineChars="0"/>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(9</w:t>
            </w:r>
            <w:r>
              <w:rPr>
                <w:rFonts w:hint="eastAsia" w:ascii="宋体" w:hAnsi="宋体" w:eastAsia="宋体" w:cs="宋体"/>
                <w:b/>
                <w:bCs/>
                <w:color w:val="000000"/>
                <w:sz w:val="21"/>
                <w:szCs w:val="21"/>
              </w:rPr>
              <w:t>分</w:t>
            </w:r>
            <w:r>
              <w:rPr>
                <w:rFonts w:hint="eastAsia" w:ascii="宋体" w:hAnsi="宋体" w:eastAsia="宋体" w:cs="宋体"/>
                <w:b/>
                <w:bCs/>
                <w:color w:val="000000"/>
                <w:sz w:val="21"/>
                <w:szCs w:val="21"/>
                <w:lang w:val="en-US" w:eastAsia="zh-CN"/>
              </w:rPr>
              <w:t>)</w:t>
            </w:r>
          </w:p>
        </w:tc>
        <w:tc>
          <w:tcPr>
            <w:tcW w:w="1353"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b/>
                <w:color w:val="000000"/>
                <w:kern w:val="0"/>
                <w:sz w:val="21"/>
                <w:szCs w:val="21"/>
              </w:rPr>
              <w:t>服务方案</w:t>
            </w:r>
          </w:p>
        </w:tc>
        <w:tc>
          <w:tcPr>
            <w:tcW w:w="6519" w:type="dxa"/>
            <w:tcBorders>
              <w:top w:val="single" w:color="auto" w:sz="4" w:space="0"/>
              <w:left w:val="single" w:color="auto" w:sz="4" w:space="0"/>
              <w:bottom w:val="single" w:color="auto" w:sz="4" w:space="0"/>
            </w:tcBorders>
            <w:noWrap w:val="0"/>
            <w:vAlign w:val="top"/>
          </w:tcPr>
          <w:p>
            <w:pPr>
              <w:pStyle w:val="26"/>
              <w:widowControl w:val="0"/>
              <w:spacing w:line="360" w:lineRule="auto"/>
              <w:ind w:firstLine="420" w:firstLineChars="200"/>
              <w:jc w:val="both"/>
              <w:rPr>
                <w:rFonts w:hint="eastAsia" w:ascii="宋体" w:hAnsi="宋体" w:eastAsia="宋体" w:cs="宋体"/>
                <w:color w:val="000000"/>
                <w:sz w:val="21"/>
                <w:szCs w:val="21"/>
              </w:rPr>
            </w:pPr>
            <w:r>
              <w:rPr>
                <w:rFonts w:hint="eastAsia" w:ascii="宋体" w:hAnsi="宋体" w:eastAsia="宋体" w:cs="宋体"/>
                <w:color w:val="0000FF"/>
                <w:sz w:val="21"/>
                <w:szCs w:val="21"/>
              </w:rPr>
              <w:t>根据投标</w:t>
            </w:r>
            <w:r>
              <w:rPr>
                <w:rFonts w:hint="eastAsia" w:ascii="宋体" w:hAnsi="宋体" w:eastAsia="宋体" w:cs="宋体"/>
                <w:color w:val="0000FF"/>
                <w:sz w:val="21"/>
                <w:szCs w:val="21"/>
                <w:lang w:val="en-US" w:eastAsia="zh-CN"/>
              </w:rPr>
              <w:t>人</w:t>
            </w:r>
            <w:r>
              <w:rPr>
                <w:rFonts w:hint="eastAsia" w:ascii="宋体" w:hAnsi="宋体" w:eastAsia="宋体" w:cs="宋体"/>
                <w:color w:val="0000FF"/>
                <w:sz w:val="21"/>
                <w:szCs w:val="21"/>
              </w:rPr>
              <w:t>的售后技术服务方案</w:t>
            </w:r>
            <w:r>
              <w:rPr>
                <w:rFonts w:hint="eastAsia" w:ascii="宋体" w:hAnsi="宋体" w:eastAsia="宋体" w:cs="宋体"/>
                <w:color w:val="0000FF"/>
                <w:sz w:val="21"/>
                <w:szCs w:val="21"/>
                <w:lang w:val="en-US" w:eastAsia="zh-CN"/>
              </w:rPr>
              <w:t>及</w:t>
            </w:r>
            <w:r>
              <w:rPr>
                <w:rFonts w:hint="eastAsia" w:ascii="宋体" w:hAnsi="宋体" w:eastAsia="宋体" w:cs="宋体"/>
                <w:color w:val="0000FF"/>
                <w:sz w:val="21"/>
                <w:szCs w:val="21"/>
              </w:rPr>
              <w:t>本地化服务能力</w:t>
            </w:r>
            <w:r>
              <w:rPr>
                <w:rFonts w:hint="eastAsia" w:ascii="宋体" w:hAnsi="宋体" w:eastAsia="宋体" w:cs="宋体"/>
                <w:color w:val="000000"/>
                <w:sz w:val="21"/>
                <w:szCs w:val="21"/>
              </w:rPr>
              <w:t>进行酌情打分，包括</w:t>
            </w:r>
            <w:r>
              <w:rPr>
                <w:rFonts w:hint="eastAsia" w:ascii="宋体" w:hAnsi="宋体" w:eastAsia="宋体" w:cs="宋体"/>
                <w:color w:val="000000"/>
                <w:sz w:val="21"/>
                <w:szCs w:val="21"/>
                <w:lang w:val="en-US" w:eastAsia="zh-CN"/>
              </w:rPr>
              <w:t>投标人</w:t>
            </w:r>
            <w:r>
              <w:rPr>
                <w:rFonts w:hint="eastAsia" w:ascii="宋体" w:hAnsi="宋体" w:eastAsia="宋体" w:cs="宋体"/>
                <w:color w:val="000000"/>
                <w:sz w:val="21"/>
                <w:szCs w:val="21"/>
              </w:rPr>
              <w:t>本地综合服务支撑方案</w:t>
            </w:r>
            <w:r>
              <w:rPr>
                <w:rFonts w:hint="eastAsia" w:ascii="宋体" w:hAnsi="宋体" w:eastAsia="宋体" w:cs="宋体"/>
                <w:color w:val="000000"/>
                <w:sz w:val="21"/>
                <w:szCs w:val="21"/>
                <w:lang w:val="en-US" w:eastAsia="zh-CN"/>
              </w:rPr>
              <w:t>等分档打分，</w:t>
            </w:r>
            <w:r>
              <w:rPr>
                <w:rFonts w:hint="eastAsia" w:ascii="宋体" w:hAnsi="宋体" w:eastAsia="宋体" w:cs="宋体"/>
                <w:color w:val="000000"/>
                <w:sz w:val="21"/>
                <w:szCs w:val="21"/>
              </w:rPr>
              <w:t>第一档4-3.1分，第二档3-2.1分，第三档2-1.1分，第四档1-0分。</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000000"/>
                <w:sz w:val="21"/>
                <w:szCs w:val="21"/>
              </w:rPr>
            </w:pPr>
          </w:p>
        </w:tc>
        <w:tc>
          <w:tcPr>
            <w:tcW w:w="1353" w:type="dxa"/>
            <w:vMerge w:val="continue"/>
            <w:tcBorders>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p>
        </w:tc>
        <w:tc>
          <w:tcPr>
            <w:tcW w:w="6519" w:type="dxa"/>
            <w:tcBorders>
              <w:top w:val="single" w:color="auto" w:sz="4" w:space="0"/>
              <w:left w:val="single" w:color="auto" w:sz="4" w:space="0"/>
              <w:bottom w:val="single" w:color="auto" w:sz="4" w:space="0"/>
            </w:tcBorders>
            <w:noWrap w:val="0"/>
            <w:vAlign w:val="top"/>
          </w:tcPr>
          <w:p>
            <w:pPr>
              <w:pStyle w:val="26"/>
              <w:widowControl w:val="0"/>
              <w:spacing w:line="360" w:lineRule="auto"/>
              <w:ind w:firstLine="420" w:firstLineChars="200"/>
              <w:jc w:val="both"/>
              <w:rPr>
                <w:rFonts w:hint="eastAsia" w:ascii="宋体" w:hAnsi="宋体" w:eastAsia="宋体" w:cs="宋体"/>
                <w:color w:val="000000"/>
                <w:sz w:val="21"/>
                <w:szCs w:val="21"/>
              </w:rPr>
            </w:pPr>
            <w:r>
              <w:rPr>
                <w:rFonts w:hint="eastAsia" w:ascii="宋体" w:hAnsi="宋体" w:eastAsia="宋体" w:cs="宋体"/>
                <w:color w:val="0000FF"/>
                <w:sz w:val="21"/>
                <w:szCs w:val="21"/>
              </w:rPr>
              <w:t>根据</w:t>
            </w:r>
            <w:r>
              <w:rPr>
                <w:rFonts w:hint="eastAsia" w:ascii="宋体" w:hAnsi="宋体" w:eastAsia="宋体" w:cs="宋体"/>
                <w:color w:val="0000FF"/>
                <w:sz w:val="21"/>
                <w:szCs w:val="21"/>
                <w:lang w:val="en-US" w:eastAsia="zh-CN"/>
              </w:rPr>
              <w:t>投标人应急处理方案</w:t>
            </w:r>
            <w:r>
              <w:rPr>
                <w:rFonts w:hint="eastAsia" w:ascii="宋体" w:hAnsi="宋体" w:eastAsia="宋体" w:cs="宋体"/>
                <w:color w:val="000000"/>
                <w:sz w:val="21"/>
                <w:szCs w:val="21"/>
                <w:lang w:val="en-US" w:eastAsia="zh-CN"/>
              </w:rPr>
              <w:t>，包括</w:t>
            </w:r>
            <w:r>
              <w:rPr>
                <w:rFonts w:hint="eastAsia" w:ascii="宋体" w:hAnsi="宋体" w:eastAsia="宋体" w:cs="宋体"/>
                <w:color w:val="000000"/>
                <w:sz w:val="21"/>
                <w:szCs w:val="21"/>
                <w:highlight w:val="none"/>
              </w:rPr>
              <w:t>故障响应时间、应</w:t>
            </w:r>
            <w:r>
              <w:rPr>
                <w:rFonts w:hint="eastAsia" w:ascii="宋体" w:hAnsi="宋体" w:eastAsia="宋体" w:cs="宋体"/>
                <w:color w:val="000000"/>
                <w:sz w:val="21"/>
                <w:szCs w:val="21"/>
              </w:rPr>
              <w:t>急举措</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后续处理方法等情况</w:t>
            </w:r>
            <w:r>
              <w:rPr>
                <w:rFonts w:hint="eastAsia" w:ascii="宋体" w:hAnsi="宋体" w:eastAsia="宋体" w:cs="宋体"/>
                <w:color w:val="000000"/>
                <w:sz w:val="21"/>
                <w:szCs w:val="21"/>
                <w:lang w:val="en-US" w:eastAsia="zh-CN"/>
              </w:rPr>
              <w:t>分档</w:t>
            </w:r>
            <w:r>
              <w:rPr>
                <w:rFonts w:hint="eastAsia" w:ascii="宋体" w:hAnsi="宋体" w:eastAsia="宋体" w:cs="宋体"/>
                <w:color w:val="000000"/>
                <w:sz w:val="21"/>
                <w:szCs w:val="21"/>
              </w:rPr>
              <w:t>评分，第一档5-4.1分，第二档4-3.1分，第三档3-2.1分，第四档2-1.1分，第五档1-0分。</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360" w:type="dxa"/>
            <w:tcBorders>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对采购文件响应程度</w:t>
            </w:r>
          </w:p>
          <w:p>
            <w:pPr>
              <w:adjustRightInd w:val="0"/>
              <w:snapToGrid w:val="0"/>
              <w:spacing w:line="360" w:lineRule="auto"/>
              <w:jc w:val="center"/>
              <w:rPr>
                <w:rFonts w:hint="eastAsia" w:ascii="宋体" w:hAnsi="宋体" w:eastAsia="宋体" w:cs="宋体"/>
                <w:b/>
                <w:color w:val="000000"/>
                <w:sz w:val="21"/>
                <w:szCs w:val="21"/>
                <w:lang w:val="en-US" w:eastAsia="zh-CN"/>
              </w:rPr>
            </w:pPr>
            <w:r>
              <w:rPr>
                <w:rFonts w:hint="eastAsia" w:ascii="宋体" w:hAnsi="宋体" w:eastAsia="宋体" w:cs="宋体"/>
                <w:b/>
                <w:bCs/>
                <w:color w:val="000000"/>
                <w:sz w:val="21"/>
                <w:szCs w:val="21"/>
                <w:lang w:val="en-US" w:eastAsia="zh-CN"/>
              </w:rPr>
              <w:t>(</w:t>
            </w:r>
            <w:r>
              <w:rPr>
                <w:rFonts w:hint="eastAsia" w:ascii="宋体" w:hAnsi="宋体" w:eastAsia="宋体" w:cs="宋体"/>
                <w:b/>
                <w:bCs/>
                <w:color w:val="000000"/>
                <w:sz w:val="21"/>
                <w:szCs w:val="21"/>
              </w:rPr>
              <w:t>2分</w:t>
            </w:r>
            <w:r>
              <w:rPr>
                <w:rFonts w:hint="eastAsia" w:ascii="宋体" w:hAnsi="宋体" w:eastAsia="宋体" w:cs="宋体"/>
                <w:b/>
                <w:bCs/>
                <w:color w:val="000000"/>
                <w:sz w:val="21"/>
                <w:szCs w:val="21"/>
                <w:lang w:val="en-US" w:eastAsia="zh-CN"/>
              </w:rPr>
              <w:t>)</w:t>
            </w:r>
          </w:p>
        </w:tc>
        <w:tc>
          <w:tcPr>
            <w:tcW w:w="7872" w:type="dxa"/>
            <w:gridSpan w:val="2"/>
            <w:tcBorders>
              <w:top w:val="single" w:color="auto" w:sz="4" w:space="0"/>
              <w:bottom w:val="single" w:color="auto" w:sz="4" w:space="0"/>
            </w:tcBorders>
            <w:noWrap w:val="0"/>
            <w:vAlign w:val="center"/>
          </w:tcPr>
          <w:p>
            <w:pPr>
              <w:pStyle w:val="26"/>
              <w:widowControl w:val="0"/>
              <w:spacing w:line="360" w:lineRule="auto"/>
              <w:ind w:firstLine="420" w:firstLineChars="200"/>
              <w:jc w:val="both"/>
              <w:rPr>
                <w:rFonts w:hint="eastAsia" w:ascii="宋体" w:hAnsi="宋体" w:eastAsia="宋体" w:cs="宋体"/>
                <w:color w:val="000000"/>
                <w:sz w:val="21"/>
                <w:szCs w:val="21"/>
              </w:rPr>
            </w:pPr>
            <w:r>
              <w:rPr>
                <w:rFonts w:hint="eastAsia" w:ascii="宋体" w:hAnsi="宋体" w:eastAsia="宋体" w:cs="宋体"/>
                <w:color w:val="000000"/>
                <w:sz w:val="21"/>
                <w:szCs w:val="21"/>
              </w:rPr>
              <w:t>根据投标文件的完整性及与采购文件的响应程度酌情打分。</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0" w:type="dxa"/>
            <w:tcBorders>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价格</w:t>
            </w:r>
          </w:p>
          <w:p>
            <w:pPr>
              <w:adjustRightInd w:val="0"/>
              <w:snapToGrid w:val="0"/>
              <w:spacing w:line="360" w:lineRule="auto"/>
              <w:jc w:val="center"/>
              <w:rPr>
                <w:rFonts w:hint="eastAsia" w:ascii="宋体" w:hAnsi="宋体" w:eastAsia="宋体" w:cs="宋体"/>
                <w:b/>
                <w:color w:val="000000"/>
                <w:sz w:val="21"/>
                <w:szCs w:val="21"/>
                <w:lang w:val="en-US" w:eastAsia="zh-CN"/>
              </w:rPr>
            </w:pPr>
            <w:r>
              <w:rPr>
                <w:rFonts w:hint="eastAsia" w:ascii="宋体" w:hAnsi="宋体" w:eastAsia="宋体" w:cs="宋体"/>
                <w:b/>
                <w:bCs/>
                <w:color w:val="000000"/>
                <w:sz w:val="21"/>
                <w:szCs w:val="21"/>
                <w:lang w:val="en-US" w:eastAsia="zh-CN"/>
              </w:rPr>
              <w:t>(</w:t>
            </w:r>
            <w:r>
              <w:rPr>
                <w:rFonts w:hint="eastAsia" w:ascii="宋体" w:hAnsi="宋体" w:eastAsia="宋体" w:cs="宋体"/>
                <w:b/>
                <w:bCs/>
                <w:color w:val="000000"/>
                <w:sz w:val="21"/>
                <w:szCs w:val="21"/>
              </w:rPr>
              <w:t>30分</w:t>
            </w:r>
            <w:r>
              <w:rPr>
                <w:rFonts w:hint="eastAsia" w:ascii="宋体" w:hAnsi="宋体" w:eastAsia="宋体" w:cs="宋体"/>
                <w:b/>
                <w:bCs/>
                <w:color w:val="000000"/>
                <w:sz w:val="21"/>
                <w:szCs w:val="21"/>
                <w:lang w:val="en-US" w:eastAsia="zh-CN"/>
              </w:rPr>
              <w:t>)</w:t>
            </w:r>
          </w:p>
        </w:tc>
        <w:tc>
          <w:tcPr>
            <w:tcW w:w="7872" w:type="dxa"/>
            <w:gridSpan w:val="2"/>
            <w:tcBorders>
              <w:top w:val="single" w:color="auto" w:sz="4" w:space="0"/>
            </w:tcBorders>
            <w:noWrap w:val="0"/>
            <w:vAlign w:val="center"/>
          </w:tcPr>
          <w:p>
            <w:pPr>
              <w:pStyle w:val="26"/>
              <w:widowControl w:val="0"/>
              <w:spacing w:line="360" w:lineRule="auto"/>
              <w:ind w:firstLine="420" w:firstLineChars="200"/>
              <w:jc w:val="both"/>
              <w:rPr>
                <w:rFonts w:hint="eastAsia" w:ascii="宋体" w:hAnsi="宋体" w:eastAsia="宋体" w:cs="宋体"/>
                <w:color w:val="000000"/>
                <w:sz w:val="21"/>
                <w:szCs w:val="21"/>
              </w:rPr>
            </w:pPr>
            <w:r>
              <w:rPr>
                <w:rFonts w:hint="eastAsia" w:ascii="宋体" w:hAnsi="宋体" w:eastAsia="宋体" w:cs="宋体"/>
                <w:color w:val="000000"/>
                <w:sz w:val="21"/>
                <w:szCs w:val="21"/>
              </w:rPr>
              <w:t>以合格</w:t>
            </w:r>
            <w:r>
              <w:rPr>
                <w:rFonts w:hint="eastAsia" w:ascii="宋体" w:hAnsi="宋体" w:eastAsia="宋体" w:cs="宋体"/>
                <w:color w:val="000000"/>
                <w:sz w:val="21"/>
                <w:szCs w:val="21"/>
                <w:lang w:val="en-US" w:eastAsia="zh-CN"/>
              </w:rPr>
              <w:t>投标人</w:t>
            </w:r>
            <w:r>
              <w:rPr>
                <w:rFonts w:hint="eastAsia" w:ascii="宋体" w:hAnsi="宋体" w:eastAsia="宋体" w:cs="宋体"/>
                <w:color w:val="000000"/>
                <w:sz w:val="21"/>
                <w:szCs w:val="21"/>
              </w:rPr>
              <w:t>有效总报价中的最低价为基准价，基准价为 分。报价得分＝（评标基准价/最终报价）×30%×100（小数点后保留2位小数）。（注：对于小型和微型企业产品的价格给予6%的扣除，用扣除后的价格参与评审。)</w:t>
            </w:r>
          </w:p>
        </w:tc>
        <w:tc>
          <w:tcPr>
            <w:tcW w:w="777"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w:t>
            </w:r>
          </w:p>
        </w:tc>
      </w:tr>
    </w:tbl>
    <w:p>
      <w:pPr>
        <w:pStyle w:val="9"/>
        <w:ind w:left="0" w:leftChars="0" w:firstLine="0" w:firstLineChars="0"/>
      </w:pPr>
    </w:p>
    <w:p>
      <w:pPr>
        <w:autoSpaceDE w:val="0"/>
        <w:autoSpaceDN w:val="0"/>
        <w:adjustRightInd w:val="0"/>
        <w:spacing w:line="360" w:lineRule="auto"/>
        <w:jc w:val="left"/>
        <w:rPr>
          <w:rFonts w:ascii="宋体" w:hAnsi="宋体" w:cs="宋体"/>
          <w:b/>
          <w:sz w:val="24"/>
        </w:rPr>
      </w:pPr>
      <w:r>
        <w:rPr>
          <w:rFonts w:hint="eastAsia" w:ascii="宋体" w:hAnsi="宋体" w:cs="宋体"/>
          <w:b/>
          <w:sz w:val="24"/>
        </w:rPr>
        <w:t>注：1、合同、证书、报告及其他相关证明材料，将原件扫描上传至电子投标文件，并加盖电子印章。</w:t>
      </w:r>
    </w:p>
    <w:p>
      <w:pPr>
        <w:autoSpaceDE w:val="0"/>
        <w:autoSpaceDN w:val="0"/>
        <w:adjustRightInd w:val="0"/>
        <w:spacing w:line="360" w:lineRule="auto"/>
        <w:jc w:val="left"/>
        <w:rPr>
          <w:rFonts w:asciiTheme="minorEastAsia" w:hAnsiTheme="minorEastAsia" w:eastAsiaTheme="minorEastAsia"/>
          <w:sz w:val="24"/>
        </w:rPr>
      </w:pPr>
      <w:r>
        <w:rPr>
          <w:rFonts w:hint="eastAsia" w:ascii="宋体" w:hAnsi="宋体" w:cs="宋体"/>
          <w:b/>
          <w:sz w:val="24"/>
        </w:rPr>
        <w:t>2、得分为第一档的指的是各细项指标全部满足甚至优于采购需求的；第二档指的是与采购人目标需求相比，稍有瑕疵的；第三、四、五档依次类推。</w:t>
      </w:r>
    </w:p>
    <w:p>
      <w:pPr>
        <w:rPr>
          <w:rFonts w:asciiTheme="minorEastAsia" w:hAnsiTheme="minorEastAsia" w:eastAsiaTheme="minorEastAsia"/>
          <w:b/>
          <w:sz w:val="36"/>
          <w:szCs w:val="36"/>
        </w:rPr>
      </w:pP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公开招标需求</w:t>
      </w:r>
    </w:p>
    <w:p>
      <w:pPr>
        <w:tabs>
          <w:tab w:val="left" w:pos="8280"/>
        </w:tabs>
        <w:autoSpaceDE w:val="0"/>
        <w:autoSpaceDN w:val="0"/>
        <w:adjustRightInd w:val="0"/>
        <w:spacing w:line="360" w:lineRule="auto"/>
        <w:ind w:right="25"/>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28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1 </w:t>
      </w:r>
      <w:r>
        <w:rPr>
          <w:rFonts w:hint="eastAsia" w:asciiTheme="minorEastAsia" w:hAnsiTheme="minorEastAsia" w:eastAsiaTheme="minorEastAsia"/>
          <w:sz w:val="24"/>
        </w:rPr>
        <w:t>个标段，具体内容如下表：</w:t>
      </w:r>
    </w:p>
    <w:tbl>
      <w:tblPr>
        <w:tblStyle w:val="19"/>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639"/>
        <w:gridCol w:w="1155"/>
        <w:gridCol w:w="825"/>
        <w:gridCol w:w="825"/>
        <w:gridCol w:w="1110"/>
        <w:gridCol w:w="151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572" w:type="dxa"/>
            <w:vAlign w:val="center"/>
          </w:tcPr>
          <w:p>
            <w:pPr>
              <w:tabs>
                <w:tab w:val="left" w:pos="8280"/>
              </w:tabs>
              <w:autoSpaceDE w:val="0"/>
              <w:autoSpaceDN w:val="0"/>
              <w:adjustRightInd w:val="0"/>
              <w:ind w:right="25"/>
              <w:jc w:val="center"/>
              <w:rPr>
                <w:rFonts w:ascii="宋体"/>
                <w:b/>
                <w:sz w:val="24"/>
              </w:rPr>
            </w:pPr>
            <w:r>
              <w:rPr>
                <w:rFonts w:hint="eastAsia" w:ascii="宋体" w:hAnsi="宋体"/>
                <w:b/>
                <w:sz w:val="24"/>
              </w:rPr>
              <w:t>标段号</w:t>
            </w:r>
          </w:p>
        </w:tc>
        <w:tc>
          <w:tcPr>
            <w:tcW w:w="1639" w:type="dxa"/>
            <w:vAlign w:val="center"/>
          </w:tcPr>
          <w:p>
            <w:pPr>
              <w:tabs>
                <w:tab w:val="left" w:pos="8280"/>
              </w:tabs>
              <w:autoSpaceDE w:val="0"/>
              <w:autoSpaceDN w:val="0"/>
              <w:adjustRightInd w:val="0"/>
              <w:ind w:right="25" w:firstLine="120" w:firstLineChars="50"/>
              <w:jc w:val="center"/>
              <w:rPr>
                <w:rFonts w:ascii="宋体"/>
                <w:b/>
                <w:sz w:val="24"/>
              </w:rPr>
            </w:pPr>
            <w:r>
              <w:rPr>
                <w:rFonts w:hint="eastAsia" w:ascii="宋体" w:hAnsi="宋体"/>
                <w:b/>
                <w:sz w:val="24"/>
              </w:rPr>
              <w:t>项目名称</w:t>
            </w:r>
          </w:p>
        </w:tc>
        <w:tc>
          <w:tcPr>
            <w:tcW w:w="1155" w:type="dxa"/>
            <w:vAlign w:val="center"/>
          </w:tcPr>
          <w:p>
            <w:pPr>
              <w:tabs>
                <w:tab w:val="left" w:pos="8280"/>
              </w:tabs>
              <w:autoSpaceDE w:val="0"/>
              <w:autoSpaceDN w:val="0"/>
              <w:adjustRightInd w:val="0"/>
              <w:ind w:right="25"/>
              <w:jc w:val="center"/>
              <w:rPr>
                <w:rFonts w:ascii="宋体"/>
                <w:b/>
                <w:sz w:val="24"/>
              </w:rPr>
            </w:pPr>
            <w:r>
              <w:rPr>
                <w:rFonts w:hint="eastAsia" w:ascii="宋体" w:hAnsi="宋体" w:cs="宋体"/>
                <w:b/>
                <w:kern w:val="0"/>
                <w:sz w:val="24"/>
              </w:rPr>
              <w:t>简要技术要求</w:t>
            </w:r>
          </w:p>
        </w:tc>
        <w:tc>
          <w:tcPr>
            <w:tcW w:w="825" w:type="dxa"/>
            <w:vAlign w:val="center"/>
          </w:tcPr>
          <w:p>
            <w:pPr>
              <w:tabs>
                <w:tab w:val="left" w:pos="8280"/>
              </w:tabs>
              <w:autoSpaceDE w:val="0"/>
              <w:autoSpaceDN w:val="0"/>
              <w:adjustRightInd w:val="0"/>
              <w:ind w:right="25"/>
              <w:jc w:val="center"/>
              <w:rPr>
                <w:rFonts w:ascii="宋体"/>
                <w:b/>
                <w:sz w:val="24"/>
              </w:rPr>
            </w:pPr>
            <w:r>
              <w:rPr>
                <w:rFonts w:hint="eastAsia" w:ascii="宋体" w:hAnsi="宋体"/>
                <w:b/>
                <w:sz w:val="24"/>
              </w:rPr>
              <w:t>数量</w:t>
            </w:r>
          </w:p>
        </w:tc>
        <w:tc>
          <w:tcPr>
            <w:tcW w:w="825" w:type="dxa"/>
            <w:vAlign w:val="center"/>
          </w:tcPr>
          <w:p>
            <w:pPr>
              <w:tabs>
                <w:tab w:val="left" w:pos="8280"/>
              </w:tabs>
              <w:autoSpaceDE w:val="0"/>
              <w:autoSpaceDN w:val="0"/>
              <w:adjustRightInd w:val="0"/>
              <w:ind w:right="25"/>
              <w:jc w:val="center"/>
              <w:rPr>
                <w:rFonts w:ascii="宋体"/>
                <w:b/>
                <w:sz w:val="24"/>
              </w:rPr>
            </w:pPr>
            <w:r>
              <w:rPr>
                <w:rFonts w:hint="eastAsia" w:ascii="宋体" w:hAnsi="宋体"/>
                <w:b/>
                <w:sz w:val="24"/>
              </w:rPr>
              <w:t>单位</w:t>
            </w:r>
          </w:p>
        </w:tc>
        <w:tc>
          <w:tcPr>
            <w:tcW w:w="1110" w:type="dxa"/>
            <w:vAlign w:val="center"/>
          </w:tcPr>
          <w:p>
            <w:pPr>
              <w:tabs>
                <w:tab w:val="left" w:pos="8280"/>
              </w:tabs>
              <w:autoSpaceDE w:val="0"/>
              <w:autoSpaceDN w:val="0"/>
              <w:adjustRightInd w:val="0"/>
              <w:ind w:right="25"/>
              <w:rPr>
                <w:rFonts w:ascii="宋体"/>
                <w:b/>
                <w:sz w:val="24"/>
              </w:rPr>
            </w:pPr>
            <w:r>
              <w:rPr>
                <w:rFonts w:hint="eastAsia" w:ascii="宋体" w:hAnsi="宋体"/>
                <w:b/>
                <w:sz w:val="24"/>
              </w:rPr>
              <w:t>总预算（万元）</w:t>
            </w:r>
          </w:p>
        </w:tc>
        <w:tc>
          <w:tcPr>
            <w:tcW w:w="1515" w:type="dxa"/>
            <w:vAlign w:val="center"/>
          </w:tcPr>
          <w:p>
            <w:pPr>
              <w:tabs>
                <w:tab w:val="left" w:pos="8280"/>
              </w:tabs>
              <w:autoSpaceDE w:val="0"/>
              <w:autoSpaceDN w:val="0"/>
              <w:adjustRightInd w:val="0"/>
              <w:ind w:right="25"/>
              <w:jc w:val="center"/>
              <w:rPr>
                <w:rFonts w:hint="default" w:ascii="宋体" w:hAnsi="宋体" w:eastAsia="宋体"/>
                <w:b/>
                <w:sz w:val="24"/>
                <w:lang w:val="en-US" w:eastAsia="zh-CN"/>
              </w:rPr>
            </w:pPr>
            <w:r>
              <w:rPr>
                <w:rFonts w:hint="eastAsia" w:asciiTheme="minorEastAsia" w:hAnsiTheme="minorEastAsia" w:eastAsiaTheme="minorEastAsia" w:cstheme="minorEastAsia"/>
                <w:b/>
                <w:sz w:val="24"/>
                <w:szCs w:val="24"/>
                <w:lang w:val="en-US" w:eastAsia="zh-CN"/>
              </w:rPr>
              <w:t>建设期、</w:t>
            </w:r>
            <w:r>
              <w:rPr>
                <w:rFonts w:hint="eastAsia" w:asciiTheme="minorEastAsia" w:hAnsiTheme="minorEastAsia" w:eastAsiaTheme="minorEastAsia" w:cstheme="minorEastAsia"/>
                <w:b/>
                <w:sz w:val="24"/>
                <w:szCs w:val="24"/>
              </w:rPr>
              <w:t>交货期</w:t>
            </w:r>
          </w:p>
        </w:tc>
        <w:tc>
          <w:tcPr>
            <w:tcW w:w="1355" w:type="dxa"/>
            <w:vAlign w:val="center"/>
          </w:tcPr>
          <w:p>
            <w:pPr>
              <w:tabs>
                <w:tab w:val="left" w:pos="8280"/>
              </w:tabs>
              <w:autoSpaceDE w:val="0"/>
              <w:autoSpaceDN w:val="0"/>
              <w:adjustRightInd w:val="0"/>
              <w:ind w:right="25"/>
              <w:jc w:val="center"/>
              <w:rPr>
                <w:rFonts w:ascii="宋体" w:hAnsi="宋体"/>
                <w:b/>
                <w:sz w:val="24"/>
              </w:rPr>
            </w:pPr>
            <w:r>
              <w:rPr>
                <w:rFonts w:hint="eastAsia" w:ascii="宋体" w:hAnsi="宋体"/>
                <w:b/>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572" w:type="dxa"/>
            <w:vAlign w:val="center"/>
          </w:tcPr>
          <w:p>
            <w:pPr>
              <w:tabs>
                <w:tab w:val="left" w:pos="8280"/>
              </w:tabs>
              <w:autoSpaceDE w:val="0"/>
              <w:autoSpaceDN w:val="0"/>
              <w:adjustRightInd w:val="0"/>
              <w:ind w:right="25"/>
              <w:jc w:val="center"/>
              <w:rPr>
                <w:rFonts w:ascii="宋体" w:hAnsi="宋体"/>
                <w:sz w:val="24"/>
              </w:rPr>
            </w:pPr>
            <w:r>
              <w:rPr>
                <w:rFonts w:hint="eastAsia" w:ascii="宋体" w:hAnsi="宋体"/>
                <w:sz w:val="24"/>
              </w:rPr>
              <w:t>1</w:t>
            </w:r>
          </w:p>
        </w:tc>
        <w:tc>
          <w:tcPr>
            <w:tcW w:w="1639" w:type="dxa"/>
            <w:vAlign w:val="center"/>
          </w:tcPr>
          <w:p>
            <w:pPr>
              <w:tabs>
                <w:tab w:val="left" w:pos="8280"/>
              </w:tabs>
              <w:autoSpaceDE w:val="0"/>
              <w:autoSpaceDN w:val="0"/>
              <w:adjustRightInd w:val="0"/>
              <w:spacing w:line="360" w:lineRule="auto"/>
              <w:ind w:right="25" w:rightChars="0"/>
              <w:jc w:val="center"/>
              <w:rPr>
                <w:rFonts w:asciiTheme="minorEastAsia" w:hAnsiTheme="minorEastAsia" w:eastAsiaTheme="minorEastAsia" w:cstheme="minorEastAsia"/>
                <w:b/>
                <w:sz w:val="24"/>
              </w:rPr>
            </w:pPr>
            <w:r>
              <w:rPr>
                <w:rFonts w:hint="eastAsia" w:ascii="宋体" w:hAnsi="宋体" w:eastAsia="宋体" w:cs="宋体"/>
              </w:rPr>
              <w:t>台州市政务大厅2.0数字化改造</w:t>
            </w:r>
            <w:r>
              <w:rPr>
                <w:rFonts w:hint="eastAsia" w:ascii="宋体" w:hAnsi="宋体" w:eastAsia="宋体" w:cs="宋体"/>
                <w:lang w:eastAsia="zh-Hans"/>
              </w:rPr>
              <w:t>硬件升级</w:t>
            </w:r>
            <w:r>
              <w:rPr>
                <w:rFonts w:hint="eastAsia" w:ascii="宋体" w:hAnsi="宋体" w:eastAsia="宋体" w:cs="宋体"/>
              </w:rPr>
              <w:t>项目</w:t>
            </w:r>
          </w:p>
        </w:tc>
        <w:tc>
          <w:tcPr>
            <w:tcW w:w="1155" w:type="dxa"/>
            <w:vAlign w:val="center"/>
          </w:tcPr>
          <w:p>
            <w:pPr>
              <w:tabs>
                <w:tab w:val="left" w:pos="8280"/>
              </w:tabs>
              <w:autoSpaceDE w:val="0"/>
              <w:autoSpaceDN w:val="0"/>
              <w:adjustRightInd w:val="0"/>
              <w:spacing w:line="360" w:lineRule="auto"/>
              <w:ind w:right="25" w:rightChars="0"/>
              <w:jc w:val="center"/>
              <w:rPr>
                <w:rFonts w:asciiTheme="minorEastAsia" w:hAnsiTheme="minorEastAsia" w:eastAsiaTheme="minorEastAsia" w:cstheme="minorEastAsia"/>
                <w:b/>
                <w:sz w:val="24"/>
              </w:rPr>
            </w:pPr>
            <w:r>
              <w:rPr>
                <w:rFonts w:hint="eastAsia" w:asciiTheme="minorEastAsia" w:hAnsiTheme="minorEastAsia" w:eastAsiaTheme="minorEastAsia"/>
                <w:sz w:val="24"/>
              </w:rPr>
              <w:t>详见技术需求</w:t>
            </w:r>
          </w:p>
        </w:tc>
        <w:tc>
          <w:tcPr>
            <w:tcW w:w="825" w:type="dxa"/>
            <w:vAlign w:val="center"/>
          </w:tcPr>
          <w:p>
            <w:pPr>
              <w:tabs>
                <w:tab w:val="left" w:pos="8280"/>
              </w:tabs>
              <w:autoSpaceDE w:val="0"/>
              <w:autoSpaceDN w:val="0"/>
              <w:adjustRightInd w:val="0"/>
              <w:spacing w:line="360" w:lineRule="auto"/>
              <w:ind w:right="25" w:rightChars="0" w:firstLine="240" w:firstLine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825" w:type="dxa"/>
            <w:vAlign w:val="center"/>
          </w:tcPr>
          <w:p>
            <w:pPr>
              <w:tabs>
                <w:tab w:val="left" w:pos="8280"/>
              </w:tabs>
              <w:autoSpaceDE w:val="0"/>
              <w:autoSpaceDN w:val="0"/>
              <w:adjustRightInd w:val="0"/>
              <w:spacing w:line="360" w:lineRule="auto"/>
              <w:ind w:right="25" w:right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w:t>
            </w:r>
          </w:p>
        </w:tc>
        <w:tc>
          <w:tcPr>
            <w:tcW w:w="1110" w:type="dxa"/>
            <w:vAlign w:val="center"/>
          </w:tcPr>
          <w:p>
            <w:pPr>
              <w:tabs>
                <w:tab w:val="left" w:pos="8280"/>
              </w:tabs>
              <w:autoSpaceDE w:val="0"/>
              <w:autoSpaceDN w:val="0"/>
              <w:adjustRightInd w:val="0"/>
              <w:spacing w:line="360" w:lineRule="auto"/>
              <w:ind w:right="25" w:rightChars="0"/>
              <w:jc w:val="center"/>
              <w:rPr>
                <w:rFonts w:asciiTheme="minorEastAsia" w:hAnsiTheme="minorEastAsia" w:eastAsiaTheme="minorEastAsia" w:cstheme="minorEastAsia"/>
                <w:bCs/>
                <w:sz w:val="24"/>
              </w:rPr>
            </w:pPr>
            <w:r>
              <w:rPr>
                <w:rFonts w:hint="eastAsia" w:ascii="宋体" w:hAnsi="宋体" w:eastAsia="宋体" w:cs="宋体"/>
                <w:sz w:val="24"/>
                <w:szCs w:val="24"/>
              </w:rPr>
              <w:t>75.01</w:t>
            </w:r>
          </w:p>
        </w:tc>
        <w:tc>
          <w:tcPr>
            <w:tcW w:w="1515" w:type="dxa"/>
            <w:vAlign w:val="center"/>
          </w:tcPr>
          <w:p>
            <w:pPr>
              <w:tabs>
                <w:tab w:val="left" w:pos="8280"/>
              </w:tabs>
              <w:autoSpaceDE w:val="0"/>
              <w:autoSpaceDN w:val="0"/>
              <w:adjustRightInd w:val="0"/>
              <w:ind w:right="25" w:rightChars="0"/>
              <w:jc w:val="center"/>
              <w:rPr>
                <w:rFonts w:ascii="宋体" w:hAnsi="宋体"/>
                <w:sz w:val="24"/>
              </w:rPr>
            </w:pPr>
            <w:r>
              <w:rPr>
                <w:rFonts w:hint="eastAsia" w:asciiTheme="minorEastAsia" w:hAnsiTheme="minorEastAsia" w:eastAsiaTheme="minorEastAsia" w:cstheme="minorEastAsia"/>
                <w:bCs/>
                <w:sz w:val="24"/>
                <w:szCs w:val="24"/>
                <w:lang w:val="en-US" w:eastAsia="zh-CN"/>
              </w:rPr>
              <w:t>合同签订之日起60日内</w:t>
            </w:r>
          </w:p>
        </w:tc>
        <w:tc>
          <w:tcPr>
            <w:tcW w:w="1355" w:type="dxa"/>
            <w:vAlign w:val="center"/>
          </w:tcPr>
          <w:p>
            <w:pPr>
              <w:tabs>
                <w:tab w:val="left" w:pos="8280"/>
              </w:tabs>
              <w:autoSpaceDE w:val="0"/>
              <w:autoSpaceDN w:val="0"/>
              <w:adjustRightInd w:val="0"/>
              <w:ind w:right="25"/>
              <w:jc w:val="both"/>
              <w:rPr>
                <w:rFonts w:hint="eastAsia" w:ascii="宋体" w:hAnsi="宋体" w:eastAsia="宋体"/>
                <w:sz w:val="24"/>
                <w:lang w:val="en-US" w:eastAsia="zh-CN"/>
              </w:rPr>
            </w:pPr>
            <w:r>
              <w:rPr>
                <w:rFonts w:hint="eastAsia" w:asciiTheme="minorEastAsia" w:hAnsiTheme="minorEastAsia" w:eastAsiaTheme="minorEastAsia" w:cstheme="minorEastAsia"/>
                <w:bCs/>
                <w:sz w:val="24"/>
                <w:szCs w:val="24"/>
                <w:lang w:val="zh-CN" w:eastAsia="zh-CN"/>
              </w:rPr>
              <w:t>台州市人民政府行政服务中心</w:t>
            </w:r>
          </w:p>
        </w:tc>
      </w:tr>
    </w:tbl>
    <w:p>
      <w:pPr>
        <w:pStyle w:val="9"/>
        <w:rPr>
          <w:rFonts w:asciiTheme="minorEastAsia" w:hAnsiTheme="minorEastAsia" w:eastAsiaTheme="minorEastAsia"/>
          <w:sz w:val="24"/>
          <w:szCs w:val="24"/>
        </w:rPr>
      </w:pPr>
    </w:p>
    <w:p>
      <w:pPr>
        <w:pStyle w:val="9"/>
        <w:rPr>
          <w:rFonts w:asciiTheme="minorEastAsia" w:hAnsiTheme="minorEastAsia" w:eastAsiaTheme="minorEastAsia"/>
          <w:sz w:val="24"/>
          <w:szCs w:val="24"/>
        </w:rPr>
      </w:pPr>
    </w:p>
    <w:p>
      <w:pPr>
        <w:pStyle w:val="9"/>
        <w:numPr>
          <w:ilvl w:val="0"/>
          <w:numId w:val="12"/>
        </w:numPr>
        <w:tabs>
          <w:tab w:val="left" w:pos="2728"/>
        </w:tabs>
        <w:ind w:left="0" w:leftChars="0" w:firstLine="0" w:firstLineChars="0"/>
        <w:rPr>
          <w:rFonts w:hint="eastAsia" w:asciiTheme="minorEastAsia" w:hAnsiTheme="minorEastAsia" w:eastAsiaTheme="minorEastAsia"/>
          <w:b/>
          <w:sz w:val="24"/>
        </w:rPr>
      </w:pPr>
      <w:r>
        <w:rPr>
          <w:rFonts w:hint="eastAsia" w:asciiTheme="minorEastAsia" w:hAnsiTheme="minorEastAsia" w:eastAsiaTheme="minorEastAsia"/>
          <w:b/>
          <w:sz w:val="24"/>
        </w:rPr>
        <w:t>技术需求：</w:t>
      </w:r>
    </w:p>
    <w:p>
      <w:pPr>
        <w:pStyle w:val="5"/>
        <w:numPr>
          <w:ilvl w:val="0"/>
          <w:numId w:val="0"/>
        </w:numPr>
        <w:rPr>
          <w:rFonts w:ascii="宋体" w:hAnsi="宋体" w:eastAsia="宋体" w:cs="宋体"/>
          <w:b/>
          <w:bCs w:val="0"/>
          <w:sz w:val="24"/>
          <w:szCs w:val="24"/>
        </w:rPr>
      </w:pPr>
      <w:bookmarkStart w:id="31" w:name="_Toc51757558"/>
      <w:r>
        <w:rPr>
          <w:rFonts w:hint="eastAsia" w:ascii="宋体" w:hAnsi="宋体" w:cs="宋体"/>
          <w:b/>
          <w:bCs w:val="0"/>
          <w:sz w:val="24"/>
          <w:szCs w:val="24"/>
          <w:lang w:eastAsia="zh-CN"/>
        </w:rPr>
        <w:t>（</w:t>
      </w:r>
      <w:r>
        <w:rPr>
          <w:rFonts w:hint="eastAsia" w:ascii="宋体" w:hAnsi="宋体" w:cs="宋体"/>
          <w:b/>
          <w:bCs w:val="0"/>
          <w:sz w:val="24"/>
          <w:szCs w:val="24"/>
          <w:lang w:val="en-US" w:eastAsia="zh-CN"/>
        </w:rPr>
        <w:t>一</w:t>
      </w:r>
      <w:r>
        <w:rPr>
          <w:rFonts w:hint="eastAsia" w:ascii="宋体" w:hAnsi="宋体" w:cs="宋体"/>
          <w:b/>
          <w:bCs w:val="0"/>
          <w:sz w:val="24"/>
          <w:szCs w:val="24"/>
          <w:lang w:eastAsia="zh-CN"/>
        </w:rPr>
        <w:t>）</w:t>
      </w:r>
      <w:r>
        <w:rPr>
          <w:rFonts w:hint="eastAsia" w:ascii="宋体" w:hAnsi="宋体" w:eastAsia="宋体" w:cs="宋体"/>
          <w:b/>
          <w:bCs w:val="0"/>
          <w:sz w:val="24"/>
          <w:szCs w:val="24"/>
        </w:rPr>
        <w:t>项目背景介绍</w:t>
      </w:r>
      <w:bookmarkEnd w:id="31"/>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在2020年，中共浙江省委办公厅和浙江省人民政府办公厅联合印发《关于加强行政服务中心建设的实施意见》的通知，文件中提到行政服务中心是直接为群众和企业集中办理各类政务服务事项的综合服务平台，是转变政府职能、优化营商环境的重要支撑，对于提升台州市行政服务现代化具有重要作用</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2021年4月，台州市营商环境建设突破年专班办公室提出《台州市营商环境建设突破年“窗口形象”工程工作方案》，方案中指出要根据全省数字化改革大会和全市优化营商环境大会精神，以数字化改革为牵引，坚持便企为民的理念，推进政务服务全方位、系统性、重塑性变革，推动办事层级最优、服务形象最佳、政务通办最广、企业办事最近，实现政务服务事项无差别受理、同标准办理、全过程监控、“好差评”闭环，打造全国“受办”分离的台州模式，努力让企业在台州投资审批像网购一样简单、像回家一样暖心，让每一处政务大厅、每一个“窗口”都成为展示台州营商环境的亮丽风景。</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2021年5月，台州市发展和改革委员会也提出关于提高台州市营商环境市场活力实时监测平台的建设方案。要贯彻落实数字化改革中关于“企业减负和数字赋能”的具体要求，根据省、市两级政府工作报告中明确的优化营商环境各项目标任务，运用数字化技术和数字化思维，引入大数据理念、建立指标体系、促进各系统的业务协同和数据共享，在省内率先构建营商环境市场活力实时监测平台。方案中指出“要实现对我市各级政务大厅服务和落实省市两级等重点场景应用的实时监测，助力各项子任务按时、保质保量落地，助推我市营商环境水平迭代提升，促进我市民营经济高质量发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针对上述文件要求，台州市人民政府行政服务中心需进行各个方面的数字化改革工作。</w:t>
      </w:r>
      <w:bookmarkStart w:id="32" w:name="_Toc51757559"/>
    </w:p>
    <w:p>
      <w:pPr>
        <w:pStyle w:val="5"/>
        <w:numPr>
          <w:ilvl w:val="0"/>
          <w:numId w:val="0"/>
        </w:numPr>
        <w:rPr>
          <w:rFonts w:ascii="宋体" w:hAnsi="宋体" w:eastAsia="宋体" w:cs="宋体"/>
          <w:b/>
          <w:bCs w:val="0"/>
          <w:sz w:val="24"/>
          <w:szCs w:val="24"/>
        </w:rPr>
      </w:pPr>
      <w:r>
        <w:rPr>
          <w:rFonts w:hint="eastAsia" w:ascii="宋体" w:hAnsi="宋体" w:cs="宋体"/>
          <w:b/>
          <w:bCs w:val="0"/>
          <w:sz w:val="24"/>
          <w:szCs w:val="24"/>
          <w:lang w:eastAsia="zh-CN"/>
        </w:rPr>
        <w:t>（</w:t>
      </w:r>
      <w:r>
        <w:rPr>
          <w:rFonts w:hint="eastAsia" w:ascii="宋体" w:hAnsi="宋体" w:cs="宋体"/>
          <w:b/>
          <w:bCs w:val="0"/>
          <w:sz w:val="24"/>
          <w:szCs w:val="24"/>
          <w:lang w:val="en-US" w:eastAsia="zh-CN"/>
        </w:rPr>
        <w:t>二</w:t>
      </w:r>
      <w:r>
        <w:rPr>
          <w:rFonts w:hint="eastAsia" w:ascii="宋体" w:hAnsi="宋体" w:cs="宋体"/>
          <w:b/>
          <w:bCs w:val="0"/>
          <w:sz w:val="24"/>
          <w:szCs w:val="24"/>
          <w:lang w:eastAsia="zh-CN"/>
        </w:rPr>
        <w:t>）</w:t>
      </w:r>
      <w:r>
        <w:rPr>
          <w:rFonts w:hint="eastAsia" w:ascii="宋体" w:hAnsi="宋体" w:eastAsia="宋体" w:cs="宋体"/>
          <w:b/>
          <w:bCs w:val="0"/>
          <w:sz w:val="24"/>
          <w:szCs w:val="24"/>
        </w:rPr>
        <w:t>项目建设目标</w:t>
      </w:r>
      <w:bookmarkEnd w:id="32"/>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行政服务中心是直接为群众和企业集中办理各类政务服务事项的综合服务平台，是转变政府职能、优化营商环境的重要支撑，对于提升省域治理现代化具有重要作用。为深入实践“整体智治”理念，加快政务服务数字化改革，充分发挥行政服务中心在全面数字化改革和“整体智治”现代政府建设中的重要基础作用。</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本次建设目标以数字化改革为牵引，坚持便企为民的理念，推进政务服务全方位、系统性、重塑性变革，推动办事层级最优、服务形象最佳、企业办事最近，实现政务服务事项无差别受理、同标准办理、全过程监控、“好差评”闭环，打造全国“受办分离”的台州模式，努力让企业在台州投资审批像网购一样简单、像回家一样缓心，让每一处政务大厅、每一个“窗口”都成为展示台州营商环境的亮丽风景。</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业务流程从企业和群众角度出发，实现“便捷咨询”和“高效办事”，通过智能终端和线上咨询服务，实现远程咨询、在线预约、网上申报、服务“好差评”、办事全流程跟踪，群众可以足不出户享受各类办事服务；</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服务人员和政务大厅实现“智慧化管理”，终端硬件全接入，随时随地查看终端运行健康度；入驻人员智慧化考核，做有温度的考核人；群众办事流程全掌握，洞悉办事的所有堵点；大厅运行管理无障碍，信息化工单上报更及时。</w:t>
      </w:r>
    </w:p>
    <w:p>
      <w:pPr>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政务数据实现“智慧化治理”，汇聚大厅管理数据和业务办理数据，建立业务数据模型、智慧大厅模型、部门政务展示等，通过驾驶舱、仪表盘等直观方式，进行多维度的数据展示和分析，提高政务治管能力。</w:t>
      </w:r>
      <w:bookmarkStart w:id="33" w:name="_Toc51757560"/>
    </w:p>
    <w:p>
      <w:pPr>
        <w:pStyle w:val="5"/>
        <w:numPr>
          <w:ilvl w:val="0"/>
          <w:numId w:val="0"/>
        </w:numPr>
        <w:rPr>
          <w:rFonts w:ascii="宋体" w:hAnsi="宋体" w:eastAsia="宋体" w:cs="宋体"/>
          <w:b/>
          <w:bCs w:val="0"/>
          <w:sz w:val="24"/>
          <w:szCs w:val="24"/>
        </w:rPr>
      </w:pPr>
      <w:r>
        <w:rPr>
          <w:rFonts w:hint="eastAsia" w:ascii="宋体" w:hAnsi="宋体" w:cs="宋体"/>
          <w:b/>
          <w:bCs w:val="0"/>
          <w:sz w:val="24"/>
          <w:szCs w:val="24"/>
          <w:lang w:eastAsia="zh-CN"/>
        </w:rPr>
        <w:t>（</w:t>
      </w:r>
      <w:r>
        <w:rPr>
          <w:rFonts w:hint="eastAsia" w:ascii="宋体" w:hAnsi="宋体" w:cs="宋体"/>
          <w:b/>
          <w:bCs w:val="0"/>
          <w:sz w:val="24"/>
          <w:szCs w:val="24"/>
          <w:lang w:val="en-US" w:eastAsia="zh-CN"/>
        </w:rPr>
        <w:t>三</w:t>
      </w:r>
      <w:r>
        <w:rPr>
          <w:rFonts w:hint="eastAsia" w:ascii="宋体" w:hAnsi="宋体" w:cs="宋体"/>
          <w:b/>
          <w:bCs w:val="0"/>
          <w:sz w:val="24"/>
          <w:szCs w:val="24"/>
          <w:lang w:eastAsia="zh-CN"/>
        </w:rPr>
        <w:t>）</w:t>
      </w:r>
      <w:r>
        <w:rPr>
          <w:rFonts w:hint="eastAsia" w:ascii="宋体" w:hAnsi="宋体" w:eastAsia="宋体" w:cs="宋体"/>
          <w:b/>
          <w:bCs w:val="0"/>
          <w:sz w:val="24"/>
          <w:szCs w:val="24"/>
        </w:rPr>
        <w:t>项目建设内容</w:t>
      </w:r>
      <w:bookmarkEnd w:id="3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推进政务服务事项智慧化办理，行政服务中心智慧化管理，充分发挥行政服务中心在“整体智治”现代政府建设中的重要基础作用，加快建设即时感知、科学决策、主动服务、高效运行、智能监管的新型行政服务中心，而本次项目从事项层级合理划分、便捷咨询、高效办事、数字化管理、大数据分析闭环五个层面进行改造，具体建设内容如下：</w:t>
      </w:r>
    </w:p>
    <w:p>
      <w:pPr>
        <w:spacing w:line="360" w:lineRule="auto"/>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1、政务服务地图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利用地理信息系统、百度地图等载体，绘制群众企业办事的导航图、事项层级合理划分的规划图，规划力量后续的监管图，覆盖政务大厅（点），清晰展示窗口形象、事项信息，丰富办事场景，提升办事体验。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事项规划确定后，不断优化办事流程，加强各环节业务对接，市、县两级业务部门尽可能的简政放权、减少环节、缩短时间，保障事项便捷顺利办理。与此相应，科学配置前台窗口人员、部门审批人员，进行宣传推介，并逐步减少窗口。调动资源，提升乡镇街道一级办事能力，方便群众“就近办”。</w:t>
      </w:r>
    </w:p>
    <w:p>
      <w:pPr>
        <w:spacing w:line="360" w:lineRule="auto"/>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2、便捷咨询</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用大数据、人工智能，依托市、县两级共享咨询库，建设线上咨询客服平台，实现对“热线”、“在线”两个政务咨询主渠道的技术支撑，提供精准化、智能化、规范化的咨询服务。借助部门进驻、业务集成等优势，强化12345统一政务咨询热线电话保障力量；以“智能机器人+人工坐席”联合模式提供咨询、材料预审、网办掌办指导等淘宝客服式的在线政务咨询服务。以数据“标签”关联事项官方标准化名称和办事企业群众的口语化称呼，通过真实场景积累、沉淀咨询问答，逐步扩充完善政务知识库。</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应用需要上架浙江省政府服务网、浙里办，实现电脑端、移动端的在线咨询、音视频连线服务，为群众提供多渠道，便捷的远程咨询服务。</w:t>
      </w:r>
    </w:p>
    <w:p>
      <w:pPr>
        <w:spacing w:line="360" w:lineRule="auto"/>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3、高效办事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业务办理系统优化升级，对台州市权力运行系统进行改造，进行印章2.0升级、浙江省数字政府统一用户中心对接，推行无纸化办公；</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强化线上线下政务服务平台融合，多渠道多入口提供服务，如浙里办、微信公众号上线指导视频列表、停车扫码、办事材料查询等功能。</w:t>
      </w:r>
    </w:p>
    <w:p>
      <w:pPr>
        <w:spacing w:line="360" w:lineRule="auto"/>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4、人员、大厅智慧化管理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（1）建立智慧大厅管理平台，对大厅设备进行统一管控和终端登记，接入大厅各项信息化智能终端，实现统一调用、发布、监控、分析等功能，提高对信息化智能终端运行状态监控、功能调用的管理水平。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大厅运营进行智慧化部署、一体化管控，利用数字技术分析大厅实时运行情况，进行动态调优。整合并归集大厅内摄像头、拾音器、取叫号系统、业务办理系统、好差评系统等设备、系统数据，实现停车、取号、排队等候、受理、办理、取件全过程数据记录，为大厅管理者提供即时的车流量、人流量、等候时长、受理时长、办理时长等数据，保障管理者根据大厅实时运行情况，快速反应，动态调整，以精准化的服务化解矛盾、减少等待、高效办事，全面提升线下办事体验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对现有积分系统、人员库、培训库、考试库进行一体化升级改造，面向范围从市本级转换成全市，同时为每个系统增加部分功能模块。建设中心办公门户，统一管理咨询库、考试库等板块，满足全市行政服务中心人员一体化管理需求，为政务大厅数字化改革提供信息化支撑。</w:t>
      </w:r>
    </w:p>
    <w:p>
      <w:pPr>
        <w:spacing w:line="360" w:lineRule="auto"/>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5、政务数据分析平台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汇聚大厅智能化设备采集的数据，结合数据共享平台、数据高铁的共享数据，以现有数据化支撑提供各级行政服务中心服务效能、部门服务效能、综合受理员服务效能、政务大厅营商环境下的数据分析及监测能力；</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针对上述四大核心指标建立细化指标项，并梳理指标数据，定期自动进行指标数据计算分析，以图文、报表和建模的形式展示数据，让精细化管理、智慧化管理成为日常管理工作的常态。</w:t>
      </w:r>
    </w:p>
    <w:p>
      <w:pPr>
        <w:spacing w:line="360" w:lineRule="auto"/>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6、硬件采购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为行政服务中心新增一批硬件采购，具体设备部署规划详见</w:t>
      </w:r>
      <w:r>
        <w:rPr>
          <w:rFonts w:hint="eastAsia" w:ascii="宋体" w:hAnsi="宋体" w:cs="宋体"/>
          <w:sz w:val="24"/>
          <w:szCs w:val="24"/>
          <w:lang w:val="en-US" w:eastAsia="zh-CN"/>
        </w:rPr>
        <w:t>标段二：</w:t>
      </w:r>
      <w:r>
        <w:rPr>
          <w:rFonts w:hint="eastAsia" w:ascii="宋体" w:hAnsi="宋体" w:eastAsia="宋体" w:cs="宋体"/>
          <w:sz w:val="24"/>
          <w:szCs w:val="24"/>
        </w:rPr>
        <w:t>“硬件系统建设方案”。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新增部分半球型和筒型摄像机以及功能型摄像头，用于中心大厅、地下车库监控，人流量、车流量测试、轨迹追踪等功能；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新增5套咨询终端（含视频摄像头和话务耳麦）；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新增标签打印机1台，用于中心设备的登记；8台立式广告机，进行实时政策的宣传；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为行政服务中心一楼UPS间增加1套温湿度记录器，增强UPS间安全管控能力；</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为中心大厅办事员工对应工位补充智能终端PAD。</w:t>
      </w:r>
    </w:p>
    <w:p>
      <w:pPr>
        <w:pStyle w:val="6"/>
        <w:bidi w:val="0"/>
        <w:rPr>
          <w:rFonts w:hint="eastAsia" w:ascii="宋体" w:hAnsi="宋体" w:eastAsia="宋体" w:cs="宋体"/>
          <w:b/>
          <w:bCs w:val="0"/>
        </w:rPr>
      </w:pPr>
      <w:r>
        <w:rPr>
          <w:rFonts w:hint="eastAsia" w:ascii="宋体" w:hAnsi="宋体" w:cs="宋体"/>
          <w:b/>
          <w:bCs w:val="0"/>
          <w:lang w:eastAsia="zh-CN"/>
        </w:rPr>
        <w:t>（</w:t>
      </w:r>
      <w:r>
        <w:rPr>
          <w:rFonts w:hint="eastAsia" w:ascii="宋体" w:hAnsi="宋体" w:cs="宋体"/>
          <w:b/>
          <w:bCs w:val="0"/>
          <w:lang w:val="en-US" w:eastAsia="zh-CN"/>
        </w:rPr>
        <w:t>四</w:t>
      </w:r>
      <w:r>
        <w:rPr>
          <w:rFonts w:hint="eastAsia" w:ascii="宋体" w:hAnsi="宋体" w:cs="宋体"/>
          <w:b/>
          <w:bCs w:val="0"/>
          <w:lang w:eastAsia="zh-CN"/>
        </w:rPr>
        <w:t>）</w:t>
      </w:r>
      <w:r>
        <w:rPr>
          <w:rFonts w:hint="eastAsia" w:ascii="宋体" w:hAnsi="宋体" w:eastAsia="宋体" w:cs="宋体"/>
          <w:b/>
          <w:bCs w:val="0"/>
        </w:rPr>
        <w:t>政务2.0硬件升级</w:t>
      </w:r>
      <w:r>
        <w:rPr>
          <w:rFonts w:hint="eastAsia" w:ascii="宋体" w:hAnsi="宋体" w:eastAsia="宋体" w:cs="宋体"/>
          <w:b/>
          <w:bCs w:val="0"/>
          <w:lang w:eastAsia="zh-Hans"/>
        </w:rPr>
        <w:t>建设内容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因政务2.0改造新要求，须对台州市人民政府行政服务中心进行部分改造，具体硬件采购清单详见设备清单。</w:t>
      </w:r>
    </w:p>
    <w:p>
      <w:pPr>
        <w:pStyle w:val="6"/>
        <w:bidi w:val="0"/>
        <w:rPr>
          <w:rFonts w:hint="eastAsia" w:ascii="宋体" w:hAnsi="宋体" w:eastAsia="宋体" w:cs="宋体"/>
          <w:b/>
          <w:bCs w:val="0"/>
        </w:rPr>
      </w:pPr>
      <w:r>
        <w:rPr>
          <w:rFonts w:hint="eastAsia" w:ascii="宋体" w:hAnsi="宋体" w:eastAsia="宋体" w:cs="宋体"/>
          <w:b/>
          <w:bCs w:val="0"/>
        </w:rPr>
        <w:t>1</w:t>
      </w:r>
      <w:r>
        <w:rPr>
          <w:rFonts w:hint="eastAsia" w:ascii="宋体" w:hAnsi="宋体" w:eastAsia="宋体" w:cs="宋体"/>
          <w:b/>
          <w:bCs w:val="0"/>
          <w:lang w:eastAsia="zh-CN"/>
        </w:rPr>
        <w:t>、</w:t>
      </w:r>
      <w:r>
        <w:rPr>
          <w:rFonts w:hint="eastAsia" w:ascii="宋体" w:hAnsi="宋体" w:eastAsia="宋体" w:cs="宋体"/>
          <w:b/>
          <w:bCs w:val="0"/>
        </w:rPr>
        <w:t>摄像头部署</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新增部分半球型和筒型摄像机以及功能型摄像头，用于中心大厅一二层、地下车库监控，人流量、车流量测试、轨迹追踪等功能。</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w:t>
      </w:r>
      <w:r>
        <w:rPr>
          <w:rFonts w:hint="eastAsia" w:ascii="宋体" w:hAnsi="宋体" w:cs="宋体"/>
          <w:b/>
          <w:bCs/>
          <w:sz w:val="24"/>
          <w:szCs w:val="24"/>
          <w:lang w:eastAsia="zh-CN"/>
        </w:rPr>
        <w:t>）</w:t>
      </w:r>
      <w:r>
        <w:rPr>
          <w:rFonts w:hint="eastAsia" w:ascii="宋体" w:hAnsi="宋体" w:eastAsia="宋体" w:cs="宋体"/>
          <w:b/>
          <w:bCs/>
          <w:sz w:val="24"/>
          <w:szCs w:val="24"/>
        </w:rPr>
        <w:t>服务工位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针对窗口服务人员的监控，采用一对一监控策略，即每个摄像机对应一个业务窗口。考虑系统建设的经济性与实际场所布置情况，要求能看清办理业务的全过程，推荐采用400万像素半球型网络摄像机，记录业务窗口办理业务的全过程。另外，每个业务窗口坐席处应部署一个拾音器，对窗口服务人员与群众的对话等内容进行录音，并与对应的摄像机视频一起编码存储到网络硬盘录像机中，实现音视频同步保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采用可以应对强光的超宽动态半球摄像机，实现清晰的记录办事、服务人员的面部特征、行为动作。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每个服务工位部署单独的定向拾音设备，接入到摄像机，同录像文件一起进行存储、备份，方便查询使用。</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2</w:t>
      </w:r>
      <w:r>
        <w:rPr>
          <w:rFonts w:hint="eastAsia" w:ascii="宋体" w:hAnsi="宋体" w:cs="宋体"/>
          <w:b/>
          <w:bCs/>
          <w:sz w:val="24"/>
          <w:szCs w:val="24"/>
          <w:lang w:eastAsia="zh-CN"/>
        </w:rPr>
        <w:t>）</w:t>
      </w:r>
      <w:r>
        <w:rPr>
          <w:rFonts w:hint="eastAsia" w:ascii="宋体" w:hAnsi="宋体" w:eastAsia="宋体" w:cs="宋体"/>
          <w:b/>
          <w:bCs/>
          <w:sz w:val="24"/>
          <w:szCs w:val="24"/>
        </w:rPr>
        <w:t>大厅大门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服务大厅的大门考虑光照问题，需要选用高清宽动态的摄像机才能看清逆光状态下的人脸及细节特征，大厅大门可以结合客流统计摄像机进行使用，在进行客流统计的同时，记录各楼层各大门图像情况。</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3</w:t>
      </w:r>
      <w:r>
        <w:rPr>
          <w:rFonts w:hint="eastAsia" w:ascii="宋体" w:hAnsi="宋体" w:cs="宋体"/>
          <w:b/>
          <w:bCs/>
          <w:sz w:val="24"/>
          <w:szCs w:val="24"/>
          <w:lang w:eastAsia="zh-CN"/>
        </w:rPr>
        <w:t>）</w:t>
      </w:r>
      <w:r>
        <w:rPr>
          <w:rFonts w:hint="eastAsia" w:ascii="宋体" w:hAnsi="宋体" w:eastAsia="宋体" w:cs="宋体"/>
          <w:b/>
          <w:bCs/>
          <w:sz w:val="24"/>
          <w:szCs w:val="24"/>
        </w:rPr>
        <w:t>咨询窗口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咨询服务窗口可选择部署400万像素半球型网络摄像机，记录咨询窗口提供咨询业务的全过程。另外，每个咨询窗口坐席处应部署一个拾音器，对窗口服务人员与咨询人的对话等内容进行录音，并与对应的摄像机视频一起编码存储到网络硬盘录像机中，实现音视频同步保存。</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val="en-US" w:eastAsia="zh-CN"/>
        </w:rPr>
        <w:t>（4）</w:t>
      </w:r>
      <w:r>
        <w:rPr>
          <w:rFonts w:hint="eastAsia" w:ascii="宋体" w:hAnsi="宋体" w:eastAsia="宋体" w:cs="宋体"/>
          <w:b/>
          <w:bCs/>
          <w:sz w:val="24"/>
          <w:szCs w:val="24"/>
        </w:rPr>
        <w:t>地下车库</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由于外来办事车辆比较多，容易出现车辆磕碰事故，在地下车库通道部署400万像素红外阵列筒型网络摄像机，每2-4个车位部署1台摄像机，记录车辆进出情况。</w:t>
      </w:r>
    </w:p>
    <w:p>
      <w:pPr>
        <w:spacing w:line="360" w:lineRule="auto"/>
        <w:outlineLvl w:val="3"/>
        <w:rPr>
          <w:rFonts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cs="宋体"/>
          <w:b/>
          <w:bCs/>
          <w:sz w:val="24"/>
          <w:szCs w:val="24"/>
          <w:lang w:eastAsia="zh-CN"/>
        </w:rPr>
        <w:t>、</w:t>
      </w:r>
      <w:r>
        <w:rPr>
          <w:rFonts w:hint="eastAsia" w:ascii="宋体" w:hAnsi="宋体" w:eastAsia="宋体" w:cs="宋体"/>
          <w:b/>
          <w:bCs/>
          <w:sz w:val="24"/>
          <w:szCs w:val="24"/>
        </w:rPr>
        <w:t>视频功能</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w:t>
      </w:r>
      <w:r>
        <w:rPr>
          <w:rFonts w:hint="eastAsia" w:ascii="宋体" w:hAnsi="宋体" w:cs="宋体"/>
          <w:b/>
          <w:bCs/>
          <w:sz w:val="24"/>
          <w:szCs w:val="24"/>
          <w:lang w:eastAsia="zh-CN"/>
        </w:rPr>
        <w:t>）</w:t>
      </w:r>
      <w:r>
        <w:rPr>
          <w:rFonts w:hint="eastAsia" w:ascii="宋体" w:hAnsi="宋体" w:eastAsia="宋体" w:cs="宋体"/>
          <w:b/>
          <w:bCs/>
          <w:sz w:val="24"/>
          <w:szCs w:val="24"/>
        </w:rPr>
        <w:t>视频采集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能够采集和传输不同分辨率下的昼夜实时视频；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支持视频的亮度、对比度、饱和度等参数的动态调节；</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2</w:t>
      </w:r>
      <w:r>
        <w:rPr>
          <w:rFonts w:hint="eastAsia" w:ascii="宋体" w:hAnsi="宋体" w:cs="宋体"/>
          <w:b/>
          <w:bCs/>
          <w:sz w:val="24"/>
          <w:szCs w:val="24"/>
          <w:lang w:eastAsia="zh-CN"/>
        </w:rPr>
        <w:t>）</w:t>
      </w:r>
      <w:r>
        <w:rPr>
          <w:rFonts w:hint="eastAsia" w:ascii="宋体" w:hAnsi="宋体" w:eastAsia="宋体" w:cs="宋体"/>
          <w:b/>
          <w:bCs/>
          <w:sz w:val="24"/>
          <w:szCs w:val="24"/>
        </w:rPr>
        <w:t>运行维护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能够提供摄像机的工作状态；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能够支持中心对摄像机的批量校时；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能够远程重启摄像机；</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3</w:t>
      </w:r>
      <w:r>
        <w:rPr>
          <w:rFonts w:hint="eastAsia" w:ascii="宋体" w:hAnsi="宋体" w:cs="宋体"/>
          <w:b/>
          <w:bCs/>
          <w:sz w:val="24"/>
          <w:szCs w:val="24"/>
          <w:lang w:eastAsia="zh-CN"/>
        </w:rPr>
        <w:t>）</w:t>
      </w:r>
      <w:r>
        <w:rPr>
          <w:rFonts w:hint="eastAsia" w:ascii="宋体" w:hAnsi="宋体" w:eastAsia="宋体" w:cs="宋体"/>
          <w:b/>
          <w:bCs/>
          <w:sz w:val="24"/>
          <w:szCs w:val="24"/>
        </w:rPr>
        <w:t>智能分析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通过部署在中心各处的智能化摄像机实现对中心办事人员的异常行为进行分析预警。包括如下能力：</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4</w:t>
      </w:r>
      <w:r>
        <w:rPr>
          <w:rFonts w:hint="eastAsia" w:ascii="宋体" w:hAnsi="宋体" w:cs="宋体"/>
          <w:b/>
          <w:bCs/>
          <w:sz w:val="24"/>
          <w:szCs w:val="24"/>
          <w:lang w:eastAsia="zh-CN"/>
        </w:rPr>
        <w:t>）</w:t>
      </w:r>
      <w:r>
        <w:rPr>
          <w:rFonts w:hint="eastAsia" w:ascii="宋体" w:hAnsi="宋体" w:eastAsia="宋体" w:cs="宋体"/>
          <w:b/>
          <w:bCs/>
          <w:sz w:val="24"/>
          <w:szCs w:val="24"/>
        </w:rPr>
        <w:t>行为侦测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视频监控摄像机全面支持智能分析功能，可以有效提升监控系统的投资效果，降低监控人员工作量，大厅场景相关的智能分析技术：</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5</w:t>
      </w:r>
      <w:r>
        <w:rPr>
          <w:rFonts w:hint="eastAsia" w:ascii="宋体" w:hAnsi="宋体" w:cs="宋体"/>
          <w:b/>
          <w:bCs/>
          <w:sz w:val="24"/>
          <w:szCs w:val="24"/>
          <w:lang w:eastAsia="zh-CN"/>
        </w:rPr>
        <w:t>）</w:t>
      </w:r>
      <w:r>
        <w:rPr>
          <w:rFonts w:hint="eastAsia" w:ascii="宋体" w:hAnsi="宋体" w:eastAsia="宋体" w:cs="宋体"/>
          <w:b/>
          <w:bCs/>
          <w:sz w:val="24"/>
          <w:szCs w:val="24"/>
        </w:rPr>
        <w:t>越界侦测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侦测是否有目标按指定方向越过指定界线。当有目标越过指定界线时触发报警，并触发相应的报警联动方式</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6</w:t>
      </w:r>
      <w:r>
        <w:rPr>
          <w:rFonts w:hint="eastAsia" w:ascii="宋体" w:hAnsi="宋体" w:cs="宋体"/>
          <w:b/>
          <w:bCs/>
          <w:sz w:val="24"/>
          <w:szCs w:val="24"/>
          <w:lang w:eastAsia="zh-CN"/>
        </w:rPr>
        <w:t>）</w:t>
      </w:r>
      <w:r>
        <w:rPr>
          <w:rFonts w:hint="eastAsia" w:ascii="宋体" w:hAnsi="宋体" w:eastAsia="宋体" w:cs="宋体"/>
          <w:b/>
          <w:bCs/>
          <w:sz w:val="24"/>
          <w:szCs w:val="24"/>
        </w:rPr>
        <w:t>区域入侵侦测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检测在指定区域内是否有指定目标入侵。目标入侵触发报警所需时长由用户设定；支持检测多目标同时入侵；警戒区域设置多样化，如防区形状和数量；并具有多种报警联动方式</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7</w:t>
      </w:r>
      <w:r>
        <w:rPr>
          <w:rFonts w:hint="eastAsia" w:ascii="宋体" w:hAnsi="宋体" w:cs="宋体"/>
          <w:b/>
          <w:bCs/>
          <w:sz w:val="24"/>
          <w:szCs w:val="24"/>
          <w:lang w:eastAsia="zh-CN"/>
        </w:rPr>
        <w:t>）</w:t>
      </w:r>
      <w:r>
        <w:rPr>
          <w:rFonts w:hint="eastAsia" w:ascii="宋体" w:hAnsi="宋体" w:eastAsia="宋体" w:cs="宋体"/>
          <w:b/>
          <w:bCs/>
          <w:sz w:val="24"/>
          <w:szCs w:val="24"/>
        </w:rPr>
        <w:t>徘徊侦测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检测是否有目标在指定区域内徘徊超过设定的时间。检测时间长度由用户设定；警戒区域设置多样化；自动检测防区内滞留超过所设定时间的入侵者；</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8</w:t>
      </w:r>
      <w:r>
        <w:rPr>
          <w:rFonts w:hint="eastAsia" w:ascii="宋体" w:hAnsi="宋体" w:cs="宋体"/>
          <w:b/>
          <w:bCs/>
          <w:sz w:val="24"/>
          <w:szCs w:val="24"/>
          <w:lang w:eastAsia="zh-CN"/>
        </w:rPr>
        <w:t>）</w:t>
      </w:r>
      <w:r>
        <w:rPr>
          <w:rFonts w:hint="eastAsia" w:ascii="宋体" w:hAnsi="宋体" w:eastAsia="宋体" w:cs="宋体"/>
          <w:b/>
          <w:bCs/>
          <w:sz w:val="24"/>
          <w:szCs w:val="24"/>
        </w:rPr>
        <w:t>物品遗留侦测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检测指定区域是否出现遗留物体。检测区域设置多样化；检测物品遗留时间由用户指定；</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9</w:t>
      </w:r>
      <w:r>
        <w:rPr>
          <w:rFonts w:hint="eastAsia" w:ascii="宋体" w:hAnsi="宋体" w:cs="宋体"/>
          <w:b/>
          <w:bCs/>
          <w:sz w:val="24"/>
          <w:szCs w:val="24"/>
          <w:lang w:eastAsia="zh-CN"/>
        </w:rPr>
        <w:t>）</w:t>
      </w:r>
      <w:r>
        <w:rPr>
          <w:rFonts w:hint="eastAsia" w:ascii="宋体" w:hAnsi="宋体" w:eastAsia="宋体" w:cs="宋体"/>
          <w:b/>
          <w:bCs/>
          <w:sz w:val="24"/>
          <w:szCs w:val="24"/>
        </w:rPr>
        <w:t>物品拿取侦测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检测指定区域是否有物体被拿取。检测区域设置多样化；检测物品拿取时间由用户指定；</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10</w:t>
      </w:r>
      <w:r>
        <w:rPr>
          <w:rFonts w:hint="eastAsia" w:ascii="宋体" w:hAnsi="宋体" w:cs="宋体"/>
          <w:b/>
          <w:bCs/>
          <w:sz w:val="24"/>
          <w:szCs w:val="24"/>
          <w:lang w:eastAsia="zh-CN"/>
        </w:rPr>
        <w:t>）</w:t>
      </w:r>
      <w:r>
        <w:rPr>
          <w:rFonts w:hint="eastAsia" w:ascii="宋体" w:hAnsi="宋体" w:eastAsia="宋体" w:cs="宋体"/>
          <w:b/>
          <w:bCs/>
          <w:sz w:val="24"/>
          <w:szCs w:val="24"/>
        </w:rPr>
        <w:t>人员聚集侦测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检测在指定区域内的人员密度是否大于阈值。阈值由用户设定；检测区域设置多样化，如防区形状和数量；</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11</w:t>
      </w:r>
      <w:r>
        <w:rPr>
          <w:rFonts w:hint="eastAsia" w:ascii="宋体" w:hAnsi="宋体" w:cs="宋体"/>
          <w:b/>
          <w:bCs/>
          <w:sz w:val="24"/>
          <w:szCs w:val="24"/>
          <w:lang w:eastAsia="zh-CN"/>
        </w:rPr>
        <w:t>）</w:t>
      </w:r>
      <w:r>
        <w:rPr>
          <w:rFonts w:hint="eastAsia" w:ascii="宋体" w:hAnsi="宋体" w:eastAsia="宋体" w:cs="宋体"/>
          <w:b/>
          <w:bCs/>
          <w:sz w:val="24"/>
          <w:szCs w:val="24"/>
        </w:rPr>
        <w:t>快速移动侦测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检测是否有目标在指定区域内的运动速度大于阈值。阈值由用户设定；检测区域设置多样化，如防区形状和数量；自动检测防区内运动过快的目标；</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12</w:t>
      </w:r>
      <w:r>
        <w:rPr>
          <w:rFonts w:hint="eastAsia" w:ascii="宋体" w:hAnsi="宋体" w:cs="宋体"/>
          <w:b/>
          <w:bCs/>
          <w:sz w:val="24"/>
          <w:szCs w:val="24"/>
          <w:lang w:eastAsia="zh-CN"/>
        </w:rPr>
        <w:t>）</w:t>
      </w:r>
      <w:r>
        <w:rPr>
          <w:rFonts w:hint="eastAsia" w:ascii="宋体" w:hAnsi="宋体" w:eastAsia="宋体" w:cs="宋体"/>
          <w:b/>
          <w:bCs/>
          <w:sz w:val="24"/>
          <w:szCs w:val="24"/>
        </w:rPr>
        <w:t>异常侦测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虚焦侦测通过对视频图像中存在的虚焦问题进行智能分析并给出结果，对虚焦视频进行自动提醒功能。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场景变更侦测能分析被监控场景是否发生变更，一旦发生变更则会触发报警。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音频侦测功能是通过对声音的强度进行检测，对于拾音器断开、超过一定声音强度阈值或超过一定声音突变的变化量阈值可实现自动预警功能。</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13</w:t>
      </w:r>
      <w:r>
        <w:rPr>
          <w:rFonts w:hint="eastAsia" w:ascii="宋体" w:hAnsi="宋体" w:cs="宋体"/>
          <w:b/>
          <w:bCs/>
          <w:sz w:val="24"/>
          <w:szCs w:val="24"/>
          <w:lang w:eastAsia="zh-CN"/>
        </w:rPr>
        <w:t>）</w:t>
      </w:r>
      <w:r>
        <w:rPr>
          <w:rFonts w:hint="eastAsia" w:ascii="宋体" w:hAnsi="宋体" w:eastAsia="宋体" w:cs="宋体"/>
          <w:b/>
          <w:bCs/>
          <w:sz w:val="24"/>
          <w:szCs w:val="24"/>
        </w:rPr>
        <w:t>客流统计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基于智能视频分析技术对客流量进行统计，可统计进入和离开的人数；对客流量进行周期性统计，进行报表输出。</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14</w:t>
      </w:r>
      <w:r>
        <w:rPr>
          <w:rFonts w:hint="eastAsia" w:ascii="宋体" w:hAnsi="宋体" w:cs="宋体"/>
          <w:b/>
          <w:bCs/>
          <w:sz w:val="24"/>
          <w:szCs w:val="24"/>
          <w:lang w:eastAsia="zh-CN"/>
        </w:rPr>
        <w:t>）</w:t>
      </w:r>
      <w:r>
        <w:rPr>
          <w:rFonts w:hint="eastAsia" w:ascii="宋体" w:hAnsi="宋体" w:eastAsia="宋体" w:cs="宋体"/>
          <w:b/>
          <w:bCs/>
          <w:sz w:val="24"/>
          <w:szCs w:val="24"/>
        </w:rPr>
        <w:t>视频实时预览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获得各个出入口区域、大厅区域清晰的实时监控图像，随时掌握出入口人员进出情况、人员分布情况。</w:t>
      </w:r>
    </w:p>
    <w:p>
      <w:pPr>
        <w:spacing w:line="360" w:lineRule="auto"/>
        <w:rPr>
          <w:rFonts w:ascii="宋体" w:hAnsi="宋体" w:eastAsia="宋体" w:cs="宋体"/>
          <w:b/>
          <w:bCs/>
          <w:sz w:val="24"/>
          <w:szCs w:val="24"/>
        </w:rPr>
      </w:pPr>
      <w:r>
        <w:rPr>
          <w:rFonts w:hint="eastAsia" w:ascii="宋体" w:hAnsi="宋体" w:cs="宋体"/>
          <w:b/>
          <w:bCs/>
          <w:sz w:val="24"/>
          <w:szCs w:val="24"/>
          <w:lang w:val="en-US" w:eastAsia="zh-CN"/>
        </w:rPr>
        <w:t>3、</w:t>
      </w:r>
      <w:r>
        <w:rPr>
          <w:rFonts w:hint="eastAsia" w:ascii="宋体" w:hAnsi="宋体" w:eastAsia="宋体" w:cs="宋体"/>
          <w:b/>
          <w:bCs/>
          <w:sz w:val="24"/>
          <w:szCs w:val="24"/>
        </w:rPr>
        <w:t>PAD终端</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应政务服务2.0硬件配置要求，为中心大厅办事员工对应工位补充75台智能终端PAD，为办事群众提供评价终端，通过浙江省好差评系统汇聚好差评数据</w:t>
      </w:r>
      <w:r>
        <w:rPr>
          <w:rFonts w:hint="eastAsia" w:ascii="宋体" w:hAnsi="宋体" w:cs="宋体"/>
          <w:sz w:val="24"/>
          <w:szCs w:val="24"/>
          <w:lang w:eastAsia="zh-CN"/>
        </w:rPr>
        <w:t>。</w:t>
      </w:r>
    </w:p>
    <w:p>
      <w:pPr>
        <w:spacing w:line="360" w:lineRule="auto"/>
        <w:rPr>
          <w:rFonts w:ascii="宋体" w:hAnsi="宋体" w:eastAsia="宋体" w:cs="宋体"/>
          <w:b/>
          <w:bCs/>
          <w:sz w:val="24"/>
          <w:szCs w:val="24"/>
        </w:rPr>
      </w:pPr>
      <w:r>
        <w:rPr>
          <w:rFonts w:hint="eastAsia" w:ascii="宋体" w:hAnsi="宋体" w:cs="宋体"/>
          <w:b/>
          <w:bCs/>
          <w:sz w:val="24"/>
          <w:szCs w:val="24"/>
          <w:lang w:val="en-US" w:eastAsia="zh-CN"/>
        </w:rPr>
        <w:t>4、</w:t>
      </w:r>
      <w:r>
        <w:rPr>
          <w:rFonts w:hint="eastAsia" w:ascii="宋体" w:hAnsi="宋体" w:eastAsia="宋体" w:cs="宋体"/>
          <w:b/>
          <w:bCs/>
          <w:sz w:val="24"/>
          <w:szCs w:val="24"/>
        </w:rPr>
        <w:t>设备参数</w:t>
      </w:r>
    </w:p>
    <w:tbl>
      <w:tblPr>
        <w:tblStyle w:val="19"/>
        <w:tblW w:w="9206" w:type="dxa"/>
        <w:tblInd w:w="0" w:type="dxa"/>
        <w:tblLayout w:type="fixed"/>
        <w:tblCellMar>
          <w:top w:w="0" w:type="dxa"/>
          <w:left w:w="108" w:type="dxa"/>
          <w:bottom w:w="0" w:type="dxa"/>
          <w:right w:w="108" w:type="dxa"/>
        </w:tblCellMar>
      </w:tblPr>
      <w:tblGrid>
        <w:gridCol w:w="729"/>
        <w:gridCol w:w="945"/>
        <w:gridCol w:w="6000"/>
        <w:gridCol w:w="826"/>
        <w:gridCol w:w="706"/>
      </w:tblGrid>
      <w:tr>
        <w:tblPrEx>
          <w:tblCellMar>
            <w:top w:w="0" w:type="dxa"/>
            <w:left w:w="108" w:type="dxa"/>
            <w:bottom w:w="0" w:type="dxa"/>
            <w:right w:w="108" w:type="dxa"/>
          </w:tblCellMar>
        </w:tblPrEx>
        <w:trPr>
          <w:trHeight w:val="20" w:hRule="atLeast"/>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rPr>
            </w:pPr>
            <w:r>
              <w:rPr>
                <w:rFonts w:hint="eastAsia" w:ascii="宋体" w:hAnsi="宋体" w:eastAsia="宋体" w:cs="宋体"/>
                <w:b/>
                <w:bCs/>
              </w:rPr>
              <w:t>序号</w:t>
            </w:r>
          </w:p>
        </w:tc>
        <w:tc>
          <w:tcPr>
            <w:tcW w:w="94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rPr>
            </w:pPr>
            <w:r>
              <w:rPr>
                <w:rFonts w:hint="eastAsia" w:ascii="宋体" w:hAnsi="宋体" w:eastAsia="宋体" w:cs="宋体"/>
                <w:b/>
                <w:bCs/>
              </w:rPr>
              <w:t>硬件 名称</w:t>
            </w:r>
          </w:p>
        </w:tc>
        <w:tc>
          <w:tcPr>
            <w:tcW w:w="60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rPr>
            </w:pPr>
            <w:r>
              <w:rPr>
                <w:rFonts w:hint="eastAsia" w:ascii="宋体" w:hAnsi="宋体" w:eastAsia="宋体" w:cs="宋体"/>
                <w:b/>
                <w:bCs/>
              </w:rPr>
              <w:t>新  参  数</w:t>
            </w:r>
          </w:p>
        </w:tc>
        <w:tc>
          <w:tcPr>
            <w:tcW w:w="8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rPr>
            </w:pPr>
            <w:r>
              <w:rPr>
                <w:rFonts w:hint="eastAsia" w:ascii="宋体" w:hAnsi="宋体" w:eastAsia="宋体" w:cs="宋体"/>
                <w:b/>
                <w:bCs/>
              </w:rPr>
              <w:t>数量</w:t>
            </w:r>
          </w:p>
        </w:tc>
        <w:tc>
          <w:tcPr>
            <w:tcW w:w="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rPr>
            </w:pPr>
            <w:r>
              <w:rPr>
                <w:rFonts w:hint="eastAsia" w:ascii="宋体" w:hAnsi="宋体" w:eastAsia="宋体" w:cs="宋体"/>
                <w:b/>
                <w:bCs/>
              </w:rPr>
              <w:t>单位</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政务大厅智能终端PAD（含支架）</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屏幕尺寸  ≥10.4英寸</w:t>
            </w:r>
          </w:p>
          <w:p>
            <w:pPr>
              <w:widowControl/>
              <w:jc w:val="left"/>
              <w:rPr>
                <w:rFonts w:ascii="宋体" w:hAnsi="宋体" w:eastAsia="宋体" w:cs="宋体"/>
              </w:rPr>
            </w:pPr>
            <w:r>
              <w:rPr>
                <w:rFonts w:hint="eastAsia" w:ascii="宋体" w:hAnsi="宋体" w:eastAsia="宋体" w:cs="宋体"/>
              </w:rPr>
              <w:t>分辨率  ≥2000 x 1200</w:t>
            </w:r>
          </w:p>
          <w:p>
            <w:pPr>
              <w:widowControl/>
              <w:jc w:val="left"/>
              <w:rPr>
                <w:rFonts w:ascii="宋体" w:hAnsi="宋体" w:eastAsia="宋体" w:cs="宋体"/>
              </w:rPr>
            </w:pPr>
            <w:r>
              <w:rPr>
                <w:rFonts w:hint="eastAsia" w:ascii="宋体" w:hAnsi="宋体" w:eastAsia="宋体" w:cs="宋体"/>
              </w:rPr>
              <w:t>屏幕色彩  ≥1670万色</w:t>
            </w:r>
          </w:p>
          <w:p>
            <w:pPr>
              <w:widowControl/>
              <w:jc w:val="left"/>
              <w:rPr>
                <w:rFonts w:ascii="宋体" w:hAnsi="宋体" w:eastAsia="宋体" w:cs="宋体"/>
              </w:rPr>
            </w:pPr>
            <w:r>
              <w:rPr>
                <w:rFonts w:hint="eastAsia" w:ascii="宋体" w:hAnsi="宋体" w:eastAsia="宋体" w:cs="宋体"/>
              </w:rPr>
              <w:t>电池容量  ≥7250 mAh</w:t>
            </w:r>
          </w:p>
          <w:p>
            <w:pPr>
              <w:widowControl/>
              <w:jc w:val="left"/>
              <w:rPr>
                <w:rFonts w:ascii="宋体" w:hAnsi="宋体" w:eastAsia="宋体" w:cs="宋体"/>
              </w:rPr>
            </w:pPr>
            <w:r>
              <w:rPr>
                <w:rFonts w:hint="eastAsia" w:ascii="宋体" w:hAnsi="宋体" w:eastAsia="宋体" w:cs="宋体"/>
              </w:rPr>
              <w:t>CPU核数  八核，1 x A76 Based 2.36 GHz + 3 x A76 Based 2.22 GHz + 4 x A55 Based 1.84 GHz</w:t>
            </w:r>
            <w:r>
              <w:rPr>
                <w:rFonts w:hint="eastAsia" w:ascii="宋体" w:hAnsi="宋体" w:eastAsia="宋体" w:cs="宋体"/>
              </w:rPr>
              <w:br w:type="textWrapping"/>
            </w:r>
            <w:r>
              <w:rPr>
                <w:rFonts w:hint="eastAsia" w:ascii="宋体" w:hAnsi="宋体" w:eastAsia="宋体" w:cs="宋体"/>
              </w:rPr>
              <w:t>运行内存（RAM）  ≥4GB</w:t>
            </w:r>
            <w:r>
              <w:rPr>
                <w:rFonts w:hint="eastAsia" w:ascii="宋体" w:hAnsi="宋体" w:eastAsia="宋体" w:cs="宋体"/>
              </w:rPr>
              <w:br w:type="textWrapping"/>
            </w:r>
            <w:r>
              <w:rPr>
                <w:rFonts w:hint="eastAsia" w:ascii="宋体" w:hAnsi="宋体" w:eastAsia="宋体" w:cs="宋体"/>
              </w:rPr>
              <w:t>存储容量（ROM）  ≥64GB</w:t>
            </w:r>
            <w:r>
              <w:rPr>
                <w:rFonts w:hint="eastAsia" w:ascii="宋体" w:hAnsi="宋体" w:eastAsia="宋体" w:cs="宋体"/>
              </w:rPr>
              <w:br w:type="textWrapping"/>
            </w:r>
            <w:r>
              <w:rPr>
                <w:rFonts w:hint="eastAsia" w:ascii="宋体" w:hAnsi="宋体" w:eastAsia="宋体" w:cs="宋体"/>
              </w:rPr>
              <w:t>前置摄像头  ≥800万像素, 固定焦距</w:t>
            </w:r>
            <w:r>
              <w:rPr>
                <w:rFonts w:hint="eastAsia" w:ascii="宋体" w:hAnsi="宋体" w:eastAsia="宋体" w:cs="宋体"/>
              </w:rPr>
              <w:br w:type="textWrapping"/>
            </w:r>
            <w:r>
              <w:rPr>
                <w:rFonts w:hint="eastAsia" w:ascii="宋体" w:hAnsi="宋体" w:eastAsia="宋体" w:cs="宋体"/>
              </w:rPr>
              <w:t>后置摄像头  ≥800万像素, 自动对焦</w:t>
            </w:r>
            <w:r>
              <w:rPr>
                <w:rFonts w:hint="eastAsia" w:ascii="宋体" w:hAnsi="宋体" w:eastAsia="宋体" w:cs="宋体"/>
              </w:rPr>
              <w:br w:type="textWrapping"/>
            </w:r>
            <w:r>
              <w:rPr>
                <w:rFonts w:hint="eastAsia" w:ascii="宋体" w:hAnsi="宋体" w:eastAsia="宋体" w:cs="宋体"/>
              </w:rPr>
              <w:t>扩展支持  MicroSD（最高支持到 512GB）</w:t>
            </w:r>
          </w:p>
          <w:p>
            <w:pPr>
              <w:widowControl/>
              <w:jc w:val="left"/>
              <w:rPr>
                <w:rFonts w:ascii="宋体" w:hAnsi="宋体" w:eastAsia="宋体" w:cs="宋体"/>
              </w:rPr>
            </w:pPr>
            <w:r>
              <w:rPr>
                <w:rFonts w:hint="eastAsia" w:ascii="宋体" w:hAnsi="宋体" w:eastAsia="宋体" w:cs="宋体"/>
              </w:rPr>
              <w:t>提供支撑支架</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75</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无线路由器</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1、1800M双频全千兆家用Wi-Fi6无线路由器，企业级芯片方案，千兆宽带接入能力，双核4线程CPU，支持硬件NAT，带机≥48台终端，无线：双频1800Mbps；有线：1WAN+4LAN共5个千兆网口，支持最新802.11AX标准，支持WI-FI无缝漫游，内置2+2独立高性能信号放大器</w:t>
            </w:r>
          </w:p>
          <w:p>
            <w:pPr>
              <w:widowControl/>
              <w:jc w:val="left"/>
              <w:rPr>
                <w:rFonts w:ascii="宋体" w:hAnsi="宋体" w:eastAsia="宋体" w:cs="宋体"/>
              </w:rPr>
            </w:pPr>
            <w:r>
              <w:rPr>
                <w:rFonts w:ascii="宋体" w:hAnsi="宋体" w:eastAsia="宋体" w:cs="宋体"/>
              </w:rPr>
              <w:t>2</w:t>
            </w:r>
            <w:r>
              <w:rPr>
                <w:rFonts w:hint="eastAsia" w:ascii="宋体" w:hAnsi="宋体" w:eastAsia="宋体" w:cs="宋体"/>
              </w:rPr>
              <w:t>、★产品有1个一键桥接按键，1个系统重置按键，提供官网截图和链接</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12</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个</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3</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720度VR全景相机（加支架及存储卡）</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类型    全景相机</w:t>
            </w:r>
            <w:r>
              <w:rPr>
                <w:rFonts w:hint="eastAsia" w:ascii="宋体" w:hAnsi="宋体" w:eastAsia="宋体" w:cs="宋体"/>
              </w:rPr>
              <w:br w:type="textWrapping"/>
            </w:r>
            <w:r>
              <w:rPr>
                <w:rFonts w:hint="eastAsia" w:ascii="宋体" w:hAnsi="宋体" w:eastAsia="宋体" w:cs="宋体"/>
              </w:rPr>
              <w:t>传感器类型    CMOS</w:t>
            </w:r>
            <w:r>
              <w:rPr>
                <w:rFonts w:hint="eastAsia" w:ascii="宋体" w:hAnsi="宋体" w:eastAsia="宋体" w:cs="宋体"/>
              </w:rPr>
              <w:br w:type="textWrapping"/>
            </w:r>
            <w:r>
              <w:rPr>
                <w:rFonts w:hint="eastAsia" w:ascii="宋体" w:hAnsi="宋体" w:eastAsia="宋体" w:cs="宋体"/>
              </w:rPr>
              <w:t>有效像素    1000-1199万</w:t>
            </w:r>
            <w:r>
              <w:rPr>
                <w:rFonts w:hint="eastAsia" w:ascii="宋体" w:hAnsi="宋体" w:eastAsia="宋体" w:cs="宋体"/>
              </w:rPr>
              <w:br w:type="textWrapping"/>
            </w:r>
            <w:r>
              <w:rPr>
                <w:rFonts w:hint="eastAsia" w:ascii="宋体" w:hAnsi="宋体" w:eastAsia="宋体" w:cs="宋体"/>
              </w:rPr>
              <w:t>光学变焦倍数    0-4倍</w:t>
            </w:r>
            <w:r>
              <w:rPr>
                <w:rFonts w:hint="eastAsia" w:ascii="宋体" w:hAnsi="宋体" w:eastAsia="宋体" w:cs="宋体"/>
              </w:rPr>
              <w:br w:type="textWrapping"/>
            </w:r>
            <w:r>
              <w:rPr>
                <w:rFonts w:hint="eastAsia" w:ascii="宋体" w:hAnsi="宋体" w:eastAsia="宋体" w:cs="宋体"/>
              </w:rPr>
              <w:t>白平衡模式    自动</w:t>
            </w:r>
            <w:r>
              <w:rPr>
                <w:rFonts w:hint="eastAsia" w:ascii="宋体" w:hAnsi="宋体" w:eastAsia="宋体" w:cs="宋体"/>
              </w:rPr>
              <w:br w:type="textWrapping"/>
            </w:r>
            <w:r>
              <w:rPr>
                <w:rFonts w:hint="eastAsia" w:ascii="宋体" w:hAnsi="宋体" w:eastAsia="宋体" w:cs="宋体"/>
              </w:rPr>
              <w:t>ISO感光度    100～1600</w:t>
            </w:r>
            <w:r>
              <w:rPr>
                <w:rFonts w:hint="eastAsia" w:ascii="宋体" w:hAnsi="宋体" w:eastAsia="宋体" w:cs="宋体"/>
              </w:rPr>
              <w:br w:type="textWrapping"/>
            </w:r>
            <w:r>
              <w:rPr>
                <w:rFonts w:hint="eastAsia" w:ascii="宋体" w:hAnsi="宋体" w:eastAsia="宋体" w:cs="宋体"/>
              </w:rPr>
              <w:t>滤镜直径    其他</w:t>
            </w:r>
            <w:r>
              <w:rPr>
                <w:rFonts w:hint="eastAsia" w:ascii="宋体" w:hAnsi="宋体" w:eastAsia="宋体" w:cs="宋体"/>
              </w:rPr>
              <w:br w:type="textWrapping"/>
            </w:r>
            <w:r>
              <w:rPr>
                <w:rFonts w:hint="eastAsia" w:ascii="宋体" w:hAnsi="宋体" w:eastAsia="宋体" w:cs="宋体"/>
              </w:rPr>
              <w:t>最近对焦距离    约10cm</w:t>
            </w:r>
            <w:r>
              <w:rPr>
                <w:rFonts w:hint="eastAsia" w:ascii="宋体" w:hAnsi="宋体" w:eastAsia="宋体" w:cs="宋体"/>
              </w:rPr>
              <w:br w:type="textWrapping"/>
            </w:r>
            <w:r>
              <w:rPr>
                <w:rFonts w:hint="eastAsia" w:ascii="宋体" w:hAnsi="宋体" w:eastAsia="宋体" w:cs="宋体"/>
              </w:rPr>
              <w:t>最大光圈    F2</w:t>
            </w:r>
            <w:r>
              <w:rPr>
                <w:rFonts w:hint="eastAsia" w:ascii="宋体" w:hAnsi="宋体" w:eastAsia="宋体" w:cs="宋体"/>
              </w:rPr>
              <w:br w:type="textWrapping"/>
            </w:r>
            <w:r>
              <w:rPr>
                <w:rFonts w:hint="eastAsia" w:ascii="宋体" w:hAnsi="宋体" w:eastAsia="宋体" w:cs="宋体"/>
              </w:rPr>
              <w:t>电池型号 内置可充电锂离子电池</w:t>
            </w:r>
            <w:r>
              <w:rPr>
                <w:rFonts w:hint="eastAsia" w:ascii="宋体" w:hAnsi="宋体" w:eastAsia="宋体" w:cs="宋体"/>
              </w:rPr>
              <w:br w:type="textWrapping"/>
            </w:r>
            <w:r>
              <w:rPr>
                <w:rFonts w:hint="eastAsia" w:ascii="宋体" w:hAnsi="宋体" w:eastAsia="宋体" w:cs="宋体"/>
              </w:rPr>
              <w:t>电池续航时间</w:t>
            </w:r>
            <w:r>
              <w:rPr>
                <w:rFonts w:ascii="宋体" w:hAnsi="宋体" w:eastAsia="宋体" w:cs="宋体"/>
              </w:rPr>
              <w:t xml:space="preserve"> </w:t>
            </w:r>
            <w:r>
              <w:rPr>
                <w:rFonts w:hint="eastAsia" w:ascii="宋体" w:hAnsi="宋体" w:eastAsia="宋体" w:cs="宋体"/>
              </w:rPr>
              <w:t>约500张</w:t>
            </w:r>
            <w:r>
              <w:rPr>
                <w:rFonts w:hint="eastAsia" w:ascii="宋体" w:hAnsi="宋体" w:eastAsia="宋体" w:cs="宋体"/>
              </w:rPr>
              <w:br w:type="textWrapping"/>
            </w:r>
            <w:r>
              <w:rPr>
                <w:rFonts w:hint="eastAsia" w:ascii="宋体" w:hAnsi="宋体" w:eastAsia="宋体" w:cs="宋体"/>
              </w:rPr>
              <w:t>存储介质</w:t>
            </w:r>
            <w:r>
              <w:rPr>
                <w:rFonts w:ascii="宋体" w:hAnsi="宋体" w:eastAsia="宋体" w:cs="宋体"/>
              </w:rPr>
              <w:t xml:space="preserve"> </w:t>
            </w:r>
            <w:r>
              <w:rPr>
                <w:rFonts w:hint="eastAsia" w:ascii="宋体" w:hAnsi="宋体" w:eastAsia="宋体" w:cs="宋体"/>
              </w:rPr>
              <w:t>支持TF（MicroSD）卡</w:t>
            </w:r>
            <w:r>
              <w:rPr>
                <w:rFonts w:hint="eastAsia" w:ascii="宋体" w:hAnsi="宋体" w:eastAsia="宋体" w:cs="宋体"/>
              </w:rPr>
              <w:br w:type="textWrapping"/>
            </w:r>
            <w:r>
              <w:rPr>
                <w:rFonts w:hint="eastAsia" w:ascii="宋体" w:hAnsi="宋体" w:eastAsia="宋体" w:cs="宋体"/>
              </w:rPr>
              <w:t>机身内存</w:t>
            </w:r>
            <w:r>
              <w:rPr>
                <w:rFonts w:ascii="宋体" w:hAnsi="宋体" w:eastAsia="宋体" w:cs="宋体"/>
              </w:rPr>
              <w:t xml:space="preserve"> </w:t>
            </w:r>
            <w:r>
              <w:rPr>
                <w:rFonts w:hint="eastAsia" w:ascii="宋体" w:hAnsi="宋体" w:eastAsia="宋体" w:cs="宋体"/>
              </w:rPr>
              <w:t>约14GB</w:t>
            </w:r>
            <w:r>
              <w:rPr>
                <w:rFonts w:hint="eastAsia" w:ascii="宋体" w:hAnsi="宋体" w:eastAsia="宋体" w:cs="宋体"/>
              </w:rPr>
              <w:br w:type="textWrapping"/>
            </w:r>
            <w:r>
              <w:rPr>
                <w:rFonts w:hint="eastAsia" w:ascii="宋体" w:hAnsi="宋体" w:eastAsia="宋体" w:cs="宋体"/>
              </w:rPr>
              <w:t>接口</w:t>
            </w:r>
            <w:r>
              <w:rPr>
                <w:rFonts w:ascii="宋体" w:hAnsi="宋体" w:eastAsia="宋体" w:cs="宋体"/>
              </w:rPr>
              <w:t xml:space="preserve"> </w:t>
            </w:r>
            <w:r>
              <w:rPr>
                <w:rFonts w:hint="eastAsia" w:ascii="宋体" w:hAnsi="宋体" w:eastAsia="宋体" w:cs="宋体"/>
              </w:rPr>
              <w:t xml:space="preserve">Wi-Fi </w:t>
            </w:r>
          </w:p>
          <w:p>
            <w:pPr>
              <w:widowControl/>
              <w:jc w:val="left"/>
              <w:rPr>
                <w:rFonts w:ascii="宋体" w:hAnsi="宋体" w:eastAsia="宋体" w:cs="宋体"/>
              </w:rPr>
            </w:pPr>
            <w:r>
              <w:rPr>
                <w:rFonts w:hint="eastAsia" w:ascii="宋体" w:hAnsi="宋体" w:eastAsia="宋体" w:cs="宋体"/>
              </w:rPr>
              <w:t>提供支架及64G存储卡</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套</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4</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24寸桌面显示终端</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≥23.8寸 分辨率≥1920*1080，有HDMI 接口</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5</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65寸立式广告机</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屏幕尺寸：≥65英寸</w:t>
            </w:r>
            <w:r>
              <w:rPr>
                <w:rFonts w:hint="eastAsia" w:ascii="宋体" w:hAnsi="宋体" w:eastAsia="宋体" w:cs="宋体"/>
              </w:rPr>
              <w:br w:type="textWrapping"/>
            </w:r>
            <w:r>
              <w:rPr>
                <w:rFonts w:hint="eastAsia" w:ascii="宋体" w:hAnsi="宋体" w:eastAsia="宋体" w:cs="宋体"/>
              </w:rPr>
              <w:t>屏幕刷新率：60Hz</w:t>
            </w:r>
            <w:r>
              <w:rPr>
                <w:rFonts w:hint="eastAsia" w:ascii="宋体" w:hAnsi="宋体" w:eastAsia="宋体" w:cs="宋体"/>
              </w:rPr>
              <w:br w:type="textWrapping"/>
            </w:r>
            <w:r>
              <w:rPr>
                <w:rFonts w:hint="eastAsia" w:ascii="宋体" w:hAnsi="宋体" w:eastAsia="宋体" w:cs="宋体"/>
              </w:rPr>
              <w:t>分辨率：≥3840*2160dpi</w:t>
            </w:r>
            <w:r>
              <w:rPr>
                <w:rFonts w:hint="eastAsia" w:ascii="宋体" w:hAnsi="宋体" w:eastAsia="宋体" w:cs="宋体"/>
              </w:rPr>
              <w:br w:type="textWrapping"/>
            </w:r>
            <w:r>
              <w:rPr>
                <w:rFonts w:hint="eastAsia" w:ascii="宋体" w:hAnsi="宋体" w:eastAsia="宋体" w:cs="宋体"/>
              </w:rPr>
              <w:t>面板：IPS技术</w:t>
            </w:r>
            <w:r>
              <w:rPr>
                <w:rFonts w:hint="eastAsia" w:ascii="宋体" w:hAnsi="宋体" w:eastAsia="宋体" w:cs="宋体"/>
              </w:rPr>
              <w:br w:type="textWrapping"/>
            </w:r>
            <w:r>
              <w:rPr>
                <w:rFonts w:hint="eastAsia" w:ascii="宋体" w:hAnsi="宋体" w:eastAsia="宋体" w:cs="宋体"/>
              </w:rPr>
              <w:t>屏幕比例：16:9</w:t>
            </w:r>
            <w:r>
              <w:rPr>
                <w:rFonts w:hint="eastAsia" w:ascii="宋体" w:hAnsi="宋体" w:eastAsia="宋体" w:cs="宋体"/>
              </w:rPr>
              <w:br w:type="textWrapping"/>
            </w:r>
            <w:r>
              <w:rPr>
                <w:rFonts w:hint="eastAsia" w:ascii="宋体" w:hAnsi="宋体" w:eastAsia="宋体" w:cs="宋体"/>
              </w:rPr>
              <w:t>特性：商用大屏显示器，广告机/电子白板，内置音箱，触控屏，可壁挂</w:t>
            </w:r>
            <w:r>
              <w:rPr>
                <w:rFonts w:hint="eastAsia" w:ascii="宋体" w:hAnsi="宋体" w:eastAsia="宋体" w:cs="宋体"/>
              </w:rPr>
              <w:br w:type="textWrapping"/>
            </w:r>
            <w:r>
              <w:rPr>
                <w:rFonts w:hint="eastAsia" w:ascii="宋体" w:hAnsi="宋体" w:eastAsia="宋体" w:cs="宋体"/>
              </w:rPr>
              <w:t>接口：HDMI，DVI，VGA，其他</w:t>
            </w:r>
            <w:r>
              <w:rPr>
                <w:rFonts w:hint="eastAsia" w:ascii="宋体" w:hAnsi="宋体" w:eastAsia="宋体" w:cs="宋体"/>
              </w:rPr>
              <w:br w:type="textWrapping"/>
            </w:r>
            <w:r>
              <w:rPr>
                <w:rFonts w:hint="eastAsia" w:ascii="宋体" w:hAnsi="宋体" w:eastAsia="宋体" w:cs="宋体"/>
              </w:rPr>
              <w:t>系统：安卓</w:t>
            </w:r>
            <w:r>
              <w:rPr>
                <w:rFonts w:hint="eastAsia" w:ascii="宋体" w:hAnsi="宋体" w:eastAsia="宋体" w:cs="宋体"/>
              </w:rPr>
              <w:br w:type="textWrapping"/>
            </w:r>
            <w:r>
              <w:rPr>
                <w:rFonts w:hint="eastAsia" w:ascii="宋体" w:hAnsi="宋体" w:eastAsia="宋体" w:cs="宋体"/>
              </w:rPr>
              <w:t>显示：点距 0.300mm</w:t>
            </w:r>
            <w:r>
              <w:rPr>
                <w:rFonts w:hint="eastAsia" w:ascii="宋体" w:hAnsi="宋体" w:eastAsia="宋体" w:cs="宋体"/>
              </w:rPr>
              <w:br w:type="textWrapping"/>
            </w:r>
            <w:r>
              <w:rPr>
                <w:rFonts w:hint="eastAsia" w:ascii="宋体" w:hAnsi="宋体" w:eastAsia="宋体" w:cs="宋体"/>
              </w:rPr>
              <w:t>亮度：≥300cd/㎡</w:t>
            </w:r>
            <w:r>
              <w:rPr>
                <w:rFonts w:hint="eastAsia" w:ascii="宋体" w:hAnsi="宋体" w:eastAsia="宋体" w:cs="宋体"/>
              </w:rPr>
              <w:br w:type="textWrapping"/>
            </w:r>
            <w:r>
              <w:rPr>
                <w:rFonts w:hint="eastAsia" w:ascii="宋体" w:hAnsi="宋体" w:eastAsia="宋体" w:cs="宋体"/>
              </w:rPr>
              <w:t>色数：16.7M</w:t>
            </w:r>
            <w:r>
              <w:rPr>
                <w:rFonts w:hint="eastAsia" w:ascii="宋体" w:hAnsi="宋体" w:eastAsia="宋体" w:cs="宋体"/>
              </w:rPr>
              <w:br w:type="textWrapping"/>
            </w:r>
            <w:r>
              <w:rPr>
                <w:rFonts w:hint="eastAsia" w:ascii="宋体" w:hAnsi="宋体" w:eastAsia="宋体" w:cs="宋体"/>
              </w:rPr>
              <w:t>电源类型：外接电源适配器</w:t>
            </w:r>
            <w:r>
              <w:rPr>
                <w:rFonts w:hint="eastAsia" w:ascii="宋体" w:hAnsi="宋体" w:eastAsia="宋体" w:cs="宋体"/>
              </w:rPr>
              <w:br w:type="textWrapping"/>
            </w:r>
            <w:r>
              <w:rPr>
                <w:rFonts w:hint="eastAsia" w:ascii="宋体" w:hAnsi="宋体" w:eastAsia="宋体" w:cs="宋体"/>
              </w:rPr>
              <w:t>底座：普通</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8</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6</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UPS间温湿度记录仪</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保存环境： 0℃-80℃</w:t>
            </w:r>
            <w:r>
              <w:rPr>
                <w:rFonts w:hint="eastAsia" w:ascii="宋体" w:hAnsi="宋体" w:eastAsia="宋体" w:cs="宋体"/>
              </w:rPr>
              <w:br w:type="textWrapping"/>
            </w:r>
            <w:r>
              <w:rPr>
                <w:rFonts w:hint="eastAsia" w:ascii="宋体" w:hAnsi="宋体" w:eastAsia="宋体" w:cs="宋体"/>
              </w:rPr>
              <w:t>显示范围：≤0.1℃</w:t>
            </w:r>
            <w:r>
              <w:rPr>
                <w:rFonts w:hint="eastAsia" w:ascii="宋体" w:hAnsi="宋体" w:eastAsia="宋体" w:cs="宋体"/>
              </w:rPr>
              <w:br w:type="textWrapping"/>
            </w:r>
            <w:r>
              <w:rPr>
                <w:rFonts w:hint="eastAsia" w:ascii="宋体" w:hAnsi="宋体" w:eastAsia="宋体" w:cs="宋体"/>
              </w:rPr>
              <w:t>测量精度：≤±0.3℃</w:t>
            </w:r>
            <w:r>
              <w:rPr>
                <w:rFonts w:hint="eastAsia" w:ascii="宋体" w:hAnsi="宋体" w:eastAsia="宋体" w:cs="宋体"/>
              </w:rPr>
              <w:br w:type="textWrapping"/>
            </w:r>
            <w:r>
              <w:rPr>
                <w:rFonts w:hint="eastAsia" w:ascii="宋体" w:hAnsi="宋体" w:eastAsia="宋体" w:cs="宋体"/>
              </w:rPr>
              <w:t>测量距离：≥100平米</w:t>
            </w:r>
            <w:r>
              <w:rPr>
                <w:rFonts w:hint="eastAsia" w:ascii="宋体" w:hAnsi="宋体" w:eastAsia="宋体" w:cs="宋体"/>
              </w:rPr>
              <w:br w:type="textWrapping"/>
            </w:r>
            <w:r>
              <w:rPr>
                <w:rFonts w:hint="eastAsia" w:ascii="宋体" w:hAnsi="宋体" w:eastAsia="宋体" w:cs="宋体"/>
              </w:rPr>
              <w:t>测量范围： -40~80℃</w:t>
            </w:r>
            <w:r>
              <w:rPr>
                <w:rFonts w:hint="eastAsia" w:ascii="宋体" w:hAnsi="宋体" w:eastAsia="宋体" w:cs="宋体"/>
              </w:rPr>
              <w:br w:type="textWrapping"/>
            </w:r>
            <w:r>
              <w:rPr>
                <w:rFonts w:hint="eastAsia" w:ascii="宋体" w:hAnsi="宋体" w:eastAsia="宋体" w:cs="宋体"/>
              </w:rPr>
              <w:t>最大测量次数：≤3秒一次</w:t>
            </w:r>
            <w:r>
              <w:rPr>
                <w:rFonts w:hint="eastAsia" w:ascii="宋体" w:hAnsi="宋体" w:eastAsia="宋体" w:cs="宋体"/>
              </w:rPr>
              <w:br w:type="textWrapping"/>
            </w:r>
            <w:r>
              <w:rPr>
                <w:rFonts w:hint="eastAsia" w:ascii="宋体" w:hAnsi="宋体" w:eastAsia="宋体" w:cs="宋体"/>
              </w:rPr>
              <w:t>电源：220V</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套</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7</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标签打印机</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打印方式：直热/热转印：</w:t>
            </w:r>
            <w:r>
              <w:rPr>
                <w:rFonts w:hint="eastAsia" w:ascii="宋体" w:hAnsi="宋体" w:eastAsia="宋体" w:cs="宋体"/>
              </w:rPr>
              <w:br w:type="textWrapping"/>
            </w:r>
            <w:r>
              <w:rPr>
                <w:rFonts w:hint="eastAsia" w:ascii="宋体" w:hAnsi="宋体" w:eastAsia="宋体" w:cs="宋体"/>
              </w:rPr>
              <w:t>分辨率：≥300dpi;</w:t>
            </w:r>
            <w:r>
              <w:rPr>
                <w:rFonts w:hint="eastAsia" w:ascii="宋体" w:hAnsi="宋体" w:eastAsia="宋体" w:cs="宋体"/>
              </w:rPr>
              <w:br w:type="textWrapping"/>
            </w:r>
            <w:r>
              <w:rPr>
                <w:rFonts w:hint="eastAsia" w:ascii="宋体" w:hAnsi="宋体" w:eastAsia="宋体" w:cs="宋体"/>
              </w:rPr>
              <w:t>打印速度（MAX):≥102mm/秒</w:t>
            </w:r>
            <w:r>
              <w:rPr>
                <w:rFonts w:hint="eastAsia" w:ascii="宋体" w:hAnsi="宋体" w:eastAsia="宋体" w:cs="宋体"/>
              </w:rPr>
              <w:br w:type="textWrapping"/>
            </w:r>
            <w:r>
              <w:rPr>
                <w:rFonts w:hint="eastAsia" w:ascii="宋体" w:hAnsi="宋体" w:eastAsia="宋体" w:cs="宋体"/>
              </w:rPr>
              <w:t>打印宽度（MAX):≥104mm(4.09英寸）</w:t>
            </w:r>
            <w:r>
              <w:rPr>
                <w:rFonts w:hint="eastAsia" w:ascii="宋体" w:hAnsi="宋体" w:eastAsia="宋体" w:cs="宋体"/>
              </w:rPr>
              <w:br w:type="textWrapping"/>
            </w:r>
            <w:r>
              <w:rPr>
                <w:rFonts w:hint="eastAsia" w:ascii="宋体" w:hAnsi="宋体" w:eastAsia="宋体" w:cs="宋体"/>
              </w:rPr>
              <w:t>标签宽度104mm以内</w:t>
            </w:r>
            <w:r>
              <w:rPr>
                <w:rFonts w:hint="eastAsia" w:ascii="宋体" w:hAnsi="宋体" w:eastAsia="宋体" w:cs="宋体"/>
              </w:rPr>
              <w:br w:type="textWrapping"/>
            </w:r>
            <w:r>
              <w:rPr>
                <w:rFonts w:hint="eastAsia" w:ascii="宋体" w:hAnsi="宋体" w:eastAsia="宋体" w:cs="宋体"/>
              </w:rPr>
              <w:t>接口：USB,LAN</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8</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不干胶标签</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配套</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5000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张</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9</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咨询终端（话务耳麦）</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水晶头呼叫</w:t>
            </w:r>
            <w:r>
              <w:rPr>
                <w:rFonts w:hint="eastAsia" w:ascii="宋体" w:hAnsi="宋体" w:eastAsia="宋体" w:cs="宋体"/>
              </w:rPr>
              <w:br w:type="textWrapping"/>
            </w:r>
            <w:r>
              <w:rPr>
                <w:rFonts w:hint="eastAsia" w:ascii="宋体" w:hAnsi="宋体" w:eastAsia="宋体" w:cs="宋体"/>
              </w:rPr>
              <w:t>佩戴方式  头戴式</w:t>
            </w:r>
            <w:r>
              <w:rPr>
                <w:rFonts w:hint="eastAsia" w:ascii="宋体" w:hAnsi="宋体" w:eastAsia="宋体" w:cs="宋体"/>
              </w:rPr>
              <w:br w:type="textWrapping"/>
            </w:r>
            <w:r>
              <w:rPr>
                <w:rFonts w:hint="eastAsia" w:ascii="宋体" w:hAnsi="宋体" w:eastAsia="宋体" w:cs="宋体"/>
              </w:rPr>
              <w:t>频响范围  200-6300Hz</w:t>
            </w:r>
            <w:r>
              <w:rPr>
                <w:rFonts w:hint="eastAsia" w:ascii="宋体" w:hAnsi="宋体" w:eastAsia="宋体" w:cs="宋体"/>
              </w:rPr>
              <w:br w:type="textWrapping"/>
            </w:r>
            <w:r>
              <w:rPr>
                <w:rFonts w:hint="eastAsia" w:ascii="宋体" w:hAnsi="宋体" w:eastAsia="宋体" w:cs="宋体"/>
              </w:rPr>
              <w:t>灵敏度  9dB</w:t>
            </w:r>
            <w:r>
              <w:rPr>
                <w:rFonts w:hint="eastAsia" w:ascii="宋体" w:hAnsi="宋体" w:eastAsia="宋体" w:cs="宋体"/>
              </w:rPr>
              <w:br w:type="textWrapping"/>
            </w:r>
            <w:r>
              <w:rPr>
                <w:rFonts w:hint="eastAsia" w:ascii="宋体" w:hAnsi="宋体" w:eastAsia="宋体" w:cs="宋体"/>
              </w:rPr>
              <w:t>线长  1m</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5</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个</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10</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咨询终端（视频摄像头）</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500万1/2.7”网络摄像机；</w:t>
            </w:r>
            <w:r>
              <w:rPr>
                <w:rFonts w:hint="eastAsia" w:ascii="宋体" w:hAnsi="宋体" w:eastAsia="宋体" w:cs="宋体"/>
              </w:rPr>
              <w:br w:type="textWrapping"/>
            </w:r>
            <w:r>
              <w:rPr>
                <w:rFonts w:hint="eastAsia" w:ascii="宋体" w:hAnsi="宋体" w:eastAsia="宋体" w:cs="宋体"/>
              </w:rPr>
              <w:t>★最低照度彩色：0.001lx，黑白:0.0001lx，灰度等级不小于11级。（公安部检验报告证明）</w:t>
            </w:r>
            <w:r>
              <w:rPr>
                <w:rFonts w:hint="eastAsia" w:ascii="宋体" w:hAnsi="宋体" w:eastAsia="宋体" w:cs="宋体"/>
              </w:rPr>
              <w:br w:type="textWrapping"/>
            </w:r>
            <w:r>
              <w:rPr>
                <w:rFonts w:hint="eastAsia" w:ascii="宋体" w:hAnsi="宋体" w:eastAsia="宋体" w:cs="宋体"/>
              </w:rPr>
              <w:t>快门 1/3秒至1/100,000秒；</w:t>
            </w:r>
            <w:r>
              <w:rPr>
                <w:rFonts w:hint="eastAsia" w:ascii="宋体" w:hAnsi="宋体" w:eastAsia="宋体" w:cs="宋体"/>
              </w:rPr>
              <w:br w:type="textWrapping"/>
            </w:r>
            <w:r>
              <w:rPr>
                <w:rFonts w:hint="eastAsia" w:ascii="宋体" w:hAnsi="宋体" w:eastAsia="宋体" w:cs="宋体"/>
              </w:rPr>
              <w:t>镜头 2.8mm, 水平视场角: 113.5°(4mm,6mm,8mm可选)；</w:t>
            </w:r>
            <w:r>
              <w:rPr>
                <w:rFonts w:hint="eastAsia" w:ascii="宋体" w:hAnsi="宋体" w:eastAsia="宋体" w:cs="宋体"/>
              </w:rPr>
              <w:br w:type="textWrapping"/>
            </w:r>
            <w:r>
              <w:rPr>
                <w:rFonts w:hint="eastAsia" w:ascii="宋体" w:hAnsi="宋体" w:eastAsia="宋体" w:cs="宋体"/>
              </w:rPr>
              <w:t>调整角度 水平:0°~360°;垂直:0°~ 75°;旋转:0°~360°；</w:t>
            </w:r>
            <w:r>
              <w:rPr>
                <w:rFonts w:hint="eastAsia" w:ascii="宋体" w:hAnsi="宋体" w:eastAsia="宋体" w:cs="宋体"/>
              </w:rPr>
              <w:br w:type="textWrapping"/>
            </w:r>
            <w:r>
              <w:rPr>
                <w:rFonts w:hint="eastAsia" w:ascii="宋体" w:hAnsi="宋体" w:eastAsia="宋体" w:cs="宋体"/>
              </w:rPr>
              <w:t>宽动态范围 120dB；</w:t>
            </w:r>
            <w:r>
              <w:rPr>
                <w:rFonts w:hint="eastAsia" w:ascii="宋体" w:hAnsi="宋体" w:eastAsia="宋体" w:cs="宋体"/>
              </w:rPr>
              <w:br w:type="textWrapping"/>
            </w:r>
            <w:r>
              <w:rPr>
                <w:rFonts w:hint="eastAsia" w:ascii="宋体" w:hAnsi="宋体" w:eastAsia="宋体" w:cs="宋体"/>
              </w:rPr>
              <w:t>视频压缩标准 H.265 / H.264/ MJPEG；</w:t>
            </w:r>
            <w:r>
              <w:rPr>
                <w:rFonts w:hint="eastAsia" w:ascii="宋体" w:hAnsi="宋体" w:eastAsia="宋体" w:cs="宋体"/>
              </w:rPr>
              <w:br w:type="textWrapping"/>
            </w:r>
            <w:r>
              <w:rPr>
                <w:rFonts w:hint="eastAsia" w:ascii="宋体" w:hAnsi="宋体" w:eastAsia="宋体" w:cs="宋体"/>
              </w:rPr>
              <w:t>帧率 50Hz: 25fps (1920 × 1080,1280 × 960,1280 × 720)；</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5</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个</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11</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网络摄像机（户外+地下室）</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400万1/3”CMOS ICR红外阵列筒型网络摄像机</w:t>
            </w:r>
            <w:r>
              <w:rPr>
                <w:rFonts w:hint="eastAsia" w:ascii="宋体" w:hAnsi="宋体" w:eastAsia="宋体" w:cs="宋体"/>
              </w:rPr>
              <w:br w:type="textWrapping"/>
            </w:r>
            <w:r>
              <w:rPr>
                <w:rFonts w:hint="eastAsia" w:ascii="宋体" w:hAnsi="宋体" w:eastAsia="宋体" w:cs="宋体"/>
              </w:rPr>
              <w:t>最低照度: 彩色：0.005 Lux @（F1.2，AGC ON），0 Lux with IR</w:t>
            </w:r>
            <w:r>
              <w:rPr>
                <w:rFonts w:hint="eastAsia" w:ascii="宋体" w:hAnsi="宋体" w:eastAsia="宋体" w:cs="宋体"/>
              </w:rPr>
              <w:br w:type="textWrapping"/>
            </w:r>
            <w:r>
              <w:rPr>
                <w:rFonts w:hint="eastAsia" w:ascii="宋体" w:hAnsi="宋体" w:eastAsia="宋体" w:cs="宋体"/>
              </w:rPr>
              <w:t>宽动态: 120 dB</w:t>
            </w:r>
            <w:r>
              <w:rPr>
                <w:rFonts w:hint="eastAsia" w:ascii="宋体" w:hAnsi="宋体" w:eastAsia="宋体" w:cs="宋体"/>
              </w:rPr>
              <w:br w:type="textWrapping"/>
            </w:r>
            <w:r>
              <w:rPr>
                <w:rFonts w:hint="eastAsia" w:ascii="宋体" w:hAnsi="宋体" w:eastAsia="宋体" w:cs="宋体"/>
              </w:rPr>
              <w:t>焦距&amp;视场角: 4 mm，水平视场角：78°（2.8 mm，6 mm，8 mm可选）</w:t>
            </w:r>
            <w:r>
              <w:rPr>
                <w:rFonts w:hint="eastAsia" w:ascii="宋体" w:hAnsi="宋体" w:eastAsia="宋体" w:cs="宋体"/>
              </w:rPr>
              <w:br w:type="textWrapping"/>
            </w:r>
            <w:r>
              <w:rPr>
                <w:rFonts w:hint="eastAsia" w:ascii="宋体" w:hAnsi="宋体" w:eastAsia="宋体" w:cs="宋体"/>
              </w:rPr>
              <w:t>红外距离: 最远可达30 m</w:t>
            </w:r>
            <w:r>
              <w:rPr>
                <w:rFonts w:hint="eastAsia" w:ascii="宋体" w:hAnsi="宋体" w:eastAsia="宋体" w:cs="宋体"/>
              </w:rPr>
              <w:br w:type="textWrapping"/>
            </w:r>
            <w:r>
              <w:rPr>
                <w:rFonts w:hint="eastAsia" w:ascii="宋体" w:hAnsi="宋体" w:eastAsia="宋体" w:cs="宋体"/>
              </w:rPr>
              <w:t>最大图像尺寸: 2560 × 1440</w:t>
            </w:r>
            <w:r>
              <w:rPr>
                <w:rFonts w:hint="eastAsia" w:ascii="宋体" w:hAnsi="宋体" w:eastAsia="宋体" w:cs="宋体"/>
              </w:rPr>
              <w:br w:type="textWrapping"/>
            </w:r>
            <w:r>
              <w:rPr>
                <w:rFonts w:hint="eastAsia" w:ascii="宋体" w:hAnsi="宋体" w:eastAsia="宋体" w:cs="宋体"/>
              </w:rPr>
              <w:t>视频压缩标准: 主码流：H.265/H.264</w:t>
            </w:r>
            <w:r>
              <w:rPr>
                <w:rFonts w:hint="eastAsia" w:ascii="宋体" w:hAnsi="宋体" w:eastAsia="宋体" w:cs="宋体"/>
              </w:rPr>
              <w:br w:type="textWrapping"/>
            </w:r>
            <w:r>
              <w:rPr>
                <w:rFonts w:hint="eastAsia" w:ascii="宋体" w:hAnsi="宋体" w:eastAsia="宋体" w:cs="宋体"/>
              </w:rPr>
              <w:t>网络存储: 支持NAS（NFS，SMB/CIFS均支持），支持Micro SD(即TF卡)/Micro SDHC/Micro SDXC卡（最大256 GB），断网本地录像存储及断网续传，支持SD卡加密及SD卡状态检测</w:t>
            </w:r>
            <w:r>
              <w:rPr>
                <w:rFonts w:hint="eastAsia" w:ascii="宋体" w:hAnsi="宋体" w:eastAsia="宋体" w:cs="宋体"/>
              </w:rPr>
              <w:br w:type="textWrapping"/>
            </w:r>
            <w:r>
              <w:rPr>
                <w:rFonts w:hint="eastAsia" w:ascii="宋体" w:hAnsi="宋体" w:eastAsia="宋体" w:cs="宋体"/>
              </w:rPr>
              <w:t>★内置麦克风。（公安部检验报告证明）</w:t>
            </w:r>
            <w:r>
              <w:rPr>
                <w:rFonts w:hint="eastAsia" w:ascii="宋体" w:hAnsi="宋体" w:eastAsia="宋体" w:cs="宋体"/>
              </w:rPr>
              <w:br w:type="textWrapping"/>
            </w:r>
            <w:r>
              <w:rPr>
                <w:rFonts w:hint="eastAsia" w:ascii="宋体" w:hAnsi="宋体" w:eastAsia="宋体" w:cs="宋体"/>
              </w:rPr>
              <w:t>网络: 1个RJ45 10 M/100 M自适应以太网口</w:t>
            </w:r>
            <w:r>
              <w:rPr>
                <w:rFonts w:hint="eastAsia" w:ascii="宋体" w:hAnsi="宋体" w:eastAsia="宋体" w:cs="宋体"/>
              </w:rPr>
              <w:br w:type="textWrapping"/>
            </w:r>
            <w:r>
              <w:rPr>
                <w:rFonts w:hint="eastAsia" w:ascii="宋体" w:hAnsi="宋体" w:eastAsia="宋体" w:cs="宋体"/>
              </w:rPr>
              <w:t>复位: 支持</w:t>
            </w:r>
            <w:r>
              <w:rPr>
                <w:rFonts w:hint="eastAsia" w:ascii="宋体" w:hAnsi="宋体" w:eastAsia="宋体" w:cs="宋体"/>
              </w:rPr>
              <w:br w:type="textWrapping"/>
            </w:r>
            <w:r>
              <w:rPr>
                <w:rFonts w:hint="eastAsia" w:ascii="宋体" w:hAnsi="宋体" w:eastAsia="宋体" w:cs="宋体"/>
              </w:rPr>
              <w:t>启动和工作温湿度: -30 ℃~60 ℃，湿度小于95%（无凝结）</w:t>
            </w:r>
            <w:r>
              <w:rPr>
                <w:rFonts w:hint="eastAsia" w:ascii="宋体" w:hAnsi="宋体" w:eastAsia="宋体" w:cs="宋体"/>
              </w:rPr>
              <w:br w:type="textWrapping"/>
            </w:r>
            <w:r>
              <w:rPr>
                <w:rFonts w:hint="eastAsia" w:ascii="宋体" w:hAnsi="宋体" w:eastAsia="宋体" w:cs="宋体"/>
              </w:rPr>
              <w:t>供电方式: DC：12 V±25%，支持防反接保护；PoE：802.3af</w:t>
            </w:r>
            <w:r>
              <w:rPr>
                <w:rFonts w:hint="eastAsia" w:ascii="宋体" w:hAnsi="宋体" w:eastAsia="宋体" w:cs="宋体"/>
              </w:rPr>
              <w:br w:type="textWrapping"/>
            </w:r>
            <w:r>
              <w:rPr>
                <w:rFonts w:hint="eastAsia" w:ascii="宋体" w:hAnsi="宋体" w:eastAsia="宋体" w:cs="宋体"/>
              </w:rPr>
              <w:t>电流及功耗: DC：12 V，0.55 A，最大功耗：6 W；PoE：802.3af，36 V~57 V，0.20 A~0.13 A，最大功耗：7 W</w:t>
            </w:r>
            <w:r>
              <w:rPr>
                <w:rFonts w:hint="eastAsia" w:ascii="宋体" w:hAnsi="宋体" w:eastAsia="宋体" w:cs="宋体"/>
              </w:rPr>
              <w:br w:type="textWrapping"/>
            </w:r>
            <w:r>
              <w:rPr>
                <w:rFonts w:hint="eastAsia" w:ascii="宋体" w:hAnsi="宋体" w:eastAsia="宋体" w:cs="宋体"/>
              </w:rPr>
              <w:t>电源接口类型: Ø5.5 mm圆头电源接口</w:t>
            </w:r>
            <w:r>
              <w:rPr>
                <w:rFonts w:hint="eastAsia" w:ascii="宋体" w:hAnsi="宋体" w:eastAsia="宋体" w:cs="宋体"/>
              </w:rPr>
              <w:br w:type="textWrapping"/>
            </w:r>
            <w:r>
              <w:rPr>
                <w:rFonts w:hint="eastAsia" w:ascii="宋体" w:hAnsi="宋体" w:eastAsia="宋体" w:cs="宋体"/>
              </w:rPr>
              <w:t>防护: IP66</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66</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12</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网络摄像机（室内）</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400万 1/3" CMOS ICR日夜型半球型网络摄像机</w:t>
            </w:r>
            <w:r>
              <w:rPr>
                <w:rFonts w:hint="eastAsia" w:ascii="宋体" w:hAnsi="宋体" w:eastAsia="宋体" w:cs="宋体"/>
              </w:rPr>
              <w:br w:type="textWrapping"/>
            </w:r>
            <w:r>
              <w:rPr>
                <w:rFonts w:hint="eastAsia" w:ascii="宋体" w:hAnsi="宋体" w:eastAsia="宋体" w:cs="宋体"/>
              </w:rPr>
              <w:t xml:space="preserve">最低照度: 彩色：0.005 Lux @（F1.2，AGC ON），0 Lux with IR </w:t>
            </w:r>
            <w:r>
              <w:rPr>
                <w:rFonts w:hint="eastAsia" w:ascii="宋体" w:hAnsi="宋体" w:eastAsia="宋体" w:cs="宋体"/>
              </w:rPr>
              <w:br w:type="textWrapping"/>
            </w:r>
            <w:r>
              <w:rPr>
                <w:rFonts w:hint="eastAsia" w:ascii="宋体" w:hAnsi="宋体" w:eastAsia="宋体" w:cs="宋体"/>
              </w:rPr>
              <w:t>宽动态: 120 dB</w:t>
            </w:r>
            <w:r>
              <w:rPr>
                <w:rFonts w:hint="eastAsia" w:ascii="宋体" w:hAnsi="宋体" w:eastAsia="宋体" w:cs="宋体"/>
              </w:rPr>
              <w:br w:type="textWrapping"/>
            </w:r>
            <w:r>
              <w:rPr>
                <w:rFonts w:hint="eastAsia" w:ascii="宋体" w:hAnsi="宋体" w:eastAsia="宋体" w:cs="宋体"/>
              </w:rPr>
              <w:t xml:space="preserve">调节角度: 水平：0°~360°，垂直：0°~ 75°，旋转：0°~360° </w:t>
            </w:r>
            <w:r>
              <w:rPr>
                <w:rFonts w:hint="eastAsia" w:ascii="宋体" w:hAnsi="宋体" w:eastAsia="宋体" w:cs="宋体"/>
              </w:rPr>
              <w:br w:type="textWrapping"/>
            </w:r>
            <w:r>
              <w:rPr>
                <w:rFonts w:hint="eastAsia" w:ascii="宋体" w:hAnsi="宋体" w:eastAsia="宋体" w:cs="宋体"/>
              </w:rPr>
              <w:t>焦距&amp;视场角: 4 mm，水平视场角：78°（2.8 mm，6 mm，8 mm可选）</w:t>
            </w:r>
            <w:r>
              <w:rPr>
                <w:rFonts w:hint="eastAsia" w:ascii="宋体" w:hAnsi="宋体" w:eastAsia="宋体" w:cs="宋体"/>
              </w:rPr>
              <w:br w:type="textWrapping"/>
            </w:r>
            <w:r>
              <w:rPr>
                <w:rFonts w:hint="eastAsia" w:ascii="宋体" w:hAnsi="宋体" w:eastAsia="宋体" w:cs="宋体"/>
              </w:rPr>
              <w:t>红外距离: 最远可达30 m</w:t>
            </w:r>
            <w:r>
              <w:rPr>
                <w:rFonts w:hint="eastAsia" w:ascii="宋体" w:hAnsi="宋体" w:eastAsia="宋体" w:cs="宋体"/>
              </w:rPr>
              <w:br w:type="textWrapping"/>
            </w:r>
            <w:r>
              <w:rPr>
                <w:rFonts w:hint="eastAsia" w:ascii="宋体" w:hAnsi="宋体" w:eastAsia="宋体" w:cs="宋体"/>
              </w:rPr>
              <w:t>图像尺寸: 支持2560 × 1440</w:t>
            </w:r>
            <w:r>
              <w:rPr>
                <w:rFonts w:hint="eastAsia" w:ascii="宋体" w:hAnsi="宋体" w:eastAsia="宋体" w:cs="宋体"/>
              </w:rPr>
              <w:br w:type="textWrapping"/>
            </w:r>
            <w:r>
              <w:rPr>
                <w:rFonts w:hint="eastAsia" w:ascii="宋体" w:hAnsi="宋体" w:eastAsia="宋体" w:cs="宋体"/>
              </w:rPr>
              <w:t>视频压缩标准: 主码流：H.265/H.264</w:t>
            </w:r>
            <w:r>
              <w:rPr>
                <w:rFonts w:hint="eastAsia" w:ascii="宋体" w:hAnsi="宋体" w:eastAsia="宋体" w:cs="宋体"/>
              </w:rPr>
              <w:br w:type="textWrapping"/>
            </w:r>
            <w:r>
              <w:rPr>
                <w:rFonts w:hint="eastAsia" w:ascii="宋体" w:hAnsi="宋体" w:eastAsia="宋体" w:cs="宋体"/>
              </w:rPr>
              <w:t>网络存储: 支持NAS（NFS，SMB/CIFS均支持），支持Micro SD(即TF卡)/Micro SDHC/Micro SDXC卡（最大256 GB），断网本地录像存储及断网续传，支持SD卡加密及SD卡状态检测</w:t>
            </w:r>
            <w:r>
              <w:rPr>
                <w:rFonts w:hint="eastAsia" w:ascii="宋体" w:hAnsi="宋体" w:eastAsia="宋体" w:cs="宋体"/>
              </w:rPr>
              <w:br w:type="textWrapping"/>
            </w:r>
            <w:r>
              <w:rPr>
                <w:rFonts w:hint="eastAsia" w:ascii="宋体" w:hAnsi="宋体" w:eastAsia="宋体" w:cs="宋体"/>
              </w:rPr>
              <w:t xml:space="preserve">网络: 1个RJ45 10 M/100 M自适应以太网口 </w:t>
            </w:r>
            <w:r>
              <w:rPr>
                <w:rFonts w:hint="eastAsia" w:ascii="宋体" w:hAnsi="宋体" w:eastAsia="宋体" w:cs="宋体"/>
              </w:rPr>
              <w:br w:type="textWrapping"/>
            </w:r>
            <w:r>
              <w:rPr>
                <w:rFonts w:hint="eastAsia" w:ascii="宋体" w:hAnsi="宋体" w:eastAsia="宋体" w:cs="宋体"/>
              </w:rPr>
              <w:t>音频: 1个内置麦克风，1路输入（Line in），1路输出（Line out）</w:t>
            </w:r>
            <w:r>
              <w:rPr>
                <w:rFonts w:hint="eastAsia" w:ascii="宋体" w:hAnsi="宋体" w:eastAsia="宋体" w:cs="宋体"/>
              </w:rPr>
              <w:br w:type="textWrapping"/>
            </w:r>
            <w:r>
              <w:rPr>
                <w:rFonts w:hint="eastAsia" w:ascii="宋体" w:hAnsi="宋体" w:eastAsia="宋体" w:cs="宋体"/>
              </w:rPr>
              <w:t>报警 : 1路输入，1路输出</w:t>
            </w:r>
            <w:r>
              <w:rPr>
                <w:rFonts w:hint="eastAsia" w:ascii="宋体" w:hAnsi="宋体" w:eastAsia="宋体" w:cs="宋体"/>
              </w:rPr>
              <w:br w:type="textWrapping"/>
            </w:r>
            <w:r>
              <w:rPr>
                <w:rFonts w:hint="eastAsia" w:ascii="宋体" w:hAnsi="宋体" w:eastAsia="宋体" w:cs="宋体"/>
              </w:rPr>
              <w:t>电源输出: DC12 V，100 mA，建议用于拾音器供电</w:t>
            </w:r>
            <w:r>
              <w:rPr>
                <w:rFonts w:hint="eastAsia" w:ascii="宋体" w:hAnsi="宋体" w:eastAsia="宋体" w:cs="宋体"/>
              </w:rPr>
              <w:br w:type="textWrapping"/>
            </w:r>
            <w:r>
              <w:rPr>
                <w:rFonts w:hint="eastAsia" w:ascii="宋体" w:hAnsi="宋体" w:eastAsia="宋体" w:cs="宋体"/>
              </w:rPr>
              <w:t>启动和工作温湿度: -30℃~60℃，湿度小于95%（无凝结）</w:t>
            </w:r>
            <w:r>
              <w:rPr>
                <w:rFonts w:hint="eastAsia" w:ascii="宋体" w:hAnsi="宋体" w:eastAsia="宋体" w:cs="宋体"/>
              </w:rPr>
              <w:br w:type="textWrapping"/>
            </w:r>
            <w:r>
              <w:rPr>
                <w:rFonts w:hint="eastAsia" w:ascii="宋体" w:hAnsi="宋体" w:eastAsia="宋体" w:cs="宋体"/>
              </w:rPr>
              <w:t>电流及功耗: DC：12 V，0.51 A，最大功耗：6.2 W; PoE：802.3af，36 V~57 V，0.20 A~0.13 A，最大功耗：7.5 W</w:t>
            </w:r>
            <w:r>
              <w:rPr>
                <w:rFonts w:hint="eastAsia" w:ascii="宋体" w:hAnsi="宋体" w:eastAsia="宋体" w:cs="宋体"/>
              </w:rPr>
              <w:br w:type="textWrapping"/>
            </w:r>
            <w:r>
              <w:rPr>
                <w:rFonts w:hint="eastAsia" w:ascii="宋体" w:hAnsi="宋体" w:eastAsia="宋体" w:cs="宋体"/>
              </w:rPr>
              <w:t>供电方式: DC 12 V ± 25%；PoE（802.3af）</w:t>
            </w:r>
            <w:r>
              <w:rPr>
                <w:rFonts w:hint="eastAsia" w:ascii="宋体" w:hAnsi="宋体" w:eastAsia="宋体" w:cs="宋体"/>
              </w:rPr>
              <w:br w:type="textWrapping"/>
            </w:r>
            <w:r>
              <w:rPr>
                <w:rFonts w:hint="eastAsia" w:ascii="宋体" w:hAnsi="宋体" w:eastAsia="宋体" w:cs="宋体"/>
              </w:rPr>
              <w:t xml:space="preserve">电源接口类型: Ø5.5 mm圆口  </w:t>
            </w:r>
            <w:r>
              <w:rPr>
                <w:rFonts w:hint="eastAsia" w:ascii="宋体" w:hAnsi="宋体" w:eastAsia="宋体" w:cs="宋体"/>
              </w:rPr>
              <w:br w:type="textWrapping"/>
            </w:r>
            <w:r>
              <w:rPr>
                <w:rFonts w:hint="eastAsia" w:ascii="宋体" w:hAnsi="宋体" w:eastAsia="宋体" w:cs="宋体"/>
              </w:rPr>
              <w:t>防护: IP66</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65</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13</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倾斜客流系列摄像机</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400万 1/1.8” CMOS AI智能客流统计筒型网络摄像机</w:t>
            </w:r>
          </w:p>
          <w:p>
            <w:pPr>
              <w:widowControl/>
              <w:jc w:val="left"/>
              <w:rPr>
                <w:rFonts w:ascii="宋体" w:hAnsi="宋体" w:eastAsia="宋体" w:cs="宋体"/>
              </w:rPr>
            </w:pPr>
            <w:r>
              <w:rPr>
                <w:rFonts w:hint="eastAsia" w:ascii="宋体" w:hAnsi="宋体" w:eastAsia="宋体" w:cs="宋体"/>
              </w:rPr>
              <w:t>内嵌深度学习算法</w:t>
            </w:r>
            <w:r>
              <w:rPr>
                <w:rFonts w:hint="eastAsia" w:ascii="宋体" w:hAnsi="宋体" w:eastAsia="宋体" w:cs="宋体"/>
              </w:rPr>
              <w:br w:type="textWrapping"/>
            </w:r>
            <w:r>
              <w:rPr>
                <w:rFonts w:hint="eastAsia" w:ascii="宋体" w:hAnsi="宋体" w:eastAsia="宋体" w:cs="宋体"/>
              </w:rPr>
              <w:t>★内置GPU芯片。（公安部检验报告证明）</w:t>
            </w:r>
            <w:r>
              <w:rPr>
                <w:rFonts w:hint="eastAsia" w:ascii="宋体" w:hAnsi="宋体" w:eastAsia="宋体" w:cs="宋体"/>
              </w:rPr>
              <w:br w:type="textWrapping"/>
            </w:r>
            <w:r>
              <w:rPr>
                <w:rFonts w:hint="eastAsia" w:ascii="宋体" w:hAnsi="宋体" w:eastAsia="宋体" w:cs="宋体"/>
              </w:rPr>
              <w:t>支持2种智能资源模式切换：客流量统计，人员密度检测</w:t>
            </w:r>
            <w:r>
              <w:rPr>
                <w:rFonts w:hint="eastAsia" w:ascii="宋体" w:hAnsi="宋体" w:eastAsia="宋体" w:cs="宋体"/>
              </w:rPr>
              <w:br w:type="textWrapping"/>
            </w:r>
            <w:r>
              <w:rPr>
                <w:rFonts w:hint="eastAsia" w:ascii="宋体" w:hAnsi="宋体" w:eastAsia="宋体" w:cs="宋体"/>
              </w:rPr>
              <w:t xml:space="preserve">客流量统计: </w:t>
            </w:r>
            <w:r>
              <w:rPr>
                <w:rFonts w:hint="eastAsia" w:ascii="宋体" w:hAnsi="宋体" w:eastAsia="宋体" w:cs="宋体"/>
              </w:rPr>
              <w:br w:type="textWrapping"/>
            </w:r>
            <w:r>
              <w:rPr>
                <w:rFonts w:hint="eastAsia" w:ascii="宋体" w:hAnsi="宋体" w:eastAsia="宋体" w:cs="宋体"/>
              </w:rPr>
              <w:t>深度学习算法结合智能跟踪算法，分析行人的行为轨迹，精确计算出客流人数及行走方向</w:t>
            </w:r>
            <w:r>
              <w:rPr>
                <w:rFonts w:hint="eastAsia" w:ascii="宋体" w:hAnsi="宋体" w:eastAsia="宋体" w:cs="宋体"/>
              </w:rPr>
              <w:br w:type="textWrapping"/>
            </w:r>
            <w:r>
              <w:rPr>
                <w:rFonts w:hint="eastAsia" w:ascii="宋体" w:hAnsi="宋体" w:eastAsia="宋体" w:cs="宋体"/>
              </w:rPr>
              <w:t>对计数区域分块处理，分别对进入和离开的人计数，为监控区域的人流量分析提供了数据支持</w:t>
            </w:r>
            <w:r>
              <w:rPr>
                <w:rFonts w:hint="eastAsia" w:ascii="宋体" w:hAnsi="宋体" w:eastAsia="宋体" w:cs="宋体"/>
              </w:rPr>
              <w:br w:type="textWrapping"/>
            </w:r>
            <w:r>
              <w:rPr>
                <w:rFonts w:hint="eastAsia" w:ascii="宋体" w:hAnsi="宋体" w:eastAsia="宋体" w:cs="宋体"/>
              </w:rPr>
              <w:t xml:space="preserve">人员密度检测: </w:t>
            </w:r>
            <w:r>
              <w:rPr>
                <w:rFonts w:hint="eastAsia" w:ascii="宋体" w:hAnsi="宋体" w:eastAsia="宋体" w:cs="宋体"/>
              </w:rPr>
              <w:br w:type="textWrapping"/>
            </w:r>
            <w:r>
              <w:rPr>
                <w:rFonts w:hint="eastAsia" w:ascii="宋体" w:hAnsi="宋体" w:eastAsia="宋体" w:cs="宋体"/>
              </w:rPr>
              <w:t>支持人员密度统计功能，输出当前区域实时人数概况及拥堵等级</w:t>
            </w:r>
            <w:r>
              <w:rPr>
                <w:rFonts w:hint="eastAsia" w:ascii="宋体" w:hAnsi="宋体" w:eastAsia="宋体" w:cs="宋体"/>
              </w:rPr>
              <w:br w:type="textWrapping"/>
            </w:r>
            <w:r>
              <w:rPr>
                <w:rFonts w:hint="eastAsia" w:ascii="宋体" w:hAnsi="宋体" w:eastAsia="宋体" w:cs="宋体"/>
              </w:rPr>
              <w:t>★支持倾斜客流统计，可设置最多3个允许交叉的多边形客流统计区域，每个区域均可设置统计方式为：进入、离开、进入和离开，可在预览画面实时叠加统计结果。（公安部检验报告证明）</w:t>
            </w:r>
            <w:r>
              <w:rPr>
                <w:rFonts w:hint="eastAsia" w:ascii="宋体" w:hAnsi="宋体" w:eastAsia="宋体" w:cs="宋体"/>
              </w:rPr>
              <w:br w:type="textWrapping"/>
            </w:r>
            <w:r>
              <w:rPr>
                <w:rFonts w:hint="eastAsia" w:ascii="宋体" w:hAnsi="宋体" w:eastAsia="宋体" w:cs="宋体"/>
                <w:color w:val="FF0000"/>
              </w:rPr>
              <w:t>★支持亮度异常、清晰度异常、花屏、雪花、偏色、画面冻结、增益失衡、画面抖动、条纹干扰、信号丢失、视频遮挡、光晕、紫边等故障报警功能。（公安部检验报告证明）</w:t>
            </w:r>
            <w:r>
              <w:rPr>
                <w:rFonts w:hint="eastAsia" w:ascii="宋体" w:hAnsi="宋体" w:eastAsia="宋体" w:cs="宋体"/>
              </w:rPr>
              <w:br w:type="textWrapping"/>
            </w:r>
            <w:r>
              <w:rPr>
                <w:rFonts w:hint="eastAsia" w:ascii="宋体" w:hAnsi="宋体" w:eastAsia="宋体" w:cs="宋体"/>
              </w:rPr>
              <w:t>支持联动报警，当人员密度达到设定拥堵等级时可联动产生报警警示</w:t>
            </w:r>
            <w:r>
              <w:rPr>
                <w:rFonts w:hint="eastAsia" w:ascii="宋体" w:hAnsi="宋体" w:eastAsia="宋体" w:cs="宋体"/>
              </w:rPr>
              <w:br w:type="textWrapping"/>
            </w:r>
            <w:r>
              <w:rPr>
                <w:rFonts w:hint="eastAsia" w:ascii="宋体" w:hAnsi="宋体" w:eastAsia="宋体" w:cs="宋体"/>
              </w:rPr>
              <w:t>设备内置高效专利温和补光灯，告别光污染，保证夜间正常监控</w:t>
            </w:r>
            <w:r>
              <w:rPr>
                <w:rFonts w:hint="eastAsia" w:ascii="宋体" w:hAnsi="宋体" w:eastAsia="宋体" w:cs="宋体"/>
              </w:rPr>
              <w:br w:type="textWrapping"/>
            </w:r>
            <w:r>
              <w:rPr>
                <w:rFonts w:hint="eastAsia" w:ascii="宋体" w:hAnsi="宋体" w:eastAsia="宋体" w:cs="宋体"/>
              </w:rPr>
              <w:t>★最低照度彩色不大于0.0002 lx，黑白不大于0.0001 lx。（公安部检验报告证明）</w:t>
            </w:r>
            <w:r>
              <w:rPr>
                <w:rFonts w:hint="eastAsia" w:ascii="宋体" w:hAnsi="宋体" w:eastAsia="宋体" w:cs="宋体"/>
              </w:rPr>
              <w:br w:type="textWrapping"/>
            </w:r>
            <w:r>
              <w:rPr>
                <w:rFonts w:hint="eastAsia" w:ascii="宋体" w:hAnsi="宋体" w:eastAsia="宋体" w:cs="宋体"/>
              </w:rPr>
              <w:t>宽动态: 120 dB</w:t>
            </w:r>
            <w:r>
              <w:rPr>
                <w:rFonts w:hint="eastAsia" w:ascii="宋体" w:hAnsi="宋体" w:eastAsia="宋体" w:cs="宋体"/>
              </w:rPr>
              <w:br w:type="textWrapping"/>
            </w:r>
            <w:r>
              <w:rPr>
                <w:rFonts w:hint="eastAsia" w:ascii="宋体" w:hAnsi="宋体" w:eastAsia="宋体" w:cs="宋体"/>
              </w:rPr>
              <w:t>焦距&amp;视场角: 2.8~12 mm @F1.38，水平视场角：100°~39.8°，垂直视场角52°~22.4°，对角视场角120°~45.7°</w:t>
            </w:r>
            <w:r>
              <w:rPr>
                <w:rFonts w:hint="eastAsia" w:ascii="宋体" w:hAnsi="宋体" w:eastAsia="宋体" w:cs="宋体"/>
              </w:rPr>
              <w:br w:type="textWrapping"/>
            </w:r>
            <w:r>
              <w:rPr>
                <w:rFonts w:hint="eastAsia" w:ascii="宋体" w:hAnsi="宋体" w:eastAsia="宋体" w:cs="宋体"/>
              </w:rPr>
              <w:t>混光距离 最远可达30 m</w:t>
            </w:r>
            <w:r>
              <w:rPr>
                <w:rFonts w:hint="eastAsia" w:ascii="宋体" w:hAnsi="宋体" w:eastAsia="宋体" w:cs="宋体"/>
              </w:rPr>
              <w:br w:type="textWrapping"/>
            </w:r>
            <w:r>
              <w:rPr>
                <w:rFonts w:hint="eastAsia" w:ascii="宋体" w:hAnsi="宋体" w:eastAsia="宋体" w:cs="宋体"/>
              </w:rPr>
              <w:t>波长范围 750 nm</w:t>
            </w:r>
            <w:r>
              <w:rPr>
                <w:rFonts w:hint="eastAsia" w:ascii="宋体" w:hAnsi="宋体" w:eastAsia="宋体" w:cs="宋体"/>
              </w:rPr>
              <w:br w:type="textWrapping"/>
            </w:r>
            <w:r>
              <w:rPr>
                <w:rFonts w:hint="eastAsia" w:ascii="宋体" w:hAnsi="宋体" w:eastAsia="宋体" w:cs="宋体"/>
              </w:rPr>
              <w:t>最大图像尺寸: 2688 × 1520</w:t>
            </w:r>
            <w:r>
              <w:rPr>
                <w:rFonts w:hint="eastAsia" w:ascii="宋体" w:hAnsi="宋体" w:eastAsia="宋体" w:cs="宋体"/>
              </w:rPr>
              <w:br w:type="textWrapping"/>
            </w:r>
            <w:r>
              <w:rPr>
                <w:rFonts w:hint="eastAsia" w:ascii="宋体" w:hAnsi="宋体" w:eastAsia="宋体" w:cs="宋体"/>
              </w:rPr>
              <w:t>视频压缩标准: 主码流：H.265/H.264</w:t>
            </w:r>
            <w:r>
              <w:rPr>
                <w:rFonts w:hint="eastAsia" w:ascii="宋体" w:hAnsi="宋体" w:eastAsia="宋体" w:cs="宋体"/>
              </w:rPr>
              <w:br w:type="textWrapping"/>
            </w:r>
            <w:r>
              <w:rPr>
                <w:rFonts w:hint="eastAsia" w:ascii="宋体" w:hAnsi="宋体" w:eastAsia="宋体" w:cs="宋体"/>
              </w:rPr>
              <w:t>网络存储: 支持Micro SD(即TF卡)/Micro SDHC/Micro SDXC卡（最大256 GB），断网本地存储及断网续传，NAS（NFS，SMB/CIFS均支持）</w:t>
            </w:r>
            <w:r>
              <w:rPr>
                <w:rFonts w:hint="eastAsia" w:ascii="宋体" w:hAnsi="宋体" w:eastAsia="宋体" w:cs="宋体"/>
              </w:rPr>
              <w:br w:type="textWrapping"/>
            </w:r>
            <w:r>
              <w:rPr>
                <w:rFonts w:hint="eastAsia" w:ascii="宋体" w:hAnsi="宋体" w:eastAsia="宋体" w:cs="宋体"/>
              </w:rPr>
              <w:t>报警: 3路输入，2路输出（报警输出最大支持DC24 V，1 A或AC110 V，500 mA）</w:t>
            </w:r>
            <w:r>
              <w:rPr>
                <w:rFonts w:hint="eastAsia" w:ascii="宋体" w:hAnsi="宋体" w:eastAsia="宋体" w:cs="宋体"/>
              </w:rPr>
              <w:br w:type="textWrapping"/>
            </w:r>
            <w:r>
              <w:rPr>
                <w:rFonts w:hint="eastAsia" w:ascii="宋体" w:hAnsi="宋体" w:eastAsia="宋体" w:cs="宋体"/>
              </w:rPr>
              <w:t>音频: 2路输入（Line in）（3.5 mm三段式）; 1路输出（Line out）（3.5 mm三段式）</w:t>
            </w:r>
            <w:r>
              <w:rPr>
                <w:rFonts w:hint="eastAsia" w:ascii="宋体" w:hAnsi="宋体" w:eastAsia="宋体" w:cs="宋体"/>
              </w:rPr>
              <w:br w:type="textWrapping"/>
            </w:r>
            <w:r>
              <w:rPr>
                <w:rFonts w:hint="eastAsia" w:ascii="宋体" w:hAnsi="宋体" w:eastAsia="宋体" w:cs="宋体"/>
              </w:rPr>
              <w:t>1个RS-485</w:t>
            </w:r>
            <w:r>
              <w:rPr>
                <w:rFonts w:hint="eastAsia" w:ascii="宋体" w:hAnsi="宋体" w:eastAsia="宋体" w:cs="宋体"/>
              </w:rPr>
              <w:br w:type="textWrapping"/>
            </w:r>
            <w:r>
              <w:rPr>
                <w:rFonts w:hint="eastAsia" w:ascii="宋体" w:hAnsi="宋体" w:eastAsia="宋体" w:cs="宋体"/>
              </w:rPr>
              <w:t>视频输出: 1 Vp-p Composite Output（75 Ω/CVBS）</w:t>
            </w:r>
            <w:r>
              <w:rPr>
                <w:rFonts w:hint="eastAsia" w:ascii="宋体" w:hAnsi="宋体" w:eastAsia="宋体" w:cs="宋体"/>
              </w:rPr>
              <w:br w:type="textWrapping"/>
            </w:r>
            <w:r>
              <w:rPr>
                <w:rFonts w:hint="eastAsia" w:ascii="宋体" w:hAnsi="宋体" w:eastAsia="宋体" w:cs="宋体"/>
              </w:rPr>
              <w:t>复位: 支持</w:t>
            </w:r>
            <w:r>
              <w:rPr>
                <w:rFonts w:hint="eastAsia" w:ascii="宋体" w:hAnsi="宋体" w:eastAsia="宋体" w:cs="宋体"/>
              </w:rPr>
              <w:br w:type="textWrapping"/>
            </w:r>
            <w:r>
              <w:rPr>
                <w:rFonts w:hint="eastAsia" w:ascii="宋体" w:hAnsi="宋体" w:eastAsia="宋体" w:cs="宋体"/>
              </w:rPr>
              <w:t>网络: 1个RJ45 10 M/100 M/1000 M自适应以太网口</w:t>
            </w:r>
            <w:r>
              <w:rPr>
                <w:rFonts w:hint="eastAsia" w:ascii="宋体" w:hAnsi="宋体" w:eastAsia="宋体" w:cs="宋体"/>
              </w:rPr>
              <w:br w:type="textWrapping"/>
            </w:r>
            <w:r>
              <w:rPr>
                <w:rFonts w:hint="eastAsia" w:ascii="宋体" w:hAnsi="宋体" w:eastAsia="宋体" w:cs="宋体"/>
              </w:rPr>
              <w:t>电源输出: DC12 V，200 mA，仅供拾音器供电使用</w:t>
            </w:r>
            <w:r>
              <w:rPr>
                <w:rFonts w:hint="eastAsia" w:ascii="宋体" w:hAnsi="宋体" w:eastAsia="宋体" w:cs="宋体"/>
              </w:rPr>
              <w:br w:type="textWrapping"/>
            </w:r>
            <w:r>
              <w:rPr>
                <w:rFonts w:hint="eastAsia" w:ascii="宋体" w:hAnsi="宋体" w:eastAsia="宋体" w:cs="宋体"/>
              </w:rPr>
              <w:t>存储温湿度: -30 ℃~60 ℃，湿度小于95%（无凝结）</w:t>
            </w:r>
            <w:r>
              <w:rPr>
                <w:rFonts w:hint="eastAsia" w:ascii="宋体" w:hAnsi="宋体" w:eastAsia="宋体" w:cs="宋体"/>
              </w:rPr>
              <w:br w:type="textWrapping"/>
            </w:r>
            <w:r>
              <w:rPr>
                <w:rFonts w:hint="eastAsia" w:ascii="宋体" w:hAnsi="宋体" w:eastAsia="宋体" w:cs="宋体"/>
              </w:rPr>
              <w:t>启动及工作温湿度: -30 ℃~60 ℃，湿度小于95%（无凝结）</w:t>
            </w:r>
            <w:r>
              <w:rPr>
                <w:rFonts w:hint="eastAsia" w:ascii="宋体" w:hAnsi="宋体" w:eastAsia="宋体" w:cs="宋体"/>
              </w:rPr>
              <w:br w:type="textWrapping"/>
            </w:r>
            <w:r>
              <w:rPr>
                <w:rFonts w:hint="eastAsia" w:ascii="宋体" w:hAnsi="宋体" w:eastAsia="宋体" w:cs="宋体"/>
              </w:rPr>
              <w:t>供电方式: DC：12 V ± 20%，支持防反接保护; PoE：802.3at，Type 2 Class 4</w:t>
            </w:r>
            <w:r>
              <w:rPr>
                <w:rFonts w:hint="eastAsia" w:ascii="宋体" w:hAnsi="宋体" w:eastAsia="宋体" w:cs="宋体"/>
              </w:rPr>
              <w:br w:type="textWrapping"/>
            </w:r>
            <w:r>
              <w:rPr>
                <w:rFonts w:hint="eastAsia" w:ascii="宋体" w:hAnsi="宋体" w:eastAsia="宋体" w:cs="宋体"/>
              </w:rPr>
              <w:t>电流及功耗: DC：12 V，1.38 A，最大功耗：16.5 W；PoE：802.3at，42.5 V~57 V，0.44 A~0.32 A，最大功耗：18.5 W</w:t>
            </w:r>
            <w:r>
              <w:rPr>
                <w:rFonts w:hint="eastAsia" w:ascii="宋体" w:hAnsi="宋体" w:eastAsia="宋体" w:cs="宋体"/>
              </w:rPr>
              <w:br w:type="textWrapping"/>
            </w:r>
            <w:r>
              <w:rPr>
                <w:rFonts w:hint="eastAsia" w:ascii="宋体" w:hAnsi="宋体" w:eastAsia="宋体" w:cs="宋体"/>
              </w:rPr>
              <w:t>电源接口类型: 3芯接口</w:t>
            </w:r>
            <w:r>
              <w:rPr>
                <w:rFonts w:hint="eastAsia" w:ascii="宋体" w:hAnsi="宋体" w:eastAsia="宋体" w:cs="宋体"/>
              </w:rPr>
              <w:br w:type="textWrapping"/>
            </w:r>
            <w:r>
              <w:rPr>
                <w:rFonts w:hint="eastAsia" w:ascii="宋体" w:hAnsi="宋体" w:eastAsia="宋体" w:cs="宋体"/>
              </w:rPr>
              <w:t>防护: IP67</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6</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14</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硬盘录像机</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16路图片流或8路视频流</w:t>
            </w:r>
            <w:r>
              <w:rPr>
                <w:rFonts w:hint="eastAsia" w:ascii="宋体" w:hAnsi="宋体" w:eastAsia="宋体" w:cs="宋体"/>
              </w:rPr>
              <w:br w:type="textWrapping"/>
            </w:r>
            <w:r>
              <w:rPr>
                <w:rFonts w:hint="eastAsia" w:ascii="宋体" w:hAnsi="宋体" w:eastAsia="宋体" w:cs="宋体"/>
              </w:rPr>
              <w:t>32个人脸名单库，总库容10万张（平均50KB/张）</w:t>
            </w:r>
            <w:r>
              <w:rPr>
                <w:rFonts w:hint="eastAsia" w:ascii="宋体" w:hAnsi="宋体" w:eastAsia="宋体" w:cs="宋体"/>
              </w:rPr>
              <w:br w:type="textWrapping"/>
            </w:r>
            <w:r>
              <w:rPr>
                <w:rFonts w:hint="eastAsia" w:ascii="宋体" w:hAnsi="宋体" w:eastAsia="宋体" w:cs="宋体"/>
              </w:rPr>
              <w:t>★支持50个人脸库，库容20万张人脸图片；另有路人库，库容10万张人脸抓拍图片；支持人脸抓拍库（存储于硬盘中）存储1000万条人脸历史记录（以公安部检测报告为准）</w:t>
            </w:r>
            <w:r>
              <w:rPr>
                <w:rFonts w:hint="eastAsia" w:ascii="宋体" w:hAnsi="宋体" w:eastAsia="宋体" w:cs="宋体"/>
              </w:rPr>
              <w:br w:type="textWrapping"/>
            </w:r>
            <w:r>
              <w:rPr>
                <w:rFonts w:hint="eastAsia" w:ascii="宋体" w:hAnsi="宋体" w:eastAsia="宋体" w:cs="宋体"/>
              </w:rPr>
              <w:t>人脸抓拍库1000万</w:t>
            </w:r>
            <w:r>
              <w:rPr>
                <w:rFonts w:hint="eastAsia" w:ascii="宋体" w:hAnsi="宋体" w:eastAsia="宋体" w:cs="宋体"/>
              </w:rPr>
              <w:br w:type="textWrapping"/>
            </w:r>
            <w:r>
              <w:rPr>
                <w:rFonts w:hint="eastAsia" w:ascii="宋体" w:hAnsi="宋体" w:eastAsia="宋体" w:cs="宋体"/>
              </w:rPr>
              <w:t>路人档案10万份</w:t>
            </w:r>
            <w:r>
              <w:rPr>
                <w:rFonts w:hint="eastAsia" w:ascii="宋体" w:hAnsi="宋体" w:eastAsia="宋体" w:cs="宋体"/>
              </w:rPr>
              <w:br w:type="textWrapping"/>
            </w:r>
            <w:r>
              <w:rPr>
                <w:rFonts w:hint="eastAsia" w:ascii="宋体" w:hAnsi="宋体" w:eastAsia="宋体" w:cs="宋体"/>
              </w:rPr>
              <w:t>支持陌生人报警</w:t>
            </w:r>
            <w:r>
              <w:rPr>
                <w:rFonts w:hint="eastAsia" w:ascii="宋体" w:hAnsi="宋体" w:eastAsia="宋体" w:cs="宋体"/>
              </w:rPr>
              <w:br w:type="textWrapping"/>
            </w:r>
            <w:r>
              <w:rPr>
                <w:rFonts w:hint="eastAsia" w:ascii="宋体" w:hAnsi="宋体" w:eastAsia="宋体" w:cs="宋体"/>
              </w:rPr>
              <w:t>支持人员频次统计</w:t>
            </w:r>
            <w:r>
              <w:rPr>
                <w:rFonts w:hint="eastAsia" w:ascii="宋体" w:hAnsi="宋体" w:eastAsia="宋体" w:cs="宋体"/>
              </w:rPr>
              <w:br w:type="textWrapping"/>
            </w:r>
            <w:r>
              <w:rPr>
                <w:rFonts w:hint="eastAsia" w:ascii="宋体" w:hAnsi="宋体" w:eastAsia="宋体" w:cs="宋体"/>
              </w:rPr>
              <w:t>支持人脸签到和考勤</w:t>
            </w:r>
            <w:r>
              <w:rPr>
                <w:rFonts w:hint="eastAsia" w:ascii="宋体" w:hAnsi="宋体" w:eastAsia="宋体" w:cs="宋体"/>
              </w:rPr>
              <w:br w:type="textWrapping"/>
            </w:r>
            <w:r>
              <w:rPr>
                <w:rFonts w:hint="eastAsia" w:ascii="宋体" w:hAnsi="宋体" w:eastAsia="宋体" w:cs="宋体"/>
              </w:rPr>
              <w:t>支持人脸1V1比对</w:t>
            </w:r>
            <w:r>
              <w:rPr>
                <w:rFonts w:hint="eastAsia" w:ascii="宋体" w:hAnsi="宋体" w:eastAsia="宋体" w:cs="宋体"/>
              </w:rPr>
              <w:br w:type="textWrapping"/>
            </w:r>
            <w:r>
              <w:rPr>
                <w:rFonts w:hint="eastAsia" w:ascii="宋体" w:hAnsi="宋体" w:eastAsia="宋体" w:cs="宋体"/>
              </w:rPr>
              <w:t>支持以脸搜脸、按姓名检索、按属性检索</w:t>
            </w:r>
            <w:r>
              <w:rPr>
                <w:rFonts w:hint="eastAsia" w:ascii="宋体" w:hAnsi="宋体" w:eastAsia="宋体" w:cs="宋体"/>
              </w:rPr>
              <w:br w:type="textWrapping"/>
            </w:r>
            <w:r>
              <w:rPr>
                <w:rFonts w:hint="eastAsia" w:ascii="宋体" w:hAnsi="宋体" w:eastAsia="宋体" w:cs="宋体"/>
              </w:rPr>
              <w:t>★以脸搜脸首位命中率不低于95%,以脸搜脸前10位命中率不低于99%（以公安部检测报告为准）</w:t>
            </w:r>
            <w:r>
              <w:rPr>
                <w:rFonts w:hint="eastAsia" w:ascii="宋体" w:hAnsi="宋体" w:eastAsia="宋体" w:cs="宋体"/>
              </w:rPr>
              <w:br w:type="textWrapping"/>
            </w:r>
            <w:r>
              <w:rPr>
                <w:rFonts w:hint="eastAsia" w:ascii="宋体" w:hAnsi="宋体" w:eastAsia="宋体" w:cs="宋体"/>
              </w:rPr>
              <w:t>★单颗引擎人脸建模速度不低于每秒38张/秒</w:t>
            </w:r>
            <w:r>
              <w:rPr>
                <w:rFonts w:hint="eastAsia" w:ascii="宋体" w:hAnsi="宋体" w:eastAsia="宋体" w:cs="宋体"/>
              </w:rPr>
              <w:br w:type="textWrapping"/>
            </w:r>
            <w:r>
              <w:rPr>
                <w:rFonts w:hint="eastAsia" w:ascii="宋体" w:hAnsi="宋体" w:eastAsia="宋体" w:cs="宋体"/>
              </w:rPr>
              <w:t>★支持检出微笑、大笑、瞪眼、闭眼、张嘴、歪嘴、吐舌头等表情的人脸，支持检出面部过曝、面部欠曝、阴阳脸、逆光等不同光照条件下人脸，支持检出齐刘海遮挡眉毛、头发遮挡眼睛、戴普通眼镜、戴墨镜、戴彩色眼镜、戴棒球帽、戴雷锋帽、戴普通帽子、戴头戴式耳机、胡须、披肩长发、长刘海等遮挡方式的人脸（以公安部检测报告为准）</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硬件规格：</w:t>
            </w:r>
            <w:r>
              <w:rPr>
                <w:rFonts w:hint="eastAsia" w:ascii="宋体" w:hAnsi="宋体" w:eastAsia="宋体" w:cs="宋体"/>
              </w:rPr>
              <w:br w:type="textWrapping"/>
            </w:r>
            <w:r>
              <w:rPr>
                <w:rFonts w:hint="eastAsia" w:ascii="宋体" w:hAnsi="宋体" w:eastAsia="宋体" w:cs="宋体"/>
              </w:rPr>
              <w:t>2U标准机架式</w:t>
            </w:r>
            <w:r>
              <w:rPr>
                <w:rFonts w:hint="eastAsia" w:ascii="宋体" w:hAnsi="宋体" w:eastAsia="宋体" w:cs="宋体"/>
              </w:rPr>
              <w:br w:type="textWrapping"/>
            </w:r>
            <w:r>
              <w:rPr>
                <w:rFonts w:hint="eastAsia" w:ascii="宋体" w:hAnsi="宋体" w:eastAsia="宋体" w:cs="宋体"/>
              </w:rPr>
              <w:t>2个HDMI，2个VGA,HDMI+VGA组内同源</w:t>
            </w:r>
            <w:r>
              <w:rPr>
                <w:rFonts w:hint="eastAsia" w:ascii="宋体" w:hAnsi="宋体" w:eastAsia="宋体" w:cs="宋体"/>
              </w:rPr>
              <w:br w:type="textWrapping"/>
            </w:r>
            <w:r>
              <w:rPr>
                <w:rFonts w:hint="eastAsia" w:ascii="宋体" w:hAnsi="宋体" w:eastAsia="宋体" w:cs="宋体"/>
              </w:rPr>
              <w:t>8盘位，最大可配10T硬盘</w:t>
            </w:r>
            <w:r>
              <w:rPr>
                <w:rFonts w:hint="eastAsia" w:ascii="宋体" w:hAnsi="宋体" w:eastAsia="宋体" w:cs="宋体"/>
              </w:rPr>
              <w:br w:type="textWrapping"/>
            </w:r>
            <w:r>
              <w:rPr>
                <w:rFonts w:hint="eastAsia" w:ascii="宋体" w:hAnsi="宋体" w:eastAsia="宋体" w:cs="宋体"/>
              </w:rPr>
              <w:t>2个千兆网口</w:t>
            </w:r>
            <w:r>
              <w:rPr>
                <w:rFonts w:hint="eastAsia" w:ascii="宋体" w:hAnsi="宋体" w:eastAsia="宋体" w:cs="宋体"/>
              </w:rPr>
              <w:br w:type="textWrapping"/>
            </w:r>
            <w:r>
              <w:rPr>
                <w:rFonts w:hint="eastAsia" w:ascii="宋体" w:hAnsi="宋体" w:eastAsia="宋体" w:cs="宋体"/>
              </w:rPr>
              <w:t>2个USB2.0接口、1个USB3.0接口</w:t>
            </w:r>
            <w:r>
              <w:rPr>
                <w:rFonts w:hint="eastAsia" w:ascii="宋体" w:hAnsi="宋体" w:eastAsia="宋体" w:cs="宋体"/>
              </w:rPr>
              <w:br w:type="textWrapping"/>
            </w:r>
            <w:r>
              <w:rPr>
                <w:rFonts w:hint="eastAsia" w:ascii="宋体" w:hAnsi="宋体" w:eastAsia="宋体" w:cs="宋体"/>
              </w:rPr>
              <w:t>1个eSATA接口</w:t>
            </w:r>
            <w:r>
              <w:rPr>
                <w:rFonts w:hint="eastAsia" w:ascii="宋体" w:hAnsi="宋体" w:eastAsia="宋体" w:cs="宋体"/>
              </w:rPr>
              <w:br w:type="textWrapping"/>
            </w:r>
            <w:r>
              <w:rPr>
                <w:rFonts w:hint="eastAsia" w:ascii="宋体" w:hAnsi="宋体" w:eastAsia="宋体" w:cs="宋体"/>
              </w:rPr>
              <w:t>支持RAID0、1、5、10，支持全局热备盘</w:t>
            </w:r>
            <w:r>
              <w:rPr>
                <w:rFonts w:hint="eastAsia" w:ascii="宋体" w:hAnsi="宋体" w:eastAsia="宋体" w:cs="宋体"/>
              </w:rPr>
              <w:br w:type="textWrapping"/>
            </w:r>
            <w:r>
              <w:rPr>
                <w:rFonts w:hint="eastAsia" w:ascii="宋体" w:hAnsi="宋体" w:eastAsia="宋体" w:cs="宋体"/>
              </w:rPr>
              <w:t>报警IO：16进8出</w:t>
            </w:r>
            <w:r>
              <w:rPr>
                <w:rFonts w:hint="eastAsia" w:ascii="宋体" w:hAnsi="宋体" w:eastAsia="宋体" w:cs="宋体"/>
              </w:rPr>
              <w:br w:type="textWrapping"/>
            </w:r>
            <w:r>
              <w:rPr>
                <w:rFonts w:hint="eastAsia" w:ascii="宋体" w:hAnsi="宋体" w:eastAsia="宋体" w:cs="宋体"/>
              </w:rPr>
              <w:t>软件性能：</w:t>
            </w:r>
            <w:r>
              <w:rPr>
                <w:rFonts w:hint="eastAsia" w:ascii="宋体" w:hAnsi="宋体" w:eastAsia="宋体" w:cs="宋体"/>
              </w:rPr>
              <w:br w:type="textWrapping"/>
            </w:r>
            <w:r>
              <w:rPr>
                <w:rFonts w:hint="eastAsia" w:ascii="宋体" w:hAnsi="宋体" w:eastAsia="宋体" w:cs="宋体"/>
              </w:rPr>
              <w:t>输入带宽：256M  输出带宽：256M</w:t>
            </w:r>
            <w:r>
              <w:rPr>
                <w:rFonts w:hint="eastAsia" w:ascii="宋体" w:hAnsi="宋体" w:eastAsia="宋体" w:cs="宋体"/>
              </w:rPr>
              <w:br w:type="textWrapping"/>
            </w:r>
            <w:r>
              <w:rPr>
                <w:rFonts w:hint="eastAsia" w:ascii="宋体" w:hAnsi="宋体" w:eastAsia="宋体" w:cs="宋体"/>
              </w:rPr>
              <w:t>开启RAID功能带宽降低：输入带宽：200M  输出带宽：200M</w:t>
            </w:r>
            <w:r>
              <w:rPr>
                <w:rFonts w:hint="eastAsia" w:ascii="宋体" w:hAnsi="宋体" w:eastAsia="宋体" w:cs="宋体"/>
              </w:rPr>
              <w:br w:type="textWrapping"/>
            </w:r>
            <w:r>
              <w:rPr>
                <w:rFonts w:hint="eastAsia" w:ascii="宋体" w:hAnsi="宋体" w:eastAsia="宋体" w:cs="宋体"/>
              </w:rPr>
              <w:t>★开启视频流智能分析，NVR解码性能不会降低</w:t>
            </w:r>
            <w:r>
              <w:rPr>
                <w:rFonts w:hint="eastAsia" w:ascii="宋体" w:hAnsi="宋体" w:eastAsia="宋体" w:cs="宋体"/>
              </w:rPr>
              <w:br w:type="textWrapping"/>
            </w:r>
            <w:r>
              <w:rPr>
                <w:rFonts w:hint="eastAsia" w:ascii="宋体" w:hAnsi="宋体" w:eastAsia="宋体" w:cs="宋体"/>
              </w:rPr>
              <w:t>最大支持16×1080P解码</w:t>
            </w:r>
            <w:r>
              <w:rPr>
                <w:rFonts w:hint="eastAsia" w:ascii="宋体" w:hAnsi="宋体" w:eastAsia="宋体" w:cs="宋体"/>
              </w:rPr>
              <w:br w:type="textWrapping"/>
            </w:r>
            <w:r>
              <w:rPr>
                <w:rFonts w:hint="eastAsia" w:ascii="宋体" w:hAnsi="宋体" w:eastAsia="宋体" w:cs="宋体"/>
              </w:rPr>
              <w:t>支持Smart265/H.265/Smart264/H.264编码前端自适应接入 、解码</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15</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拾音器</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全向数字降噪拾音器</w:t>
            </w:r>
            <w:r>
              <w:rPr>
                <w:rFonts w:hint="eastAsia" w:ascii="宋体" w:hAnsi="宋体" w:eastAsia="宋体" w:cs="宋体"/>
              </w:rPr>
              <w:br w:type="textWrapping"/>
            </w:r>
            <w:r>
              <w:rPr>
                <w:rFonts w:hint="eastAsia" w:ascii="宋体" w:hAnsi="宋体" w:eastAsia="宋体" w:cs="宋体"/>
              </w:rPr>
              <w:t>拾音范围70平方米；音频传输距离3000米；灵敏度-34dB；信噪比60dB；安装方式：吸顶安装（自带底座转接盘）；连接方式 3芯导线（红-电源 黑-公共地 白-音频）；电源DC 12V（9V-15V）；推荐电源：DC12V/1A，两线；</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highlight w:val="yellow"/>
              </w:rPr>
            </w:pPr>
            <w:r>
              <w:rPr>
                <w:rFonts w:ascii="宋体" w:hAnsi="宋体" w:eastAsia="宋体" w:cs="宋体"/>
                <w:highlight w:val="none"/>
              </w:rPr>
              <w:t>10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highlight w:val="yellow"/>
              </w:rPr>
            </w:pPr>
            <w:r>
              <w:rPr>
                <w:rFonts w:hint="eastAsia" w:ascii="宋体" w:hAnsi="宋体" w:eastAsia="宋体" w:cs="宋体"/>
              </w:rPr>
              <w:t>个</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16</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IoT-CVR存储（包含36块10T企业级硬盘）</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FF0000"/>
              </w:rPr>
            </w:pPr>
            <w:r>
              <w:rPr>
                <w:rFonts w:hint="eastAsia" w:ascii="宋体" w:hAnsi="宋体" w:eastAsia="宋体" w:cs="宋体"/>
              </w:rPr>
              <w:t>36盘位磁盘阵列，1024Mbps接入带宽，2个千兆数据网口，1个千兆管理网口，支持视频流和图片、视频文件进行混合直写存储，4U机架式36盘位，冗余电源，支持SATA硬盘，64位多核处理器，4GB高速缓存（可扩展到32GB），36块10T企业级硬盘，支持RAID 0、1、3、5、6、10、50，60、JBOD模式，网络协议：RTSP/ONVIF/PSIA/SIP（GB/T28181）</w:t>
            </w:r>
            <w:r>
              <w:rPr>
                <w:rFonts w:hint="eastAsia" w:ascii="宋体" w:hAnsi="宋体" w:eastAsia="宋体" w:cs="宋体"/>
              </w:rPr>
              <w:br w:type="textWrapping"/>
            </w:r>
            <w:r>
              <w:rPr>
                <w:rFonts w:hint="eastAsia" w:ascii="宋体" w:hAnsi="宋体" w:eastAsia="宋体" w:cs="宋体"/>
              </w:rPr>
              <w:t>★网络中断后重新恢复，设备可续存断网期间存储在前端设备中的录像文件，并可通过IE浏览器设置自动回传和手动回传。支持256路4M的录像回传。（以公安部检测报告为准）</w:t>
            </w:r>
            <w:r>
              <w:rPr>
                <w:rFonts w:hint="eastAsia" w:ascii="宋体" w:hAnsi="宋体" w:eastAsia="宋体" w:cs="宋体"/>
              </w:rPr>
              <w:br w:type="textWrapping"/>
            </w:r>
            <w:r>
              <w:rPr>
                <w:rFonts w:hint="eastAsia" w:ascii="宋体" w:hAnsi="宋体" w:eastAsia="宋体" w:cs="宋体"/>
                <w:color w:val="FF0000"/>
              </w:rPr>
              <w:t>★提供多设备同步升级功能，可以通过一键式操作对整个局域网内的所有设备同步升级。（以公安部检测报告为准）</w:t>
            </w:r>
            <w:r>
              <w:rPr>
                <w:rFonts w:hint="eastAsia" w:ascii="宋体" w:hAnsi="宋体" w:eastAsia="宋体" w:cs="宋体"/>
                <w:color w:val="FF0000"/>
              </w:rPr>
              <w:br w:type="textWrapping"/>
            </w:r>
            <w:r>
              <w:rPr>
                <w:rFonts w:hint="eastAsia" w:ascii="宋体" w:hAnsi="宋体" w:eastAsia="宋体" w:cs="宋体"/>
                <w:color w:val="FF0000"/>
              </w:rPr>
              <w:t>★通过客户端软件添加及删除手机号，启用短信网关报警功能后，可向添加的手机号码发送电源异常、系统卡容量不足、存储空间异常、自动修复失败、私有卷IO异常、无可用逻辑卷等报警信息，报警种类可设；（以公安部检测报告为准）</w:t>
            </w:r>
            <w:r>
              <w:rPr>
                <w:rFonts w:hint="eastAsia" w:ascii="宋体" w:hAnsi="宋体" w:eastAsia="宋体" w:cs="宋体"/>
              </w:rPr>
              <w:br w:type="textWrapping"/>
            </w:r>
            <w:r>
              <w:rPr>
                <w:rFonts w:hint="eastAsia" w:ascii="宋体" w:hAnsi="宋体" w:eastAsia="宋体" w:cs="宋体"/>
                <w:color w:val="FF0000"/>
              </w:rPr>
              <w:t>★可通过浏览器对一台、多台样机或扩展柜中的磁盘进行定位，使对应的磁盘指示灯闪烁，闪烁的时长可设；（以公安部检测报告为准）</w:t>
            </w:r>
          </w:p>
          <w:p>
            <w:pPr>
              <w:widowControl/>
              <w:jc w:val="left"/>
              <w:rPr>
                <w:rFonts w:ascii="宋体" w:hAnsi="宋体" w:eastAsia="宋体" w:cs="宋体"/>
              </w:rPr>
            </w:pPr>
            <w:r>
              <w:rPr>
                <w:rFonts w:hint="eastAsia" w:ascii="宋体" w:hAnsi="宋体" w:eastAsia="宋体" w:cs="宋体"/>
              </w:rPr>
              <w:t>★可对指定的录像段或指定事件的1个或多个前端的不同时间段的录像段添加标签，并自动备份到存档卷中，使之不会被覆盖删除；（以公安部检测报告为准）</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17</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软件平台扩容</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扩容后可以提供600路视频授权。实现人员流流量统计；基于人脸识别技术的重点人员识别、陌生人识别、高频人员识别、以脸搜脸等功能；支持前端编码设备的集中管理；支持视频预览、录像回放、图片查看、解码上墙等功能</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套</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18</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摄像机配件</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配套</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131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套</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19</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交换机</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24个10/100/1000Mbps电口（支持PoE/PoE+），2个SFP光口。支持EWEB/APP/MACC管理。</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9</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20</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六类网络电缆</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工程级无氧铜、千兆高速网络非屏蔽双绞线</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10000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米</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21</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1.5平方电缆</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导体结构（NO./mm)：30/0.25， 绝缘厚度规定值（mm)：0.7，平均外径（mm)：7.8</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10000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米</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22</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屏蔽双芯咪线</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高保真、抗干扰、高密度耐磨</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3000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米</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23</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电源</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12V电源变压器</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30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只</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24</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管材</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国标</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7500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米</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25</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辅材</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各种管件及配套专用音视频接插件、成品高清跳线、电源插座板、网线水晶头、PVC等安装辅材</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项</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26</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系统集成</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系统集成服务</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项</w:t>
            </w:r>
          </w:p>
        </w:tc>
      </w:tr>
    </w:tbl>
    <w:p>
      <w:pPr>
        <w:pStyle w:val="24"/>
        <w:rPr>
          <w:rFonts w:hint="eastAsia"/>
        </w:rPr>
      </w:pPr>
    </w:p>
    <w:p>
      <w:pPr>
        <w:numPr>
          <w:ilvl w:val="0"/>
          <w:numId w:val="12"/>
        </w:numPr>
        <w:rPr>
          <w:rFonts w:hint="eastAsia"/>
          <w:b/>
          <w:bCs/>
          <w:sz w:val="24"/>
          <w:szCs w:val="32"/>
          <w:lang w:eastAsia="zh-CN"/>
        </w:rPr>
      </w:pPr>
      <w:r>
        <w:rPr>
          <w:rFonts w:hint="eastAsia"/>
          <w:b/>
          <w:bCs/>
          <w:sz w:val="24"/>
          <w:szCs w:val="32"/>
          <w:lang w:val="en-US" w:eastAsia="zh-CN"/>
        </w:rPr>
        <w:t>其他要求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根据信创要求对数据库、中间件、终端、服务器和操作系统进行国产适配，能满足在信创数据库、中间件、终端、服务器和操作系统环境下运行要求。</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1、信创终端适配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根据信创终端、操作系统和信创浏览器的要求，对页面的布局、页面的元素、表格的样式、系统空间进行适配改造。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流式文件 WPS Office 2019 for Linux 专业版办公软件V11；</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版式文件 福昕OFD版式 办公套件软件（Linux版）V8.0等。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通过上述优化满足信创终端系统访问的要求。</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2、信创中间件适配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适配TAS应用中间件软件 V2.8。</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通过对应用运行支撑环境进行全面优化，包括：WEB连接器优化、WEB容器优化、EJB容器优化、JVM参数调整、C及C++编译运行环境参数优化等手段。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JVM参数调整包括根据需要增加JVM参数，调整JVM堆大小。修改应用访问端口；设置并发线程数，修改JDBC连接池相关性能参数。</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3、信创数据库适配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本次采用人大金仓V8数据库建设。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数据库特性及应用系统特点，将常用表放入内存中，由数据库自行维护持久存储的数据与内存中表数据的一致性，采用添加冗余字段、添加衍生字段、垂直分割、水平分割等反规范化技术进行数据库设计。对SQL语句进行优化，根据SQL语句执行情况优化索引，考虑采用存储过程、使用物化视图。建立临时表。</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4、信创操作系统适配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使用统信UOS V20操作系统。</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5、信创硬件系统适配</w:t>
      </w:r>
    </w:p>
    <w:p>
      <w:pPr>
        <w:spacing w:line="360" w:lineRule="auto"/>
        <w:ind w:firstLine="480" w:firstLineChars="200"/>
        <w:rPr>
          <w:rFonts w:hint="eastAsia"/>
          <w:b/>
          <w:bCs/>
          <w:lang w:eastAsia="zh-CN"/>
        </w:rPr>
      </w:pPr>
      <w:r>
        <w:rPr>
          <w:rFonts w:hint="eastAsia" w:ascii="宋体" w:hAnsi="宋体" w:eastAsia="宋体" w:cs="宋体"/>
          <w:sz w:val="24"/>
          <w:szCs w:val="24"/>
        </w:rPr>
        <w:t>本项目采购设备均为国产设备，满足信创适配要求。</w:t>
      </w:r>
    </w:p>
    <w:p>
      <w:pPr>
        <w:numPr>
          <w:ilvl w:val="0"/>
          <w:numId w:val="12"/>
        </w:numPr>
        <w:spacing w:line="360" w:lineRule="auto"/>
        <w:ind w:left="0" w:leftChars="0" w:firstLine="0" w:firstLineChars="0"/>
        <w:rPr>
          <w:rFonts w:hint="eastAsia" w:asciiTheme="minorEastAsia" w:hAnsiTheme="minorEastAsia" w:eastAsiaTheme="minorEastAsia"/>
          <w:b/>
          <w:sz w:val="24"/>
        </w:rPr>
      </w:pPr>
      <w:r>
        <w:rPr>
          <w:rFonts w:hint="eastAsia" w:asciiTheme="minorEastAsia" w:hAnsiTheme="minorEastAsia" w:eastAsiaTheme="minorEastAsia"/>
          <w:b/>
          <w:sz w:val="24"/>
        </w:rPr>
        <w:t>商务需求</w:t>
      </w:r>
    </w:p>
    <w:p>
      <w:pPr>
        <w:numPr>
          <w:ilvl w:val="0"/>
          <w:numId w:val="13"/>
        </w:numPr>
        <w:spacing w:before="120" w:after="120" w:line="360" w:lineRule="auto"/>
        <w:ind w:left="-62" w:leftChars="0" w:firstLine="482" w:firstLineChars="0"/>
        <w:rPr>
          <w:rFonts w:ascii="宋体" w:hAnsi="宋体" w:eastAsia="宋体" w:cs="宋体"/>
          <w:b/>
          <w:color w:val="auto"/>
          <w:sz w:val="24"/>
          <w:szCs w:val="24"/>
        </w:rPr>
      </w:pPr>
      <w:r>
        <w:rPr>
          <w:rFonts w:hint="eastAsia" w:ascii="宋体" w:hAnsi="宋体" w:eastAsia="宋体" w:cs="宋体"/>
          <w:b/>
          <w:color w:val="auto"/>
          <w:sz w:val="24"/>
          <w:szCs w:val="24"/>
          <w:highlight w:val="none"/>
        </w:rPr>
        <w:t>建设期：</w:t>
      </w:r>
      <w:r>
        <w:rPr>
          <w:rFonts w:hint="eastAsia" w:ascii="宋体" w:hAnsi="宋体" w:cs="宋体"/>
          <w:color w:val="auto"/>
          <w:sz w:val="24"/>
          <w:szCs w:val="24"/>
          <w:lang w:val="en-US" w:eastAsia="zh-CN"/>
        </w:rPr>
        <w:t>硬件设备交货期为</w:t>
      </w:r>
      <w:r>
        <w:rPr>
          <w:rFonts w:hint="eastAsia" w:asciiTheme="minorEastAsia" w:hAnsiTheme="minorEastAsia" w:eastAsiaTheme="minorEastAsia" w:cstheme="minorBidi"/>
          <w:color w:val="FF0000"/>
          <w:kern w:val="0"/>
          <w:sz w:val="24"/>
        </w:rPr>
        <w:t>合同签订之日起</w:t>
      </w:r>
      <w:r>
        <w:rPr>
          <w:rFonts w:hint="eastAsia" w:asciiTheme="minorEastAsia" w:hAnsiTheme="minorEastAsia" w:eastAsiaTheme="minorEastAsia" w:cstheme="minorBidi"/>
          <w:color w:val="FF0000"/>
          <w:kern w:val="0"/>
          <w:sz w:val="24"/>
          <w:lang w:val="en-US" w:eastAsia="zh-CN"/>
        </w:rPr>
        <w:t>60</w:t>
      </w:r>
      <w:r>
        <w:rPr>
          <w:rFonts w:hint="eastAsia" w:asciiTheme="minorEastAsia" w:hAnsiTheme="minorEastAsia" w:eastAsiaTheme="minorEastAsia" w:cstheme="minorBidi"/>
          <w:color w:val="FF0000"/>
          <w:kern w:val="0"/>
          <w:sz w:val="24"/>
        </w:rPr>
        <w:t>日内</w:t>
      </w:r>
      <w:r>
        <w:rPr>
          <w:rFonts w:hint="eastAsia" w:asciiTheme="minorEastAsia" w:hAnsiTheme="minorEastAsia" w:eastAsiaTheme="minorEastAsia" w:cstheme="minorBidi"/>
          <w:color w:val="auto"/>
          <w:kern w:val="0"/>
          <w:sz w:val="24"/>
        </w:rPr>
        <w:t xml:space="preserve"> </w:t>
      </w:r>
      <w:r>
        <w:rPr>
          <w:rFonts w:hint="eastAsia" w:asciiTheme="minorEastAsia" w:hAnsiTheme="minorEastAsia" w:eastAsiaTheme="minorEastAsia" w:cstheme="minorBidi"/>
          <w:color w:val="auto"/>
          <w:kern w:val="0"/>
          <w:sz w:val="24"/>
          <w:lang w:eastAsia="zh-CN"/>
        </w:rPr>
        <w:t>。</w:t>
      </w:r>
    </w:p>
    <w:p>
      <w:pPr>
        <w:pStyle w:val="11"/>
        <w:numPr>
          <w:ilvl w:val="0"/>
          <w:numId w:val="13"/>
        </w:numPr>
        <w:spacing w:line="360" w:lineRule="auto"/>
        <w:ind w:left="-62" w:leftChars="0" w:firstLine="482" w:firstLineChars="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质保期：</w:t>
      </w:r>
      <w:r>
        <w:rPr>
          <w:rFonts w:hint="eastAsia" w:ascii="宋体" w:hAnsi="宋体" w:eastAsia="宋体" w:cs="宋体"/>
          <w:b w:val="0"/>
          <w:bCs/>
          <w:color w:val="auto"/>
          <w:sz w:val="24"/>
          <w:szCs w:val="24"/>
          <w:highlight w:val="none"/>
        </w:rPr>
        <w:t>硬件设备免费质保期为三年。</w:t>
      </w:r>
    </w:p>
    <w:p>
      <w:pPr>
        <w:numPr>
          <w:ilvl w:val="0"/>
          <w:numId w:val="13"/>
        </w:numPr>
        <w:spacing w:before="120" w:after="120" w:line="360" w:lineRule="auto"/>
        <w:ind w:left="-62" w:leftChars="0" w:firstLine="482" w:firstLineChars="0"/>
        <w:rPr>
          <w:rFonts w:hint="eastAsia"/>
          <w:b/>
          <w:bCs/>
          <w:sz w:val="24"/>
          <w:szCs w:val="32"/>
          <w:lang w:val="en-US" w:eastAsia="zh-CN"/>
        </w:rPr>
      </w:pPr>
      <w:r>
        <w:rPr>
          <w:rFonts w:hint="eastAsia" w:ascii="宋体" w:hAnsi="宋体" w:eastAsia="宋体" w:cs="宋体"/>
          <w:b/>
          <w:sz w:val="24"/>
          <w:szCs w:val="24"/>
        </w:rPr>
        <w:t>建设时间及地点：</w:t>
      </w:r>
      <w:r>
        <w:rPr>
          <w:rFonts w:hint="eastAsia" w:ascii="宋体" w:hAnsi="宋体" w:eastAsia="宋体" w:cs="宋体"/>
          <w:sz w:val="24"/>
          <w:szCs w:val="24"/>
        </w:rPr>
        <w:t>同前面“招标项目一览表”内所填的相关内容。</w:t>
      </w:r>
    </w:p>
    <w:p>
      <w:pPr>
        <w:numPr>
          <w:ilvl w:val="0"/>
          <w:numId w:val="13"/>
        </w:numPr>
        <w:spacing w:before="120" w:after="120" w:line="360" w:lineRule="auto"/>
        <w:ind w:left="-62" w:leftChars="0" w:firstLine="482" w:firstLineChars="0"/>
        <w:rPr>
          <w:rFonts w:ascii="宋体" w:hAnsi="宋体" w:eastAsia="宋体" w:cs="宋体"/>
          <w:b/>
          <w:bCs/>
          <w:sz w:val="24"/>
          <w:szCs w:val="24"/>
        </w:rPr>
      </w:pPr>
      <w:r>
        <w:rPr>
          <w:rFonts w:hint="eastAsia"/>
          <w:b/>
          <w:bCs/>
          <w:sz w:val="24"/>
          <w:szCs w:val="32"/>
          <w:lang w:val="en-US" w:eastAsia="zh-CN"/>
        </w:rPr>
        <w:t>付款条件：</w:t>
      </w:r>
      <w:r>
        <w:rPr>
          <w:rFonts w:hint="eastAsia" w:ascii="宋体" w:hAnsi="宋体" w:eastAsia="宋体" w:cs="宋体"/>
          <w:sz w:val="24"/>
          <w:szCs w:val="24"/>
        </w:rPr>
        <w:t>硬件部分合同签订后，招标方支付合同硬件部分总价的30%；设备到货验收合格后支付合同硬件部分总价的20%；待硬件平台搭建完成，项目验收合格后支付合同硬件部分总价的50%。</w:t>
      </w:r>
    </w:p>
    <w:p>
      <w:pPr>
        <w:numPr>
          <w:ilvl w:val="0"/>
          <w:numId w:val="13"/>
        </w:numPr>
        <w:spacing w:before="120" w:after="120" w:line="360" w:lineRule="auto"/>
        <w:ind w:left="-62" w:leftChars="0" w:firstLine="482" w:firstLineChars="0"/>
        <w:rPr>
          <w:rFonts w:ascii="宋体" w:hAnsi="宋体" w:eastAsia="宋体" w:cs="宋体"/>
          <w:b/>
          <w:bCs/>
          <w:sz w:val="24"/>
          <w:szCs w:val="24"/>
        </w:rPr>
      </w:pPr>
      <w:r>
        <w:rPr>
          <w:rFonts w:hint="eastAsia" w:ascii="宋体" w:hAnsi="宋体" w:cs="宋体"/>
          <w:b/>
          <w:bCs/>
          <w:sz w:val="24"/>
          <w:szCs w:val="24"/>
          <w:lang w:val="en-US" w:eastAsia="zh-CN"/>
        </w:rPr>
        <w:t>履约保证金：</w:t>
      </w:r>
      <w:r>
        <w:rPr>
          <w:rFonts w:hint="eastAsia" w:asciiTheme="majorEastAsia" w:hAnsiTheme="majorEastAsia" w:cstheme="majorEastAsia"/>
          <w:b w:val="0"/>
          <w:bCs w:val="0"/>
          <w:color w:val="auto"/>
          <w:sz w:val="24"/>
          <w:szCs w:val="24"/>
          <w:lang w:val="en-US" w:eastAsia="zh-CN"/>
        </w:rPr>
        <w:t>中标人需在合同签署后七天内按照合同总价的5%缴付履约保证金，采购人在质保期满后7个工作日内无息退还。</w:t>
      </w:r>
    </w:p>
    <w:p>
      <w:pPr>
        <w:numPr>
          <w:ilvl w:val="0"/>
          <w:numId w:val="13"/>
        </w:numPr>
        <w:spacing w:before="120" w:after="120" w:line="360" w:lineRule="auto"/>
        <w:ind w:left="-62" w:leftChars="0" w:firstLine="482" w:firstLineChars="0"/>
      </w:pPr>
      <w:r>
        <w:rPr>
          <w:rFonts w:hint="eastAsia" w:ascii="宋体" w:hAnsi="宋体" w:cs="宋体"/>
          <w:b/>
          <w:bCs/>
          <w:sz w:val="24"/>
          <w:szCs w:val="24"/>
          <w:lang w:val="en-US" w:eastAsia="zh-CN"/>
        </w:rPr>
        <w:t>其他</w:t>
      </w:r>
    </w:p>
    <w:p>
      <w:pPr>
        <w:spacing w:line="360" w:lineRule="auto"/>
        <w:ind w:firstLine="480" w:firstLineChars="200"/>
      </w:pPr>
      <w:r>
        <w:rPr>
          <w:rFonts w:hint="eastAsia" w:ascii="宋体" w:hAnsi="宋体" w:eastAsia="宋体" w:cs="宋体"/>
          <w:sz w:val="24"/>
          <w:szCs w:val="24"/>
        </w:rPr>
        <w:t>本项目为交钥匙服务项目，中标人不得以任何理由增加费用。项目实施过程中可能涉及的所有财务成本已经包含投标总报价之中，对标书中未体现，但又是提供服务所必须的组件，中标方必须自行增加。同时，中标方需对服务项目建设及运营期间的安全责任问题及第三方责任赔偿负责，投标的报价包含实现标书的所有功能及安全保障工作，其应包括（但不限于）施工设备、劳务、管理、材料、系统集成、安装调试、软件开发、试运行、质保、保险、利润、税金、培训费、开办费、措施费、人身意外伤害保险费、第三方检测费用、备品备件费用、建设期财务费用、光纤租赁费用、安全文明施工设施费用、机房和网络建设费用、维修维护服务、设备使用电费、相关审批费用、政策性文件规定费用及合同包含的所有风险、责任等各项所有费用。为保证工程建设及售后服务质量，要求投标方的总体报价不得明显低于成本价。</w:t>
      </w:r>
    </w:p>
    <w:p>
      <w:pPr>
        <w:pStyle w:val="12"/>
        <w:spacing w:line="360" w:lineRule="auto"/>
        <w:ind w:left="0" w:leftChars="0" w:firstLine="0" w:firstLineChars="0"/>
        <w:rPr>
          <w:rFonts w:asciiTheme="minorEastAsia" w:hAnsiTheme="minorEastAsia" w:eastAsiaTheme="minorEastAsia" w:cstheme="minorBidi"/>
          <w:kern w:val="0"/>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156" w:beforeLines="50" w:after="156"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3"/>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3"/>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3"/>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3"/>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3"/>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5</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质保期满1年后</w:t>
      </w:r>
      <w:r>
        <w:rPr>
          <w:rFonts w:hint="eastAsia" w:asciiTheme="minorEastAsia" w:hAnsiTheme="minorEastAsia" w:eastAsiaTheme="minorEastAsia" w:cstheme="minorBidi"/>
          <w:sz w:val="24"/>
          <w:lang w:val="zh-CN"/>
        </w:rPr>
        <w:t>无息退还。]</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3"/>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3"/>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3"/>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3"/>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3"/>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3"/>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3"/>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3"/>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3"/>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3"/>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3"/>
        <w:numPr>
          <w:ilvl w:val="0"/>
          <w:numId w:val="14"/>
        </w:numPr>
        <w:snapToGrid w:val="0"/>
        <w:spacing w:before="120" w:after="120" w:line="360" w:lineRule="auto"/>
        <w:ind w:left="420" w:hanging="420" w:hangingChars="175"/>
        <w:rPr>
          <w:rFonts w:asciiTheme="minorEastAsia" w:hAnsiTheme="minorEastAsia" w:eastAsiaTheme="minorEastAsia"/>
          <w:sz w:val="24"/>
        </w:rPr>
      </w:pPr>
      <w:r>
        <w:rPr>
          <w:rFonts w:hint="eastAsia" w:asciiTheme="minorEastAsia" w:hAnsiTheme="minorEastAsia" w:eastAsiaTheme="minorEastAsia"/>
          <w:sz w:val="24"/>
        </w:rPr>
        <w:t>乙方运送的货物涉及商品包装和快递包装的，参考《商品包装政府采购需求标准（试行）》、《快递包装政府采购需求标准（试行）》（财办库［2020］123号）</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3"/>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1"/>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1"/>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11"/>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spacing w:line="360" w:lineRule="auto"/>
        <w:jc w:val="left"/>
        <w:rPr>
          <w:rFonts w:asciiTheme="majorEastAsia" w:hAnsiTheme="majorEastAsia" w:eastAsiaTheme="majorEastAsia"/>
          <w:color w:val="00B0F0"/>
          <w:sz w:val="28"/>
          <w:szCs w:val="28"/>
        </w:rPr>
      </w:pPr>
    </w:p>
    <w:p>
      <w:pPr>
        <w:snapToGrid w:val="0"/>
        <w:spacing w:before="156" w:beforeLines="50" w:after="156" w:afterLines="50"/>
        <w:jc w:val="center"/>
        <w:rPr>
          <w:rFonts w:ascii="宋体" w:hAnsi="宋体"/>
          <w:b/>
          <w:sz w:val="36"/>
          <w:szCs w:val="36"/>
        </w:rPr>
      </w:pPr>
      <w:r>
        <w:rPr>
          <w:rFonts w:hint="eastAsia" w:ascii="宋体" w:hAnsi="宋体"/>
          <w:b/>
          <w:sz w:val="36"/>
          <w:szCs w:val="36"/>
        </w:rPr>
        <w:t>服务类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3"/>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3"/>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3"/>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3"/>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3"/>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pStyle w:val="13"/>
        <w:snapToGrid w:val="0"/>
        <w:spacing w:before="120" w:after="120" w:line="360" w:lineRule="auto"/>
        <w:ind w:hanging="8"/>
        <w:rPr>
          <w:rFonts w:asciiTheme="majorEastAsia" w:hAnsiTheme="majorEastAsia" w:cstheme="majorEastAsia"/>
          <w:color w:val="000000"/>
          <w:sz w:val="24"/>
        </w:rPr>
      </w:pPr>
      <w:r>
        <w:rPr>
          <w:rFonts w:hint="eastAsia" w:asciiTheme="majorEastAsia" w:hAnsiTheme="majorEastAsia" w:cstheme="majorEastAsia"/>
          <w:color w:val="000000"/>
          <w:sz w:val="24"/>
        </w:rPr>
        <w:t>中标后签订合同前5个工作日内，乙方需支付甲方合同金额的5%作为履约保证金，甲方在质保期满后5个工作日内退还乙方。</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3"/>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3"/>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3"/>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3"/>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3"/>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3"/>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3"/>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3"/>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3"/>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3"/>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6. 乙方运送的货物涉及商品包装和快递包装的，参考《商品包装政府采购需求标准（试行）》、《快递包装政府采购需求标准（试行）》（财办库［2020］123号）</w:t>
      </w:r>
    </w:p>
    <w:p>
      <w:pPr>
        <w:pStyle w:val="13"/>
        <w:snapToGrid w:val="0"/>
        <w:spacing w:line="360" w:lineRule="auto"/>
        <w:ind w:left="479" w:leftChars="171" w:right="26" w:hanging="120" w:hangingChars="50"/>
        <w:rPr>
          <w:rFonts w:asciiTheme="minorEastAsia" w:hAnsiTheme="minorEastAsia" w:eastAsiaTheme="minorEastAsia"/>
          <w:sz w:val="24"/>
        </w:rPr>
      </w:pP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3"/>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1"/>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1"/>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11"/>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pP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numPr>
          <w:ilvl w:val="0"/>
          <w:numId w:val="15"/>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5"/>
        </w:numPr>
        <w:snapToGrid w:val="0"/>
        <w:spacing w:line="360" w:lineRule="auto"/>
        <w:ind w:firstLine="548" w:firstLineChars="196"/>
        <w:rPr>
          <w:rFonts w:ascii="宋体" w:hAnsi="宋体"/>
          <w:kern w:val="0"/>
          <w:sz w:val="28"/>
          <w:szCs w:val="28"/>
        </w:rPr>
      </w:pPr>
      <w:r>
        <w:rPr>
          <w:bCs/>
          <w:color w:val="000000"/>
          <w:sz w:val="28"/>
          <w:szCs w:val="28"/>
        </w:rPr>
        <w:t>授权</w:t>
      </w:r>
      <w:r>
        <w:rPr>
          <w:rFonts w:hint="eastAsia"/>
          <w:bCs/>
          <w:color w:val="000000"/>
          <w:sz w:val="28"/>
          <w:szCs w:val="28"/>
        </w:rPr>
        <w:t>委托</w:t>
      </w:r>
      <w:r>
        <w:rPr>
          <w:bCs/>
          <w:color w:val="000000"/>
          <w:sz w:val="28"/>
          <w:szCs w:val="28"/>
        </w:rPr>
        <w:t>书</w:t>
      </w:r>
      <w:r>
        <w:rPr>
          <w:rFonts w:hint="eastAsia" w:ascii="宋体" w:hAnsi="宋体"/>
          <w:bCs/>
          <w:sz w:val="28"/>
          <w:szCs w:val="28"/>
        </w:rPr>
        <w:t>（附件3）</w:t>
      </w:r>
    </w:p>
    <w:p>
      <w:pPr>
        <w:numPr>
          <w:ilvl w:val="0"/>
          <w:numId w:val="15"/>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pStyle w:val="24"/>
        <w:rPr>
          <w:rFonts w:ascii="宋体" w:hAnsi="宋体"/>
          <w:b/>
          <w:sz w:val="28"/>
        </w:rPr>
      </w:pPr>
    </w:p>
    <w:p>
      <w:pPr>
        <w:pStyle w:val="24"/>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r>
        <w:rPr>
          <w:rFonts w:hint="eastAsia" w:ascii="宋体" w:hAnsi="宋体"/>
          <w:b/>
          <w:kern w:val="0"/>
          <w:sz w:val="32"/>
          <w:szCs w:val="32"/>
          <w:lang w:val="zh-CN"/>
        </w:rPr>
        <w:t>投标声明书</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lang w:val="en-US" w:eastAsia="zh-CN"/>
        </w:rPr>
        <w:t>采购</w:t>
      </w:r>
      <w:r>
        <w:rPr>
          <w:rFonts w:hint="eastAsia" w:ascii="宋体" w:hAnsi="宋体" w:cs="宋体"/>
          <w:kern w:val="0"/>
          <w:sz w:val="24"/>
        </w:rPr>
        <w:t>机构/采购代理机构名称）：</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6"/>
        </w:num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numPr>
          <w:ilvl w:val="255"/>
          <w:numId w:val="0"/>
        </w:numPr>
        <w:snapToGrid w:val="0"/>
        <w:spacing w:before="156" w:beforeLines="50" w:after="50" w:line="312"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56" w:beforeLines="50" w:after="50" w:line="312"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156" w:beforeLines="50" w:after="50" w:line="312"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156" w:beforeLines="50" w:after="50" w:line="312"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12" w:lineRule="auto"/>
        <w:ind w:firstLine="480"/>
        <w:rPr>
          <w:rFonts w:ascii="宋体" w:hAnsi="宋体" w:cs="仿宋_GB2312"/>
          <w:kern w:val="0"/>
          <w:sz w:val="24"/>
        </w:rPr>
      </w:pPr>
    </w:p>
    <w:p>
      <w:pPr>
        <w:adjustRightInd w:val="0"/>
        <w:snapToGrid w:val="0"/>
        <w:spacing w:line="312"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投标人名称(电子印章)：</w:t>
      </w:r>
    </w:p>
    <w:p>
      <w:pPr>
        <w:adjustRightInd w:val="0"/>
        <w:snapToGrid w:val="0"/>
        <w:spacing w:line="312" w:lineRule="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adjustRightInd w:val="0"/>
        <w:snapToGrid w:val="0"/>
        <w:spacing w:line="312"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color w:val="FF66CC"/>
          <w:sz w:val="24"/>
        </w:rPr>
        <w:t>××</w:t>
      </w:r>
      <w:r>
        <w:rPr>
          <w:rFonts w:hint="eastAsia" w:ascii="宋体" w:hAnsi="宋体" w:cs="仿宋_GB2312"/>
          <w:kern w:val="0"/>
          <w:sz w:val="24"/>
          <w:lang w:val="zh-CN"/>
        </w:rPr>
        <w:t xml:space="preserve">年 </w:t>
      </w:r>
      <w:r>
        <w:rPr>
          <w:rFonts w:hint="eastAsia" w:ascii="宋体" w:hAnsi="宋体" w:cstheme="minorBidi"/>
          <w:color w:val="FF66CC"/>
          <w:sz w:val="24"/>
        </w:rPr>
        <w:t>××</w:t>
      </w:r>
      <w:r>
        <w:rPr>
          <w:rFonts w:hint="eastAsia" w:ascii="宋体" w:hAnsi="宋体" w:cs="仿宋_GB2312"/>
          <w:kern w:val="0"/>
          <w:sz w:val="24"/>
          <w:lang w:val="zh-CN"/>
        </w:rPr>
        <w:t xml:space="preserve"> 月 </w:t>
      </w:r>
      <w:r>
        <w:rPr>
          <w:rFonts w:hint="eastAsia" w:ascii="宋体" w:hAnsi="宋体" w:cstheme="minorBidi"/>
          <w:color w:val="FF66CC"/>
          <w:sz w:val="24"/>
        </w:rPr>
        <w:t>××</w:t>
      </w:r>
      <w:r>
        <w:rPr>
          <w:rFonts w:hint="eastAsia" w:ascii="宋体" w:hAnsi="宋体" w:cs="仿宋_GB2312"/>
          <w:kern w:val="0"/>
          <w:sz w:val="24"/>
          <w:lang w:val="zh-CN"/>
        </w:rPr>
        <w:t xml:space="preserve"> 日</w:t>
      </w:r>
    </w:p>
    <w:p>
      <w:pPr>
        <w:adjustRightInd w:val="0"/>
        <w:snapToGrid w:val="0"/>
        <w:spacing w:line="360" w:lineRule="auto"/>
        <w:ind w:right="480"/>
        <w:rPr>
          <w:rFonts w:ascii="宋体"/>
          <w:b/>
          <w:color w:val="FF0000"/>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color w:val="000000"/>
          <w:sz w:val="32"/>
          <w:szCs w:val="32"/>
        </w:rPr>
        <w:t>授权</w:t>
      </w:r>
      <w:r>
        <w:rPr>
          <w:rFonts w:hint="eastAsia"/>
          <w:b/>
          <w:color w:val="000000"/>
          <w:sz w:val="32"/>
          <w:szCs w:val="32"/>
        </w:rPr>
        <w:t>委托</w:t>
      </w:r>
      <w:r>
        <w:rPr>
          <w:b/>
          <w:color w:val="000000"/>
          <w:sz w:val="32"/>
          <w:szCs w:val="32"/>
        </w:rPr>
        <w:t>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lang w:eastAsia="zh-CN"/>
        </w:rPr>
        <w:t>采购</w:t>
      </w:r>
      <w:r>
        <w:rPr>
          <w:rFonts w:hint="eastAsia" w:ascii="宋体" w:hAnsi="宋体" w:cs="宋体"/>
          <w:kern w:val="0"/>
          <w:sz w:val="24"/>
        </w:rPr>
        <w:t>机构/采购代理机构名称）：</w:t>
      </w:r>
    </w:p>
    <w:p>
      <w:pPr>
        <w:pStyle w:val="13"/>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投标人全称（电子印章）：                              日期：</w:t>
      </w:r>
    </w:p>
    <w:p>
      <w:pPr>
        <w:spacing w:line="360" w:lineRule="auto"/>
        <w:rPr>
          <w:sz w:val="24"/>
        </w:rPr>
      </w:pPr>
    </w:p>
    <w:p>
      <w:pPr>
        <w:spacing w:line="360" w:lineRule="auto"/>
        <w:rPr>
          <w:b/>
          <w:sz w:val="24"/>
        </w:rPr>
      </w:pPr>
      <w:r>
        <w:rPr>
          <w:rFonts w:hint="eastAsia" w:ascii="宋体"/>
          <w:b/>
          <w:sz w:val="24"/>
        </w:rPr>
        <w:t>附：</w:t>
      </w: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56" w:beforeLines="50" w:after="50" w:line="360" w:lineRule="auto"/>
        <w:rPr>
          <w:rFonts w:ascii="仿宋_GB2312" w:hAnsi="宋体" w:eastAsia="仿宋_GB2312"/>
          <w:b/>
          <w:sz w:val="30"/>
          <w:szCs w:val="30"/>
        </w:rPr>
      </w:pPr>
      <w:r>
        <w:rPr>
          <w:rFonts w:hint="eastAsia" w:ascii="宋体" w:hAnsi="宋体"/>
          <w:b/>
          <w:sz w:val="28"/>
        </w:rPr>
        <w:t>附件4：</w:t>
      </w:r>
    </w:p>
    <w:p>
      <w:pPr>
        <w:snapToGrid w:val="0"/>
        <w:spacing w:before="156" w:beforeLines="50" w:after="50" w:line="360" w:lineRule="auto"/>
        <w:jc w:val="right"/>
        <w:rPr>
          <w:rFonts w:ascii="仿宋_GB2312" w:hAnsi="宋体" w:eastAsia="仿宋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r>
        <w:rPr>
          <w:rFonts w:hint="eastAsia"/>
          <w:b/>
          <w:sz w:val="28"/>
        </w:rPr>
        <w:t>附件5</w:t>
      </w:r>
    </w:p>
    <w:p>
      <w:pPr>
        <w:pStyle w:val="28"/>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19"/>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3" w:type="dxa"/>
          </w:tcPr>
          <w:p>
            <w:pPr>
              <w:pStyle w:val="28"/>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28"/>
              <w:shd w:val="clear" w:color="auto" w:fill="FFFFFF"/>
              <w:spacing w:line="360" w:lineRule="auto"/>
              <w:rPr>
                <w:bCs/>
                <w:color w:val="000000"/>
              </w:rPr>
            </w:pPr>
          </w:p>
        </w:tc>
        <w:tc>
          <w:tcPr>
            <w:tcW w:w="2001" w:type="dxa"/>
            <w:gridSpan w:val="3"/>
          </w:tcPr>
          <w:p>
            <w:pPr>
              <w:pStyle w:val="28"/>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28"/>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3" w:type="dxa"/>
          </w:tcPr>
          <w:p>
            <w:pPr>
              <w:pStyle w:val="28"/>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28"/>
              <w:shd w:val="clear" w:color="auto" w:fill="FFFFFF"/>
              <w:spacing w:line="360" w:lineRule="auto"/>
              <w:rPr>
                <w:bCs/>
                <w:color w:val="000000"/>
                <w:spacing w:val="16"/>
              </w:rPr>
            </w:pPr>
          </w:p>
        </w:tc>
        <w:tc>
          <w:tcPr>
            <w:tcW w:w="2001" w:type="dxa"/>
            <w:gridSpan w:val="3"/>
          </w:tcPr>
          <w:p>
            <w:pPr>
              <w:pStyle w:val="28"/>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28"/>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28"/>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28"/>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28"/>
              <w:shd w:val="clear" w:color="auto" w:fill="FFFFFF"/>
              <w:spacing w:line="360" w:lineRule="auto"/>
              <w:rPr>
                <w:bCs/>
                <w:color w:val="000000"/>
                <w:spacing w:val="16"/>
              </w:rPr>
            </w:pPr>
          </w:p>
        </w:tc>
        <w:tc>
          <w:tcPr>
            <w:tcW w:w="2001" w:type="dxa"/>
            <w:gridSpan w:val="3"/>
          </w:tcPr>
          <w:p>
            <w:pPr>
              <w:pStyle w:val="28"/>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28"/>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23" w:type="dxa"/>
            <w:vMerge w:val="restart"/>
          </w:tcPr>
          <w:p>
            <w:pPr>
              <w:pStyle w:val="28"/>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28"/>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28"/>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28"/>
              <w:shd w:val="clear" w:color="auto" w:fill="FFFFFF"/>
              <w:spacing w:line="360" w:lineRule="auto"/>
              <w:rPr>
                <w:bCs/>
                <w:color w:val="000000"/>
                <w:spacing w:val="16"/>
              </w:rPr>
            </w:pPr>
          </w:p>
        </w:tc>
        <w:tc>
          <w:tcPr>
            <w:tcW w:w="2001" w:type="dxa"/>
            <w:gridSpan w:val="3"/>
            <w:vMerge w:val="restart"/>
          </w:tcPr>
          <w:p>
            <w:pPr>
              <w:pStyle w:val="28"/>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28"/>
              <w:shd w:val="clear" w:color="auto" w:fill="FFFFFF"/>
              <w:spacing w:line="360" w:lineRule="auto"/>
              <w:ind w:left="107"/>
              <w:rPr>
                <w:bCs/>
                <w:color w:val="000000"/>
              </w:rPr>
            </w:pPr>
          </w:p>
        </w:tc>
        <w:tc>
          <w:tcPr>
            <w:tcW w:w="701" w:type="dxa"/>
            <w:vMerge w:val="continue"/>
            <w:tcBorders>
              <w:bottom w:val="single" w:color="auto" w:sz="4" w:space="0"/>
            </w:tcBorders>
          </w:tcPr>
          <w:p>
            <w:pPr>
              <w:pStyle w:val="28"/>
              <w:shd w:val="clear" w:color="auto" w:fill="FFFFFF"/>
              <w:spacing w:line="360" w:lineRule="auto"/>
              <w:rPr>
                <w:bCs/>
                <w:color w:val="000000"/>
                <w:spacing w:val="16"/>
              </w:rPr>
            </w:pPr>
          </w:p>
        </w:tc>
        <w:tc>
          <w:tcPr>
            <w:tcW w:w="910" w:type="dxa"/>
            <w:gridSpan w:val="2"/>
            <w:tcBorders>
              <w:bottom w:val="single" w:color="auto" w:sz="4" w:space="0"/>
            </w:tcBorders>
          </w:tcPr>
          <w:p>
            <w:pPr>
              <w:pStyle w:val="28"/>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28"/>
              <w:shd w:val="clear" w:color="auto" w:fill="FFFFFF"/>
              <w:spacing w:line="360" w:lineRule="auto"/>
              <w:rPr>
                <w:bCs/>
                <w:color w:val="000000"/>
                <w:spacing w:val="16"/>
              </w:rPr>
            </w:pPr>
          </w:p>
        </w:tc>
        <w:tc>
          <w:tcPr>
            <w:tcW w:w="2001" w:type="dxa"/>
            <w:gridSpan w:val="3"/>
            <w:vMerge w:val="continue"/>
          </w:tcPr>
          <w:p>
            <w:pPr>
              <w:pStyle w:val="28"/>
              <w:shd w:val="clear" w:color="auto" w:fill="FFFFFF"/>
              <w:spacing w:line="360" w:lineRule="auto"/>
              <w:rPr>
                <w:bCs/>
                <w:color w:val="000000"/>
                <w:spacing w:val="16"/>
              </w:rPr>
            </w:pPr>
          </w:p>
        </w:tc>
        <w:tc>
          <w:tcPr>
            <w:tcW w:w="2151" w:type="dxa"/>
            <w:gridSpan w:val="2"/>
            <w:vMerge w:val="continue"/>
          </w:tcPr>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23" w:type="dxa"/>
            <w:vMerge w:val="restart"/>
          </w:tcPr>
          <w:p>
            <w:pPr>
              <w:pStyle w:val="28"/>
              <w:shd w:val="clear" w:color="auto" w:fill="FFFFFF"/>
              <w:spacing w:line="360" w:lineRule="auto"/>
              <w:ind w:left="107"/>
              <w:rPr>
                <w:bCs/>
                <w:color w:val="000000"/>
              </w:rPr>
            </w:pPr>
            <w:r>
              <w:rPr>
                <w:bCs/>
                <w:color w:val="000000"/>
              </w:rPr>
              <w:t>1</w:t>
            </w:r>
            <w:r>
              <w:rPr>
                <w:rFonts w:hint="eastAsia"/>
                <w:bCs/>
                <w:color w:val="000000"/>
              </w:rPr>
              <w:t>.</w:t>
            </w:r>
          </w:p>
          <w:p>
            <w:pPr>
              <w:pStyle w:val="28"/>
              <w:shd w:val="clear" w:color="auto" w:fill="FFFFFF"/>
              <w:spacing w:line="360" w:lineRule="auto"/>
              <w:ind w:left="107"/>
              <w:rPr>
                <w:bCs/>
                <w:color w:val="000000"/>
              </w:rPr>
            </w:pPr>
            <w:r>
              <w:rPr>
                <w:rFonts w:hint="eastAsia"/>
                <w:bCs/>
                <w:color w:val="000000"/>
              </w:rPr>
              <w:t>企</w:t>
            </w:r>
          </w:p>
          <w:p>
            <w:pPr>
              <w:pStyle w:val="28"/>
              <w:shd w:val="clear" w:color="auto" w:fill="FFFFFF"/>
              <w:spacing w:line="360" w:lineRule="auto"/>
              <w:ind w:left="107"/>
              <w:rPr>
                <w:bCs/>
                <w:color w:val="000000"/>
              </w:rPr>
            </w:pPr>
            <w:r>
              <w:rPr>
                <w:rFonts w:hint="eastAsia"/>
                <w:bCs/>
                <w:color w:val="000000"/>
              </w:rPr>
              <w:t>业</w:t>
            </w:r>
          </w:p>
          <w:p>
            <w:pPr>
              <w:pStyle w:val="28"/>
              <w:shd w:val="clear" w:color="auto" w:fill="FFFFFF"/>
              <w:spacing w:line="360" w:lineRule="auto"/>
              <w:ind w:left="107"/>
              <w:rPr>
                <w:bCs/>
                <w:color w:val="000000"/>
                <w:spacing w:val="27"/>
              </w:rPr>
            </w:pPr>
            <w:r>
              <w:rPr>
                <w:rFonts w:hint="eastAsia"/>
                <w:bCs/>
                <w:color w:val="000000"/>
                <w:spacing w:val="27"/>
              </w:rPr>
              <w:t>概</w:t>
            </w:r>
          </w:p>
          <w:p>
            <w:pPr>
              <w:pStyle w:val="28"/>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28"/>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28"/>
              <w:shd w:val="clear" w:color="auto" w:fill="FFFFFF"/>
              <w:spacing w:line="360" w:lineRule="auto"/>
              <w:rPr>
                <w:bCs/>
                <w:color w:val="000000"/>
                <w:spacing w:val="16"/>
              </w:rPr>
            </w:pPr>
          </w:p>
        </w:tc>
        <w:tc>
          <w:tcPr>
            <w:tcW w:w="1163" w:type="dxa"/>
            <w:tcBorders>
              <w:top w:val="nil"/>
            </w:tcBorders>
          </w:tcPr>
          <w:p>
            <w:pPr>
              <w:pStyle w:val="28"/>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28"/>
              <w:shd w:val="clear" w:color="auto" w:fill="FFFFFF"/>
              <w:spacing w:line="360" w:lineRule="auto"/>
              <w:rPr>
                <w:bCs/>
                <w:color w:val="000000"/>
                <w:spacing w:val="16"/>
              </w:rPr>
            </w:pPr>
          </w:p>
        </w:tc>
        <w:tc>
          <w:tcPr>
            <w:tcW w:w="2001" w:type="dxa"/>
            <w:gridSpan w:val="3"/>
          </w:tcPr>
          <w:p>
            <w:pPr>
              <w:pStyle w:val="28"/>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23" w:type="dxa"/>
            <w:vMerge w:val="continue"/>
          </w:tcPr>
          <w:p>
            <w:pPr>
              <w:pStyle w:val="28"/>
              <w:shd w:val="clear" w:color="auto" w:fill="FFFFFF"/>
              <w:spacing w:line="360" w:lineRule="auto"/>
              <w:ind w:left="107"/>
              <w:rPr>
                <w:bCs/>
                <w:color w:val="000000"/>
              </w:rPr>
            </w:pPr>
          </w:p>
        </w:tc>
        <w:tc>
          <w:tcPr>
            <w:tcW w:w="701" w:type="dxa"/>
          </w:tcPr>
          <w:p>
            <w:pPr>
              <w:pStyle w:val="28"/>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28"/>
              <w:shd w:val="clear" w:color="auto" w:fill="FFFFFF"/>
              <w:spacing w:line="360" w:lineRule="auto"/>
              <w:rPr>
                <w:bCs/>
                <w:color w:val="000000"/>
              </w:rPr>
            </w:pPr>
          </w:p>
        </w:tc>
        <w:tc>
          <w:tcPr>
            <w:tcW w:w="1163" w:type="dxa"/>
          </w:tcPr>
          <w:p>
            <w:pPr>
              <w:pStyle w:val="28"/>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28"/>
              <w:shd w:val="clear" w:color="auto" w:fill="FFFFFF"/>
              <w:spacing w:line="360" w:lineRule="auto"/>
              <w:ind w:firstLine="480" w:firstLineChars="200"/>
              <w:rPr>
                <w:bCs/>
                <w:color w:val="000000"/>
              </w:rPr>
            </w:pPr>
            <w:r>
              <w:rPr>
                <w:rFonts w:hint="eastAsia"/>
                <w:bCs/>
                <w:color w:val="000000"/>
              </w:rPr>
              <w:t xml:space="preserve">平方米 </w:t>
            </w:r>
          </w:p>
          <w:p>
            <w:pPr>
              <w:pStyle w:val="28"/>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28"/>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28"/>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23" w:type="dxa"/>
            <w:vMerge w:val="continue"/>
          </w:tcPr>
          <w:p>
            <w:pPr>
              <w:pStyle w:val="28"/>
              <w:shd w:val="clear" w:color="auto" w:fill="FFFFFF"/>
              <w:spacing w:line="360" w:lineRule="auto"/>
              <w:ind w:left="107"/>
              <w:rPr>
                <w:bCs/>
                <w:color w:val="000000"/>
              </w:rPr>
            </w:pPr>
          </w:p>
        </w:tc>
        <w:tc>
          <w:tcPr>
            <w:tcW w:w="701" w:type="dxa"/>
          </w:tcPr>
          <w:p>
            <w:pPr>
              <w:pStyle w:val="28"/>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28"/>
              <w:shd w:val="clear" w:color="auto" w:fill="FFFFFF"/>
              <w:spacing w:line="360" w:lineRule="auto"/>
              <w:ind w:left="2"/>
              <w:rPr>
                <w:bCs/>
                <w:color w:val="000000"/>
              </w:rPr>
            </w:pPr>
          </w:p>
        </w:tc>
        <w:tc>
          <w:tcPr>
            <w:tcW w:w="1163" w:type="dxa"/>
          </w:tcPr>
          <w:p>
            <w:pPr>
              <w:pStyle w:val="28"/>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28"/>
              <w:shd w:val="clear" w:color="auto" w:fill="FFFFFF"/>
              <w:spacing w:line="360" w:lineRule="auto"/>
              <w:ind w:left="107"/>
              <w:rPr>
                <w:bCs/>
                <w:color w:val="000000"/>
              </w:rPr>
            </w:pPr>
          </w:p>
        </w:tc>
        <w:tc>
          <w:tcPr>
            <w:tcW w:w="1218" w:type="dxa"/>
          </w:tcPr>
          <w:p>
            <w:pPr>
              <w:pStyle w:val="28"/>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28"/>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23" w:type="dxa"/>
            <w:vMerge w:val="continue"/>
          </w:tcPr>
          <w:p>
            <w:pPr>
              <w:pStyle w:val="28"/>
              <w:shd w:val="clear" w:color="auto" w:fill="FFFFFF"/>
              <w:spacing w:line="360" w:lineRule="auto"/>
              <w:ind w:left="107"/>
              <w:rPr>
                <w:bCs/>
                <w:color w:val="000000"/>
              </w:rPr>
            </w:pPr>
          </w:p>
        </w:tc>
        <w:tc>
          <w:tcPr>
            <w:tcW w:w="701" w:type="dxa"/>
          </w:tcPr>
          <w:p>
            <w:pPr>
              <w:pStyle w:val="28"/>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28"/>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23" w:type="dxa"/>
            <w:vMerge w:val="continue"/>
          </w:tcPr>
          <w:p>
            <w:pPr>
              <w:pStyle w:val="28"/>
              <w:shd w:val="clear" w:color="auto" w:fill="FFFFFF"/>
              <w:spacing w:line="360" w:lineRule="auto"/>
              <w:ind w:left="107"/>
              <w:rPr>
                <w:bCs/>
                <w:color w:val="000000"/>
              </w:rPr>
            </w:pPr>
          </w:p>
        </w:tc>
        <w:tc>
          <w:tcPr>
            <w:tcW w:w="8131" w:type="dxa"/>
            <w:gridSpan w:val="11"/>
          </w:tcPr>
          <w:p>
            <w:pPr>
              <w:pStyle w:val="28"/>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23" w:type="dxa"/>
            <w:vMerge w:val="restart"/>
          </w:tcPr>
          <w:p>
            <w:pPr>
              <w:pStyle w:val="28"/>
              <w:shd w:val="clear" w:color="auto" w:fill="FFFFFF"/>
              <w:spacing w:line="360" w:lineRule="auto"/>
              <w:ind w:left="107"/>
              <w:rPr>
                <w:bCs/>
                <w:color w:val="000000"/>
              </w:rPr>
            </w:pPr>
            <w:r>
              <w:rPr>
                <w:bCs/>
                <w:color w:val="000000"/>
              </w:rPr>
              <w:t>2</w:t>
            </w:r>
            <w:r>
              <w:rPr>
                <w:rFonts w:hint="eastAsia"/>
                <w:bCs/>
                <w:color w:val="000000"/>
              </w:rPr>
              <w:t>．</w:t>
            </w:r>
          </w:p>
          <w:p>
            <w:pPr>
              <w:pStyle w:val="28"/>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28"/>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28"/>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28"/>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28"/>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28"/>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28"/>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23" w:type="dxa"/>
            <w:vMerge w:val="continue"/>
          </w:tcPr>
          <w:p>
            <w:pPr>
              <w:pStyle w:val="28"/>
              <w:shd w:val="clear" w:color="auto" w:fill="FFFFFF"/>
              <w:spacing w:line="360" w:lineRule="auto"/>
              <w:ind w:left="107"/>
              <w:rPr>
                <w:bCs/>
                <w:color w:val="000000"/>
              </w:rPr>
            </w:pPr>
          </w:p>
        </w:tc>
        <w:tc>
          <w:tcPr>
            <w:tcW w:w="1553" w:type="dxa"/>
            <w:gridSpan w:val="2"/>
            <w:vMerge w:val="continue"/>
          </w:tcPr>
          <w:p>
            <w:pPr>
              <w:pStyle w:val="28"/>
              <w:shd w:val="clear" w:color="auto" w:fill="FFFFFF"/>
              <w:spacing w:line="360" w:lineRule="auto"/>
              <w:rPr>
                <w:bCs/>
                <w:color w:val="000000"/>
              </w:rPr>
            </w:pPr>
          </w:p>
        </w:tc>
        <w:tc>
          <w:tcPr>
            <w:tcW w:w="1333" w:type="dxa"/>
            <w:gridSpan w:val="3"/>
          </w:tcPr>
          <w:p>
            <w:pPr>
              <w:pStyle w:val="28"/>
              <w:shd w:val="clear" w:color="auto" w:fill="FFFFFF"/>
              <w:spacing w:line="360" w:lineRule="auto"/>
              <w:rPr>
                <w:bCs/>
                <w:color w:val="000000"/>
              </w:rPr>
            </w:pPr>
          </w:p>
        </w:tc>
        <w:tc>
          <w:tcPr>
            <w:tcW w:w="1418" w:type="dxa"/>
            <w:gridSpan w:val="2"/>
          </w:tcPr>
          <w:p>
            <w:pPr>
              <w:pStyle w:val="28"/>
              <w:shd w:val="clear" w:color="auto" w:fill="FFFFFF"/>
              <w:spacing w:line="360" w:lineRule="auto"/>
              <w:rPr>
                <w:bCs/>
                <w:color w:val="000000"/>
              </w:rPr>
            </w:pPr>
          </w:p>
        </w:tc>
        <w:tc>
          <w:tcPr>
            <w:tcW w:w="1276" w:type="dxa"/>
          </w:tcPr>
          <w:p>
            <w:pPr>
              <w:pStyle w:val="28"/>
              <w:shd w:val="clear" w:color="auto" w:fill="FFFFFF"/>
              <w:spacing w:line="360" w:lineRule="auto"/>
              <w:rPr>
                <w:bCs/>
                <w:color w:val="000000"/>
              </w:rPr>
            </w:pPr>
          </w:p>
        </w:tc>
        <w:tc>
          <w:tcPr>
            <w:tcW w:w="2551" w:type="dxa"/>
            <w:gridSpan w:val="3"/>
          </w:tcPr>
          <w:p>
            <w:pPr>
              <w:pStyle w:val="28"/>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23" w:type="dxa"/>
            <w:vMerge w:val="continue"/>
          </w:tcPr>
          <w:p>
            <w:pPr>
              <w:pStyle w:val="28"/>
              <w:shd w:val="clear" w:color="auto" w:fill="FFFFFF"/>
              <w:spacing w:line="360" w:lineRule="auto"/>
              <w:ind w:left="107"/>
              <w:rPr>
                <w:bCs/>
                <w:color w:val="000000"/>
                <w:spacing w:val="16"/>
              </w:rPr>
            </w:pPr>
          </w:p>
        </w:tc>
        <w:tc>
          <w:tcPr>
            <w:tcW w:w="1553" w:type="dxa"/>
            <w:gridSpan w:val="2"/>
          </w:tcPr>
          <w:p>
            <w:pPr>
              <w:pStyle w:val="28"/>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23" w:type="dxa"/>
            <w:vMerge w:val="continue"/>
          </w:tcPr>
          <w:p>
            <w:pPr>
              <w:pStyle w:val="28"/>
              <w:shd w:val="clear" w:color="auto" w:fill="FFFFFF"/>
              <w:spacing w:line="360" w:lineRule="auto"/>
              <w:ind w:left="107"/>
              <w:rPr>
                <w:bCs/>
                <w:color w:val="000000"/>
                <w:spacing w:val="27"/>
              </w:rPr>
            </w:pPr>
          </w:p>
        </w:tc>
        <w:tc>
          <w:tcPr>
            <w:tcW w:w="1553" w:type="dxa"/>
            <w:gridSpan w:val="2"/>
          </w:tcPr>
          <w:p>
            <w:pPr>
              <w:pStyle w:val="28"/>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28"/>
              <w:shd w:val="clear" w:color="auto" w:fill="FFFFFF"/>
              <w:spacing w:line="360" w:lineRule="auto"/>
              <w:rPr>
                <w:bCs/>
                <w:color w:val="000000"/>
                <w:spacing w:val="16"/>
              </w:rPr>
            </w:pPr>
          </w:p>
        </w:tc>
      </w:tr>
    </w:tbl>
    <w:p>
      <w:pPr>
        <w:pStyle w:val="28"/>
        <w:shd w:val="clear" w:color="auto" w:fill="FFFFFF"/>
        <w:spacing w:before="0" w:beforeAutospacing="0" w:after="0" w:afterAutospacing="0" w:line="360" w:lineRule="auto"/>
        <w:rPr>
          <w:rFonts w:ascii="仿宋_GB2312" w:eastAsia="仿宋_GB2312"/>
        </w:rPr>
      </w:pPr>
    </w:p>
    <w:p>
      <w:pPr>
        <w:pStyle w:val="28"/>
        <w:shd w:val="clear" w:color="auto" w:fill="FFFFFF"/>
        <w:spacing w:before="0" w:beforeAutospacing="0" w:after="0" w:afterAutospacing="0" w:line="360" w:lineRule="auto"/>
        <w:rPr>
          <w:b/>
          <w:sz w:val="21"/>
          <w:szCs w:val="21"/>
        </w:rPr>
      </w:pPr>
      <w:r>
        <w:rPr>
          <w:rFonts w:hint="eastAsia"/>
          <w:b/>
          <w:sz w:val="21"/>
          <w:szCs w:val="21"/>
        </w:rPr>
        <w:t>要求：</w:t>
      </w:r>
    </w:p>
    <w:p>
      <w:pPr>
        <w:pStyle w:val="28"/>
        <w:shd w:val="clear" w:color="auto" w:fill="FFFFFF"/>
        <w:spacing w:before="0" w:beforeAutospacing="0" w:after="0" w:afterAutospacing="0" w:line="360" w:lineRule="auto"/>
        <w:ind w:firstLine="424" w:firstLineChars="202"/>
        <w:rPr>
          <w:color w:val="000000"/>
          <w:sz w:val="21"/>
          <w:szCs w:val="21"/>
        </w:rPr>
      </w:pPr>
      <w:r>
        <w:rPr>
          <w:rFonts w:hint="eastAsia" w:ascii="仿宋_GB2312" w:eastAsia="仿宋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8"/>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156"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19"/>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w:t>
      </w:r>
      <w:r>
        <w:rPr>
          <w:rFonts w:hint="eastAsia" w:ascii="宋体" w:hAnsi="宋体"/>
          <w:szCs w:val="21"/>
        </w:rPr>
        <w:t>在填写时，如本表格不适合投标单位的实际情况，可根据本表格式自行划表填写。</w:t>
      </w:r>
    </w:p>
    <w:p>
      <w:pPr>
        <w:pStyle w:val="29"/>
        <w:spacing w:line="360" w:lineRule="auto"/>
        <w:ind w:left="424" w:leftChars="202"/>
        <w:rPr>
          <w:rFonts w:ascii="宋体" w:hAnsi="宋体"/>
          <w:szCs w:val="21"/>
        </w:rPr>
      </w:pPr>
      <w:r>
        <w:rPr>
          <w:rFonts w:hint="eastAsia" w:ascii="宋体" w:hAnsi="宋体"/>
          <w:szCs w:val="21"/>
        </w:rPr>
        <w:t>2.附人员证书复印件；</w:t>
      </w:r>
    </w:p>
    <w:p>
      <w:pPr>
        <w:pStyle w:val="29"/>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19"/>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19"/>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投标人名称（电子印章）：</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投标人代表签字或电子印章：</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19"/>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30"/>
        <w:tabs>
          <w:tab w:val="left" w:pos="360"/>
        </w:tabs>
        <w:spacing w:line="360" w:lineRule="auto"/>
        <w:ind w:right="84" w:rightChars="40"/>
        <w:rPr>
          <w:rFonts w:ascii="宋体"/>
          <w:b/>
          <w:szCs w:val="21"/>
        </w:rPr>
      </w:pPr>
      <w:r>
        <w:rPr>
          <w:rFonts w:hint="eastAsia" w:ascii="宋体"/>
          <w:b/>
          <w:szCs w:val="21"/>
        </w:rPr>
        <w:t>要求：</w:t>
      </w:r>
    </w:p>
    <w:p>
      <w:pPr>
        <w:pStyle w:val="30"/>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0"/>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0"/>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1"/>
        <w:spacing w:line="360" w:lineRule="auto"/>
        <w:jc w:val="left"/>
        <w:rPr>
          <w:rFonts w:ascii="宋体" w:hAnsi="宋体"/>
          <w:b/>
          <w:sz w:val="28"/>
        </w:rPr>
      </w:pPr>
      <w:r>
        <w:rPr>
          <w:rFonts w:hint="eastAsia" w:ascii="宋体" w:hAnsi="宋体"/>
          <w:b/>
          <w:sz w:val="28"/>
        </w:rPr>
        <w:t>附件10</w:t>
      </w:r>
    </w:p>
    <w:p>
      <w:pPr>
        <w:pStyle w:val="32"/>
        <w:spacing w:line="360" w:lineRule="auto"/>
        <w:jc w:val="center"/>
        <w:rPr>
          <w:rFonts w:ascii="宋体" w:hAnsi="宋体"/>
          <w:b/>
          <w:sz w:val="32"/>
          <w:szCs w:val="32"/>
        </w:rPr>
      </w:pPr>
      <w:r>
        <w:rPr>
          <w:rFonts w:hint="eastAsia" w:ascii="宋体" w:hAnsi="宋体"/>
          <w:b/>
          <w:sz w:val="32"/>
          <w:szCs w:val="32"/>
        </w:rPr>
        <w:t>证书一览表</w:t>
      </w:r>
    </w:p>
    <w:p>
      <w:pPr>
        <w:pStyle w:val="32"/>
        <w:spacing w:line="360" w:lineRule="auto"/>
        <w:jc w:val="center"/>
        <w:rPr>
          <w:rFonts w:ascii="宋体" w:hAnsi="宋体" w:cs="Arial"/>
          <w:sz w:val="28"/>
          <w:szCs w:val="28"/>
        </w:rPr>
      </w:pPr>
    </w:p>
    <w:tbl>
      <w:tblPr>
        <w:tblStyle w:val="19"/>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2"/>
              <w:spacing w:line="360" w:lineRule="auto"/>
              <w:jc w:val="center"/>
              <w:rPr>
                <w:rFonts w:ascii="宋体" w:hAnsi="宋体" w:cs="Arial"/>
                <w:szCs w:val="21"/>
              </w:rPr>
            </w:pPr>
          </w:p>
        </w:tc>
        <w:tc>
          <w:tcPr>
            <w:tcW w:w="2258" w:type="dxa"/>
            <w:tcBorders>
              <w:top w:val="single" w:color="auto" w:sz="4" w:space="0"/>
            </w:tcBorders>
          </w:tcPr>
          <w:p>
            <w:pPr>
              <w:pStyle w:val="32"/>
              <w:spacing w:line="360" w:lineRule="auto"/>
              <w:jc w:val="center"/>
              <w:rPr>
                <w:rFonts w:ascii="宋体" w:hAnsi="宋体" w:cs="Arial"/>
                <w:szCs w:val="21"/>
              </w:rPr>
            </w:pPr>
          </w:p>
        </w:tc>
        <w:tc>
          <w:tcPr>
            <w:tcW w:w="2260" w:type="dxa"/>
            <w:tcBorders>
              <w:top w:val="single" w:color="auto" w:sz="4" w:space="0"/>
            </w:tcBorders>
          </w:tcPr>
          <w:p>
            <w:pPr>
              <w:pStyle w:val="32"/>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2"/>
              <w:spacing w:line="360" w:lineRule="auto"/>
              <w:jc w:val="center"/>
              <w:rPr>
                <w:rFonts w:ascii="宋体" w:hAnsi="宋体" w:cs="Arial"/>
                <w:szCs w:val="21"/>
              </w:rPr>
            </w:pPr>
          </w:p>
        </w:tc>
        <w:tc>
          <w:tcPr>
            <w:tcW w:w="2258" w:type="dxa"/>
            <w:tcBorders>
              <w:bottom w:val="single" w:color="auto" w:sz="4" w:space="0"/>
            </w:tcBorders>
          </w:tcPr>
          <w:p>
            <w:pPr>
              <w:pStyle w:val="32"/>
              <w:spacing w:line="360" w:lineRule="auto"/>
              <w:jc w:val="center"/>
              <w:rPr>
                <w:rFonts w:ascii="宋体" w:hAnsi="宋体" w:cs="Arial"/>
                <w:szCs w:val="21"/>
              </w:rPr>
            </w:pPr>
          </w:p>
        </w:tc>
        <w:tc>
          <w:tcPr>
            <w:tcW w:w="2260" w:type="dxa"/>
            <w:tcBorders>
              <w:bottom w:val="single" w:color="auto" w:sz="4" w:space="0"/>
            </w:tcBorders>
          </w:tcPr>
          <w:p>
            <w:pPr>
              <w:pStyle w:val="32"/>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2"/>
              <w:spacing w:line="360" w:lineRule="auto"/>
              <w:jc w:val="center"/>
              <w:rPr>
                <w:rFonts w:ascii="宋体" w:hAnsi="宋体" w:cs="Arial"/>
                <w:szCs w:val="21"/>
              </w:rPr>
            </w:pPr>
          </w:p>
        </w:tc>
      </w:tr>
    </w:tbl>
    <w:p>
      <w:pPr>
        <w:pStyle w:val="32"/>
        <w:tabs>
          <w:tab w:val="left" w:pos="1050"/>
        </w:tabs>
        <w:spacing w:line="360" w:lineRule="auto"/>
        <w:rPr>
          <w:rFonts w:ascii="仿宋_GB2312" w:hAnsi="宋体" w:eastAsia="仿宋_GB2312"/>
          <w:sz w:val="24"/>
        </w:rPr>
      </w:pPr>
    </w:p>
    <w:p>
      <w:pPr>
        <w:pStyle w:val="32"/>
        <w:tabs>
          <w:tab w:val="left" w:pos="1050"/>
        </w:tabs>
        <w:spacing w:line="360" w:lineRule="auto"/>
        <w:rPr>
          <w:rFonts w:ascii="宋体" w:hAnsi="宋体"/>
          <w:szCs w:val="21"/>
        </w:rPr>
      </w:pPr>
      <w:r>
        <w:rPr>
          <w:rFonts w:hint="eastAsia" w:ascii="宋体" w:hAnsi="宋体"/>
          <w:b/>
          <w:szCs w:val="21"/>
        </w:rPr>
        <w:t>要求：</w:t>
      </w:r>
    </w:p>
    <w:p>
      <w:pPr>
        <w:pStyle w:val="32"/>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2"/>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2"/>
        <w:tabs>
          <w:tab w:val="left" w:pos="1050"/>
        </w:tabs>
        <w:spacing w:line="360" w:lineRule="auto"/>
        <w:ind w:firstLine="720" w:firstLineChars="300"/>
        <w:rPr>
          <w:rFonts w:ascii="仿宋_GB2312" w:hAnsi="宋体" w:eastAsia="仿宋_GB2312"/>
          <w:sz w:val="24"/>
        </w:rPr>
      </w:pPr>
    </w:p>
    <w:p>
      <w:pPr>
        <w:pStyle w:val="32"/>
        <w:tabs>
          <w:tab w:val="left" w:pos="1050"/>
        </w:tabs>
        <w:spacing w:line="360" w:lineRule="auto"/>
        <w:ind w:firstLine="720" w:firstLineChars="300"/>
        <w:rPr>
          <w:rFonts w:ascii="仿宋_GB2312" w:hAnsi="宋体" w:eastAsia="仿宋_GB2312"/>
          <w:sz w:val="24"/>
        </w:rPr>
      </w:pPr>
    </w:p>
    <w:p>
      <w:pPr>
        <w:pStyle w:val="32"/>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8"/>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31"/>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1"/>
        <w:spacing w:line="360" w:lineRule="auto"/>
        <w:jc w:val="center"/>
        <w:rPr>
          <w:rFonts w:ascii="仿宋_GB2312" w:eastAsia="仿宋_GB2312"/>
          <w:b/>
          <w:sz w:val="28"/>
          <w:szCs w:val="28"/>
        </w:rPr>
      </w:pPr>
    </w:p>
    <w:tbl>
      <w:tblPr>
        <w:tblStyle w:val="19"/>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2"/>
        <w:tabs>
          <w:tab w:val="left" w:pos="1050"/>
        </w:tabs>
        <w:spacing w:line="360" w:lineRule="auto"/>
        <w:rPr>
          <w:rFonts w:ascii="仿宋_GB2312" w:hAnsi="宋体" w:eastAsia="仿宋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19"/>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19"/>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vAlign w:val="center"/>
          </w:tcPr>
          <w:p>
            <w:pPr>
              <w:pStyle w:val="33"/>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33"/>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33"/>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33"/>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3"/>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33"/>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33"/>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33"/>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3"/>
              <w:widowControl/>
              <w:spacing w:line="360" w:lineRule="auto"/>
              <w:jc w:val="left"/>
              <w:rPr>
                <w:rFonts w:ascii="宋体" w:hAnsi="宋体" w:cs="Arial"/>
                <w:bCs/>
                <w:sz w:val="24"/>
              </w:rPr>
            </w:pPr>
          </w:p>
        </w:tc>
        <w:tc>
          <w:tcPr>
            <w:tcW w:w="2355" w:type="dxa"/>
            <w:vMerge w:val="continue"/>
            <w:vAlign w:val="center"/>
          </w:tcPr>
          <w:p>
            <w:pPr>
              <w:pStyle w:val="33"/>
              <w:widowControl/>
              <w:spacing w:line="360" w:lineRule="auto"/>
              <w:jc w:val="left"/>
              <w:rPr>
                <w:rFonts w:ascii="宋体" w:hAnsi="宋体" w:cs="Arial"/>
                <w:bCs/>
                <w:sz w:val="24"/>
              </w:rPr>
            </w:pPr>
          </w:p>
        </w:tc>
        <w:tc>
          <w:tcPr>
            <w:tcW w:w="4061" w:type="dxa"/>
          </w:tcPr>
          <w:p>
            <w:pPr>
              <w:pStyle w:val="33"/>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3"/>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33"/>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33"/>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33"/>
              <w:widowControl/>
              <w:spacing w:line="360" w:lineRule="auto"/>
              <w:jc w:val="left"/>
              <w:rPr>
                <w:rFonts w:ascii="宋体" w:hAnsi="宋体" w:cs="Arial"/>
                <w:bCs/>
                <w:sz w:val="24"/>
              </w:rPr>
            </w:pPr>
          </w:p>
          <w:p>
            <w:pPr>
              <w:pStyle w:val="33"/>
              <w:widowControl/>
              <w:spacing w:line="360" w:lineRule="auto"/>
              <w:jc w:val="left"/>
              <w:rPr>
                <w:rFonts w:ascii="宋体" w:hAnsi="宋体" w:cs="Arial"/>
                <w:bCs/>
                <w:sz w:val="24"/>
              </w:rPr>
            </w:pPr>
          </w:p>
          <w:p>
            <w:pPr>
              <w:pStyle w:val="33"/>
              <w:spacing w:line="360" w:lineRule="auto"/>
              <w:rPr>
                <w:rFonts w:ascii="宋体" w:hAnsi="宋体" w:cs="Arial"/>
                <w:bCs/>
                <w:sz w:val="24"/>
              </w:rPr>
            </w:pPr>
          </w:p>
        </w:tc>
        <w:tc>
          <w:tcPr>
            <w:tcW w:w="1373" w:type="dxa"/>
          </w:tcPr>
          <w:p>
            <w:pPr>
              <w:pStyle w:val="33"/>
              <w:widowControl/>
              <w:spacing w:line="360" w:lineRule="auto"/>
              <w:jc w:val="left"/>
              <w:rPr>
                <w:rFonts w:ascii="宋体" w:hAnsi="宋体" w:cs="Arial"/>
                <w:bCs/>
                <w:sz w:val="24"/>
              </w:rPr>
            </w:pPr>
          </w:p>
          <w:p>
            <w:pPr>
              <w:pStyle w:val="33"/>
              <w:widowControl/>
              <w:spacing w:line="360" w:lineRule="auto"/>
              <w:jc w:val="left"/>
              <w:rPr>
                <w:rFonts w:ascii="宋体" w:hAnsi="宋体" w:cs="Arial"/>
                <w:bCs/>
                <w:sz w:val="24"/>
              </w:rPr>
            </w:pPr>
          </w:p>
          <w:p>
            <w:pPr>
              <w:pStyle w:val="33"/>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33"/>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33"/>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33"/>
              <w:widowControl/>
              <w:spacing w:line="360" w:lineRule="auto"/>
              <w:jc w:val="left"/>
              <w:rPr>
                <w:rFonts w:ascii="宋体" w:hAnsi="宋体" w:cs="Arial"/>
                <w:bCs/>
                <w:i/>
                <w:sz w:val="24"/>
              </w:rPr>
            </w:pPr>
          </w:p>
          <w:p>
            <w:pPr>
              <w:pStyle w:val="33"/>
              <w:widowControl/>
              <w:spacing w:line="360" w:lineRule="auto"/>
              <w:jc w:val="left"/>
              <w:rPr>
                <w:rFonts w:ascii="宋体" w:hAnsi="宋体" w:cs="Arial"/>
                <w:bCs/>
                <w:i/>
                <w:sz w:val="24"/>
              </w:rPr>
            </w:pPr>
          </w:p>
        </w:tc>
        <w:tc>
          <w:tcPr>
            <w:tcW w:w="1373" w:type="dxa"/>
          </w:tcPr>
          <w:p>
            <w:pPr>
              <w:pStyle w:val="33"/>
              <w:widowControl/>
              <w:spacing w:line="360" w:lineRule="auto"/>
              <w:jc w:val="left"/>
              <w:rPr>
                <w:rFonts w:ascii="宋体" w:hAnsi="宋体" w:cs="Arial"/>
                <w:bCs/>
                <w:i/>
                <w:sz w:val="24"/>
              </w:rPr>
            </w:pPr>
          </w:p>
          <w:p>
            <w:pPr>
              <w:pStyle w:val="33"/>
              <w:widowControl/>
              <w:spacing w:line="360" w:lineRule="auto"/>
              <w:jc w:val="left"/>
              <w:rPr>
                <w:rFonts w:ascii="宋体" w:hAnsi="宋体" w:cs="Arial"/>
                <w:bCs/>
                <w:i/>
                <w:sz w:val="24"/>
              </w:rPr>
            </w:pPr>
          </w:p>
          <w:p>
            <w:pPr>
              <w:pStyle w:val="33"/>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vAlign w:val="center"/>
          </w:tcPr>
          <w:p>
            <w:pPr>
              <w:pStyle w:val="33"/>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33"/>
              <w:widowControl/>
              <w:spacing w:line="360" w:lineRule="auto"/>
              <w:jc w:val="left"/>
              <w:rPr>
                <w:rFonts w:ascii="宋体" w:hAnsi="宋体" w:cs="Arial"/>
                <w:bCs/>
                <w:sz w:val="24"/>
              </w:rPr>
            </w:pPr>
            <w:r>
              <w:rPr>
                <w:rFonts w:ascii="宋体" w:hAnsi="宋体" w:cs="Arial"/>
                <w:bCs/>
                <w:sz w:val="24"/>
              </w:rPr>
              <w:t>……</w:t>
            </w:r>
          </w:p>
        </w:tc>
        <w:tc>
          <w:tcPr>
            <w:tcW w:w="4061" w:type="dxa"/>
          </w:tcPr>
          <w:p>
            <w:pPr>
              <w:pStyle w:val="33"/>
              <w:widowControl/>
              <w:spacing w:line="360" w:lineRule="auto"/>
              <w:jc w:val="left"/>
              <w:rPr>
                <w:rFonts w:ascii="宋体" w:hAnsi="宋体" w:cs="Arial"/>
                <w:bCs/>
                <w:sz w:val="24"/>
              </w:rPr>
            </w:pPr>
          </w:p>
        </w:tc>
        <w:tc>
          <w:tcPr>
            <w:tcW w:w="1373" w:type="dxa"/>
          </w:tcPr>
          <w:p>
            <w:pPr>
              <w:pStyle w:val="33"/>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34"/>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附件14</w:t>
      </w:r>
    </w:p>
    <w:p>
      <w:pPr>
        <w:pStyle w:val="34"/>
        <w:spacing w:line="360" w:lineRule="auto"/>
        <w:jc w:val="center"/>
        <w:rPr>
          <w:rFonts w:hAnsi="宋体"/>
          <w:b/>
          <w:color w:val="000000" w:themeColor="text1"/>
          <w:sz w:val="32"/>
          <w:szCs w:val="32"/>
          <w:lang w:val="en-GB"/>
          <w14:textFill>
            <w14:solidFill>
              <w14:schemeClr w14:val="tx1"/>
            </w14:solidFill>
          </w14:textFill>
        </w:rPr>
      </w:pPr>
      <w:r>
        <w:rPr>
          <w:rFonts w:hint="eastAsia" w:hAnsi="宋体"/>
          <w:b/>
          <w:color w:val="000000" w:themeColor="text1"/>
          <w:sz w:val="32"/>
          <w:szCs w:val="32"/>
          <w14:textFill>
            <w14:solidFill>
              <w14:schemeClr w14:val="tx1"/>
            </w14:solidFill>
          </w14:textFill>
        </w:rPr>
        <w:t>主要货物用材响应表(类似家具类货物采用)</w:t>
      </w:r>
    </w:p>
    <w:tbl>
      <w:tblPr>
        <w:tblStyle w:val="19"/>
        <w:tblW w:w="10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80"/>
        <w:gridCol w:w="1080"/>
        <w:gridCol w:w="1260"/>
        <w:gridCol w:w="900"/>
        <w:gridCol w:w="1164"/>
        <w:gridCol w:w="1260"/>
        <w:gridCol w:w="11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序号</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货物名称</w:t>
            </w:r>
          </w:p>
        </w:tc>
        <w:tc>
          <w:tcPr>
            <w:tcW w:w="1080" w:type="dxa"/>
            <w:vMerge w:val="restart"/>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产品配置</w:t>
            </w:r>
          </w:p>
        </w:tc>
        <w:tc>
          <w:tcPr>
            <w:tcW w:w="6644" w:type="dxa"/>
            <w:gridSpan w:val="6"/>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cs="宋体"/>
                <w:bCs/>
                <w:sz w:val="24"/>
              </w:rPr>
              <w:t>材料规格及参数</w:t>
            </w: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品牌</w:t>
            </w:r>
          </w:p>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商标</w:t>
            </w: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生产厂家</w:t>
            </w: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符合标准</w:t>
            </w: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性能说明</w:t>
            </w: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spacing w:line="360" w:lineRule="auto"/>
              <w:jc w:val="center"/>
              <w:rPr>
                <w:rFonts w:ascii="仿宋_GB2312" w:hAnsi="宋体" w:eastAsia="仿宋_GB2312" w:cs="宋体"/>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bl>
    <w:p>
      <w:pPr>
        <w:spacing w:line="360" w:lineRule="auto"/>
        <w:rPr>
          <w:rFonts w:ascii="宋体" w:hAnsi="宋体"/>
          <w:b/>
          <w:szCs w:val="21"/>
        </w:rPr>
      </w:pPr>
      <w:r>
        <w:rPr>
          <w:rFonts w:hint="eastAsia" w:ascii="宋体" w:hAnsi="宋体"/>
          <w:b/>
          <w:szCs w:val="21"/>
        </w:rPr>
        <w:t>要求：</w:t>
      </w:r>
    </w:p>
    <w:p>
      <w:pPr>
        <w:pStyle w:val="33"/>
        <w:spacing w:line="360" w:lineRule="auto"/>
        <w:ind w:left="719" w:leftChars="228" w:hanging="240" w:hangingChars="100"/>
        <w:rPr>
          <w:rFonts w:ascii="仿宋_GB2312" w:hAnsi="宋体" w:eastAsia="仿宋_GB2312"/>
          <w:sz w:val="24"/>
        </w:rPr>
      </w:pPr>
      <w:r>
        <w:rPr>
          <w:rFonts w:hint="eastAsia" w:ascii="仿宋_GB2312" w:eastAsia="仿宋_GB2312"/>
          <w:sz w:val="24"/>
        </w:rPr>
        <w:t>1.请列出以上</w:t>
      </w:r>
      <w:r>
        <w:rPr>
          <w:rFonts w:hint="eastAsia" w:ascii="仿宋_GB2312" w:hAnsi="宋体" w:eastAsia="仿宋_GB2312"/>
          <w:sz w:val="24"/>
        </w:rPr>
        <w:t>产品的各项主要用材、辅料、油漆、五金件等。</w:t>
      </w:r>
    </w:p>
    <w:p>
      <w:pPr>
        <w:pStyle w:val="33"/>
        <w:spacing w:line="360" w:lineRule="auto"/>
        <w:ind w:firstLine="480" w:firstLineChars="200"/>
        <w:rPr>
          <w:rFonts w:ascii="仿宋_GB2312" w:eastAsia="仿宋_GB2312"/>
          <w:sz w:val="24"/>
        </w:rPr>
      </w:pPr>
      <w:r>
        <w:rPr>
          <w:rFonts w:hint="eastAsia" w:ascii="仿宋_GB2312" w:eastAsia="仿宋_GB2312"/>
          <w:sz w:val="24"/>
        </w:rPr>
        <w:t>2.本表所列产品主要用材均为采购人抽样送检的范围。</w:t>
      </w: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color w:val="FF00FF"/>
          <w:sz w:val="24"/>
        </w:rPr>
      </w:pPr>
      <w:r>
        <w:rPr>
          <w:rFonts w:hint="eastAsia" w:ascii="宋体" w:hAnsi="宋体"/>
          <w:sz w:val="24"/>
        </w:rPr>
        <w:t>日        期：</w:t>
      </w:r>
    </w:p>
    <w:p>
      <w:pPr>
        <w:spacing w:line="360" w:lineRule="auto"/>
        <w:ind w:firstLine="435"/>
        <w:rPr>
          <w:rFonts w:ascii="宋体" w:hAnsi="宋体"/>
          <w:color w:val="FF00FF"/>
          <w:sz w:val="24"/>
        </w:rPr>
      </w:pPr>
    </w:p>
    <w:p>
      <w:pPr>
        <w:spacing w:line="360" w:lineRule="auto"/>
        <w:ind w:right="-110"/>
        <w:jc w:val="left"/>
        <w:rPr>
          <w:rFonts w:ascii="宋体" w:hAnsi="宋体"/>
          <w:b/>
          <w:sz w:val="28"/>
        </w:rPr>
      </w:pPr>
    </w:p>
    <w:p>
      <w:pPr>
        <w:spacing w:line="360" w:lineRule="auto"/>
        <w:ind w:right="-110"/>
        <w:jc w:val="left"/>
        <w:rPr>
          <w:rFonts w:ascii="宋体" w:hAnsi="宋体"/>
          <w:b/>
          <w:sz w:val="28"/>
        </w:rPr>
      </w:pPr>
    </w:p>
    <w:p>
      <w:pPr>
        <w:spacing w:line="360" w:lineRule="auto"/>
        <w:ind w:right="-110"/>
        <w:jc w:val="left"/>
        <w:rPr>
          <w:rFonts w:ascii="宋体" w:hAnsi="宋体"/>
          <w:spacing w:val="40"/>
          <w:sz w:val="52"/>
          <w:szCs w:val="52"/>
        </w:rPr>
      </w:pPr>
      <w:r>
        <w:rPr>
          <w:rFonts w:hint="eastAsia" w:ascii="宋体" w:hAnsi="宋体"/>
          <w:b/>
          <w:sz w:val="28"/>
        </w:rPr>
        <w:t>附件15</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供应商全称（电子印章）：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仿宋_GB2312" w:hAnsi="宋体" w:eastAsia="仿宋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1、开标一览表（附件16）；</w:t>
      </w:r>
    </w:p>
    <w:p>
      <w:pPr>
        <w:pStyle w:val="14"/>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（附件17）</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35"/>
        <w:spacing w:line="360" w:lineRule="auto"/>
        <w:rPr>
          <w:rFonts w:hAnsi="宋体"/>
          <w:sz w:val="24"/>
        </w:rPr>
      </w:pPr>
      <w:r>
        <w:rPr>
          <w:rFonts w:hint="eastAsia" w:hAnsi="宋体"/>
          <w:sz w:val="24"/>
        </w:rPr>
        <w:t>4、</w:t>
      </w:r>
      <w:r>
        <w:rPr>
          <w:rFonts w:hAnsi="宋体"/>
          <w:sz w:val="24"/>
        </w:rPr>
        <w:t>小微企业</w:t>
      </w:r>
      <w:r>
        <w:rPr>
          <w:rFonts w:hint="eastAsia" w:hAnsi="宋体"/>
          <w:sz w:val="24"/>
        </w:rPr>
        <w:t>等</w:t>
      </w:r>
      <w:r>
        <w:rPr>
          <w:rFonts w:hAnsi="宋体"/>
          <w:sz w:val="24"/>
        </w:rPr>
        <w:t>声明函</w:t>
      </w:r>
      <w:r>
        <w:rPr>
          <w:rFonts w:hint="eastAsia" w:hAnsi="宋体"/>
          <w:sz w:val="24"/>
        </w:rPr>
        <w:t>（附件18）；</w:t>
      </w:r>
    </w:p>
    <w:p>
      <w:pPr>
        <w:pStyle w:val="36"/>
        <w:spacing w:line="360" w:lineRule="auto"/>
        <w:rPr>
          <w:rFonts w:ascii="宋体" w:hAnsi="宋体"/>
          <w:kern w:val="0"/>
          <w:sz w:val="24"/>
        </w:rPr>
      </w:pPr>
      <w:r>
        <w:rPr>
          <w:rFonts w:hint="eastAsia" w:ascii="宋体" w:hAnsi="宋体"/>
          <w:kern w:val="0"/>
          <w:sz w:val="24"/>
        </w:rPr>
        <w:t>5、产品适用政府采购政策情况表</w:t>
      </w:r>
      <w:r>
        <w:rPr>
          <w:rFonts w:hint="eastAsia" w:ascii="宋体" w:hAnsi="宋体"/>
          <w:sz w:val="24"/>
        </w:rPr>
        <w:t>（附件19）</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附件16</w:t>
      </w:r>
    </w:p>
    <w:p>
      <w:pPr>
        <w:spacing w:line="360" w:lineRule="auto"/>
        <w:ind w:left="-2" w:hanging="2"/>
        <w:jc w:val="center"/>
        <w:rPr>
          <w:rFonts w:ascii="宋体" w:hAnsi="宋体"/>
          <w:b/>
          <w:color w:val="33CCCC"/>
          <w:sz w:val="32"/>
          <w:szCs w:val="32"/>
        </w:rPr>
      </w:pPr>
      <w:r>
        <w:rPr>
          <w:rFonts w:hint="eastAsia" w:ascii="宋体" w:hAnsi="宋体"/>
          <w:b/>
          <w:sz w:val="32"/>
          <w:szCs w:val="32"/>
        </w:rPr>
        <w:t>开标一览表</w:t>
      </w:r>
      <w:r>
        <w:rPr>
          <w:rFonts w:hint="eastAsia" w:ascii="宋体" w:hAnsi="宋体"/>
          <w:b/>
          <w:color w:val="33CCCC"/>
          <w:sz w:val="32"/>
          <w:szCs w:val="32"/>
        </w:rPr>
        <w:t xml:space="preserve"> (第 标)</w:t>
      </w:r>
    </w:p>
    <w:p>
      <w:pPr>
        <w:spacing w:line="360" w:lineRule="auto"/>
        <w:ind w:left="-2" w:hanging="2"/>
        <w:jc w:val="center"/>
        <w:rPr>
          <w:rFonts w:ascii="宋体" w:hAnsi="宋体"/>
          <w:b/>
          <w:color w:val="33CCCC"/>
          <w:sz w:val="32"/>
          <w:szCs w:val="32"/>
        </w:rPr>
      </w:pPr>
    </w:p>
    <w:p>
      <w:pPr>
        <w:pStyle w:val="13"/>
        <w:spacing w:line="320" w:lineRule="exact"/>
        <w:rPr>
          <w:rFonts w:hAnsi="宋体"/>
          <w:b/>
          <w:color w:val="000000"/>
          <w:sz w:val="24"/>
        </w:rPr>
      </w:pPr>
      <w:r>
        <w:rPr>
          <w:rFonts w:hAnsi="宋体"/>
          <w:b/>
          <w:color w:val="000000"/>
          <w:sz w:val="24"/>
        </w:rPr>
        <w:t>项目编号：</w:t>
      </w:r>
    </w:p>
    <w:p>
      <w:pPr>
        <w:pStyle w:val="37"/>
        <w:spacing w:line="360" w:lineRule="auto"/>
        <w:ind w:right="480"/>
        <w:jc w:val="left"/>
        <w:rPr>
          <w:rFonts w:hAnsi="宋体"/>
          <w:color w:val="000000"/>
          <w:sz w:val="24"/>
        </w:rPr>
      </w:pPr>
      <w:r>
        <w:rPr>
          <w:rFonts w:hAnsi="宋体"/>
          <w:b/>
          <w:color w:val="000000"/>
          <w:sz w:val="24"/>
        </w:rPr>
        <w:t>项目名称：</w:t>
      </w:r>
      <w:r>
        <w:rPr>
          <w:rFonts w:hint="eastAsia" w:ascii="宋体" w:hAnsi="宋体"/>
          <w:sz w:val="24"/>
        </w:rPr>
        <w:t xml:space="preserve">                                     [货币单位：人民币元]</w:t>
      </w:r>
    </w:p>
    <w:tbl>
      <w:tblPr>
        <w:tblStyle w:val="19"/>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9"/>
        <w:spacing w:line="360" w:lineRule="auto"/>
        <w:ind w:firstLineChars="200"/>
        <w:rPr>
          <w:rFonts w:ascii="宋体" w:hAnsi="宋体"/>
          <w:color w:val="FF0000"/>
          <w:kern w:val="0"/>
          <w:szCs w:val="21"/>
        </w:rPr>
      </w:pPr>
      <w:r>
        <w:rPr>
          <w:rFonts w:hint="eastAsia" w:ascii="宋体" w:hAnsi="宋体"/>
          <w:kern w:val="0"/>
          <w:szCs w:val="21"/>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附件17</w:t>
      </w:r>
    </w:p>
    <w:p>
      <w:pPr>
        <w:spacing w:line="360" w:lineRule="auto"/>
        <w:ind w:left="480"/>
        <w:jc w:val="center"/>
        <w:rPr>
          <w:rFonts w:ascii="宋体" w:hAnsi="宋体"/>
        </w:rPr>
      </w:pPr>
      <w:r>
        <w:rPr>
          <w:rFonts w:hint="eastAsia" w:ascii="宋体" w:hAnsi="宋体"/>
          <w:b/>
          <w:sz w:val="32"/>
          <w:szCs w:val="32"/>
        </w:rPr>
        <w:t>报价明细表</w:t>
      </w:r>
      <w:r>
        <w:rPr>
          <w:rFonts w:hint="eastAsia" w:ascii="宋体" w:hAnsi="宋体"/>
          <w:b/>
          <w:color w:val="33CCCC"/>
          <w:sz w:val="32"/>
          <w:szCs w:val="32"/>
        </w:rPr>
        <w:t xml:space="preserve"> (第 标)</w:t>
      </w:r>
    </w:p>
    <w:p>
      <w:pPr>
        <w:spacing w:line="360" w:lineRule="auto"/>
        <w:rPr>
          <w:rFonts w:ascii="宋体" w:hAnsi="宋体"/>
          <w:sz w:val="24"/>
        </w:rPr>
      </w:pPr>
      <w:r>
        <w:rPr>
          <w:rFonts w:hint="eastAsia" w:ascii="宋体" w:hAnsi="宋体"/>
          <w:sz w:val="24"/>
        </w:rPr>
        <w:t xml:space="preserve">  项目编号：                                    [货币单位：人民币元]</w:t>
      </w:r>
    </w:p>
    <w:tbl>
      <w:tblPr>
        <w:tblStyle w:val="19"/>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color w:val="000000"/>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156" w:beforeLines="50" w:after="50" w:line="360" w:lineRule="auto"/>
        <w:rPr>
          <w:rFonts w:ascii="仿宋_GB2312" w:hAnsi="宋体" w:eastAsia="仿宋_GB2312"/>
          <w:bCs/>
          <w:sz w:val="30"/>
          <w:szCs w:val="30"/>
        </w:rPr>
      </w:pPr>
      <w:r>
        <w:rPr>
          <w:rFonts w:hint="eastAsia" w:ascii="宋体" w:hAnsi="宋体"/>
          <w:b/>
          <w:sz w:val="28"/>
        </w:rPr>
        <w:t>附件18</w:t>
      </w:r>
    </w:p>
    <w:p>
      <w:pPr>
        <w:pStyle w:val="9"/>
        <w:spacing w:line="360" w:lineRule="auto"/>
        <w:ind w:left="0" w:leftChars="0" w:firstLine="0" w:firstLineChars="0"/>
        <w:jc w:val="center"/>
        <w:rPr>
          <w:rFonts w:ascii="宋体" w:hAnsi="宋体" w:cs="宋体"/>
          <w:b/>
          <w:sz w:val="32"/>
          <w:szCs w:val="32"/>
        </w:rPr>
      </w:pPr>
      <w:r>
        <w:rPr>
          <w:rFonts w:hint="eastAsia" w:ascii="宋体" w:hAnsi="宋体" w:cs="宋体"/>
          <w:b/>
          <w:sz w:val="32"/>
          <w:szCs w:val="32"/>
        </w:rPr>
        <w:t>中小企业声明函（货物）</w:t>
      </w:r>
    </w:p>
    <w:p>
      <w:pPr>
        <w:pStyle w:val="9"/>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color w:val="0000FF"/>
          <w:sz w:val="24"/>
          <w:u w:val="single"/>
        </w:rPr>
        <w:t>（单位名称）</w:t>
      </w:r>
      <w:r>
        <w:rPr>
          <w:rFonts w:hint="eastAsia" w:ascii="宋体" w:hAnsi="宋体" w:cs="宋体"/>
          <w:sz w:val="24"/>
        </w:rPr>
        <w:t>的</w:t>
      </w:r>
      <w:r>
        <w:rPr>
          <w:rFonts w:hint="eastAsia" w:ascii="宋体" w:hAnsi="宋体" w:cs="宋体"/>
          <w:color w:val="0000FF"/>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w:t>
      </w:r>
      <w:r>
        <w:rPr>
          <w:rFonts w:hint="eastAsia" w:ascii="宋体" w:hAnsi="宋体" w:cs="宋体"/>
          <w:color w:val="0000FF"/>
          <w:sz w:val="24"/>
          <w:u w:val="single"/>
        </w:rPr>
        <w:t>（标的名称）</w:t>
      </w:r>
      <w:r>
        <w:rPr>
          <w:rFonts w:hint="eastAsia" w:ascii="宋体" w:hAnsi="宋体" w:cs="宋体"/>
          <w:sz w:val="24"/>
          <w:u w:val="single"/>
        </w:rPr>
        <w:t xml:space="preserve"> </w:t>
      </w:r>
      <w:r>
        <w:rPr>
          <w:rFonts w:hint="eastAsia" w:ascii="宋体" w:hAnsi="宋体" w:cs="宋体"/>
          <w:sz w:val="24"/>
        </w:rPr>
        <w:t>，属于</w:t>
      </w:r>
      <w:r>
        <w:rPr>
          <w:rFonts w:hint="eastAsia" w:ascii="宋体" w:hAnsi="宋体" w:cs="宋体"/>
          <w:color w:val="0000FF"/>
          <w:sz w:val="24"/>
          <w:u w:val="single"/>
        </w:rPr>
        <w:t>（采购文件中明确的所属行业）</w:t>
      </w:r>
      <w:r>
        <w:rPr>
          <w:rFonts w:hint="eastAsia" w:ascii="宋体" w:hAnsi="宋体" w:cs="宋体"/>
          <w:sz w:val="24"/>
        </w:rPr>
        <w:t>行业；制造商为</w:t>
      </w:r>
      <w:r>
        <w:rPr>
          <w:rFonts w:hint="eastAsia" w:ascii="宋体" w:hAnsi="宋体" w:cs="宋体"/>
          <w:color w:val="0000FF"/>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 </w:t>
      </w:r>
      <w:r>
        <w:rPr>
          <w:rFonts w:hint="eastAsia" w:ascii="宋体" w:hAnsi="宋体" w:cs="宋体"/>
          <w:sz w:val="24"/>
        </w:rPr>
        <w:t>，属于</w:t>
      </w:r>
      <w:r>
        <w:rPr>
          <w:rFonts w:hint="eastAsia" w:ascii="宋体" w:hAnsi="宋体" w:cs="宋体"/>
          <w:color w:val="0000FF"/>
          <w:sz w:val="24"/>
          <w:u w:val="single"/>
        </w:rPr>
        <w:t>（采购文件中明确的所属行业）</w:t>
      </w:r>
      <w:r>
        <w:rPr>
          <w:rFonts w:hint="eastAsia" w:ascii="宋体" w:hAnsi="宋体" w:cs="宋体"/>
          <w:sz w:val="24"/>
        </w:rPr>
        <w:t>行业；制造商为</w:t>
      </w:r>
      <w:r>
        <w:rPr>
          <w:rFonts w:hint="eastAsia" w:ascii="宋体" w:hAnsi="宋体" w:cs="宋体"/>
          <w:color w:val="0000FF"/>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rPr>
          <w:rFonts w:ascii="宋体" w:hAnsi="宋体" w:cs="宋体"/>
          <w:sz w:val="24"/>
        </w:rPr>
      </w:pP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企业名称（盖章）：        </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日 期：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RSqldMAAAAGAQAADwAAAAAAAAABACAAAAAiAAAAZHJzL2Rvd25yZXYueG1sUEsBAhQA&#10;FAAAAAgAh07iQILW7Cv3AQAA1gMAAA4AAAAAAAAAAQAgAAAAIgEAAGRycy9lMm9Eb2MueG1sUEsF&#10;BgAAAAAGAAYAWQEAAIsFA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pStyle w:val="13"/>
        <w:spacing w:line="360" w:lineRule="auto"/>
        <w:jc w:val="center"/>
        <w:outlineLvl w:val="1"/>
        <w:rPr>
          <w:rFonts w:hint="eastAsia" w:hAnsi="宋体"/>
          <w:b/>
          <w:sz w:val="32"/>
          <w:szCs w:val="32"/>
          <w:lang w:val="en-GB"/>
        </w:rPr>
      </w:pPr>
    </w:p>
    <w:p>
      <w:pPr>
        <w:pStyle w:val="13"/>
        <w:spacing w:line="360" w:lineRule="auto"/>
        <w:jc w:val="center"/>
        <w:outlineLvl w:val="1"/>
        <w:rPr>
          <w:rFonts w:hint="eastAsia" w:hAnsi="宋体"/>
          <w:b/>
          <w:sz w:val="32"/>
          <w:szCs w:val="32"/>
          <w:lang w:val="en-GB"/>
        </w:rPr>
      </w:pPr>
    </w:p>
    <w:p>
      <w:pPr>
        <w:pStyle w:val="13"/>
        <w:spacing w:line="360" w:lineRule="auto"/>
        <w:jc w:val="center"/>
        <w:outlineLvl w:val="1"/>
        <w:rPr>
          <w:rFonts w:hint="eastAsia" w:hAnsi="宋体"/>
          <w:b/>
          <w:sz w:val="32"/>
          <w:szCs w:val="32"/>
          <w:lang w:val="en-GB"/>
        </w:rPr>
      </w:pPr>
    </w:p>
    <w:p>
      <w:pPr>
        <w:pStyle w:val="13"/>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单位名称（电子印章）：</w:t>
      </w:r>
    </w:p>
    <w:p>
      <w:pPr>
        <w:tabs>
          <w:tab w:val="left" w:pos="4860"/>
        </w:tabs>
        <w:spacing w:line="588" w:lineRule="exact"/>
        <w:ind w:right="1560" w:firstLine="504" w:firstLineChars="200"/>
        <w:jc w:val="center"/>
        <w:rPr>
          <w:rFonts w:ascii="宋体" w:hAnsi="宋体"/>
          <w:sz w:val="24"/>
        </w:rPr>
      </w:pPr>
      <w:r>
        <w:rPr>
          <w:rFonts w:hint="eastAsia" w:ascii="宋体" w:hAnsi="宋体"/>
          <w:spacing w:val="6"/>
          <w:sz w:val="24"/>
        </w:rPr>
        <w:t xml:space="preserve">       日  期：</w:t>
      </w: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bookmarkStart w:id="34" w:name="_GoBack"/>
      <w:bookmarkEnd w:id="34"/>
    </w:p>
    <w:p>
      <w:pPr>
        <w:pStyle w:val="38"/>
        <w:spacing w:line="360" w:lineRule="auto"/>
        <w:rPr>
          <w:rFonts w:ascii="宋体" w:hAnsi="宋体"/>
          <w:b/>
          <w:sz w:val="28"/>
          <w:szCs w:val="28"/>
        </w:rPr>
      </w:pPr>
    </w:p>
    <w:p>
      <w:pPr>
        <w:pStyle w:val="38"/>
        <w:spacing w:line="360" w:lineRule="auto"/>
        <w:rPr>
          <w:rFonts w:ascii="宋体" w:hAnsi="宋体"/>
          <w:b/>
          <w:sz w:val="28"/>
          <w:szCs w:val="28"/>
        </w:rPr>
      </w:pPr>
      <w:r>
        <w:rPr>
          <w:rFonts w:hint="eastAsia" w:ascii="宋体" w:hAnsi="宋体"/>
          <w:b/>
          <w:sz w:val="28"/>
          <w:szCs w:val="28"/>
        </w:rPr>
        <w:t>附件19</w:t>
      </w:r>
    </w:p>
    <w:p>
      <w:pPr>
        <w:pStyle w:val="39"/>
        <w:spacing w:line="360" w:lineRule="auto"/>
      </w:pPr>
    </w:p>
    <w:p>
      <w:pPr>
        <w:pStyle w:val="36"/>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36"/>
        <w:spacing w:line="360" w:lineRule="auto"/>
        <w:jc w:val="center"/>
        <w:rPr>
          <w:rFonts w:ascii="宋体" w:hAnsi="宋体"/>
          <w:b/>
          <w:sz w:val="32"/>
          <w:szCs w:val="32"/>
          <w:lang w:val="en-GB"/>
        </w:rPr>
      </w:pPr>
    </w:p>
    <w:tbl>
      <w:tblPr>
        <w:tblStyle w:val="19"/>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pStyle w:val="36"/>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19"/>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1" w:type="dxa"/>
                  <w:vAlign w:val="center"/>
                </w:tcPr>
                <w:p>
                  <w:pPr>
                    <w:pStyle w:val="36"/>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36"/>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2679" w:type="dxa"/>
            <w:vAlign w:val="center"/>
          </w:tcPr>
          <w:p>
            <w:pPr>
              <w:pStyle w:val="36"/>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36"/>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36"/>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2679" w:type="dxa"/>
            <w:vAlign w:val="center"/>
          </w:tcPr>
          <w:p>
            <w:pPr>
              <w:pStyle w:val="36"/>
              <w:tabs>
                <w:tab w:val="left" w:pos="1260"/>
              </w:tabs>
              <w:jc w:val="center"/>
              <w:rPr>
                <w:rFonts w:ascii="宋体" w:hAnsi="宋体"/>
                <w:sz w:val="24"/>
                <w:lang w:val="en-GB"/>
              </w:rPr>
            </w:pPr>
          </w:p>
        </w:tc>
        <w:tc>
          <w:tcPr>
            <w:tcW w:w="3811" w:type="dxa"/>
            <w:vAlign w:val="center"/>
          </w:tcPr>
          <w:p>
            <w:pPr>
              <w:pStyle w:val="36"/>
              <w:tabs>
                <w:tab w:val="left" w:pos="1260"/>
              </w:tabs>
              <w:jc w:val="center"/>
              <w:rPr>
                <w:rFonts w:ascii="宋体" w:hAnsi="宋体"/>
                <w:sz w:val="24"/>
                <w:lang w:val="en-GB"/>
              </w:rPr>
            </w:pPr>
          </w:p>
        </w:tc>
        <w:tc>
          <w:tcPr>
            <w:tcW w:w="1621" w:type="dxa"/>
            <w:vAlign w:val="center"/>
          </w:tcPr>
          <w:p>
            <w:pPr>
              <w:pStyle w:val="36"/>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2679" w:type="dxa"/>
            <w:vAlign w:val="center"/>
          </w:tcPr>
          <w:p>
            <w:pPr>
              <w:pStyle w:val="36"/>
              <w:tabs>
                <w:tab w:val="left" w:pos="1260"/>
              </w:tabs>
              <w:jc w:val="center"/>
              <w:rPr>
                <w:rFonts w:ascii="宋体" w:hAnsi="宋体"/>
                <w:sz w:val="24"/>
                <w:lang w:val="en-GB"/>
              </w:rPr>
            </w:pPr>
          </w:p>
        </w:tc>
        <w:tc>
          <w:tcPr>
            <w:tcW w:w="3811" w:type="dxa"/>
            <w:vAlign w:val="center"/>
          </w:tcPr>
          <w:p>
            <w:pPr>
              <w:pStyle w:val="36"/>
              <w:tabs>
                <w:tab w:val="left" w:pos="1260"/>
              </w:tabs>
              <w:jc w:val="center"/>
              <w:rPr>
                <w:rFonts w:ascii="宋体" w:hAnsi="宋体"/>
                <w:sz w:val="24"/>
                <w:lang w:val="en-GB"/>
              </w:rPr>
            </w:pPr>
          </w:p>
        </w:tc>
        <w:tc>
          <w:tcPr>
            <w:tcW w:w="1621" w:type="dxa"/>
            <w:vAlign w:val="center"/>
          </w:tcPr>
          <w:p>
            <w:pPr>
              <w:pStyle w:val="36"/>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2679" w:type="dxa"/>
            <w:vAlign w:val="center"/>
          </w:tcPr>
          <w:p>
            <w:pPr>
              <w:pStyle w:val="36"/>
              <w:tabs>
                <w:tab w:val="left" w:pos="1260"/>
              </w:tabs>
              <w:jc w:val="center"/>
              <w:rPr>
                <w:rFonts w:ascii="宋体" w:hAnsi="宋体"/>
                <w:sz w:val="24"/>
                <w:lang w:val="en-GB"/>
              </w:rPr>
            </w:pPr>
          </w:p>
        </w:tc>
        <w:tc>
          <w:tcPr>
            <w:tcW w:w="3811" w:type="dxa"/>
            <w:vAlign w:val="center"/>
          </w:tcPr>
          <w:p>
            <w:pPr>
              <w:pStyle w:val="36"/>
              <w:tabs>
                <w:tab w:val="left" w:pos="1260"/>
              </w:tabs>
              <w:jc w:val="center"/>
              <w:rPr>
                <w:rFonts w:ascii="宋体" w:hAnsi="宋体"/>
                <w:sz w:val="24"/>
                <w:lang w:val="en-GB"/>
              </w:rPr>
            </w:pPr>
          </w:p>
        </w:tc>
        <w:tc>
          <w:tcPr>
            <w:tcW w:w="1621" w:type="dxa"/>
            <w:vAlign w:val="center"/>
          </w:tcPr>
          <w:p>
            <w:pPr>
              <w:pStyle w:val="36"/>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6490" w:type="dxa"/>
            <w:gridSpan w:val="2"/>
            <w:vAlign w:val="center"/>
          </w:tcPr>
          <w:p>
            <w:pPr>
              <w:pStyle w:val="36"/>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36"/>
              <w:tabs>
                <w:tab w:val="left" w:pos="1260"/>
              </w:tabs>
              <w:jc w:val="center"/>
              <w:rPr>
                <w:rFonts w:ascii="宋体" w:hAnsi="宋体"/>
                <w:sz w:val="24"/>
                <w:lang w:val="en-GB"/>
              </w:rPr>
            </w:pPr>
          </w:p>
        </w:tc>
      </w:tr>
    </w:tbl>
    <w:p>
      <w:pPr>
        <w:pStyle w:val="36"/>
        <w:spacing w:line="360" w:lineRule="auto"/>
        <w:rPr>
          <w:rFonts w:ascii="宋体" w:hAnsi="宋体"/>
          <w:szCs w:val="21"/>
          <w:lang w:val="en-GB"/>
        </w:rPr>
      </w:pPr>
    </w:p>
    <w:p>
      <w:pPr>
        <w:pStyle w:val="36"/>
        <w:spacing w:line="360" w:lineRule="auto"/>
        <w:rPr>
          <w:rFonts w:ascii="宋体" w:hAnsi="宋体"/>
          <w:szCs w:val="21"/>
          <w:lang w:val="en-GB"/>
        </w:rPr>
      </w:pPr>
      <w:r>
        <w:rPr>
          <w:rFonts w:hint="eastAsia" w:ascii="宋体" w:hAnsi="宋体"/>
          <w:szCs w:val="21"/>
          <w:lang w:val="en-GB"/>
        </w:rPr>
        <w:t>填报要求：</w:t>
      </w:r>
    </w:p>
    <w:p>
      <w:pPr>
        <w:pStyle w:val="36"/>
        <w:widowControl/>
        <w:numPr>
          <w:ilvl w:val="0"/>
          <w:numId w:val="17"/>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36"/>
        <w:widowControl/>
        <w:numPr>
          <w:ilvl w:val="0"/>
          <w:numId w:val="17"/>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36"/>
        <w:widowControl/>
        <w:numPr>
          <w:ilvl w:val="0"/>
          <w:numId w:val="17"/>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color w:val="FF0000"/>
          <w:szCs w:val="21"/>
        </w:rPr>
        <w:t>不符产品核</w:t>
      </w:r>
      <w:r>
        <w:rPr>
          <w:rFonts w:hint="eastAsia" w:ascii="宋体" w:hAnsi="宋体"/>
          <w:szCs w:val="21"/>
          <w:lang w:val="en-GB"/>
        </w:rPr>
        <w:t>计金额将不予以享受小微企业扶持政策优惠）。</w:t>
      </w:r>
    </w:p>
    <w:p>
      <w:pPr>
        <w:tabs>
          <w:tab w:val="left" w:pos="1418"/>
        </w:tabs>
        <w:autoSpaceDE w:val="0"/>
        <w:autoSpaceDN w:val="0"/>
        <w:adjustRightInd w:val="0"/>
        <w:spacing w:line="360" w:lineRule="auto"/>
        <w:ind w:firstLine="480" w:firstLineChars="200"/>
        <w:rPr>
          <w:rFonts w:ascii="宋体"/>
          <w:kern w:val="0"/>
          <w:sz w:val="24"/>
          <w:lang w:val="en-GB"/>
        </w:rPr>
      </w:pPr>
    </w:p>
    <w:p/>
    <w:p>
      <w:pPr>
        <w:snapToGrid w:val="0"/>
        <w:spacing w:line="360" w:lineRule="auto"/>
        <w:ind w:firstLine="480" w:firstLineChars="200"/>
        <w:jc w:val="left"/>
        <w:rPr>
          <w:rFonts w:asciiTheme="minorEastAsia" w:hAnsiTheme="minorEastAsia" w:eastAsiaTheme="minorEastAsia"/>
          <w:sz w:val="24"/>
        </w:rPr>
      </w:pPr>
    </w:p>
    <w:p/>
    <w:p/>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23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79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AF3E1766"/>
    <w:multiLevelType w:val="singleLevel"/>
    <w:tmpl w:val="AF3E1766"/>
    <w:lvl w:ilvl="0" w:tentative="0">
      <w:start w:val="1"/>
      <w:numFmt w:val="decimal"/>
      <w:suff w:val="nothing"/>
      <w:lvlText w:val="（%1）"/>
      <w:lvlJc w:val="left"/>
    </w:lvl>
  </w:abstractNum>
  <w:abstractNum w:abstractNumId="3">
    <w:nsid w:val="C6FDFCEC"/>
    <w:multiLevelType w:val="singleLevel"/>
    <w:tmpl w:val="C6FDFCEC"/>
    <w:lvl w:ilvl="0" w:tentative="0">
      <w:start w:val="1"/>
      <w:numFmt w:val="decimal"/>
      <w:suff w:val="nothing"/>
      <w:lvlText w:val="%1、"/>
      <w:lvlJc w:val="left"/>
      <w:pPr>
        <w:ind w:left="-62"/>
      </w:pPr>
      <w:rPr>
        <w:rFonts w:hint="default" w:ascii="宋体" w:hAnsi="宋体" w:eastAsia="宋体" w:cs="宋体"/>
        <w:b/>
        <w:bCs/>
      </w:rPr>
    </w:lvl>
  </w:abstractNum>
  <w:abstractNum w:abstractNumId="4">
    <w:nsid w:val="C8A3F0D0"/>
    <w:multiLevelType w:val="singleLevel"/>
    <w:tmpl w:val="C8A3F0D0"/>
    <w:lvl w:ilvl="0" w:tentative="0">
      <w:start w:val="2"/>
      <w:numFmt w:val="chineseCounting"/>
      <w:suff w:val="nothing"/>
      <w:lvlText w:val="（%1）"/>
      <w:lvlJc w:val="left"/>
      <w:pPr>
        <w:ind w:left="210" w:firstLine="0"/>
      </w:pPr>
      <w:rPr>
        <w:rFonts w:hint="eastAsia"/>
      </w:rPr>
    </w:lvl>
  </w:abstractNum>
  <w:abstractNum w:abstractNumId="5">
    <w:nsid w:val="E9CBAF48"/>
    <w:multiLevelType w:val="singleLevel"/>
    <w:tmpl w:val="E9CBAF48"/>
    <w:lvl w:ilvl="0" w:tentative="0">
      <w:start w:val="1"/>
      <w:numFmt w:val="decimal"/>
      <w:suff w:val="nothing"/>
      <w:lvlText w:val="（%1）"/>
      <w:lvlJc w:val="left"/>
    </w:lvl>
  </w:abstractNum>
  <w:abstractNum w:abstractNumId="6">
    <w:nsid w:val="EEAFAC12"/>
    <w:multiLevelType w:val="singleLevel"/>
    <w:tmpl w:val="EEAFAC12"/>
    <w:lvl w:ilvl="0" w:tentative="0">
      <w:start w:val="12"/>
      <w:numFmt w:val="decimal"/>
      <w:suff w:val="nothing"/>
      <w:lvlText w:val="%1、"/>
      <w:lvlJc w:val="left"/>
      <w:pPr>
        <w:ind w:left="-60"/>
      </w:pPr>
    </w:lvl>
  </w:abstractNum>
  <w:abstractNum w:abstractNumId="7">
    <w:nsid w:val="023419C9"/>
    <w:multiLevelType w:val="singleLevel"/>
    <w:tmpl w:val="023419C9"/>
    <w:lvl w:ilvl="0" w:tentative="0">
      <w:start w:val="2"/>
      <w:numFmt w:val="decimal"/>
      <w:suff w:val="nothing"/>
      <w:lvlText w:val="%1、"/>
      <w:lvlJc w:val="left"/>
    </w:lvl>
  </w:abstractNum>
  <w:abstractNum w:abstractNumId="8">
    <w:nsid w:val="053B5579"/>
    <w:multiLevelType w:val="multilevel"/>
    <w:tmpl w:val="053B5579"/>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3"/>
      <w:lvlJc w:val="left"/>
      <w:pPr>
        <w:ind w:left="720" w:hanging="720"/>
      </w:pPr>
      <w:rPr>
        <w:rFonts w:hint="eastAsia" w:ascii="宋体" w:hAnsi="宋体" w:eastAsia="宋体"/>
      </w:rPr>
    </w:lvl>
    <w:lvl w:ilvl="3" w:tentative="0">
      <w:start w:val="1"/>
      <w:numFmt w:val="decimal"/>
      <w:lvlText w:val="%3.%4"/>
      <w:lvlJc w:val="left"/>
      <w:pPr>
        <w:ind w:left="864" w:hanging="864"/>
      </w:pPr>
      <w:rPr>
        <w:rFonts w:hint="eastAsia" w:ascii="宋体" w:hAnsi="宋体" w:eastAsia="宋体"/>
      </w:rPr>
    </w:lvl>
    <w:lvl w:ilvl="4" w:tentative="0">
      <w:start w:val="1"/>
      <w:numFmt w:val="decimal"/>
      <w:pStyle w:val="7"/>
      <w:lvlText w:val="%3.%4.%5"/>
      <w:lvlJc w:val="left"/>
      <w:pPr>
        <w:ind w:left="1008" w:hanging="1008"/>
      </w:pPr>
      <w:rPr>
        <w:rFonts w:hint="eastAsia"/>
      </w:rPr>
    </w:lvl>
    <w:lvl w:ilvl="5" w:tentative="0">
      <w:start w:val="1"/>
      <w:numFmt w:val="decimal"/>
      <w:lvlText w:val="%3.%4.%5.%6"/>
      <w:lvlJc w:val="left"/>
      <w:pPr>
        <w:ind w:left="1152" w:hanging="1152"/>
      </w:pPr>
      <w:rPr>
        <w:rFonts w:hint="eastAsia" w:ascii="宋体" w:hAnsi="宋体" w:eastAsia="宋体"/>
      </w:rPr>
    </w:lvl>
    <w:lvl w:ilvl="6" w:tentative="0">
      <w:start w:val="1"/>
      <w:numFmt w:val="decimal"/>
      <w:lvlText w:val="%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9">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10">
    <w:nsid w:val="1F913DB7"/>
    <w:multiLevelType w:val="singleLevel"/>
    <w:tmpl w:val="1F913DB7"/>
    <w:lvl w:ilvl="0" w:tentative="0">
      <w:start w:val="6"/>
      <w:numFmt w:val="decimal"/>
      <w:suff w:val="space"/>
      <w:lvlText w:val="%1."/>
      <w:lvlJc w:val="left"/>
    </w:lvl>
  </w:abstractNum>
  <w:abstractNum w:abstractNumId="11">
    <w:nsid w:val="461E5E94"/>
    <w:multiLevelType w:val="singleLevel"/>
    <w:tmpl w:val="461E5E94"/>
    <w:lvl w:ilvl="0" w:tentative="0">
      <w:start w:val="2"/>
      <w:numFmt w:val="chineseCounting"/>
      <w:suff w:val="space"/>
      <w:lvlText w:val="第%1章"/>
      <w:lvlJc w:val="left"/>
      <w:rPr>
        <w:rFonts w:hint="eastAsia"/>
      </w:rPr>
    </w:lvl>
  </w:abstractNum>
  <w:abstractNum w:abstractNumId="12">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3">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4">
    <w:nsid w:val="66DDD653"/>
    <w:multiLevelType w:val="singleLevel"/>
    <w:tmpl w:val="66DDD653"/>
    <w:lvl w:ilvl="0" w:tentative="0">
      <w:start w:val="1"/>
      <w:numFmt w:val="chineseCounting"/>
      <w:suff w:val="space"/>
      <w:lvlText w:val="第%1章"/>
      <w:lvlJc w:val="left"/>
      <w:rPr>
        <w:rFonts w:hint="eastAsia"/>
      </w:rPr>
    </w:lvl>
  </w:abstractNum>
  <w:abstractNum w:abstractNumId="15">
    <w:nsid w:val="6C219F62"/>
    <w:multiLevelType w:val="singleLevel"/>
    <w:tmpl w:val="6C219F62"/>
    <w:lvl w:ilvl="0" w:tentative="0">
      <w:start w:val="2"/>
      <w:numFmt w:val="chineseCounting"/>
      <w:suff w:val="nothing"/>
      <w:lvlText w:val="%1、"/>
      <w:lvlJc w:val="left"/>
      <w:rPr>
        <w:rFonts w:hint="eastAsia"/>
      </w:rPr>
    </w:lvl>
  </w:abstractNum>
  <w:abstractNum w:abstractNumId="16">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num w:numId="1">
    <w:abstractNumId w:val="13"/>
  </w:num>
  <w:num w:numId="2">
    <w:abstractNumId w:val="8"/>
  </w:num>
  <w:num w:numId="3">
    <w:abstractNumId w:val="9"/>
  </w:num>
  <w:num w:numId="4">
    <w:abstractNumId w:val="12"/>
  </w:num>
  <w:num w:numId="5">
    <w:abstractNumId w:val="14"/>
  </w:num>
  <w:num w:numId="6">
    <w:abstractNumId w:val="11"/>
  </w:num>
  <w:num w:numId="7">
    <w:abstractNumId w:val="2"/>
  </w:num>
  <w:num w:numId="8">
    <w:abstractNumId w:val="4"/>
  </w:num>
  <w:num w:numId="9">
    <w:abstractNumId w:val="5"/>
  </w:num>
  <w:num w:numId="10">
    <w:abstractNumId w:val="7"/>
  </w:num>
  <w:num w:numId="11">
    <w:abstractNumId w:val="6"/>
  </w:num>
  <w:num w:numId="12">
    <w:abstractNumId w:val="15"/>
  </w:num>
  <w:num w:numId="13">
    <w:abstractNumId w:val="3"/>
  </w:num>
  <w:num w:numId="14">
    <w:abstractNumId w:val="10"/>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AB49B7"/>
    <w:rsid w:val="010742D5"/>
    <w:rsid w:val="01851778"/>
    <w:rsid w:val="056321D4"/>
    <w:rsid w:val="08C3617C"/>
    <w:rsid w:val="08DC3175"/>
    <w:rsid w:val="09ED09A0"/>
    <w:rsid w:val="0AD77567"/>
    <w:rsid w:val="0AEA3C8C"/>
    <w:rsid w:val="0B5B6556"/>
    <w:rsid w:val="0B70129B"/>
    <w:rsid w:val="0DE7555E"/>
    <w:rsid w:val="0E735A2D"/>
    <w:rsid w:val="10DA133A"/>
    <w:rsid w:val="11A2124C"/>
    <w:rsid w:val="13725D40"/>
    <w:rsid w:val="13756E4C"/>
    <w:rsid w:val="13C30E6E"/>
    <w:rsid w:val="16677270"/>
    <w:rsid w:val="16AC3523"/>
    <w:rsid w:val="173D243C"/>
    <w:rsid w:val="17534ECF"/>
    <w:rsid w:val="181011F1"/>
    <w:rsid w:val="18CC2679"/>
    <w:rsid w:val="1B8C6B7B"/>
    <w:rsid w:val="1BF657FB"/>
    <w:rsid w:val="1C3F7F89"/>
    <w:rsid w:val="2024650C"/>
    <w:rsid w:val="206B5D8D"/>
    <w:rsid w:val="211904D3"/>
    <w:rsid w:val="2147300F"/>
    <w:rsid w:val="268F19E6"/>
    <w:rsid w:val="27C63409"/>
    <w:rsid w:val="29D923B6"/>
    <w:rsid w:val="29DA01CB"/>
    <w:rsid w:val="2AC017A8"/>
    <w:rsid w:val="2B757A0B"/>
    <w:rsid w:val="2B7F2CC1"/>
    <w:rsid w:val="2D944716"/>
    <w:rsid w:val="2DAC3053"/>
    <w:rsid w:val="2F7A7DB0"/>
    <w:rsid w:val="31226D80"/>
    <w:rsid w:val="324C0B81"/>
    <w:rsid w:val="33091096"/>
    <w:rsid w:val="346001A7"/>
    <w:rsid w:val="35850AE6"/>
    <w:rsid w:val="368F5FC5"/>
    <w:rsid w:val="36B374A9"/>
    <w:rsid w:val="3B59431A"/>
    <w:rsid w:val="3C130078"/>
    <w:rsid w:val="3D446FEF"/>
    <w:rsid w:val="42455024"/>
    <w:rsid w:val="4400649E"/>
    <w:rsid w:val="4589535B"/>
    <w:rsid w:val="46F40267"/>
    <w:rsid w:val="47F77566"/>
    <w:rsid w:val="489C7EA5"/>
    <w:rsid w:val="4BE5247F"/>
    <w:rsid w:val="4D670A85"/>
    <w:rsid w:val="4DB87F6B"/>
    <w:rsid w:val="4E0623E4"/>
    <w:rsid w:val="503E14CA"/>
    <w:rsid w:val="53BC34C4"/>
    <w:rsid w:val="53D86CE4"/>
    <w:rsid w:val="553D5A1E"/>
    <w:rsid w:val="55DD38ED"/>
    <w:rsid w:val="57AA5D1A"/>
    <w:rsid w:val="587316C8"/>
    <w:rsid w:val="5A276B68"/>
    <w:rsid w:val="5A624429"/>
    <w:rsid w:val="5A90035C"/>
    <w:rsid w:val="5B7601D8"/>
    <w:rsid w:val="5E761EB5"/>
    <w:rsid w:val="5ECB586C"/>
    <w:rsid w:val="621468E0"/>
    <w:rsid w:val="62344759"/>
    <w:rsid w:val="62EC23EA"/>
    <w:rsid w:val="630030FE"/>
    <w:rsid w:val="641222ED"/>
    <w:rsid w:val="642B5582"/>
    <w:rsid w:val="64643953"/>
    <w:rsid w:val="64FD22E8"/>
    <w:rsid w:val="658C66C4"/>
    <w:rsid w:val="65AE1558"/>
    <w:rsid w:val="67856FD0"/>
    <w:rsid w:val="685F2B0C"/>
    <w:rsid w:val="69C21FC2"/>
    <w:rsid w:val="6A5B40F2"/>
    <w:rsid w:val="6FED0140"/>
    <w:rsid w:val="708006A4"/>
    <w:rsid w:val="755E6626"/>
    <w:rsid w:val="775F6DCE"/>
    <w:rsid w:val="7A815164"/>
    <w:rsid w:val="7AB41B82"/>
    <w:rsid w:val="7F2A6038"/>
    <w:rsid w:val="7F657E7A"/>
    <w:rsid w:val="7FAD0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4"/>
    <w:next w:val="1"/>
    <w:semiHidden/>
    <w:unhideWhenUsed/>
    <w:qFormat/>
    <w:uiPriority w:val="0"/>
    <w:pPr>
      <w:keepNext/>
      <w:keepLines/>
      <w:spacing w:before="260" w:after="260" w:line="416" w:lineRule="auto"/>
      <w:outlineLvl w:val="2"/>
    </w:pPr>
    <w:rPr>
      <w:bCs/>
      <w:szCs w:val="32"/>
    </w:rPr>
  </w:style>
  <w:style w:type="paragraph" w:styleId="6">
    <w:name w:val="heading 4"/>
    <w:basedOn w:val="5"/>
    <w:next w:val="1"/>
    <w:unhideWhenUsed/>
    <w:qFormat/>
    <w:uiPriority w:val="0"/>
    <w:pPr>
      <w:outlineLvl w:val="3"/>
    </w:pPr>
    <w:rPr>
      <w:rFonts w:ascii="等线 Light" w:hAnsi="等线 Light"/>
      <w:sz w:val="24"/>
      <w:szCs w:val="28"/>
    </w:rPr>
  </w:style>
  <w:style w:type="paragraph" w:styleId="7">
    <w:name w:val="heading 5"/>
    <w:basedOn w:val="1"/>
    <w:next w:val="1"/>
    <w:unhideWhenUsed/>
    <w:qFormat/>
    <w:uiPriority w:val="0"/>
    <w:pPr>
      <w:keepNext/>
      <w:keepLines/>
      <w:numPr>
        <w:ilvl w:val="4"/>
        <w:numId w:val="2"/>
      </w:numPr>
      <w:tabs>
        <w:tab w:val="left" w:pos="0"/>
        <w:tab w:val="left" w:pos="240"/>
      </w:tabs>
      <w:snapToGrid w:val="0"/>
      <w:spacing w:line="360" w:lineRule="auto"/>
      <w:outlineLvl w:val="4"/>
    </w:pPr>
    <w:rPr>
      <w:rFonts w:ascii="宋体" w:hAnsi="宋体" w:eastAsia="宋体" w:cs="Times New Roman"/>
      <w:b/>
      <w:bCs/>
      <w:color w:val="000000"/>
      <w:sz w:val="24"/>
      <w:szCs w:val="24"/>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8">
    <w:name w:val="List Number"/>
    <w:basedOn w:val="1"/>
    <w:qFormat/>
    <w:uiPriority w:val="0"/>
    <w:pPr>
      <w:numPr>
        <w:ilvl w:val="0"/>
        <w:numId w:val="3"/>
      </w:numPr>
    </w:pPr>
  </w:style>
  <w:style w:type="paragraph" w:styleId="9">
    <w:name w:val="Normal Indent"/>
    <w:basedOn w:val="1"/>
    <w:next w:val="1"/>
    <w:qFormat/>
    <w:uiPriority w:val="0"/>
    <w:pPr>
      <w:ind w:firstLine="420"/>
    </w:pPr>
    <w:rPr>
      <w:szCs w:val="20"/>
    </w:rPr>
  </w:style>
  <w:style w:type="paragraph" w:styleId="10">
    <w:name w:val="annotation text"/>
    <w:basedOn w:val="1"/>
    <w:qFormat/>
    <w:uiPriority w:val="0"/>
    <w:pPr>
      <w:jc w:val="left"/>
    </w:pPr>
  </w:style>
  <w:style w:type="paragraph" w:styleId="11">
    <w:name w:val="Body Text"/>
    <w:basedOn w:val="1"/>
    <w:next w:val="12"/>
    <w:qFormat/>
    <w:uiPriority w:val="0"/>
    <w:pPr>
      <w:spacing w:line="360" w:lineRule="exact"/>
    </w:pPr>
    <w:rPr>
      <w:sz w:val="24"/>
    </w:rPr>
  </w:style>
  <w:style w:type="paragraph" w:styleId="12">
    <w:name w:val="Body Text First Indent"/>
    <w:basedOn w:val="11"/>
    <w:qFormat/>
    <w:uiPriority w:val="0"/>
    <w:pPr>
      <w:ind w:firstLine="200" w:firstLineChars="200"/>
    </w:pPr>
  </w:style>
  <w:style w:type="paragraph" w:styleId="13">
    <w:name w:val="Plain Text"/>
    <w:basedOn w:val="1"/>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Body Text First Indent 2"/>
    <w:basedOn w:val="2"/>
    <w:qFormat/>
    <w:uiPriority w:val="0"/>
    <w:pPr>
      <w:ind w:firstLine="420"/>
    </w:pPr>
  </w:style>
  <w:style w:type="table" w:styleId="20">
    <w:name w:val="Table Grid"/>
    <w:basedOn w:val="19"/>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character" w:styleId="22">
    <w:name w:val="Hyperlink"/>
    <w:qFormat/>
    <w:uiPriority w:val="0"/>
    <w:rPr>
      <w:color w:val="0000FF"/>
      <w:u w:val="single"/>
    </w:rPr>
  </w:style>
  <w:style w:type="character" w:styleId="23">
    <w:name w:val="annotation reference"/>
    <w:basedOn w:val="21"/>
    <w:unhideWhenUsed/>
    <w:qFormat/>
    <w:uiPriority w:val="0"/>
    <w:rPr>
      <w:sz w:val="21"/>
      <w:szCs w:val="21"/>
    </w:rPr>
  </w:style>
  <w:style w:type="paragraph" w:customStyle="1" w:styleId="24">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5">
    <w:name w:val="List Paragraph"/>
    <w:basedOn w:val="1"/>
    <w:qFormat/>
    <w:uiPriority w:val="34"/>
    <w:pPr>
      <w:ind w:firstLine="420" w:firstLineChars="200"/>
    </w:pPr>
    <w:rPr>
      <w:rFonts w:ascii="Calibri" w:hAnsi="Calibri"/>
      <w:szCs w:val="22"/>
    </w:rPr>
  </w:style>
  <w:style w:type="paragraph" w:customStyle="1" w:styleId="26">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7">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2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_14"/>
    <w:qFormat/>
    <w:uiPriority w:val="0"/>
    <w:rPr>
      <w:rFonts w:ascii="Times New Roman" w:hAnsi="Times New Roman" w:eastAsia="宋体" w:cs="Times New Roman"/>
      <w:sz w:val="21"/>
      <w:szCs w:val="22"/>
      <w:lang w:val="en-US" w:eastAsia="zh-CN" w:bidi="ar-SA"/>
    </w:rPr>
  </w:style>
  <w:style w:type="paragraph" w:customStyle="1" w:styleId="3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纯文本_3"/>
    <w:basedOn w:val="33"/>
    <w:qFormat/>
    <w:uiPriority w:val="0"/>
    <w:pPr>
      <w:widowControl/>
      <w:jc w:val="left"/>
    </w:pPr>
    <w:rPr>
      <w:rFonts w:ascii="宋体" w:hAnsi="Courier New" w:eastAsiaTheme="minorEastAsia" w:cstheme="minorBidi"/>
      <w:szCs w:val="21"/>
    </w:rPr>
  </w:style>
  <w:style w:type="paragraph" w:customStyle="1" w:styleId="35">
    <w:name w:val="纯文本_0_1"/>
    <w:basedOn w:val="1"/>
    <w:qFormat/>
    <w:uiPriority w:val="0"/>
    <w:pPr>
      <w:widowControl/>
      <w:jc w:val="left"/>
    </w:pPr>
    <w:rPr>
      <w:rFonts w:ascii="宋体" w:hAnsi="Courier New" w:eastAsiaTheme="minorEastAsia" w:cstheme="minorBidi"/>
      <w:szCs w:val="21"/>
    </w:rPr>
  </w:style>
  <w:style w:type="paragraph" w:customStyle="1" w:styleId="3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0">
    <w:name w:val="font21"/>
    <w:basedOn w:val="21"/>
    <w:qFormat/>
    <w:uiPriority w:val="0"/>
    <w:rPr>
      <w:rFonts w:hint="default" w:ascii="Arial" w:hAnsi="Arial" w:cs="Arial"/>
      <w:color w:val="000000"/>
      <w:sz w:val="20"/>
      <w:szCs w:val="20"/>
      <w:u w:val="none"/>
    </w:rPr>
  </w:style>
  <w:style w:type="character" w:customStyle="1" w:styleId="41">
    <w:name w:val="font01"/>
    <w:basedOn w:val="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zebora</cp:lastModifiedBy>
  <cp:lastPrinted>2021-08-17T00:13:00Z</cp:lastPrinted>
  <dcterms:modified xsi:type="dcterms:W3CDTF">2021-10-12T02:11:24Z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4B7EBEAA550B45BD8EE4C468F8DC4A1A</vt:lpwstr>
  </property>
</Properties>
</file>