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ACF6">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14:paraId="04743ED6">
      <w:pPr>
        <w:shd w:val="clea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14:paraId="652E771B">
      <w:pPr>
        <w:shd w:val="clea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14:paraId="7F1635DD">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14:paraId="02D87D3E">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color w:val="auto"/>
          <w:kern w:val="0"/>
          <w:sz w:val="28"/>
          <w:szCs w:val="28"/>
          <w:highlight w:val="none"/>
          <w:lang w:eastAsia="zh-CN"/>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TZJH-2025-036号</w:t>
      </w:r>
    </w:p>
    <w:p w14:paraId="699F4CC0">
      <w:pPr>
        <w:pStyle w:val="22"/>
        <w:shd w:val="clear"/>
        <w:jc w:val="center"/>
        <w:rPr>
          <w:color w:val="auto"/>
          <w:highlight w:val="none"/>
        </w:rPr>
      </w:pPr>
    </w:p>
    <w:p w14:paraId="1AC971CF">
      <w:pPr>
        <w:pStyle w:val="23"/>
        <w:shd w:val="clear"/>
        <w:ind w:firstLine="0" w:firstLineChars="0"/>
        <w:rPr>
          <w:color w:val="auto"/>
          <w:highlight w:val="none"/>
        </w:rPr>
      </w:pPr>
    </w:p>
    <w:p w14:paraId="7884193B">
      <w:pPr>
        <w:pStyle w:val="22"/>
        <w:shd w:val="clear"/>
        <w:jc w:val="center"/>
        <w:rPr>
          <w:color w:val="auto"/>
          <w:highlight w:val="none"/>
        </w:rPr>
      </w:pPr>
    </w:p>
    <w:p w14:paraId="27F387C6">
      <w:pPr>
        <w:shd w:val="clear"/>
        <w:spacing w:line="600" w:lineRule="auto"/>
        <w:ind w:left="1600" w:hanging="1600" w:hangingChars="500"/>
        <w:jc w:val="center"/>
        <w:rPr>
          <w:rFonts w:ascii="宋体" w:hAnsi="宋体" w:cs="宋体"/>
          <w:color w:val="auto"/>
          <w:kern w:val="0"/>
          <w:sz w:val="32"/>
          <w:highlight w:val="none"/>
        </w:rPr>
      </w:pPr>
    </w:p>
    <w:p w14:paraId="76DE23C2">
      <w:pPr>
        <w:shd w:val="clea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2025年智慧城管中心服务项目</w:t>
      </w:r>
    </w:p>
    <w:p w14:paraId="4642CD1A">
      <w:pPr>
        <w:shd w:val="clea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台州湾新区管理委员会</w:t>
      </w:r>
    </w:p>
    <w:p w14:paraId="079C44F1">
      <w:pPr>
        <w:pStyle w:val="22"/>
        <w:shd w:val="clear"/>
        <w:rPr>
          <w:color w:val="auto"/>
          <w:highlight w:val="none"/>
        </w:rPr>
      </w:pPr>
    </w:p>
    <w:p w14:paraId="0EF33C90">
      <w:pPr>
        <w:shd w:val="clear"/>
        <w:spacing w:line="360" w:lineRule="auto"/>
        <w:jc w:val="center"/>
        <w:rPr>
          <w:rFonts w:ascii="宋体"/>
          <w:color w:val="auto"/>
          <w:kern w:val="0"/>
          <w:sz w:val="28"/>
          <w:szCs w:val="28"/>
          <w:highlight w:val="none"/>
        </w:rPr>
      </w:pPr>
    </w:p>
    <w:p w14:paraId="665EFE6D">
      <w:pPr>
        <w:pStyle w:val="22"/>
        <w:shd w:val="clear"/>
        <w:rPr>
          <w:color w:val="auto"/>
          <w:highlight w:val="none"/>
        </w:rPr>
      </w:pPr>
    </w:p>
    <w:p w14:paraId="6A4FDEBE">
      <w:pPr>
        <w:shd w:val="clear"/>
        <w:spacing w:line="360" w:lineRule="auto"/>
        <w:rPr>
          <w:rFonts w:ascii="宋体"/>
          <w:color w:val="auto"/>
          <w:kern w:val="0"/>
          <w:sz w:val="28"/>
          <w:szCs w:val="28"/>
          <w:highlight w:val="none"/>
        </w:rPr>
      </w:pPr>
    </w:p>
    <w:p w14:paraId="15069EAE">
      <w:pPr>
        <w:pStyle w:val="22"/>
        <w:shd w:val="clear"/>
        <w:rPr>
          <w:color w:val="auto"/>
          <w:highlight w:val="none"/>
        </w:rPr>
      </w:pPr>
    </w:p>
    <w:p w14:paraId="374AAE12">
      <w:pPr>
        <w:shd w:val="clea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台州市建航工程管理有限公司</w:t>
      </w:r>
    </w:p>
    <w:p w14:paraId="0C077919">
      <w:pPr>
        <w:pStyle w:val="22"/>
        <w:shd w:val="clear"/>
        <w:rPr>
          <w:color w:val="auto"/>
          <w:highlight w:val="none"/>
        </w:rPr>
      </w:pPr>
    </w:p>
    <w:p w14:paraId="77888C6B">
      <w:pPr>
        <w:pStyle w:val="23"/>
        <w:shd w:val="clear"/>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val="en-US" w:eastAsia="zh-CN"/>
        </w:rPr>
        <w:t>五</w:t>
      </w:r>
      <w:r>
        <w:rPr>
          <w:rFonts w:hint="eastAsia" w:ascii="宋体"/>
          <w:color w:val="auto"/>
          <w:szCs w:val="28"/>
          <w:highlight w:val="none"/>
        </w:rPr>
        <w:t>年</w:t>
      </w:r>
      <w:r>
        <w:rPr>
          <w:rFonts w:hint="eastAsia" w:ascii="宋体"/>
          <w:color w:val="auto"/>
          <w:szCs w:val="28"/>
          <w:highlight w:val="none"/>
          <w:lang w:val="en-US" w:eastAsia="zh-CN"/>
        </w:rPr>
        <w:t>七</w:t>
      </w:r>
      <w:r>
        <w:rPr>
          <w:rFonts w:hint="eastAsia" w:ascii="宋体"/>
          <w:color w:val="auto"/>
          <w:szCs w:val="28"/>
          <w:highlight w:val="none"/>
        </w:rPr>
        <w:t>月</w:t>
      </w:r>
    </w:p>
    <w:p w14:paraId="4DBD997F">
      <w:pPr>
        <w:shd w:val="clear"/>
        <w:rPr>
          <w:rFonts w:ascii="宋体" w:hAnsi="宋体" w:cs="宋体"/>
          <w:b/>
          <w:bCs/>
          <w:color w:val="auto"/>
          <w:sz w:val="36"/>
          <w:szCs w:val="36"/>
          <w:highlight w:val="none"/>
        </w:rPr>
      </w:pPr>
    </w:p>
    <w:p w14:paraId="67E6858C">
      <w:pPr>
        <w:shd w:val="clear"/>
        <w:jc w:val="center"/>
        <w:rPr>
          <w:rFonts w:ascii="宋体" w:hAnsi="宋体" w:cs="宋体"/>
          <w:b/>
          <w:bCs/>
          <w:color w:val="auto"/>
          <w:sz w:val="36"/>
          <w:szCs w:val="36"/>
          <w:highlight w:val="none"/>
        </w:rPr>
      </w:pPr>
    </w:p>
    <w:p w14:paraId="0D917A4D">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92D3D94">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14:paraId="4F84F246">
      <w:pPr>
        <w:shd w:val="clear"/>
        <w:spacing w:line="360" w:lineRule="auto"/>
        <w:rPr>
          <w:rFonts w:ascii="宋体" w:hAnsi="宋体" w:cs="宋体"/>
          <w:color w:val="auto"/>
          <w:sz w:val="28"/>
          <w:szCs w:val="28"/>
          <w:highlight w:val="none"/>
        </w:rPr>
      </w:pPr>
    </w:p>
    <w:p w14:paraId="0126C27E">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14:paraId="62177EEF">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14:paraId="16F01CE6">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14:paraId="4B46E20F">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14:paraId="0831198A">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14:paraId="69CB5440">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14:paraId="078EB679">
      <w:pPr>
        <w:shd w:val="clear"/>
        <w:spacing w:line="360" w:lineRule="auto"/>
        <w:rPr>
          <w:rFonts w:ascii="宋体" w:hAnsi="宋体" w:cs="宋体"/>
          <w:color w:val="auto"/>
          <w:highlight w:val="none"/>
        </w:rPr>
      </w:pPr>
    </w:p>
    <w:p w14:paraId="0B20B131">
      <w:pPr>
        <w:shd w:val="clear"/>
        <w:spacing w:line="360" w:lineRule="auto"/>
        <w:rPr>
          <w:rFonts w:ascii="宋体" w:hAnsi="宋体" w:cs="宋体"/>
          <w:color w:val="auto"/>
          <w:highlight w:val="none"/>
        </w:rPr>
      </w:pPr>
    </w:p>
    <w:p w14:paraId="37186759">
      <w:pPr>
        <w:shd w:val="clear"/>
        <w:spacing w:line="360" w:lineRule="auto"/>
        <w:rPr>
          <w:rFonts w:ascii="宋体" w:hAnsi="宋体" w:cs="宋体"/>
          <w:color w:val="auto"/>
          <w:highlight w:val="none"/>
        </w:rPr>
      </w:pPr>
    </w:p>
    <w:p w14:paraId="60718346">
      <w:pPr>
        <w:shd w:val="clear"/>
        <w:spacing w:line="360" w:lineRule="auto"/>
        <w:rPr>
          <w:rFonts w:ascii="宋体" w:hAnsi="宋体" w:cs="宋体"/>
          <w:color w:val="auto"/>
          <w:highlight w:val="none"/>
        </w:rPr>
      </w:pPr>
    </w:p>
    <w:p w14:paraId="51FC888D">
      <w:pPr>
        <w:shd w:val="clear"/>
        <w:spacing w:line="360" w:lineRule="auto"/>
        <w:rPr>
          <w:rFonts w:ascii="宋体" w:hAnsi="宋体" w:cs="宋体"/>
          <w:color w:val="auto"/>
          <w:highlight w:val="none"/>
        </w:rPr>
      </w:pPr>
    </w:p>
    <w:p w14:paraId="498F20BD">
      <w:pPr>
        <w:shd w:val="clear"/>
        <w:spacing w:line="360" w:lineRule="auto"/>
        <w:rPr>
          <w:rFonts w:ascii="宋体" w:hAnsi="宋体" w:cs="宋体"/>
          <w:color w:val="auto"/>
          <w:highlight w:val="none"/>
        </w:rPr>
      </w:pPr>
    </w:p>
    <w:p w14:paraId="46ED283A">
      <w:pPr>
        <w:shd w:val="clear"/>
        <w:spacing w:line="360" w:lineRule="auto"/>
        <w:rPr>
          <w:rFonts w:ascii="宋体" w:hAnsi="宋体" w:cs="宋体"/>
          <w:color w:val="auto"/>
          <w:highlight w:val="none"/>
        </w:rPr>
      </w:pPr>
    </w:p>
    <w:p w14:paraId="7EDED255">
      <w:pPr>
        <w:shd w:val="clear"/>
        <w:spacing w:line="360" w:lineRule="auto"/>
        <w:rPr>
          <w:rFonts w:ascii="宋体" w:hAnsi="宋体" w:cs="宋体"/>
          <w:color w:val="auto"/>
          <w:highlight w:val="none"/>
        </w:rPr>
      </w:pPr>
    </w:p>
    <w:p w14:paraId="01A73D70">
      <w:pPr>
        <w:shd w:val="clear"/>
        <w:spacing w:line="360" w:lineRule="auto"/>
        <w:rPr>
          <w:rFonts w:ascii="宋体" w:hAnsi="宋体" w:cs="宋体"/>
          <w:color w:val="auto"/>
          <w:highlight w:val="none"/>
        </w:rPr>
      </w:pPr>
    </w:p>
    <w:p w14:paraId="13D5CFED">
      <w:pPr>
        <w:shd w:val="clear"/>
        <w:spacing w:line="360" w:lineRule="auto"/>
        <w:rPr>
          <w:rFonts w:ascii="宋体" w:hAnsi="宋体" w:cs="宋体"/>
          <w:color w:val="auto"/>
          <w:highlight w:val="none"/>
        </w:rPr>
      </w:pPr>
    </w:p>
    <w:p w14:paraId="23A73502">
      <w:pPr>
        <w:shd w:val="clear"/>
        <w:spacing w:line="360" w:lineRule="auto"/>
        <w:rPr>
          <w:rFonts w:ascii="宋体" w:hAnsi="宋体" w:cs="宋体"/>
          <w:color w:val="auto"/>
          <w:highlight w:val="none"/>
        </w:rPr>
      </w:pPr>
    </w:p>
    <w:p w14:paraId="5329995C">
      <w:pPr>
        <w:shd w:val="clear"/>
        <w:spacing w:line="360" w:lineRule="auto"/>
        <w:rPr>
          <w:rFonts w:ascii="宋体" w:hAnsi="宋体" w:cs="宋体"/>
          <w:color w:val="auto"/>
          <w:highlight w:val="none"/>
        </w:rPr>
      </w:pPr>
    </w:p>
    <w:p w14:paraId="48790932">
      <w:pPr>
        <w:shd w:val="clear"/>
        <w:spacing w:line="360" w:lineRule="auto"/>
        <w:rPr>
          <w:rFonts w:ascii="宋体" w:hAnsi="宋体" w:cs="宋体"/>
          <w:color w:val="auto"/>
          <w:highlight w:val="none"/>
        </w:rPr>
      </w:pPr>
    </w:p>
    <w:p w14:paraId="26F4657B">
      <w:pPr>
        <w:pStyle w:val="43"/>
        <w:shd w:val="clear"/>
        <w:rPr>
          <w:color w:val="auto"/>
          <w:highlight w:val="none"/>
        </w:rPr>
      </w:pPr>
    </w:p>
    <w:p w14:paraId="20C6E17D">
      <w:pPr>
        <w:shd w:val="clear"/>
        <w:rPr>
          <w:color w:val="auto"/>
          <w:highlight w:val="none"/>
        </w:rPr>
      </w:pPr>
    </w:p>
    <w:p w14:paraId="131A826E">
      <w:pPr>
        <w:pStyle w:val="17"/>
        <w:shd w:val="clear"/>
        <w:rPr>
          <w:color w:val="auto"/>
          <w:highlight w:val="none"/>
        </w:rPr>
      </w:pPr>
    </w:p>
    <w:p w14:paraId="40CEAFE4">
      <w:pPr>
        <w:shd w:val="clear"/>
        <w:rPr>
          <w:color w:val="auto"/>
          <w:highlight w:val="none"/>
        </w:rPr>
      </w:pPr>
    </w:p>
    <w:p w14:paraId="3D3E08C5">
      <w:pPr>
        <w:pStyle w:val="45"/>
        <w:shd w:val="clear"/>
        <w:spacing w:after="240"/>
        <w:ind w:left="420" w:firstLine="480"/>
        <w:rPr>
          <w:color w:val="auto"/>
          <w:highlight w:val="none"/>
        </w:rPr>
      </w:pPr>
    </w:p>
    <w:p w14:paraId="1B9BB756">
      <w:pPr>
        <w:pStyle w:val="17"/>
        <w:shd w:val="clear"/>
        <w:rPr>
          <w:color w:val="auto"/>
          <w:highlight w:val="none"/>
        </w:rPr>
      </w:pPr>
    </w:p>
    <w:p w14:paraId="43F65F8A">
      <w:pPr>
        <w:pStyle w:val="45"/>
        <w:shd w:val="clear"/>
        <w:spacing w:after="240"/>
        <w:ind w:left="420" w:firstLine="480"/>
        <w:rPr>
          <w:color w:val="auto"/>
          <w:highlight w:val="none"/>
        </w:rPr>
      </w:pPr>
    </w:p>
    <w:p w14:paraId="228CDF5A">
      <w:pPr>
        <w:shd w:val="clear"/>
        <w:spacing w:line="360" w:lineRule="auto"/>
        <w:rPr>
          <w:rFonts w:ascii="宋体" w:hAnsi="宋体" w:cs="宋体"/>
          <w:color w:val="auto"/>
          <w:highlight w:val="none"/>
        </w:rPr>
      </w:pPr>
    </w:p>
    <w:p w14:paraId="2E0AECA3">
      <w:pPr>
        <w:numPr>
          <w:ilvl w:val="0"/>
          <w:numId w:val="10"/>
        </w:numPr>
        <w:shd w:val="clea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公开</w:t>
      </w:r>
      <w:r>
        <w:rPr>
          <w:rFonts w:hint="eastAsia" w:ascii="宋体" w:hAnsi="宋体" w:cs="宋体"/>
          <w:b/>
          <w:color w:val="auto"/>
          <w:sz w:val="36"/>
          <w:szCs w:val="36"/>
          <w:highlight w:val="none"/>
        </w:rPr>
        <w:t>招标采购公告</w:t>
      </w:r>
    </w:p>
    <w:p w14:paraId="072C8E6A">
      <w:pPr>
        <w:pStyle w:val="56"/>
        <w:shd w:val="clear"/>
        <w:rPr>
          <w:color w:val="auto"/>
          <w:highlight w:val="none"/>
        </w:rPr>
      </w:pPr>
    </w:p>
    <w:p w14:paraId="7F27DBC2">
      <w:pPr>
        <w:shd w:val="clea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kern w:val="0"/>
          <w:sz w:val="24"/>
          <w:highlight w:val="none"/>
          <w:lang w:eastAsia="zh-CN"/>
        </w:rPr>
        <w:t>台州湾新区管理委员会2025年智慧城管中心服务项目</w:t>
      </w:r>
      <w:r>
        <w:rPr>
          <w:rFonts w:hint="eastAsia" w:ascii="宋体" w:hAnsi="宋体" w:cs="宋体"/>
          <w:color w:val="auto"/>
          <w:kern w:val="0"/>
          <w:sz w:val="24"/>
          <w:highlight w:val="none"/>
        </w:rPr>
        <w:t>进行公开招标采购，欢迎合格供应商前来投标（电子招投标）。</w:t>
      </w:r>
    </w:p>
    <w:p w14:paraId="6B43ED35">
      <w:pPr>
        <w:shd w:val="clear"/>
        <w:tabs>
          <w:tab w:val="left" w:pos="180"/>
          <w:tab w:val="left" w:pos="360"/>
          <w:tab w:val="left" w:pos="540"/>
          <w:tab w:val="left" w:pos="8280"/>
        </w:tabs>
        <w:autoSpaceDE w:val="0"/>
        <w:autoSpaceDN w:val="0"/>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TZJH-2025-036号</w:t>
      </w:r>
    </w:p>
    <w:p w14:paraId="26A5AB10">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14:paraId="593BC00D">
      <w:pPr>
        <w:shd w:val="clea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6"/>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14:paraId="4736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14:paraId="0967194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14:paraId="248F979E">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14:paraId="64B143D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14:paraId="6CC15AF7">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14:paraId="76BA3D78">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14:paraId="44201027">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预算</w:t>
            </w:r>
          </w:p>
          <w:p w14:paraId="04BC90D8">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14:paraId="7BC8A86E">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6CDE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14:paraId="7E37EF85">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14:paraId="6855EB8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2025年智慧城管中心服务项目</w:t>
            </w:r>
          </w:p>
        </w:tc>
        <w:tc>
          <w:tcPr>
            <w:tcW w:w="1725" w:type="dxa"/>
            <w:vAlign w:val="center"/>
          </w:tcPr>
          <w:p w14:paraId="055750DB">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14:paraId="04A58699">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14:paraId="6CAE5D9A">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14:paraId="254013D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65</w:t>
            </w:r>
          </w:p>
        </w:tc>
        <w:tc>
          <w:tcPr>
            <w:tcW w:w="1054" w:type="dxa"/>
            <w:vAlign w:val="center"/>
          </w:tcPr>
          <w:p w14:paraId="4E6F43FE">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p>
        </w:tc>
      </w:tr>
    </w:tbl>
    <w:p w14:paraId="55E11DE8">
      <w:pPr>
        <w:widowControl/>
        <w:shd w:val="clear"/>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14:paraId="7F4C661E">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14:paraId="38BB1D06">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FA5E4B0">
      <w:pPr>
        <w:shd w:val="clear"/>
        <w:spacing w:line="360" w:lineRule="auto"/>
        <w:ind w:firstLine="480" w:firstLineChars="200"/>
        <w:rPr>
          <w:rFonts w:ascii="宋体" w:hAnsi="宋体" w:cs="宋体"/>
          <w:color w:val="auto"/>
          <w:sz w:val="24"/>
          <w:highlight w:val="none"/>
        </w:rPr>
      </w:pPr>
      <w:bookmarkStart w:id="0" w:name="OLE_LINK10"/>
      <w:r>
        <w:rPr>
          <w:rFonts w:hint="eastAsia" w:ascii="宋体" w:hAnsi="宋体" w:cs="宋体"/>
          <w:color w:val="auto"/>
          <w:sz w:val="24"/>
          <w:highlight w:val="none"/>
        </w:rPr>
        <w:t>2、</w:t>
      </w:r>
      <w:r>
        <w:rPr>
          <w:rFonts w:hint="eastAsia" w:ascii="宋体" w:hAnsi="宋体"/>
          <w:bCs/>
          <w:color w:val="auto"/>
          <w:sz w:val="24"/>
          <w:highlight w:val="none"/>
        </w:rPr>
        <w:t>落实政府采购政策需满足的资格要求：/。</w:t>
      </w:r>
    </w:p>
    <w:p w14:paraId="7724AC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、本项目不接受联合体投标。</w:t>
      </w:r>
      <w:bookmarkEnd w:id="0"/>
    </w:p>
    <w:p w14:paraId="796342E1">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14:paraId="27374827">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1、获取时间：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bookmarkStart w:id="7" w:name="_GoBack"/>
      <w:bookmarkEnd w:id="7"/>
      <w:r>
        <w:rPr>
          <w:rFonts w:hint="eastAsia" w:ascii="宋体" w:hAnsi="宋体" w:cs="宋体"/>
          <w:color w:val="auto"/>
          <w:sz w:val="24"/>
          <w:highlight w:val="none"/>
        </w:rPr>
        <w:t>日至投标截止时间</w:t>
      </w:r>
    </w:p>
    <w:p w14:paraId="23EDDC8F">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14:paraId="2CB95C63">
      <w:pPr>
        <w:shd w:val="clea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14:paraId="004C4E34">
      <w:pPr>
        <w:shd w:val="clea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1DE5E8C">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14:paraId="2638FF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9"/>
          <w:rFonts w:hint="eastAsia" w:ascii="宋体" w:hAnsi="宋体" w:cs="宋体"/>
          <w:b w:val="0"/>
          <w:color w:val="auto"/>
          <w:sz w:val="24"/>
          <w:highlight w:val="none"/>
        </w:rPr>
        <w:t>供应商网上报名操作指南：“浙江政府采购网-办事指南-省采中心-网上报名”（http://zfcg.czt.zj.gov.cn/bs_other/2018-03-30/12002.html）。</w:t>
      </w:r>
    </w:p>
    <w:p w14:paraId="1A4B79F9">
      <w:pPr>
        <w:pStyle w:val="9"/>
        <w:shd w:val="clear"/>
        <w:spacing w:before="0" w:beforeAutospacing="0" w:after="0" w:afterAutospacing="0" w:line="360" w:lineRule="auto"/>
        <w:ind w:firstLine="480" w:firstLineChars="200"/>
        <w:rPr>
          <w:rFonts w:hint="default" w:cs="宋体"/>
          <w:color w:val="auto"/>
          <w:highlight w:val="none"/>
        </w:rPr>
      </w:pPr>
      <w:r>
        <w:rPr>
          <w:rStyle w:val="49"/>
          <w:rFonts w:cs="宋体"/>
          <w:b w:val="0"/>
          <w:color w:val="auto"/>
          <w:highlight w:val="none"/>
        </w:rPr>
        <w:t>6、供应商获取招标文件时须提交的文件资料：无；</w:t>
      </w:r>
    </w:p>
    <w:p w14:paraId="3B81D7D9">
      <w:pPr>
        <w:pStyle w:val="9"/>
        <w:shd w:val="clear"/>
        <w:spacing w:before="0" w:beforeAutospacing="0" w:after="0" w:afterAutospacing="0" w:line="360" w:lineRule="auto"/>
        <w:ind w:firstLine="482" w:firstLineChars="200"/>
        <w:rPr>
          <w:rStyle w:val="49"/>
          <w:rFonts w:hint="default" w:cs="宋体"/>
          <w:color w:val="auto"/>
          <w:highlight w:val="none"/>
        </w:rPr>
      </w:pPr>
      <w:r>
        <w:rPr>
          <w:rStyle w:val="49"/>
          <w:rFonts w:cs="宋体"/>
          <w:color w:val="auto"/>
          <w:highlight w:val="none"/>
        </w:rPr>
        <w:t>7、提示：</w:t>
      </w:r>
    </w:p>
    <w:p w14:paraId="43C0670E">
      <w:pPr>
        <w:pStyle w:val="9"/>
        <w:shd w:val="clear"/>
        <w:spacing w:before="0" w:beforeAutospacing="0" w:after="0" w:afterAutospacing="0" w:line="360" w:lineRule="auto"/>
        <w:ind w:firstLine="482" w:firstLineChars="200"/>
        <w:rPr>
          <w:rFonts w:hint="default" w:cs="宋体"/>
          <w:color w:val="auto"/>
          <w:highlight w:val="none"/>
        </w:rPr>
      </w:pPr>
      <w:r>
        <w:rPr>
          <w:rStyle w:val="49"/>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C1793B1">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（2）采购人、采购机构将依托政采云平台完成本项目的电子交易活动，平台不接受未按上述方式获取招标文件的供应商进行投标活动；</w:t>
      </w:r>
    </w:p>
    <w:p w14:paraId="05639CF3">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（3）对未按上述方式获取招标文件的供应商对该文件提出的质疑，采购人或采购代理机构将不予处理；</w:t>
      </w:r>
    </w:p>
    <w:p w14:paraId="665C5B09">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（4）请供应商按上述要求获取招标文件，如未在“政府采购云平台”系统内完成相关流程，引起的投标无效责任自负。</w:t>
      </w:r>
    </w:p>
    <w:p w14:paraId="06DAE14E">
      <w:pPr>
        <w:shd w:val="clear"/>
        <w:spacing w:line="360" w:lineRule="auto"/>
        <w:ind w:firstLine="482" w:firstLineChars="200"/>
        <w:rPr>
          <w:rStyle w:val="49"/>
          <w:rFonts w:ascii="宋体" w:hAnsi="宋体" w:cs="宋体"/>
          <w:color w:val="auto"/>
          <w:kern w:val="0"/>
          <w:sz w:val="24"/>
          <w:highlight w:val="none"/>
        </w:rPr>
      </w:pPr>
      <w:r>
        <w:rPr>
          <w:rStyle w:val="49"/>
          <w:rFonts w:hint="eastAsia" w:ascii="宋体" w:hAnsi="宋体" w:cs="宋体"/>
          <w:color w:val="auto"/>
          <w:kern w:val="0"/>
          <w:sz w:val="24"/>
          <w:highlight w:val="none"/>
        </w:rPr>
        <w:t>注：在网上报名过程中如有任何疑问，请及时联系“政采云”平台客服：400-881-7190</w:t>
      </w:r>
    </w:p>
    <w:p w14:paraId="296FBC86">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14:paraId="7926BCB8">
      <w:pPr>
        <w:shd w:val="clea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14:paraId="6A968769">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14:paraId="0A85646D">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lang w:eastAsia="zh-CN"/>
        </w:rPr>
        <w:t>2025</w:t>
      </w:r>
      <w:r>
        <w:rPr>
          <w:rFonts w:hint="eastAsia" w:cs="宋体"/>
          <w:color w:val="auto"/>
          <w:sz w:val="24"/>
          <w:highlight w:val="none"/>
        </w:rPr>
        <w:t>年</w:t>
      </w:r>
      <w:r>
        <w:rPr>
          <w:rFonts w:hint="eastAsia" w:cs="宋体"/>
          <w:color w:val="auto"/>
          <w:sz w:val="24"/>
          <w:highlight w:val="none"/>
          <w:lang w:val="en-US" w:eastAsia="zh-CN"/>
        </w:rPr>
        <w:t>7</w:t>
      </w:r>
      <w:r>
        <w:rPr>
          <w:rFonts w:hint="eastAsia" w:cs="宋体"/>
          <w:color w:val="auto"/>
          <w:sz w:val="24"/>
          <w:highlight w:val="none"/>
        </w:rPr>
        <w:t>月</w:t>
      </w:r>
      <w:r>
        <w:rPr>
          <w:rFonts w:hint="eastAsia" w:cs="宋体"/>
          <w:color w:val="auto"/>
          <w:sz w:val="24"/>
          <w:highlight w:val="none"/>
          <w:lang w:val="en-US" w:eastAsia="zh-CN"/>
        </w:rPr>
        <w:t>22</w:t>
      </w:r>
      <w:r>
        <w:rPr>
          <w:rFonts w:hint="eastAsia" w:cs="宋体"/>
          <w:color w:val="auto"/>
          <w:sz w:val="24"/>
          <w:highlight w:val="none"/>
        </w:rPr>
        <w:t>日 09:00</w:t>
      </w:r>
      <w:r>
        <w:rPr>
          <w:rFonts w:hint="eastAsia" w:ascii="宋体" w:hAnsi="宋体" w:cs="宋体"/>
          <w:color w:val="auto"/>
          <w:sz w:val="24"/>
          <w:highlight w:val="none"/>
        </w:rPr>
        <w:t>（北京时间），地点（网址）：政府采购云平台（www.zcygov.cn） 实行在线投标响应</w:t>
      </w:r>
    </w:p>
    <w:p w14:paraId="3D3900A8">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lang w:eastAsia="zh-CN"/>
        </w:rPr>
        <w:t>2025</w:t>
      </w:r>
      <w:r>
        <w:rPr>
          <w:rFonts w:hint="eastAsia" w:cs="宋体"/>
          <w:color w:val="auto"/>
          <w:sz w:val="24"/>
          <w:highlight w:val="none"/>
        </w:rPr>
        <w:t>年</w:t>
      </w:r>
      <w:r>
        <w:rPr>
          <w:rFonts w:hint="eastAsia" w:cs="宋体"/>
          <w:color w:val="auto"/>
          <w:sz w:val="24"/>
          <w:highlight w:val="none"/>
          <w:lang w:val="en-US" w:eastAsia="zh-CN"/>
        </w:rPr>
        <w:t>7</w:t>
      </w:r>
      <w:r>
        <w:rPr>
          <w:rFonts w:hint="eastAsia" w:cs="宋体"/>
          <w:color w:val="auto"/>
          <w:sz w:val="24"/>
          <w:highlight w:val="none"/>
        </w:rPr>
        <w:t>月</w:t>
      </w:r>
      <w:r>
        <w:rPr>
          <w:rFonts w:hint="eastAsia" w:cs="宋体"/>
          <w:color w:val="auto"/>
          <w:sz w:val="24"/>
          <w:highlight w:val="none"/>
          <w:lang w:val="en-US" w:eastAsia="zh-CN"/>
        </w:rPr>
        <w:t>22</w:t>
      </w:r>
      <w:r>
        <w:rPr>
          <w:rFonts w:hint="eastAsia" w:cs="宋体"/>
          <w:color w:val="auto"/>
          <w:sz w:val="24"/>
          <w:highlight w:val="none"/>
        </w:rPr>
        <w:t>日  09:30</w:t>
      </w:r>
      <w:r>
        <w:rPr>
          <w:rFonts w:hint="eastAsia" w:ascii="宋体" w:hAnsi="宋体" w:cs="宋体"/>
          <w:color w:val="auto"/>
          <w:sz w:val="24"/>
          <w:highlight w:val="none"/>
        </w:rPr>
        <w:t>（北京时间），地点（网址）：政府采购云平台（www.zcygov.cn） 实行在线投标响应</w:t>
      </w:r>
    </w:p>
    <w:p w14:paraId="6A9A7CD1">
      <w:pPr>
        <w:pStyle w:val="9"/>
        <w:shd w:val="clear"/>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w:t>
      </w:r>
      <w:r>
        <w:rPr>
          <w:rFonts w:hint="eastAsia" w:cs="宋体"/>
          <w:b/>
          <w:bCs/>
          <w:color w:val="auto"/>
          <w:highlight w:val="none"/>
          <w:u w:val="single"/>
          <w:lang w:eastAsia="zh-CN"/>
        </w:rPr>
        <w:t>2025</w:t>
      </w:r>
      <w:r>
        <w:rPr>
          <w:rFonts w:cs="宋体"/>
          <w:b/>
          <w:bCs/>
          <w:color w:val="auto"/>
          <w:highlight w:val="none"/>
          <w:u w:val="single"/>
        </w:rPr>
        <w:t>年</w:t>
      </w:r>
      <w:r>
        <w:rPr>
          <w:rFonts w:hint="eastAsia" w:cs="宋体"/>
          <w:b/>
          <w:bCs/>
          <w:color w:val="auto"/>
          <w:highlight w:val="none"/>
          <w:u w:val="single"/>
          <w:lang w:val="en-US" w:eastAsia="zh-CN"/>
        </w:rPr>
        <w:t>7</w:t>
      </w:r>
      <w:r>
        <w:rPr>
          <w:rFonts w:cs="宋体"/>
          <w:b/>
          <w:bCs/>
          <w:color w:val="auto"/>
          <w:highlight w:val="none"/>
          <w:u w:val="single"/>
        </w:rPr>
        <w:t>月</w:t>
      </w:r>
      <w:r>
        <w:rPr>
          <w:rFonts w:hint="eastAsia" w:cs="宋体"/>
          <w:b/>
          <w:bCs/>
          <w:color w:val="auto"/>
          <w:highlight w:val="none"/>
          <w:u w:val="single"/>
          <w:lang w:val="en-US" w:eastAsia="zh-CN"/>
        </w:rPr>
        <w:t>22</w:t>
      </w:r>
      <w:r>
        <w:rPr>
          <w:rFonts w:cs="宋体"/>
          <w:b/>
          <w:bCs/>
          <w:color w:val="auto"/>
          <w:highlight w:val="none"/>
          <w:u w:val="single"/>
        </w:rPr>
        <w:t>日 09:30前），供应商须登录“政采云”平台，用“项目采购-开标评标”功能解密投标文件，投标人未按时解密或解密失败的，其投标文件为无效标。</w:t>
      </w:r>
    </w:p>
    <w:p w14:paraId="43A5FF00">
      <w:pPr>
        <w:pStyle w:val="17"/>
        <w:shd w:val="clear"/>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14:paraId="437A868F">
      <w:pPr>
        <w:pStyle w:val="17"/>
        <w:shd w:val="clear"/>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14:paraId="138420FE">
      <w:pPr>
        <w:pStyle w:val="22"/>
        <w:shd w:val="clear"/>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14:paraId="49D04D21">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14:paraId="69C68A9A">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14:paraId="44AECC7D">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7529116B">
      <w:pPr>
        <w:shd w:val="clea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14:paraId="0939CBC1">
      <w:pPr>
        <w:shd w:val="clea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3"/>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w:t>
      </w:r>
      <w:r>
        <w:rPr>
          <w:rFonts w:hint="eastAsia" w:ascii="宋体" w:hAnsi="宋体" w:cs="宋体"/>
          <w:color w:val="auto"/>
          <w:sz w:val="24"/>
          <w:highlight w:val="none"/>
          <w:lang w:eastAsia="zh-CN"/>
        </w:rPr>
        <w:t>台州市建航工程管理有限公司</w:t>
      </w:r>
      <w:r>
        <w:rPr>
          <w:rFonts w:hint="eastAsia" w:ascii="宋体" w:hAnsi="宋体" w:cs="宋体"/>
          <w:color w:val="auto"/>
          <w:sz w:val="24"/>
          <w:highlight w:val="none"/>
        </w:rPr>
        <w:t>（地址：</w:t>
      </w:r>
      <w:r>
        <w:rPr>
          <w:rFonts w:hint="eastAsia" w:ascii="宋体" w:hAnsi="宋体" w:cs="宋体"/>
          <w:color w:val="auto"/>
          <w:szCs w:val="21"/>
          <w:highlight w:val="none"/>
        </w:rPr>
        <w:t>浙江省台州市经济开发区天和路</w:t>
      </w:r>
      <w:r>
        <w:rPr>
          <w:rFonts w:hint="eastAsia" w:ascii="宋体" w:hAnsi="宋体" w:cs="宋体"/>
          <w:color w:val="auto"/>
          <w:szCs w:val="21"/>
          <w:highlight w:val="none"/>
          <w:lang w:eastAsia="zh-CN"/>
        </w:rPr>
        <w:t>65</w:t>
      </w:r>
      <w:r>
        <w:rPr>
          <w:rFonts w:hint="eastAsia" w:ascii="宋体" w:hAnsi="宋体" w:cs="宋体"/>
          <w:color w:val="auto"/>
          <w:szCs w:val="21"/>
          <w:highlight w:val="none"/>
        </w:rPr>
        <w:t>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14:paraId="3878ECE2">
      <w:pPr>
        <w:pStyle w:val="22"/>
        <w:shd w:val="clear"/>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14:paraId="4302F2C4">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14:paraId="4932A8EE">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查询渠道：信用中国（www.creditchina.gov.cn）、中国政府采购网（www.ccgp.gov.cn）。</w:t>
      </w:r>
    </w:p>
    <w:p w14:paraId="5F092E32">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截止时点：开标后评标前。</w:t>
      </w:r>
    </w:p>
    <w:p w14:paraId="5743894E">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信用信息查询记录和证据留存的具体方式：由采购组织机构在规定查询时间内查询信用信息记录并归入项目档案。</w:t>
      </w:r>
    </w:p>
    <w:p w14:paraId="077D586B">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06B8D392">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14:paraId="613279F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130DBC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2、本项目对符合财政扶持政策的中小企业（小型、微型）、监狱企业、残疾人福利性单位给予价格优惠扶持，执行节能产品政府强制采购和优先采购政策，执行环境标志产品政府优先采购政策。</w:t>
      </w:r>
    </w:p>
    <w:p w14:paraId="6EF18C1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14:paraId="48FDB01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14:paraId="6C66EB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5、本项目所有公告发布网站：“浙江政府采购网”（http://www.zjzfcg.gov.cn）。项目如有更正或澄清公告，请各供应商自行及时登陆上述网站查看，采购代理机构不再作出书面通知。</w:t>
      </w:r>
    </w:p>
    <w:p w14:paraId="746402A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14:paraId="1CCE5E4E">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14:paraId="4B0CF89A">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台州市建航工程管理有限公司</w:t>
      </w:r>
    </w:p>
    <w:p w14:paraId="56B8F66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人：小施</w:t>
      </w:r>
    </w:p>
    <w:p w14:paraId="7E7BAA9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联系电话：13750630032</w:t>
      </w:r>
    </w:p>
    <w:p w14:paraId="2B5E65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14:paraId="4F43528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14:paraId="4B03D42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w:t>
      </w:r>
      <w:r>
        <w:rPr>
          <w:rFonts w:hint="eastAsia" w:ascii="宋体" w:hAnsi="宋体" w:cs="宋体"/>
          <w:color w:val="auto"/>
          <w:sz w:val="24"/>
          <w:highlight w:val="none"/>
          <w:lang w:eastAsia="zh-CN"/>
        </w:rPr>
        <w:t>65</w:t>
      </w:r>
      <w:r>
        <w:rPr>
          <w:rFonts w:hint="eastAsia" w:ascii="宋体" w:hAnsi="宋体" w:cs="宋体"/>
          <w:color w:val="auto"/>
          <w:sz w:val="24"/>
          <w:highlight w:val="none"/>
        </w:rPr>
        <w:t>号天和大厦B幢1104</w:t>
      </w:r>
    </w:p>
    <w:p w14:paraId="0D56C88F">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14:paraId="65DDA7B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台州湾新区管理委员会</w:t>
      </w:r>
    </w:p>
    <w:p w14:paraId="2483355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陈顺英 </w:t>
      </w:r>
      <w:r>
        <w:rPr>
          <w:rFonts w:hint="eastAsia" w:ascii="宋体" w:hAnsi="宋体" w:cs="宋体"/>
          <w:color w:val="auto"/>
          <w:sz w:val="24"/>
          <w:highlight w:val="none"/>
        </w:rPr>
        <w:t xml:space="preserve">   </w:t>
      </w:r>
    </w:p>
    <w:p w14:paraId="291D104F">
      <w:pPr>
        <w:shd w:val="clea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0576-88511860 </w:t>
      </w:r>
    </w:p>
    <w:p w14:paraId="4F9FAE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 陈顺英 </w:t>
      </w:r>
      <w:r>
        <w:rPr>
          <w:rFonts w:hint="eastAsia" w:ascii="宋体" w:hAnsi="宋体" w:cs="宋体"/>
          <w:color w:val="auto"/>
          <w:sz w:val="24"/>
          <w:highlight w:val="none"/>
        </w:rPr>
        <w:t>（受理质疑）　</w:t>
      </w:r>
    </w:p>
    <w:p w14:paraId="63E121C9">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联系电话： </w:t>
      </w:r>
      <w:r>
        <w:rPr>
          <w:rFonts w:hint="eastAsia" w:ascii="宋体" w:hAnsi="宋体" w:cs="宋体"/>
          <w:color w:val="auto"/>
          <w:sz w:val="24"/>
          <w:highlight w:val="none"/>
          <w:lang w:val="en-US" w:eastAsia="zh-CN"/>
        </w:rPr>
        <w:t xml:space="preserve">0576-88511860  </w:t>
      </w:r>
    </w:p>
    <w:p w14:paraId="43F1D4C7">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 xml:space="preserve"> 台州市甲南大道东段9号</w:t>
      </w:r>
    </w:p>
    <w:p w14:paraId="79203889">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14:paraId="6ADC1467">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14:paraId="2EE11047">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14:paraId="0F00BED3">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14:paraId="4F8ED88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14:paraId="79834E0D">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（四）银行（中标项目贷款咨询）</w:t>
      </w:r>
      <w:r>
        <w:rPr>
          <w:rFonts w:hint="eastAsia" w:ascii="宋体" w:hAnsi="宋体" w:cs="宋体"/>
          <w:b/>
          <w:color w:val="auto"/>
          <w:sz w:val="24"/>
          <w:highlight w:val="none"/>
        </w:rPr>
        <w:br w:type="textWrapping"/>
      </w:r>
      <w:r>
        <w:rPr>
          <w:rFonts w:hint="eastAsia" w:ascii="宋体" w:hAnsi="宋体" w:cs="宋体"/>
          <w:color w:val="auto"/>
          <w:sz w:val="24"/>
          <w:highlight w:val="none"/>
        </w:rPr>
        <w:t>中标供应商如有融资需求，可使用以下银行的政采贷服务。</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514"/>
        <w:gridCol w:w="1688"/>
        <w:gridCol w:w="2131"/>
      </w:tblGrid>
      <w:tr w14:paraId="60D8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B0793E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银行</w:t>
            </w:r>
          </w:p>
        </w:tc>
        <w:tc>
          <w:tcPr>
            <w:tcW w:w="1514" w:type="dxa"/>
            <w:vAlign w:val="center"/>
          </w:tcPr>
          <w:p w14:paraId="613BA5D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贷款年利率</w:t>
            </w:r>
          </w:p>
        </w:tc>
        <w:tc>
          <w:tcPr>
            <w:tcW w:w="1688" w:type="dxa"/>
            <w:vAlign w:val="center"/>
          </w:tcPr>
          <w:p w14:paraId="5900EAA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联系人</w:t>
            </w:r>
          </w:p>
        </w:tc>
        <w:tc>
          <w:tcPr>
            <w:tcW w:w="2131" w:type="dxa"/>
            <w:vAlign w:val="center"/>
          </w:tcPr>
          <w:p w14:paraId="21916ED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联系电话</w:t>
            </w:r>
          </w:p>
        </w:tc>
      </w:tr>
      <w:tr w14:paraId="5F92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5A8CF1C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中国工商银行</w:t>
            </w:r>
          </w:p>
        </w:tc>
        <w:tc>
          <w:tcPr>
            <w:tcW w:w="1514" w:type="dxa"/>
            <w:vAlign w:val="center"/>
          </w:tcPr>
          <w:p w14:paraId="16CB1A7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772B50E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王霖</w:t>
            </w:r>
          </w:p>
        </w:tc>
        <w:tc>
          <w:tcPr>
            <w:tcW w:w="2131" w:type="dxa"/>
            <w:vAlign w:val="center"/>
          </w:tcPr>
          <w:p w14:paraId="1EE85CA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88588246  13857654562</w:t>
            </w:r>
          </w:p>
        </w:tc>
      </w:tr>
      <w:tr w14:paraId="0341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97379B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中国农业银行</w:t>
            </w:r>
          </w:p>
        </w:tc>
        <w:tc>
          <w:tcPr>
            <w:tcW w:w="1514" w:type="dxa"/>
            <w:vAlign w:val="center"/>
          </w:tcPr>
          <w:p w14:paraId="5BB14AA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042E7B5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龚盛</w:t>
            </w:r>
          </w:p>
        </w:tc>
        <w:tc>
          <w:tcPr>
            <w:tcW w:w="2131" w:type="dxa"/>
            <w:vAlign w:val="center"/>
          </w:tcPr>
          <w:p w14:paraId="1621DD9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15858682216</w:t>
            </w:r>
          </w:p>
        </w:tc>
      </w:tr>
      <w:tr w14:paraId="69B5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267E5DB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中国建设银行</w:t>
            </w:r>
          </w:p>
        </w:tc>
        <w:tc>
          <w:tcPr>
            <w:tcW w:w="1514" w:type="dxa"/>
            <w:vAlign w:val="center"/>
          </w:tcPr>
          <w:p w14:paraId="634D85F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0A1D5455">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梅晶晶</w:t>
            </w:r>
          </w:p>
        </w:tc>
        <w:tc>
          <w:tcPr>
            <w:tcW w:w="2131" w:type="dxa"/>
            <w:vAlign w:val="center"/>
          </w:tcPr>
          <w:p w14:paraId="25A5BF6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88525339</w:t>
            </w:r>
          </w:p>
          <w:p w14:paraId="68236A6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13736585303</w:t>
            </w:r>
          </w:p>
        </w:tc>
      </w:tr>
      <w:tr w14:paraId="463D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5699726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中国银行</w:t>
            </w:r>
          </w:p>
        </w:tc>
        <w:tc>
          <w:tcPr>
            <w:tcW w:w="1514" w:type="dxa"/>
            <w:vAlign w:val="center"/>
          </w:tcPr>
          <w:p w14:paraId="0419008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3.75%起</w:t>
            </w:r>
          </w:p>
        </w:tc>
        <w:tc>
          <w:tcPr>
            <w:tcW w:w="1688" w:type="dxa"/>
            <w:vAlign w:val="center"/>
          </w:tcPr>
          <w:p w14:paraId="622ECE8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王海</w:t>
            </w:r>
          </w:p>
        </w:tc>
        <w:tc>
          <w:tcPr>
            <w:tcW w:w="2131" w:type="dxa"/>
            <w:vAlign w:val="center"/>
          </w:tcPr>
          <w:p w14:paraId="15FD3BB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13857677798</w:t>
            </w:r>
          </w:p>
        </w:tc>
      </w:tr>
      <w:tr w14:paraId="558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3B1DFFEF">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浦发银行台州分行</w:t>
            </w:r>
          </w:p>
        </w:tc>
        <w:tc>
          <w:tcPr>
            <w:tcW w:w="1514" w:type="dxa"/>
            <w:vAlign w:val="center"/>
          </w:tcPr>
          <w:p w14:paraId="0A15EA4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7AC8D44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王渊</w:t>
            </w:r>
          </w:p>
        </w:tc>
        <w:tc>
          <w:tcPr>
            <w:tcW w:w="2131" w:type="dxa"/>
            <w:vAlign w:val="center"/>
          </w:tcPr>
          <w:p w14:paraId="7602DC7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13616676319</w:t>
            </w:r>
          </w:p>
        </w:tc>
      </w:tr>
      <w:tr w14:paraId="462A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871DD1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浦发银行椒江分行</w:t>
            </w:r>
          </w:p>
        </w:tc>
        <w:tc>
          <w:tcPr>
            <w:tcW w:w="1514" w:type="dxa"/>
            <w:vAlign w:val="center"/>
          </w:tcPr>
          <w:p w14:paraId="082C93C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5894F86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孙瑞华</w:t>
            </w:r>
          </w:p>
        </w:tc>
        <w:tc>
          <w:tcPr>
            <w:tcW w:w="2131" w:type="dxa"/>
            <w:vAlign w:val="center"/>
          </w:tcPr>
          <w:p w14:paraId="320071E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13857688081</w:t>
            </w:r>
          </w:p>
        </w:tc>
      </w:tr>
      <w:tr w14:paraId="349A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CDE625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交通银行台州分行</w:t>
            </w:r>
          </w:p>
        </w:tc>
        <w:tc>
          <w:tcPr>
            <w:tcW w:w="1514" w:type="dxa"/>
            <w:vAlign w:val="center"/>
          </w:tcPr>
          <w:p w14:paraId="4DDBE5B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3.75%起</w:t>
            </w:r>
          </w:p>
        </w:tc>
        <w:tc>
          <w:tcPr>
            <w:tcW w:w="1688" w:type="dxa"/>
            <w:vAlign w:val="center"/>
          </w:tcPr>
          <w:p w14:paraId="4AB3A4D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周翔宇</w:t>
            </w:r>
          </w:p>
        </w:tc>
        <w:tc>
          <w:tcPr>
            <w:tcW w:w="2131" w:type="dxa"/>
            <w:vAlign w:val="center"/>
          </w:tcPr>
          <w:p w14:paraId="4E4AD6C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13867697018</w:t>
            </w:r>
          </w:p>
        </w:tc>
      </w:tr>
      <w:tr w14:paraId="2859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4075B1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招商银行台州分行</w:t>
            </w:r>
          </w:p>
        </w:tc>
        <w:tc>
          <w:tcPr>
            <w:tcW w:w="1514" w:type="dxa"/>
            <w:vAlign w:val="center"/>
          </w:tcPr>
          <w:p w14:paraId="05478F3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4.32%起</w:t>
            </w:r>
          </w:p>
        </w:tc>
        <w:tc>
          <w:tcPr>
            <w:tcW w:w="1688" w:type="dxa"/>
            <w:vAlign w:val="center"/>
          </w:tcPr>
          <w:p w14:paraId="389A224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王海玲</w:t>
            </w:r>
          </w:p>
        </w:tc>
        <w:tc>
          <w:tcPr>
            <w:tcW w:w="2131" w:type="dxa"/>
            <w:vAlign w:val="center"/>
          </w:tcPr>
          <w:p w14:paraId="514D67D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13566413827</w:t>
            </w:r>
          </w:p>
        </w:tc>
      </w:tr>
      <w:tr w14:paraId="1B60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1C612DB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浙商银行台州分行</w:t>
            </w:r>
          </w:p>
        </w:tc>
        <w:tc>
          <w:tcPr>
            <w:tcW w:w="1514" w:type="dxa"/>
            <w:vAlign w:val="center"/>
          </w:tcPr>
          <w:p w14:paraId="62EF16C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5.01%起</w:t>
            </w:r>
          </w:p>
        </w:tc>
        <w:tc>
          <w:tcPr>
            <w:tcW w:w="1688" w:type="dxa"/>
            <w:vAlign w:val="center"/>
          </w:tcPr>
          <w:p w14:paraId="7060D92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章涉漪</w:t>
            </w:r>
          </w:p>
        </w:tc>
        <w:tc>
          <w:tcPr>
            <w:tcW w:w="2131" w:type="dxa"/>
            <w:vAlign w:val="center"/>
          </w:tcPr>
          <w:p w14:paraId="1DC3550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81880185</w:t>
            </w:r>
          </w:p>
          <w:p w14:paraId="70C91ED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13606681262</w:t>
            </w:r>
          </w:p>
        </w:tc>
      </w:tr>
      <w:tr w14:paraId="1D8E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4928EC2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中信银行台州分行</w:t>
            </w:r>
          </w:p>
        </w:tc>
        <w:tc>
          <w:tcPr>
            <w:tcW w:w="1514" w:type="dxa"/>
            <w:vAlign w:val="center"/>
          </w:tcPr>
          <w:p w14:paraId="348ABD6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4.15%起</w:t>
            </w:r>
          </w:p>
        </w:tc>
        <w:tc>
          <w:tcPr>
            <w:tcW w:w="1688" w:type="dxa"/>
            <w:vAlign w:val="center"/>
          </w:tcPr>
          <w:p w14:paraId="23A0143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陈金园</w:t>
            </w:r>
          </w:p>
        </w:tc>
        <w:tc>
          <w:tcPr>
            <w:tcW w:w="2131" w:type="dxa"/>
            <w:vAlign w:val="center"/>
          </w:tcPr>
          <w:p w14:paraId="198B834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13586052161</w:t>
            </w:r>
          </w:p>
        </w:tc>
      </w:tr>
      <w:tr w14:paraId="2A93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6E9EEC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华夏银行台州分行</w:t>
            </w:r>
          </w:p>
        </w:tc>
        <w:tc>
          <w:tcPr>
            <w:tcW w:w="1514" w:type="dxa"/>
            <w:vAlign w:val="center"/>
          </w:tcPr>
          <w:p w14:paraId="5372950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4.5%起</w:t>
            </w:r>
          </w:p>
        </w:tc>
        <w:tc>
          <w:tcPr>
            <w:tcW w:w="1688" w:type="dxa"/>
            <w:vAlign w:val="center"/>
          </w:tcPr>
          <w:p w14:paraId="123F441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邱明达</w:t>
            </w:r>
          </w:p>
        </w:tc>
        <w:tc>
          <w:tcPr>
            <w:tcW w:w="2131" w:type="dxa"/>
            <w:vAlign w:val="center"/>
          </w:tcPr>
          <w:p w14:paraId="0106F16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81871518</w:t>
            </w:r>
          </w:p>
          <w:p w14:paraId="3D3CBFB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13736252233</w:t>
            </w:r>
          </w:p>
        </w:tc>
      </w:tr>
      <w:tr w14:paraId="702C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540BFF2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泰隆银行开发区支行</w:t>
            </w:r>
          </w:p>
        </w:tc>
        <w:tc>
          <w:tcPr>
            <w:tcW w:w="1514" w:type="dxa"/>
            <w:vAlign w:val="center"/>
          </w:tcPr>
          <w:p w14:paraId="2145AAA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5.6%起</w:t>
            </w:r>
          </w:p>
        </w:tc>
        <w:tc>
          <w:tcPr>
            <w:tcW w:w="1688" w:type="dxa"/>
            <w:vAlign w:val="center"/>
          </w:tcPr>
          <w:p w14:paraId="71F835E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梁宛莉</w:t>
            </w:r>
          </w:p>
        </w:tc>
        <w:tc>
          <w:tcPr>
            <w:tcW w:w="2131" w:type="dxa"/>
            <w:vAlign w:val="center"/>
          </w:tcPr>
          <w:p w14:paraId="68BF1D5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13306869100</w:t>
            </w:r>
          </w:p>
        </w:tc>
      </w:tr>
      <w:tr w14:paraId="455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4F2B926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民泰银行椒江支行</w:t>
            </w:r>
          </w:p>
        </w:tc>
        <w:tc>
          <w:tcPr>
            <w:tcW w:w="1514" w:type="dxa"/>
            <w:vAlign w:val="center"/>
          </w:tcPr>
          <w:p w14:paraId="5846E57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5.8%起</w:t>
            </w:r>
          </w:p>
        </w:tc>
        <w:tc>
          <w:tcPr>
            <w:tcW w:w="1688" w:type="dxa"/>
            <w:vAlign w:val="center"/>
          </w:tcPr>
          <w:p w14:paraId="1CE6684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陈慧珠</w:t>
            </w:r>
          </w:p>
        </w:tc>
        <w:tc>
          <w:tcPr>
            <w:tcW w:w="2131" w:type="dxa"/>
            <w:vAlign w:val="center"/>
          </w:tcPr>
          <w:p w14:paraId="755D4F0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13857699669</w:t>
            </w:r>
          </w:p>
        </w:tc>
      </w:tr>
      <w:tr w14:paraId="02FD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774BD5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绍兴银行台州分行</w:t>
            </w:r>
          </w:p>
        </w:tc>
        <w:tc>
          <w:tcPr>
            <w:tcW w:w="1514" w:type="dxa"/>
            <w:vAlign w:val="center"/>
          </w:tcPr>
          <w:p w14:paraId="560424A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5.1%起</w:t>
            </w:r>
          </w:p>
        </w:tc>
        <w:tc>
          <w:tcPr>
            <w:tcW w:w="1688" w:type="dxa"/>
            <w:vAlign w:val="center"/>
          </w:tcPr>
          <w:p w14:paraId="6ED8236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郭庭斌</w:t>
            </w:r>
          </w:p>
        </w:tc>
        <w:tc>
          <w:tcPr>
            <w:tcW w:w="2131" w:type="dxa"/>
            <w:vAlign w:val="center"/>
          </w:tcPr>
          <w:p w14:paraId="0A7BC93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w:t>
            </w:r>
            <w:r>
              <w:rPr>
                <w:rFonts w:hint="eastAsia"/>
                <w:color w:val="auto"/>
                <w:sz w:val="24"/>
                <w:highlight w:val="none"/>
                <w:lang w:eastAsia="zh-CN"/>
              </w:rPr>
              <w:t>65</w:t>
            </w:r>
            <w:r>
              <w:rPr>
                <w:rFonts w:hint="eastAsia"/>
                <w:color w:val="auto"/>
                <w:sz w:val="24"/>
                <w:highlight w:val="none"/>
              </w:rPr>
              <w:t>8633119</w:t>
            </w:r>
          </w:p>
        </w:tc>
      </w:tr>
      <w:tr w14:paraId="0D8F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110CC2F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温州银行台州分行</w:t>
            </w:r>
          </w:p>
        </w:tc>
        <w:tc>
          <w:tcPr>
            <w:tcW w:w="1514" w:type="dxa"/>
            <w:vAlign w:val="center"/>
          </w:tcPr>
          <w:p w14:paraId="6FB6F2A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4.55%起</w:t>
            </w:r>
          </w:p>
        </w:tc>
        <w:tc>
          <w:tcPr>
            <w:tcW w:w="1688" w:type="dxa"/>
            <w:vAlign w:val="center"/>
          </w:tcPr>
          <w:p w14:paraId="489FF0C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王晓波</w:t>
            </w:r>
          </w:p>
        </w:tc>
        <w:tc>
          <w:tcPr>
            <w:tcW w:w="2131" w:type="dxa"/>
            <w:vAlign w:val="center"/>
          </w:tcPr>
          <w:p w14:paraId="2FC6AEA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15824005475</w:t>
            </w:r>
          </w:p>
        </w:tc>
      </w:tr>
      <w:tr w14:paraId="3268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7F6B47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平安银行台州分行</w:t>
            </w:r>
          </w:p>
        </w:tc>
        <w:tc>
          <w:tcPr>
            <w:tcW w:w="1514" w:type="dxa"/>
            <w:vAlign w:val="center"/>
          </w:tcPr>
          <w:p w14:paraId="3326B95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6.53%起</w:t>
            </w:r>
          </w:p>
        </w:tc>
        <w:tc>
          <w:tcPr>
            <w:tcW w:w="1688" w:type="dxa"/>
            <w:vAlign w:val="center"/>
          </w:tcPr>
          <w:p w14:paraId="644684D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李俊丽</w:t>
            </w:r>
          </w:p>
        </w:tc>
        <w:tc>
          <w:tcPr>
            <w:tcW w:w="2131" w:type="dxa"/>
            <w:vAlign w:val="center"/>
          </w:tcPr>
          <w:p w14:paraId="7E94904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15906861025</w:t>
            </w:r>
          </w:p>
        </w:tc>
      </w:tr>
      <w:tr w14:paraId="6803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248D074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宁波银行台州分行</w:t>
            </w:r>
          </w:p>
        </w:tc>
        <w:tc>
          <w:tcPr>
            <w:tcW w:w="1514" w:type="dxa"/>
            <w:vAlign w:val="center"/>
          </w:tcPr>
          <w:p w14:paraId="4A8C428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4.35%起</w:t>
            </w:r>
          </w:p>
        </w:tc>
        <w:tc>
          <w:tcPr>
            <w:tcW w:w="1688" w:type="dxa"/>
            <w:vAlign w:val="center"/>
          </w:tcPr>
          <w:p w14:paraId="0D209C0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戴莉丽</w:t>
            </w:r>
          </w:p>
        </w:tc>
        <w:tc>
          <w:tcPr>
            <w:tcW w:w="2131" w:type="dxa"/>
            <w:vAlign w:val="center"/>
          </w:tcPr>
          <w:p w14:paraId="6F2A7AE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13566627207</w:t>
            </w:r>
          </w:p>
        </w:tc>
      </w:tr>
      <w:tr w14:paraId="29FC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4B4CF5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金华银行台州分行</w:t>
            </w:r>
          </w:p>
        </w:tc>
        <w:tc>
          <w:tcPr>
            <w:tcW w:w="1514" w:type="dxa"/>
            <w:vAlign w:val="center"/>
          </w:tcPr>
          <w:p w14:paraId="3CB7FD8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073FF9A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金雪婷</w:t>
            </w:r>
          </w:p>
        </w:tc>
        <w:tc>
          <w:tcPr>
            <w:tcW w:w="2131" w:type="dxa"/>
            <w:vAlign w:val="center"/>
          </w:tcPr>
          <w:p w14:paraId="00C61C9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81886670</w:t>
            </w:r>
          </w:p>
          <w:p w14:paraId="4D7F121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15968661569</w:t>
            </w:r>
          </w:p>
        </w:tc>
      </w:tr>
      <w:tr w14:paraId="0468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5BCB4BF">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台州银行</w:t>
            </w:r>
          </w:p>
        </w:tc>
        <w:tc>
          <w:tcPr>
            <w:tcW w:w="1514" w:type="dxa"/>
            <w:vAlign w:val="center"/>
          </w:tcPr>
          <w:p w14:paraId="472C576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5.6%起</w:t>
            </w:r>
          </w:p>
        </w:tc>
        <w:tc>
          <w:tcPr>
            <w:tcW w:w="1688" w:type="dxa"/>
            <w:vAlign w:val="center"/>
          </w:tcPr>
          <w:p w14:paraId="07805D0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洪婷</w:t>
            </w:r>
          </w:p>
        </w:tc>
        <w:tc>
          <w:tcPr>
            <w:tcW w:w="2131" w:type="dxa"/>
            <w:vAlign w:val="center"/>
          </w:tcPr>
          <w:p w14:paraId="1081890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15858624999</w:t>
            </w:r>
          </w:p>
        </w:tc>
      </w:tr>
      <w:tr w14:paraId="1245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DA30953">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邮储银行台州分行</w:t>
            </w:r>
          </w:p>
        </w:tc>
        <w:tc>
          <w:tcPr>
            <w:tcW w:w="1514" w:type="dxa"/>
            <w:vAlign w:val="center"/>
          </w:tcPr>
          <w:p w14:paraId="18FC841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3.85%起</w:t>
            </w:r>
          </w:p>
        </w:tc>
        <w:tc>
          <w:tcPr>
            <w:tcW w:w="1688" w:type="dxa"/>
            <w:vAlign w:val="center"/>
          </w:tcPr>
          <w:p w14:paraId="5FD2FAF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董庆</w:t>
            </w:r>
          </w:p>
        </w:tc>
        <w:tc>
          <w:tcPr>
            <w:tcW w:w="2131" w:type="dxa"/>
            <w:vAlign w:val="center"/>
          </w:tcPr>
          <w:p w14:paraId="29939A7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81888982</w:t>
            </w:r>
          </w:p>
          <w:p w14:paraId="51C6427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18</w:t>
            </w:r>
            <w:r>
              <w:rPr>
                <w:rFonts w:hint="eastAsia"/>
                <w:color w:val="auto"/>
                <w:sz w:val="24"/>
                <w:highlight w:val="none"/>
                <w:lang w:eastAsia="zh-CN"/>
              </w:rPr>
              <w:t>65</w:t>
            </w:r>
            <w:r>
              <w:rPr>
                <w:rFonts w:hint="eastAsia"/>
                <w:color w:val="auto"/>
                <w:sz w:val="24"/>
                <w:highlight w:val="none"/>
              </w:rPr>
              <w:t>7683735</w:t>
            </w:r>
          </w:p>
        </w:tc>
      </w:tr>
    </w:tbl>
    <w:p w14:paraId="5650274A">
      <w:pPr>
        <w:pStyle w:val="56"/>
        <w:shd w:val="clear"/>
        <w:rPr>
          <w:rFonts w:cs="宋体"/>
          <w:color w:val="auto"/>
          <w:szCs w:val="24"/>
          <w:highlight w:val="none"/>
        </w:rPr>
      </w:pPr>
    </w:p>
    <w:p w14:paraId="0ADBD74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（五）合同履约保函联系方式</w:t>
      </w:r>
    </w:p>
    <w:tbl>
      <w:tblPr>
        <w:tblStyle w:val="4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14:paraId="223F98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14:paraId="400A586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保险公司名称</w:t>
            </w:r>
          </w:p>
        </w:tc>
        <w:tc>
          <w:tcPr>
            <w:tcW w:w="1988" w:type="dxa"/>
            <w:vAlign w:val="center"/>
          </w:tcPr>
          <w:p w14:paraId="1859F66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保费率</w:t>
            </w:r>
          </w:p>
        </w:tc>
        <w:tc>
          <w:tcPr>
            <w:tcW w:w="992" w:type="dxa"/>
            <w:vAlign w:val="center"/>
          </w:tcPr>
          <w:p w14:paraId="396DF4A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联系人</w:t>
            </w:r>
          </w:p>
        </w:tc>
        <w:tc>
          <w:tcPr>
            <w:tcW w:w="1468" w:type="dxa"/>
            <w:vAlign w:val="center"/>
          </w:tcPr>
          <w:p w14:paraId="3D47452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联系电话</w:t>
            </w:r>
          </w:p>
        </w:tc>
      </w:tr>
      <w:tr w14:paraId="2A970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1325DEE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中国人寿财产保险股份有限公司台州中心支公司</w:t>
            </w:r>
          </w:p>
        </w:tc>
        <w:tc>
          <w:tcPr>
            <w:tcW w:w="1988" w:type="dxa"/>
          </w:tcPr>
          <w:p w14:paraId="5E74557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19DCCAF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徐凌</w:t>
            </w:r>
          </w:p>
        </w:tc>
        <w:tc>
          <w:tcPr>
            <w:tcW w:w="1468" w:type="dxa"/>
          </w:tcPr>
          <w:p w14:paraId="1275FCE0">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13905168070</w:t>
            </w:r>
          </w:p>
        </w:tc>
      </w:tr>
      <w:tr w14:paraId="7174B7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2C414AA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永诚财产保险股份有限公司台州分公司</w:t>
            </w:r>
          </w:p>
        </w:tc>
        <w:tc>
          <w:tcPr>
            <w:tcW w:w="1988" w:type="dxa"/>
          </w:tcPr>
          <w:p w14:paraId="2F2BB92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年费率1%，最低保费1000元</w:t>
            </w:r>
          </w:p>
        </w:tc>
        <w:tc>
          <w:tcPr>
            <w:tcW w:w="992" w:type="dxa"/>
          </w:tcPr>
          <w:p w14:paraId="15BEE33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尹刚强</w:t>
            </w:r>
          </w:p>
        </w:tc>
        <w:tc>
          <w:tcPr>
            <w:tcW w:w="1468" w:type="dxa"/>
          </w:tcPr>
          <w:p w14:paraId="0309F016">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13750668184</w:t>
            </w:r>
          </w:p>
        </w:tc>
      </w:tr>
      <w:tr w14:paraId="5696B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60205782">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华泰财产保险有限公司台州中心支公司</w:t>
            </w:r>
          </w:p>
        </w:tc>
        <w:tc>
          <w:tcPr>
            <w:tcW w:w="1988" w:type="dxa"/>
          </w:tcPr>
          <w:p w14:paraId="69434A75">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年费率0.5%，最低保费1000元</w:t>
            </w:r>
          </w:p>
        </w:tc>
        <w:tc>
          <w:tcPr>
            <w:tcW w:w="992" w:type="dxa"/>
          </w:tcPr>
          <w:p w14:paraId="059C228B">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王灵芳</w:t>
            </w:r>
          </w:p>
        </w:tc>
        <w:tc>
          <w:tcPr>
            <w:tcW w:w="1468" w:type="dxa"/>
          </w:tcPr>
          <w:p w14:paraId="00C0EA54">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88869818 13586123199</w:t>
            </w:r>
          </w:p>
        </w:tc>
      </w:tr>
      <w:tr w14:paraId="6226D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61D4B697">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中国大地财产保险股份有限公司台州中心支公司</w:t>
            </w:r>
          </w:p>
        </w:tc>
        <w:tc>
          <w:tcPr>
            <w:tcW w:w="1988" w:type="dxa"/>
          </w:tcPr>
          <w:p w14:paraId="4F8C9A94">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年费率1.5%，最低保费1000元</w:t>
            </w:r>
          </w:p>
        </w:tc>
        <w:tc>
          <w:tcPr>
            <w:tcW w:w="992" w:type="dxa"/>
          </w:tcPr>
          <w:p w14:paraId="20346062">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徐小明</w:t>
            </w:r>
          </w:p>
        </w:tc>
        <w:tc>
          <w:tcPr>
            <w:tcW w:w="1468" w:type="dxa"/>
          </w:tcPr>
          <w:p w14:paraId="48D8A043">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88552788      13968603112</w:t>
            </w:r>
          </w:p>
        </w:tc>
      </w:tr>
      <w:tr w14:paraId="11DDF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13C974C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阳光保险台州中心支公司</w:t>
            </w:r>
          </w:p>
        </w:tc>
        <w:tc>
          <w:tcPr>
            <w:tcW w:w="1988" w:type="dxa"/>
          </w:tcPr>
          <w:p w14:paraId="2EC26509">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628CFCA9">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林高明</w:t>
            </w:r>
          </w:p>
        </w:tc>
        <w:tc>
          <w:tcPr>
            <w:tcW w:w="1468" w:type="dxa"/>
          </w:tcPr>
          <w:p w14:paraId="3E09038B">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15888682693</w:t>
            </w:r>
          </w:p>
        </w:tc>
      </w:tr>
      <w:tr w14:paraId="440E3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483A4F4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中华联合财产保险股份有限公司台州中心支公司</w:t>
            </w:r>
          </w:p>
        </w:tc>
        <w:tc>
          <w:tcPr>
            <w:tcW w:w="1988" w:type="dxa"/>
          </w:tcPr>
          <w:p w14:paraId="05AFBC3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年费率2%，最低保费500元</w:t>
            </w:r>
          </w:p>
        </w:tc>
        <w:tc>
          <w:tcPr>
            <w:tcW w:w="992" w:type="dxa"/>
          </w:tcPr>
          <w:p w14:paraId="6A9307D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王仙高</w:t>
            </w:r>
          </w:p>
        </w:tc>
        <w:tc>
          <w:tcPr>
            <w:tcW w:w="1468" w:type="dxa"/>
          </w:tcPr>
          <w:p w14:paraId="0BC2A0AE">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13858600221</w:t>
            </w:r>
          </w:p>
        </w:tc>
      </w:tr>
      <w:tr w14:paraId="4D82F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25A91D7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中国人民财产保险股份有限公司台州中心支公司</w:t>
            </w:r>
          </w:p>
        </w:tc>
        <w:tc>
          <w:tcPr>
            <w:tcW w:w="1988" w:type="dxa"/>
          </w:tcPr>
          <w:p w14:paraId="16D88AD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年费率0.3%，最低保费1000元</w:t>
            </w:r>
          </w:p>
        </w:tc>
        <w:tc>
          <w:tcPr>
            <w:tcW w:w="992" w:type="dxa"/>
          </w:tcPr>
          <w:p w14:paraId="1172C3C0">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王仙春</w:t>
            </w:r>
          </w:p>
        </w:tc>
        <w:tc>
          <w:tcPr>
            <w:tcW w:w="1468" w:type="dxa"/>
          </w:tcPr>
          <w:p w14:paraId="464FE91C">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13515769179</w:t>
            </w:r>
          </w:p>
        </w:tc>
      </w:tr>
      <w:tr w14:paraId="1C7EF9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44D0ED0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永安财产保险股份有限公司台州中心支公司</w:t>
            </w:r>
          </w:p>
        </w:tc>
        <w:tc>
          <w:tcPr>
            <w:tcW w:w="1988" w:type="dxa"/>
          </w:tcPr>
          <w:p w14:paraId="7E9E2C2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年费率0.3%，最低保费1000</w:t>
            </w:r>
          </w:p>
        </w:tc>
        <w:tc>
          <w:tcPr>
            <w:tcW w:w="992" w:type="dxa"/>
          </w:tcPr>
          <w:p w14:paraId="47B0B04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王春宇</w:t>
            </w:r>
          </w:p>
        </w:tc>
        <w:tc>
          <w:tcPr>
            <w:tcW w:w="1468" w:type="dxa"/>
          </w:tcPr>
          <w:p w14:paraId="180B54C8">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13676675331</w:t>
            </w:r>
          </w:p>
        </w:tc>
      </w:tr>
    </w:tbl>
    <w:p w14:paraId="733720F6">
      <w:pPr>
        <w:shd w:val="clear"/>
        <w:jc w:val="center"/>
        <w:rPr>
          <w:color w:val="auto"/>
          <w:sz w:val="32"/>
          <w:szCs w:val="32"/>
          <w:highlight w:val="none"/>
        </w:rPr>
      </w:pPr>
    </w:p>
    <w:p w14:paraId="1BD80A8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（六）预付款保函联系方式</w:t>
      </w:r>
    </w:p>
    <w:tbl>
      <w:tblPr>
        <w:tblStyle w:val="4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14:paraId="56307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14:paraId="18B3D28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保险公司名称</w:t>
            </w:r>
          </w:p>
        </w:tc>
        <w:tc>
          <w:tcPr>
            <w:tcW w:w="1988" w:type="dxa"/>
            <w:vAlign w:val="center"/>
          </w:tcPr>
          <w:p w14:paraId="5096718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保费率</w:t>
            </w:r>
          </w:p>
        </w:tc>
        <w:tc>
          <w:tcPr>
            <w:tcW w:w="992" w:type="dxa"/>
            <w:vAlign w:val="center"/>
          </w:tcPr>
          <w:p w14:paraId="3F770D15">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联系人</w:t>
            </w:r>
          </w:p>
        </w:tc>
        <w:tc>
          <w:tcPr>
            <w:tcW w:w="1468" w:type="dxa"/>
            <w:vAlign w:val="center"/>
          </w:tcPr>
          <w:p w14:paraId="0FB6B52B">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联系电话</w:t>
            </w:r>
          </w:p>
        </w:tc>
      </w:tr>
      <w:tr w14:paraId="08FD8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27CAB2D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中国人寿财产保险股份有限公司台州中心支公司</w:t>
            </w:r>
          </w:p>
        </w:tc>
        <w:tc>
          <w:tcPr>
            <w:tcW w:w="1988" w:type="dxa"/>
          </w:tcPr>
          <w:p w14:paraId="684DBFF5">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年费率3%，最低保费500元</w:t>
            </w:r>
          </w:p>
        </w:tc>
        <w:tc>
          <w:tcPr>
            <w:tcW w:w="992" w:type="dxa"/>
          </w:tcPr>
          <w:p w14:paraId="46ACF93B">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徐凌</w:t>
            </w:r>
          </w:p>
        </w:tc>
        <w:tc>
          <w:tcPr>
            <w:tcW w:w="1468" w:type="dxa"/>
          </w:tcPr>
          <w:p w14:paraId="6F80779C">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13905168070</w:t>
            </w:r>
          </w:p>
        </w:tc>
      </w:tr>
      <w:tr w14:paraId="77D301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3BE449E7">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阳光保险台州中心支公司</w:t>
            </w:r>
          </w:p>
        </w:tc>
        <w:tc>
          <w:tcPr>
            <w:tcW w:w="1988" w:type="dxa"/>
          </w:tcPr>
          <w:p w14:paraId="23EAFA23">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3E39C739">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林高明</w:t>
            </w:r>
          </w:p>
        </w:tc>
        <w:tc>
          <w:tcPr>
            <w:tcW w:w="1468" w:type="dxa"/>
          </w:tcPr>
          <w:p w14:paraId="38BA29D6">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15888682693</w:t>
            </w:r>
          </w:p>
        </w:tc>
      </w:tr>
      <w:tr w14:paraId="21C35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11C9AD60">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天安财产保险股份有限公司台州中心支公司</w:t>
            </w:r>
          </w:p>
        </w:tc>
        <w:tc>
          <w:tcPr>
            <w:tcW w:w="1988" w:type="dxa"/>
          </w:tcPr>
          <w:p w14:paraId="0BB0A401">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年费率1%-2%，最低保费500元</w:t>
            </w:r>
          </w:p>
        </w:tc>
        <w:tc>
          <w:tcPr>
            <w:tcW w:w="992" w:type="dxa"/>
          </w:tcPr>
          <w:p w14:paraId="52D01C9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罗赛</w:t>
            </w:r>
          </w:p>
        </w:tc>
        <w:tc>
          <w:tcPr>
            <w:tcW w:w="1468" w:type="dxa"/>
          </w:tcPr>
          <w:p w14:paraId="69AD546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13736605643</w:t>
            </w:r>
          </w:p>
        </w:tc>
      </w:tr>
    </w:tbl>
    <w:p w14:paraId="34669BB2">
      <w:pPr>
        <w:pStyle w:val="56"/>
        <w:shd w:val="clear"/>
        <w:rPr>
          <w:rFonts w:cs="宋体"/>
          <w:color w:val="auto"/>
          <w:szCs w:val="24"/>
          <w:highlight w:val="none"/>
        </w:rPr>
      </w:pPr>
    </w:p>
    <w:p w14:paraId="7E79C8B9">
      <w:pPr>
        <w:pStyle w:val="56"/>
        <w:shd w:val="clear"/>
        <w:rPr>
          <w:rFonts w:cs="宋体"/>
          <w:color w:val="auto"/>
          <w:szCs w:val="24"/>
          <w:highlight w:val="none"/>
        </w:rPr>
      </w:pPr>
    </w:p>
    <w:p w14:paraId="060E6A37">
      <w:pPr>
        <w:pStyle w:val="56"/>
        <w:shd w:val="clear"/>
        <w:rPr>
          <w:rFonts w:cs="宋体"/>
          <w:color w:val="auto"/>
          <w:szCs w:val="24"/>
          <w:highlight w:val="none"/>
        </w:rPr>
      </w:pPr>
    </w:p>
    <w:p w14:paraId="257E5CFC">
      <w:pPr>
        <w:pStyle w:val="56"/>
        <w:shd w:val="clear"/>
        <w:rPr>
          <w:rFonts w:cs="宋体"/>
          <w:color w:val="auto"/>
          <w:szCs w:val="24"/>
          <w:highlight w:val="none"/>
        </w:rPr>
      </w:pPr>
    </w:p>
    <w:p w14:paraId="2A64F9AC">
      <w:pPr>
        <w:pStyle w:val="56"/>
        <w:shd w:val="clear"/>
        <w:rPr>
          <w:rFonts w:cs="宋体"/>
          <w:color w:val="auto"/>
          <w:szCs w:val="24"/>
          <w:highlight w:val="none"/>
        </w:rPr>
      </w:pPr>
    </w:p>
    <w:p w14:paraId="27FABA9C">
      <w:pPr>
        <w:pStyle w:val="56"/>
        <w:shd w:val="clear"/>
        <w:rPr>
          <w:rFonts w:cs="宋体"/>
          <w:color w:val="auto"/>
          <w:szCs w:val="24"/>
          <w:highlight w:val="none"/>
        </w:rPr>
      </w:pPr>
    </w:p>
    <w:p w14:paraId="516EA176">
      <w:pPr>
        <w:pStyle w:val="56"/>
        <w:shd w:val="clear"/>
        <w:rPr>
          <w:rFonts w:cs="宋体"/>
          <w:color w:val="auto"/>
          <w:szCs w:val="24"/>
          <w:highlight w:val="none"/>
        </w:rPr>
      </w:pPr>
    </w:p>
    <w:p w14:paraId="5F8B2082">
      <w:pPr>
        <w:pStyle w:val="56"/>
        <w:shd w:val="clear"/>
        <w:rPr>
          <w:rFonts w:cs="宋体"/>
          <w:color w:val="auto"/>
          <w:szCs w:val="24"/>
          <w:highlight w:val="none"/>
        </w:rPr>
      </w:pPr>
    </w:p>
    <w:p w14:paraId="7DD634BA">
      <w:pPr>
        <w:pStyle w:val="56"/>
        <w:shd w:val="clear"/>
        <w:rPr>
          <w:rFonts w:cs="宋体"/>
          <w:color w:val="auto"/>
          <w:szCs w:val="24"/>
          <w:highlight w:val="none"/>
        </w:rPr>
      </w:pPr>
    </w:p>
    <w:p w14:paraId="0212CA51">
      <w:pPr>
        <w:pStyle w:val="56"/>
        <w:shd w:val="clear"/>
        <w:rPr>
          <w:rFonts w:cs="宋体"/>
          <w:color w:val="auto"/>
          <w:szCs w:val="24"/>
          <w:highlight w:val="none"/>
        </w:rPr>
      </w:pPr>
    </w:p>
    <w:p w14:paraId="1F488877">
      <w:pPr>
        <w:pStyle w:val="56"/>
        <w:shd w:val="clear"/>
        <w:rPr>
          <w:rFonts w:cs="宋体"/>
          <w:color w:val="auto"/>
          <w:szCs w:val="24"/>
          <w:highlight w:val="none"/>
        </w:rPr>
      </w:pPr>
    </w:p>
    <w:p w14:paraId="13274B95">
      <w:pPr>
        <w:pStyle w:val="56"/>
        <w:shd w:val="clear"/>
        <w:rPr>
          <w:rFonts w:cs="宋体"/>
          <w:color w:val="auto"/>
          <w:szCs w:val="24"/>
          <w:highlight w:val="none"/>
        </w:rPr>
      </w:pPr>
    </w:p>
    <w:p w14:paraId="557793ED">
      <w:pPr>
        <w:pStyle w:val="56"/>
        <w:shd w:val="clear"/>
        <w:rPr>
          <w:rFonts w:cs="宋体"/>
          <w:color w:val="auto"/>
          <w:szCs w:val="24"/>
          <w:highlight w:val="none"/>
        </w:rPr>
      </w:pPr>
    </w:p>
    <w:p w14:paraId="367747C7">
      <w:pPr>
        <w:pStyle w:val="56"/>
        <w:shd w:val="clear"/>
        <w:rPr>
          <w:rFonts w:cs="宋体"/>
          <w:color w:val="auto"/>
          <w:szCs w:val="24"/>
          <w:highlight w:val="none"/>
        </w:rPr>
      </w:pPr>
    </w:p>
    <w:p w14:paraId="1E3B08CD">
      <w:pPr>
        <w:pStyle w:val="56"/>
        <w:shd w:val="clear"/>
        <w:rPr>
          <w:rFonts w:cs="宋体"/>
          <w:color w:val="auto"/>
          <w:szCs w:val="24"/>
          <w:highlight w:val="none"/>
        </w:rPr>
      </w:pPr>
    </w:p>
    <w:p w14:paraId="1D062543">
      <w:pPr>
        <w:pStyle w:val="56"/>
        <w:shd w:val="clear"/>
        <w:rPr>
          <w:rFonts w:cs="宋体"/>
          <w:color w:val="auto"/>
          <w:szCs w:val="24"/>
          <w:highlight w:val="none"/>
        </w:rPr>
      </w:pPr>
    </w:p>
    <w:p w14:paraId="24BD4637">
      <w:pPr>
        <w:pStyle w:val="56"/>
        <w:shd w:val="clear"/>
        <w:rPr>
          <w:rFonts w:cs="宋体"/>
          <w:color w:val="auto"/>
          <w:szCs w:val="24"/>
          <w:highlight w:val="none"/>
        </w:rPr>
      </w:pPr>
    </w:p>
    <w:p w14:paraId="495B210D">
      <w:pPr>
        <w:pStyle w:val="56"/>
        <w:shd w:val="clear"/>
        <w:rPr>
          <w:rFonts w:cs="宋体"/>
          <w:color w:val="auto"/>
          <w:szCs w:val="24"/>
          <w:highlight w:val="none"/>
        </w:rPr>
      </w:pPr>
    </w:p>
    <w:p w14:paraId="6779A86F">
      <w:pPr>
        <w:pStyle w:val="56"/>
        <w:shd w:val="clear"/>
        <w:rPr>
          <w:rFonts w:cs="宋体"/>
          <w:color w:val="auto"/>
          <w:szCs w:val="24"/>
          <w:highlight w:val="none"/>
        </w:rPr>
      </w:pPr>
    </w:p>
    <w:p w14:paraId="2B9BE5AA">
      <w:pPr>
        <w:pStyle w:val="56"/>
        <w:shd w:val="clear"/>
        <w:rPr>
          <w:rFonts w:cs="宋体"/>
          <w:color w:val="auto"/>
          <w:szCs w:val="24"/>
          <w:highlight w:val="none"/>
        </w:rPr>
      </w:pPr>
    </w:p>
    <w:p w14:paraId="48A83BFB">
      <w:pPr>
        <w:pStyle w:val="56"/>
        <w:shd w:val="clear"/>
        <w:rPr>
          <w:rFonts w:cs="宋体"/>
          <w:color w:val="auto"/>
          <w:szCs w:val="24"/>
          <w:highlight w:val="none"/>
        </w:rPr>
      </w:pPr>
    </w:p>
    <w:p w14:paraId="6EE2E8D0">
      <w:pPr>
        <w:pStyle w:val="56"/>
        <w:shd w:val="clear"/>
        <w:rPr>
          <w:rFonts w:cs="宋体"/>
          <w:color w:val="auto"/>
          <w:szCs w:val="24"/>
          <w:highlight w:val="none"/>
        </w:rPr>
      </w:pPr>
    </w:p>
    <w:p w14:paraId="151F78B3">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14:paraId="50D3563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14:paraId="1DDF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61AE124">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241C655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    目</w:t>
            </w:r>
          </w:p>
        </w:tc>
        <w:tc>
          <w:tcPr>
            <w:tcW w:w="6467" w:type="dxa"/>
            <w:tcBorders>
              <w:top w:val="single" w:color="auto" w:sz="4" w:space="0"/>
              <w:left w:val="single" w:color="auto" w:sz="4" w:space="0"/>
              <w:bottom w:val="single" w:color="auto" w:sz="4" w:space="0"/>
              <w:right w:val="single" w:color="auto" w:sz="4" w:space="0"/>
            </w:tcBorders>
            <w:vAlign w:val="center"/>
          </w:tcPr>
          <w:p w14:paraId="7802F6C2">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                 容</w:t>
            </w:r>
          </w:p>
        </w:tc>
      </w:tr>
      <w:tr w14:paraId="6B7F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FDA537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14:paraId="26AAC42D">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14:paraId="696D8F82">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14:paraId="14A7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C425A3E">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14:paraId="621475F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14:paraId="3F9440D3">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不组织。</w:t>
            </w:r>
          </w:p>
        </w:tc>
      </w:tr>
      <w:tr w14:paraId="3E4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E9AA9D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210" w:type="dxa"/>
            <w:tcBorders>
              <w:top w:val="single" w:color="auto" w:sz="4" w:space="0"/>
              <w:left w:val="single" w:color="auto" w:sz="4" w:space="0"/>
              <w:bottom w:val="single" w:color="auto" w:sz="4" w:space="0"/>
              <w:right w:val="single" w:color="auto" w:sz="4" w:space="0"/>
            </w:tcBorders>
            <w:vAlign w:val="center"/>
          </w:tcPr>
          <w:p w14:paraId="1A572D2A">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14:paraId="25ABEAD8">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14:paraId="26F1E667">
            <w:pPr>
              <w:keepNext w:val="0"/>
              <w:keepLines w:val="0"/>
              <w:suppressLineNumbers w:val="0"/>
              <w:shd w:val="clear"/>
              <w:spacing w:before="0" w:beforeAutospacing="0" w:after="0" w:afterAutospacing="0" w:line="360" w:lineRule="auto"/>
              <w:ind w:left="0" w:right="0"/>
              <w:rPr>
                <w:rFonts w:hint="default"/>
                <w:b/>
                <w:bCs/>
                <w:color w:val="auto"/>
                <w:szCs w:val="21"/>
                <w:highlight w:val="none"/>
                <w:u w:val="single"/>
              </w:rPr>
            </w:pPr>
            <w:r>
              <w:rPr>
                <w:rFonts w:hint="eastAsia"/>
                <w:b/>
                <w:bCs/>
                <w:color w:val="auto"/>
                <w:szCs w:val="21"/>
                <w:highlight w:val="none"/>
                <w:u w:val="single"/>
              </w:rPr>
              <w:t>截止时间：北京时间</w:t>
            </w:r>
            <w:r>
              <w:rPr>
                <w:rFonts w:hint="eastAsia"/>
                <w:b/>
                <w:bCs/>
                <w:color w:val="auto"/>
                <w:szCs w:val="21"/>
                <w:highlight w:val="none"/>
                <w:u w:val="single"/>
                <w:lang w:eastAsia="zh-CN"/>
              </w:rPr>
              <w:t>2025</w:t>
            </w:r>
            <w:r>
              <w:rPr>
                <w:rFonts w:hint="eastAsia"/>
                <w:b/>
                <w:bCs/>
                <w:color w:val="auto"/>
                <w:szCs w:val="21"/>
                <w:highlight w:val="none"/>
                <w:u w:val="single"/>
              </w:rPr>
              <w:t>年</w:t>
            </w:r>
            <w:r>
              <w:rPr>
                <w:rFonts w:hint="eastAsia"/>
                <w:b/>
                <w:bCs/>
                <w:color w:val="auto"/>
                <w:szCs w:val="21"/>
                <w:highlight w:val="none"/>
                <w:u w:val="single"/>
                <w:lang w:val="en-US" w:eastAsia="zh-CN"/>
              </w:rPr>
              <w:t>7</w:t>
            </w:r>
            <w:r>
              <w:rPr>
                <w:rFonts w:hint="eastAsia"/>
                <w:b/>
                <w:bCs/>
                <w:color w:val="auto"/>
                <w:szCs w:val="21"/>
                <w:highlight w:val="none"/>
                <w:u w:val="single"/>
              </w:rPr>
              <w:t>月</w:t>
            </w:r>
            <w:r>
              <w:rPr>
                <w:rFonts w:hint="eastAsia"/>
                <w:b/>
                <w:bCs/>
                <w:color w:val="auto"/>
                <w:szCs w:val="21"/>
                <w:highlight w:val="none"/>
                <w:u w:val="single"/>
                <w:lang w:val="en-US" w:eastAsia="zh-CN"/>
              </w:rPr>
              <w:t>22</w:t>
            </w:r>
            <w:r>
              <w:rPr>
                <w:rFonts w:hint="eastAsia"/>
                <w:b/>
                <w:bCs/>
                <w:color w:val="auto"/>
                <w:szCs w:val="21"/>
                <w:highlight w:val="none"/>
                <w:u w:val="single"/>
              </w:rPr>
              <w:t>日09:00</w:t>
            </w:r>
          </w:p>
          <w:p w14:paraId="5B16FE64">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14:paraId="6F2DDF0F">
            <w:pPr>
              <w:pStyle w:val="22"/>
              <w:keepNext w:val="0"/>
              <w:keepLines w:val="0"/>
              <w:suppressLineNumbers w:val="0"/>
              <w:shd w:val="clear"/>
              <w:spacing w:before="0" w:beforeAutospacing="0" w:after="0" w:afterAutospacing="0" w:line="360" w:lineRule="auto"/>
              <w:ind w:left="0" w:right="0"/>
              <w:rPr>
                <w:rFonts w:hint="default"/>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14:paraId="3A99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F51025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210" w:type="dxa"/>
            <w:tcBorders>
              <w:top w:val="single" w:color="auto" w:sz="4" w:space="0"/>
              <w:left w:val="single" w:color="auto" w:sz="4" w:space="0"/>
              <w:bottom w:val="single" w:color="auto" w:sz="4" w:space="0"/>
              <w:right w:val="single" w:color="auto" w:sz="4" w:space="0"/>
            </w:tcBorders>
            <w:vAlign w:val="center"/>
          </w:tcPr>
          <w:p w14:paraId="1281F3C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14:paraId="00044ADD">
            <w:pPr>
              <w:pStyle w:val="59"/>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以电子邮件的方式发送至项目负责人邮箱451350540@qq.com，以收到时间为准，逾期或不符合规定的投标文件恕不接受。</w:t>
            </w:r>
          </w:p>
          <w:p w14:paraId="3852A9A9">
            <w:pPr>
              <w:pStyle w:val="59"/>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451350540@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15D3B13">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提示：</w:t>
            </w:r>
          </w:p>
          <w:p w14:paraId="5E9A5AA0">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14:paraId="19DA7667">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14:paraId="7F565F1D">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14:paraId="7C065D32">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14:paraId="72DB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F953C8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14:paraId="54C1B70E">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14:paraId="16DB11BD">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14:paraId="5C15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C5FFE9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14:paraId="475C83C6">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14:paraId="06DF4E17">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14:paraId="474C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73C22DB">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14:paraId="7AA52BE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14:paraId="1E537C0D">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时间：北京时间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  09:00</w:t>
            </w:r>
          </w:p>
          <w:p w14:paraId="2D8D6085">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地点：政府采购云平台（www.zcygov.cn）</w:t>
            </w:r>
          </w:p>
        </w:tc>
      </w:tr>
      <w:tr w14:paraId="4A13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E800EB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14:paraId="19C0882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14:paraId="3A8C88F6">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248B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55E501A">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6276B5F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履约保证金</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7973A4BE">
            <w:pPr>
              <w:pStyle w:val="29"/>
              <w:keepNext w:val="0"/>
              <w:keepLines w:val="0"/>
              <w:suppressLineNumbers w:val="0"/>
              <w:shd w:val="clear"/>
              <w:spacing w:before="0" w:beforeAutospacing="0" w:after="0" w:afterAutospacing="0"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无</w:t>
            </w:r>
          </w:p>
        </w:tc>
      </w:tr>
      <w:tr w14:paraId="1E05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B9332ED">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210" w:type="dxa"/>
            <w:tcBorders>
              <w:top w:val="single" w:color="auto" w:sz="4" w:space="0"/>
              <w:left w:val="single" w:color="auto" w:sz="4" w:space="0"/>
              <w:bottom w:val="single" w:color="auto" w:sz="4" w:space="0"/>
              <w:right w:val="single" w:color="auto" w:sz="4" w:space="0"/>
            </w:tcBorders>
            <w:vAlign w:val="center"/>
          </w:tcPr>
          <w:p w14:paraId="7F6DD0E8">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14:paraId="54ADEA20">
            <w:pPr>
              <w:keepNext w:val="0"/>
              <w:keepLines w:val="0"/>
              <w:suppressLineNumbers w:val="0"/>
              <w:shd w:val="clear"/>
              <w:spacing w:before="0" w:beforeAutospacing="0" w:after="0" w:afterAutospacing="0" w:line="360" w:lineRule="auto"/>
              <w:ind w:left="0" w:right="0"/>
              <w:rPr>
                <w:rFonts w:hint="default"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14:paraId="434D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3A8D851">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210" w:type="dxa"/>
            <w:tcBorders>
              <w:top w:val="single" w:color="auto" w:sz="4" w:space="0"/>
              <w:left w:val="single" w:color="auto" w:sz="4" w:space="0"/>
              <w:bottom w:val="single" w:color="auto" w:sz="4" w:space="0"/>
              <w:right w:val="single" w:color="auto" w:sz="4" w:space="0"/>
            </w:tcBorders>
            <w:vAlign w:val="center"/>
          </w:tcPr>
          <w:p w14:paraId="39F1F2EE">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14:paraId="4F397DBB">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14:paraId="38AD49DC">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14:paraId="067D376B">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收 件 人：小施（</w:t>
            </w:r>
            <w:r>
              <w:rPr>
                <w:rFonts w:hint="eastAsia" w:ascii="宋体" w:hAnsi="宋体" w:cs="宋体"/>
                <w:color w:val="auto"/>
                <w:szCs w:val="21"/>
                <w:highlight w:val="none"/>
                <w:lang w:eastAsia="zh-CN"/>
              </w:rPr>
              <w:t>台州市建航工程管理有限公司</w:t>
            </w:r>
            <w:r>
              <w:rPr>
                <w:rFonts w:hint="eastAsia" w:ascii="宋体" w:hAnsi="宋体" w:cs="宋体"/>
                <w:color w:val="auto"/>
                <w:szCs w:val="21"/>
                <w:highlight w:val="none"/>
              </w:rPr>
              <w:t>）</w:t>
            </w:r>
          </w:p>
          <w:p w14:paraId="79CCC1CB">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联系电话：0576-88810077</w:t>
            </w:r>
          </w:p>
          <w:p w14:paraId="58FE0DC8">
            <w:pPr>
              <w:pStyle w:val="22"/>
              <w:keepNext w:val="0"/>
              <w:keepLines w:val="0"/>
              <w:suppressLineNumbers w:val="0"/>
              <w:shd w:val="clear"/>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w:t>
            </w:r>
            <w:r>
              <w:rPr>
                <w:rFonts w:hint="eastAsia" w:ascii="宋体" w:hAnsi="宋体" w:cs="宋体"/>
                <w:color w:val="auto"/>
                <w:sz w:val="21"/>
                <w:szCs w:val="21"/>
                <w:highlight w:val="none"/>
                <w:lang w:eastAsia="zh-CN"/>
              </w:rPr>
              <w:t>65</w:t>
            </w:r>
            <w:r>
              <w:rPr>
                <w:rFonts w:hint="eastAsia" w:ascii="宋体" w:hAnsi="宋体" w:cs="宋体"/>
                <w:color w:val="auto"/>
                <w:sz w:val="21"/>
                <w:szCs w:val="21"/>
                <w:highlight w:val="none"/>
              </w:rPr>
              <w:t>号天和大厦B幢1104。</w:t>
            </w:r>
          </w:p>
          <w:p w14:paraId="2CB7C8B4">
            <w:pPr>
              <w:pStyle w:val="22"/>
              <w:keepNext w:val="0"/>
              <w:keepLines w:val="0"/>
              <w:suppressLineNumbers w:val="0"/>
              <w:shd w:val="clear"/>
              <w:spacing w:before="0" w:beforeAutospacing="0" w:after="0" w:afterAutospacing="0" w:line="360" w:lineRule="auto"/>
              <w:ind w:left="0" w:right="0"/>
              <w:rPr>
                <w:rFonts w:hint="default"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14:paraId="1B8B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60A3F61">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p>
        </w:tc>
        <w:tc>
          <w:tcPr>
            <w:tcW w:w="2210" w:type="dxa"/>
            <w:tcBorders>
              <w:top w:val="single" w:color="auto" w:sz="4" w:space="0"/>
              <w:left w:val="single" w:color="auto" w:sz="4" w:space="0"/>
              <w:bottom w:val="single" w:color="auto" w:sz="4" w:space="0"/>
              <w:right w:val="single" w:color="auto" w:sz="4" w:space="0"/>
            </w:tcBorders>
            <w:vAlign w:val="center"/>
          </w:tcPr>
          <w:p w14:paraId="064E26B2">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14:paraId="0A063F9F">
            <w:pPr>
              <w:keepNext w:val="0"/>
              <w:keepLines w:val="0"/>
              <w:suppressLineNumbers w:val="0"/>
              <w:shd w:val="clear"/>
              <w:spacing w:before="0" w:beforeAutospacing="0" w:after="0" w:afterAutospacing="0" w:line="360" w:lineRule="auto"/>
              <w:ind w:left="0" w:right="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14:paraId="618A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16BCB0A">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w:t>
            </w:r>
          </w:p>
        </w:tc>
        <w:tc>
          <w:tcPr>
            <w:tcW w:w="2210" w:type="dxa"/>
            <w:tcBorders>
              <w:top w:val="single" w:color="auto" w:sz="4" w:space="0"/>
              <w:left w:val="single" w:color="auto" w:sz="4" w:space="0"/>
              <w:bottom w:val="single" w:color="auto" w:sz="4" w:space="0"/>
              <w:right w:val="single" w:color="auto" w:sz="4" w:space="0"/>
            </w:tcBorders>
            <w:vAlign w:val="center"/>
          </w:tcPr>
          <w:p w14:paraId="2F37E044">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解释权</w:t>
            </w:r>
          </w:p>
        </w:tc>
        <w:tc>
          <w:tcPr>
            <w:tcW w:w="6467" w:type="dxa"/>
            <w:tcBorders>
              <w:top w:val="single" w:color="auto" w:sz="4" w:space="0"/>
              <w:left w:val="single" w:color="auto" w:sz="4" w:space="0"/>
              <w:bottom w:val="single" w:color="auto" w:sz="4" w:space="0"/>
              <w:right w:val="single" w:color="auto" w:sz="4" w:space="0"/>
            </w:tcBorders>
            <w:vAlign w:val="center"/>
          </w:tcPr>
          <w:p w14:paraId="7087DF96">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14:paraId="77855A94">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55B4462B">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5528F0A5">
      <w:pPr>
        <w:pStyle w:val="40"/>
        <w:shd w:val="clear"/>
        <w:ind w:firstLine="480"/>
        <w:rPr>
          <w:color w:val="auto"/>
          <w:highlight w:val="none"/>
        </w:rPr>
      </w:pPr>
    </w:p>
    <w:p w14:paraId="6E774D99">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4664BCBC">
      <w:pPr>
        <w:pStyle w:val="40"/>
        <w:shd w:val="clear"/>
        <w:ind w:firstLine="480"/>
        <w:rPr>
          <w:color w:val="auto"/>
          <w:highlight w:val="none"/>
        </w:rPr>
      </w:pPr>
    </w:p>
    <w:p w14:paraId="7B4FDF8D">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14:paraId="20CE16B7">
      <w:pPr>
        <w:shd w:val="clea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14:paraId="5BDB0E2D">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14:paraId="6C730B1A">
      <w:pPr>
        <w:shd w:val="clea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14:paraId="5495BAEF">
      <w:pPr>
        <w:pStyle w:val="5"/>
        <w:keepNext w:val="0"/>
        <w:keepLines w:val="0"/>
        <w:numPr>
          <w:ilvl w:val="0"/>
          <w:numId w:val="13"/>
        </w:numPr>
        <w:shd w:val="clea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14:paraId="7F3E090B">
      <w:pPr>
        <w:pStyle w:val="5"/>
        <w:keepNext w:val="0"/>
        <w:keepLines w:val="0"/>
        <w:numPr>
          <w:ilvl w:val="0"/>
          <w:numId w:val="13"/>
        </w:numPr>
        <w:shd w:val="clea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14:paraId="1B8E6868">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14:paraId="28D0F5F2">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14:paraId="6A48CB52">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14:paraId="7BFFFB0A">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14:paraId="44B11CD1">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14:paraId="156E8361">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14:paraId="2DA35C27">
      <w:pPr>
        <w:shd w:val="clea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14:paraId="101F824B">
      <w:pPr>
        <w:numPr>
          <w:ilvl w:val="0"/>
          <w:numId w:val="14"/>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14:paraId="6AEBCFC8">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2.招标代理服务费：</w:t>
      </w:r>
      <w:r>
        <w:rPr>
          <w:rFonts w:hint="eastAsia" w:hAnsi="宋体" w:cs="宋体"/>
          <w:color w:val="auto"/>
          <w:szCs w:val="21"/>
          <w:highlight w:val="none"/>
        </w:rPr>
        <w:t>按照中标通知书确定的中标金额，</w:t>
      </w:r>
      <w:r>
        <w:rPr>
          <w:rFonts w:hint="eastAsia" w:hAnsi="宋体" w:cs="宋体"/>
          <w:color w:val="auto"/>
          <w:szCs w:val="21"/>
          <w:highlight w:val="none"/>
          <w:lang w:val="en-US" w:eastAsia="zh-CN"/>
        </w:rPr>
        <w:t>按下附表收费标准，采用差额累进算法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p>
    <w:p w14:paraId="3B23FA47">
      <w:pPr>
        <w:shd w:val="clea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0243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67CE60CF">
            <w:pPr>
              <w:keepNext w:val="0"/>
              <w:keepLines w:val="0"/>
              <w:suppressLineNumbers w:val="0"/>
              <w:shd w:val="clear"/>
              <w:spacing w:before="0" w:beforeAutospacing="0" w:after="0" w:afterAutospacing="0"/>
              <w:ind w:left="0" w:right="0" w:firstLine="1470" w:firstLineChars="700"/>
              <w:rPr>
                <w:rFonts w:hint="default" w:asciiTheme="minorEastAsia" w:hAnsiTheme="minorEastAsia" w:eastAsiaTheme="minorEastAsia" w:cstheme="minorEastAsia"/>
                <w:b/>
                <w:color w:val="auto"/>
                <w:szCs w:val="21"/>
                <w:highlight w:val="none"/>
              </w:rPr>
            </w:pPr>
            <w:r>
              <w:rPr>
                <w:rFonts w:hint="default"/>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p7fYAAAACAEAAA8AAAAAAAAAAQAgAAAAIgAAAGRycy9kb3du&#10;cmV2LnhtbFBLAQIUABQAAAAIAIdO4kBNKVML/wEAANQDAAAOAAAAAAAAAAEAIAAAACcBAABkcnMv&#10;ZTJvRG9jLnhtbFBLBQYAAAAABgAGAFkBAACYBQAAAAA=&#10;">
                      <v:fill on="f" focussize="0,0"/>
                      <v:stroke weight="0.5pt" color="#000000 [3200]" miterlimit="8" joinstyle="miter"/>
                      <v:imagedata o:title=""/>
                      <o:lock v:ext="edit" aspectratio="f"/>
                    </v:line>
                  </w:pict>
                </mc:Fallback>
              </mc:AlternateContent>
            </w:r>
            <w:r>
              <w:rPr>
                <w:rFonts w:hint="default"/>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nLOXVAAAACAEAAA8AAAAAAAAAAQAgAAAAIgAAAGRycy9kb3ducmV2LnhtbFBLAQIU&#10;ABQAAAAIAIdO4kA4MV+S9gEAAMA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14:paraId="6B58D3E2">
            <w:pPr>
              <w:keepNext w:val="0"/>
              <w:keepLines w:val="0"/>
              <w:suppressLineNumbers w:val="0"/>
              <w:shd w:val="clear"/>
              <w:spacing w:before="0" w:beforeAutospacing="0" w:after="0" w:afterAutospacing="0"/>
              <w:ind w:left="0" w:right="0" w:firstLine="1054" w:firstLineChars="5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14:paraId="569FA1CC">
            <w:pPr>
              <w:keepNext w:val="0"/>
              <w:keepLines w:val="0"/>
              <w:suppressLineNumbers w:val="0"/>
              <w:shd w:val="clear"/>
              <w:spacing w:before="0" w:beforeAutospacing="0" w:after="0" w:afterAutospacing="0"/>
              <w:ind w:left="0" w:right="0" w:firstLine="1476" w:firstLineChars="7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14:paraId="373B9E29">
            <w:pPr>
              <w:keepNext w:val="0"/>
              <w:keepLines w:val="0"/>
              <w:suppressLineNumbers w:val="0"/>
              <w:shd w:val="clear"/>
              <w:spacing w:before="0" w:beforeAutospacing="0" w:after="0" w:afterAutospacing="0"/>
              <w:ind w:left="0" w:right="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14:paraId="3F3CACAB">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14:paraId="3A34987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14:paraId="770F084E">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14:paraId="331F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F6FC66B">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14:paraId="3015E2F9">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556A4158">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5CE8D08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0F0B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65C5B3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14:paraId="3889E5EE">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14:paraId="4F301CAC">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473707D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14:paraId="1F56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D56F42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14:paraId="4E5FFF5F">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5D3D34D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14:paraId="2B56A15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14:paraId="43CC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F62E39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14:paraId="25018FA9">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14:paraId="35701A16">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4FF35F9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14:paraId="6388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16274B1">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14:paraId="1D676B99">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7244EED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14:paraId="0AE70EEA">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14:paraId="4120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F6FCFC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14:paraId="40059121">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575FFB8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3366D1AE">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14:paraId="2B3A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58EE589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14:paraId="6FF9BEFA">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415001D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3EC804A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14:paraId="6B87CEBF">
      <w:pPr>
        <w:shd w:val="clear"/>
        <w:snapToGrid w:val="0"/>
        <w:spacing w:line="360" w:lineRule="auto"/>
        <w:ind w:firstLine="420" w:firstLineChars="200"/>
        <w:rPr>
          <w:rFonts w:hAnsi="宋体" w:cs="宋体"/>
          <w:color w:val="auto"/>
          <w:szCs w:val="21"/>
          <w:highlight w:val="none"/>
        </w:rPr>
      </w:pPr>
    </w:p>
    <w:p w14:paraId="3041CB8A">
      <w:pPr>
        <w:pStyle w:val="28"/>
        <w:shd w:val="clear"/>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14:paraId="1FDF4157">
      <w:pPr>
        <w:pStyle w:val="28"/>
        <w:numPr>
          <w:ilvl w:val="0"/>
          <w:numId w:val="15"/>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14:paraId="27259719">
      <w:pPr>
        <w:numPr>
          <w:ilvl w:val="0"/>
          <w:numId w:val="15"/>
        </w:numPr>
        <w:shd w:val="clea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14:paraId="66EE0AF4">
      <w:pPr>
        <w:pStyle w:val="62"/>
        <w:numPr>
          <w:ilvl w:val="0"/>
          <w:numId w:val="15"/>
        </w:numPr>
        <w:shd w:val="clea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704A49">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1EAA0B1F">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14:paraId="5717E5A3">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14:paraId="50B2F44E">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14:paraId="691384D4">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14:paraId="4FD5187E">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14:paraId="6809DD94">
      <w:pPr>
        <w:pStyle w:val="59"/>
        <w:numPr>
          <w:ilvl w:val="0"/>
          <w:numId w:val="15"/>
        </w:numPr>
        <w:shd w:val="clea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14:paraId="381662C5">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14:paraId="74451B80">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14:paraId="74C5AB7A">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14:paraId="459D66B9">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AAF4E8C">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E2ECDE6">
      <w:pPr>
        <w:pStyle w:val="22"/>
        <w:shd w:val="clea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14:paraId="5A11607C">
      <w:pPr>
        <w:shd w:val="clea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14:paraId="0C486E81">
      <w:pPr>
        <w:shd w:val="clea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14:paraId="1B85AB1A">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14:paraId="540440FD">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3"/>
          <w:rFonts w:hint="eastAsia" w:asciiTheme="minorEastAsia" w:hAnsiTheme="minorEastAsia" w:eastAsiaTheme="minorEastAsia" w:cstheme="minorEastAsia"/>
          <w:color w:val="auto"/>
          <w:szCs w:val="21"/>
          <w:highlight w:val="none"/>
        </w:rPr>
        <w:t>https://service.zcygov.cn/#/help/superior</w:t>
      </w:r>
      <w:r>
        <w:rPr>
          <w:rStyle w:val="5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14:paraId="128C46F1">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14:paraId="5ADA1168">
      <w:pPr>
        <w:shd w:val="clea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14:paraId="3046F50D">
      <w:pPr>
        <w:pStyle w:val="22"/>
        <w:shd w:val="clear"/>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14:paraId="77EDEACB">
      <w:pPr>
        <w:pStyle w:val="22"/>
        <w:shd w:val="clear"/>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14:paraId="524F6F80">
      <w:pPr>
        <w:shd w:val="clea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14:paraId="441F396E">
      <w:pPr>
        <w:shd w:val="clea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14:paraId="5FB760CC">
      <w:pPr>
        <w:shd w:val="clear"/>
        <w:snapToGrid w:val="0"/>
        <w:spacing w:line="360" w:lineRule="auto"/>
        <w:ind w:left="420" w:left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▲1、资格证明文件的组成：</w:t>
      </w:r>
    </w:p>
    <w:p w14:paraId="54A4319D">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（1）投标声明书（附件2）；</w:t>
      </w:r>
    </w:p>
    <w:p w14:paraId="15230015">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（2）授权委托书（附件3）；</w:t>
      </w:r>
    </w:p>
    <w:p w14:paraId="59E8ADD9">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（3）法人或者其他组织的营业执照等证明文件，自然人的身份证明；</w:t>
      </w:r>
    </w:p>
    <w:p w14:paraId="4786CCBF">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（4）具有良好的商业信誉和健全的财务会计制度的承诺（附件4）；</w:t>
      </w:r>
    </w:p>
    <w:p w14:paraId="237DDD6A">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（5）依法缴纳税收和社会保障资金的承诺（附件5）；</w:t>
      </w:r>
    </w:p>
    <w:p w14:paraId="4CDD12BD">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（6）参加政府采购活动前三年内，在经营活动中没有重大违法记录（附件6）；</w:t>
      </w:r>
    </w:p>
    <w:p w14:paraId="4AA96A21">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w:t>
      </w:r>
      <w:r>
        <w:rPr>
          <w:rFonts w:hint="eastAsia" w:ascii="宋体" w:hAnsi="宋体" w:cs="宋体"/>
          <w:color w:val="auto"/>
          <w:szCs w:val="21"/>
          <w:highlight w:val="none"/>
        </w:rPr>
        <w:t>招标公告中符合供应商特定条件的有效证书或证明资料扫描件（投标供应商特定条件中有要求的必须提供）；</w:t>
      </w:r>
    </w:p>
    <w:p w14:paraId="69966547">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（8）需要说明的其他资料。</w:t>
      </w:r>
    </w:p>
    <w:p w14:paraId="35A9951A">
      <w:pPr>
        <w:shd w:val="clea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14:paraId="695C12E7">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（1）供应商基本情况表；</w:t>
      </w:r>
    </w:p>
    <w:p w14:paraId="33B0C3FB">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（2）项目实施人员一览表；</w:t>
      </w:r>
    </w:p>
    <w:p w14:paraId="290E63F9">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（3）证书一览表；</w:t>
      </w:r>
    </w:p>
    <w:p w14:paraId="262A2500">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（4）供应商类似项目实施情况一览表；</w:t>
      </w:r>
    </w:p>
    <w:p w14:paraId="17DF1863">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（5）投标方案描述；</w:t>
      </w:r>
    </w:p>
    <w:p w14:paraId="46FA12E9">
      <w:pPr>
        <w:pStyle w:val="17"/>
        <w:widowControl/>
        <w:shd w:val="clear"/>
        <w:adjustRightInd w:val="0"/>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（6）技术需求响应表；</w:t>
      </w:r>
    </w:p>
    <w:p w14:paraId="6D6F7092">
      <w:pPr>
        <w:pStyle w:val="17"/>
        <w:widowControl/>
        <w:shd w:val="clear"/>
        <w:adjustRightInd w:val="0"/>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（7）商务及技术响应表；</w:t>
      </w:r>
    </w:p>
    <w:p w14:paraId="73A47FE7">
      <w:pPr>
        <w:pStyle w:val="17"/>
        <w:widowControl/>
        <w:shd w:val="clear"/>
        <w:adjustRightInd w:val="0"/>
        <w:snapToGrid w:val="0"/>
        <w:spacing w:line="360" w:lineRule="auto"/>
        <w:ind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（8）近年来类似项目的成功案例；</w:t>
      </w:r>
    </w:p>
    <w:p w14:paraId="7EC76EBC">
      <w:pPr>
        <w:pStyle w:val="17"/>
        <w:widowControl/>
        <w:shd w:val="clear"/>
        <w:adjustRightInd w:val="0"/>
        <w:snapToGrid w:val="0"/>
        <w:spacing w:line="360" w:lineRule="auto"/>
        <w:ind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（9）投标人认为需要提供的其他资料（包括可能影响投标人商务与技术文件评分的各类证明材料）。</w:t>
      </w:r>
    </w:p>
    <w:p w14:paraId="3984B4AD">
      <w:pPr>
        <w:shd w:val="clea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6A638BC4">
      <w:pPr>
        <w:shd w:val="clea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14:paraId="54B1C0AD">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（1）开标一览表；</w:t>
      </w:r>
    </w:p>
    <w:p w14:paraId="7BC6F846">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（2）报价明细表；</w:t>
      </w:r>
    </w:p>
    <w:p w14:paraId="0BD9C78D">
      <w:pPr>
        <w:shd w:val="clea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（3）政府采购优惠政策相关资料（如有）</w:t>
      </w:r>
      <w:r>
        <w:rPr>
          <w:rFonts w:hint="eastAsia" w:ascii="宋体" w:hAnsi="宋体" w:cs="宋体"/>
          <w:color w:val="auto"/>
          <w:szCs w:val="21"/>
          <w:highlight w:val="none"/>
        </w:rPr>
        <w:t>；</w:t>
      </w:r>
    </w:p>
    <w:p w14:paraId="414D17E9">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（4）针对报价投标供应商认为其他需要说明的内容（如有）。</w:t>
      </w:r>
    </w:p>
    <w:p w14:paraId="4D3FFF52">
      <w:pPr>
        <w:shd w:val="clea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14:paraId="5A22A99E">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14:paraId="653ABE2A">
      <w:pPr>
        <w:shd w:val="clear"/>
        <w:autoSpaceDE w:val="0"/>
        <w:autoSpaceDN w:val="0"/>
        <w:adjustRightInd w:val="0"/>
        <w:spacing w:line="360" w:lineRule="auto"/>
        <w:ind w:firstLine="420" w:firstLineChars="200"/>
        <w:rPr>
          <w:rFonts w:ascii="宋体" w:cs="宋体"/>
          <w:color w:val="auto"/>
          <w:kern w:val="0"/>
          <w:szCs w:val="21"/>
          <w:highlight w:val="none"/>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color w:val="auto"/>
          <w:kern w:val="0"/>
          <w:szCs w:val="21"/>
          <w:highlight w:val="none"/>
        </w:rPr>
        <w:t>投标总报价</w:t>
      </w:r>
      <w:r>
        <w:rPr>
          <w:rFonts w:hint="eastAsia" w:ascii="宋体" w:cs="宋体"/>
          <w:color w:val="auto"/>
          <w:kern w:val="0"/>
          <w:szCs w:val="21"/>
          <w:highlight w:val="none"/>
          <w:lang w:val="en-US" w:eastAsia="zh-CN"/>
        </w:rPr>
        <w:t>包扣</w:t>
      </w:r>
      <w:r>
        <w:rPr>
          <w:rFonts w:hint="eastAsia" w:ascii="宋体" w:cs="宋体"/>
          <w:color w:val="auto"/>
          <w:kern w:val="0"/>
          <w:szCs w:val="21"/>
          <w:highlight w:val="none"/>
        </w:rPr>
        <w:t>但不仅限于项目相关的人员、设备、调试集成费用、培训费、验收费等。供应商应充分考虑安装、培训、对接、验收等工作时各环节所发生的费用，以及合同包含的所有风险责任等各项费用及不可预见费等所需的全部费用已包含在投标报价中。</w:t>
      </w:r>
    </w:p>
    <w:p w14:paraId="0E728A30">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14:paraId="4C6800DA">
      <w:pPr>
        <w:shd w:val="clea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14:paraId="652E3999">
      <w:pPr>
        <w:numPr>
          <w:ilvl w:val="0"/>
          <w:numId w:val="16"/>
        </w:numPr>
        <w:shd w:val="clea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14:paraId="1F7F3AE3">
      <w:pPr>
        <w:shd w:val="clea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14:paraId="070C5144">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06C010E">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14:paraId="76BB204B">
      <w:pPr>
        <w:numPr>
          <w:ilvl w:val="0"/>
          <w:numId w:val="17"/>
        </w:numPr>
        <w:shd w:val="clea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14:paraId="4C7E8594">
      <w:pPr>
        <w:pStyle w:val="22"/>
        <w:shd w:val="clear"/>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（发送至451350540@qq.com）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w:t>
      </w:r>
      <w:r>
        <w:rPr>
          <w:rFonts w:hint="eastAsia" w:asciiTheme="minorEastAsia" w:hAnsiTheme="minorEastAsia" w:eastAsiaTheme="minorEastAsia" w:cstheme="minorEastAsia"/>
          <w:color w:val="auto"/>
          <w:sz w:val="21"/>
          <w:szCs w:val="21"/>
          <w:highlight w:val="none"/>
          <w:lang w:eastAsia="zh-CN"/>
        </w:rPr>
        <w:t>台州市建航工程管理有限公司</w:t>
      </w:r>
      <w:r>
        <w:rPr>
          <w:rFonts w:hint="eastAsia" w:asciiTheme="minorEastAsia" w:hAnsiTheme="minorEastAsia" w:eastAsiaTheme="minorEastAsia" w:cstheme="minorEastAsia"/>
          <w:color w:val="auto"/>
          <w:sz w:val="21"/>
          <w:szCs w:val="21"/>
          <w:highlight w:val="none"/>
        </w:rPr>
        <w:t>（地址：浙江省台州市经济开发区天和路</w:t>
      </w:r>
      <w:r>
        <w:rPr>
          <w:rFonts w:hint="eastAsia" w:asciiTheme="minorEastAsia" w:hAnsiTheme="minorEastAsia" w:eastAsiaTheme="minorEastAsia" w:cstheme="minorEastAsia"/>
          <w:color w:val="auto"/>
          <w:sz w:val="21"/>
          <w:szCs w:val="21"/>
          <w:highlight w:val="none"/>
          <w:lang w:eastAsia="zh-CN"/>
        </w:rPr>
        <w:t>65</w:t>
      </w:r>
      <w:r>
        <w:rPr>
          <w:rFonts w:hint="eastAsia" w:asciiTheme="minorEastAsia" w:hAnsiTheme="minorEastAsia" w:eastAsiaTheme="minorEastAsia" w:cstheme="minorEastAsia"/>
          <w:color w:val="auto"/>
          <w:sz w:val="21"/>
          <w:szCs w:val="21"/>
          <w:highlight w:val="none"/>
        </w:rPr>
        <w:t>号天和大厦B幢1104），逾期寄达或未按要求密封将被拒收。</w:t>
      </w:r>
    </w:p>
    <w:p w14:paraId="4B84FF6D">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14:paraId="76A7914C">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14:paraId="1BD395F5">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14:paraId="1C4233A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14:paraId="7A8292DD">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14:paraId="2DFB90D6">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14:paraId="35A91557">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14:paraId="231A845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14:paraId="1223490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14:paraId="5C64308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14:paraId="5C8A0155">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14:paraId="72DE7CB5">
      <w:pPr>
        <w:pStyle w:val="123"/>
        <w:shd w:val="clea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14:paraId="6682F643">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14:paraId="466FB9BA">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14:paraId="101A2CF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14:paraId="315B4201">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14:paraId="5B297683">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14:paraId="5B09D0A6">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14:paraId="743FB300">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14:paraId="491DCC67">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14:paraId="0AC85C2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14:paraId="13F6771E">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14:paraId="4C95341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14:paraId="277935B3">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14:paraId="3BC2803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14:paraId="2916A070">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14:paraId="5B9FE4CE">
      <w:pPr>
        <w:shd w:val="clea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14:paraId="1CBB0D70">
      <w:pPr>
        <w:shd w:val="clea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14:paraId="54D66C9C">
      <w:pPr>
        <w:shd w:val="clea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14:paraId="4AE4E26E">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14:paraId="524B27C1">
      <w:pPr>
        <w:shd w:val="clea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14:paraId="4BC39EB8">
      <w:pPr>
        <w:shd w:val="clea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14:paraId="6C75D190">
      <w:pPr>
        <w:shd w:val="clea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14:paraId="0112919A">
      <w:pPr>
        <w:shd w:val="clea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14:paraId="7B6A560B">
      <w:pPr>
        <w:shd w:val="clea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14:paraId="65459471">
      <w:pPr>
        <w:shd w:val="clea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14:paraId="2CF21B98">
      <w:pPr>
        <w:pStyle w:val="28"/>
        <w:shd w:val="clear"/>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14:paraId="08BC8922">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14:paraId="4F3FA11F">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14:paraId="537A4082">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14:paraId="45D32A06">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14:paraId="3752209E">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14:paraId="37984539">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14:paraId="40A53A14">
      <w:pPr>
        <w:shd w:val="clea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14:paraId="692C4480">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14:paraId="210FEDD4">
      <w:pPr>
        <w:pStyle w:val="28"/>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14:paraId="144B3555">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14:paraId="67A218D3">
      <w:pPr>
        <w:numPr>
          <w:ilvl w:val="0"/>
          <w:numId w:val="18"/>
        </w:numPr>
        <w:shd w:val="clea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14:paraId="57DBC6A2">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374E2E50">
      <w:pPr>
        <w:pStyle w:val="9"/>
        <w:numPr>
          <w:ilvl w:val="0"/>
          <w:numId w:val="18"/>
        </w:numPr>
        <w:shd w:val="clea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14:paraId="1A005814">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14:paraId="06ECB67B">
      <w:pPr>
        <w:pStyle w:val="9"/>
        <w:numPr>
          <w:ilvl w:val="0"/>
          <w:numId w:val="18"/>
        </w:numPr>
        <w:shd w:val="clea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14:paraId="0D5CF1C9">
      <w:pPr>
        <w:pStyle w:val="9"/>
        <w:shd w:val="clear"/>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14:paraId="76FDC166">
      <w:pPr>
        <w:pStyle w:val="9"/>
        <w:shd w:val="clear"/>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14:paraId="1AE2C4FC">
      <w:pPr>
        <w:shd w:val="clea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14:paraId="1A1308F5">
      <w:pPr>
        <w:numPr>
          <w:ilvl w:val="0"/>
          <w:numId w:val="18"/>
        </w:numPr>
        <w:shd w:val="clea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14:paraId="7C098579">
      <w:pPr>
        <w:pStyle w:val="28"/>
        <w:shd w:val="clear"/>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14:paraId="6D3F09DE">
      <w:pPr>
        <w:pStyle w:val="28"/>
        <w:shd w:val="clear"/>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14:paraId="06280BEA">
      <w:pPr>
        <w:shd w:val="clea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14:paraId="1CD4CBF8">
      <w:pPr>
        <w:numPr>
          <w:ilvl w:val="0"/>
          <w:numId w:val="18"/>
        </w:numPr>
        <w:shd w:val="clea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14:paraId="77711243">
      <w:pPr>
        <w:shd w:val="clea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14:paraId="1E0B88D2">
      <w:pPr>
        <w:shd w:val="clea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14:paraId="68D9AED4">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3987A1A7">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14:paraId="4E5CEE0B">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14:paraId="36317D4D">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14:paraId="5EC9934F">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14:paraId="35F519CD">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14:paraId="199360B5">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14:paraId="507CF2E5">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14:paraId="509698DB">
      <w:pPr>
        <w:shd w:val="clea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14:paraId="466E605F">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14:paraId="40B6D692">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14:paraId="4B1C558E">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14:paraId="1FBA4708">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14:paraId="25485601">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14:paraId="7A2685FC">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14:paraId="24EE2B87">
      <w:pPr>
        <w:pStyle w:val="9"/>
        <w:shd w:val="clear"/>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14:paraId="61BE183F">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14:paraId="44B9DAE2">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14:paraId="50B90D06">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14:paraId="341C1E26">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14:paraId="3A5EFC96">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BE2E58">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14:paraId="303DF857">
      <w:pPr>
        <w:pStyle w:val="9"/>
        <w:shd w:val="clear"/>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14:paraId="46855A2C">
      <w:pPr>
        <w:pStyle w:val="9"/>
        <w:shd w:val="clear"/>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14:paraId="528FB87A">
      <w:pPr>
        <w:shd w:val="clea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14:paraId="07F9FF2A">
      <w:pPr>
        <w:pStyle w:val="9"/>
        <w:shd w:val="clear"/>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14:paraId="27D47683">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14:paraId="35005FF2">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14:paraId="0968D7D0">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14:paraId="6B62D455">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14:paraId="72713020">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14:paraId="6816BA98">
      <w:pPr>
        <w:shd w:val="clea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14:paraId="6C6DCE6F">
      <w:pPr>
        <w:shd w:val="clea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14:paraId="40A0F023">
      <w:pPr>
        <w:shd w:val="clea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14:paraId="3496FDE4">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14:paraId="1DBEF203">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14:paraId="257B9706">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14:paraId="624D17C8">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14:paraId="654E3DBE">
      <w:pPr>
        <w:pStyle w:val="28"/>
        <w:shd w:val="clear"/>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14:paraId="79B97DC2">
      <w:pPr>
        <w:pStyle w:val="28"/>
        <w:numPr>
          <w:ilvl w:val="0"/>
          <w:numId w:val="22"/>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33110E">
      <w:pPr>
        <w:pStyle w:val="28"/>
        <w:numPr>
          <w:ilvl w:val="0"/>
          <w:numId w:val="22"/>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14:paraId="4C6964D6">
      <w:pPr>
        <w:pStyle w:val="28"/>
        <w:shd w:val="clear"/>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14:paraId="4807616D">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7AB61DED">
      <w:pPr>
        <w:pStyle w:val="9"/>
        <w:shd w:val="clear"/>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14:paraId="12EE9737">
      <w:pPr>
        <w:pStyle w:val="9"/>
        <w:numPr>
          <w:ilvl w:val="0"/>
          <w:numId w:val="23"/>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2777CC8">
      <w:pPr>
        <w:numPr>
          <w:ilvl w:val="0"/>
          <w:numId w:val="23"/>
        </w:numPr>
        <w:shd w:val="clea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14:paraId="002775ED">
      <w:pPr>
        <w:numPr>
          <w:ilvl w:val="0"/>
          <w:numId w:val="23"/>
        </w:numPr>
        <w:shd w:val="clea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14:paraId="59C7877F">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14:paraId="6D8372F7">
      <w:pPr>
        <w:shd w:val="clea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14:paraId="0994A579">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14:paraId="7ADA138C">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14:paraId="5C6DD1C2">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14:paraId="53337EBB">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BCEF8BB">
      <w:pPr>
        <w:pStyle w:val="9"/>
        <w:numPr>
          <w:ilvl w:val="0"/>
          <w:numId w:val="24"/>
        </w:numPr>
        <w:shd w:val="clea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14:paraId="469C715D">
      <w:pPr>
        <w:pStyle w:val="9"/>
        <w:shd w:val="clear"/>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14:paraId="02E6A6BA">
      <w:pPr>
        <w:pStyle w:val="25"/>
        <w:numPr>
          <w:ilvl w:val="0"/>
          <w:numId w:val="25"/>
        </w:numPr>
        <w:shd w:val="clea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14:paraId="3281E64D">
      <w:pPr>
        <w:pStyle w:val="25"/>
        <w:numPr>
          <w:ilvl w:val="0"/>
          <w:numId w:val="25"/>
        </w:numPr>
        <w:shd w:val="clea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14:paraId="03F44257">
      <w:pPr>
        <w:pStyle w:val="25"/>
        <w:shd w:val="clear"/>
        <w:spacing w:line="360" w:lineRule="auto"/>
        <w:ind w:left="0" w:leftChars="0"/>
        <w:rPr>
          <w:rFonts w:ascii="宋体" w:hAnsi="宋体" w:cs="宋体"/>
          <w:color w:val="auto"/>
          <w:sz w:val="24"/>
          <w:highlight w:val="none"/>
        </w:rPr>
      </w:pPr>
    </w:p>
    <w:p w14:paraId="7F49ACC9">
      <w:pPr>
        <w:shd w:val="clear"/>
        <w:rPr>
          <w:rFonts w:ascii="宋体" w:hAnsi="宋体" w:cs="宋体"/>
          <w:color w:val="auto"/>
          <w:sz w:val="24"/>
          <w:highlight w:val="none"/>
        </w:rPr>
      </w:pPr>
    </w:p>
    <w:p w14:paraId="272B2E26">
      <w:pPr>
        <w:pStyle w:val="22"/>
        <w:shd w:val="clear"/>
        <w:rPr>
          <w:rFonts w:ascii="宋体" w:hAnsi="宋体" w:cs="宋体"/>
          <w:color w:val="auto"/>
          <w:highlight w:val="none"/>
        </w:rPr>
      </w:pPr>
    </w:p>
    <w:p w14:paraId="2D18F76A">
      <w:pPr>
        <w:pStyle w:val="23"/>
        <w:shd w:val="clear"/>
        <w:ind w:firstLine="264"/>
        <w:rPr>
          <w:rFonts w:ascii="宋体" w:hAnsi="宋体" w:cs="宋体"/>
          <w:color w:val="auto"/>
          <w:sz w:val="24"/>
          <w:highlight w:val="none"/>
        </w:rPr>
      </w:pPr>
    </w:p>
    <w:p w14:paraId="7E443BCF">
      <w:pPr>
        <w:shd w:val="clear"/>
        <w:rPr>
          <w:rFonts w:ascii="宋体" w:hAnsi="宋体" w:cs="宋体"/>
          <w:color w:val="auto"/>
          <w:sz w:val="24"/>
          <w:highlight w:val="none"/>
        </w:rPr>
      </w:pPr>
    </w:p>
    <w:p w14:paraId="6FAE24CF">
      <w:pPr>
        <w:pStyle w:val="22"/>
        <w:shd w:val="clear"/>
        <w:rPr>
          <w:rFonts w:ascii="宋体" w:hAnsi="宋体" w:cs="宋体"/>
          <w:color w:val="auto"/>
          <w:highlight w:val="none"/>
        </w:rPr>
      </w:pPr>
    </w:p>
    <w:p w14:paraId="61D6DDC9">
      <w:pPr>
        <w:pStyle w:val="23"/>
        <w:shd w:val="clear"/>
        <w:ind w:firstLine="264"/>
        <w:rPr>
          <w:rFonts w:ascii="宋体" w:hAnsi="宋体" w:cs="宋体"/>
          <w:color w:val="auto"/>
          <w:sz w:val="24"/>
          <w:highlight w:val="none"/>
        </w:rPr>
      </w:pPr>
    </w:p>
    <w:p w14:paraId="1AAFC791">
      <w:pPr>
        <w:pStyle w:val="28"/>
        <w:shd w:val="clear"/>
        <w:rPr>
          <w:rFonts w:hAnsi="宋体" w:cs="宋体"/>
          <w:color w:val="auto"/>
          <w:sz w:val="24"/>
          <w:highlight w:val="none"/>
        </w:rPr>
      </w:pPr>
    </w:p>
    <w:p w14:paraId="3F48AB1B">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14:paraId="4E510BF4">
      <w:pPr>
        <w:numPr>
          <w:ilvl w:val="0"/>
          <w:numId w:val="26"/>
        </w:numPr>
        <w:shd w:val="clea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采购组织机构将组织评标委员会，对投标人提供的投标文件进行综合评审。</w:t>
      </w:r>
    </w:p>
    <w:p w14:paraId="69D90729">
      <w:pPr>
        <w:numPr>
          <w:ilvl w:val="0"/>
          <w:numId w:val="26"/>
        </w:numPr>
        <w:shd w:val="clea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本次招标项目的评标方法为综合评分法，总计100分。评标标准按以下内容及分值进行评审。</w:t>
      </w:r>
    </w:p>
    <w:tbl>
      <w:tblPr>
        <w:tblStyle w:val="46"/>
        <w:tblW w:w="795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4808"/>
      </w:tblGrid>
      <w:tr w14:paraId="409F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1" w:type="dxa"/>
            <w:tcBorders>
              <w:tl2br w:val="single" w:color="auto" w:sz="4" w:space="0"/>
            </w:tcBorders>
          </w:tcPr>
          <w:p w14:paraId="69A1CC61">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 xml:space="preserve">          标段</w:t>
            </w:r>
          </w:p>
          <w:p w14:paraId="52BDE25E">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类别</w:t>
            </w:r>
          </w:p>
        </w:tc>
        <w:tc>
          <w:tcPr>
            <w:tcW w:w="4808" w:type="dxa"/>
            <w:vAlign w:val="center"/>
          </w:tcPr>
          <w:p w14:paraId="062F6BD1">
            <w:pPr>
              <w:keepNext w:val="0"/>
              <w:keepLines w:val="0"/>
              <w:suppressLineNumbers w:val="0"/>
              <w:shd w:val="clear"/>
              <w:autoSpaceDE w:val="0"/>
              <w:autoSpaceDN w:val="0"/>
              <w:adjustRightInd w:val="0"/>
              <w:spacing w:before="0" w:beforeAutospacing="0" w:after="0" w:afterAutospacing="0" w:line="48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14:paraId="07DA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51" w:type="dxa"/>
            <w:vAlign w:val="center"/>
          </w:tcPr>
          <w:p w14:paraId="3537201C">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商务与技术</w:t>
            </w:r>
          </w:p>
        </w:tc>
        <w:tc>
          <w:tcPr>
            <w:tcW w:w="4808" w:type="dxa"/>
            <w:vAlign w:val="center"/>
          </w:tcPr>
          <w:p w14:paraId="69E97C84">
            <w:pPr>
              <w:keepNext w:val="0"/>
              <w:keepLines w:val="0"/>
              <w:suppressLineNumbers w:val="0"/>
              <w:shd w:val="clear"/>
              <w:autoSpaceDE w:val="0"/>
              <w:autoSpaceDN w:val="0"/>
              <w:adjustRightInd w:val="0"/>
              <w:spacing w:before="0" w:beforeAutospacing="0" w:after="0" w:afterAutospacing="0"/>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80</w:t>
            </w:r>
          </w:p>
        </w:tc>
      </w:tr>
      <w:tr w14:paraId="3B00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51" w:type="dxa"/>
            <w:vAlign w:val="center"/>
          </w:tcPr>
          <w:p w14:paraId="7F95EE03">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价格</w:t>
            </w:r>
          </w:p>
        </w:tc>
        <w:tc>
          <w:tcPr>
            <w:tcW w:w="4808" w:type="dxa"/>
            <w:vAlign w:val="center"/>
          </w:tcPr>
          <w:p w14:paraId="77725F5B">
            <w:pPr>
              <w:keepNext w:val="0"/>
              <w:keepLines w:val="0"/>
              <w:suppressLineNumbers w:val="0"/>
              <w:shd w:val="clear"/>
              <w:autoSpaceDE w:val="0"/>
              <w:autoSpaceDN w:val="0"/>
              <w:adjustRightInd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14:paraId="4934E55D">
      <w:pPr>
        <w:shd w:val="clear"/>
        <w:autoSpaceDE w:val="0"/>
        <w:autoSpaceDN w:val="0"/>
        <w:adjustRightInd w:val="0"/>
        <w:spacing w:line="360" w:lineRule="auto"/>
        <w:ind w:right="84" w:firstLine="472"/>
        <w:rPr>
          <w:rFonts w:ascii="宋体" w:hAnsi="宋体" w:cs="宋体"/>
          <w:bCs/>
          <w:color w:val="auto"/>
          <w:sz w:val="24"/>
          <w:highlight w:val="none"/>
          <w:lang w:val="zh-CN"/>
        </w:rPr>
      </w:pPr>
    </w:p>
    <w:p w14:paraId="2982424C">
      <w:pPr>
        <w:shd w:val="clea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（一）商务与技术文件中的客观分由评标委员会讨论后统一打分；其余在规定的分值内单独评定打分。</w:t>
      </w:r>
    </w:p>
    <w:p w14:paraId="013B0E0C">
      <w:pPr>
        <w:shd w:val="clea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14:paraId="698A96D0">
      <w:pPr>
        <w:shd w:val="clea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r>
        <w:rPr>
          <w:rFonts w:hint="eastAsia" w:ascii="宋体" w:hAnsi="宋体"/>
          <w:color w:val="auto"/>
          <w:sz w:val="24"/>
          <w:highlight w:val="none"/>
        </w:rPr>
        <w:t>（得分保留2位小数,小数点后第三位四舍五入）</w:t>
      </w:r>
      <w:r>
        <w:rPr>
          <w:rFonts w:hint="eastAsia" w:ascii="宋体" w:hAnsi="宋体" w:cs="宋体"/>
          <w:bCs/>
          <w:color w:val="auto"/>
          <w:sz w:val="24"/>
          <w:highlight w:val="none"/>
          <w:lang w:val="zh-CN"/>
        </w:rPr>
        <w:t>。</w:t>
      </w:r>
    </w:p>
    <w:p w14:paraId="6F9E3725">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（三）本项目</w:t>
      </w:r>
      <w:r>
        <w:rPr>
          <w:rFonts w:hint="eastAsia" w:ascii="宋体" w:hAnsi="宋体" w:cs="宋体"/>
          <w:color w:val="auto"/>
          <w:sz w:val="24"/>
          <w:highlight w:val="none"/>
          <w:lang w:val="zh-CN"/>
        </w:rPr>
        <w:t>投标报价得分采用低价优先法计算，即满足采购文件要求且本项目投标报价最低的投标报价为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的评标基准价，其报价得满分。</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其他投标人的投标报价得分按下列公式计算：</w:t>
      </w:r>
    </w:p>
    <w:p w14:paraId="5412F936">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%×100</w:t>
      </w:r>
      <w:r>
        <w:rPr>
          <w:rFonts w:hint="eastAsia" w:ascii="宋体" w:hAnsi="宋体"/>
          <w:color w:val="auto"/>
          <w:sz w:val="24"/>
          <w:highlight w:val="none"/>
          <w:u w:val="single"/>
        </w:rPr>
        <w:t>（得分保留2位小数,小数点后第三位四舍五入）</w:t>
      </w:r>
      <w:r>
        <w:rPr>
          <w:rFonts w:hint="eastAsia" w:ascii="宋体" w:hAnsi="宋体" w:cs="宋体"/>
          <w:color w:val="auto"/>
          <w:sz w:val="24"/>
          <w:highlight w:val="none"/>
          <w:u w:val="single"/>
        </w:rPr>
        <w:t xml:space="preserve"> 。</w:t>
      </w:r>
    </w:p>
    <w:p w14:paraId="7E4297ED">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（四）中小企业政策</w:t>
      </w:r>
    </w:p>
    <w:p w14:paraId="05E714A3">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）政府采购政策及优惠：</w:t>
      </w:r>
    </w:p>
    <w:p w14:paraId="75C7D238">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中小企业声明函》（见附件），投标供应商未提供以上资料或者经评标委员会核查不符的，将不能享受相应的小微企业优惠政策。</w:t>
      </w:r>
    </w:p>
    <w:p w14:paraId="2DD84C0E">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2.监狱企业参加政府采购活动时，应当提供由省级以上监狱管理局、戒毒管理局（含新疆生产建设兵团）出具的属于监狱企业的证明文件，视同小型、微型企业，享受小微企业政府采购优惠政策；</w:t>
      </w:r>
    </w:p>
    <w:p w14:paraId="2E357431">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3.残疾人福利性单位在参加政府采购活动时，应提供《残疾人福利性单位声明函》（见附件），视同小型、微型企业，享受小微企业政府采购优惠政策。</w:t>
      </w:r>
    </w:p>
    <w:p w14:paraId="774909DF">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）价格扣除相关要求：</w:t>
      </w:r>
    </w:p>
    <w:p w14:paraId="006ADDAC">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对于非联合体投标，小型微型企业产品的价格给予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的扣除，用扣除后的价格计算评标基准价和投标报价。对于联合体投标，小型、微型企业的协议合同金额占到联合体协议合同总金额30%以上的，可给予联合体6%的价格扣除。联合体各方均为小型、微型企业的，联合体视同为小型、微型企业享受扶持政策，对于小型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 xml:space="preserve"> % 的扣除，用扣除后的价格计算评标基准价和响应报价。同一投标供应商（包括联合体），小微企业、监狱企业、残疾人福利性单位价格扣除优惠只享受一次，不得重复享受。</w:t>
      </w:r>
    </w:p>
    <w:p w14:paraId="25D53A99">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三、在最大限度地满足采购文件实质性要求前提下，评标委员会按照采购文件中规定的各项因素进行综合评审后，以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评标总得分最高的投标人为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第一中标候选人，以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评标总得分次高的投标人为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第二中标候选人。</w:t>
      </w:r>
    </w:p>
    <w:p w14:paraId="07837B4B">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四、中标候选人放弃中标、因不可抗力提出不能履行合同，或者招标文件规定应当提交履约保证金而在规定的期限内未能提交的，招标人可以确定排名次之的中标候选人为中标人。</w:t>
      </w:r>
    </w:p>
    <w:p w14:paraId="339442E8">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五、如综合得分相同，投标报价低者为先；如综合得分且投标报价相同的，由评审委员会现场抽签确定。</w:t>
      </w:r>
    </w:p>
    <w:p w14:paraId="76F2E752">
      <w:pPr>
        <w:shd w:val="clear"/>
        <w:autoSpaceDE w:val="0"/>
        <w:autoSpaceDN w:val="0"/>
        <w:adjustRightInd w:val="0"/>
        <w:spacing w:line="500" w:lineRule="exact"/>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lang w:val="zh-CN"/>
        </w:rPr>
        <w:t>六、</w:t>
      </w:r>
      <w:r>
        <w:rPr>
          <w:rFonts w:hint="eastAsia" w:ascii="宋体" w:hAnsi="宋体" w:cs="宋体"/>
          <w:color w:val="auto"/>
          <w:kern w:val="0"/>
          <w:sz w:val="24"/>
          <w:highlight w:val="none"/>
        </w:rPr>
        <w:t>本次评分具体分值细化条款如下表：</w:t>
      </w:r>
    </w:p>
    <w:tbl>
      <w:tblPr>
        <w:tblStyle w:val="46"/>
        <w:tblW w:w="0" w:type="auto"/>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40"/>
        <w:gridCol w:w="6703"/>
        <w:gridCol w:w="860"/>
      </w:tblGrid>
      <w:tr w14:paraId="4E9F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E7E6E6"/>
            <w:vAlign w:val="center"/>
          </w:tcPr>
          <w:p w14:paraId="320AA5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40" w:type="dxa"/>
            <w:tcBorders>
              <w:top w:val="single" w:color="000000" w:sz="8" w:space="0"/>
              <w:left w:val="nil"/>
              <w:bottom w:val="single" w:color="000000" w:sz="8" w:space="0"/>
              <w:right w:val="single" w:color="000000" w:sz="8" w:space="0"/>
            </w:tcBorders>
            <w:shd w:val="clear" w:color="auto" w:fill="E7E6E6"/>
            <w:vAlign w:val="center"/>
          </w:tcPr>
          <w:p w14:paraId="2C329E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评审项目</w:t>
            </w:r>
          </w:p>
        </w:tc>
        <w:tc>
          <w:tcPr>
            <w:tcW w:w="6703" w:type="dxa"/>
            <w:tcBorders>
              <w:top w:val="single" w:color="000000" w:sz="8" w:space="0"/>
              <w:left w:val="nil"/>
              <w:bottom w:val="single" w:color="000000" w:sz="8" w:space="0"/>
              <w:right w:val="single" w:color="000000" w:sz="8" w:space="0"/>
            </w:tcBorders>
            <w:shd w:val="clear" w:color="auto" w:fill="E7E6E6"/>
            <w:vAlign w:val="center"/>
          </w:tcPr>
          <w:p w14:paraId="2A67380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评分细则</w:t>
            </w:r>
          </w:p>
        </w:tc>
        <w:tc>
          <w:tcPr>
            <w:tcW w:w="860" w:type="dxa"/>
            <w:tcBorders>
              <w:top w:val="single" w:color="000000" w:sz="8" w:space="0"/>
              <w:left w:val="nil"/>
              <w:bottom w:val="single" w:color="000000" w:sz="8" w:space="0"/>
              <w:right w:val="single" w:color="000000" w:sz="8" w:space="0"/>
            </w:tcBorders>
            <w:shd w:val="clear" w:color="auto" w:fill="E7E6E6"/>
            <w:vAlign w:val="center"/>
          </w:tcPr>
          <w:p w14:paraId="773704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14:paraId="4B44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1FAF4B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040" w:type="dxa"/>
            <w:tcBorders>
              <w:top w:val="nil"/>
              <w:left w:val="nil"/>
              <w:bottom w:val="single" w:color="000000" w:sz="8" w:space="0"/>
              <w:right w:val="single" w:color="000000" w:sz="8" w:space="0"/>
            </w:tcBorders>
            <w:shd w:val="clear" w:color="auto" w:fill="auto"/>
            <w:vAlign w:val="center"/>
          </w:tcPr>
          <w:p w14:paraId="494D45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类似业绩</w:t>
            </w:r>
          </w:p>
        </w:tc>
        <w:tc>
          <w:tcPr>
            <w:tcW w:w="6703" w:type="dxa"/>
            <w:tcBorders>
              <w:top w:val="nil"/>
              <w:left w:val="nil"/>
              <w:bottom w:val="single" w:color="000000" w:sz="8" w:space="0"/>
              <w:right w:val="single" w:color="000000" w:sz="8" w:space="0"/>
            </w:tcBorders>
            <w:shd w:val="clear" w:color="auto" w:fill="auto"/>
            <w:vAlign w:val="center"/>
          </w:tcPr>
          <w:p w14:paraId="6D9AE5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根据投标人提供的自2022年1月1日（以合同签订时间为准）至今的同类项目业绩，每提供一个合同得1分，最高得2分。</w:t>
            </w:r>
          </w:p>
        </w:tc>
        <w:tc>
          <w:tcPr>
            <w:tcW w:w="860" w:type="dxa"/>
            <w:tcBorders>
              <w:top w:val="nil"/>
              <w:left w:val="nil"/>
              <w:bottom w:val="single" w:color="000000" w:sz="8" w:space="0"/>
              <w:right w:val="single" w:color="000000" w:sz="8" w:space="0"/>
            </w:tcBorders>
            <w:shd w:val="clear" w:color="auto" w:fill="auto"/>
            <w:vAlign w:val="center"/>
          </w:tcPr>
          <w:p w14:paraId="359A54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578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525" w:type="dxa"/>
            <w:tcBorders>
              <w:top w:val="nil"/>
              <w:left w:val="single" w:color="000000" w:sz="8" w:space="0"/>
              <w:bottom w:val="nil"/>
              <w:right w:val="single" w:color="000000" w:sz="8" w:space="0"/>
            </w:tcBorders>
            <w:shd w:val="clear" w:color="auto" w:fill="auto"/>
            <w:vAlign w:val="center"/>
          </w:tcPr>
          <w:p w14:paraId="26C0032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040" w:type="dxa"/>
            <w:tcBorders>
              <w:top w:val="nil"/>
              <w:left w:val="nil"/>
              <w:bottom w:val="nil"/>
              <w:right w:val="single" w:color="000000" w:sz="8" w:space="0"/>
            </w:tcBorders>
            <w:shd w:val="clear" w:color="auto" w:fill="auto"/>
            <w:vAlign w:val="center"/>
          </w:tcPr>
          <w:p w14:paraId="257B5B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投标人公司资质</w:t>
            </w:r>
          </w:p>
        </w:tc>
        <w:tc>
          <w:tcPr>
            <w:tcW w:w="6703" w:type="dxa"/>
            <w:tcBorders>
              <w:top w:val="nil"/>
              <w:left w:val="nil"/>
              <w:bottom w:val="single" w:color="000000" w:sz="8" w:space="0"/>
              <w:right w:val="single" w:color="000000" w:sz="8" w:space="0"/>
            </w:tcBorders>
            <w:shd w:val="clear" w:color="auto" w:fill="auto"/>
            <w:vAlign w:val="center"/>
          </w:tcPr>
          <w:p w14:paraId="44EFE7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根据投标人具备质量管理体系认证证书、环境管理体系认证，信息技术服务管理体系认证证书，信息安全隐私框架管理体系认证证书、风险管理体系认证证书每项的1分，最高得3分；</w:t>
            </w:r>
          </w:p>
          <w:p w14:paraId="76A3ED5C">
            <w:pPr>
              <w:pStyle w:val="2"/>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备注：</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1、上述所有证书必须真实、合规，在有效期内。</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2、投标文件中须提供清晰可辨的证书扫描件，同时提供全国认证认可信息公共服务平台证书查询截图，否则不得分。</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3、如投标人提供的证书扫描件因模糊不清或一些影响评分的重要内容缺失或不够明确而造成评标委员会在评审时做出对投标人不利的评审由投标人自行承担。</w:t>
            </w:r>
          </w:p>
        </w:tc>
        <w:tc>
          <w:tcPr>
            <w:tcW w:w="860" w:type="dxa"/>
            <w:tcBorders>
              <w:top w:val="nil"/>
              <w:left w:val="nil"/>
              <w:bottom w:val="single" w:color="000000" w:sz="8" w:space="0"/>
              <w:right w:val="single" w:color="000000" w:sz="8" w:space="0"/>
            </w:tcBorders>
            <w:shd w:val="clear" w:color="auto" w:fill="auto"/>
            <w:vAlign w:val="center"/>
          </w:tcPr>
          <w:p w14:paraId="3CDD74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5DC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022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040" w:type="dxa"/>
            <w:tcBorders>
              <w:top w:val="single" w:color="000000" w:sz="8" w:space="0"/>
              <w:left w:val="nil"/>
              <w:bottom w:val="single" w:color="000000" w:sz="8" w:space="0"/>
              <w:right w:val="single" w:color="000000" w:sz="8" w:space="0"/>
            </w:tcBorders>
            <w:shd w:val="clear" w:color="auto" w:fill="auto"/>
            <w:vAlign w:val="center"/>
          </w:tcPr>
          <w:p w14:paraId="271F28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技术性能响应</w:t>
            </w:r>
          </w:p>
        </w:tc>
        <w:tc>
          <w:tcPr>
            <w:tcW w:w="67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FA6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根据投标人提供产品的软硬件配置、功能特点等满足响应情况进行综合评分，全部满足招标文件要求得12分；标注★的重要指标若出现负偏离，每负偏离一项扣 1 分；其他技术指标不满足或负偏离1项扣0.5分，扣完为止。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注：招标文件需要提供证明材料却未提供视为负偏离。</w:t>
            </w:r>
          </w:p>
        </w:tc>
        <w:tc>
          <w:tcPr>
            <w:tcW w:w="860" w:type="dxa"/>
            <w:tcBorders>
              <w:top w:val="nil"/>
              <w:left w:val="nil"/>
              <w:bottom w:val="single" w:color="000000" w:sz="8" w:space="0"/>
              <w:right w:val="single" w:color="000000" w:sz="8" w:space="0"/>
            </w:tcBorders>
            <w:shd w:val="clear" w:color="auto" w:fill="auto"/>
            <w:vAlign w:val="center"/>
          </w:tcPr>
          <w:p w14:paraId="06D915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r>
      <w:tr w14:paraId="6B56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A96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1040" w:type="dxa"/>
            <w:vMerge w:val="restart"/>
            <w:tcBorders>
              <w:top w:val="single" w:color="000000" w:sz="8" w:space="0"/>
              <w:left w:val="nil"/>
              <w:right w:val="single" w:color="000000" w:sz="8" w:space="0"/>
            </w:tcBorders>
            <w:shd w:val="clear" w:color="auto" w:fill="auto"/>
            <w:vAlign w:val="center"/>
          </w:tcPr>
          <w:p w14:paraId="1785BA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6703" w:type="dxa"/>
            <w:tcBorders>
              <w:top w:val="nil"/>
              <w:left w:val="nil"/>
              <w:bottom w:val="single" w:color="000000" w:sz="8" w:space="0"/>
              <w:right w:val="single" w:color="000000" w:sz="8" w:space="0"/>
            </w:tcBorders>
            <w:shd w:val="clear" w:color="auto" w:fill="auto"/>
            <w:vAlign w:val="center"/>
          </w:tcPr>
          <w:p w14:paraId="705D0A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根据供应商提供的项目运行维护方案，包括但不限于运维、日常巡检、故障修复等，能否满足服务需求进行评分，维护内容完整、措施及时有效、符合采购需求、具有针对性视为符合。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1、智慧城管中心设备维护方案（</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分，比较符合得4分，基本符合得3分，部分符合得2分，基本不符合得1分，未提供不得分。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2、街面摄像设备维护方案（</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分，比较符合得4分，基本符合得3分，部分符合得2分，基本不符合得1分，未提供不得分。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提供移动执法平台及维护方案（2分）、</w:t>
            </w:r>
            <w:r>
              <w:rPr>
                <w:rFonts w:hint="eastAsia" w:ascii="宋体" w:hAnsi="宋体" w:eastAsia="宋体" w:cs="宋体"/>
                <w:i w:val="0"/>
                <w:iCs w:val="0"/>
                <w:color w:val="auto"/>
                <w:kern w:val="0"/>
                <w:sz w:val="21"/>
                <w:szCs w:val="21"/>
                <w:highlight w:val="none"/>
                <w:u w:val="none"/>
                <w:lang w:val="en-US" w:eastAsia="zh-CN" w:bidi="ar"/>
              </w:rPr>
              <w:t>智联网平台联动方案（</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、网络安全保障方案（2分）</w:t>
            </w:r>
          </w:p>
          <w:p w14:paraId="2A454E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分，比较符合得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分，基本符合得</w:t>
            </w:r>
            <w:r>
              <w:rPr>
                <w:rFonts w:hint="eastAsia" w:ascii="宋体" w:hAnsi="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分未提供不得分。</w:t>
            </w:r>
          </w:p>
        </w:tc>
        <w:tc>
          <w:tcPr>
            <w:tcW w:w="860" w:type="dxa"/>
            <w:tcBorders>
              <w:top w:val="nil"/>
              <w:left w:val="nil"/>
              <w:bottom w:val="single" w:color="000000" w:sz="8" w:space="0"/>
              <w:right w:val="single" w:color="000000" w:sz="8" w:space="0"/>
            </w:tcBorders>
            <w:shd w:val="clear" w:color="auto" w:fill="auto"/>
            <w:vAlign w:val="center"/>
          </w:tcPr>
          <w:p w14:paraId="7DC9B7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w:t>
            </w:r>
          </w:p>
        </w:tc>
      </w:tr>
      <w:tr w14:paraId="3B20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9" w:hRule="atLeast"/>
        </w:trPr>
        <w:tc>
          <w:tcPr>
            <w:tcW w:w="525" w:type="dxa"/>
            <w:tcBorders>
              <w:top w:val="single" w:color="000000" w:sz="8" w:space="0"/>
              <w:left w:val="single" w:color="000000" w:sz="8" w:space="0"/>
              <w:bottom w:val="single" w:color="auto" w:sz="4" w:space="0"/>
              <w:right w:val="single" w:color="000000" w:sz="8" w:space="0"/>
            </w:tcBorders>
            <w:shd w:val="clear" w:color="auto" w:fill="auto"/>
            <w:vAlign w:val="center"/>
          </w:tcPr>
          <w:p w14:paraId="5DA9C3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040" w:type="dxa"/>
            <w:vMerge w:val="continue"/>
            <w:tcBorders>
              <w:left w:val="nil"/>
              <w:right w:val="single" w:color="000000" w:sz="8" w:space="0"/>
            </w:tcBorders>
            <w:shd w:val="clear" w:color="auto" w:fill="auto"/>
            <w:vAlign w:val="center"/>
          </w:tcPr>
          <w:p w14:paraId="743A83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03" w:type="dxa"/>
            <w:tcBorders>
              <w:top w:val="nil"/>
              <w:left w:val="nil"/>
              <w:bottom w:val="single" w:color="auto" w:sz="4" w:space="0"/>
              <w:right w:val="single" w:color="000000" w:sz="8" w:space="0"/>
            </w:tcBorders>
            <w:shd w:val="clear" w:color="auto" w:fill="auto"/>
            <w:vAlign w:val="center"/>
          </w:tcPr>
          <w:p w14:paraId="24EC414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1.根据供应商对本项目重难点的分析情况并提供可行的解决方案进行综合评分：</w:t>
            </w:r>
            <w:r>
              <w:rPr>
                <w:rFonts w:hint="eastAsia"/>
                <w:color w:val="auto"/>
                <w:highlight w:val="none"/>
                <w:lang w:val="en-US" w:eastAsia="zh-CN"/>
              </w:rPr>
              <w:br w:type="textWrapping"/>
            </w:r>
            <w:r>
              <w:rPr>
                <w:rFonts w:hint="eastAsia"/>
                <w:color w:val="auto"/>
                <w:highlight w:val="none"/>
                <w:lang w:val="en-US" w:eastAsia="zh-CN"/>
              </w:rPr>
              <w:t>1)内容详实，科学合理，具有针对性，可实施性强的得3分；</w:t>
            </w:r>
          </w:p>
          <w:p w14:paraId="22C2D5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2）内容较详细，具有一定针对性、可实施性的得2分；</w:t>
            </w:r>
          </w:p>
          <w:p w14:paraId="53BB7C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3）内容基本合理，针对性、可实施性一般的得1分；</w:t>
            </w:r>
          </w:p>
          <w:p w14:paraId="2D1540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4）内容不够科学合理或未提供的不得分。</w:t>
            </w:r>
          </w:p>
          <w:p w14:paraId="501F40C1">
            <w:pPr>
              <w:pStyle w:val="45"/>
              <w:keepNext w:val="0"/>
              <w:keepLines w:val="0"/>
              <w:suppressLineNumbers w:val="0"/>
              <w:shd w:val="clear"/>
              <w:spacing w:before="0" w:beforeAutospacing="0" w:afterAutospacing="0"/>
              <w:ind w:left="0" w:leftChars="0" w:right="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承诺原有前端网络切换小于10天得1分，大于10天不得分。新建点位建设工期少于30天的得1分，大于30天不得分。</w:t>
            </w:r>
          </w:p>
        </w:tc>
        <w:tc>
          <w:tcPr>
            <w:tcW w:w="860" w:type="dxa"/>
            <w:tcBorders>
              <w:top w:val="nil"/>
              <w:left w:val="nil"/>
              <w:bottom w:val="single" w:color="auto" w:sz="4" w:space="0"/>
              <w:right w:val="single" w:color="000000" w:sz="8" w:space="0"/>
            </w:tcBorders>
            <w:shd w:val="clear" w:color="auto" w:fill="auto"/>
            <w:vAlign w:val="center"/>
          </w:tcPr>
          <w:p w14:paraId="1C1917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r>
      <w:tr w14:paraId="5700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525" w:type="dxa"/>
            <w:vMerge w:val="restart"/>
            <w:tcBorders>
              <w:top w:val="single" w:color="auto" w:sz="4" w:space="0"/>
              <w:left w:val="single" w:color="000000" w:sz="8" w:space="0"/>
              <w:right w:val="single" w:color="000000" w:sz="8" w:space="0"/>
            </w:tcBorders>
            <w:shd w:val="clear" w:color="auto" w:fill="auto"/>
            <w:vAlign w:val="center"/>
          </w:tcPr>
          <w:p w14:paraId="1565CE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1040" w:type="dxa"/>
            <w:vMerge w:val="continue"/>
            <w:tcBorders>
              <w:left w:val="nil"/>
              <w:right w:val="single" w:color="000000" w:sz="8" w:space="0"/>
            </w:tcBorders>
            <w:shd w:val="clear" w:color="auto" w:fill="auto"/>
            <w:vAlign w:val="center"/>
          </w:tcPr>
          <w:p w14:paraId="3E0E54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03" w:type="dxa"/>
            <w:vMerge w:val="restart"/>
            <w:tcBorders>
              <w:top w:val="single" w:color="auto" w:sz="4" w:space="0"/>
              <w:left w:val="nil"/>
              <w:right w:val="single" w:color="000000" w:sz="8" w:space="0"/>
            </w:tcBorders>
            <w:shd w:val="clear" w:color="auto" w:fill="auto"/>
            <w:vAlign w:val="center"/>
          </w:tcPr>
          <w:p w14:paraId="3DE26B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根据供应商对本项目新增点位要求了解的程度，</w:t>
            </w:r>
            <w:r>
              <w:rPr>
                <w:rFonts w:hint="eastAsia" w:ascii="Times New Roman" w:hAnsi="Times New Roman" w:eastAsia="宋体" w:cs="Times New Roman"/>
                <w:color w:val="auto"/>
                <w:highlight w:val="none"/>
                <w:lang w:val="en-US" w:eastAsia="zh-CN"/>
              </w:rPr>
              <w:t>功能实现，</w:t>
            </w:r>
            <w:r>
              <w:rPr>
                <w:rFonts w:hint="eastAsia" w:ascii="宋体" w:hAnsi="宋体" w:eastAsia="宋体" w:cs="宋体"/>
                <w:color w:val="auto"/>
                <w:sz w:val="21"/>
                <w:szCs w:val="21"/>
                <w:highlight w:val="none"/>
                <w:lang w:val="en-US" w:eastAsia="zh-CN"/>
              </w:rPr>
              <w:t>提供可行的解决方案，并且能够直观的展示，进行综合评分：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1)基本情况了解全面，问题分析到位，</w:t>
            </w:r>
            <w:r>
              <w:rPr>
                <w:rFonts w:hint="default"/>
                <w:color w:val="auto"/>
                <w:highlight w:val="none"/>
              </w:rPr>
              <w:t>实现功能</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符合本项目实际要求，方案详细，图纸设计清晰，展示效果直观，专业性强的得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2）基本情况了解比较全面，比较符合本项目实际情况，方案较详细，图纸设计基本符合要求，展示效果较直观、专业性较强的得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3）基本情况了解欠全面，问题分析欠到位，</w:t>
            </w:r>
            <w:r>
              <w:rPr>
                <w:rFonts w:hint="eastAsia" w:ascii="Times New Roman" w:hAnsi="Times New Roman" w:eastAsia="宋体" w:cs="Times New Roman"/>
                <w:color w:val="auto"/>
                <w:highlight w:val="none"/>
                <w:lang w:val="en-US" w:eastAsia="zh-CN"/>
              </w:rPr>
              <w:t>实现功能，</w:t>
            </w:r>
            <w:r>
              <w:rPr>
                <w:rFonts w:hint="eastAsia" w:ascii="宋体" w:hAnsi="宋体" w:eastAsia="宋体" w:cs="宋体"/>
                <w:color w:val="auto"/>
                <w:sz w:val="21"/>
                <w:szCs w:val="21"/>
                <w:highlight w:val="none"/>
                <w:lang w:val="en-US" w:eastAsia="zh-CN"/>
              </w:rPr>
              <w:t>基本符合本项目实际情况，方案不够详细，无直观展示，专业性不强的得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2DAE58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未提供不得分。</w:t>
            </w:r>
          </w:p>
        </w:tc>
        <w:tc>
          <w:tcPr>
            <w:tcW w:w="860" w:type="dxa"/>
            <w:tcBorders>
              <w:top w:val="single" w:color="auto" w:sz="4" w:space="0"/>
              <w:left w:val="nil"/>
              <w:right w:val="single" w:color="000000" w:sz="8" w:space="0"/>
            </w:tcBorders>
            <w:shd w:val="clear" w:color="auto" w:fill="auto"/>
            <w:vAlign w:val="center"/>
          </w:tcPr>
          <w:p w14:paraId="52CDCB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5D92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vMerge w:val="continue"/>
            <w:tcBorders>
              <w:left w:val="single" w:color="000000" w:sz="8" w:space="0"/>
              <w:bottom w:val="single" w:color="000000" w:sz="8" w:space="0"/>
              <w:right w:val="single" w:color="000000" w:sz="8" w:space="0"/>
            </w:tcBorders>
            <w:shd w:val="clear" w:color="auto" w:fill="auto"/>
            <w:vAlign w:val="center"/>
          </w:tcPr>
          <w:p w14:paraId="29EB70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p>
        </w:tc>
        <w:tc>
          <w:tcPr>
            <w:tcW w:w="1040" w:type="dxa"/>
            <w:vMerge w:val="continue"/>
            <w:tcBorders>
              <w:left w:val="nil"/>
              <w:bottom w:val="single" w:color="000000" w:sz="8" w:space="0"/>
              <w:right w:val="single" w:color="000000" w:sz="8" w:space="0"/>
            </w:tcBorders>
            <w:shd w:val="clear" w:color="auto" w:fill="auto"/>
            <w:vAlign w:val="center"/>
          </w:tcPr>
          <w:p w14:paraId="6467A7A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vMerge w:val="continue"/>
            <w:tcBorders>
              <w:left w:val="nil"/>
              <w:bottom w:val="single" w:color="000000" w:sz="8" w:space="0"/>
              <w:right w:val="single" w:color="000000" w:sz="8" w:space="0"/>
            </w:tcBorders>
            <w:shd w:val="clear" w:color="auto" w:fill="auto"/>
            <w:vAlign w:val="center"/>
          </w:tcPr>
          <w:p w14:paraId="5786D9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rPr>
            </w:pPr>
          </w:p>
        </w:tc>
        <w:tc>
          <w:tcPr>
            <w:tcW w:w="860" w:type="dxa"/>
            <w:tcBorders>
              <w:top w:val="nil"/>
              <w:left w:val="nil"/>
              <w:bottom w:val="single" w:color="000000" w:sz="8" w:space="0"/>
              <w:right w:val="single" w:color="000000" w:sz="8" w:space="0"/>
            </w:tcBorders>
            <w:shd w:val="clear" w:color="auto" w:fill="auto"/>
            <w:vAlign w:val="center"/>
          </w:tcPr>
          <w:p w14:paraId="5E9659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r>
      <w:tr w14:paraId="4DC8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45B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1040" w:type="dxa"/>
            <w:tcBorders>
              <w:top w:val="single" w:color="000000" w:sz="8" w:space="0"/>
              <w:left w:val="nil"/>
              <w:bottom w:val="single" w:color="000000" w:sz="8" w:space="0"/>
              <w:right w:val="single" w:color="000000" w:sz="8" w:space="0"/>
            </w:tcBorders>
            <w:shd w:val="clear" w:color="auto" w:fill="auto"/>
            <w:vAlign w:val="center"/>
          </w:tcPr>
          <w:p w14:paraId="4965E4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巡检方案</w:t>
            </w:r>
          </w:p>
        </w:tc>
        <w:tc>
          <w:tcPr>
            <w:tcW w:w="6703" w:type="dxa"/>
            <w:tcBorders>
              <w:top w:val="nil"/>
              <w:left w:val="nil"/>
              <w:bottom w:val="single" w:color="000000" w:sz="8" w:space="0"/>
              <w:right w:val="single" w:color="000000" w:sz="8" w:space="0"/>
            </w:tcBorders>
            <w:shd w:val="clear" w:color="auto" w:fill="auto"/>
            <w:vAlign w:val="center"/>
          </w:tcPr>
          <w:p w14:paraId="3502C3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巡检方案进行评审:对需求理解充分，提供方案描述内容完整并能完全满足服务要求的，得5分;需求理解比较充分，提供方案描述内容较完整并且能够基本满足招标要求的,存在少量小瑕疵或缺陷的，得4分;需求理解一般，提供方案描述内容不完整或存在未达到招标要求，存在较多瑕症的，得2分;方案内容有重大缺陷，无法响应服务要求的，得0分。</w:t>
            </w:r>
          </w:p>
        </w:tc>
        <w:tc>
          <w:tcPr>
            <w:tcW w:w="860" w:type="dxa"/>
            <w:tcBorders>
              <w:top w:val="nil"/>
              <w:left w:val="nil"/>
              <w:bottom w:val="single" w:color="000000" w:sz="8" w:space="0"/>
              <w:right w:val="single" w:color="000000" w:sz="8" w:space="0"/>
            </w:tcBorders>
            <w:shd w:val="clear" w:color="auto" w:fill="auto"/>
            <w:vAlign w:val="center"/>
          </w:tcPr>
          <w:p w14:paraId="3FA580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5FE1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vMerge w:val="restart"/>
            <w:tcBorders>
              <w:top w:val="single" w:color="000000" w:sz="8" w:space="0"/>
              <w:left w:val="single" w:color="000000" w:sz="8" w:space="0"/>
              <w:right w:val="single" w:color="000000" w:sz="8" w:space="0"/>
            </w:tcBorders>
            <w:shd w:val="clear" w:color="auto" w:fill="auto"/>
            <w:vAlign w:val="center"/>
          </w:tcPr>
          <w:p w14:paraId="2B478E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1040" w:type="dxa"/>
            <w:vMerge w:val="restart"/>
            <w:tcBorders>
              <w:top w:val="single" w:color="000000" w:sz="8" w:space="0"/>
              <w:left w:val="nil"/>
              <w:right w:val="single" w:color="000000" w:sz="8" w:space="0"/>
            </w:tcBorders>
            <w:shd w:val="clear" w:color="auto" w:fill="auto"/>
            <w:vAlign w:val="center"/>
          </w:tcPr>
          <w:p w14:paraId="721EC4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项目实施人员保障</w:t>
            </w:r>
          </w:p>
        </w:tc>
        <w:tc>
          <w:tcPr>
            <w:tcW w:w="6703" w:type="dxa"/>
            <w:tcBorders>
              <w:top w:val="nil"/>
              <w:left w:val="nil"/>
              <w:bottom w:val="single" w:color="000000" w:sz="8" w:space="0"/>
              <w:right w:val="single" w:color="000000" w:sz="8" w:space="0"/>
            </w:tcBorders>
            <w:shd w:val="clear" w:color="auto" w:fill="auto"/>
            <w:vAlign w:val="center"/>
          </w:tcPr>
          <w:p w14:paraId="732EEF6E">
            <w:pPr>
              <w:keepNext w:val="0"/>
              <w:keepLines w:val="0"/>
              <w:pageBreakBefore w:val="0"/>
              <w:widowControl/>
              <w:numPr>
                <w:ilvl w:val="0"/>
                <w:numId w:val="27"/>
              </w:numPr>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sz w:val="22"/>
                <w:szCs w:val="22"/>
                <w:highlight w:val="none"/>
                <w:u w:val="none"/>
                <w:lang w:val="en-US" w:eastAsia="zh-CN"/>
              </w:rPr>
              <w:t>拟派项目负责人具有高级工程师（信息技术）职称，人社部门颁发的信息系统项目管理师、信息安全工程师、网络工程师，每满足一项得1分，最多得3分。</w:t>
            </w:r>
            <w:r>
              <w:rPr>
                <w:rFonts w:hint="eastAsia" w:cs="宋体"/>
                <w:b/>
                <w:bCs/>
                <w:i w:val="0"/>
                <w:iCs w:val="0"/>
                <w:color w:val="auto"/>
                <w:sz w:val="22"/>
                <w:szCs w:val="22"/>
                <w:highlight w:val="none"/>
                <w:u w:val="none"/>
                <w:lang w:val="en-US" w:eastAsia="zh-CN"/>
              </w:rPr>
              <w:t>（注：须同时提供相关证书扫描件和在投标人单位缴纳近3个月的社保证明材料，否则不得分）</w:t>
            </w:r>
          </w:p>
        </w:tc>
        <w:tc>
          <w:tcPr>
            <w:tcW w:w="860" w:type="dxa"/>
            <w:vMerge w:val="restart"/>
            <w:tcBorders>
              <w:top w:val="nil"/>
              <w:left w:val="nil"/>
              <w:right w:val="single" w:color="000000" w:sz="8" w:space="0"/>
            </w:tcBorders>
            <w:shd w:val="clear" w:color="auto" w:fill="auto"/>
            <w:vAlign w:val="center"/>
          </w:tcPr>
          <w:p w14:paraId="4284E8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8</w:t>
            </w:r>
          </w:p>
        </w:tc>
      </w:tr>
      <w:tr w14:paraId="5FF6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vMerge w:val="continue"/>
            <w:tcBorders>
              <w:left w:val="single" w:color="000000" w:sz="8" w:space="0"/>
              <w:right w:val="single" w:color="000000" w:sz="8" w:space="0"/>
            </w:tcBorders>
            <w:shd w:val="clear" w:color="auto" w:fill="auto"/>
            <w:vAlign w:val="center"/>
          </w:tcPr>
          <w:p w14:paraId="7C91A9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1040" w:type="dxa"/>
            <w:vMerge w:val="continue"/>
            <w:tcBorders>
              <w:left w:val="nil"/>
              <w:right w:val="single" w:color="000000" w:sz="8" w:space="0"/>
            </w:tcBorders>
            <w:shd w:val="clear" w:color="auto" w:fill="auto"/>
            <w:vAlign w:val="center"/>
          </w:tcPr>
          <w:p w14:paraId="5C2AA71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tcBorders>
              <w:top w:val="nil"/>
              <w:left w:val="nil"/>
              <w:bottom w:val="single" w:color="000000" w:sz="8" w:space="0"/>
              <w:right w:val="single" w:color="000000" w:sz="8" w:space="0"/>
            </w:tcBorders>
            <w:shd w:val="clear" w:color="auto" w:fill="auto"/>
            <w:vAlign w:val="center"/>
          </w:tcPr>
          <w:p w14:paraId="4DE8DEE6">
            <w:pPr>
              <w:pStyle w:val="45"/>
              <w:keepNext w:val="0"/>
              <w:keepLines w:val="0"/>
              <w:numPr>
                <w:ilvl w:val="0"/>
                <w:numId w:val="27"/>
              </w:numPr>
              <w:suppressLineNumbers w:val="0"/>
              <w:shd w:val="clear"/>
              <w:spacing w:before="0" w:beforeAutospacing="0" w:afterAutospacing="0"/>
              <w:ind w:left="0" w:leftChars="0" w:right="0" w:firstLine="0" w:firstLineChars="0"/>
              <w:rPr>
                <w:rFonts w:hint="eastAsia" w:ascii="宋体" w:hAnsi="宋体" w:eastAsia="宋体" w:cs="宋体"/>
                <w:i w:val="0"/>
                <w:iCs w:val="0"/>
                <w:color w:val="auto"/>
                <w:sz w:val="21"/>
                <w:szCs w:val="21"/>
                <w:highlight w:val="none"/>
                <w:u w:val="none"/>
              </w:rPr>
            </w:pPr>
            <w:r>
              <w:rPr>
                <w:rFonts w:hint="eastAsia" w:ascii="Times New Roman" w:hAnsi="Times New Roman" w:eastAsia="宋体" w:cs="宋体"/>
                <w:i w:val="0"/>
                <w:iCs w:val="0"/>
                <w:color w:val="auto"/>
                <w:kern w:val="2"/>
                <w:sz w:val="22"/>
                <w:szCs w:val="22"/>
                <w:highlight w:val="none"/>
                <w:u w:val="none"/>
                <w:lang w:val="en-US" w:eastAsia="zh-CN" w:bidi="ar-SA"/>
              </w:rPr>
              <w:t>拟派技术负责人具有高级工程师（系统集成）职称，人社部门颁发的一级建造师(机电工程)</w:t>
            </w:r>
            <w:r>
              <w:rPr>
                <w:rFonts w:hint="eastAsia" w:ascii="Times New Roman" w:hAnsi="Times New Roman" w:cs="宋体"/>
                <w:i w:val="0"/>
                <w:iCs w:val="0"/>
                <w:color w:val="auto"/>
                <w:kern w:val="2"/>
                <w:sz w:val="22"/>
                <w:szCs w:val="22"/>
                <w:highlight w:val="none"/>
                <w:u w:val="none"/>
                <w:lang w:val="en-US" w:eastAsia="zh-CN" w:bidi="ar-SA"/>
              </w:rPr>
              <w:t>、</w:t>
            </w:r>
            <w:r>
              <w:rPr>
                <w:rFonts w:hint="eastAsia" w:ascii="Times New Roman" w:hAnsi="Times New Roman" w:eastAsia="宋体" w:cs="宋体"/>
                <w:i w:val="0"/>
                <w:iCs w:val="0"/>
                <w:color w:val="auto"/>
                <w:kern w:val="2"/>
                <w:sz w:val="22"/>
                <w:szCs w:val="22"/>
                <w:highlight w:val="none"/>
                <w:u w:val="none"/>
                <w:lang w:val="en-US" w:eastAsia="zh-CN" w:bidi="ar-SA"/>
              </w:rPr>
              <w:t>信息系统项目管理师、系统规划与管理师、</w:t>
            </w:r>
            <w:r>
              <w:rPr>
                <w:rFonts w:hint="eastAsia" w:ascii="Times New Roman" w:hAnsi="Times New Roman" w:cs="宋体"/>
                <w:i w:val="0"/>
                <w:iCs w:val="0"/>
                <w:color w:val="auto"/>
                <w:kern w:val="2"/>
                <w:sz w:val="22"/>
                <w:szCs w:val="22"/>
                <w:highlight w:val="none"/>
                <w:u w:val="none"/>
                <w:lang w:val="en-US" w:eastAsia="zh-CN" w:bidi="ar-SA"/>
              </w:rPr>
              <w:t>系统集成项目管理工程师、</w:t>
            </w:r>
            <w:r>
              <w:rPr>
                <w:rFonts w:hint="eastAsia" w:ascii="Times New Roman" w:hAnsi="Times New Roman" w:eastAsia="宋体" w:cs="宋体"/>
                <w:i w:val="0"/>
                <w:iCs w:val="0"/>
                <w:color w:val="auto"/>
                <w:kern w:val="2"/>
                <w:sz w:val="22"/>
                <w:szCs w:val="22"/>
                <w:highlight w:val="none"/>
                <w:u w:val="none"/>
                <w:lang w:val="en-US" w:eastAsia="zh-CN" w:bidi="ar-SA"/>
              </w:rPr>
              <w:t>网络工程师，每满足一项得1分，最多得3分。</w:t>
            </w:r>
            <w:r>
              <w:rPr>
                <w:rFonts w:hint="eastAsia" w:ascii="Times New Roman" w:hAnsi="Times New Roman" w:eastAsia="宋体" w:cs="宋体"/>
                <w:b/>
                <w:bCs/>
                <w:i w:val="0"/>
                <w:iCs w:val="0"/>
                <w:color w:val="auto"/>
                <w:kern w:val="2"/>
                <w:sz w:val="22"/>
                <w:szCs w:val="22"/>
                <w:highlight w:val="none"/>
                <w:u w:val="none"/>
                <w:lang w:val="en-US" w:eastAsia="zh-CN" w:bidi="ar-SA"/>
              </w:rPr>
              <w:t>（注：须同时提供相关证书扫描件和在投标人单位缴纳近3个月的社保证明材料，否则不得分）</w:t>
            </w:r>
          </w:p>
        </w:tc>
        <w:tc>
          <w:tcPr>
            <w:tcW w:w="860" w:type="dxa"/>
            <w:vMerge w:val="continue"/>
            <w:tcBorders>
              <w:left w:val="nil"/>
              <w:right w:val="single" w:color="000000" w:sz="8" w:space="0"/>
            </w:tcBorders>
            <w:shd w:val="clear" w:color="auto" w:fill="auto"/>
            <w:vAlign w:val="center"/>
          </w:tcPr>
          <w:p w14:paraId="7C0A6F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r>
      <w:tr w14:paraId="2535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vMerge w:val="continue"/>
            <w:tcBorders>
              <w:left w:val="single" w:color="000000" w:sz="8" w:space="0"/>
              <w:bottom w:val="single" w:color="000000" w:sz="8" w:space="0"/>
              <w:right w:val="single" w:color="000000" w:sz="8" w:space="0"/>
            </w:tcBorders>
            <w:shd w:val="clear" w:color="auto" w:fill="auto"/>
            <w:vAlign w:val="center"/>
          </w:tcPr>
          <w:p w14:paraId="77C8C3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1040" w:type="dxa"/>
            <w:vMerge w:val="continue"/>
            <w:tcBorders>
              <w:left w:val="nil"/>
              <w:bottom w:val="single" w:color="000000" w:sz="8" w:space="0"/>
              <w:right w:val="single" w:color="000000" w:sz="8" w:space="0"/>
            </w:tcBorders>
            <w:shd w:val="clear" w:color="auto" w:fill="auto"/>
            <w:vAlign w:val="center"/>
          </w:tcPr>
          <w:p w14:paraId="461358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tcBorders>
              <w:top w:val="nil"/>
              <w:left w:val="nil"/>
              <w:bottom w:val="single" w:color="000000" w:sz="8" w:space="0"/>
              <w:right w:val="single" w:color="000000" w:sz="8" w:space="0"/>
            </w:tcBorders>
            <w:shd w:val="clear" w:color="auto" w:fill="auto"/>
            <w:vAlign w:val="center"/>
          </w:tcPr>
          <w:p w14:paraId="54B9DE55">
            <w:pPr>
              <w:pStyle w:val="45"/>
              <w:keepNext w:val="0"/>
              <w:keepLines w:val="0"/>
              <w:numPr>
                <w:ilvl w:val="0"/>
                <w:numId w:val="0"/>
              </w:numPr>
              <w:suppressLineNumbers w:val="0"/>
              <w:shd w:val="clear"/>
              <w:spacing w:before="0" w:beforeAutospacing="0" w:afterAutospacing="0"/>
              <w:ind w:leftChars="0" w:right="0" w:rightChars="0"/>
              <w:rPr>
                <w:rFonts w:hint="default" w:ascii="宋体" w:hAnsi="宋体" w:eastAsia="宋体" w:cs="宋体"/>
                <w:b/>
                <w:bCs/>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2"/>
                <w:sz w:val="22"/>
                <w:szCs w:val="22"/>
                <w:highlight w:val="none"/>
                <w:u w:val="none"/>
                <w:lang w:val="en-US" w:eastAsia="zh-CN" w:bidi="ar-SA"/>
              </w:rPr>
              <w:t>3.</w:t>
            </w:r>
            <w:r>
              <w:rPr>
                <w:rFonts w:hint="eastAsia" w:ascii="Times New Roman" w:hAnsi="Times New Roman" w:cs="宋体"/>
                <w:i w:val="0"/>
                <w:iCs w:val="0"/>
                <w:color w:val="auto"/>
                <w:kern w:val="2"/>
                <w:sz w:val="22"/>
                <w:szCs w:val="22"/>
                <w:highlight w:val="none"/>
                <w:u w:val="none"/>
                <w:lang w:val="en-US" w:eastAsia="zh-CN" w:bidi="ar-SA"/>
              </w:rPr>
              <w:t xml:space="preserve"> </w:t>
            </w:r>
            <w:r>
              <w:rPr>
                <w:rFonts w:hint="eastAsia" w:ascii="Times New Roman" w:hAnsi="Times New Roman" w:eastAsia="宋体" w:cs="宋体"/>
                <w:i w:val="0"/>
                <w:iCs w:val="0"/>
                <w:color w:val="auto"/>
                <w:kern w:val="2"/>
                <w:sz w:val="22"/>
                <w:szCs w:val="22"/>
                <w:highlight w:val="none"/>
                <w:u w:val="none"/>
                <w:lang w:val="en-US" w:eastAsia="zh-CN" w:bidi="ar-SA"/>
              </w:rPr>
              <w:t>项目实施团队成员（不含项目负责人、技术负责人）具有与本项目实施相适应的资质证书（人社部或工信部颁发的以下各类资质证书：信息系统项目管理类、大数据类、网络工程类、信息安全类、互联网技术类），每覆盖一类得0.5分，最高得2分。</w:t>
            </w:r>
            <w:r>
              <w:rPr>
                <w:rFonts w:hint="eastAsia" w:ascii="Times New Roman" w:hAnsi="Times New Roman" w:eastAsia="宋体" w:cs="宋体"/>
                <w:b/>
                <w:bCs/>
                <w:i w:val="0"/>
                <w:iCs w:val="0"/>
                <w:color w:val="auto"/>
                <w:kern w:val="2"/>
                <w:sz w:val="22"/>
                <w:szCs w:val="22"/>
                <w:highlight w:val="none"/>
                <w:u w:val="none"/>
                <w:lang w:val="en-US" w:eastAsia="zh-CN" w:bidi="ar-SA"/>
              </w:rPr>
              <w:t>（注：须同时提供相关证书扫描件和在投标人单位缴纳近3个月的社保证明材料，否则不得分）</w:t>
            </w:r>
          </w:p>
        </w:tc>
        <w:tc>
          <w:tcPr>
            <w:tcW w:w="860" w:type="dxa"/>
            <w:vMerge w:val="continue"/>
            <w:tcBorders>
              <w:left w:val="nil"/>
              <w:bottom w:val="single" w:color="000000" w:sz="8" w:space="0"/>
              <w:right w:val="single" w:color="000000" w:sz="8" w:space="0"/>
            </w:tcBorders>
            <w:shd w:val="clear" w:color="auto" w:fill="auto"/>
            <w:vAlign w:val="center"/>
          </w:tcPr>
          <w:p w14:paraId="117255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r>
      <w:tr w14:paraId="32D4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2BD76C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1040" w:type="dxa"/>
            <w:tcBorders>
              <w:top w:val="nil"/>
              <w:left w:val="nil"/>
              <w:bottom w:val="single" w:color="000000" w:sz="8" w:space="0"/>
              <w:right w:val="single" w:color="000000" w:sz="8" w:space="0"/>
            </w:tcBorders>
            <w:shd w:val="clear" w:color="auto" w:fill="auto"/>
            <w:vAlign w:val="center"/>
          </w:tcPr>
          <w:p w14:paraId="007D95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w:t>
            </w:r>
          </w:p>
        </w:tc>
        <w:tc>
          <w:tcPr>
            <w:tcW w:w="6703" w:type="dxa"/>
            <w:tcBorders>
              <w:top w:val="nil"/>
              <w:left w:val="nil"/>
              <w:bottom w:val="single" w:color="000000" w:sz="8" w:space="0"/>
              <w:right w:val="single" w:color="000000" w:sz="8" w:space="0"/>
            </w:tcBorders>
            <w:shd w:val="clear" w:color="auto" w:fill="auto"/>
            <w:vAlign w:val="center"/>
          </w:tcPr>
          <w:p w14:paraId="4F1BE5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根据供应商提供的培训方案能否满足采购需求判定评分，内容完整、措施有效、符合采购需求、具有针对性视为符合。内容完全符合得4分，基本符合得3分，部分符合得2分，不符合得1分，未提供内容得0分。</w:t>
            </w:r>
          </w:p>
        </w:tc>
        <w:tc>
          <w:tcPr>
            <w:tcW w:w="860" w:type="dxa"/>
            <w:tcBorders>
              <w:top w:val="nil"/>
              <w:left w:val="nil"/>
              <w:bottom w:val="single" w:color="000000" w:sz="8" w:space="0"/>
              <w:right w:val="single" w:color="000000" w:sz="8" w:space="0"/>
            </w:tcBorders>
            <w:shd w:val="clear" w:color="auto" w:fill="auto"/>
            <w:vAlign w:val="center"/>
          </w:tcPr>
          <w:p w14:paraId="1EBA05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0B3E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33732DA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040" w:type="dxa"/>
            <w:tcBorders>
              <w:top w:val="nil"/>
              <w:left w:val="nil"/>
              <w:bottom w:val="single" w:color="000000" w:sz="8" w:space="0"/>
              <w:right w:val="single" w:color="000000" w:sz="8" w:space="0"/>
            </w:tcBorders>
            <w:shd w:val="clear" w:color="auto" w:fill="auto"/>
            <w:vAlign w:val="center"/>
          </w:tcPr>
          <w:p w14:paraId="286ECB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应急方案</w:t>
            </w:r>
          </w:p>
        </w:tc>
        <w:tc>
          <w:tcPr>
            <w:tcW w:w="6703" w:type="dxa"/>
            <w:tcBorders>
              <w:top w:val="nil"/>
              <w:left w:val="nil"/>
              <w:bottom w:val="single" w:color="000000" w:sz="8" w:space="0"/>
              <w:right w:val="single" w:color="000000" w:sz="8" w:space="0"/>
            </w:tcBorders>
            <w:shd w:val="clear" w:color="auto" w:fill="auto"/>
            <w:vAlign w:val="center"/>
          </w:tcPr>
          <w:p w14:paraId="4FBBC3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根据项目实施过程可能出现不可预见的紧急情况,搭配足量的备品备件及快速响应，提供有效可行的应急方案。根据提供的应急方案能否满足采购需求判定评分，内容完整、措施有效、符合采购需求,具有针对性视为符合。内容完全符合得4分，部分符合得2分，基本不符合得1分，未提供内容不得分。</w:t>
            </w:r>
          </w:p>
        </w:tc>
        <w:tc>
          <w:tcPr>
            <w:tcW w:w="860" w:type="dxa"/>
            <w:tcBorders>
              <w:top w:val="nil"/>
              <w:left w:val="nil"/>
              <w:bottom w:val="single" w:color="000000" w:sz="8" w:space="0"/>
              <w:right w:val="single" w:color="000000" w:sz="8" w:space="0"/>
            </w:tcBorders>
            <w:shd w:val="clear" w:color="auto" w:fill="auto"/>
            <w:vAlign w:val="center"/>
          </w:tcPr>
          <w:p w14:paraId="0B73AE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29A2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6"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3EAE79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c>
          <w:tcPr>
            <w:tcW w:w="1040" w:type="dxa"/>
            <w:tcBorders>
              <w:top w:val="nil"/>
              <w:left w:val="nil"/>
              <w:bottom w:val="single" w:color="000000" w:sz="8" w:space="0"/>
              <w:right w:val="single" w:color="000000" w:sz="8" w:space="0"/>
            </w:tcBorders>
            <w:shd w:val="clear" w:color="auto" w:fill="auto"/>
            <w:vAlign w:val="center"/>
          </w:tcPr>
          <w:p w14:paraId="13D497F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新增服务</w:t>
            </w:r>
          </w:p>
        </w:tc>
        <w:tc>
          <w:tcPr>
            <w:tcW w:w="6703" w:type="dxa"/>
            <w:tcBorders>
              <w:top w:val="nil"/>
              <w:left w:val="nil"/>
              <w:bottom w:val="single" w:color="000000" w:sz="8" w:space="0"/>
              <w:right w:val="single" w:color="000000" w:sz="8" w:space="0"/>
            </w:tcBorders>
            <w:shd w:val="clear" w:color="auto" w:fill="auto"/>
            <w:vAlign w:val="center"/>
          </w:tcPr>
          <w:p w14:paraId="2B6A0C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default"/>
                <w:color w:val="auto"/>
                <w:highlight w:val="none"/>
                <w:lang w:val="en-US" w:eastAsia="zh-CN"/>
              </w:rPr>
            </w:pPr>
            <w:r>
              <w:rPr>
                <w:rFonts w:hint="default"/>
                <w:color w:val="auto"/>
                <w:highlight w:val="none"/>
              </w:rPr>
              <w:t>根据前段监控建设需求清单进行建设点位选择，选择建设点位总数</w:t>
            </w:r>
            <w:r>
              <w:rPr>
                <w:rFonts w:hint="eastAsia"/>
                <w:color w:val="auto"/>
                <w:highlight w:val="none"/>
                <w:lang w:val="en-US" w:eastAsia="zh-CN"/>
              </w:rPr>
              <w:t>10（含）</w:t>
            </w:r>
            <w:r>
              <w:rPr>
                <w:rFonts w:hint="default"/>
                <w:color w:val="auto"/>
                <w:highlight w:val="none"/>
              </w:rPr>
              <w:t>处</w:t>
            </w:r>
            <w:r>
              <w:rPr>
                <w:rFonts w:hint="eastAsia"/>
                <w:color w:val="auto"/>
                <w:highlight w:val="none"/>
                <w:lang w:val="en-US" w:eastAsia="zh-CN"/>
              </w:rPr>
              <w:t>的</w:t>
            </w:r>
            <w:r>
              <w:rPr>
                <w:rFonts w:hint="default"/>
                <w:color w:val="auto"/>
                <w:highlight w:val="none"/>
              </w:rPr>
              <w:t>，得</w:t>
            </w:r>
            <w:r>
              <w:rPr>
                <w:rFonts w:hint="eastAsia"/>
                <w:color w:val="auto"/>
                <w:highlight w:val="none"/>
                <w:lang w:val="en-US" w:eastAsia="zh-CN"/>
              </w:rPr>
              <w:t>6</w:t>
            </w:r>
            <w:r>
              <w:rPr>
                <w:rFonts w:hint="default"/>
                <w:color w:val="auto"/>
                <w:highlight w:val="none"/>
              </w:rPr>
              <w:t>分</w:t>
            </w:r>
            <w:r>
              <w:rPr>
                <w:rFonts w:hint="eastAsia"/>
                <w:color w:val="auto"/>
                <w:highlight w:val="none"/>
                <w:lang w:eastAsia="zh-CN"/>
              </w:rPr>
              <w:t>，</w:t>
            </w:r>
            <w:r>
              <w:rPr>
                <w:rFonts w:hint="eastAsia"/>
                <w:color w:val="auto"/>
                <w:highlight w:val="none"/>
                <w:lang w:val="en-US" w:eastAsia="zh-CN"/>
              </w:rPr>
              <w:t>10处以下的不得分</w:t>
            </w:r>
            <w:r>
              <w:rPr>
                <w:rFonts w:hint="eastAsia"/>
                <w:color w:val="auto"/>
                <w:highlight w:val="none"/>
                <w:lang w:eastAsia="zh-CN"/>
              </w:rPr>
              <w:t>；</w:t>
            </w:r>
            <w:r>
              <w:rPr>
                <w:rFonts w:hint="eastAsia"/>
                <w:color w:val="auto"/>
                <w:highlight w:val="none"/>
                <w:lang w:val="en-US" w:eastAsia="zh-CN"/>
              </w:rPr>
              <w:t>承诺</w:t>
            </w:r>
            <w:r>
              <w:rPr>
                <w:rFonts w:hint="default"/>
                <w:color w:val="auto"/>
                <w:highlight w:val="none"/>
              </w:rPr>
              <w:t>每多建设一个点位</w:t>
            </w:r>
            <w:r>
              <w:rPr>
                <w:rFonts w:hint="eastAsia"/>
                <w:color w:val="auto"/>
                <w:highlight w:val="none"/>
                <w:lang w:val="en-US" w:eastAsia="zh-CN"/>
              </w:rPr>
              <w:t>加</w:t>
            </w:r>
            <w:r>
              <w:rPr>
                <w:rFonts w:hint="default"/>
                <w:color w:val="auto"/>
                <w:highlight w:val="none"/>
              </w:rPr>
              <w:t>0.5分</w:t>
            </w:r>
            <w:r>
              <w:rPr>
                <w:rFonts w:hint="eastAsia"/>
                <w:color w:val="auto"/>
                <w:highlight w:val="none"/>
                <w:lang w:eastAsia="zh-CN"/>
              </w:rPr>
              <w:t>。</w:t>
            </w:r>
            <w:r>
              <w:rPr>
                <w:rFonts w:hint="default"/>
                <w:color w:val="auto"/>
                <w:highlight w:val="none"/>
              </w:rPr>
              <w:t xml:space="preserve"> 按照清单要求选择的点位</w:t>
            </w:r>
            <w:r>
              <w:rPr>
                <w:rFonts w:hint="eastAsia"/>
                <w:color w:val="auto"/>
                <w:highlight w:val="none"/>
                <w:lang w:eastAsia="zh-CN"/>
              </w:rPr>
              <w:t>为超过</w:t>
            </w:r>
            <w:r>
              <w:rPr>
                <w:rFonts w:hint="eastAsia"/>
                <w:color w:val="auto"/>
                <w:highlight w:val="none"/>
                <w:lang w:val="en-US" w:eastAsia="zh-CN"/>
              </w:rPr>
              <w:t>1个</w:t>
            </w:r>
            <w:r>
              <w:rPr>
                <w:rFonts w:hint="default"/>
                <w:color w:val="auto"/>
                <w:highlight w:val="none"/>
              </w:rPr>
              <w:t>摄像头</w:t>
            </w:r>
            <w:r>
              <w:rPr>
                <w:rFonts w:hint="eastAsia"/>
                <w:color w:val="auto"/>
                <w:highlight w:val="none"/>
                <w:lang w:eastAsia="zh-CN"/>
              </w:rPr>
              <w:t>的每</w:t>
            </w:r>
            <w:r>
              <w:rPr>
                <w:rFonts w:hint="eastAsia"/>
                <w:color w:val="auto"/>
                <w:highlight w:val="none"/>
                <w:lang w:val="en-US" w:eastAsia="zh-CN"/>
              </w:rPr>
              <w:t>增加1个摄像头</w:t>
            </w:r>
            <w:r>
              <w:rPr>
                <w:rFonts w:hint="eastAsia"/>
                <w:color w:val="auto"/>
                <w:highlight w:val="none"/>
                <w:lang w:eastAsia="zh-CN"/>
              </w:rPr>
              <w:t>加</w:t>
            </w:r>
            <w:r>
              <w:rPr>
                <w:rFonts w:hint="default"/>
                <w:color w:val="auto"/>
                <w:highlight w:val="none"/>
              </w:rPr>
              <w:t>0.2分。</w:t>
            </w:r>
            <w:r>
              <w:rPr>
                <w:rFonts w:hint="eastAsia"/>
                <w:color w:val="auto"/>
                <w:highlight w:val="none"/>
                <w:lang w:eastAsia="zh-CN"/>
              </w:rPr>
              <w:t>按照清单承诺建设全部</w:t>
            </w:r>
            <w:r>
              <w:rPr>
                <w:rFonts w:hint="eastAsia"/>
                <w:color w:val="auto"/>
                <w:highlight w:val="none"/>
                <w:lang w:val="en-US" w:eastAsia="zh-CN"/>
              </w:rPr>
              <w:t>21处点位（27个摄像头）得13分，本项最高得13分。</w:t>
            </w:r>
          </w:p>
          <w:p w14:paraId="66FC08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备注：其中高清智慧球机不少于摄像头总数</w:t>
            </w:r>
            <w:r>
              <w:rPr>
                <w:rFonts w:hint="eastAsia" w:cs="Times New Roman"/>
                <w:color w:val="auto"/>
                <w:kern w:val="2"/>
                <w:sz w:val="21"/>
                <w:szCs w:val="24"/>
                <w:highlight w:val="none"/>
                <w:lang w:val="en-US" w:eastAsia="zh-CN" w:bidi="ar-SA"/>
              </w:rPr>
              <w:t>15</w:t>
            </w:r>
            <w:r>
              <w:rPr>
                <w:rFonts w:hint="eastAsia" w:ascii="Times New Roman" w:hAnsi="Times New Roman" w:eastAsia="宋体" w:cs="Times New Roman"/>
                <w:color w:val="auto"/>
                <w:kern w:val="2"/>
                <w:sz w:val="21"/>
                <w:szCs w:val="24"/>
                <w:highlight w:val="none"/>
                <w:lang w:val="en-US" w:eastAsia="zh-CN" w:bidi="ar-SA"/>
              </w:rPr>
              <w:t>%，智慧球机不少于摄像头总数15%。如因场地施工原因，经协商一致，允许使用不超过摄像头总数15%的网络红外球机。</w:t>
            </w:r>
            <w:r>
              <w:rPr>
                <w:rFonts w:hint="eastAsia"/>
                <w:color w:val="auto"/>
                <w:highlight w:val="none"/>
                <w:lang w:val="en-US" w:eastAsia="zh-CN"/>
              </w:rPr>
              <w:t>需提供后期不同类型摄像头配置数量，不符合要求得该项不得分。</w:t>
            </w:r>
          </w:p>
          <w:p w14:paraId="07F1FFD5">
            <w:pPr>
              <w:pStyle w:val="2"/>
              <w:keepNext w:val="0"/>
              <w:keepLines w:val="0"/>
              <w:suppressLineNumbers w:val="0"/>
              <w:shd w:val="clear"/>
              <w:spacing w:before="0" w:beforeAutospacing="0" w:after="0" w:afterAutospacing="0"/>
              <w:ind w:left="0" w:right="0"/>
              <w:rPr>
                <w:rFonts w:hint="default"/>
                <w:color w:val="auto"/>
                <w:highlight w:val="none"/>
                <w:lang w:val="en-US"/>
              </w:rPr>
            </w:pPr>
          </w:p>
        </w:tc>
        <w:tc>
          <w:tcPr>
            <w:tcW w:w="860" w:type="dxa"/>
            <w:tcBorders>
              <w:top w:val="nil"/>
              <w:left w:val="nil"/>
              <w:bottom w:val="single" w:color="000000" w:sz="8" w:space="0"/>
              <w:right w:val="single" w:color="000000" w:sz="8" w:space="0"/>
            </w:tcBorders>
            <w:shd w:val="clear" w:color="auto" w:fill="auto"/>
            <w:vAlign w:val="center"/>
          </w:tcPr>
          <w:p w14:paraId="5EBEF3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13</w:t>
            </w:r>
          </w:p>
        </w:tc>
      </w:tr>
      <w:tr w14:paraId="1BAB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3DC008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12</w:t>
            </w:r>
          </w:p>
        </w:tc>
        <w:tc>
          <w:tcPr>
            <w:tcW w:w="1040" w:type="dxa"/>
            <w:tcBorders>
              <w:top w:val="nil"/>
              <w:left w:val="nil"/>
              <w:bottom w:val="single" w:color="000000" w:sz="8" w:space="0"/>
              <w:right w:val="single" w:color="000000" w:sz="8" w:space="0"/>
            </w:tcBorders>
            <w:shd w:val="clear" w:color="auto" w:fill="auto"/>
            <w:vAlign w:val="center"/>
          </w:tcPr>
          <w:p w14:paraId="08E5021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后期</w:t>
            </w:r>
            <w:r>
              <w:rPr>
                <w:rFonts w:hint="eastAsia" w:ascii="宋体" w:hAnsi="宋体" w:cs="宋体"/>
                <w:i w:val="0"/>
                <w:iCs w:val="0"/>
                <w:color w:val="auto"/>
                <w:kern w:val="0"/>
                <w:sz w:val="22"/>
                <w:szCs w:val="22"/>
                <w:highlight w:val="none"/>
                <w:u w:val="none"/>
                <w:lang w:val="en-US" w:eastAsia="zh-CN" w:bidi="ar"/>
              </w:rPr>
              <w:t>响应</w:t>
            </w:r>
            <w:r>
              <w:rPr>
                <w:rFonts w:hint="eastAsia" w:ascii="宋体" w:hAnsi="宋体" w:eastAsia="宋体" w:cs="宋体"/>
                <w:i w:val="0"/>
                <w:iCs w:val="0"/>
                <w:color w:val="auto"/>
                <w:kern w:val="0"/>
                <w:sz w:val="22"/>
                <w:szCs w:val="22"/>
                <w:highlight w:val="none"/>
                <w:u w:val="none"/>
                <w:lang w:val="en-US" w:eastAsia="zh-CN" w:bidi="ar"/>
              </w:rPr>
              <w:t>服务及承诺</w:t>
            </w:r>
          </w:p>
        </w:tc>
        <w:tc>
          <w:tcPr>
            <w:tcW w:w="6703" w:type="dxa"/>
            <w:tcBorders>
              <w:top w:val="nil"/>
              <w:left w:val="nil"/>
              <w:bottom w:val="single" w:color="000000" w:sz="8" w:space="0"/>
              <w:right w:val="single" w:color="000000" w:sz="8" w:space="0"/>
            </w:tcBorders>
            <w:shd w:val="clear" w:color="auto" w:fill="auto"/>
            <w:vAlign w:val="center"/>
          </w:tcPr>
          <w:p w14:paraId="6B29E1B7">
            <w:pPr>
              <w:keepNext w:val="0"/>
              <w:keepLines w:val="0"/>
              <w:pageBreakBefore w:val="0"/>
              <w:widowControl w:val="0"/>
              <w:numPr>
                <w:ilvl w:val="1"/>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outlineLvl w:val="1"/>
              <w:rPr>
                <w:rFonts w:hint="default" w:ascii="微软雅黑" w:hAnsi="微软雅黑" w:eastAsia="微软雅黑" w:cs="微软雅黑"/>
                <w:i w:val="0"/>
                <w:iCs w:val="0"/>
                <w:caps w:val="0"/>
                <w:color w:val="auto"/>
                <w:spacing w:val="0"/>
                <w:sz w:val="21"/>
                <w:szCs w:val="21"/>
                <w:highlight w:val="none"/>
                <w:shd w:val="clear" w:fill="C9E7FF"/>
              </w:rPr>
            </w:pPr>
            <w:r>
              <w:rPr>
                <w:rFonts w:hint="eastAsia" w:ascii="宋体" w:hAnsi="宋体" w:eastAsia="宋体" w:cs="宋体"/>
                <w:i w:val="0"/>
                <w:iCs w:val="0"/>
                <w:color w:val="auto"/>
                <w:kern w:val="0"/>
                <w:sz w:val="22"/>
                <w:szCs w:val="22"/>
                <w:highlight w:val="none"/>
                <w:u w:val="none"/>
                <w:lang w:val="en-US" w:eastAsia="zh-CN" w:bidi="ar"/>
              </w:rPr>
              <w:t>根据供应商提供的</w:t>
            </w:r>
            <w:r>
              <w:rPr>
                <w:rFonts w:hint="eastAsia" w:ascii="Times New Roman" w:hAnsi="Times New Roman" w:eastAsia="宋体" w:cs="Times New Roman"/>
                <w:color w:val="auto"/>
                <w:highlight w:val="none"/>
                <w:lang w:val="en-US" w:eastAsia="zh-CN"/>
              </w:rPr>
              <w:t>总体维保服务及承诺方案判定评分，内容完整,措施有效。符合采购需求，具有针对性视为符合，内容完全符合得3分。</w:t>
            </w:r>
          </w:p>
        </w:tc>
        <w:tc>
          <w:tcPr>
            <w:tcW w:w="860" w:type="dxa"/>
            <w:tcBorders>
              <w:top w:val="nil"/>
              <w:left w:val="nil"/>
              <w:bottom w:val="single" w:color="000000" w:sz="8" w:space="0"/>
              <w:right w:val="single" w:color="000000" w:sz="8" w:space="0"/>
            </w:tcBorders>
            <w:shd w:val="clear" w:color="auto" w:fill="auto"/>
            <w:vAlign w:val="center"/>
          </w:tcPr>
          <w:p w14:paraId="38AB98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3分</w:t>
            </w:r>
          </w:p>
        </w:tc>
      </w:tr>
      <w:tr w14:paraId="7696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65" w:type="dxa"/>
            <w:gridSpan w:val="2"/>
            <w:tcBorders>
              <w:top w:val="nil"/>
              <w:left w:val="single" w:color="000000" w:sz="8" w:space="0"/>
              <w:bottom w:val="single" w:color="000000" w:sz="8" w:space="0"/>
              <w:right w:val="single" w:color="000000" w:sz="8" w:space="0"/>
            </w:tcBorders>
            <w:shd w:val="clear" w:color="auto" w:fill="auto"/>
            <w:vAlign w:val="center"/>
          </w:tcPr>
          <w:p w14:paraId="114E85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价格20分</w:t>
            </w:r>
          </w:p>
        </w:tc>
        <w:tc>
          <w:tcPr>
            <w:tcW w:w="7563" w:type="dxa"/>
            <w:gridSpan w:val="2"/>
            <w:tcBorders>
              <w:top w:val="nil"/>
              <w:left w:val="nil"/>
              <w:bottom w:val="single" w:color="000000" w:sz="8" w:space="0"/>
              <w:right w:val="single" w:color="000000" w:sz="8" w:space="0"/>
            </w:tcBorders>
            <w:shd w:val="clear" w:color="auto" w:fill="auto"/>
            <w:vAlign w:val="center"/>
          </w:tcPr>
          <w:p w14:paraId="4C3A5D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有效报价的最低价为基准价，其价格分为20分。其它投标人的价格分按照下列公式计算：投标报价得分=（评标基准价/投标报价）×20（小数点后保留2位小数）（注：对于小型和微型企业产品的价格给予10%的扣除，用扣除后的价格参与评审。小型和微型企业需填写《小微企业声明函》。</w:t>
            </w:r>
          </w:p>
        </w:tc>
      </w:tr>
    </w:tbl>
    <w:p w14:paraId="360B8C83">
      <w:pPr>
        <w:shd w:val="clear"/>
        <w:spacing w:line="360" w:lineRule="auto"/>
        <w:ind w:firstLine="472" w:firstLineChars="196"/>
        <w:jc w:val="center"/>
        <w:rPr>
          <w:rFonts w:hAnsi="宋体" w:cs="仿宋_GB2312"/>
          <w:b/>
          <w:bCs/>
          <w:color w:val="auto"/>
          <w:sz w:val="24"/>
          <w:highlight w:val="none"/>
        </w:rPr>
      </w:pPr>
    </w:p>
    <w:p w14:paraId="07E24AE2">
      <w:pPr>
        <w:shd w:val="clear"/>
        <w:rPr>
          <w:color w:val="auto"/>
          <w:highlight w:val="none"/>
        </w:rPr>
        <w:sectPr>
          <w:footerReference r:id="rId3" w:type="default"/>
          <w:pgSz w:w="11906" w:h="16838"/>
          <w:pgMar w:top="1440" w:right="1800" w:bottom="1440" w:left="1800" w:header="851" w:footer="851" w:gutter="0"/>
          <w:cols w:space="720" w:num="1"/>
          <w:docGrid w:linePitch="312" w:charSpace="0"/>
        </w:sectPr>
      </w:pPr>
    </w:p>
    <w:p w14:paraId="6491785B">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14:paraId="79A11936">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b/>
          <w:color w:val="auto"/>
          <w:sz w:val="24"/>
          <w:highlight w:val="none"/>
        </w:rPr>
        <w:t>一、采购项目一览表</w:t>
      </w:r>
    </w:p>
    <w:p w14:paraId="7C784ECD">
      <w:pPr>
        <w:shd w:val="clear"/>
        <w:tabs>
          <w:tab w:val="left" w:pos="8280"/>
        </w:tabs>
        <w:autoSpaceDE w:val="0"/>
        <w:autoSpaceDN w:val="0"/>
        <w:adjustRightInd w:val="0"/>
        <w:spacing w:line="360" w:lineRule="auto"/>
        <w:ind w:right="25" w:firstLine="280"/>
        <w:rPr>
          <w:rFonts w:ascii="宋体" w:hAnsi="宋体"/>
          <w:color w:val="auto"/>
          <w:sz w:val="24"/>
          <w:highlight w:val="none"/>
        </w:rPr>
      </w:pPr>
      <w:r>
        <w:rPr>
          <w:rFonts w:hint="eastAsia" w:ascii="宋体" w:hAnsi="宋体"/>
          <w:color w:val="auto"/>
          <w:sz w:val="24"/>
          <w:highlight w:val="none"/>
        </w:rPr>
        <w:t>本次采购共</w:t>
      </w:r>
      <w:r>
        <w:rPr>
          <w:rFonts w:hint="eastAsia" w:ascii="宋体" w:hAnsi="宋体"/>
          <w:color w:val="auto"/>
          <w:sz w:val="24"/>
          <w:highlight w:val="none"/>
          <w:u w:val="single"/>
        </w:rPr>
        <w:t xml:space="preserve">  1 </w:t>
      </w:r>
      <w:r>
        <w:rPr>
          <w:rFonts w:hint="eastAsia" w:ascii="宋体" w:hAnsi="宋体"/>
          <w:color w:val="auto"/>
          <w:sz w:val="24"/>
          <w:highlight w:val="none"/>
        </w:rPr>
        <w:t>个标段，具体内容如下表：</w:t>
      </w:r>
    </w:p>
    <w:tbl>
      <w:tblPr>
        <w:tblStyle w:val="4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436"/>
        <w:gridCol w:w="1500"/>
        <w:gridCol w:w="795"/>
        <w:gridCol w:w="840"/>
        <w:gridCol w:w="1590"/>
        <w:gridCol w:w="1250"/>
      </w:tblGrid>
      <w:tr w14:paraId="04EB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325" w:type="dxa"/>
            <w:noWrap/>
            <w:vAlign w:val="center"/>
          </w:tcPr>
          <w:p w14:paraId="3ED7DCD7">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标段号</w:t>
            </w:r>
          </w:p>
        </w:tc>
        <w:tc>
          <w:tcPr>
            <w:tcW w:w="2436" w:type="dxa"/>
            <w:noWrap/>
            <w:vAlign w:val="center"/>
          </w:tcPr>
          <w:p w14:paraId="70463B3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105" w:firstLineChars="50"/>
              <w:jc w:val="center"/>
              <w:rPr>
                <w:rFonts w:hint="default" w:ascii="宋体" w:hAnsi="宋体"/>
                <w:b/>
                <w:color w:val="auto"/>
                <w:sz w:val="24"/>
                <w:highlight w:val="none"/>
              </w:rPr>
            </w:pPr>
            <w:r>
              <w:rPr>
                <w:rFonts w:hint="eastAsia" w:ascii="仿宋" w:hAnsi="仿宋" w:eastAsia="仿宋" w:cs="Times New Roman"/>
                <w:b/>
                <w:color w:val="auto"/>
                <w:szCs w:val="21"/>
                <w:highlight w:val="none"/>
              </w:rPr>
              <w:t>项目名称</w:t>
            </w:r>
          </w:p>
        </w:tc>
        <w:tc>
          <w:tcPr>
            <w:tcW w:w="1500" w:type="dxa"/>
            <w:noWrap/>
            <w:vAlign w:val="center"/>
          </w:tcPr>
          <w:p w14:paraId="4734311B">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211" w:firstLineChars="100"/>
              <w:rPr>
                <w:rFonts w:hint="default" w:ascii="宋体" w:hAnsi="宋体"/>
                <w:b/>
                <w:color w:val="auto"/>
                <w:sz w:val="24"/>
                <w:highlight w:val="none"/>
              </w:rPr>
            </w:pPr>
            <w:r>
              <w:rPr>
                <w:rFonts w:hint="eastAsia" w:ascii="仿宋" w:hAnsi="仿宋" w:eastAsia="仿宋" w:cs="Times New Roman"/>
                <w:b/>
                <w:color w:val="auto"/>
                <w:szCs w:val="21"/>
                <w:highlight w:val="none"/>
              </w:rPr>
              <w:t>规格型号</w:t>
            </w:r>
          </w:p>
        </w:tc>
        <w:tc>
          <w:tcPr>
            <w:tcW w:w="795" w:type="dxa"/>
            <w:noWrap/>
            <w:vAlign w:val="center"/>
          </w:tcPr>
          <w:p w14:paraId="1DA8B903">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数量</w:t>
            </w:r>
          </w:p>
        </w:tc>
        <w:tc>
          <w:tcPr>
            <w:tcW w:w="840" w:type="dxa"/>
            <w:noWrap/>
            <w:vAlign w:val="center"/>
          </w:tcPr>
          <w:p w14:paraId="56DFC84E">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单位</w:t>
            </w:r>
          </w:p>
        </w:tc>
        <w:tc>
          <w:tcPr>
            <w:tcW w:w="1590" w:type="dxa"/>
            <w:noWrap/>
            <w:vAlign w:val="center"/>
          </w:tcPr>
          <w:p w14:paraId="54BB4BD0">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仿宋" w:hAnsi="仿宋" w:eastAsia="仿宋" w:cs="Times New Roman"/>
                <w:b/>
                <w:color w:val="auto"/>
                <w:szCs w:val="21"/>
                <w:highlight w:val="none"/>
              </w:rPr>
            </w:pPr>
            <w:r>
              <w:rPr>
                <w:rFonts w:hint="eastAsia" w:ascii="仿宋" w:hAnsi="仿宋" w:eastAsia="仿宋" w:cs="Times New Roman"/>
                <w:b/>
                <w:color w:val="auto"/>
                <w:szCs w:val="21"/>
                <w:highlight w:val="none"/>
              </w:rPr>
              <w:t>预算</w:t>
            </w:r>
          </w:p>
          <w:p w14:paraId="1461EAD4">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（万元）</w:t>
            </w:r>
          </w:p>
        </w:tc>
        <w:tc>
          <w:tcPr>
            <w:tcW w:w="1250" w:type="dxa"/>
            <w:noWrap/>
            <w:vAlign w:val="center"/>
          </w:tcPr>
          <w:p w14:paraId="70F039B7">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服务交付期</w:t>
            </w:r>
          </w:p>
        </w:tc>
      </w:tr>
      <w:tr w14:paraId="161B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25" w:type="dxa"/>
            <w:noWrap/>
            <w:vAlign w:val="top"/>
          </w:tcPr>
          <w:p w14:paraId="4F780C7E">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420" w:firstLineChars="200"/>
              <w:rPr>
                <w:rFonts w:hint="default" w:ascii="宋体" w:hAnsi="宋体"/>
                <w:color w:val="auto"/>
                <w:sz w:val="24"/>
                <w:highlight w:val="none"/>
              </w:rPr>
            </w:pPr>
            <w:r>
              <w:rPr>
                <w:rFonts w:hint="eastAsia" w:ascii="仿宋" w:hAnsi="仿宋" w:eastAsia="仿宋" w:cs="Times New Roman"/>
                <w:color w:val="auto"/>
                <w:szCs w:val="21"/>
                <w:highlight w:val="none"/>
              </w:rPr>
              <w:t>1</w:t>
            </w:r>
          </w:p>
        </w:tc>
        <w:tc>
          <w:tcPr>
            <w:tcW w:w="2436" w:type="dxa"/>
            <w:noWrap/>
            <w:vAlign w:val="center"/>
          </w:tcPr>
          <w:p w14:paraId="10C8F596">
            <w:pPr>
              <w:keepNext w:val="0"/>
              <w:keepLines w:val="0"/>
              <w:suppressLineNumbers w:val="0"/>
              <w:shd w:val="clear"/>
              <w:spacing w:before="0" w:beforeAutospacing="0" w:after="0" w:afterAutospacing="0"/>
              <w:ind w:left="0" w:right="0"/>
              <w:jc w:val="center"/>
              <w:rPr>
                <w:rFonts w:hint="eastAsia" w:ascii="宋体" w:hAnsi="宋体" w:eastAsia="宋体"/>
                <w:color w:val="auto"/>
                <w:sz w:val="24"/>
                <w:highlight w:val="none"/>
                <w:lang w:eastAsia="zh-CN"/>
              </w:rPr>
            </w:pPr>
            <w:r>
              <w:rPr>
                <w:rFonts w:hint="eastAsia" w:ascii="仿宋" w:hAnsi="仿宋" w:eastAsia="仿宋" w:cs="Times New Roman"/>
                <w:color w:val="auto"/>
                <w:szCs w:val="21"/>
                <w:highlight w:val="none"/>
              </w:rPr>
              <w:t>2025年智慧城管中心服务项目</w:t>
            </w:r>
          </w:p>
        </w:tc>
        <w:tc>
          <w:tcPr>
            <w:tcW w:w="1500" w:type="dxa"/>
            <w:noWrap/>
            <w:vAlign w:val="center"/>
          </w:tcPr>
          <w:p w14:paraId="1C0B60E9">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详见具体技术需求</w:t>
            </w:r>
          </w:p>
        </w:tc>
        <w:tc>
          <w:tcPr>
            <w:tcW w:w="795" w:type="dxa"/>
            <w:noWrap/>
            <w:vAlign w:val="center"/>
          </w:tcPr>
          <w:p w14:paraId="278EC3A8">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1</w:t>
            </w:r>
          </w:p>
        </w:tc>
        <w:tc>
          <w:tcPr>
            <w:tcW w:w="840" w:type="dxa"/>
            <w:noWrap/>
            <w:vAlign w:val="center"/>
          </w:tcPr>
          <w:p w14:paraId="704C95EF">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批</w:t>
            </w:r>
          </w:p>
        </w:tc>
        <w:tc>
          <w:tcPr>
            <w:tcW w:w="1590" w:type="dxa"/>
            <w:noWrap/>
            <w:vAlign w:val="center"/>
          </w:tcPr>
          <w:p w14:paraId="253C9E19">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default" w:ascii="仿宋" w:hAnsi="仿宋" w:eastAsia="仿宋" w:cs="Times New Roman"/>
                <w:color w:val="auto"/>
                <w:szCs w:val="21"/>
                <w:highlight w:val="none"/>
              </w:rPr>
              <w:t>6</w:t>
            </w:r>
            <w:r>
              <w:rPr>
                <w:rFonts w:hint="eastAsia" w:ascii="仿宋" w:hAnsi="仿宋" w:eastAsia="仿宋" w:cs="Times New Roman"/>
                <w:color w:val="auto"/>
                <w:szCs w:val="21"/>
                <w:highlight w:val="none"/>
              </w:rPr>
              <w:t>5</w:t>
            </w:r>
          </w:p>
        </w:tc>
        <w:tc>
          <w:tcPr>
            <w:tcW w:w="1250" w:type="dxa"/>
            <w:noWrap/>
            <w:vAlign w:val="center"/>
          </w:tcPr>
          <w:p w14:paraId="7D3C7530">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lang w:val="en-US" w:eastAsia="zh-CN"/>
              </w:rPr>
              <w:t>60</w:t>
            </w:r>
            <w:r>
              <w:rPr>
                <w:rFonts w:hint="eastAsia" w:ascii="仿宋" w:hAnsi="仿宋" w:eastAsia="仿宋" w:cs="Times New Roman"/>
                <w:color w:val="auto"/>
                <w:szCs w:val="21"/>
                <w:highlight w:val="none"/>
              </w:rPr>
              <w:t>天内具备交付运行条件</w:t>
            </w:r>
          </w:p>
        </w:tc>
      </w:tr>
    </w:tbl>
    <w:p w14:paraId="1A7CA84C">
      <w:pPr>
        <w:numPr>
          <w:ilvl w:val="0"/>
          <w:numId w:val="28"/>
        </w:num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技术需求</w:t>
      </w:r>
    </w:p>
    <w:p w14:paraId="2BB3EC76">
      <w:pPr>
        <w:keepNext/>
        <w:keepLines/>
        <w:numPr>
          <w:ilvl w:val="1"/>
          <w:numId w:val="0"/>
        </w:numPr>
        <w:shd w:val="clear"/>
        <w:tabs>
          <w:tab w:val="left" w:pos="0"/>
        </w:tabs>
        <w:snapToGrid w:val="0"/>
        <w:spacing w:line="360" w:lineRule="auto"/>
        <w:outlineLvl w:val="1"/>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（一）项目概况</w:t>
      </w:r>
    </w:p>
    <w:p w14:paraId="3E190FF3">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bookmarkStart w:id="1" w:name="_Toc51757558"/>
      <w:r>
        <w:rPr>
          <w:rFonts w:hint="eastAsia" w:ascii="仿宋" w:hAnsi="仿宋" w:eastAsia="仿宋" w:cs="宋体"/>
          <w:b/>
          <w:bCs/>
          <w:color w:val="auto"/>
          <w:sz w:val="24"/>
          <w:szCs w:val="24"/>
          <w:highlight w:val="none"/>
        </w:rPr>
        <w:t>1、项目背景介绍</w:t>
      </w:r>
      <w:bookmarkEnd w:id="1"/>
    </w:p>
    <w:p w14:paraId="682485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台州湾新区随着经济、交通、市场运行等社会功能高速发展，社会各界对台州湾新区的环境和城市形象的关注度越来越高，传统的、被动式的城市管理模式已经难以满足信息化社会的需求，城市管理工作压力越来越大，在管理手段和管理方式上存在较大的不足，很大程度上制约了城市管理工作的高效运转。</w:t>
      </w:r>
    </w:p>
    <w:p w14:paraId="53C11A5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台州湾新区城市行政执法支队要运用互联网技术、人工智能、大数据等手段开展工作，要打造共建共治共享的社会治理格局,提高社会治理社会化、法治化、智能化、专业化水平。整合信息平台，积极推进城市管理数字化、精细化、智慧化，加快城市管理向智慧化升级。智慧城管是新一代人工智能技术支撑、知识社会创新环境下的城市管理新模式，通过新一代人工智能技术实现全面透彻感知、宽带泛在互联、智能融合应用。智慧城管建设是引领和支撑城市管理工作未来发展的重要战略选择，是智慧城市建设的重要组成部分，是创新和完善新型城市管理体系的重要工作内容。</w:t>
      </w:r>
    </w:p>
    <w:p w14:paraId="4B84784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城市管理部门越来越重视可视化监管对自身业务的支撑和管理模式的改变，逐步形成了视频系统相关的建设需求，并依托视频可视化应用实现对数字化城管信息系统升级改造，全面扩展系统功能，向城市管理“全移动、全感知、全景化”等方向发展，实现城市管理问题发现快捷化、案件处置扁平化、评价考核标准化。</w:t>
      </w:r>
    </w:p>
    <w:p w14:paraId="5C61D987">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bookmarkStart w:id="2" w:name="_Toc51757559"/>
      <w:r>
        <w:rPr>
          <w:rFonts w:ascii="仿宋" w:hAnsi="仿宋" w:eastAsia="仿宋" w:cs="宋体"/>
          <w:b/>
          <w:bCs/>
          <w:color w:val="auto"/>
          <w:sz w:val="24"/>
          <w:szCs w:val="24"/>
          <w:highlight w:val="none"/>
        </w:rPr>
        <w:t>2</w:t>
      </w:r>
      <w:r>
        <w:rPr>
          <w:rFonts w:hint="eastAsia" w:ascii="仿宋" w:hAnsi="仿宋" w:eastAsia="仿宋" w:cs="宋体"/>
          <w:b/>
          <w:bCs/>
          <w:color w:val="auto"/>
          <w:sz w:val="24"/>
          <w:szCs w:val="24"/>
          <w:highlight w:val="none"/>
        </w:rPr>
        <w:t>、项目建设目标</w:t>
      </w:r>
      <w:bookmarkEnd w:id="2"/>
    </w:p>
    <w:p w14:paraId="552E9C7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智慧城管建设紧紧围绕智慧城管建设的目标要求，按照“以最小的投入，实现最大效益”的思路，构建智慧城管系统。综合运用计算机技术、信息技术和智能管控技术，通过资源整合、功能拓展，深化智慧城管建设，实现城市管理的范围全包容、空间全覆盖、时间全天候，形成监控实时化、处理及时化、管理精细化、考核标准化的运行模式，促进城市管理工作由被动向主动、静态向动态、粗放向精细、无序向规范转变，全面提高城市管理水平，确定以下建设目标：</w:t>
      </w:r>
    </w:p>
    <w:p w14:paraId="0AC9B13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1.通过现代化信息手段，整合应用GIS（地理信息系统）、遥感、遥测、宽带网络、多媒体、智能管控及虚拟仿真等多项技术进行城市管理，实现城市管理空间细化和管理对象精确定位。</w:t>
      </w:r>
    </w:p>
    <w:p w14:paraId="391C1AC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2.通过创新管理体制，规范城市管理流程，增强对城区动态性、突发性事件处置力度，实现快捷、高效、全时段、全方位的城市管理。</w:t>
      </w:r>
    </w:p>
    <w:p w14:paraId="418F95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3.通过进一步明确各部门城市管理职能，建立完善的城市管理问题发现机制、指挥决策机制、执行反馈机制、综合评价机制，进而形成管理规范、运转高效的城市管理长效体制。</w:t>
      </w:r>
    </w:p>
    <w:p w14:paraId="1786B94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4.通过智能监控系统建设，充分整合利用现有资源，为社会治安、公共安全、社会服务、应急事件等提供视频信息及技术支持，提高城市管理水平，提升城区品位，构建和谐社会。</w:t>
      </w:r>
    </w:p>
    <w:p w14:paraId="7FF98D8A">
      <w:pPr>
        <w:pStyle w:val="45"/>
        <w:shd w:val="clear"/>
        <w:rPr>
          <w:color w:val="auto"/>
          <w:highlight w:val="none"/>
        </w:rPr>
      </w:pPr>
    </w:p>
    <w:p w14:paraId="5ECCDE11">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服务内容</w:t>
      </w:r>
    </w:p>
    <w:p w14:paraId="3D696E0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具体要求如下：</w:t>
      </w:r>
    </w:p>
    <w:p w14:paraId="125B49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1、设备维护，智慧城管中心设备维护，街面摄像设备维护，移动执法终端设备维护，提供移动执法平台并维护、智联平台联动等；</w:t>
      </w:r>
    </w:p>
    <w:p w14:paraId="419A3139">
      <w:pPr>
        <w:keepNext w:val="0"/>
        <w:keepLines w:val="0"/>
        <w:widowControl w:val="0"/>
        <w:shd w:val="clear"/>
        <w:snapToGrid/>
        <w:spacing w:after="120" w:line="360" w:lineRule="auto"/>
        <w:ind w:left="0" w:leftChars="0" w:firstLine="480" w:firstLineChars="200"/>
        <w:jc w:val="both"/>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2、对维保服务设备清单内的设备提供质保服务，包含但不限于设备返修费、运费、采购更换</w:t>
      </w:r>
      <w:r>
        <w:rPr>
          <w:rFonts w:hint="eastAsia" w:ascii="宋体" w:hAnsi="宋体" w:cs="宋体"/>
          <w:b w:val="0"/>
          <w:bCs w:val="0"/>
          <w:color w:val="auto"/>
          <w:kern w:val="2"/>
          <w:sz w:val="24"/>
          <w:highlight w:val="none"/>
          <w:lang w:val="en-US" w:eastAsia="zh-CN" w:bidi="ar-SA"/>
        </w:rPr>
        <w:t>（含所有零件、辅材、耗材）</w:t>
      </w:r>
      <w:r>
        <w:rPr>
          <w:rFonts w:hint="eastAsia" w:ascii="宋体" w:hAnsi="宋体" w:eastAsia="宋体" w:cs="宋体"/>
          <w:b w:val="0"/>
          <w:bCs w:val="0"/>
          <w:color w:val="auto"/>
          <w:kern w:val="2"/>
          <w:sz w:val="24"/>
          <w:highlight w:val="none"/>
          <w:lang w:val="en-US" w:eastAsia="zh-CN" w:bidi="ar-SA"/>
        </w:rPr>
        <w:t>等；</w:t>
      </w:r>
    </w:p>
    <w:p w14:paraId="160CCF5F">
      <w:pPr>
        <w:keepNext w:val="0"/>
        <w:keepLines w:val="0"/>
        <w:shd w:val="clear"/>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3、机房内每月不少于1次的巡检工作，前端点位</w:t>
      </w:r>
      <w:r>
        <w:rPr>
          <w:rFonts w:hint="eastAsia" w:ascii="宋体" w:hAnsi="宋体" w:eastAsia="宋体" w:cs="宋体"/>
          <w:color w:val="auto"/>
          <w:sz w:val="24"/>
          <w:szCs w:val="20"/>
          <w:highlight w:val="none"/>
          <w:lang w:val="en-US" w:eastAsia="zh-CN"/>
        </w:rPr>
        <w:t>每季度</w:t>
      </w:r>
      <w:r>
        <w:rPr>
          <w:rFonts w:hint="eastAsia" w:ascii="宋体" w:hAnsi="宋体" w:eastAsia="宋体" w:cs="宋体"/>
          <w:b w:val="0"/>
          <w:bCs w:val="0"/>
          <w:color w:val="auto"/>
          <w:sz w:val="24"/>
          <w:szCs w:val="20"/>
          <w:highlight w:val="none"/>
          <w:lang w:val="en-US" w:eastAsia="zh-CN"/>
        </w:rPr>
        <w:t>不少于</w:t>
      </w:r>
      <w:r>
        <w:rPr>
          <w:rFonts w:hint="eastAsia" w:ascii="宋体" w:hAnsi="宋体" w:eastAsia="宋体" w:cs="宋体"/>
          <w:color w:val="auto"/>
          <w:sz w:val="24"/>
          <w:szCs w:val="20"/>
          <w:highlight w:val="none"/>
          <w:lang w:val="en-US" w:eastAsia="zh-CN"/>
        </w:rPr>
        <w:t>1次巡检工作，并做好巡检内容和记录。</w:t>
      </w:r>
    </w:p>
    <w:p w14:paraId="6D46F8D3">
      <w:pPr>
        <w:keepNext w:val="0"/>
        <w:keepLines w:val="0"/>
        <w:shd w:val="clear"/>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要求提供一名驻场人员</w:t>
      </w:r>
      <w:r>
        <w:rPr>
          <w:rFonts w:hint="eastAsia" w:ascii="宋体" w:hAnsi="宋体" w:eastAsia="宋体" w:cs="宋体"/>
          <w:color w:val="auto"/>
          <w:sz w:val="24"/>
          <w:szCs w:val="20"/>
          <w:highlight w:val="none"/>
          <w:lang w:val="en-US" w:eastAsia="zh-CN"/>
        </w:rPr>
        <w:t>。</w:t>
      </w:r>
    </w:p>
    <w:p w14:paraId="4566C830">
      <w:pPr>
        <w:keepNext w:val="0"/>
        <w:keepLines w:val="0"/>
        <w:shd w:val="clear"/>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0"/>
          <w:highlight w:val="none"/>
          <w:lang w:val="en-US" w:eastAsia="zh-CN"/>
        </w:rPr>
        <w:t>5、</w:t>
      </w:r>
      <w:r>
        <w:rPr>
          <w:rFonts w:hint="eastAsia" w:ascii="宋体" w:hAnsi="宋体" w:eastAsia="宋体" w:cs="宋体"/>
          <w:b w:val="0"/>
          <w:bCs w:val="0"/>
          <w:color w:val="auto"/>
          <w:sz w:val="24"/>
          <w:szCs w:val="24"/>
          <w:highlight w:val="none"/>
        </w:rPr>
        <w:t>前端视频监控服务：根据“智慧城管”建设要求及</w:t>
      </w:r>
      <w:r>
        <w:rPr>
          <w:rFonts w:hint="eastAsia" w:ascii="宋体" w:hAnsi="宋体" w:cs="宋体"/>
          <w:b w:val="0"/>
          <w:bCs w:val="0"/>
          <w:color w:val="auto"/>
          <w:sz w:val="24"/>
          <w:szCs w:val="24"/>
          <w:highlight w:val="none"/>
          <w:lang w:eastAsia="zh-CN"/>
        </w:rPr>
        <w:t>城市管理</w:t>
      </w:r>
      <w:r>
        <w:rPr>
          <w:rFonts w:hint="eastAsia" w:ascii="宋体" w:hAnsi="宋体" w:eastAsia="宋体" w:cs="宋体"/>
          <w:b w:val="0"/>
          <w:bCs w:val="0"/>
          <w:color w:val="auto"/>
          <w:sz w:val="24"/>
          <w:szCs w:val="24"/>
          <w:highlight w:val="none"/>
        </w:rPr>
        <w:t>业务发展需要，同时从资源整合、共享，投资成本最大化节约等角度考虑，本次新增加前端采集</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，以达到对城管局所管辖范围进行实时动态监控</w:t>
      </w:r>
      <w:r>
        <w:rPr>
          <w:rFonts w:hint="eastAsia" w:ascii="宋体" w:hAnsi="宋体" w:eastAsia="宋体" w:cs="宋体"/>
          <w:b w:val="0"/>
          <w:bCs w:val="0"/>
          <w:color w:val="auto"/>
          <w:sz w:val="24"/>
          <w:szCs w:val="24"/>
          <w:highlight w:val="none"/>
          <w:lang w:val="en-US" w:eastAsia="zh-CN"/>
        </w:rPr>
        <w:t>补盲</w:t>
      </w:r>
      <w:r>
        <w:rPr>
          <w:rFonts w:hint="eastAsia" w:ascii="宋体" w:hAnsi="宋体" w:eastAsia="宋体" w:cs="宋体"/>
          <w:b w:val="0"/>
          <w:bCs w:val="0"/>
          <w:color w:val="auto"/>
          <w:sz w:val="24"/>
          <w:szCs w:val="24"/>
          <w:highlight w:val="none"/>
        </w:rPr>
        <w:t>。并要求接入</w:t>
      </w:r>
      <w:r>
        <w:rPr>
          <w:rFonts w:hint="eastAsia" w:ascii="宋体" w:hAnsi="宋体" w:cs="宋体"/>
          <w:b w:val="0"/>
          <w:bCs w:val="0"/>
          <w:color w:val="auto"/>
          <w:sz w:val="24"/>
          <w:szCs w:val="24"/>
          <w:highlight w:val="none"/>
          <w:lang w:eastAsia="zh-CN"/>
        </w:rPr>
        <w:t>台州市大数据局公共分析平台、</w:t>
      </w:r>
      <w:r>
        <w:rPr>
          <w:rFonts w:hint="eastAsia" w:ascii="宋体" w:hAnsi="宋体" w:eastAsia="宋体" w:cs="宋体"/>
          <w:b w:val="0"/>
          <w:bCs w:val="0"/>
          <w:color w:val="auto"/>
          <w:sz w:val="24"/>
          <w:szCs w:val="24"/>
          <w:highlight w:val="none"/>
        </w:rPr>
        <w:t>台州市</w:t>
      </w:r>
      <w:r>
        <w:rPr>
          <w:rFonts w:hint="eastAsia" w:ascii="宋体" w:hAnsi="宋体" w:cs="宋体"/>
          <w:b w:val="0"/>
          <w:bCs w:val="0"/>
          <w:color w:val="auto"/>
          <w:sz w:val="24"/>
          <w:szCs w:val="24"/>
          <w:highlight w:val="none"/>
          <w:lang w:eastAsia="zh-CN"/>
        </w:rPr>
        <w:t>城市治理</w:t>
      </w:r>
      <w:r>
        <w:rPr>
          <w:rFonts w:hint="eastAsia" w:ascii="宋体" w:hAnsi="宋体" w:eastAsia="宋体" w:cs="宋体"/>
          <w:b w:val="0"/>
          <w:bCs w:val="0"/>
          <w:color w:val="auto"/>
          <w:sz w:val="24"/>
          <w:szCs w:val="24"/>
          <w:highlight w:val="none"/>
        </w:rPr>
        <w:t>平台</w:t>
      </w:r>
      <w:r>
        <w:rPr>
          <w:rFonts w:hint="eastAsia" w:ascii="宋体" w:hAnsi="宋体" w:cs="宋体"/>
          <w:b w:val="0"/>
          <w:bCs w:val="0"/>
          <w:color w:val="auto"/>
          <w:sz w:val="24"/>
          <w:szCs w:val="24"/>
          <w:highlight w:val="none"/>
          <w:lang w:eastAsia="zh-CN"/>
        </w:rPr>
        <w:t>、智联网平台等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所提供服务设备必须满足服务参数要求。</w:t>
      </w:r>
    </w:p>
    <w:p w14:paraId="70F54D6A">
      <w:pPr>
        <w:keepNext w:val="0"/>
        <w:keepLines w:val="0"/>
        <w:shd w:val="clear"/>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6、网络安全保障服务：根据城市管理局</w:t>
      </w:r>
      <w:r>
        <w:rPr>
          <w:rFonts w:hint="eastAsia" w:ascii="宋体" w:hAnsi="宋体" w:eastAsia="宋体" w:cs="宋体"/>
          <w:b w:val="0"/>
          <w:bCs w:val="0"/>
          <w:color w:val="auto"/>
          <w:sz w:val="24"/>
          <w:szCs w:val="24"/>
          <w:highlight w:val="none"/>
        </w:rPr>
        <w:t>业务发展</w:t>
      </w:r>
      <w:r>
        <w:rPr>
          <w:rFonts w:hint="eastAsia" w:ascii="宋体" w:hAnsi="宋体" w:eastAsia="宋体" w:cs="宋体"/>
          <w:b w:val="0"/>
          <w:bCs w:val="0"/>
          <w:color w:val="auto"/>
          <w:sz w:val="24"/>
          <w:szCs w:val="24"/>
          <w:highlight w:val="none"/>
          <w:lang w:val="en-US" w:eastAsia="zh-CN"/>
        </w:rPr>
        <w:t>及信息安全保障</w:t>
      </w:r>
      <w:r>
        <w:rPr>
          <w:rFonts w:hint="eastAsia" w:ascii="宋体" w:hAnsi="宋体" w:eastAsia="宋体" w:cs="宋体"/>
          <w:b w:val="0"/>
          <w:bCs w:val="0"/>
          <w:color w:val="auto"/>
          <w:sz w:val="24"/>
          <w:szCs w:val="24"/>
          <w:highlight w:val="none"/>
        </w:rPr>
        <w:t>需要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本次新增网络安全保障服务。</w:t>
      </w:r>
    </w:p>
    <w:p w14:paraId="1B3C4650">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维保服务设备清单</w:t>
      </w:r>
    </w:p>
    <w:tbl>
      <w:tblPr>
        <w:tblStyle w:val="46"/>
        <w:tblW w:w="83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7"/>
        <w:gridCol w:w="2132"/>
        <w:gridCol w:w="1547"/>
        <w:gridCol w:w="2216"/>
        <w:gridCol w:w="454"/>
        <w:gridCol w:w="969"/>
      </w:tblGrid>
      <w:tr w14:paraId="66DC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FA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FD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4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品牌</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7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A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9C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1D64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BC9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一、前端设备服务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45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B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5B5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A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0447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8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C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智能球机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1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6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DS-2DE42SWIW-DGW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7F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3A13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6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F7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400万球机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1F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79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iDS-GPZ24SWXS-IENCG</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3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EF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14:paraId="2AE7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3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7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前端智慧音柱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70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652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DS-2FH2021B-0W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53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F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14:paraId="5D76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0D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5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400万车辆筒型摄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3B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9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DS-2CD7A4SWED-XGW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F2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E4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r>
      <w:tr w14:paraId="620B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B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6A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像机交换机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21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TP-LINK、中国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3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TL-SG1005D</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02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9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14:paraId="47DC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1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2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单相IP智慧微断</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5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2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1p20A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75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0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BFD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5D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2B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电源及防浪涌模组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6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1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P25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D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07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5DAD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3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0D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WIFI 通讯模组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0E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D7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T30S</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9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5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760A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974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二、移动执法服务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2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CB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7E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0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6CF1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2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3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车载4G移动设备取证</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4E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A1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DS-MI96SW-GACENGLE</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6E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D1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14E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9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19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5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0E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8C3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5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999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0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42E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4G 执法记录仪</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1C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高新兴、中国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BE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DSJ-GXXG5A1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2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7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14:paraId="0D4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D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D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采集站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E0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高新兴、中国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D7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ZCS-GXXL1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8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89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939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90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5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执法仪管理平台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1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海高思 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D3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E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9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FB0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6E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三、指挥中心设备服务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EB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A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8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9C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17A2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458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1、中心指挥大屏及配件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70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3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8E2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E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16E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14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0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A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295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DS-CK15FI/H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185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75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16.384</w:t>
            </w:r>
          </w:p>
        </w:tc>
      </w:tr>
      <w:tr w14:paraId="53B4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6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7C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7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5BB6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DS-D43V16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124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9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61A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8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3B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框架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3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0A0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E7D8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479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16.384</w:t>
            </w:r>
          </w:p>
        </w:tc>
      </w:tr>
      <w:tr w14:paraId="231D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01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D1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12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F09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C15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8F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78E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56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D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会议室智慧屏终端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7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鸿合、中国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F0E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HD-16590E</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894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F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53F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EB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A66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视联网会议套件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4F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视联动力、中国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55D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极光</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65F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2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770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5C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A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视频会议摄像头电 动吊架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BC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AE7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B8A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9E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139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56D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 指挥中心设备</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E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16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6A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1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1943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1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1D2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网络控制键盘</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6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B8D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DS-1600K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D0E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43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158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F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1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1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联想、中国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CDB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启天M428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6B3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B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D92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2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21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可视化终端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5F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BB2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Matepadl1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761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3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31B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B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B8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5A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D98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RG-S5750V2-28GT4XS-L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F7D5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C3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225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68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C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5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04B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HK728TAH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055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D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14:paraId="0CA3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2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C3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CVR存储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B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D00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DS-A80648S/8T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0515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4E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3E8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14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D9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400万全彩高清摄像机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507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7E5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DS-2CD234SWD-LSN</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2CA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7B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779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B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2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A4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F58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DS-KIT67SWM</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ABC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9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873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1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7E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F0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10D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RG-S2900-8GT2SFP-P-L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32C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3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004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39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B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4A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图腾、中国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E102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G36842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EB3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ACB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1A9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5B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F0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A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图腾、中国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EC9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A36822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E50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6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68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E6B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 折叠雾化玻璃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AB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0F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9B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C5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5ED2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B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4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43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松下、中国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80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SGZ400C</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72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93F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319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2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2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C8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C4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5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F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9D4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D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5B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2E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C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BC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3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10B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8C5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12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7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A0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7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9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366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5A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4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7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A4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8A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9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A58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A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27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折叠雾化玻璃（维保电机、线路等）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9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7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F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3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E4B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22E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4、无纸化会议</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8D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1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D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B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67C9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72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8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99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9E2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016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1E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14:paraId="2674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7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53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智能无纸化会议管 理服务器软件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0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D06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TS-8300RI软件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08E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3B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5F6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5B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E6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CA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BE0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E01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F82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A14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996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93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无纸化流媒体服务 器嵌入软件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4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6A7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TS-8308R1软件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E3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D4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CE0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60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4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BB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1F5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F5BA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C6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15C1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0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E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无纸化会议终端软 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3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B63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TS-8304RI软件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FD7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E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53C1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E6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55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一体式升降器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A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430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TS-F156MT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835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20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1C77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B2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0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4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D10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TS-6C</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357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7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E70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E7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0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C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E4F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TS-20D</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4A7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8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94A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B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D7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F7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A1C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6F8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6F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FC0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F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9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5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37C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TS-W103DA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76B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2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B19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B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0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发射器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DE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EFA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TS-W111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173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46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43B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CF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F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E2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2AD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TS-W180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A2B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B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A40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9A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E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24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3A7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T-521UH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26B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C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B51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77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47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无纸化升降器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C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61F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TS-8201A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E8A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19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F69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9C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B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D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25D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TS-W100MS</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4F6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D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4CA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20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D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1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204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TS-338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AB7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D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D86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E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9F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A3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E01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RG-S2910-24GT4XS-L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8DF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841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321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24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5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电子名牌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B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0270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TS-8209A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001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D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1628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49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5、分布式综合管理系统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88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E65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2E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A6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6587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0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D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分布式综合管理平 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6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42E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1D7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D3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A18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1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7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分布式综合管理平 台嵌入软件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D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72D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TV-713AR软件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472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52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81F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3F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75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交互式可编程中控 控制软件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AF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7D7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TV-713ANR软件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45E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7C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25D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91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6、 分布式中控系统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B1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DA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A6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C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3BAF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1E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5E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拼接中控</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CD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302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D25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F6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4E4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BE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2D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无线路由器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A5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C5F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AX2 Pro</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EBA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E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D3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95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9D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控制器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61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797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TS-9101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180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4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2A4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7C2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7、分布式音视频交互传输</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0A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C3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15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88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6525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DD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DF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分布式采集盒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9A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103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TV-711HK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17E2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ED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5459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4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94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分布式输出盒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2A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9F7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TV-712AK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B39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8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44D7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15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6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分布式4K输出盒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B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0E6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TV-712A4K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C38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A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6A4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70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B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D9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44D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RG-S2910-24GT4XS-P-L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F1B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6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A76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9C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D10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A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4A6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TS-14PFX-4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4FC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09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9A1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CC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C2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抑制器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EA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2DA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TS-224H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CF6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60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B65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5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45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F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860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TS-P440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2ABF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A2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972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7D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1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1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0BB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TS-350PI</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76E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08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3F7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8E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E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E6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D64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TS-608A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E791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04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DB8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C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AE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吸顶扬声器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F7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3079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TS-208R</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9B2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A6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DD6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55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8C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8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04D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7D5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0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FEC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FF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A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4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BE6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TS-02A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A39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CF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1A7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8D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475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74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28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20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1A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bl>
    <w:p w14:paraId="2B0A012A">
      <w:pPr>
        <w:pStyle w:val="23"/>
        <w:shd w:val="clear"/>
        <w:spacing w:line="360" w:lineRule="auto"/>
        <w:ind w:firstLine="0" w:firstLineChars="0"/>
        <w:rPr>
          <w:rFonts w:ascii="仿宋" w:hAnsi="仿宋" w:eastAsia="仿宋"/>
          <w:color w:val="auto"/>
          <w:sz w:val="24"/>
          <w:szCs w:val="24"/>
          <w:highlight w:val="none"/>
        </w:rPr>
      </w:pPr>
      <w:r>
        <w:rPr>
          <w:rFonts w:hint="eastAsia" w:ascii="仿宋" w:hAnsi="仿宋" w:eastAsia="仿宋"/>
          <w:b/>
          <w:color w:val="auto"/>
          <w:sz w:val="24"/>
          <w:szCs w:val="24"/>
          <w:highlight w:val="none"/>
        </w:rPr>
        <w:t>（1）前端视频监控</w:t>
      </w:r>
      <w:r>
        <w:rPr>
          <w:rFonts w:hint="eastAsia" w:ascii="仿宋" w:hAnsi="仿宋" w:eastAsia="仿宋"/>
          <w:b/>
          <w:color w:val="auto"/>
          <w:sz w:val="24"/>
          <w:szCs w:val="24"/>
          <w:highlight w:val="none"/>
          <w:lang w:val="en-US" w:eastAsia="zh-CN"/>
        </w:rPr>
        <w:t>维保</w:t>
      </w:r>
      <w:r>
        <w:rPr>
          <w:rFonts w:hint="eastAsia" w:ascii="仿宋" w:hAnsi="仿宋" w:eastAsia="仿宋"/>
          <w:b/>
          <w:color w:val="auto"/>
          <w:sz w:val="24"/>
          <w:szCs w:val="24"/>
          <w:highlight w:val="none"/>
        </w:rPr>
        <w:t>服务：</w:t>
      </w:r>
      <w:r>
        <w:rPr>
          <w:rFonts w:ascii="仿宋" w:hAnsi="仿宋" w:eastAsia="仿宋"/>
          <w:color w:val="auto"/>
          <w:sz w:val="24"/>
          <w:szCs w:val="24"/>
          <w:highlight w:val="none"/>
        </w:rPr>
        <w:t>具体</w:t>
      </w:r>
      <w:r>
        <w:rPr>
          <w:rFonts w:hint="eastAsia" w:ascii="仿宋" w:hAnsi="仿宋" w:eastAsia="仿宋"/>
          <w:color w:val="auto"/>
          <w:sz w:val="24"/>
          <w:szCs w:val="24"/>
          <w:highlight w:val="none"/>
        </w:rPr>
        <w:t>清单</w:t>
      </w:r>
      <w:r>
        <w:rPr>
          <w:rFonts w:ascii="仿宋" w:hAnsi="仿宋" w:eastAsia="仿宋"/>
          <w:color w:val="auto"/>
          <w:sz w:val="24"/>
          <w:szCs w:val="24"/>
          <w:highlight w:val="none"/>
        </w:rPr>
        <w:t>点位</w:t>
      </w:r>
      <w:r>
        <w:rPr>
          <w:rFonts w:hint="eastAsia" w:ascii="仿宋" w:hAnsi="仿宋" w:eastAsia="仿宋"/>
          <w:color w:val="auto"/>
          <w:sz w:val="24"/>
          <w:szCs w:val="24"/>
          <w:highlight w:val="none"/>
        </w:rPr>
        <w:t>如下：</w:t>
      </w:r>
    </w:p>
    <w:tbl>
      <w:tblPr>
        <w:tblStyle w:val="46"/>
        <w:tblW w:w="872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303"/>
        <w:gridCol w:w="5770"/>
        <w:gridCol w:w="436"/>
        <w:gridCol w:w="436"/>
      </w:tblGrid>
      <w:tr w14:paraId="74C0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2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4B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所属区域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09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点位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A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球机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8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枪机</w:t>
            </w:r>
          </w:p>
        </w:tc>
      </w:tr>
      <w:tr w14:paraId="411E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FC2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8A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E15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梦都路与梦和路交叉口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15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2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E6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4BB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65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5B6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东海大道与东环大道交叉口（欧尚）新增</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7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35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3D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E6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91A8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5E5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D1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AF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EC2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AB3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FC6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D01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DB4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92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EC6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89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23F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20C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37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A96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2E8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30B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777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FD5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3D3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0FF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B6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250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106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梦都路与怡园路交叉口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70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98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B8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26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7AD0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DEA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梦都路与体育场路交叉口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70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A3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00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9C8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B8C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69E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E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5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1C5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F84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3A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86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经通路（梦和路口美团外卖）改（协和天童幼儿园门口）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7C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F84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0E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CD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6FCA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A4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经通路-东海大道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6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3A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6E6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126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8E6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72A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D6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F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48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EC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1C15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68D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经中路（车辆检测站）靠近（海源路）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C81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99E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853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079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1FA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72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EC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CF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A1B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DEC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5E07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AF0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开发大道移动公司附近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249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21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EB7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9A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3DA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F38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F28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89F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2DD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042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D51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3F9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65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59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05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D3B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8C2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CA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5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C6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32A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C19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47B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0E0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经中路明远大厦转角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0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51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3A4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85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5463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480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经中路阿明海鲜转角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A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A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15C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ECA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BDE4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468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C06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603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9C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36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561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0AC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经中路泰力堂药店转角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30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3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1CE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E7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FC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1F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经中路心心快餐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BF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F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F02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645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2D8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630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机场路后徐菜场转角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B7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C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44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EA7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20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F3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东海大道后徐菜场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C85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075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DB6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3D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D6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306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永明路路口南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869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59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95D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E8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44F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4D1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永明路路口北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D5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88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C18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90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B04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92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机场路沙北菜场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73B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6B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4A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08B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448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6B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东海大道垃圾中转站断头路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81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FF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65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E97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AE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41D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天璟小区东门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4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66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BCD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0B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908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418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体育场路景和名苑门口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3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8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37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2A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E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FE4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富民路（吴叶菜场）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22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E56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1BF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AB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1E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7DB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富民路与东海大道交叉口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C36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D3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41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896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2D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A60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太和路与体育场路交叉口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95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28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D4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DBF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CB1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75B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半坦村门面房</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B8C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C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FB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BD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924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627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体育场路与新坦路交叉口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0B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7C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7AA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6C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916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nil"/>
              <w:left w:val="nil"/>
              <w:bottom w:val="nil"/>
              <w:right w:val="nil"/>
            </w:tcBorders>
            <w:shd w:val="clear" w:color="auto" w:fill="auto"/>
            <w:noWrap/>
            <w:vAlign w:val="center"/>
          </w:tcPr>
          <w:p w14:paraId="18B2803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体育场路与高新路交叉口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1C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6E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A9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42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BCB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81B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疏港大道与荣和路交叉口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5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4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1CE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A94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48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24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开发大道与疏港大道交叉口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171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E93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794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32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1D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D26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开发大道与新坦路交叉口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CFA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8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204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EAA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E9FA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C55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开发大道（省道至农场路段）交叉口-1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F3E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1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4B5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B2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0C7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B39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开发大道（省道至农场路段）交叉口-2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80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0A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BC4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3CF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9718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5E1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A1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592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DFE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A3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1E94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85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F7E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6D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68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43B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E30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ACC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开发大道与创业路交叉口-3</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05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63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792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9E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98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914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台州湾大道与聚海大道交叉口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D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E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E5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0A1F749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FA8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94A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海虹大道与东海大道往北300米</w:t>
            </w:r>
          </w:p>
        </w:tc>
        <w:tc>
          <w:tcPr>
            <w:tcW w:w="436" w:type="dxa"/>
            <w:tcBorders>
              <w:top w:val="single" w:color="000000" w:sz="4" w:space="0"/>
              <w:left w:val="nil"/>
              <w:bottom w:val="single" w:color="000000" w:sz="4" w:space="0"/>
              <w:right w:val="single" w:color="000000" w:sz="4" w:space="0"/>
            </w:tcBorders>
            <w:shd w:val="clear" w:color="auto" w:fill="auto"/>
            <w:vAlign w:val="center"/>
          </w:tcPr>
          <w:p w14:paraId="3CD9B06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BE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5D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0DC25AF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77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7E0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海海虹大道与东海大道往南350米</w:t>
            </w:r>
          </w:p>
        </w:tc>
        <w:tc>
          <w:tcPr>
            <w:tcW w:w="436" w:type="dxa"/>
            <w:tcBorders>
              <w:top w:val="single" w:color="000000" w:sz="4" w:space="0"/>
              <w:left w:val="nil"/>
              <w:bottom w:val="single" w:color="000000" w:sz="4" w:space="0"/>
              <w:right w:val="single" w:color="000000" w:sz="4" w:space="0"/>
            </w:tcBorders>
            <w:shd w:val="clear" w:color="auto" w:fill="auto"/>
            <w:vAlign w:val="center"/>
          </w:tcPr>
          <w:p w14:paraId="28AE19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000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7E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48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B33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A65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开发大道农场路（水晶光电）</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DCD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08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74C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34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0D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DA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海昌路与蓬北大道交叉口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EE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87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91F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2F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DDCD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8FFB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海城路文信机电公司门口（两个点位，一个借杆，一个借墙）</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59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76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59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96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C7A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399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DD8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2B9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85B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E0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69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528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松农路（海洋超市）</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5F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834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6B8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9B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54</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5BF1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00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吉华盛超市门口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ACD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2B4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B97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210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FAC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3A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2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243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120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AF5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FE4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A55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海城路与启航路交叉口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FB5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C0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910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D0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7A5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FE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鼎诚商业街-1中间出入口(广电)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CD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9E1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600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747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480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216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鼎诚商业街-2中间出入口(广电)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A9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EEE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FA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87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4C4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DBF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鼎诚商业街路口（滨富路九塘南路）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A0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0AC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E0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C7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B4A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A03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海丰路与滨九路交叉口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F5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E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A9A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FC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91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887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海昌路与洪三路交叉口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22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5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19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48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3A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90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海昌路与海城路交叉口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91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12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8C4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652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C00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7D6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七塘小区（海城路与海昌路)</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E8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72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BC6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56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2A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509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海虹大道海虹桥东北角</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819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0F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11C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51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0D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7B3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洪三路与农场路交叉口(原广电，现已变更位置)</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35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A69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6A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A6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BE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1FD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洪三路与农场小区入口处交叉口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03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AE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363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EB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E1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F43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洪三路与繁荣街交叉口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1E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FA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76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1C9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2D1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FCB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繁荣街三甲宾馆门口(广电)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50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5D5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6BD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810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FC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5FE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洪三路与河中路交叉口(广电)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D2C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EFF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596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CBA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F0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A6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洪三路与三甲菜场交叉口(广电)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B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F1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4C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34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AA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C2F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洪三路与东升街交叉口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5A5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84D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47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A18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72</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0830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07A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月湖雅苑西北拐角处-1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B71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38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3E1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E16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73</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3EE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E6A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月湖雅苑西北拐角处-2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08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915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298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54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74</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01DF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A46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聚英路与鲍浦大道交叉口-1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B8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72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17B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30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CED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91A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聚英路与鲍浦大道交叉口-2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3EC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78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F05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9DF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76</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AC60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9C1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人才公寓</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C6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2D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5E1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E86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77</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F2D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246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99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81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795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C9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78</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FAAD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880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聚海大道与开发大道交叉口（一个箱子两个摄像头）</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C1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AA7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1DA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75E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79</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143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DD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08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37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5E7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BB0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C7A3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7F0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聚海大道与东方大道交叉口-1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D0A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0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D3E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59A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81</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C4E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021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聚海大道与东方大道交叉口-2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78C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6E5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640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8B3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82</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68F8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22F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聚海大道与青龙浦路交叉口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D7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1C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49A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EE5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83</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634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830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E5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B4D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F4704CD">
        <w:tblPrEx>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ECB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C4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080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湿地公园</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46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7F0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930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53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85</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6DCC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B1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蓬北大道与启航路交叉口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AC8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6EA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C30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6E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D281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176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283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616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2B5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B9F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87</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0674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81E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甲南大道与启航路交叉口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FB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66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CA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34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88</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894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1F1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F68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123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77B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E90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E36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CD0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E9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68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4F7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610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9C4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F3A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AC6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2E9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3BE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53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2C3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A40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农场路段右3</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82E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47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AEF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2D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74E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97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农场路段右4</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762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01C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C73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A33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01D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8E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农场路段右5</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6B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37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4FA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23C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B49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BDF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农场路段右6</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9E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8C8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815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2E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3A7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BCD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农场路段左7</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1D3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FB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40B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BB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39F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610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农场路段左8</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C1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A9B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768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E4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7EF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F96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农场路段左9</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3BE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059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7A3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F7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C2B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663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农场路段左10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96C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3C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FA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B16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328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608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农场路段右11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954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B7E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AFF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D5E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7F0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D0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农场路段左12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AEB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DC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4459A1D5">
      <w:pPr>
        <w:pStyle w:val="23"/>
        <w:shd w:val="clear"/>
        <w:spacing w:line="360" w:lineRule="auto"/>
        <w:ind w:firstLine="0" w:firstLineChars="0"/>
        <w:rPr>
          <w:rFonts w:ascii="仿宋" w:hAnsi="仿宋" w:eastAsia="仿宋"/>
          <w:color w:val="auto"/>
          <w:sz w:val="24"/>
          <w:szCs w:val="24"/>
          <w:highlight w:val="none"/>
        </w:rPr>
      </w:pPr>
      <w:r>
        <w:rPr>
          <w:rFonts w:ascii="仿宋" w:hAnsi="仿宋" w:eastAsia="仿宋" w:cs="Times New Roman"/>
          <w:color w:val="auto"/>
          <w:sz w:val="24"/>
          <w:szCs w:val="24"/>
          <w:highlight w:val="none"/>
        </w:rPr>
        <w:br w:type="page"/>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新增</w:t>
      </w:r>
      <w:bookmarkStart w:id="3" w:name="OLE_LINK1"/>
      <w:r>
        <w:rPr>
          <w:rFonts w:hint="eastAsia" w:ascii="仿宋" w:hAnsi="仿宋" w:eastAsia="仿宋"/>
          <w:b/>
          <w:color w:val="auto"/>
          <w:sz w:val="24"/>
          <w:szCs w:val="24"/>
          <w:highlight w:val="none"/>
        </w:rPr>
        <w:t>前端视频监控</w:t>
      </w:r>
      <w:bookmarkEnd w:id="3"/>
      <w:r>
        <w:rPr>
          <w:rFonts w:hint="eastAsia" w:ascii="仿宋" w:hAnsi="仿宋" w:eastAsia="仿宋"/>
          <w:b/>
          <w:color w:val="auto"/>
          <w:sz w:val="24"/>
          <w:szCs w:val="24"/>
          <w:highlight w:val="none"/>
        </w:rPr>
        <w:t>服务：</w:t>
      </w:r>
      <w:r>
        <w:rPr>
          <w:rFonts w:hint="eastAsia" w:ascii="仿宋" w:hAnsi="仿宋" w:eastAsia="仿宋"/>
          <w:color w:val="auto"/>
          <w:sz w:val="24"/>
          <w:szCs w:val="24"/>
          <w:highlight w:val="none"/>
        </w:rPr>
        <w:t>根据“智慧城管”建设要求及</w:t>
      </w:r>
      <w:r>
        <w:rPr>
          <w:rFonts w:hint="eastAsia" w:ascii="仿宋" w:hAnsi="仿宋" w:eastAsia="仿宋"/>
          <w:color w:val="auto"/>
          <w:sz w:val="24"/>
          <w:szCs w:val="24"/>
          <w:highlight w:val="none"/>
          <w:lang w:eastAsia="zh-CN"/>
        </w:rPr>
        <w:t>城市管理</w:t>
      </w:r>
      <w:r>
        <w:rPr>
          <w:rFonts w:hint="eastAsia" w:ascii="仿宋" w:hAnsi="仿宋" w:eastAsia="仿宋"/>
          <w:color w:val="auto"/>
          <w:sz w:val="24"/>
          <w:szCs w:val="24"/>
          <w:highlight w:val="none"/>
        </w:rPr>
        <w:t>业务发展需要，同时从资源整合、共享，投资成本最大化节约等角度考虑，同时整合原有视频监控资源及本次新增加前端采集设备，以达到对城管局所管辖范围进行实时动态监控。并</w:t>
      </w:r>
      <w:r>
        <w:rPr>
          <w:rFonts w:ascii="仿宋" w:hAnsi="仿宋" w:eastAsia="仿宋"/>
          <w:color w:val="auto"/>
          <w:sz w:val="24"/>
          <w:szCs w:val="24"/>
          <w:highlight w:val="none"/>
        </w:rPr>
        <w:t>要求无缝接入台州市</w:t>
      </w:r>
      <w:r>
        <w:rPr>
          <w:rFonts w:hint="eastAsia" w:ascii="仿宋" w:hAnsi="仿宋" w:eastAsia="仿宋"/>
          <w:color w:val="auto"/>
          <w:sz w:val="24"/>
          <w:szCs w:val="24"/>
          <w:highlight w:val="none"/>
        </w:rPr>
        <w:t>台州市智慧城管</w:t>
      </w:r>
      <w:r>
        <w:rPr>
          <w:rFonts w:hint="eastAsia" w:ascii="仿宋" w:hAnsi="仿宋" w:eastAsia="仿宋"/>
          <w:color w:val="auto"/>
          <w:sz w:val="24"/>
          <w:szCs w:val="24"/>
          <w:highlight w:val="none"/>
          <w:lang w:eastAsia="zh-CN"/>
        </w:rPr>
        <w:t>（智联网）</w:t>
      </w:r>
      <w:r>
        <w:rPr>
          <w:rFonts w:hint="eastAsia" w:ascii="仿宋" w:hAnsi="仿宋" w:eastAsia="仿宋"/>
          <w:color w:val="auto"/>
          <w:sz w:val="24"/>
          <w:szCs w:val="24"/>
          <w:highlight w:val="none"/>
        </w:rPr>
        <w:t>平台，</w:t>
      </w:r>
      <w:r>
        <w:rPr>
          <w:rFonts w:ascii="仿宋" w:hAnsi="仿宋" w:eastAsia="仿宋"/>
          <w:color w:val="auto"/>
          <w:sz w:val="24"/>
          <w:szCs w:val="24"/>
          <w:highlight w:val="none"/>
        </w:rPr>
        <w:t>具体</w:t>
      </w:r>
      <w:r>
        <w:rPr>
          <w:rFonts w:hint="eastAsia" w:ascii="仿宋" w:hAnsi="仿宋" w:eastAsia="仿宋"/>
          <w:color w:val="auto"/>
          <w:sz w:val="24"/>
          <w:szCs w:val="24"/>
          <w:highlight w:val="none"/>
        </w:rPr>
        <w:t>清单</w:t>
      </w:r>
      <w:r>
        <w:rPr>
          <w:rFonts w:ascii="仿宋" w:hAnsi="仿宋" w:eastAsia="仿宋"/>
          <w:color w:val="auto"/>
          <w:sz w:val="24"/>
          <w:szCs w:val="24"/>
          <w:highlight w:val="none"/>
        </w:rPr>
        <w:t>点位</w:t>
      </w:r>
      <w:r>
        <w:rPr>
          <w:rFonts w:hint="eastAsia" w:ascii="仿宋" w:hAnsi="仿宋" w:eastAsia="仿宋"/>
          <w:color w:val="auto"/>
          <w:sz w:val="24"/>
          <w:szCs w:val="24"/>
          <w:highlight w:val="none"/>
        </w:rPr>
        <w:t>如下：</w:t>
      </w:r>
    </w:p>
    <w:tbl>
      <w:tblPr>
        <w:tblStyle w:val="46"/>
        <w:tblW w:w="0" w:type="auto"/>
        <w:jc w:val="center"/>
        <w:tblLayout w:type="autofit"/>
        <w:tblCellMar>
          <w:top w:w="0" w:type="dxa"/>
          <w:left w:w="108" w:type="dxa"/>
          <w:bottom w:w="0" w:type="dxa"/>
          <w:right w:w="108" w:type="dxa"/>
        </w:tblCellMar>
      </w:tblPr>
      <w:tblGrid>
        <w:gridCol w:w="698"/>
        <w:gridCol w:w="3729"/>
        <w:gridCol w:w="1677"/>
        <w:gridCol w:w="1200"/>
      </w:tblGrid>
      <w:tr w14:paraId="0537C158">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F3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73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点位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01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归属中队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B9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监控数量</w:t>
            </w:r>
          </w:p>
        </w:tc>
      </w:tr>
      <w:tr w14:paraId="47644127">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8281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17F">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聚英路与滨富东路交叉口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840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55C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A349576">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36A7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C7B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聚英路与海旺路路交叉口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3E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E5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43FA6D56">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1C69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AE6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海城路与月湖北路交叉口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A5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0E0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267E9C4C">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E370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7D2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鲍浦大道与月湖北路交叉口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550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09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77087645">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5DBA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45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山海大道与黄金大道交叉口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AA2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FF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1BA7289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5A05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9CF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椒江区海虹大道滨海工业区台州滨海吉利发动机有限公司（东北）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69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79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5DAE087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A9AD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BC0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椒江区东联线甲南大道入口(西向)东渣土</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52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830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7E603158">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0ABA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AE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路桥区蓬北大道浙江泰鸿万立科技股份有限公司(滨海分厂)西南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B9E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BAC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9E8E3D6">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F211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1DB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椒江区海四路甲南大道入口（西向）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322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380F">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2FC4A407">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0D6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12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路桥区蓬北大道滨海工业区浙江泰鸿万立科技股份有限公司(滨海分厂)</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4B8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40B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223A525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4FAE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637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开发大道电力公司对面</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667D">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003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E898287">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D47DF">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2B2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海源路兴禧锦苑小区西北角</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EEE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A4B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4FEFA9A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7FEA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84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一江南苑小区东北角</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A14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624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w:t>
            </w:r>
          </w:p>
        </w:tc>
      </w:tr>
      <w:tr w14:paraId="057F074E">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AAE0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7D3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开发大道与经通路交叉口（南）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76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35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C6E4D3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9857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D2A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经中支路梧桐府小区北门 东西朝向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24F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E98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6522598C">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E088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CA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机场路天璟御府小区南北两侧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BF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78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2D7D253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5979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448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机场路与体育场路交叉口东北侧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B5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4E7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1E48EF23">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49EA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64F">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荣和路海城佳苑北门口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83F">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8BF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9560F1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BE6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4E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安康路台州国际人才公寓西门口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87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B31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5060458">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BB7C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456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新坦路（新王村与解家村）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572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B2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777C507D">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6B61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B8C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东联线快乐垂钓西南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17B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2CA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2E7B9BF2">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F0F1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备注</w:t>
            </w:r>
          </w:p>
        </w:tc>
        <w:tc>
          <w:tcPr>
            <w:tcW w:w="6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07C4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点位位置在点位数量不变的情况下经双方协商可调整具体点位</w:t>
            </w:r>
          </w:p>
        </w:tc>
      </w:tr>
    </w:tbl>
    <w:p w14:paraId="2CABC99C">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lang w:val="en-US" w:eastAsia="zh-CN"/>
        </w:rPr>
        <w:t>（3）</w:t>
      </w:r>
      <w:r>
        <w:rPr>
          <w:rFonts w:hint="eastAsia" w:ascii="仿宋" w:hAnsi="仿宋" w:eastAsia="仿宋" w:cs="宋体"/>
          <w:b/>
          <w:bCs/>
          <w:color w:val="auto"/>
          <w:sz w:val="24"/>
          <w:szCs w:val="24"/>
          <w:highlight w:val="none"/>
        </w:rPr>
        <w:t>链路租赁费（含</w:t>
      </w:r>
      <w:r>
        <w:rPr>
          <w:rFonts w:hint="eastAsia" w:ascii="仿宋" w:hAnsi="仿宋" w:eastAsia="仿宋" w:cs="宋体"/>
          <w:b/>
          <w:bCs/>
          <w:color w:val="auto"/>
          <w:sz w:val="24"/>
          <w:szCs w:val="24"/>
          <w:highlight w:val="none"/>
          <w:lang w:val="en-US" w:eastAsia="zh-CN"/>
        </w:rPr>
        <w:t>1</w:t>
      </w:r>
      <w:r>
        <w:rPr>
          <w:rFonts w:hint="eastAsia" w:ascii="仿宋" w:hAnsi="仿宋" w:eastAsia="仿宋" w:cs="宋体"/>
          <w:b/>
          <w:bCs/>
          <w:color w:val="auto"/>
          <w:sz w:val="24"/>
          <w:szCs w:val="24"/>
          <w:highlight w:val="none"/>
        </w:rPr>
        <w:t>年费用）</w:t>
      </w:r>
    </w:p>
    <w:tbl>
      <w:tblPr>
        <w:tblStyle w:val="46"/>
        <w:tblW w:w="5000" w:type="pct"/>
        <w:tblInd w:w="0" w:type="dxa"/>
        <w:tblLayout w:type="fixed"/>
        <w:tblCellMar>
          <w:top w:w="0" w:type="dxa"/>
          <w:left w:w="108" w:type="dxa"/>
          <w:bottom w:w="0" w:type="dxa"/>
          <w:right w:w="108" w:type="dxa"/>
        </w:tblCellMar>
      </w:tblPr>
      <w:tblGrid>
        <w:gridCol w:w="567"/>
        <w:gridCol w:w="1038"/>
        <w:gridCol w:w="2195"/>
        <w:gridCol w:w="2117"/>
        <w:gridCol w:w="2599"/>
      </w:tblGrid>
      <w:tr w14:paraId="38357140">
        <w:tblPrEx>
          <w:tblCellMar>
            <w:top w:w="0" w:type="dxa"/>
            <w:left w:w="108" w:type="dxa"/>
            <w:bottom w:w="0" w:type="dxa"/>
            <w:right w:w="108" w:type="dxa"/>
          </w:tblCellMar>
        </w:tblPrEx>
        <w:trPr>
          <w:trHeight w:val="66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8767BD3">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21EB82D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产品类别</w:t>
            </w:r>
          </w:p>
        </w:tc>
        <w:tc>
          <w:tcPr>
            <w:tcW w:w="1288" w:type="pct"/>
            <w:tcBorders>
              <w:top w:val="single" w:color="auto" w:sz="4" w:space="0"/>
              <w:left w:val="single" w:color="auto" w:sz="4" w:space="0"/>
              <w:bottom w:val="single" w:color="auto" w:sz="4" w:space="0"/>
              <w:right w:val="single" w:color="auto" w:sz="4" w:space="0"/>
            </w:tcBorders>
            <w:shd w:val="clear" w:color="auto" w:fill="auto"/>
            <w:vAlign w:val="center"/>
          </w:tcPr>
          <w:p w14:paraId="6B140C9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技术规格</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42624673">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单位</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14:paraId="649D56E8">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数量</w:t>
            </w:r>
          </w:p>
        </w:tc>
      </w:tr>
      <w:tr w14:paraId="0AA4CB1E">
        <w:tblPrEx>
          <w:tblCellMar>
            <w:top w:w="0" w:type="dxa"/>
            <w:left w:w="108" w:type="dxa"/>
            <w:bottom w:w="0" w:type="dxa"/>
            <w:right w:w="108" w:type="dxa"/>
          </w:tblCellMar>
        </w:tblPrEx>
        <w:trPr>
          <w:trHeight w:val="45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56D8D4E">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1</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2C9DC">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4G车载流量卡</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BD006">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20G/月流量（含</w:t>
            </w:r>
            <w:r>
              <w:rPr>
                <w:rFonts w:hint="eastAsia" w:ascii="仿宋" w:hAnsi="仿宋" w:eastAsia="仿宋" w:cs="宋体"/>
                <w:color w:val="auto"/>
                <w:kern w:val="0"/>
                <w:sz w:val="24"/>
                <w:szCs w:val="24"/>
                <w:highlight w:val="none"/>
                <w:lang w:val="en-US" w:eastAsia="zh-CN" w:bidi="ar"/>
              </w:rPr>
              <w:t>1</w:t>
            </w:r>
            <w:r>
              <w:rPr>
                <w:rFonts w:hint="eastAsia" w:ascii="仿宋" w:hAnsi="仿宋" w:eastAsia="仿宋" w:cs="宋体"/>
                <w:color w:val="auto"/>
                <w:kern w:val="0"/>
                <w:sz w:val="24"/>
                <w:szCs w:val="24"/>
                <w:highlight w:val="none"/>
                <w:lang w:bidi="ar"/>
              </w:rPr>
              <w:t>年费用）</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607B0">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张</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BB54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r>
      <w:tr w14:paraId="4A759EA0">
        <w:tblPrEx>
          <w:tblCellMar>
            <w:top w:w="0" w:type="dxa"/>
            <w:left w:w="108" w:type="dxa"/>
            <w:bottom w:w="0" w:type="dxa"/>
            <w:right w:w="108" w:type="dxa"/>
          </w:tblCellMar>
        </w:tblPrEx>
        <w:trPr>
          <w:trHeight w:val="811"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63F4AB0">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2</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5D91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4G执法仪流量卡</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A15F9">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3G/月流量（含</w:t>
            </w:r>
            <w:r>
              <w:rPr>
                <w:rFonts w:hint="eastAsia" w:ascii="仿宋" w:hAnsi="仿宋" w:eastAsia="仿宋" w:cs="宋体"/>
                <w:color w:val="auto"/>
                <w:kern w:val="0"/>
                <w:sz w:val="24"/>
                <w:szCs w:val="24"/>
                <w:highlight w:val="none"/>
                <w:lang w:val="en-US" w:eastAsia="zh-CN" w:bidi="ar"/>
              </w:rPr>
              <w:t>1</w:t>
            </w:r>
            <w:r>
              <w:rPr>
                <w:rFonts w:hint="eastAsia" w:ascii="仿宋" w:hAnsi="仿宋" w:eastAsia="仿宋" w:cs="宋体"/>
                <w:color w:val="auto"/>
                <w:kern w:val="0"/>
                <w:sz w:val="24"/>
                <w:szCs w:val="24"/>
                <w:highlight w:val="none"/>
                <w:lang w:bidi="ar"/>
              </w:rPr>
              <w:t>年费用）</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58777">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张</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3B60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40</w:t>
            </w:r>
          </w:p>
        </w:tc>
      </w:tr>
      <w:tr w14:paraId="65573E1D">
        <w:tblPrEx>
          <w:tblCellMar>
            <w:top w:w="0" w:type="dxa"/>
            <w:left w:w="108" w:type="dxa"/>
            <w:bottom w:w="0" w:type="dxa"/>
            <w:right w:w="108" w:type="dxa"/>
          </w:tblCellMar>
        </w:tblPrEx>
        <w:trPr>
          <w:trHeight w:val="12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2BF7981">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3</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32AF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监控点位线路费用</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89A86">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VPN专线（100M速率）</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BA9E7">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条</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2B64C">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en-US" w:eastAsia="zh-CN" w:bidi="ar"/>
              </w:rPr>
              <w:t>含全部前期点位及</w:t>
            </w:r>
            <w:r>
              <w:rPr>
                <w:rFonts w:hint="eastAsia" w:ascii="仿宋" w:hAnsi="仿宋" w:eastAsia="仿宋" w:cs="宋体"/>
                <w:b w:val="0"/>
                <w:bCs w:val="0"/>
                <w:color w:val="auto"/>
                <w:kern w:val="0"/>
                <w:sz w:val="24"/>
                <w:szCs w:val="24"/>
                <w:highlight w:val="none"/>
                <w:lang w:val="en-US" w:eastAsia="zh-CN" w:bidi="ar"/>
              </w:rPr>
              <w:t>后续建设点位</w:t>
            </w:r>
            <w:r>
              <w:rPr>
                <w:rFonts w:hint="eastAsia" w:ascii="仿宋" w:hAnsi="仿宋" w:eastAsia="仿宋" w:cs="宋体"/>
                <w:b w:val="0"/>
                <w:bCs w:val="0"/>
                <w:color w:val="auto"/>
                <w:sz w:val="24"/>
                <w:szCs w:val="24"/>
                <w:highlight w:val="none"/>
              </w:rPr>
              <w:t>链路</w:t>
            </w:r>
            <w:r>
              <w:rPr>
                <w:rFonts w:hint="eastAsia" w:ascii="仿宋" w:hAnsi="仿宋" w:eastAsia="仿宋" w:cs="宋体"/>
                <w:b w:val="0"/>
                <w:bCs w:val="0"/>
                <w:color w:val="auto"/>
                <w:kern w:val="0"/>
                <w:sz w:val="24"/>
                <w:szCs w:val="24"/>
                <w:highlight w:val="none"/>
                <w:lang w:val="en-US" w:eastAsia="zh-CN" w:bidi="ar"/>
              </w:rPr>
              <w:t>，约107条，后续</w:t>
            </w:r>
            <w:r>
              <w:rPr>
                <w:rFonts w:hint="eastAsia" w:ascii="仿宋" w:hAnsi="仿宋" w:eastAsia="仿宋" w:cs="宋体"/>
                <w:color w:val="auto"/>
                <w:kern w:val="0"/>
                <w:sz w:val="24"/>
                <w:szCs w:val="24"/>
                <w:highlight w:val="none"/>
                <w:lang w:val="en-US" w:eastAsia="zh-CN" w:bidi="ar"/>
              </w:rPr>
              <w:t>根据实际情况按需建设。</w:t>
            </w:r>
          </w:p>
        </w:tc>
      </w:tr>
      <w:tr w14:paraId="7693045A">
        <w:tblPrEx>
          <w:tblCellMar>
            <w:top w:w="0" w:type="dxa"/>
            <w:left w:w="108" w:type="dxa"/>
            <w:bottom w:w="0" w:type="dxa"/>
            <w:right w:w="108" w:type="dxa"/>
          </w:tblCellMar>
        </w:tblPrEx>
        <w:trPr>
          <w:trHeight w:val="12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C66F8B3">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4</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52E97">
            <w:pPr>
              <w:keepNext w:val="0"/>
              <w:keepLines w:val="0"/>
              <w:widowControl/>
              <w:suppressLineNumbers w:val="0"/>
              <w:shd w:val="clear"/>
              <w:spacing w:before="0" w:beforeAutospacing="0" w:after="0" w:afterAutospacing="0"/>
              <w:ind w:left="0" w:right="0"/>
              <w:jc w:val="both"/>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服务托管线路宽带</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03831">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1000M</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8E80E">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条</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7DCD2">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1</w:t>
            </w:r>
          </w:p>
        </w:tc>
      </w:tr>
    </w:tbl>
    <w:p w14:paraId="392296EE">
      <w:pPr>
        <w:shd w:val="clear"/>
        <w:spacing w:line="360" w:lineRule="auto"/>
        <w:rPr>
          <w:rFonts w:hint="eastAsia" w:ascii="仿宋" w:hAnsi="仿宋" w:eastAsia="仿宋"/>
          <w:b/>
          <w:color w:val="auto"/>
          <w:sz w:val="24"/>
          <w:szCs w:val="24"/>
          <w:highlight w:val="none"/>
        </w:rPr>
      </w:pPr>
    </w:p>
    <w:p w14:paraId="36036BF5">
      <w:pPr>
        <w:shd w:val="clear"/>
        <w:spacing w:line="360" w:lineRule="auto"/>
        <w:ind w:firstLine="241" w:firstLineChars="100"/>
        <w:rPr>
          <w:rFonts w:hint="eastAsia" w:ascii="仿宋" w:hAnsi="仿宋" w:eastAsia="仿宋" w:cs="Times New Roman"/>
          <w:color w:val="auto"/>
          <w:sz w:val="24"/>
          <w:szCs w:val="24"/>
          <w:highlight w:val="none"/>
          <w:lang w:eastAsia="zh-CN"/>
        </w:rPr>
      </w:pPr>
      <w:r>
        <w:rPr>
          <w:rFonts w:hint="eastAsia" w:ascii="仿宋" w:hAnsi="仿宋" w:eastAsia="仿宋"/>
          <w:b/>
          <w:color w:val="auto"/>
          <w:sz w:val="24"/>
          <w:szCs w:val="24"/>
          <w:highlight w:val="none"/>
          <w:lang w:val="en-US" w:eastAsia="zh-CN"/>
        </w:rPr>
        <w:t>（4）</w:t>
      </w:r>
      <w:r>
        <w:rPr>
          <w:rFonts w:hint="eastAsia" w:ascii="仿宋" w:hAnsi="仿宋" w:eastAsia="仿宋"/>
          <w:b/>
          <w:color w:val="auto"/>
          <w:sz w:val="24"/>
          <w:szCs w:val="24"/>
          <w:highlight w:val="none"/>
        </w:rPr>
        <w:t>前端</w:t>
      </w:r>
      <w:r>
        <w:rPr>
          <w:rFonts w:hint="eastAsia" w:ascii="仿宋" w:hAnsi="仿宋" w:eastAsia="仿宋"/>
          <w:b/>
          <w:color w:val="auto"/>
          <w:sz w:val="24"/>
          <w:szCs w:val="24"/>
          <w:highlight w:val="none"/>
          <w:lang w:eastAsia="zh-CN"/>
        </w:rPr>
        <w:t>新增</w:t>
      </w:r>
      <w:r>
        <w:rPr>
          <w:rFonts w:hint="eastAsia" w:ascii="仿宋" w:hAnsi="仿宋" w:eastAsia="仿宋"/>
          <w:b/>
          <w:color w:val="auto"/>
          <w:sz w:val="24"/>
          <w:szCs w:val="24"/>
          <w:highlight w:val="none"/>
        </w:rPr>
        <w:t>视频监控</w:t>
      </w:r>
      <w:r>
        <w:rPr>
          <w:rFonts w:hint="eastAsia" w:ascii="仿宋" w:hAnsi="仿宋" w:eastAsia="仿宋"/>
          <w:b/>
          <w:color w:val="auto"/>
          <w:sz w:val="24"/>
          <w:szCs w:val="24"/>
          <w:highlight w:val="none"/>
          <w:lang w:eastAsia="zh-CN"/>
        </w:rPr>
        <w:t>参数要求</w:t>
      </w:r>
    </w:p>
    <w:tbl>
      <w:tblPr>
        <w:tblStyle w:val="46"/>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3"/>
        <w:gridCol w:w="6726"/>
      </w:tblGrid>
      <w:tr w14:paraId="744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7D9CEB05">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1383" w:type="dxa"/>
            <w:shd w:val="clear" w:color="auto" w:fill="auto"/>
            <w:vAlign w:val="center"/>
          </w:tcPr>
          <w:p w14:paraId="78B4AA7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产品名称</w:t>
            </w:r>
          </w:p>
        </w:tc>
        <w:tc>
          <w:tcPr>
            <w:tcW w:w="6726" w:type="dxa"/>
            <w:shd w:val="clear" w:color="auto" w:fill="auto"/>
            <w:vAlign w:val="center"/>
          </w:tcPr>
          <w:p w14:paraId="3B402A2E">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技术规格</w:t>
            </w:r>
          </w:p>
        </w:tc>
      </w:tr>
      <w:tr w14:paraId="66F6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3EC3194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383" w:type="dxa"/>
            <w:shd w:val="clear" w:color="auto" w:fill="FFFFFF"/>
            <w:vAlign w:val="center"/>
          </w:tcPr>
          <w:p w14:paraId="2A2B02C8">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高清智能</w:t>
            </w:r>
            <w:r>
              <w:rPr>
                <w:rFonts w:hint="eastAsia" w:ascii="仿宋" w:hAnsi="仿宋" w:eastAsia="仿宋" w:cs="宋体"/>
                <w:color w:val="auto"/>
                <w:sz w:val="24"/>
                <w:szCs w:val="24"/>
                <w:highlight w:val="none"/>
              </w:rPr>
              <w:t>球机</w:t>
            </w:r>
          </w:p>
        </w:tc>
        <w:tc>
          <w:tcPr>
            <w:tcW w:w="6726" w:type="dxa"/>
            <w:shd w:val="clear" w:color="auto" w:fill="auto"/>
            <w:vAlign w:val="center"/>
          </w:tcPr>
          <w:p w14:paraId="1F027CF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★摄像机靶面尺寸不小于1/1.8英寸（以公安部检验报告为准）</w:t>
            </w:r>
          </w:p>
          <w:p w14:paraId="586788C2">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★视频分辨率与帧率不小于2560×1440、25帧/秒（以公安部检验报告为准）</w:t>
            </w:r>
          </w:p>
          <w:p w14:paraId="46B10C6B">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★内置GPU芯片（以公安部检验报告为准）</w:t>
            </w:r>
          </w:p>
          <w:p w14:paraId="52E1E50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支持32倍光学变倍，镜头最大焦距不小于192mm（以公安部检验报告为准）</w:t>
            </w:r>
          </w:p>
          <w:p w14:paraId="461C940E">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红外距离不小于250米（以公安部检验报告为准）</w:t>
            </w:r>
          </w:p>
          <w:p w14:paraId="7CF9E440">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★设备进行违法停车检测时，镜头倍率为1倍情况下，白天有效检测距离最大为150m，其他倍率下， 白天有效检测最大距离为300米（以公安部检验报告为准）</w:t>
            </w:r>
          </w:p>
          <w:p w14:paraId="68BD964D">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★设备可对监控画面中不小于30个人脸进行检测、跟踪和抓拍（以公安部检验报告为准）</w:t>
            </w:r>
          </w:p>
          <w:p w14:paraId="1D657757">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★最低照度可达彩色0.0002 lx，黑白0.0001 lx（以公安部检验报告为准）</w:t>
            </w:r>
          </w:p>
          <w:p w14:paraId="07D04FC1">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★摄像机可对镜头前盖玻璃进行加热（以公安部检验报告为准）</w:t>
            </w:r>
          </w:p>
          <w:p w14:paraId="6B97BC6B">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★设备检测非法摆摊后，可联动人脸抓拍，并支持自动变倍抓拍人脸（以公安部检验报告为准）</w:t>
            </w:r>
          </w:p>
          <w:p w14:paraId="2CBD50E6">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具有12种智能分析算法可选，可显示智能分析规则类型为非法摆摊（游摊小贩）、店外经营、占道经营、乱堆物料、非机动车乱停放、违规户外广告、打包垃圾、违规撑伞、垃圾箱满溢、暴露垃圾、沿街晾晒、道路积水。（以公安部检验报告为准）</w:t>
            </w:r>
          </w:p>
          <w:p w14:paraId="23F3E312">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★水平旋转范围为360°连续旋转，垂直旋转范围为-20°~90°（以公安部检验报告为准）</w:t>
            </w:r>
          </w:p>
          <w:p w14:paraId="44792866">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★支持7路报警输入，2路报警输出，支持1路音频输入和1路音频输出（以公安部检验报告为准）</w:t>
            </w:r>
          </w:p>
          <w:p w14:paraId="19CC73C2">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★设备支持违法取证图片单张上传或者多张合成上传，合成图片的数量（1-6张可选）可配置（以公安部检验报告为准）</w:t>
            </w:r>
          </w:p>
          <w:p w14:paraId="7CB5825C">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★支持违法停车抓拍功能，白天和晚上违法停车捕获率、捕获有效率均不小于98%（以公安部检验报告为准）</w:t>
            </w:r>
          </w:p>
          <w:p w14:paraId="00B6A022">
            <w:pPr>
              <w:keepNext w:val="0"/>
              <w:keepLines w:val="0"/>
              <w:widowControl/>
              <w:suppressLineNumbers w:val="0"/>
              <w:shd w:val="clear"/>
              <w:spacing w:before="0" w:beforeAutospacing="0" w:after="0" w:afterAutospacing="0"/>
              <w:ind w:left="0" w:right="0"/>
              <w:jc w:val="both"/>
              <w:textAlignment w:val="center"/>
              <w:rPr>
                <w:rFonts w:hint="eastAsia" w:eastAsia="仿宋"/>
                <w:color w:val="auto"/>
                <w:highlight w:val="none"/>
                <w:lang w:eastAsia="zh-CN"/>
              </w:rPr>
            </w:pP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250F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25BDCA86">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kern w:val="0"/>
                <w:sz w:val="24"/>
                <w:szCs w:val="24"/>
                <w:highlight w:val="none"/>
                <w:lang w:bidi="ar"/>
              </w:rPr>
            </w:pPr>
            <w:r>
              <w:rPr>
                <w:rFonts w:hint="eastAsia" w:ascii="仿宋" w:hAnsi="仿宋" w:eastAsia="仿宋" w:cs="宋体"/>
                <w:color w:val="auto"/>
                <w:kern w:val="0"/>
                <w:sz w:val="24"/>
                <w:szCs w:val="24"/>
                <w:highlight w:val="none"/>
                <w:lang w:bidi="ar"/>
              </w:rPr>
              <w:t>2</w:t>
            </w:r>
          </w:p>
        </w:tc>
        <w:tc>
          <w:tcPr>
            <w:tcW w:w="1383" w:type="dxa"/>
            <w:shd w:val="clear" w:color="auto" w:fill="auto"/>
            <w:vAlign w:val="center"/>
          </w:tcPr>
          <w:p w14:paraId="64A0288C">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bidi="ar"/>
              </w:rPr>
            </w:pPr>
            <w:r>
              <w:rPr>
                <w:rFonts w:hint="eastAsia" w:ascii="仿宋" w:hAnsi="仿宋" w:eastAsia="仿宋" w:cs="宋体"/>
                <w:color w:val="auto"/>
                <w:kern w:val="0"/>
                <w:sz w:val="24"/>
                <w:szCs w:val="24"/>
                <w:highlight w:val="none"/>
                <w:lang w:bidi="ar"/>
              </w:rPr>
              <w:t>智能筒型摄像机</w:t>
            </w:r>
          </w:p>
        </w:tc>
        <w:tc>
          <w:tcPr>
            <w:tcW w:w="6726" w:type="dxa"/>
            <w:shd w:val="clear" w:color="auto" w:fill="auto"/>
            <w:vAlign w:val="center"/>
          </w:tcPr>
          <w:p w14:paraId="26EA7EB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分辨率设置为2560×1440@25fps，分辨力不小于1400TVL。（公安部检验报告证明）</w:t>
            </w:r>
          </w:p>
          <w:p w14:paraId="7F2A904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内置2.7~13.5mm镜头，支持电动变焦。（公安部检验报告证明）</w:t>
            </w:r>
          </w:p>
          <w:p w14:paraId="5031E50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最低照度彩色不大于0.0002lx，黑白不大于0.0001lx。（公安部检验报告证明）</w:t>
            </w:r>
          </w:p>
          <w:p w14:paraId="4C15E24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宽动态能力不小于120dB。（公安部检验报告证明）</w:t>
            </w:r>
          </w:p>
          <w:p w14:paraId="317252F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支持H.264、H.265、MJPEG视频编码格式，且具有HighProfile编码能力。（公安部检验报告证明）</w:t>
            </w:r>
          </w:p>
          <w:p w14:paraId="72212C3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信噪比不小于58dB。（公安部检验报告证明）</w:t>
            </w:r>
          </w:p>
          <w:p w14:paraId="4BDFF70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需支持三码流技术，主码流分辨率不小于2560x1440@25fps，子码流不小于704x576@25fps，第三码流不小于1920x1080@25fps。（公安部检验报告证明）</w:t>
            </w:r>
          </w:p>
          <w:p w14:paraId="67AB8CE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需具备智能分析抗干扰功能，当篮球、小狗、树摇晃等情况经过检测区域时，不会触发报警。（公安部检验报告证明）</w:t>
            </w:r>
          </w:p>
          <w:p w14:paraId="1419128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支持捕获、识别新能源汽车专用号牌。（公安部检验报告证明）</w:t>
            </w:r>
          </w:p>
          <w:p w14:paraId="6426CD7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同一静止场景相同图像质量下，设备在H.265编码方式时，开启智能编码功能和不开启智能编码相比，码率节约80%。（公安部检验报告证明）</w:t>
            </w:r>
          </w:p>
          <w:p w14:paraId="6635C97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内置2个麦克风、1个扬声器。（公安部检验报告证明）</w:t>
            </w:r>
          </w:p>
          <w:p w14:paraId="7B03F23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★具备4颗补光灯，灯杯为鳞片状，补光灯开启后，正面不可见补光灯灯珠。（公安部检验报告证明）</w:t>
            </w:r>
          </w:p>
          <w:p w14:paraId="6B877B9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★当补光灯打开时，补光亮度应均匀，无明显波纹状、圆环状、麻点状、条纹状及不规则亮斑。（公安部检验报告证明）</w:t>
            </w:r>
          </w:p>
          <w:p w14:paraId="13FD2A3C">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★设备具有耀光抑制功能，耀光区域≤1%。（公安部检验报告证明）</w:t>
            </w:r>
          </w:p>
          <w:p w14:paraId="4FB808D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需支持IP67防尘防水。（公安部检验报告证明）</w:t>
            </w:r>
          </w:p>
          <w:p w14:paraId="690578C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需同时支持DC12V和POE供电，且在不小于DC12V±30%范围内变化时可以正常工作。（公安部检验报告证明）</w:t>
            </w:r>
          </w:p>
          <w:p w14:paraId="6E794F9A">
            <w:pPr>
              <w:pStyle w:val="2"/>
              <w:keepNext w:val="0"/>
              <w:keepLines w:val="0"/>
              <w:suppressLineNumbers w:val="0"/>
              <w:shd w:val="clear"/>
              <w:spacing w:before="0" w:beforeAutospacing="0" w:after="0" w:afterAutospacing="0"/>
              <w:ind w:left="0" w:leftChars="0" w:right="0" w:firstLine="0" w:firstLineChars="0"/>
              <w:rPr>
                <w:rFonts w:hint="eastAsia" w:eastAsia="仿宋"/>
                <w:color w:val="auto"/>
                <w:highlight w:val="none"/>
                <w:lang w:val="en-US" w:eastAsia="zh-CN"/>
              </w:rPr>
            </w:pPr>
            <w:r>
              <w:rPr>
                <w:rFonts w:hint="eastAsia" w:ascii="仿宋" w:hAnsi="仿宋" w:eastAsia="仿宋" w:cs="宋体"/>
                <w:color w:val="auto"/>
                <w:kern w:val="0"/>
                <w:sz w:val="24"/>
                <w:szCs w:val="24"/>
                <w:highlight w:val="none"/>
                <w:lang w:eastAsia="zh-CN" w:bidi="ar"/>
              </w:rPr>
              <w:t>具有1个RS485接口、1个报警输入接口、1个报警输出接口、1个音频输入接口、1个音频输出接口。（公安部检验报告证明）</w:t>
            </w: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4CD5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6A7D8CA1">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3.</w:t>
            </w:r>
          </w:p>
        </w:tc>
        <w:tc>
          <w:tcPr>
            <w:tcW w:w="1383" w:type="dxa"/>
            <w:shd w:val="clear" w:color="auto" w:fill="auto"/>
            <w:vAlign w:val="center"/>
          </w:tcPr>
          <w:p w14:paraId="6BF225B9">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智能球机</w:t>
            </w:r>
          </w:p>
        </w:tc>
        <w:tc>
          <w:tcPr>
            <w:tcW w:w="6726" w:type="dxa"/>
            <w:shd w:val="clear" w:color="auto" w:fill="auto"/>
            <w:vAlign w:val="center"/>
          </w:tcPr>
          <w:p w14:paraId="4133347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分辨率设置为2560×1440@25fps，分辨力不小于1400TVL。（公安部检验报告证明）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内置2.7~13.5mm镜头，支持电动变焦。（公安部检验报告证明）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最低照度彩色不大于0.0002lx，黑白不大于0.0001lx。（公安部检验报告证明）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宽动态能力不小于120dB。（公安部检验报告证明）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支持H.264、H.265、MJPEG视频编码格式，且具有HighProfile编码能力。（公安部检验报告证明）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信噪比不小于58dB。（公安部检验报告证明）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需支持三码流技术，主码流分辨率不小于2560x1440@25fps，子码流不小于704x576@25fps，第三码流不小于1920x1080@25fps。（公安部检验报告证明）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需具备智能分析抗干扰功能，当篮球、小狗、树摇晃等情况经过检测区域时，不会触发报警。（公安部检验报告证明）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支持捕获、识别新能源汽车专用号牌。（公安部检验报告证明）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同一静止场景相同图像质量下，设备在H.265编码方式时，开启智能编码功能和不开启智能编码相比，码率节约80%。（公安部检验报告证明）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内置2个麦克风、1个扬声器。（公安部检验报告证明）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★具备4颗补光灯，灯杯为鳞片状，补光灯开启后，正面不可见补光灯灯珠。（公安部检验报告证明）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★当补光灯打开时，补光亮度应均匀，无明显波纹状、圆环状、麻点状、条纹状及不规则亮斑。（公安部检验报告证明）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★设备具有耀光抑制功能，耀光区域≤1%。（公安部检验报告证明）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需支持IP67防尘防水。（公安部检验报告证明）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需同时支持DC12V和POE供电，且在不小于DC12V±30%范围内变化时可以正常工作。（公安部检验报告证明）</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具有1个RS485接口、1个报警输入接口、1个报警输出接口、1个音频输入接口、1个音频输出接口。（公安部检验报告证明）</w:t>
            </w:r>
          </w:p>
          <w:p w14:paraId="03936CA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583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19501C44">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4.</w:t>
            </w:r>
          </w:p>
        </w:tc>
        <w:tc>
          <w:tcPr>
            <w:tcW w:w="1383" w:type="dxa"/>
            <w:shd w:val="clear" w:color="auto" w:fill="auto"/>
            <w:vAlign w:val="center"/>
          </w:tcPr>
          <w:p w14:paraId="013AF8C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eastAsia="zh-CN" w:bidi="ar"/>
              </w:rPr>
            </w:pPr>
            <w:r>
              <w:rPr>
                <w:rFonts w:hint="eastAsia" w:ascii="仿宋" w:hAnsi="仿宋" w:eastAsia="仿宋" w:cs="Times New Roman"/>
                <w:color w:val="auto"/>
                <w:szCs w:val="21"/>
                <w:highlight w:val="none"/>
              </w:rPr>
              <w:t>网络红外球机</w:t>
            </w:r>
          </w:p>
        </w:tc>
        <w:tc>
          <w:tcPr>
            <w:tcW w:w="6726" w:type="dxa"/>
            <w:shd w:val="clear" w:color="auto" w:fill="auto"/>
            <w:vAlign w:val="center"/>
          </w:tcPr>
          <w:p w14:paraId="6E734A6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★分辨力不小于1400线（分辨率设置为2560×1440，帧率设置为25fps、码率设置为6Mbps、RJ45输出），红外作用距离：可识别距设备100m的人体轮廓（以公安部检验报告为准）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★支持23倍光学变焦，最大焦距110mm</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最低照度：彩色≤0.005Lux，黑白模式≤0.001Lux（AGC ON、RJ45输出、应能分辨反射式视频矩阵测试卡中的彩色色块）（以公安部检验报告为准）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水平旋转范围为360°连续旋转，垂直旋转范围为-5°~90°</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应具有300个预置位，设备可按照所设置的预置位完成8条巡航路径，可按照所设置轨迹完成4条模式路径；在控制云镜时，可实现RS485接口优先或RJ45网络接口优先控制功能（以公安部检验报告为准）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在丢包率为20%的网络环境下，仍可正常显示监视画面。（以公安部检验报告为准）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可将视频图像存储至SD卡或客户端，支持SD卡热插拔，最大支持256GB</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设备应符合IP66的规定，温度65℃、-30℃，持续时间24h，试验期间设备处于工作状态，试验后设备应能正常工作（以公安部检验报告为准）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电源电压在DC12V±30%范围内变化时，设备应能正常工作（以公安部检验报告为准）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可对镜头前盖玻璃进行加热，去除玻璃上的冰状和水状附着物（以公安部检验报告为准）</w:t>
            </w:r>
          </w:p>
          <w:p w14:paraId="2D915BC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lang w:eastAsia="zh-CN"/>
              </w:rPr>
            </w:pP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bl>
    <w:p w14:paraId="71EA02A3">
      <w:pPr>
        <w:pStyle w:val="2"/>
        <w:shd w:val="clear"/>
        <w:rPr>
          <w:rFonts w:hint="default"/>
          <w:b/>
          <w:bCs/>
          <w:color w:val="auto"/>
          <w:highlight w:val="none"/>
          <w:lang w:val="en-US" w:eastAsia="zh-CN"/>
        </w:rPr>
      </w:pPr>
      <w:r>
        <w:rPr>
          <w:rFonts w:hint="eastAsia" w:asciiTheme="minorEastAsia" w:hAnsiTheme="minorEastAsia" w:eastAsiaTheme="minorEastAsia" w:cstheme="minorEastAsia"/>
          <w:color w:val="auto"/>
          <w:kern w:val="0"/>
          <w:szCs w:val="21"/>
          <w:highlight w:val="none"/>
        </w:rPr>
        <w:t>▲</w:t>
      </w:r>
      <w:r>
        <w:rPr>
          <w:rFonts w:hint="eastAsia" w:ascii="宋体" w:hAnsi="宋体" w:cs="宋体"/>
          <w:b/>
          <w:bCs/>
          <w:color w:val="auto"/>
          <w:sz w:val="24"/>
          <w:szCs w:val="20"/>
          <w:highlight w:val="none"/>
          <w:lang w:val="en-US" w:eastAsia="zh-CN"/>
        </w:rPr>
        <w:t>注：投标人须承诺本次新建的前端设备确保能接入台州市智慧城管平台。</w:t>
      </w:r>
    </w:p>
    <w:p w14:paraId="6A674D3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）总体维保服务要求</w:t>
      </w:r>
    </w:p>
    <w:p w14:paraId="664B6C42">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1、服务响应要求</w:t>
      </w:r>
    </w:p>
    <w:p w14:paraId="3491BB7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包括电话和远程技术支持服务。现场技术支持服务两种</w:t>
      </w:r>
    </w:p>
    <w:p w14:paraId="5F5A282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(1)电话和远程技术支持响应</w:t>
      </w:r>
    </w:p>
    <w:p w14:paraId="75ABEDD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中标单位需提供固定人员及电话对接业主、服务销售等途径提出服务请求后，投标方工程师要及时与用户沟通，通过网络、电话等远程方式对服务范围内的设备进行故障诊断、恢复，硬件维修受理，技术咨询。本次选择7*24(周一到周日，每天24小时)服务级别。</w:t>
      </w:r>
    </w:p>
    <w:p w14:paraId="2943125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(2)现场技术支持响应</w:t>
      </w:r>
    </w:p>
    <w:p w14:paraId="02E761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中标单位需提供固定人员及电话对接业主、服务销售等途径提出现场服务请求或通过远程服务方式未能解决故障问题时，投标方要按照合同相应服务级别要求派遣工程师抵达用户现场提供现场系统故障诊断和处理、硬件故障诊断服务。本次选择7*24(周一到周日，每天24小时)服务级别。</w:t>
      </w:r>
    </w:p>
    <w:p w14:paraId="3ECB14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（3）响应时间要求</w:t>
      </w:r>
    </w:p>
    <w:p w14:paraId="2B24E8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电话响应：收到服务要求起15分钟内提供技术响应。</w:t>
      </w:r>
    </w:p>
    <w:p w14:paraId="5D94CF4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现场响应：</w:t>
      </w:r>
    </w:p>
    <w:p w14:paraId="2EB8A0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对于严重故障(影响用户方业务正常运作的故障)，应派遣工程师到现场做技术支持。</w:t>
      </w:r>
    </w:p>
    <w:p w14:paraId="50C81F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响应时间:15 分钟以内；</w:t>
      </w:r>
    </w:p>
    <w:p w14:paraId="597ED8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到场时间:接到故障通知后，2小时内到达现场；</w:t>
      </w:r>
    </w:p>
    <w:p w14:paraId="23C4EBE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修复时间，到达用户现场后，24小时内恢复。</w:t>
      </w:r>
    </w:p>
    <w:p w14:paraId="662EE34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对于一般性故障(不影响用户方业务正常运作的故障)，应派遣工程师到现场做技术支持。</w:t>
      </w:r>
    </w:p>
    <w:p w14:paraId="09B8123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响应时间:15 分钟以内:</w:t>
      </w:r>
    </w:p>
    <w:p w14:paraId="4B02ABA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到场时间:接到故障通知后，12小时内到达现场;</w:t>
      </w:r>
    </w:p>
    <w:p w14:paraId="6B2287F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修复时间:到达用户现场后，24小时内恢复。</w:t>
      </w:r>
    </w:p>
    <w:p w14:paraId="539DD86F">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2、常规性维护服务</w:t>
      </w:r>
    </w:p>
    <w:p w14:paraId="70D787D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服务方须根据用户需要，作好如下维护服务工作:</w:t>
      </w:r>
    </w:p>
    <w:p w14:paraId="27A66F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(1)用户系统计划性停机、重启。</w:t>
      </w:r>
    </w:p>
    <w:p w14:paraId="16C3273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(2)用户软硬件系统更正性维护服务。</w:t>
      </w:r>
    </w:p>
    <w:p w14:paraId="0FA692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(3)用户软硬件系统版本、补丁升级及与之相关的应用数据迁移，</w:t>
      </w:r>
    </w:p>
    <w:p w14:paraId="763B3F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(4)针对服务器、磁盘阵列的性能运行情况，进行检测分析，判断是否需要更换或扩容。</w:t>
      </w:r>
    </w:p>
    <w:p w14:paraId="0FADA28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(5)制定周密的系统应急处理方案并验证其可靠性。</w:t>
      </w:r>
    </w:p>
    <w:p w14:paraId="0054E42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3、定期巡检服务</w:t>
      </w:r>
    </w:p>
    <w:p w14:paraId="1B86F96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须按明规范的流程定期对维保服务范围内的软硬件设备运行情况进行系统的检查，巡检内容包括机房环境、网络设备、服务器、盘阵列等。通过对设备关键检查点参数进行数据采集，并将采集到的数据与有关标准进行比较，从而确定相关设备所处的运行状态。本次项目要求服务方提供</w:t>
      </w:r>
      <w:r>
        <w:rPr>
          <w:rFonts w:hint="eastAsia" w:ascii="宋体" w:hAnsi="宋体" w:eastAsia="宋体" w:cs="宋体"/>
          <w:b w:val="0"/>
          <w:bCs w:val="0"/>
          <w:color w:val="auto"/>
          <w:sz w:val="24"/>
          <w:szCs w:val="20"/>
          <w:highlight w:val="none"/>
          <w:lang w:val="en-US" w:eastAsia="zh-CN"/>
        </w:rPr>
        <w:t>机房内每月不少于1次的巡检，前端点位</w:t>
      </w:r>
      <w:r>
        <w:rPr>
          <w:rFonts w:hint="eastAsia" w:ascii="宋体" w:hAnsi="宋体" w:eastAsia="宋体" w:cs="宋体"/>
          <w:color w:val="auto"/>
          <w:sz w:val="24"/>
          <w:szCs w:val="20"/>
          <w:highlight w:val="none"/>
          <w:lang w:val="en-US" w:eastAsia="zh-CN"/>
        </w:rPr>
        <w:t>每季度不少于1次巡检，并做好巡检内容和记录。对维保范围内的设备进行预防性维护，及时定位隐患并找出原因，通过预防性维护降低故障出现的概率，协助及时修订设备基本运维信息，保证资源信息库的准确有效，为快速业务恢复以及故障快速排除打下坚实基础。</w:t>
      </w:r>
    </w:p>
    <w:p w14:paraId="5F7CA3F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4、应急故障处理服务</w:t>
      </w:r>
    </w:p>
    <w:p w14:paraId="64E376D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服务方接到故障通知电话后，应认真进行故障分析判定等准备工作，15分钟文内做出响应，2小时内赶赴现场提供现场服务。</w:t>
      </w:r>
    </w:p>
    <w:p w14:paraId="3700834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针对用户方设备具体应用环境及业务要求，制定出设备在遇到重大故障时的应急处理预案，提出切实可行的备份切换方案及措施，确保生产业务能在最短时间内恢复正常</w:t>
      </w:r>
    </w:p>
    <w:p w14:paraId="3A53243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故障处理完毕7个工作日内，维保公司提供“故障分析报告”和“故障处理报告”</w:t>
      </w:r>
    </w:p>
    <w:p w14:paraId="63BEAA55">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5、备品备件服务</w:t>
      </w:r>
    </w:p>
    <w:p w14:paraId="703005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投标方在浙江省内拥有自主的备件库，并提供备件库地址。当发生严重故障时，备件送达现场时间不能超过</w:t>
      </w:r>
      <w:r>
        <w:rPr>
          <w:rFonts w:hint="eastAsia" w:ascii="宋体" w:hAnsi="宋体" w:cs="宋体"/>
          <w:color w:val="auto"/>
          <w:sz w:val="24"/>
          <w:szCs w:val="20"/>
          <w:highlight w:val="none"/>
          <w:lang w:val="en-US" w:eastAsia="zh-CN"/>
        </w:rPr>
        <w:t>24</w:t>
      </w:r>
      <w:r>
        <w:rPr>
          <w:rFonts w:hint="eastAsia" w:ascii="宋体" w:hAnsi="宋体" w:eastAsia="宋体" w:cs="宋体"/>
          <w:color w:val="auto"/>
          <w:sz w:val="24"/>
          <w:szCs w:val="20"/>
          <w:highlight w:val="none"/>
          <w:lang w:val="en-US" w:eastAsia="zh-CN"/>
        </w:rPr>
        <w:t>小时。根据所有可能发生的硬件故障，提整备件库，第一时间提供备件更换，并及时补充备件库。</w:t>
      </w:r>
    </w:p>
    <w:p w14:paraId="00C63B80">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（五）其他要求</w:t>
      </w:r>
    </w:p>
    <w:p w14:paraId="4A4F4C8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1、服务过程中，成交人须做好工作人员的安全保障工作，做到安全、文明服务，若成交人服务过程中发生人身损害、财产损失等事故的，一切责任由成交人承担。发生事故后，成交人须 24小时内派负责人到场处置。由此造成损失的采购人有权向成交人追偿。</w:t>
      </w:r>
    </w:p>
    <w:p w14:paraId="681162D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成交人须保证成交人及进场服务人员具备相应合法资质，持证上岗，服务人员须选择熟练工，并具备一定维保服务经验。若采购人发现成交人或其工作人员不具备相应资质的，有权解除合同并要求成交人承担相关损失及责任。</w:t>
      </w:r>
    </w:p>
    <w:p w14:paraId="5928399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3.成交人至少提供1名驻场人员专职负责本项目设备的后台技术维护、网络设备巡检、链路、设备配置及升级等工作。采购人将协助中标人共同监督管理驻场人员的日常出勤与工作情况，并根据规定进行考核。</w:t>
      </w:r>
    </w:p>
    <w:p w14:paraId="1419DB3F">
      <w:pPr>
        <w:pStyle w:val="2"/>
        <w:shd w:val="clear"/>
        <w:rPr>
          <w:rFonts w:hint="default"/>
          <w:color w:val="auto"/>
          <w:highlight w:val="none"/>
          <w:lang w:val="en-US" w:eastAsia="zh-CN"/>
        </w:rPr>
      </w:pPr>
      <w:r>
        <w:rPr>
          <w:rFonts w:hint="eastAsia" w:ascii="宋体" w:hAnsi="宋体" w:cs="宋体"/>
          <w:color w:val="auto"/>
          <w:sz w:val="24"/>
          <w:szCs w:val="20"/>
          <w:highlight w:val="none"/>
          <w:lang w:val="en-US" w:eastAsia="zh-CN"/>
        </w:rPr>
        <w:t>4.投标人中标后，须在签订合同前提供所投前端设备的原厂质保函（原件），否则取消其中标资格。</w:t>
      </w:r>
    </w:p>
    <w:p w14:paraId="412221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jc w:val="both"/>
        <w:outlineLvl w:val="0"/>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三、商务需求</w:t>
      </w:r>
    </w:p>
    <w:p w14:paraId="4BFD3A8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1.服务期:一年(每半年考核一次，服务期间保障各线条工作)。</w:t>
      </w:r>
    </w:p>
    <w:p w14:paraId="4DC47D1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2.服务地点:采购人指定地点</w:t>
      </w:r>
    </w:p>
    <w:p w14:paraId="58D91E3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3.履约保证金:无</w:t>
      </w:r>
    </w:p>
    <w:p w14:paraId="3BB5FD40">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付款方式：</w:t>
      </w:r>
      <w:r>
        <w:rPr>
          <w:rFonts w:hint="eastAsia" w:ascii="宋体" w:hAnsi="宋体" w:eastAsia="宋体" w:cs="宋体"/>
          <w:color w:val="auto"/>
          <w:sz w:val="24"/>
          <w:szCs w:val="24"/>
          <w:highlight w:val="none"/>
        </w:rPr>
        <w:t>合同签订7个工作日后支付合同金额的40%作为预付款，服务期开始满6个月且考核合格后支付合同金额的30%；服务期满且验收通过后支付剩余结算金额。（以上付款条件是在采购人所在地财政资金下达且收到供应商正式发票后7个工作日内支付）</w:t>
      </w:r>
      <w:r>
        <w:rPr>
          <w:rFonts w:hint="eastAsia" w:ascii="宋体" w:hAnsi="宋体" w:cs="宋体"/>
          <w:color w:val="auto"/>
          <w:sz w:val="24"/>
          <w:szCs w:val="24"/>
          <w:highlight w:val="none"/>
          <w:lang w:eastAsia="zh-CN"/>
        </w:rPr>
        <w:t>。</w:t>
      </w:r>
    </w:p>
    <w:p w14:paraId="281ABF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p>
    <w:p w14:paraId="6DC30E99">
      <w:pPr>
        <w:pStyle w:val="23"/>
        <w:shd w:val="clear"/>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rPr>
        <w:br w:type="page"/>
      </w:r>
    </w:p>
    <w:p w14:paraId="7EAE1291">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14:paraId="786290C6">
      <w:pPr>
        <w:pStyle w:val="28"/>
        <w:shd w:val="clear"/>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甲方：（采购单位）                                                          </w:t>
      </w:r>
    </w:p>
    <w:p w14:paraId="51DFA138">
      <w:pPr>
        <w:pStyle w:val="28"/>
        <w:shd w:val="clear"/>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乙方：（中标供应商）                          </w:t>
      </w:r>
    </w:p>
    <w:p w14:paraId="040A35E6">
      <w:pPr>
        <w:widowControl/>
        <w:shd w:val="clear" w:color="auto"/>
        <w:spacing w:line="375"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甲、乙双方根据</w:t>
      </w:r>
      <w:r>
        <w:rPr>
          <w:rFonts w:hint="eastAsia" w:ascii="宋体" w:hAnsi="宋体" w:cs="宋体"/>
          <w:b/>
          <w:bCs/>
          <w:color w:val="auto"/>
          <w:sz w:val="24"/>
          <w:highlight w:val="none"/>
        </w:rPr>
        <w:t xml:space="preserve">      </w:t>
      </w:r>
      <w:r>
        <w:rPr>
          <w:rFonts w:hint="eastAsia" w:ascii="宋体" w:hAnsi="宋体" w:cs="宋体"/>
          <w:color w:val="auto"/>
          <w:sz w:val="24"/>
          <w:highlight w:val="none"/>
        </w:rPr>
        <w:t>公开招标的结果，签署本合同。</w:t>
      </w:r>
    </w:p>
    <w:p w14:paraId="2604EBE6">
      <w:pPr>
        <w:numPr>
          <w:ilvl w:val="0"/>
          <w:numId w:val="30"/>
        </w:numPr>
        <w:shd w:val="clear"/>
        <w:spacing w:line="360" w:lineRule="auto"/>
        <w:outlineLvl w:val="1"/>
        <w:rPr>
          <w:rFonts w:ascii="宋体"/>
          <w:b/>
          <w:color w:val="auto"/>
          <w:sz w:val="24"/>
          <w:highlight w:val="none"/>
          <w:lang w:val="zh-CN"/>
        </w:rPr>
      </w:pPr>
      <w:bookmarkStart w:id="4" w:name="_Toc14053"/>
      <w:bookmarkStart w:id="5" w:name="_Toc14348"/>
      <w:r>
        <w:rPr>
          <w:rFonts w:hint="eastAsia" w:ascii="宋体"/>
          <w:b/>
          <w:color w:val="auto"/>
          <w:sz w:val="24"/>
          <w:highlight w:val="none"/>
          <w:lang w:val="zh-CN"/>
        </w:rPr>
        <w:t>合同文件：</w:t>
      </w:r>
      <w:bookmarkEnd w:id="4"/>
      <w:bookmarkEnd w:id="5"/>
      <w:r>
        <w:rPr>
          <w:rFonts w:hint="eastAsia" w:ascii="宋体"/>
          <w:b/>
          <w:color w:val="auto"/>
          <w:sz w:val="24"/>
          <w:highlight w:val="none"/>
          <w:lang w:val="zh-CN"/>
        </w:rPr>
        <w:t xml:space="preserve"> </w:t>
      </w:r>
    </w:p>
    <w:p w14:paraId="70937B6A">
      <w:pPr>
        <w:numPr>
          <w:ilvl w:val="0"/>
          <w:numId w:val="31"/>
        </w:num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合同条款。</w:t>
      </w:r>
    </w:p>
    <w:p w14:paraId="47D1ABBC">
      <w:pPr>
        <w:numPr>
          <w:ilvl w:val="0"/>
          <w:numId w:val="31"/>
        </w:num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中标通知书。</w:t>
      </w:r>
    </w:p>
    <w:p w14:paraId="124E709D">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更正补充文件。</w:t>
      </w:r>
    </w:p>
    <w:p w14:paraId="5BEE94A3">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w:t>
      </w:r>
    </w:p>
    <w:p w14:paraId="70F42542">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中标供应商投标文件。</w:t>
      </w:r>
    </w:p>
    <w:p w14:paraId="511E80FC">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w:t>
      </w:r>
    </w:p>
    <w:p w14:paraId="7D9C0F9A">
      <w:pPr>
        <w:widowControl/>
        <w:shd w:val="clear" w:color="auto"/>
        <w:spacing w:after="150" w:line="375" w:lineRule="atLeast"/>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26118142">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二、合同内容及服务标准</w:t>
      </w:r>
    </w:p>
    <w:p w14:paraId="149AAA8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（具体见项目需求）</w:t>
      </w:r>
    </w:p>
    <w:p w14:paraId="7681F5B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三、合同金额</w:t>
      </w:r>
    </w:p>
    <w:p w14:paraId="3F82411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本合同金额为（大写）：____________________________________元（￥_______________元）人民币。</w:t>
      </w:r>
    </w:p>
    <w:p w14:paraId="0DF5CEAA">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四、甲乙双方责任</w:t>
      </w:r>
    </w:p>
    <w:p w14:paraId="53CCA0DB">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（一）甲方责任</w:t>
      </w:r>
    </w:p>
    <w:p w14:paraId="0A75CF58">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甲方根据合同规定及时支付合同款，为乙方提供必要的工作环境，积极配合乙方工作。</w:t>
      </w:r>
    </w:p>
    <w:p w14:paraId="38F89BC3">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（二）乙方责任</w:t>
      </w:r>
    </w:p>
    <w:p w14:paraId="05C56FC4">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1.乙方根据合同规定按时开展服务工作并保证工作质量。</w:t>
      </w:r>
    </w:p>
    <w:p w14:paraId="12023BC1">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服务过程中，乙方须做好工作人员的安全保障工作，做到安全、文明服务，若乙方服务过程中发生人身损害、财产损失等事故的，一切责任由乙方承担。发生事故后，乙方须24小时内派负责人到场处置。甲方由此造成损失的，有权向乙方追偿。</w:t>
      </w:r>
    </w:p>
    <w:p w14:paraId="73678AF3">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乙方须保证乙方及进场服务人员具备相应合法资质，持证上岗，服务人员须选择熟练工，并具备一定维保服务经验。若甲方发现乙方或其工作人员不具备相应资质的，有权解除本合同并要求乙方承担相关损失及责任。</w:t>
      </w:r>
    </w:p>
    <w:p w14:paraId="4C63A33E">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乙方至少提供1名驻场人员（要求具有三年以上类似项目维护经验）专职负责本项目设备的后台技术维护、网络设备巡检、链路、设备配置及升级等工作。甲方将协助乙方共同监督管理驻场人员的日常出勤与工作情况，并根据规定进行考核。</w:t>
      </w:r>
    </w:p>
    <w:p w14:paraId="0C64BE9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五、技术资料</w:t>
      </w:r>
    </w:p>
    <w:p w14:paraId="2BFB3E96">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1.乙方应及时向甲方提供有关技术资料。</w:t>
      </w:r>
    </w:p>
    <w:p w14:paraId="55CF4C41">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3CF6E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六、知识产权</w:t>
      </w:r>
    </w:p>
    <w:p w14:paraId="19AC385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乙方应保证提供服务过程中不会侵犯任何第三方的知识产权。</w:t>
      </w:r>
    </w:p>
    <w:p w14:paraId="090E8B97">
      <w:pPr>
        <w:keepNext w:val="0"/>
        <w:keepLines w:val="0"/>
        <w:pageBreakBefore w:val="0"/>
        <w:shd w:val="clear"/>
        <w:kinsoku/>
        <w:wordWrap/>
        <w:overflowPunct/>
        <w:topLinePunct w:val="0"/>
        <w:bidi w:val="0"/>
        <w:spacing w:line="570" w:lineRule="exact"/>
        <w:ind w:firstLine="480"/>
        <w:textAlignment w:val="auto"/>
        <w:outlineLvl w:val="9"/>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七、履约保证金</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无</w:t>
      </w:r>
    </w:p>
    <w:p w14:paraId="51C2F0EE">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八、转包或分包</w:t>
      </w:r>
    </w:p>
    <w:p w14:paraId="061CA3F0">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1.本合同范围的服务，应由乙方直接供应，不得转让他人供应；</w:t>
      </w:r>
    </w:p>
    <w:p w14:paraId="62C69DF1">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 除非得到甲方的书面同意，乙方不得将本合同范围的服务全部或部分分包给他人供应；</w:t>
      </w:r>
    </w:p>
    <w:p w14:paraId="00D7441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3.如有转让和未经甲方同意的分包行为，甲方有权解除合同，并追究乙方的违约责任。</w:t>
      </w:r>
    </w:p>
    <w:p w14:paraId="72649583">
      <w:pPr>
        <w:keepNext w:val="0"/>
        <w:keepLines w:val="0"/>
        <w:pageBreakBefore w:val="0"/>
        <w:widowControl w:val="0"/>
        <w:suppressLineNumbers w:val="0"/>
        <w:shd w:val="clear"/>
        <w:tabs>
          <w:tab w:val="left" w:pos="8280"/>
        </w:tabs>
        <w:kinsoku/>
        <w:wordWrap/>
        <w:overflowPunct/>
        <w:topLinePunct w:val="0"/>
        <w:autoSpaceDE w:val="0"/>
        <w:autoSpaceDN w:val="0"/>
        <w:bidi w:val="0"/>
        <w:adjustRightInd w:val="0"/>
        <w:spacing w:before="0" w:beforeAutospacing="0" w:after="0" w:afterAutospacing="0" w:line="57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bidi="ar"/>
        </w:rPr>
        <w:t>九、</w:t>
      </w:r>
      <w:r>
        <w:rPr>
          <w:rFonts w:hint="eastAsia" w:ascii="宋体" w:hAnsi="宋体" w:eastAsia="宋体" w:cs="宋体"/>
          <w:b w:val="0"/>
          <w:bCs w:val="0"/>
          <w:color w:val="auto"/>
          <w:kern w:val="2"/>
          <w:sz w:val="24"/>
          <w:szCs w:val="24"/>
          <w:highlight w:val="none"/>
          <w:lang w:val="en-US" w:eastAsia="zh-CN" w:bidi="ar"/>
        </w:rPr>
        <w:t>服务期及服务地点</w:t>
      </w:r>
    </w:p>
    <w:p w14:paraId="4D25F99B">
      <w:pPr>
        <w:keepNext w:val="0"/>
        <w:keepLines w:val="0"/>
        <w:pageBreakBefore w:val="0"/>
        <w:widowControl w:val="0"/>
        <w:suppressLineNumbers w:val="0"/>
        <w:shd w:val="clear"/>
        <w:tabs>
          <w:tab w:val="left" w:pos="8280"/>
        </w:tabs>
        <w:kinsoku/>
        <w:wordWrap/>
        <w:overflowPunct/>
        <w:topLinePunct w:val="0"/>
        <w:autoSpaceDE w:val="0"/>
        <w:autoSpaceDN w:val="0"/>
        <w:bidi w:val="0"/>
        <w:adjustRightInd w:val="0"/>
        <w:spacing w:before="0" w:beforeAutospacing="0" w:after="0" w:afterAutospacing="0" w:line="570" w:lineRule="exact"/>
        <w:ind w:left="0" w:right="0" w:firstLine="480" w:firstLineChars="200"/>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1.服务期：自合同签订之日起一年。</w:t>
      </w:r>
    </w:p>
    <w:p w14:paraId="71DA78E5">
      <w:pPr>
        <w:keepNext w:val="0"/>
        <w:keepLines w:val="0"/>
        <w:pageBreakBefore w:val="0"/>
        <w:widowControl/>
        <w:suppressLineNumbers w:val="0"/>
        <w:shd w:val="clear"/>
        <w:kinsoku/>
        <w:wordWrap/>
        <w:overflowPunct/>
        <w:topLinePunct w:val="0"/>
        <w:bidi w:val="0"/>
        <w:spacing w:line="570" w:lineRule="exact"/>
        <w:ind w:firstLine="480" w:firstLineChars="20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2.服务地点：甲方指定地点。</w:t>
      </w:r>
    </w:p>
    <w:p w14:paraId="5C40422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十、款项支付</w:t>
      </w:r>
    </w:p>
    <w:p w14:paraId="5A6D2EB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付款方式：合同签订7个工作日后支付合同金额的40%作为预付款，服务期开始满6个月且考核合格后支付合同金额的30%；服务期满且验收通过后支付剩余结算金额。（以上付款条件是在</w:t>
      </w:r>
      <w:r>
        <w:rPr>
          <w:rFonts w:hint="eastAsia" w:ascii="宋体" w:hAnsi="宋体" w:cs="宋体"/>
          <w:color w:val="auto"/>
          <w:sz w:val="24"/>
          <w:szCs w:val="24"/>
          <w:highlight w:val="none"/>
          <w:lang w:val="en-US" w:eastAsia="zh-CN" w:bidi="ar"/>
        </w:rPr>
        <w:t>甲方</w:t>
      </w:r>
      <w:r>
        <w:rPr>
          <w:rFonts w:hint="eastAsia" w:ascii="宋体" w:hAnsi="宋体" w:eastAsia="宋体" w:cs="宋体"/>
          <w:color w:val="auto"/>
          <w:sz w:val="24"/>
          <w:szCs w:val="24"/>
          <w:highlight w:val="none"/>
          <w:lang w:bidi="ar"/>
        </w:rPr>
        <w:t>所在地财政资金下达且收到</w:t>
      </w:r>
      <w:r>
        <w:rPr>
          <w:rFonts w:hint="eastAsia" w:ascii="宋体" w:hAnsi="宋体" w:cs="宋体"/>
          <w:color w:val="auto"/>
          <w:sz w:val="24"/>
          <w:szCs w:val="24"/>
          <w:highlight w:val="none"/>
          <w:lang w:val="en-US" w:eastAsia="zh-CN" w:bidi="ar"/>
        </w:rPr>
        <w:t>乙方</w:t>
      </w:r>
      <w:r>
        <w:rPr>
          <w:rFonts w:hint="eastAsia" w:ascii="宋体" w:hAnsi="宋体" w:eastAsia="宋体" w:cs="宋体"/>
          <w:color w:val="auto"/>
          <w:sz w:val="24"/>
          <w:szCs w:val="24"/>
          <w:highlight w:val="none"/>
          <w:lang w:bidi="ar"/>
        </w:rPr>
        <w:t>正式发票后7个工作日内支付）</w:t>
      </w:r>
    </w:p>
    <w:p w14:paraId="31F44949">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、税费</w:t>
      </w:r>
    </w:p>
    <w:p w14:paraId="43B93B67">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本合同执行中相关的一切税费均由乙方负担。</w:t>
      </w:r>
    </w:p>
    <w:p w14:paraId="1AC46AB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、质量保证及后续服务</w:t>
      </w:r>
    </w:p>
    <w:p w14:paraId="0602C214">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.乙方</w:t>
      </w:r>
      <w:r>
        <w:rPr>
          <w:rFonts w:hint="eastAsia" w:ascii="宋体" w:hAnsi="宋体" w:eastAsia="宋体" w:cs="宋体"/>
          <w:color w:val="auto"/>
          <w:kern w:val="2"/>
          <w:sz w:val="24"/>
          <w:szCs w:val="24"/>
          <w:highlight w:val="none"/>
          <w:lang w:val="en-US" w:eastAsia="zh-CN" w:bidi="ar"/>
        </w:rPr>
        <w:t>应按采购文件及合同规定向甲方提供服务</w:t>
      </w:r>
      <w:r>
        <w:rPr>
          <w:rFonts w:hint="eastAsia" w:ascii="宋体" w:hAnsi="宋体" w:eastAsia="宋体" w:cs="宋体"/>
          <w:color w:val="auto"/>
          <w:sz w:val="24"/>
          <w:szCs w:val="24"/>
          <w:highlight w:val="none"/>
          <w:lang w:bidi="ar"/>
        </w:rPr>
        <w:t>。</w:t>
      </w:r>
    </w:p>
    <w:p w14:paraId="028881C7">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乙方提供的服务成果在服务质量保证期内发生故障，乙方应负责免费提供后续服务。对达不到要求者，根据实际情况，经双方协商，可按以下办法处理：</w:t>
      </w:r>
    </w:p>
    <w:p w14:paraId="3908F2B7">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⑴重做：由乙方承担所发生的全部费用。</w:t>
      </w:r>
    </w:p>
    <w:p w14:paraId="6C39678F">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⑵贬值处理：由甲乙双方合议定价。</w:t>
      </w:r>
    </w:p>
    <w:p w14:paraId="754708BA">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⑶解除合同。</w:t>
      </w:r>
    </w:p>
    <w:p w14:paraId="3BFB9ADB">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3.如在使用过程中发生问题，乙方在接到甲方通知后在   小时内到达甲方现场。</w:t>
      </w:r>
    </w:p>
    <w:p w14:paraId="0F30E135">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4.在服务质量保证期内，乙方应对出现的质量及安全问题负责处理解决并承担一切费用。</w:t>
      </w:r>
    </w:p>
    <w:p w14:paraId="7FAFFC72">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三</w:t>
      </w:r>
      <w:r>
        <w:rPr>
          <w:rFonts w:hint="eastAsia" w:ascii="宋体" w:hAnsi="宋体" w:eastAsia="宋体" w:cs="宋体"/>
          <w:color w:val="auto"/>
          <w:sz w:val="24"/>
          <w:szCs w:val="24"/>
          <w:highlight w:val="none"/>
          <w:lang w:bidi="ar"/>
        </w:rPr>
        <w:t>、违约责任</w:t>
      </w:r>
    </w:p>
    <w:p w14:paraId="0C4D2280">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1．甲方无正当理由拒收接受服务的，甲方向乙方偿付合同款项百分之五作为违约金。</w:t>
      </w:r>
    </w:p>
    <w:p w14:paraId="469A4C09">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返还已收的款项并支付合同总值5%的违约金，如造成甲方损失超过违约金的，超出部分由乙方继续承担赔偿责任。</w:t>
      </w:r>
    </w:p>
    <w:p w14:paraId="54690FE5">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四</w:t>
      </w:r>
      <w:r>
        <w:rPr>
          <w:rFonts w:hint="eastAsia" w:ascii="宋体" w:hAnsi="宋体" w:eastAsia="宋体" w:cs="宋体"/>
          <w:color w:val="auto"/>
          <w:sz w:val="24"/>
          <w:szCs w:val="24"/>
          <w:highlight w:val="none"/>
          <w:lang w:bidi="ar"/>
        </w:rPr>
        <w:t>、不可抗力事件处理</w:t>
      </w:r>
    </w:p>
    <w:p w14:paraId="5D2FE49D">
      <w:pPr>
        <w:keepNext w:val="0"/>
        <w:keepLines w:val="0"/>
        <w:pageBreakBefore w:val="0"/>
        <w:shd w:val="clear"/>
        <w:kinsoku/>
        <w:wordWrap/>
        <w:overflowPunct/>
        <w:topLinePunct w:val="0"/>
        <w:bidi w:val="0"/>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1.在合同有效期内，任何一方因不可抗力事件导致不能履行合同，则合同履行期可延长，其延长期与不可抗力影响期相同。</w:t>
      </w:r>
    </w:p>
    <w:p w14:paraId="69E0857E">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2.不可抗力事件发生后，应立即通知对方，并寄送有关权威机构出具的证明。</w:t>
      </w:r>
    </w:p>
    <w:p w14:paraId="77D9DDC0">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3.不可抗力事件延续120天以上，双方应通过友好协商，确定是否继续履行合同。</w:t>
      </w:r>
    </w:p>
    <w:p w14:paraId="6C36D8C7">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五</w:t>
      </w:r>
      <w:r>
        <w:rPr>
          <w:rFonts w:hint="eastAsia" w:ascii="宋体" w:hAnsi="宋体" w:eastAsia="宋体" w:cs="宋体"/>
          <w:color w:val="auto"/>
          <w:sz w:val="24"/>
          <w:szCs w:val="24"/>
          <w:highlight w:val="none"/>
          <w:lang w:bidi="ar"/>
        </w:rPr>
        <w:t>、解决争议的方法</w:t>
      </w:r>
    </w:p>
    <w:p w14:paraId="4844A4D4">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1.如双方在履行合同时发生纠纷，应协商解决；协商不成时，可提请采购单位采购管理部门调解；调解不成的通过以下方式解决：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（1）提交台州仲裁委员会仲裁。</w:t>
      </w:r>
    </w:p>
    <w:p w14:paraId="3D9979FC">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六</w:t>
      </w:r>
      <w:r>
        <w:rPr>
          <w:rFonts w:hint="eastAsia" w:ascii="宋体" w:hAnsi="宋体" w:eastAsia="宋体" w:cs="宋体"/>
          <w:color w:val="auto"/>
          <w:sz w:val="24"/>
          <w:szCs w:val="24"/>
          <w:highlight w:val="none"/>
          <w:lang w:bidi="ar"/>
        </w:rPr>
        <w:t>、合同生效及其它</w:t>
      </w:r>
    </w:p>
    <w:p w14:paraId="59B41DD6">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1.合同经双方法定代表人或授权代表签字并加盖单位公章后生效。</w:t>
      </w:r>
    </w:p>
    <w:p w14:paraId="2958988B">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2.本合同未尽事宜，遵照《民法典》有关条文执行。</w:t>
      </w:r>
    </w:p>
    <w:p w14:paraId="28BAEB4B">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3.本合同一式六份。甲、乙各执</w:t>
      </w:r>
      <w:r>
        <w:rPr>
          <w:rFonts w:hint="eastAsia" w:ascii="宋体" w:hAnsi="宋体" w:eastAsia="宋体" w:cs="宋体"/>
          <w:color w:val="auto"/>
          <w:sz w:val="24"/>
          <w:szCs w:val="24"/>
          <w:highlight w:val="none"/>
          <w:lang w:val="en-US" w:eastAsia="zh-CN" w:bidi="ar"/>
        </w:rPr>
        <w:t>三</w:t>
      </w:r>
      <w:r>
        <w:rPr>
          <w:rFonts w:hint="eastAsia" w:ascii="宋体" w:hAnsi="宋体" w:eastAsia="宋体" w:cs="宋体"/>
          <w:color w:val="auto"/>
          <w:sz w:val="24"/>
          <w:szCs w:val="24"/>
          <w:highlight w:val="none"/>
          <w:lang w:bidi="ar"/>
        </w:rPr>
        <w:t>份。本项目未尽事宜以采购文件、响应文件及澄清文件等为准。</w:t>
      </w:r>
    </w:p>
    <w:p w14:paraId="09480F59">
      <w:pPr>
        <w:keepNext w:val="0"/>
        <w:keepLines w:val="0"/>
        <w:pageBreakBefore w:val="0"/>
        <w:widowControl/>
        <w:shd w:val="clear"/>
        <w:kinsoku/>
        <w:wordWrap/>
        <w:overflowPunct/>
        <w:topLinePunct w:val="0"/>
        <w:bidi w:val="0"/>
        <w:spacing w:line="570" w:lineRule="exact"/>
        <w:textAlignment w:val="auto"/>
        <w:outlineLvl w:val="9"/>
        <w:rPr>
          <w:rFonts w:hint="eastAsia" w:ascii="宋体" w:hAnsi="宋体" w:eastAsia="宋体" w:cs="宋体"/>
          <w:b/>
          <w:color w:val="auto"/>
          <w:sz w:val="24"/>
          <w:szCs w:val="24"/>
          <w:highlight w:val="none"/>
        </w:rPr>
      </w:pPr>
    </w:p>
    <w:p w14:paraId="124D9681">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甲方（公章）                                     乙方（公章）</w:t>
      </w:r>
    </w:p>
    <w:p w14:paraId="063D4FBA">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                                     法定代表人：</w:t>
      </w:r>
    </w:p>
    <w:p w14:paraId="0AA4D5F6">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委托代理人：                                     委托代理人：</w:t>
      </w:r>
    </w:p>
    <w:p w14:paraId="6FF3A852">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                                       联系电话：</w:t>
      </w:r>
    </w:p>
    <w:p w14:paraId="25CA3510">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开户银行：</w:t>
      </w:r>
    </w:p>
    <w:p w14:paraId="4FE66D31">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帐号：                                           帐号：</w:t>
      </w:r>
    </w:p>
    <w:p w14:paraId="725D0EE7">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地址及邮编：                                     地址及邮编：</w:t>
      </w:r>
    </w:p>
    <w:p w14:paraId="30311000">
      <w:pPr>
        <w:pStyle w:val="9"/>
        <w:keepNext w:val="0"/>
        <w:keepLines w:val="0"/>
        <w:pageBreakBefore w:val="0"/>
        <w:widowControl w:val="0"/>
        <w:shd w:val="clear"/>
        <w:kinsoku/>
        <w:wordWrap/>
        <w:overflowPunct/>
        <w:topLinePunct w:val="0"/>
        <w:bidi w:val="0"/>
        <w:spacing w:before="0" w:beforeAutospacing="0" w:after="0" w:afterAutospacing="0" w:line="570" w:lineRule="exact"/>
        <w:ind w:firstLine="480" w:firstLineChars="200"/>
        <w:jc w:val="both"/>
        <w:textAlignment w:val="auto"/>
        <w:outlineLvl w:val="9"/>
        <w:rPr>
          <w:rFonts w:hint="eastAsia" w:ascii="宋体" w:hAnsi="宋体" w:eastAsia="宋体" w:cs="宋体"/>
          <w:color w:val="auto"/>
          <w:sz w:val="24"/>
          <w:szCs w:val="24"/>
          <w:highlight w:val="none"/>
        </w:rPr>
      </w:pPr>
    </w:p>
    <w:p w14:paraId="188AAD64">
      <w:pPr>
        <w:keepNext w:val="0"/>
        <w:keepLines w:val="0"/>
        <w:pageBreakBefore w:val="0"/>
        <w:shd w:val="clear"/>
        <w:kinsoku/>
        <w:wordWrap/>
        <w:overflowPunct/>
        <w:topLinePunct w:val="0"/>
        <w:bidi w:val="0"/>
        <w:spacing w:line="570" w:lineRule="exact"/>
        <w:ind w:firstLine="4920" w:firstLineChars="205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签订时间：    年   月    日</w:t>
      </w:r>
    </w:p>
    <w:p w14:paraId="5DA25D67">
      <w:pPr>
        <w:shd w:val="clear"/>
        <w:rPr>
          <w:rFonts w:ascii="宋体" w:hAnsi="宋体" w:cs="宋体"/>
          <w:b/>
          <w:color w:val="auto"/>
          <w:sz w:val="36"/>
          <w:szCs w:val="36"/>
          <w:highlight w:val="none"/>
        </w:rPr>
        <w:sectPr>
          <w:headerReference r:id="rId4" w:type="default"/>
          <w:footerReference r:id="rId5" w:type="default"/>
          <w:pgSz w:w="11906" w:h="16838"/>
          <w:pgMar w:top="1440" w:right="1803" w:bottom="1440" w:left="1803" w:header="851" w:footer="992" w:gutter="0"/>
          <w:cols w:space="0" w:num="1"/>
          <w:docGrid w:type="lines" w:linePitch="319" w:charSpace="0"/>
        </w:sectPr>
      </w:pPr>
    </w:p>
    <w:p w14:paraId="7DBEEF35">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14:paraId="3EDB132C">
      <w:pPr>
        <w:shd w:val="clea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14:paraId="7E881AF9">
      <w:pPr>
        <w:shd w:val="clea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5ED64ACD">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6A875D47">
      <w:pPr>
        <w:shd w:val="clear"/>
        <w:autoSpaceDE w:val="0"/>
        <w:autoSpaceDN w:val="0"/>
        <w:adjustRightInd w:val="0"/>
        <w:spacing w:line="360" w:lineRule="auto"/>
        <w:jc w:val="center"/>
        <w:rPr>
          <w:rFonts w:ascii="宋体" w:hAnsi="宋体" w:cs="宋体"/>
          <w:color w:val="auto"/>
          <w:sz w:val="84"/>
          <w:szCs w:val="84"/>
          <w:highlight w:val="none"/>
          <w:lang w:val="zh-CN"/>
        </w:rPr>
      </w:pPr>
    </w:p>
    <w:p w14:paraId="2E66D43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22C69CB">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9320BF7">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639F4BD">
      <w:pPr>
        <w:shd w:val="clea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5C92C38">
      <w:pPr>
        <w:shd w:val="clea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337ADAC8">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14:paraId="1FF89631">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460EBE28">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2230E50D">
      <w:pPr>
        <w:shd w:val="clear"/>
        <w:snapToGrid w:val="0"/>
        <w:spacing w:before="50" w:after="50" w:line="360" w:lineRule="auto"/>
        <w:rPr>
          <w:rFonts w:ascii="宋体" w:hAnsi="宋体" w:cs="宋体"/>
          <w:b/>
          <w:color w:val="auto"/>
          <w:sz w:val="36"/>
          <w:szCs w:val="36"/>
          <w:highlight w:val="none"/>
        </w:rPr>
      </w:pPr>
    </w:p>
    <w:p w14:paraId="54617295">
      <w:pPr>
        <w:shd w:val="clear"/>
        <w:snapToGrid w:val="0"/>
        <w:spacing w:before="50" w:after="50" w:line="360" w:lineRule="auto"/>
        <w:rPr>
          <w:rFonts w:ascii="宋体" w:hAnsi="宋体" w:cs="宋体"/>
          <w:b/>
          <w:color w:val="auto"/>
          <w:sz w:val="36"/>
          <w:szCs w:val="36"/>
          <w:highlight w:val="none"/>
        </w:rPr>
      </w:pPr>
    </w:p>
    <w:p w14:paraId="43E5B1AA">
      <w:pPr>
        <w:shd w:val="clear"/>
        <w:snapToGrid w:val="0"/>
        <w:spacing w:before="50" w:after="50" w:line="360" w:lineRule="auto"/>
        <w:rPr>
          <w:rFonts w:ascii="宋体" w:hAnsi="宋体" w:cs="宋体"/>
          <w:b/>
          <w:color w:val="auto"/>
          <w:sz w:val="36"/>
          <w:szCs w:val="36"/>
          <w:highlight w:val="none"/>
        </w:rPr>
      </w:pPr>
    </w:p>
    <w:p w14:paraId="658CB447">
      <w:pPr>
        <w:shd w:val="clea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14:paraId="7476E752">
      <w:pPr>
        <w:shd w:val="clear"/>
        <w:snapToGrid w:val="0"/>
        <w:spacing w:before="50" w:after="50" w:line="360" w:lineRule="auto"/>
        <w:jc w:val="center"/>
        <w:rPr>
          <w:rFonts w:ascii="宋体" w:hAnsi="宋体" w:cs="宋体"/>
          <w:b/>
          <w:bCs/>
          <w:color w:val="auto"/>
          <w:sz w:val="36"/>
          <w:szCs w:val="36"/>
          <w:highlight w:val="none"/>
        </w:rPr>
      </w:pPr>
    </w:p>
    <w:p w14:paraId="5A10659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14:paraId="1CB1222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（2）授权委托书（附件3）；</w:t>
      </w:r>
    </w:p>
    <w:p w14:paraId="417FB23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6A6F4F7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（4）具有良好的商业信誉和健全的财务会计制度的承诺（附件4）；</w:t>
      </w:r>
    </w:p>
    <w:p w14:paraId="7989555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（5）依法缴纳税收和社会保障资金的承诺（附件5）；</w:t>
      </w:r>
    </w:p>
    <w:p w14:paraId="6AF18D6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（6）参加政府采购活动前三年内，在经营活动中没有重大违法记录（附件6）；</w:t>
      </w:r>
    </w:p>
    <w:p w14:paraId="546DFD7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（7）招标公告中符合供应商特定条件的有效证书或证明资料扫描件（投标供应商特定条件中有要求的必须提供）；</w:t>
      </w:r>
    </w:p>
    <w:p w14:paraId="289A19B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（8）需要说明的其他资料。</w:t>
      </w:r>
    </w:p>
    <w:p w14:paraId="5E8A8919">
      <w:pPr>
        <w:pStyle w:val="43"/>
        <w:shd w:val="clear"/>
        <w:rPr>
          <w:rFonts w:ascii="宋体" w:hAnsi="宋体" w:cs="宋体"/>
          <w:color w:val="auto"/>
          <w:sz w:val="28"/>
          <w:highlight w:val="none"/>
        </w:rPr>
      </w:pPr>
    </w:p>
    <w:p w14:paraId="3D424E94">
      <w:pPr>
        <w:shd w:val="clear"/>
        <w:rPr>
          <w:rFonts w:ascii="宋体" w:hAnsi="宋体" w:cs="宋体"/>
          <w:b/>
          <w:color w:val="auto"/>
          <w:sz w:val="28"/>
          <w:highlight w:val="none"/>
        </w:rPr>
      </w:pPr>
    </w:p>
    <w:p w14:paraId="64D640FC">
      <w:pPr>
        <w:pStyle w:val="43"/>
        <w:shd w:val="clear"/>
        <w:rPr>
          <w:rFonts w:ascii="宋体" w:hAnsi="宋体" w:cs="宋体"/>
          <w:color w:val="auto"/>
          <w:sz w:val="28"/>
          <w:highlight w:val="none"/>
        </w:rPr>
      </w:pPr>
    </w:p>
    <w:p w14:paraId="55BB5EA4">
      <w:pPr>
        <w:shd w:val="clear"/>
        <w:rPr>
          <w:color w:val="auto"/>
          <w:highlight w:val="none"/>
        </w:rPr>
      </w:pPr>
    </w:p>
    <w:p w14:paraId="2CF5FB3A">
      <w:pPr>
        <w:shd w:val="clear"/>
        <w:spacing w:line="360" w:lineRule="auto"/>
        <w:ind w:left="420"/>
        <w:rPr>
          <w:rFonts w:ascii="宋体" w:hAnsi="宋体" w:cs="宋体"/>
          <w:b/>
          <w:color w:val="auto"/>
          <w:sz w:val="28"/>
          <w:highlight w:val="none"/>
        </w:rPr>
      </w:pPr>
    </w:p>
    <w:p w14:paraId="230E0BC6">
      <w:pPr>
        <w:shd w:val="clear"/>
        <w:spacing w:line="360" w:lineRule="auto"/>
        <w:ind w:left="420"/>
        <w:rPr>
          <w:rFonts w:ascii="宋体" w:hAnsi="宋体" w:cs="宋体"/>
          <w:b/>
          <w:color w:val="auto"/>
          <w:sz w:val="28"/>
          <w:highlight w:val="none"/>
        </w:rPr>
      </w:pPr>
    </w:p>
    <w:p w14:paraId="5FF9BCD2">
      <w:pPr>
        <w:shd w:val="clear"/>
        <w:spacing w:line="360" w:lineRule="auto"/>
        <w:ind w:left="420"/>
        <w:rPr>
          <w:rFonts w:ascii="宋体" w:hAnsi="宋体" w:cs="宋体"/>
          <w:b/>
          <w:color w:val="auto"/>
          <w:sz w:val="28"/>
          <w:highlight w:val="none"/>
        </w:rPr>
      </w:pPr>
    </w:p>
    <w:p w14:paraId="4322B14C">
      <w:pPr>
        <w:pStyle w:val="22"/>
        <w:shd w:val="clear"/>
        <w:rPr>
          <w:color w:val="auto"/>
          <w:highlight w:val="none"/>
        </w:rPr>
      </w:pPr>
    </w:p>
    <w:p w14:paraId="46554EAF">
      <w:pPr>
        <w:shd w:val="clear"/>
        <w:spacing w:line="360" w:lineRule="auto"/>
        <w:ind w:left="420"/>
        <w:rPr>
          <w:rFonts w:ascii="宋体" w:hAnsi="宋体" w:cs="宋体"/>
          <w:b/>
          <w:color w:val="auto"/>
          <w:sz w:val="28"/>
          <w:highlight w:val="none"/>
        </w:rPr>
      </w:pPr>
    </w:p>
    <w:p w14:paraId="386DC7BD">
      <w:pPr>
        <w:pStyle w:val="6"/>
        <w:shd w:val="clear"/>
        <w:rPr>
          <w:color w:val="auto"/>
          <w:highlight w:val="none"/>
        </w:rPr>
      </w:pPr>
    </w:p>
    <w:p w14:paraId="0A6F4231">
      <w:pPr>
        <w:pStyle w:val="59"/>
        <w:shd w:val="clear"/>
        <w:rPr>
          <w:color w:val="auto"/>
          <w:highlight w:val="none"/>
        </w:rPr>
      </w:pPr>
    </w:p>
    <w:p w14:paraId="13973D7F">
      <w:pPr>
        <w:pStyle w:val="59"/>
        <w:shd w:val="clear"/>
        <w:rPr>
          <w:color w:val="auto"/>
          <w:highlight w:val="none"/>
        </w:rPr>
      </w:pPr>
    </w:p>
    <w:p w14:paraId="20A49C5E">
      <w:pPr>
        <w:pStyle w:val="59"/>
        <w:shd w:val="clear"/>
        <w:rPr>
          <w:color w:val="auto"/>
          <w:highlight w:val="none"/>
        </w:rPr>
      </w:pPr>
    </w:p>
    <w:p w14:paraId="1877BD25">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14:paraId="49C0E20A">
      <w:pPr>
        <w:shd w:val="clea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16857723">
      <w:pPr>
        <w:shd w:val="clea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台州市建航工程管理有限公司</w:t>
      </w:r>
      <w:r>
        <w:rPr>
          <w:rFonts w:hint="eastAsia" w:ascii="宋体" w:hAnsi="宋体" w:cs="宋体"/>
          <w:color w:val="auto"/>
          <w:kern w:val="0"/>
          <w:szCs w:val="21"/>
          <w:highlight w:val="none"/>
        </w:rPr>
        <w:t>：</w:t>
      </w:r>
    </w:p>
    <w:p w14:paraId="002A4A5D">
      <w:pPr>
        <w:shd w:val="clea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14:paraId="5B96266C">
      <w:pPr>
        <w:shd w:val="clea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2025年智慧城管中心服务项目</w:t>
      </w:r>
      <w:r>
        <w:rPr>
          <w:rFonts w:hint="eastAsia" w:ascii="宋体" w:hAnsi="宋体" w:cs="宋体"/>
          <w:color w:val="auto"/>
          <w:kern w:val="0"/>
          <w:szCs w:val="21"/>
          <w:highlight w:val="none"/>
        </w:rPr>
        <w:t>（编号为</w:t>
      </w:r>
      <w:r>
        <w:rPr>
          <w:rFonts w:hint="eastAsia" w:ascii="宋体" w:hAnsi="宋体" w:cs="宋体"/>
          <w:color w:val="auto"/>
          <w:szCs w:val="32"/>
          <w:highlight w:val="none"/>
          <w:u w:val="single"/>
          <w:lang w:eastAsia="zh-CN"/>
        </w:rPr>
        <w:t>TZJH-2025-036号</w:t>
      </w:r>
      <w:r>
        <w:rPr>
          <w:rFonts w:hint="eastAsia" w:ascii="宋体" w:hAnsi="宋体" w:cs="宋体"/>
          <w:color w:val="auto"/>
          <w:kern w:val="0"/>
          <w:szCs w:val="21"/>
          <w:highlight w:val="none"/>
        </w:rPr>
        <w:t>）的投标，为此，我公司就本次投标有关事项郑重声明如下：</w:t>
      </w:r>
    </w:p>
    <w:p w14:paraId="69DF6710">
      <w:pPr>
        <w:shd w:val="clea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84D4ADD">
      <w:pPr>
        <w:shd w:val="clea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14:paraId="089C69E9">
      <w:pPr>
        <w:numPr>
          <w:ilvl w:val="255"/>
          <w:numId w:val="0"/>
        </w:num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14:paraId="58EF4AAB">
      <w:pPr>
        <w:shd w:val="clea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926EFA2">
      <w:p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14:paraId="54AC6A4C">
      <w:p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14:paraId="6F628B6A">
      <w:pPr>
        <w:shd w:val="clear"/>
        <w:adjustRightInd w:val="0"/>
        <w:snapToGrid w:val="0"/>
        <w:spacing w:line="360" w:lineRule="auto"/>
        <w:ind w:firstLine="480"/>
        <w:rPr>
          <w:rFonts w:ascii="宋体" w:hAnsi="宋体" w:cs="宋体"/>
          <w:color w:val="auto"/>
          <w:kern w:val="0"/>
          <w:szCs w:val="21"/>
          <w:highlight w:val="none"/>
        </w:rPr>
      </w:pPr>
    </w:p>
    <w:p w14:paraId="48C41076">
      <w:pPr>
        <w:shd w:val="clea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14:paraId="259AE333">
      <w:pPr>
        <w:shd w:val="clea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14:paraId="2FD361B8">
      <w:pPr>
        <w:shd w:val="clea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14:paraId="17C7EC92">
      <w:pPr>
        <w:shd w:val="clear"/>
        <w:adjustRightInd w:val="0"/>
        <w:snapToGrid w:val="0"/>
        <w:spacing w:line="360" w:lineRule="auto"/>
        <w:ind w:right="480"/>
        <w:rPr>
          <w:rFonts w:ascii="宋体" w:hAnsi="宋体" w:cs="宋体"/>
          <w:b/>
          <w:color w:val="auto"/>
          <w:sz w:val="28"/>
          <w:highlight w:val="none"/>
        </w:rPr>
      </w:pPr>
    </w:p>
    <w:p w14:paraId="23D7106F">
      <w:pPr>
        <w:shd w:val="clea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1DFD0E7B">
      <w:pPr>
        <w:shd w:val="clea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0B4FD6C4">
      <w:pPr>
        <w:pStyle w:val="28"/>
        <w:shd w:val="clear"/>
        <w:spacing w:line="500" w:lineRule="exact"/>
        <w:rPr>
          <w:rFonts w:hAnsi="宋体" w:cs="宋体"/>
          <w:b/>
          <w:color w:val="auto"/>
          <w:sz w:val="24"/>
          <w:highlight w:val="none"/>
        </w:rPr>
      </w:pPr>
      <w:r>
        <w:rPr>
          <w:rFonts w:hint="eastAsia" w:hAnsi="宋体" w:cs="宋体"/>
          <w:color w:val="auto"/>
          <w:kern w:val="0"/>
          <w:sz w:val="24"/>
          <w:highlight w:val="none"/>
          <w:lang w:eastAsia="zh-CN"/>
        </w:rPr>
        <w:t>台州市建航工程管理有限公司</w:t>
      </w:r>
      <w:r>
        <w:rPr>
          <w:rFonts w:hint="eastAsia" w:hAnsi="宋体" w:cs="宋体"/>
          <w:b/>
          <w:color w:val="auto"/>
          <w:sz w:val="24"/>
          <w:highlight w:val="none"/>
        </w:rPr>
        <w:t>：</w:t>
      </w:r>
    </w:p>
    <w:p w14:paraId="02DDCADE">
      <w:pPr>
        <w:pStyle w:val="28"/>
        <w:shd w:val="clear"/>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2025年智慧城管中心服务项目</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14:paraId="16198A9A">
      <w:pPr>
        <w:pStyle w:val="28"/>
        <w:shd w:val="clear"/>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14:paraId="1B76EAD7">
      <w:pPr>
        <w:pStyle w:val="28"/>
        <w:shd w:val="clear"/>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14:paraId="085BFA3C">
      <w:pPr>
        <w:shd w:val="clear"/>
        <w:spacing w:line="360" w:lineRule="auto"/>
        <w:rPr>
          <w:rFonts w:ascii="宋体" w:hAnsi="宋体" w:cs="宋体"/>
          <w:color w:val="auto"/>
          <w:sz w:val="24"/>
          <w:highlight w:val="none"/>
        </w:rPr>
      </w:pPr>
    </w:p>
    <w:p w14:paraId="6CC419C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14:paraId="3B3EE38A">
      <w:pPr>
        <w:shd w:val="clear"/>
        <w:spacing w:line="360" w:lineRule="auto"/>
        <w:rPr>
          <w:rFonts w:ascii="宋体" w:hAnsi="宋体" w:cs="宋体"/>
          <w:color w:val="auto"/>
          <w:sz w:val="24"/>
          <w:highlight w:val="none"/>
        </w:rPr>
      </w:pPr>
    </w:p>
    <w:p w14:paraId="78F374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14:paraId="4E6381E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7B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0F74A765">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p>
          <w:p w14:paraId="121D447B">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bCs/>
                <w:color w:val="auto"/>
                <w:sz w:val="24"/>
                <w:highlight w:val="none"/>
              </w:rPr>
              <w:t>法定代表人身份证复印件粘贴处</w:t>
            </w:r>
          </w:p>
        </w:tc>
      </w:tr>
    </w:tbl>
    <w:p w14:paraId="2CB8329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14:paraId="1220FFC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22B12D3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15E2506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08CD470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22A77CBB">
      <w:pPr>
        <w:shd w:val="clear"/>
        <w:spacing w:line="360" w:lineRule="auto"/>
        <w:rPr>
          <w:rFonts w:ascii="宋体" w:hAnsi="宋体" w:cs="宋体"/>
          <w:color w:val="auto"/>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C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10FF9A28">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p>
          <w:p w14:paraId="6ED217C5">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bCs/>
                <w:color w:val="auto"/>
                <w:sz w:val="24"/>
                <w:highlight w:val="none"/>
              </w:rPr>
              <w:t>全权代表身份证复印件粘贴处</w:t>
            </w:r>
          </w:p>
        </w:tc>
      </w:tr>
    </w:tbl>
    <w:p w14:paraId="1514E0B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14:paraId="4DF78B2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14:paraId="1CAF0B4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4A815BA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352D681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6E276781">
      <w:pPr>
        <w:shd w:val="clear"/>
        <w:spacing w:line="360" w:lineRule="auto"/>
        <w:rPr>
          <w:rFonts w:ascii="宋体" w:hAnsi="宋体" w:cs="宋体"/>
          <w:b/>
          <w:bCs/>
          <w:color w:val="auto"/>
          <w:sz w:val="32"/>
          <w:szCs w:val="32"/>
          <w:highlight w:val="none"/>
          <w:lang w:val="zh-CN"/>
        </w:rPr>
      </w:pPr>
      <w:r>
        <w:rPr>
          <w:rFonts w:hint="eastAsia" w:ascii="宋体" w:hAnsi="宋体" w:cs="宋体"/>
          <w:color w:val="auto"/>
          <w:sz w:val="24"/>
          <w:highlight w:val="none"/>
        </w:rPr>
        <w:t>邮政编码</w:t>
      </w:r>
      <w:r>
        <w:rPr>
          <w:rFonts w:hint="eastAsia" w:ascii="宋体" w:hAnsi="宋体" w:cs="宋体"/>
          <w:color w:val="auto"/>
          <w:highlight w:val="none"/>
        </w:rPr>
        <w:t>：</w:t>
      </w:r>
    </w:p>
    <w:p w14:paraId="705A1F99">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5A77EAA8">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附件4：</w:t>
      </w:r>
    </w:p>
    <w:p w14:paraId="0C3E835B">
      <w:pPr>
        <w:shd w:val="clea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14:paraId="3BC92648">
      <w:pPr>
        <w:widowControl/>
        <w:shd w:val="clear"/>
        <w:spacing w:line="600" w:lineRule="exact"/>
        <w:ind w:firstLine="480"/>
        <w:rPr>
          <w:rFonts w:asciiTheme="minorEastAsia" w:hAnsiTheme="minorEastAsia" w:eastAsiaTheme="minorEastAsia" w:cstheme="minorEastAsia"/>
          <w:color w:val="auto"/>
          <w:kern w:val="0"/>
          <w:highlight w:val="none"/>
        </w:rPr>
      </w:pPr>
    </w:p>
    <w:p w14:paraId="4E6562F9">
      <w:pPr>
        <w:widowControl/>
        <w:shd w:val="clear"/>
        <w:spacing w:line="6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lang w:eastAsia="zh-CN"/>
        </w:rPr>
        <w:t>台州市建航工程管理有限公司</w:t>
      </w:r>
    </w:p>
    <w:p w14:paraId="1FED5A27">
      <w:pPr>
        <w:pStyle w:val="22"/>
        <w:shd w:val="clear"/>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cs="宋体"/>
          <w:color w:val="auto"/>
          <w:highlight w:val="none"/>
        </w:rPr>
        <w:t>司参加</w:t>
      </w:r>
      <w:r>
        <w:rPr>
          <w:rFonts w:hint="eastAsia" w:ascii="宋体" w:hAnsi="宋体" w:cs="宋体"/>
          <w:color w:val="auto"/>
          <w:szCs w:val="32"/>
          <w:highlight w:val="none"/>
          <w:u w:val="single"/>
          <w:lang w:eastAsia="zh-CN"/>
        </w:rPr>
        <w:t>2025年智慧城管中心服务项目</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TZJH-2025-036号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14:paraId="7EBE2BAE">
      <w:pPr>
        <w:pStyle w:val="22"/>
        <w:shd w:val="clear"/>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14:paraId="681383BE">
      <w:pPr>
        <w:shd w:val="clea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14:paraId="0391A003">
      <w:pPr>
        <w:shd w:val="clear"/>
        <w:ind w:firstLine="480"/>
        <w:rPr>
          <w:rFonts w:asciiTheme="minorEastAsia" w:hAnsiTheme="minorEastAsia" w:eastAsiaTheme="minorEastAsia" w:cstheme="minorEastAsia"/>
          <w:color w:val="auto"/>
          <w:highlight w:val="none"/>
          <w:lang w:val="zh-CN"/>
        </w:rPr>
      </w:pPr>
    </w:p>
    <w:p w14:paraId="352AE41F">
      <w:pPr>
        <w:pStyle w:val="22"/>
        <w:shd w:val="clear"/>
        <w:ind w:firstLine="480"/>
        <w:rPr>
          <w:rFonts w:asciiTheme="minorEastAsia" w:hAnsiTheme="minorEastAsia" w:eastAsiaTheme="minorEastAsia" w:cstheme="minorEastAsia"/>
          <w:color w:val="auto"/>
          <w:highlight w:val="none"/>
          <w:lang w:val="zh-CN"/>
        </w:rPr>
      </w:pPr>
    </w:p>
    <w:p w14:paraId="161E9E7A">
      <w:pPr>
        <w:pStyle w:val="22"/>
        <w:shd w:val="clear"/>
        <w:ind w:firstLine="480"/>
        <w:rPr>
          <w:rFonts w:asciiTheme="minorEastAsia" w:hAnsiTheme="minorEastAsia" w:eastAsiaTheme="minorEastAsia" w:cstheme="minorEastAsia"/>
          <w:color w:val="auto"/>
          <w:highlight w:val="none"/>
          <w:lang w:val="zh-CN"/>
        </w:rPr>
      </w:pPr>
    </w:p>
    <w:p w14:paraId="03B1C8C2">
      <w:pPr>
        <w:pStyle w:val="22"/>
        <w:shd w:val="clear"/>
        <w:ind w:firstLine="480"/>
        <w:rPr>
          <w:rFonts w:asciiTheme="minorEastAsia" w:hAnsiTheme="minorEastAsia" w:eastAsiaTheme="minorEastAsia" w:cstheme="minorEastAsia"/>
          <w:color w:val="auto"/>
          <w:sz w:val="28"/>
          <w:szCs w:val="28"/>
          <w:highlight w:val="none"/>
          <w:lang w:val="zh-CN"/>
        </w:rPr>
      </w:pPr>
    </w:p>
    <w:p w14:paraId="08116FDB">
      <w:pPr>
        <w:widowControl/>
        <w:shd w:val="clear"/>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14:paraId="37C7AFF1">
      <w:pPr>
        <w:widowControl/>
        <w:shd w:val="clear"/>
        <w:ind w:firstLine="480"/>
        <w:jc w:val="left"/>
        <w:rPr>
          <w:rFonts w:asciiTheme="minorEastAsia" w:hAnsiTheme="minorEastAsia" w:eastAsiaTheme="minorEastAsia" w:cstheme="minorEastAsia"/>
          <w:color w:val="auto"/>
          <w:kern w:val="0"/>
          <w:sz w:val="28"/>
          <w:szCs w:val="36"/>
          <w:highlight w:val="none"/>
        </w:rPr>
      </w:pPr>
    </w:p>
    <w:p w14:paraId="48D6BB94">
      <w:pPr>
        <w:widowControl/>
        <w:shd w:val="clear"/>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14:paraId="32749426">
      <w:pPr>
        <w:widowControl/>
        <w:shd w:val="clear"/>
        <w:ind w:firstLine="480"/>
        <w:jc w:val="left"/>
        <w:rPr>
          <w:rFonts w:asciiTheme="minorEastAsia" w:hAnsiTheme="minorEastAsia" w:eastAsiaTheme="minorEastAsia" w:cstheme="minorEastAsia"/>
          <w:color w:val="auto"/>
          <w:kern w:val="0"/>
          <w:sz w:val="24"/>
          <w:szCs w:val="32"/>
          <w:highlight w:val="none"/>
        </w:rPr>
      </w:pPr>
    </w:p>
    <w:p w14:paraId="5A5418F9">
      <w:pPr>
        <w:shd w:val="clea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14:paraId="6F4A6BB8">
      <w:pPr>
        <w:shd w:val="clear"/>
        <w:ind w:firstLine="562"/>
        <w:rPr>
          <w:b/>
          <w:bCs/>
          <w:color w:val="auto"/>
          <w:sz w:val="32"/>
          <w:szCs w:val="32"/>
          <w:highlight w:val="none"/>
        </w:rPr>
      </w:pPr>
    </w:p>
    <w:p w14:paraId="3B62E8FD">
      <w:pPr>
        <w:shd w:val="clear"/>
        <w:ind w:firstLine="562"/>
        <w:rPr>
          <w:b/>
          <w:bCs/>
          <w:color w:val="auto"/>
          <w:sz w:val="28"/>
          <w:szCs w:val="28"/>
          <w:highlight w:val="none"/>
        </w:rPr>
      </w:pPr>
    </w:p>
    <w:p w14:paraId="37A012B6">
      <w:pPr>
        <w:shd w:val="clear"/>
        <w:ind w:firstLine="562"/>
        <w:rPr>
          <w:b/>
          <w:bCs/>
          <w:color w:val="auto"/>
          <w:sz w:val="28"/>
          <w:szCs w:val="28"/>
          <w:highlight w:val="none"/>
        </w:rPr>
      </w:pPr>
    </w:p>
    <w:p w14:paraId="1254B85F">
      <w:pPr>
        <w:pStyle w:val="17"/>
        <w:shd w:val="clear"/>
        <w:rPr>
          <w:color w:val="auto"/>
          <w:highlight w:val="none"/>
        </w:rPr>
      </w:pPr>
    </w:p>
    <w:p w14:paraId="4F7800FB">
      <w:pPr>
        <w:shd w:val="clear"/>
        <w:ind w:firstLine="562"/>
        <w:rPr>
          <w:b/>
          <w:bCs/>
          <w:color w:val="auto"/>
          <w:sz w:val="28"/>
          <w:szCs w:val="28"/>
          <w:highlight w:val="none"/>
        </w:rPr>
      </w:pPr>
    </w:p>
    <w:p w14:paraId="7799BA6F">
      <w:pPr>
        <w:shd w:val="clear"/>
        <w:ind w:firstLine="562"/>
        <w:rPr>
          <w:b/>
          <w:bCs/>
          <w:color w:val="auto"/>
          <w:sz w:val="28"/>
          <w:szCs w:val="28"/>
          <w:highlight w:val="none"/>
        </w:rPr>
      </w:pPr>
    </w:p>
    <w:p w14:paraId="3C45EF71">
      <w:pPr>
        <w:shd w:val="clear"/>
        <w:ind w:firstLine="562"/>
        <w:rPr>
          <w:b/>
          <w:bCs/>
          <w:color w:val="auto"/>
          <w:sz w:val="28"/>
          <w:szCs w:val="28"/>
          <w:highlight w:val="none"/>
        </w:rPr>
      </w:pPr>
    </w:p>
    <w:p w14:paraId="33385FCF">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附件5：</w:t>
      </w:r>
    </w:p>
    <w:p w14:paraId="2E626B1C">
      <w:pPr>
        <w:shd w:val="clea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14:paraId="1181AAA1">
      <w:pPr>
        <w:widowControl/>
        <w:shd w:val="clear"/>
        <w:spacing w:line="600" w:lineRule="exact"/>
        <w:ind w:firstLine="480"/>
        <w:rPr>
          <w:rFonts w:ascii="宋体" w:hAnsi="宋体" w:cs="宋体"/>
          <w:color w:val="auto"/>
          <w:kern w:val="0"/>
          <w:highlight w:val="none"/>
        </w:rPr>
      </w:pPr>
    </w:p>
    <w:p w14:paraId="0DA20F49">
      <w:pPr>
        <w:widowControl/>
        <w:shd w:val="clear"/>
        <w:spacing w:line="480" w:lineRule="auto"/>
        <w:ind w:firstLine="48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eastAsia="zh-CN"/>
        </w:rPr>
        <w:t>台州市建航工程管理有限公司</w:t>
      </w:r>
    </w:p>
    <w:p w14:paraId="18212BF9">
      <w:pPr>
        <w:pStyle w:val="22"/>
        <w:shd w:val="clear"/>
        <w:spacing w:line="480" w:lineRule="auto"/>
        <w:ind w:firstLine="48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2025年智慧城管中心服务项目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TZJH-2025-036号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753BC1CE">
      <w:pPr>
        <w:pStyle w:val="22"/>
        <w:shd w:val="clear"/>
        <w:spacing w:line="480" w:lineRule="auto"/>
        <w:ind w:firstLine="48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BCE139B">
      <w:pPr>
        <w:shd w:val="clear"/>
        <w:spacing w:line="48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14:paraId="44762379">
      <w:pPr>
        <w:shd w:val="clear"/>
        <w:ind w:firstLine="480"/>
        <w:rPr>
          <w:rFonts w:asciiTheme="minorEastAsia" w:hAnsiTheme="minorEastAsia" w:eastAsiaTheme="minorEastAsia" w:cstheme="minorEastAsia"/>
          <w:color w:val="auto"/>
          <w:highlight w:val="none"/>
          <w:lang w:val="zh-CN"/>
        </w:rPr>
      </w:pPr>
    </w:p>
    <w:p w14:paraId="00EFE4C2">
      <w:pPr>
        <w:pStyle w:val="22"/>
        <w:shd w:val="clear"/>
        <w:ind w:firstLine="480"/>
        <w:rPr>
          <w:rFonts w:asciiTheme="minorEastAsia" w:hAnsiTheme="minorEastAsia" w:eastAsiaTheme="minorEastAsia" w:cstheme="minorEastAsia"/>
          <w:color w:val="auto"/>
          <w:highlight w:val="none"/>
          <w:lang w:val="zh-CN"/>
        </w:rPr>
      </w:pPr>
    </w:p>
    <w:p w14:paraId="45F648C3">
      <w:pPr>
        <w:pStyle w:val="22"/>
        <w:shd w:val="clear"/>
        <w:ind w:firstLine="480"/>
        <w:rPr>
          <w:rFonts w:asciiTheme="minorEastAsia" w:hAnsiTheme="minorEastAsia" w:eastAsiaTheme="minorEastAsia" w:cstheme="minorEastAsia"/>
          <w:color w:val="auto"/>
          <w:highlight w:val="none"/>
          <w:lang w:val="zh-CN"/>
        </w:rPr>
      </w:pPr>
    </w:p>
    <w:p w14:paraId="2A533BF1">
      <w:pPr>
        <w:widowControl/>
        <w:shd w:val="clear"/>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14:paraId="2D0E3925">
      <w:pPr>
        <w:widowControl/>
        <w:shd w:val="clear"/>
        <w:ind w:firstLine="480"/>
        <w:jc w:val="left"/>
        <w:rPr>
          <w:rFonts w:asciiTheme="minorEastAsia" w:hAnsiTheme="minorEastAsia" w:eastAsiaTheme="minorEastAsia" w:cstheme="minorEastAsia"/>
          <w:color w:val="auto"/>
          <w:kern w:val="0"/>
          <w:sz w:val="22"/>
          <w:szCs w:val="28"/>
          <w:highlight w:val="none"/>
        </w:rPr>
      </w:pPr>
    </w:p>
    <w:p w14:paraId="3BD5A1A5">
      <w:pPr>
        <w:widowControl/>
        <w:shd w:val="clear"/>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14:paraId="552F17A7">
      <w:pPr>
        <w:widowControl/>
        <w:shd w:val="clear"/>
        <w:ind w:firstLine="480"/>
        <w:jc w:val="left"/>
        <w:rPr>
          <w:rFonts w:asciiTheme="minorEastAsia" w:hAnsiTheme="minorEastAsia" w:eastAsiaTheme="minorEastAsia" w:cstheme="minorEastAsia"/>
          <w:color w:val="auto"/>
          <w:kern w:val="0"/>
          <w:sz w:val="22"/>
          <w:szCs w:val="28"/>
          <w:highlight w:val="none"/>
        </w:rPr>
      </w:pPr>
    </w:p>
    <w:p w14:paraId="09531638">
      <w:pPr>
        <w:shd w:val="clea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14:paraId="24C99A5A">
      <w:pPr>
        <w:shd w:val="clear"/>
        <w:ind w:firstLine="562"/>
        <w:rPr>
          <w:b/>
          <w:bCs/>
          <w:color w:val="auto"/>
          <w:sz w:val="28"/>
          <w:szCs w:val="28"/>
          <w:highlight w:val="none"/>
        </w:rPr>
      </w:pPr>
    </w:p>
    <w:p w14:paraId="72969F71">
      <w:pPr>
        <w:shd w:val="clear"/>
        <w:ind w:firstLine="562"/>
        <w:rPr>
          <w:b/>
          <w:bCs/>
          <w:color w:val="auto"/>
          <w:sz w:val="28"/>
          <w:szCs w:val="28"/>
          <w:highlight w:val="none"/>
        </w:rPr>
      </w:pPr>
    </w:p>
    <w:p w14:paraId="0ACCA784">
      <w:pPr>
        <w:shd w:val="clear"/>
        <w:ind w:firstLine="562"/>
        <w:rPr>
          <w:b/>
          <w:bCs/>
          <w:color w:val="auto"/>
          <w:sz w:val="28"/>
          <w:szCs w:val="28"/>
          <w:highlight w:val="none"/>
        </w:rPr>
      </w:pPr>
    </w:p>
    <w:p w14:paraId="42C3E95E">
      <w:pPr>
        <w:shd w:val="clear"/>
        <w:ind w:firstLine="562"/>
        <w:rPr>
          <w:b/>
          <w:bCs/>
          <w:color w:val="auto"/>
          <w:sz w:val="28"/>
          <w:szCs w:val="28"/>
          <w:highlight w:val="none"/>
        </w:rPr>
      </w:pPr>
    </w:p>
    <w:p w14:paraId="18660FDE">
      <w:pPr>
        <w:shd w:val="clear"/>
        <w:ind w:firstLine="562"/>
        <w:rPr>
          <w:b/>
          <w:bCs/>
          <w:color w:val="auto"/>
          <w:sz w:val="28"/>
          <w:szCs w:val="28"/>
          <w:highlight w:val="none"/>
        </w:rPr>
      </w:pPr>
    </w:p>
    <w:p w14:paraId="000FA05B">
      <w:pPr>
        <w:shd w:val="clear"/>
        <w:ind w:firstLine="562"/>
        <w:rPr>
          <w:b/>
          <w:bCs/>
          <w:color w:val="auto"/>
          <w:sz w:val="28"/>
          <w:szCs w:val="28"/>
          <w:highlight w:val="none"/>
        </w:rPr>
      </w:pPr>
    </w:p>
    <w:p w14:paraId="347AD975">
      <w:pPr>
        <w:shd w:val="clear"/>
        <w:spacing w:line="360" w:lineRule="auto"/>
        <w:ind w:right="-110"/>
        <w:rPr>
          <w:rFonts w:ascii="宋体" w:hAnsi="宋体"/>
          <w:b/>
          <w:color w:val="auto"/>
          <w:sz w:val="32"/>
          <w:szCs w:val="32"/>
          <w:highlight w:val="none"/>
        </w:rPr>
      </w:pPr>
    </w:p>
    <w:p w14:paraId="1C246419">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附件6：</w:t>
      </w:r>
    </w:p>
    <w:p w14:paraId="130AFB39">
      <w:pPr>
        <w:widowControl/>
        <w:shd w:val="clear"/>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14:paraId="2DD3F8F4">
      <w:pPr>
        <w:pStyle w:val="37"/>
        <w:shd w:val="clear"/>
        <w:spacing w:line="360" w:lineRule="auto"/>
        <w:ind w:left="19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14:paraId="404C6729">
      <w:pPr>
        <w:shd w:val="clear"/>
        <w:spacing w:line="480" w:lineRule="auto"/>
        <w:ind w:firstLine="456"/>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台州市建航工程管理有限公司</w:t>
      </w:r>
    </w:p>
    <w:p w14:paraId="4DD70C27">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14:paraId="38182E22">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14:paraId="7B22720A">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14:paraId="2259481F">
      <w:pPr>
        <w:shd w:val="clear"/>
        <w:spacing w:line="480" w:lineRule="auto"/>
        <w:ind w:firstLine="456"/>
        <w:rPr>
          <w:rFonts w:asciiTheme="minorEastAsia" w:hAnsiTheme="minorEastAsia" w:eastAsiaTheme="minorEastAsia" w:cstheme="minorEastAsia"/>
          <w:color w:val="auto"/>
          <w:spacing w:val="-6"/>
          <w:sz w:val="24"/>
          <w:highlight w:val="none"/>
        </w:rPr>
      </w:pPr>
    </w:p>
    <w:p w14:paraId="6581EF8C">
      <w:pPr>
        <w:pStyle w:val="424"/>
        <w:shd w:val="clear"/>
        <w:spacing w:line="480" w:lineRule="auto"/>
        <w:rPr>
          <w:rFonts w:asciiTheme="minorEastAsia" w:hAnsiTheme="minorEastAsia" w:eastAsiaTheme="minorEastAsia" w:cstheme="minorEastAsia"/>
          <w:color w:val="auto"/>
          <w:spacing w:val="-6"/>
          <w:highlight w:val="none"/>
        </w:rPr>
      </w:pPr>
    </w:p>
    <w:p w14:paraId="3DB4C01D">
      <w:pPr>
        <w:pStyle w:val="425"/>
        <w:shd w:val="clear"/>
        <w:spacing w:line="480" w:lineRule="auto"/>
        <w:ind w:left="0"/>
        <w:rPr>
          <w:rFonts w:asciiTheme="minorEastAsia" w:hAnsiTheme="minorEastAsia" w:eastAsiaTheme="minorEastAsia" w:cstheme="minorEastAsia"/>
          <w:color w:val="auto"/>
          <w:sz w:val="24"/>
          <w:szCs w:val="24"/>
          <w:highlight w:val="none"/>
        </w:rPr>
      </w:pPr>
    </w:p>
    <w:p w14:paraId="05CE3751">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w:t>
      </w:r>
      <w:r>
        <w:rPr>
          <w:rFonts w:hint="eastAsia" w:ascii="宋体" w:hAnsi="宋体" w:cs="宋体"/>
          <w:color w:val="auto"/>
          <w:sz w:val="24"/>
          <w:highlight w:val="none"/>
        </w:rPr>
        <w:t>公章或CA签章</w:t>
      </w:r>
      <w:r>
        <w:rPr>
          <w:rFonts w:hint="eastAsia" w:asciiTheme="minorEastAsia" w:hAnsiTheme="minorEastAsia" w:eastAsiaTheme="minorEastAsia" w:cstheme="minorEastAsia"/>
          <w:color w:val="auto"/>
          <w:spacing w:val="-6"/>
          <w:sz w:val="24"/>
          <w:highlight w:val="none"/>
        </w:rPr>
        <w:t>）：</w:t>
      </w:r>
    </w:p>
    <w:p w14:paraId="645E7293">
      <w:pPr>
        <w:shd w:val="clear"/>
        <w:spacing w:line="480" w:lineRule="auto"/>
        <w:ind w:firstLine="48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14:paraId="0D2BC197">
      <w:pPr>
        <w:widowControl/>
        <w:shd w:val="clear"/>
        <w:tabs>
          <w:tab w:val="left" w:pos="3225"/>
        </w:tabs>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14:paraId="6926E9E2">
      <w:pPr>
        <w:shd w:val="clear"/>
        <w:snapToGrid w:val="0"/>
        <w:spacing w:beforeLines="50" w:after="50" w:line="360" w:lineRule="auto"/>
        <w:rPr>
          <w:rFonts w:ascii="宋体" w:hAnsi="宋体" w:cs="宋体"/>
          <w:b/>
          <w:color w:val="auto"/>
          <w:sz w:val="28"/>
          <w:highlight w:val="none"/>
        </w:rPr>
      </w:pPr>
    </w:p>
    <w:p w14:paraId="4B036E51">
      <w:pPr>
        <w:shd w:val="clear"/>
        <w:snapToGrid w:val="0"/>
        <w:spacing w:beforeLines="50" w:after="50" w:line="360" w:lineRule="auto"/>
        <w:rPr>
          <w:rFonts w:ascii="宋体" w:hAnsi="宋体" w:cs="宋体"/>
          <w:b/>
          <w:color w:val="auto"/>
          <w:sz w:val="28"/>
          <w:highlight w:val="none"/>
        </w:rPr>
      </w:pPr>
    </w:p>
    <w:p w14:paraId="6DC493EE">
      <w:pPr>
        <w:shd w:val="clear"/>
        <w:snapToGrid w:val="0"/>
        <w:spacing w:beforeLines="50" w:after="50" w:line="360" w:lineRule="auto"/>
        <w:rPr>
          <w:rFonts w:ascii="宋体" w:hAnsi="宋体" w:cs="宋体"/>
          <w:b/>
          <w:color w:val="auto"/>
          <w:sz w:val="28"/>
          <w:highlight w:val="none"/>
        </w:rPr>
      </w:pPr>
    </w:p>
    <w:p w14:paraId="7CCF6A3D">
      <w:pPr>
        <w:shd w:val="clear"/>
        <w:snapToGrid w:val="0"/>
        <w:spacing w:beforeLines="50" w:after="50" w:line="360" w:lineRule="auto"/>
        <w:rPr>
          <w:rFonts w:ascii="宋体" w:hAnsi="宋体" w:cs="宋体"/>
          <w:b/>
          <w:color w:val="auto"/>
          <w:sz w:val="28"/>
          <w:highlight w:val="none"/>
        </w:rPr>
      </w:pPr>
    </w:p>
    <w:p w14:paraId="0DF8195F">
      <w:pPr>
        <w:pStyle w:val="17"/>
        <w:shd w:val="clear"/>
        <w:rPr>
          <w:rFonts w:ascii="宋体" w:hAnsi="宋体" w:cs="宋体"/>
          <w:b/>
          <w:color w:val="auto"/>
          <w:sz w:val="28"/>
          <w:highlight w:val="none"/>
        </w:rPr>
      </w:pPr>
    </w:p>
    <w:p w14:paraId="0F98B04C">
      <w:pPr>
        <w:shd w:val="clear"/>
        <w:rPr>
          <w:color w:val="auto"/>
          <w:highlight w:val="none"/>
        </w:rPr>
      </w:pPr>
    </w:p>
    <w:p w14:paraId="43B42BD8">
      <w:pPr>
        <w:shd w:val="clear"/>
        <w:snapToGrid w:val="0"/>
        <w:spacing w:beforeLines="50" w:after="50" w:line="360" w:lineRule="auto"/>
        <w:rPr>
          <w:rFonts w:ascii="宋体" w:hAnsi="宋体" w:cs="宋体"/>
          <w:bCs/>
          <w:color w:val="auto"/>
          <w:sz w:val="30"/>
          <w:szCs w:val="30"/>
          <w:highlight w:val="none"/>
        </w:rPr>
      </w:pPr>
      <w:r>
        <w:rPr>
          <w:rFonts w:hint="eastAsia" w:ascii="宋体" w:hAnsi="宋体" w:cs="宋体"/>
          <w:b/>
          <w:color w:val="auto"/>
          <w:sz w:val="28"/>
          <w:highlight w:val="none"/>
        </w:rPr>
        <w:t>附件7</w:t>
      </w:r>
    </w:p>
    <w:p w14:paraId="41351861">
      <w:pPr>
        <w:shd w:val="clea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1DE1A394">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6A517595">
      <w:pPr>
        <w:shd w:val="clear"/>
        <w:autoSpaceDE w:val="0"/>
        <w:autoSpaceDN w:val="0"/>
        <w:adjustRightInd w:val="0"/>
        <w:spacing w:line="360" w:lineRule="auto"/>
        <w:jc w:val="center"/>
        <w:rPr>
          <w:rFonts w:ascii="宋体" w:hAnsi="宋体" w:cs="宋体"/>
          <w:color w:val="auto"/>
          <w:sz w:val="84"/>
          <w:szCs w:val="84"/>
          <w:highlight w:val="none"/>
          <w:lang w:val="zh-CN"/>
        </w:rPr>
      </w:pPr>
    </w:p>
    <w:p w14:paraId="76DAA651">
      <w:pPr>
        <w:pStyle w:val="56"/>
        <w:shd w:val="clear"/>
        <w:rPr>
          <w:color w:val="auto"/>
          <w:highlight w:val="none"/>
        </w:rPr>
      </w:pPr>
    </w:p>
    <w:p w14:paraId="1A268D5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2874528">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DA14B9E">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5430FFE5">
      <w:pPr>
        <w:shd w:val="clea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06080E9">
      <w:pPr>
        <w:pStyle w:val="56"/>
        <w:shd w:val="clear"/>
        <w:rPr>
          <w:color w:val="auto"/>
          <w:highlight w:val="none"/>
        </w:rPr>
      </w:pPr>
    </w:p>
    <w:p w14:paraId="2AD327D6">
      <w:pPr>
        <w:shd w:val="clea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14:paraId="1818A056">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14:paraId="73632E69">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621911E3">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7C0EA49C">
      <w:pPr>
        <w:shd w:val="clear"/>
        <w:snapToGrid w:val="0"/>
        <w:spacing w:before="50" w:after="50" w:line="360" w:lineRule="auto"/>
        <w:rPr>
          <w:rFonts w:ascii="宋体" w:hAnsi="宋体" w:cs="宋体"/>
          <w:b/>
          <w:color w:val="auto"/>
          <w:sz w:val="36"/>
          <w:szCs w:val="36"/>
          <w:highlight w:val="none"/>
        </w:rPr>
      </w:pPr>
    </w:p>
    <w:p w14:paraId="2B55E408">
      <w:pPr>
        <w:shd w:val="clear"/>
        <w:rPr>
          <w:rFonts w:ascii="宋体" w:hAnsi="宋体" w:cs="宋体"/>
          <w:b/>
          <w:color w:val="auto"/>
          <w:sz w:val="28"/>
          <w:highlight w:val="none"/>
        </w:rPr>
      </w:pPr>
    </w:p>
    <w:p w14:paraId="01F7D7A8">
      <w:pPr>
        <w:shd w:val="clear"/>
        <w:rPr>
          <w:rFonts w:ascii="宋体" w:hAnsi="宋体"/>
          <w:b/>
          <w:color w:val="auto"/>
          <w:sz w:val="28"/>
          <w:highlight w:val="none"/>
        </w:rPr>
      </w:pPr>
      <w:r>
        <w:rPr>
          <w:rFonts w:hint="eastAsia" w:ascii="宋体" w:hAnsi="宋体"/>
          <w:b/>
          <w:color w:val="auto"/>
          <w:sz w:val="28"/>
          <w:highlight w:val="none"/>
        </w:rPr>
        <w:t>附件8</w:t>
      </w:r>
    </w:p>
    <w:p w14:paraId="566C77A0">
      <w:pPr>
        <w:pStyle w:val="65"/>
        <w:shd w:val="clear" w:color="auto"/>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4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4A4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ign w:val="center"/>
          </w:tcPr>
          <w:p w14:paraId="691D92FD">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企业名称</w:t>
            </w:r>
          </w:p>
        </w:tc>
        <w:tc>
          <w:tcPr>
            <w:tcW w:w="3979" w:type="dxa"/>
            <w:gridSpan w:val="6"/>
            <w:noWrap/>
            <w:vAlign w:val="center"/>
          </w:tcPr>
          <w:p w14:paraId="5273C95A">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2001" w:type="dxa"/>
            <w:gridSpan w:val="3"/>
            <w:noWrap/>
            <w:vAlign w:val="center"/>
          </w:tcPr>
          <w:p w14:paraId="6BE1D92F">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法人代表</w:t>
            </w:r>
          </w:p>
        </w:tc>
        <w:tc>
          <w:tcPr>
            <w:tcW w:w="2151" w:type="dxa"/>
            <w:gridSpan w:val="2"/>
            <w:noWrap/>
            <w:vAlign w:val="center"/>
          </w:tcPr>
          <w:p w14:paraId="07557E9B">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6CF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ign w:val="center"/>
          </w:tcPr>
          <w:p w14:paraId="6309F09C">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noWrap/>
            <w:vAlign w:val="center"/>
          </w:tcPr>
          <w:p w14:paraId="17B83E90">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4FFFAD2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noWrap/>
            <w:vAlign w:val="center"/>
          </w:tcPr>
          <w:p w14:paraId="1A02BA6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6126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noWrap/>
            <w:vAlign w:val="center"/>
          </w:tcPr>
          <w:p w14:paraId="3921ECE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noWrap/>
            <w:vAlign w:val="center"/>
          </w:tcPr>
          <w:p w14:paraId="73F2E3C8">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p>
        </w:tc>
        <w:tc>
          <w:tcPr>
            <w:tcW w:w="910" w:type="dxa"/>
            <w:gridSpan w:val="2"/>
            <w:tcBorders>
              <w:bottom w:val="single" w:color="auto" w:sz="4" w:space="0"/>
            </w:tcBorders>
            <w:noWrap/>
            <w:vAlign w:val="center"/>
          </w:tcPr>
          <w:p w14:paraId="79C91D88">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noWrap/>
            <w:vAlign w:val="center"/>
          </w:tcPr>
          <w:p w14:paraId="56A28CFC">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69DDC17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73A4F70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noWrap/>
            <w:vAlign w:val="center"/>
          </w:tcPr>
          <w:p w14:paraId="17EEFA9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006D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noWrap/>
            <w:vAlign w:val="center"/>
          </w:tcPr>
          <w:p w14:paraId="7380BD98">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noWrap/>
            <w:vAlign w:val="center"/>
          </w:tcPr>
          <w:p w14:paraId="115730B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910" w:type="dxa"/>
            <w:gridSpan w:val="2"/>
            <w:tcBorders>
              <w:top w:val="nil"/>
              <w:bottom w:val="single" w:color="auto" w:sz="4" w:space="0"/>
            </w:tcBorders>
            <w:noWrap/>
            <w:vAlign w:val="center"/>
          </w:tcPr>
          <w:p w14:paraId="4FC45B0D">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noWrap/>
            <w:vAlign w:val="center"/>
          </w:tcPr>
          <w:p w14:paraId="5B3E1D13">
            <w:pPr>
              <w:pStyle w:val="65"/>
              <w:keepNext w:val="0"/>
              <w:keepLines w:val="0"/>
              <w:suppressLineNumbers w:val="0"/>
              <w:shd w:val="clear" w:color="auto"/>
              <w:adjustRightInd w:val="0"/>
              <w:snapToGrid w:val="0"/>
              <w:ind w:left="0" w:right="-105" w:rightChars="-50"/>
              <w:rPr>
                <w:rFonts w:hint="default"/>
                <w:bCs/>
                <w:color w:val="auto"/>
                <w:spacing w:val="16"/>
                <w:sz w:val="18"/>
                <w:szCs w:val="18"/>
                <w:highlight w:val="none"/>
              </w:rPr>
            </w:pPr>
          </w:p>
        </w:tc>
        <w:tc>
          <w:tcPr>
            <w:tcW w:w="2001" w:type="dxa"/>
            <w:gridSpan w:val="3"/>
            <w:vMerge w:val="restart"/>
            <w:noWrap/>
            <w:vAlign w:val="center"/>
          </w:tcPr>
          <w:p w14:paraId="342C80FC">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noWrap/>
            <w:vAlign w:val="center"/>
          </w:tcPr>
          <w:p w14:paraId="13177438">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790D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noWrap/>
            <w:vAlign w:val="center"/>
          </w:tcPr>
          <w:p w14:paraId="216FE51B">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vMerge w:val="continue"/>
            <w:tcBorders>
              <w:bottom w:val="single" w:color="auto" w:sz="4" w:space="0"/>
            </w:tcBorders>
            <w:noWrap/>
            <w:vAlign w:val="center"/>
          </w:tcPr>
          <w:p w14:paraId="35AABCC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910" w:type="dxa"/>
            <w:gridSpan w:val="2"/>
            <w:tcBorders>
              <w:bottom w:val="single" w:color="auto" w:sz="4" w:space="0"/>
            </w:tcBorders>
            <w:noWrap/>
            <w:vAlign w:val="center"/>
          </w:tcPr>
          <w:p w14:paraId="64E54630">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noWrap/>
            <w:vAlign w:val="center"/>
          </w:tcPr>
          <w:p w14:paraId="2154E0A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vMerge w:val="continue"/>
            <w:noWrap/>
            <w:vAlign w:val="center"/>
          </w:tcPr>
          <w:p w14:paraId="792BB99B">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151" w:type="dxa"/>
            <w:gridSpan w:val="2"/>
            <w:vMerge w:val="continue"/>
            <w:noWrap/>
            <w:vAlign w:val="center"/>
          </w:tcPr>
          <w:p w14:paraId="3C75B960">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4943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noWrap/>
            <w:vAlign w:val="center"/>
          </w:tcPr>
          <w:p w14:paraId="6F602B71">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default"/>
                <w:bCs/>
                <w:color w:val="auto"/>
                <w:sz w:val="18"/>
                <w:szCs w:val="18"/>
                <w:highlight w:val="none"/>
              </w:rPr>
              <w:t>1</w:t>
            </w:r>
            <w:r>
              <w:rPr>
                <w:rFonts w:hint="eastAsia"/>
                <w:bCs/>
                <w:color w:val="auto"/>
                <w:sz w:val="18"/>
                <w:szCs w:val="18"/>
                <w:highlight w:val="none"/>
              </w:rPr>
              <w:t>.</w:t>
            </w:r>
          </w:p>
          <w:p w14:paraId="2839B86C">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企</w:t>
            </w:r>
          </w:p>
          <w:p w14:paraId="7DB0E5E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业</w:t>
            </w:r>
          </w:p>
          <w:p w14:paraId="09295153">
            <w:pPr>
              <w:pStyle w:val="65"/>
              <w:keepNext w:val="0"/>
              <w:keepLines w:val="0"/>
              <w:suppressLineNumbers w:val="0"/>
              <w:shd w:val="clear" w:color="auto"/>
              <w:adjustRightInd w:val="0"/>
              <w:snapToGrid w:val="0"/>
              <w:ind w:left="-105" w:leftChars="-50" w:right="-105" w:rightChars="-50"/>
              <w:jc w:val="center"/>
              <w:rPr>
                <w:rFonts w:hint="default"/>
                <w:bCs/>
                <w:color w:val="auto"/>
                <w:spacing w:val="27"/>
                <w:sz w:val="18"/>
                <w:szCs w:val="18"/>
                <w:highlight w:val="none"/>
              </w:rPr>
            </w:pPr>
            <w:r>
              <w:rPr>
                <w:rFonts w:hint="eastAsia"/>
                <w:bCs/>
                <w:color w:val="auto"/>
                <w:spacing w:val="27"/>
                <w:sz w:val="18"/>
                <w:szCs w:val="18"/>
                <w:highlight w:val="none"/>
              </w:rPr>
              <w:t>概</w:t>
            </w:r>
          </w:p>
          <w:p w14:paraId="41719A4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况</w:t>
            </w:r>
          </w:p>
        </w:tc>
        <w:tc>
          <w:tcPr>
            <w:tcW w:w="701" w:type="dxa"/>
            <w:tcBorders>
              <w:top w:val="nil"/>
            </w:tcBorders>
            <w:noWrap/>
            <w:vAlign w:val="center"/>
          </w:tcPr>
          <w:p w14:paraId="5183D54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noWrap/>
            <w:vAlign w:val="center"/>
          </w:tcPr>
          <w:p w14:paraId="492C0A0B">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1163" w:type="dxa"/>
            <w:tcBorders>
              <w:top w:val="nil"/>
            </w:tcBorders>
            <w:noWrap/>
            <w:vAlign w:val="center"/>
          </w:tcPr>
          <w:p w14:paraId="14AC5557">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noWrap/>
            <w:vAlign w:val="center"/>
          </w:tcPr>
          <w:p w14:paraId="6854953D">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0CD55AFA">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1074874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5DC9E8CD">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noWrap/>
            <w:vAlign w:val="center"/>
          </w:tcPr>
          <w:p w14:paraId="71585BF4">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5752906C">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6D18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noWrap/>
            <w:vAlign w:val="center"/>
          </w:tcPr>
          <w:p w14:paraId="391A9770">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412A9B68">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占地面积</w:t>
            </w:r>
          </w:p>
        </w:tc>
        <w:tc>
          <w:tcPr>
            <w:tcW w:w="910" w:type="dxa"/>
            <w:gridSpan w:val="2"/>
            <w:noWrap/>
            <w:vAlign w:val="center"/>
          </w:tcPr>
          <w:p w14:paraId="0723C818">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163" w:type="dxa"/>
            <w:noWrap/>
            <w:vAlign w:val="center"/>
          </w:tcPr>
          <w:p w14:paraId="33C1296C">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建筑面积</w:t>
            </w:r>
          </w:p>
        </w:tc>
        <w:tc>
          <w:tcPr>
            <w:tcW w:w="1205" w:type="dxa"/>
            <w:gridSpan w:val="2"/>
            <w:noWrap/>
            <w:vAlign w:val="center"/>
          </w:tcPr>
          <w:p w14:paraId="4D4FFD40">
            <w:pPr>
              <w:pStyle w:val="65"/>
              <w:keepNext w:val="0"/>
              <w:keepLines w:val="0"/>
              <w:suppressLineNumbers w:val="0"/>
              <w:shd w:val="clear" w:color="auto"/>
              <w:adjustRightInd w:val="0"/>
              <w:snapToGrid w:val="0"/>
              <w:ind w:left="-105" w:leftChars="-50" w:right="-105" w:rightChars="-50" w:firstLine="420"/>
              <w:jc w:val="center"/>
              <w:rPr>
                <w:rFonts w:hint="default"/>
                <w:bCs/>
                <w:color w:val="auto"/>
                <w:sz w:val="18"/>
                <w:szCs w:val="18"/>
                <w:highlight w:val="none"/>
              </w:rPr>
            </w:pPr>
            <w:r>
              <w:rPr>
                <w:rFonts w:hint="eastAsia"/>
                <w:bCs/>
                <w:color w:val="auto"/>
                <w:sz w:val="18"/>
                <w:szCs w:val="18"/>
                <w:highlight w:val="none"/>
              </w:rPr>
              <w:t>平方米</w:t>
            </w:r>
          </w:p>
          <w:p w14:paraId="738F80D9">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□自有□租賃</w:t>
            </w:r>
          </w:p>
        </w:tc>
        <w:tc>
          <w:tcPr>
            <w:tcW w:w="2001" w:type="dxa"/>
            <w:gridSpan w:val="3"/>
            <w:noWrap/>
            <w:vAlign w:val="center"/>
          </w:tcPr>
          <w:p w14:paraId="458BCE6F">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noWrap/>
            <w:vAlign w:val="center"/>
          </w:tcPr>
          <w:p w14:paraId="70677302">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p>
        </w:tc>
      </w:tr>
      <w:tr w14:paraId="3D4E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ign w:val="center"/>
          </w:tcPr>
          <w:p w14:paraId="06C16623">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69593017">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noWrap/>
            <w:vAlign w:val="center"/>
          </w:tcPr>
          <w:p w14:paraId="434D62C7">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163" w:type="dxa"/>
            <w:noWrap/>
            <w:vAlign w:val="center"/>
          </w:tcPr>
          <w:p w14:paraId="60BBA219">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noWrap/>
            <w:vAlign w:val="center"/>
          </w:tcPr>
          <w:p w14:paraId="76DD0F0C">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kern w:val="0"/>
                <w:sz w:val="18"/>
                <w:szCs w:val="18"/>
                <w:highlight w:val="none"/>
              </w:rPr>
            </w:pPr>
          </w:p>
          <w:p w14:paraId="65688049">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218" w:type="dxa"/>
            <w:noWrap/>
            <w:vAlign w:val="center"/>
          </w:tcPr>
          <w:p w14:paraId="22434BBD">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noWrap/>
            <w:vAlign w:val="center"/>
          </w:tcPr>
          <w:p w14:paraId="12EFE9EF">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1E7A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ign w:val="center"/>
          </w:tcPr>
          <w:p w14:paraId="4507ADE0">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45303C7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核准经营范围</w:t>
            </w:r>
          </w:p>
        </w:tc>
        <w:tc>
          <w:tcPr>
            <w:tcW w:w="7430" w:type="dxa"/>
            <w:gridSpan w:val="10"/>
            <w:noWrap/>
            <w:vAlign w:val="center"/>
          </w:tcPr>
          <w:p w14:paraId="28A2B2ED">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2A78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noWrap/>
            <w:vAlign w:val="center"/>
          </w:tcPr>
          <w:p w14:paraId="4DA0AEC7">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8131" w:type="dxa"/>
            <w:gridSpan w:val="11"/>
            <w:noWrap/>
            <w:vAlign w:val="center"/>
          </w:tcPr>
          <w:p w14:paraId="03E33C53">
            <w:pPr>
              <w:pStyle w:val="65"/>
              <w:keepNext w:val="0"/>
              <w:keepLines w:val="0"/>
              <w:suppressLineNumbers w:val="0"/>
              <w:shd w:val="clear" w:color="auto"/>
              <w:adjustRightInd w:val="0"/>
              <w:snapToGrid w:val="0"/>
              <w:ind w:left="-105" w:leftChars="-50" w:right="-105" w:rightChars="-50"/>
              <w:rPr>
                <w:rFonts w:hint="default"/>
                <w:bCs/>
                <w:color w:val="auto"/>
                <w:spacing w:val="13"/>
                <w:sz w:val="18"/>
                <w:szCs w:val="18"/>
                <w:highlight w:val="none"/>
              </w:rPr>
            </w:pPr>
            <w:r>
              <w:rPr>
                <w:rFonts w:hint="eastAsia"/>
                <w:bCs/>
                <w:color w:val="auto"/>
                <w:spacing w:val="13"/>
                <w:sz w:val="18"/>
                <w:szCs w:val="18"/>
                <w:highlight w:val="none"/>
              </w:rPr>
              <w:t>发展历程及主要荣誉：</w:t>
            </w:r>
          </w:p>
        </w:tc>
      </w:tr>
      <w:tr w14:paraId="15B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ign w:val="center"/>
          </w:tcPr>
          <w:p w14:paraId="355B0838">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default"/>
                <w:bCs/>
                <w:color w:val="auto"/>
                <w:sz w:val="18"/>
                <w:szCs w:val="18"/>
                <w:highlight w:val="none"/>
              </w:rPr>
              <w:t>2</w:t>
            </w:r>
            <w:r>
              <w:rPr>
                <w:rFonts w:hint="eastAsia"/>
                <w:bCs/>
                <w:color w:val="auto"/>
                <w:sz w:val="18"/>
                <w:szCs w:val="18"/>
                <w:highlight w:val="none"/>
              </w:rPr>
              <w:t>．</w:t>
            </w:r>
          </w:p>
          <w:p w14:paraId="664EC444">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noWrap/>
            <w:vAlign w:val="center"/>
          </w:tcPr>
          <w:p w14:paraId="00607972">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noWrap/>
            <w:vAlign w:val="center"/>
          </w:tcPr>
          <w:p w14:paraId="676FD970">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noWrap/>
            <w:vAlign w:val="center"/>
          </w:tcPr>
          <w:p w14:paraId="4CC33EA1">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发证机关</w:t>
            </w:r>
          </w:p>
        </w:tc>
        <w:tc>
          <w:tcPr>
            <w:tcW w:w="1276" w:type="dxa"/>
            <w:noWrap/>
            <w:vAlign w:val="center"/>
          </w:tcPr>
          <w:p w14:paraId="55D979E1">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编号</w:t>
            </w:r>
          </w:p>
        </w:tc>
        <w:tc>
          <w:tcPr>
            <w:tcW w:w="1618" w:type="dxa"/>
            <w:gridSpan w:val="2"/>
            <w:noWrap/>
            <w:vAlign w:val="center"/>
          </w:tcPr>
          <w:p w14:paraId="681964D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发证时间</w:t>
            </w:r>
          </w:p>
        </w:tc>
        <w:tc>
          <w:tcPr>
            <w:tcW w:w="933" w:type="dxa"/>
            <w:noWrap/>
            <w:vAlign w:val="center"/>
          </w:tcPr>
          <w:p w14:paraId="5A57D30E">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期限</w:t>
            </w:r>
          </w:p>
        </w:tc>
      </w:tr>
      <w:tr w14:paraId="248D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ign w:val="center"/>
          </w:tcPr>
          <w:p w14:paraId="68E00574">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553" w:type="dxa"/>
            <w:gridSpan w:val="2"/>
            <w:vMerge w:val="continue"/>
            <w:noWrap/>
            <w:vAlign w:val="center"/>
          </w:tcPr>
          <w:p w14:paraId="405B9A9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333" w:type="dxa"/>
            <w:gridSpan w:val="3"/>
            <w:noWrap/>
            <w:vAlign w:val="center"/>
          </w:tcPr>
          <w:p w14:paraId="3644DA2E">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418" w:type="dxa"/>
            <w:gridSpan w:val="2"/>
            <w:noWrap/>
            <w:vAlign w:val="center"/>
          </w:tcPr>
          <w:p w14:paraId="70F3D74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276" w:type="dxa"/>
            <w:noWrap/>
            <w:vAlign w:val="center"/>
          </w:tcPr>
          <w:p w14:paraId="47425C2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2551" w:type="dxa"/>
            <w:gridSpan w:val="3"/>
            <w:noWrap/>
            <w:vAlign w:val="center"/>
          </w:tcPr>
          <w:p w14:paraId="25810C61">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42FC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ign w:val="center"/>
          </w:tcPr>
          <w:p w14:paraId="3952CDDE">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1553" w:type="dxa"/>
            <w:gridSpan w:val="2"/>
            <w:noWrap/>
            <w:vAlign w:val="center"/>
          </w:tcPr>
          <w:p w14:paraId="7B8F7481">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noWrap/>
            <w:vAlign w:val="center"/>
          </w:tcPr>
          <w:p w14:paraId="7E03300A">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03A1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ign w:val="center"/>
          </w:tcPr>
          <w:p w14:paraId="717D1820">
            <w:pPr>
              <w:pStyle w:val="65"/>
              <w:keepNext w:val="0"/>
              <w:keepLines w:val="0"/>
              <w:suppressLineNumbers w:val="0"/>
              <w:shd w:val="clear" w:color="auto"/>
              <w:adjustRightInd w:val="0"/>
              <w:snapToGrid w:val="0"/>
              <w:ind w:left="-105" w:leftChars="-50" w:right="-105" w:rightChars="-50"/>
              <w:jc w:val="center"/>
              <w:rPr>
                <w:rFonts w:hint="default"/>
                <w:bCs/>
                <w:color w:val="auto"/>
                <w:spacing w:val="27"/>
                <w:sz w:val="18"/>
                <w:szCs w:val="18"/>
                <w:highlight w:val="none"/>
              </w:rPr>
            </w:pPr>
          </w:p>
        </w:tc>
        <w:tc>
          <w:tcPr>
            <w:tcW w:w="1553" w:type="dxa"/>
            <w:gridSpan w:val="2"/>
            <w:noWrap/>
            <w:vAlign w:val="center"/>
          </w:tcPr>
          <w:p w14:paraId="182F7007">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noWrap/>
            <w:vAlign w:val="center"/>
          </w:tcPr>
          <w:p w14:paraId="6013E2AE">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bl>
    <w:p w14:paraId="6A1AA3FE">
      <w:pPr>
        <w:pStyle w:val="69"/>
        <w:shd w:val="clear"/>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676F2CA3">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278BE4CC">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2E0DE937">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26EB8AFB">
      <w:pPr>
        <w:shd w:val="clear"/>
        <w:rPr>
          <w:rFonts w:ascii="宋体" w:hAnsi="宋体" w:cs="宋体"/>
          <w:b/>
          <w:color w:val="auto"/>
          <w:sz w:val="28"/>
          <w:highlight w:val="none"/>
        </w:rPr>
      </w:pPr>
    </w:p>
    <w:p w14:paraId="472FB5DC">
      <w:pPr>
        <w:shd w:val="clea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附件9</w:t>
      </w:r>
    </w:p>
    <w:p w14:paraId="361AC17F">
      <w:pPr>
        <w:shd w:val="clear"/>
        <w:spacing w:line="360" w:lineRule="auto"/>
        <w:ind w:left="480"/>
        <w:jc w:val="center"/>
        <w:rPr>
          <w:rFonts w:ascii="宋体" w:cs="宋体"/>
          <w:b/>
          <w:bCs/>
          <w:color w:val="auto"/>
          <w:sz w:val="24"/>
          <w:highlight w:val="none"/>
        </w:rPr>
      </w:pPr>
      <w:r>
        <w:rPr>
          <w:rFonts w:hint="eastAsia" w:ascii="宋体" w:cs="宋体"/>
          <w:b/>
          <w:bCs/>
          <w:color w:val="auto"/>
          <w:kern w:val="0"/>
          <w:sz w:val="32"/>
          <w:szCs w:val="32"/>
          <w:highlight w:val="none"/>
        </w:rPr>
        <w:t>技术需求响应表</w:t>
      </w:r>
    </w:p>
    <w:tbl>
      <w:tblPr>
        <w:tblStyle w:val="46"/>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2073"/>
        <w:gridCol w:w="1862"/>
        <w:gridCol w:w="1814"/>
      </w:tblGrid>
      <w:tr w14:paraId="5212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76" w:type="dxa"/>
            <w:vAlign w:val="center"/>
          </w:tcPr>
          <w:p w14:paraId="2E058C20">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序号</w:t>
            </w:r>
          </w:p>
        </w:tc>
        <w:tc>
          <w:tcPr>
            <w:tcW w:w="2372" w:type="dxa"/>
            <w:vAlign w:val="center"/>
          </w:tcPr>
          <w:p w14:paraId="7CCAEE60">
            <w:pPr>
              <w:keepNext w:val="0"/>
              <w:keepLines w:val="0"/>
              <w:suppressLineNumbers w:val="0"/>
              <w:shd w:val="clear"/>
              <w:spacing w:before="0" w:beforeAutospacing="0" w:after="0" w:afterAutospacing="0" w:line="360" w:lineRule="auto"/>
              <w:ind w:left="13" w:leftChars="6" w:right="0" w:firstLine="482" w:firstLineChars="200"/>
              <w:rPr>
                <w:rFonts w:hint="default" w:ascii="宋体" w:cs="宋体"/>
                <w:b/>
                <w:color w:val="auto"/>
                <w:sz w:val="24"/>
                <w:highlight w:val="none"/>
              </w:rPr>
            </w:pPr>
            <w:r>
              <w:rPr>
                <w:rFonts w:hint="eastAsia" w:ascii="宋体" w:cs="宋体"/>
                <w:b/>
                <w:color w:val="auto"/>
                <w:sz w:val="24"/>
                <w:highlight w:val="none"/>
              </w:rPr>
              <w:t>产品名称</w:t>
            </w:r>
          </w:p>
        </w:tc>
        <w:tc>
          <w:tcPr>
            <w:tcW w:w="2073" w:type="dxa"/>
            <w:vAlign w:val="center"/>
          </w:tcPr>
          <w:p w14:paraId="61FFEF85">
            <w:pPr>
              <w:keepNext w:val="0"/>
              <w:keepLines w:val="0"/>
              <w:suppressLineNumbers w:val="0"/>
              <w:shd w:val="clear"/>
              <w:spacing w:before="0" w:beforeAutospacing="0" w:after="0" w:afterAutospacing="0" w:line="360" w:lineRule="auto"/>
              <w:ind w:left="152" w:right="0"/>
              <w:rPr>
                <w:rFonts w:hint="default" w:ascii="宋体" w:cs="宋体"/>
                <w:b/>
                <w:color w:val="auto"/>
                <w:sz w:val="24"/>
                <w:highlight w:val="none"/>
              </w:rPr>
            </w:pPr>
            <w:r>
              <w:rPr>
                <w:rFonts w:hint="eastAsia" w:ascii="宋体" w:cs="宋体"/>
                <w:b/>
                <w:color w:val="auto"/>
                <w:sz w:val="24"/>
                <w:highlight w:val="none"/>
              </w:rPr>
              <w:t>招标参数</w:t>
            </w:r>
          </w:p>
        </w:tc>
        <w:tc>
          <w:tcPr>
            <w:tcW w:w="1862" w:type="dxa"/>
            <w:vAlign w:val="center"/>
          </w:tcPr>
          <w:p w14:paraId="3A2B01C5">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投标参数</w:t>
            </w:r>
          </w:p>
        </w:tc>
        <w:tc>
          <w:tcPr>
            <w:tcW w:w="1814" w:type="dxa"/>
            <w:vAlign w:val="center"/>
          </w:tcPr>
          <w:p w14:paraId="76EBDE10">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偏离说明</w:t>
            </w:r>
          </w:p>
        </w:tc>
      </w:tr>
      <w:tr w14:paraId="4558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76" w:type="dxa"/>
            <w:vAlign w:val="center"/>
          </w:tcPr>
          <w:p w14:paraId="73AC12AC">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48D0A01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12B8ED6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5BD53BA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4407E244">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7B33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6" w:type="dxa"/>
            <w:vAlign w:val="center"/>
          </w:tcPr>
          <w:p w14:paraId="743643B0">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0BBC336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02C50C69">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0DC45BC9">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6E6A2A41">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36ED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14:paraId="5916DFA6">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30415309">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02882BBC">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72177EF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7882348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3D7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14:paraId="62C51F8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73DC5C5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637F12BD">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39349E50">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3FA99A2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12C9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76" w:type="dxa"/>
            <w:vAlign w:val="center"/>
          </w:tcPr>
          <w:p w14:paraId="2262FF99">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583021A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245BE42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37A85CCB">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7FDACBBB">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2A14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6" w:type="dxa"/>
            <w:vAlign w:val="center"/>
          </w:tcPr>
          <w:p w14:paraId="05F659B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73DEF917">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4C8F77A8">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4272152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73B486F2">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77F8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976" w:type="dxa"/>
            <w:vAlign w:val="center"/>
          </w:tcPr>
          <w:p w14:paraId="2871415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79175714">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405B1CC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627C0B7B">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11BBCBCD">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bl>
    <w:p w14:paraId="2811DF2A">
      <w:pPr>
        <w:pStyle w:val="67"/>
        <w:shd w:val="clear"/>
        <w:tabs>
          <w:tab w:val="left" w:pos="360"/>
        </w:tabs>
        <w:spacing w:line="360" w:lineRule="auto"/>
        <w:ind w:right="84" w:rightChars="40"/>
        <w:rPr>
          <w:rFonts w:ascii="宋体" w:cs="宋体"/>
          <w:b/>
          <w:color w:val="auto"/>
          <w:szCs w:val="21"/>
          <w:highlight w:val="none"/>
        </w:rPr>
      </w:pPr>
      <w:r>
        <w:rPr>
          <w:rFonts w:hint="eastAsia" w:ascii="宋体" w:cs="宋体"/>
          <w:b/>
          <w:color w:val="auto"/>
          <w:szCs w:val="21"/>
          <w:highlight w:val="none"/>
        </w:rPr>
        <w:t>要求：</w:t>
      </w:r>
    </w:p>
    <w:p w14:paraId="4278F7F3">
      <w:pPr>
        <w:pStyle w:val="23"/>
        <w:shd w:val="clear"/>
        <w:ind w:firstLine="0" w:firstLineChars="0"/>
        <w:rPr>
          <w:color w:val="auto"/>
          <w:highlight w:val="none"/>
        </w:rPr>
      </w:pPr>
    </w:p>
    <w:p w14:paraId="57F28A4F">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3BCADD56">
      <w:pPr>
        <w:shd w:val="clear"/>
        <w:spacing w:line="360" w:lineRule="auto"/>
        <w:ind w:left="420"/>
        <w:rPr>
          <w:rFonts w:ascii="宋体" w:hAnsi="宋体" w:cs="宋体"/>
          <w:color w:val="auto"/>
          <w:sz w:val="24"/>
          <w:highlight w:val="none"/>
        </w:rPr>
      </w:pPr>
    </w:p>
    <w:p w14:paraId="15672E81">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4B5F1637">
      <w:pPr>
        <w:shd w:val="clear"/>
        <w:spacing w:line="360" w:lineRule="auto"/>
        <w:ind w:firstLine="435"/>
        <w:rPr>
          <w:rFonts w:ascii="宋体" w:hAnsi="宋体" w:cs="宋体"/>
          <w:color w:val="auto"/>
          <w:sz w:val="24"/>
          <w:highlight w:val="none"/>
        </w:rPr>
      </w:pPr>
    </w:p>
    <w:p w14:paraId="293DFF5C">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7108428E">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2C2A7E8D">
      <w:pPr>
        <w:pStyle w:val="69"/>
        <w:shd w:val="clear"/>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附件10</w:t>
      </w:r>
    </w:p>
    <w:p w14:paraId="2E5BE1CF">
      <w:pPr>
        <w:shd w:val="clea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246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94DCA4D">
            <w:pPr>
              <w:keepNext w:val="0"/>
              <w:keepLines w:val="0"/>
              <w:suppressLineNumbers w:val="0"/>
              <w:shd w:val="clear"/>
              <w:spacing w:before="0" w:beforeAutospacing="0" w:after="0" w:afterAutospacing="0"/>
              <w:ind w:left="0" w:right="0"/>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3A0D4782">
            <w:pPr>
              <w:keepNext w:val="0"/>
              <w:keepLines w:val="0"/>
              <w:suppressLineNumbers w:val="0"/>
              <w:shd w:val="clear"/>
              <w:spacing w:before="0" w:beforeAutospacing="0" w:after="0" w:afterAutospacing="0"/>
              <w:ind w:left="0" w:right="0"/>
              <w:rPr>
                <w:rFonts w:hint="default"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42CAD124">
            <w:pPr>
              <w:keepNext w:val="0"/>
              <w:keepLines w:val="0"/>
              <w:suppressLineNumbers w:val="0"/>
              <w:shd w:val="clear"/>
              <w:spacing w:before="0" w:beforeAutospacing="0" w:after="0" w:afterAutospacing="0"/>
              <w:ind w:left="53" w:leftChars="25" w:right="0" w:firstLine="241" w:firstLineChars="100"/>
              <w:rPr>
                <w:rFonts w:hint="default"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0E78716F">
            <w:pPr>
              <w:keepNext w:val="0"/>
              <w:keepLines w:val="0"/>
              <w:suppressLineNumbers w:val="0"/>
              <w:shd w:val="clear"/>
              <w:spacing w:before="0" w:beforeAutospacing="0" w:after="0" w:afterAutospacing="0"/>
              <w:ind w:left="152" w:right="0"/>
              <w:rPr>
                <w:rFonts w:hint="default"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2883E317">
            <w:pPr>
              <w:keepNext w:val="0"/>
              <w:keepLines w:val="0"/>
              <w:suppressLineNumbers w:val="0"/>
              <w:shd w:val="clear"/>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投标人的承诺或说明</w:t>
            </w:r>
          </w:p>
        </w:tc>
      </w:tr>
      <w:tr w14:paraId="68D6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D7E1EE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1936A81F">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r>
              <w:rPr>
                <w:rFonts w:hint="eastAsia" w:ascii="宋体" w:cs="宋体"/>
                <w:color w:val="auto"/>
                <w:sz w:val="24"/>
                <w:highlight w:val="none"/>
              </w:rPr>
              <w:t>服务期</w:t>
            </w:r>
          </w:p>
        </w:tc>
        <w:tc>
          <w:tcPr>
            <w:tcW w:w="1785" w:type="dxa"/>
            <w:vAlign w:val="center"/>
          </w:tcPr>
          <w:p w14:paraId="3499BD20">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536D6067">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05E23B24">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650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A62EC8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049F59CF">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r>
              <w:rPr>
                <w:rFonts w:hint="eastAsia" w:ascii="宋体" w:cs="宋体"/>
                <w:color w:val="auto"/>
                <w:sz w:val="24"/>
                <w:highlight w:val="none"/>
              </w:rPr>
              <w:t>付款方式</w:t>
            </w:r>
          </w:p>
        </w:tc>
        <w:tc>
          <w:tcPr>
            <w:tcW w:w="1785" w:type="dxa"/>
            <w:vAlign w:val="center"/>
          </w:tcPr>
          <w:p w14:paraId="67181E5A">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372E4D9D">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1DEB4AFF">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5056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5B0279A">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47925CA4">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20AA5D0B">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5445DC3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2C2B3E0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64F0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ECC20">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364A282C">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740B7A0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3CB2C2E8">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1731F32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17DC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F8F3B8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110B7361">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44D236D3">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6181B00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2B5E1E3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2798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8FC0B6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70BD83E2">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65768CE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432D328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19A17D38">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3B77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C7655E8">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3B37B9E8">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1273519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07FB6AD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516C4F18">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557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49C84A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1524E702">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5F50DC63">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647E588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682B322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bl>
    <w:p w14:paraId="45CA9DD9">
      <w:pPr>
        <w:shd w:val="clear"/>
        <w:spacing w:line="360" w:lineRule="auto"/>
        <w:rPr>
          <w:rFonts w:ascii="宋体" w:hAnsi="宋体" w:cs="宋体"/>
          <w:color w:val="auto"/>
          <w:sz w:val="24"/>
          <w:highlight w:val="none"/>
        </w:rPr>
      </w:pPr>
    </w:p>
    <w:p w14:paraId="2BFC6A64">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2E1818F1">
      <w:pPr>
        <w:shd w:val="clear"/>
        <w:spacing w:line="360" w:lineRule="auto"/>
        <w:ind w:left="420"/>
        <w:rPr>
          <w:rFonts w:ascii="宋体" w:hAnsi="宋体" w:cs="宋体"/>
          <w:color w:val="auto"/>
          <w:sz w:val="24"/>
          <w:highlight w:val="none"/>
        </w:rPr>
      </w:pPr>
    </w:p>
    <w:p w14:paraId="5AB2D050">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7165BBFD">
      <w:pPr>
        <w:shd w:val="clear"/>
        <w:spacing w:line="360" w:lineRule="auto"/>
        <w:ind w:firstLine="435"/>
        <w:rPr>
          <w:rFonts w:ascii="宋体" w:hAnsi="宋体" w:cs="宋体"/>
          <w:color w:val="auto"/>
          <w:sz w:val="24"/>
          <w:highlight w:val="none"/>
        </w:rPr>
      </w:pPr>
    </w:p>
    <w:p w14:paraId="4371A6B1">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07502B74">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7FBC26FA">
      <w:pPr>
        <w:shd w:val="clear"/>
        <w:spacing w:line="360" w:lineRule="auto"/>
        <w:rPr>
          <w:rFonts w:ascii="宋体" w:hAnsi="宋体"/>
          <w:b/>
          <w:color w:val="auto"/>
          <w:sz w:val="28"/>
          <w:highlight w:val="none"/>
        </w:rPr>
      </w:pPr>
      <w:r>
        <w:rPr>
          <w:rFonts w:hint="eastAsia" w:ascii="宋体" w:hAnsi="宋体"/>
          <w:b/>
          <w:color w:val="auto"/>
          <w:sz w:val="28"/>
          <w:highlight w:val="none"/>
        </w:rPr>
        <w:t>附件11</w:t>
      </w:r>
    </w:p>
    <w:p w14:paraId="28B0B2B1">
      <w:pPr>
        <w:shd w:val="clea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0A459EA8">
      <w:pPr>
        <w:shd w:val="clea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46"/>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6242D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14:paraId="073044C1">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591" w:type="dxa"/>
            <w:tcBorders>
              <w:top w:val="single" w:color="auto" w:sz="4" w:space="0"/>
              <w:left w:val="single" w:color="auto" w:sz="4" w:space="0"/>
              <w:bottom w:val="single" w:color="auto" w:sz="4" w:space="0"/>
              <w:right w:val="single" w:color="auto" w:sz="4" w:space="0"/>
            </w:tcBorders>
            <w:noWrap/>
            <w:vAlign w:val="center"/>
          </w:tcPr>
          <w:p w14:paraId="0F033FAF">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noWrap/>
            <w:vAlign w:val="center"/>
          </w:tcPr>
          <w:p w14:paraId="1B5AB134">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职务</w:t>
            </w:r>
          </w:p>
        </w:tc>
        <w:tc>
          <w:tcPr>
            <w:tcW w:w="867" w:type="dxa"/>
            <w:tcBorders>
              <w:top w:val="single" w:color="auto" w:sz="4" w:space="0"/>
              <w:left w:val="single" w:color="auto" w:sz="4" w:space="0"/>
              <w:bottom w:val="single" w:color="auto" w:sz="4" w:space="0"/>
              <w:right w:val="single" w:color="auto" w:sz="4" w:space="0"/>
            </w:tcBorders>
            <w:noWrap/>
            <w:vAlign w:val="center"/>
          </w:tcPr>
          <w:p w14:paraId="299527A8">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noWrap/>
            <w:vAlign w:val="center"/>
          </w:tcPr>
          <w:p w14:paraId="24619FFC">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noWrap/>
            <w:vAlign w:val="center"/>
          </w:tcPr>
          <w:p w14:paraId="4078CD5D">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noWrap/>
            <w:vAlign w:val="center"/>
          </w:tcPr>
          <w:p w14:paraId="02BB90E0">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default" w:ascii="宋体" w:hAnsi="宋体"/>
                <w:b/>
                <w:color w:val="auto"/>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noWrap/>
            <w:vAlign w:val="center"/>
          </w:tcPr>
          <w:p w14:paraId="488B78BA">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default" w:ascii="宋体" w:hAnsi="宋体"/>
                <w:b/>
                <w:color w:val="auto"/>
                <w:szCs w:val="21"/>
                <w:highlight w:val="none"/>
              </w:rPr>
              <w:t>本专业工作年限</w:t>
            </w:r>
          </w:p>
        </w:tc>
      </w:tr>
      <w:tr w14:paraId="0A509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239A40CC">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2DC59CF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585D671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4448957C">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39201B12">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6A21656">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2E026A1">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45376389">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41083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2420657D">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40AE5237">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4CBBE972">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6A38A1AA">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6D7FCC8A">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C4CB79F">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37BBE4CA">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2E05C6B7">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6B818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329C9B9B">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091C4576">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230C0C3D">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1BEC7A65">
            <w:pPr>
              <w:pStyle w:val="29"/>
              <w:keepNext w:val="0"/>
              <w:keepLines w:val="0"/>
              <w:suppressLineNumbers w:val="0"/>
              <w:shd w:val="clear"/>
              <w:snapToGrid w:val="0"/>
              <w:spacing w:before="0"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448D1B20">
            <w:pPr>
              <w:pStyle w:val="29"/>
              <w:keepNext w:val="0"/>
              <w:keepLines w:val="0"/>
              <w:suppressLineNumbers w:val="0"/>
              <w:shd w:val="clear"/>
              <w:snapToGrid w:val="0"/>
              <w:spacing w:before="0"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73F558C">
            <w:pPr>
              <w:pStyle w:val="29"/>
              <w:keepNext w:val="0"/>
              <w:keepLines w:val="0"/>
              <w:suppressLineNumbers w:val="0"/>
              <w:shd w:val="clear"/>
              <w:spacing w:before="0" w:beforeAutospacing="0" w:after="0" w:afterAutospacing="0" w:line="360" w:lineRule="auto"/>
              <w:ind w:left="5250" w:right="0"/>
              <w:jc w:val="center"/>
              <w:rPr>
                <w:rFonts w:hint="default"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78CB9774">
            <w:pPr>
              <w:pStyle w:val="29"/>
              <w:keepNext w:val="0"/>
              <w:keepLines w:val="0"/>
              <w:suppressLineNumbers w:val="0"/>
              <w:shd w:val="clear"/>
              <w:spacing w:before="0" w:beforeAutospacing="0" w:after="0" w:afterAutospacing="0" w:line="360" w:lineRule="auto"/>
              <w:ind w:left="5250" w:right="0"/>
              <w:rPr>
                <w:rFonts w:hint="default"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601FA270">
            <w:pPr>
              <w:pStyle w:val="29"/>
              <w:keepNext w:val="0"/>
              <w:keepLines w:val="0"/>
              <w:suppressLineNumbers w:val="0"/>
              <w:shd w:val="clear"/>
              <w:spacing w:before="0" w:beforeAutospacing="0" w:after="0" w:afterAutospacing="0" w:line="360" w:lineRule="auto"/>
              <w:ind w:left="5250" w:right="0"/>
              <w:jc w:val="center"/>
              <w:rPr>
                <w:rFonts w:hint="default" w:ascii="宋体" w:hAnsi="宋体"/>
                <w:color w:val="auto"/>
                <w:sz w:val="24"/>
                <w:highlight w:val="none"/>
              </w:rPr>
            </w:pPr>
          </w:p>
        </w:tc>
      </w:tr>
      <w:tr w14:paraId="0C68B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04D9E03D">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4C9A4622">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1F40476F">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0E5BB8FA">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5DBBEC6C">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C7039F4">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BC9231C">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15BBE09D">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4CD3F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2721C87F">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0CB30CF0">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2B31C731">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49904AC8">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535BF060">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AA8CD05">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728554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7902C467">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bl>
    <w:p w14:paraId="6C28328D">
      <w:pPr>
        <w:shd w:val="clear"/>
        <w:spacing w:line="360" w:lineRule="auto"/>
        <w:rPr>
          <w:rFonts w:ascii="宋体" w:hAnsi="宋体"/>
          <w:b/>
          <w:color w:val="auto"/>
          <w:szCs w:val="21"/>
          <w:highlight w:val="none"/>
        </w:rPr>
      </w:pPr>
      <w:r>
        <w:rPr>
          <w:rFonts w:hint="eastAsia" w:ascii="宋体" w:hAnsi="宋体"/>
          <w:b/>
          <w:color w:val="auto"/>
          <w:szCs w:val="21"/>
          <w:highlight w:val="none"/>
        </w:rPr>
        <w:t>要求：</w:t>
      </w:r>
    </w:p>
    <w:p w14:paraId="64AF251D">
      <w:pPr>
        <w:shd w:val="clea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00A5964A">
      <w:pPr>
        <w:pStyle w:val="66"/>
        <w:shd w:val="clear"/>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2.附人员证书原件扫描件、证明材料等；</w:t>
      </w:r>
    </w:p>
    <w:p w14:paraId="0C7C130A">
      <w:pPr>
        <w:shd w:val="clear"/>
        <w:spacing w:line="320" w:lineRule="exact"/>
        <w:ind w:left="420"/>
        <w:rPr>
          <w:rFonts w:ascii="宋体" w:hAnsi="宋体"/>
          <w:color w:val="auto"/>
          <w:szCs w:val="21"/>
          <w:highlight w:val="none"/>
        </w:rPr>
      </w:pPr>
    </w:p>
    <w:p w14:paraId="30F482C5">
      <w:pPr>
        <w:shd w:val="clear"/>
        <w:spacing w:line="480" w:lineRule="exact"/>
        <w:ind w:firstLine="435"/>
        <w:rPr>
          <w:rFonts w:ascii="宋体" w:hAnsi="宋体"/>
          <w:color w:val="auto"/>
          <w:sz w:val="24"/>
          <w:highlight w:val="none"/>
        </w:rPr>
      </w:pPr>
    </w:p>
    <w:p w14:paraId="67745230">
      <w:pPr>
        <w:shd w:val="clear"/>
        <w:spacing w:line="360" w:lineRule="auto"/>
        <w:ind w:firstLine="424" w:firstLineChars="177"/>
        <w:rPr>
          <w:rFonts w:ascii="宋体" w:hAnsi="宋体"/>
          <w:color w:val="auto"/>
          <w:sz w:val="24"/>
          <w:highlight w:val="none"/>
        </w:rPr>
      </w:pPr>
    </w:p>
    <w:p w14:paraId="355D1A58">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72881726">
      <w:pPr>
        <w:shd w:val="clear"/>
        <w:spacing w:line="360" w:lineRule="auto"/>
        <w:ind w:left="420"/>
        <w:rPr>
          <w:rFonts w:ascii="宋体" w:hAnsi="宋体" w:cs="宋体"/>
          <w:color w:val="auto"/>
          <w:sz w:val="24"/>
          <w:highlight w:val="none"/>
        </w:rPr>
      </w:pPr>
    </w:p>
    <w:p w14:paraId="7EF46805">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0501F144">
      <w:pPr>
        <w:shd w:val="clear"/>
        <w:spacing w:line="360" w:lineRule="auto"/>
        <w:ind w:firstLine="435"/>
        <w:rPr>
          <w:rFonts w:ascii="宋体" w:hAnsi="宋体" w:cs="宋体"/>
          <w:color w:val="auto"/>
          <w:sz w:val="24"/>
          <w:highlight w:val="none"/>
        </w:rPr>
      </w:pPr>
    </w:p>
    <w:p w14:paraId="1B3ADE12">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20A1FB68">
      <w:pPr>
        <w:shd w:val="clear"/>
        <w:spacing w:line="360" w:lineRule="auto"/>
        <w:rPr>
          <w:rFonts w:ascii="宋体" w:hAnsi="宋体"/>
          <w:b/>
          <w:color w:val="auto"/>
          <w:sz w:val="28"/>
          <w:highlight w:val="none"/>
        </w:rPr>
      </w:pPr>
    </w:p>
    <w:p w14:paraId="5FA8B5C1">
      <w:pPr>
        <w:pStyle w:val="4"/>
        <w:shd w:val="clear"/>
        <w:tabs>
          <w:tab w:val="left" w:pos="8280"/>
        </w:tabs>
        <w:rPr>
          <w:color w:val="auto"/>
          <w:highlight w:val="none"/>
        </w:rPr>
      </w:pPr>
      <w:r>
        <w:rPr>
          <w:color w:val="auto"/>
          <w:highlight w:val="none"/>
        </w:rPr>
        <w:br w:type="page"/>
      </w:r>
    </w:p>
    <w:p w14:paraId="6D3012C0">
      <w:pPr>
        <w:shd w:val="clear"/>
        <w:spacing w:line="360" w:lineRule="auto"/>
        <w:rPr>
          <w:rFonts w:ascii="宋体" w:hAnsi="宋体"/>
          <w:b/>
          <w:color w:val="auto"/>
          <w:sz w:val="28"/>
          <w:highlight w:val="none"/>
        </w:rPr>
      </w:pPr>
      <w:r>
        <w:rPr>
          <w:rFonts w:hint="eastAsia" w:ascii="宋体" w:hAnsi="宋体"/>
          <w:b/>
          <w:color w:val="auto"/>
          <w:sz w:val="28"/>
          <w:highlight w:val="none"/>
        </w:rPr>
        <w:t>附件12</w:t>
      </w:r>
    </w:p>
    <w:p w14:paraId="349AB5EE">
      <w:pPr>
        <w:pStyle w:val="69"/>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234BCCD7">
      <w:pPr>
        <w:pStyle w:val="69"/>
        <w:shd w:val="clear"/>
        <w:spacing w:line="360" w:lineRule="auto"/>
        <w:jc w:val="center"/>
        <w:rPr>
          <w:rFonts w:ascii="宋体" w:hAnsi="宋体" w:cs="Arial"/>
          <w:color w:val="auto"/>
          <w:sz w:val="28"/>
          <w:szCs w:val="28"/>
          <w:highlight w:val="none"/>
        </w:rPr>
      </w:pPr>
    </w:p>
    <w:tbl>
      <w:tblPr>
        <w:tblStyle w:val="4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41A5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tcPr>
          <w:p w14:paraId="37D719C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tcPr>
          <w:p w14:paraId="53F1A8C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tcPr>
          <w:p w14:paraId="041DAA8D">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tcPr>
          <w:p w14:paraId="529E084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证书有效期</w:t>
            </w:r>
          </w:p>
        </w:tc>
      </w:tr>
      <w:tr w14:paraId="0268A3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tcPr>
          <w:p w14:paraId="56B1E78D">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top w:val="single" w:color="auto" w:sz="4" w:space="0"/>
            </w:tcBorders>
            <w:noWrap/>
          </w:tcPr>
          <w:p w14:paraId="5605487C">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top w:val="single" w:color="auto" w:sz="4" w:space="0"/>
            </w:tcBorders>
            <w:noWrap/>
          </w:tcPr>
          <w:p w14:paraId="24A7F99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top w:val="single" w:color="auto" w:sz="4" w:space="0"/>
              <w:right w:val="single" w:color="auto" w:sz="4" w:space="0"/>
            </w:tcBorders>
            <w:noWrap/>
          </w:tcPr>
          <w:p w14:paraId="3AE32D1F">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1FEE0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5AE5341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39A4D8F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1A77D23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7851C8C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226D2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67840D9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3E872AB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4379B477">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4AD70EB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01DF0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702ECB43">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431FE2F6">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0AEAD837">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294F1CEE">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6CB11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751F5505">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299CDC5D">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1CB811EE">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64C7EDFD">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05DF3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62999939">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667462B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6B31013D">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3ACEFA58">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4D7C5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tcPr>
          <w:p w14:paraId="268642E8">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bottom w:val="single" w:color="auto" w:sz="4" w:space="0"/>
            </w:tcBorders>
            <w:noWrap/>
          </w:tcPr>
          <w:p w14:paraId="25EBF7E9">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bottom w:val="single" w:color="auto" w:sz="4" w:space="0"/>
            </w:tcBorders>
            <w:noWrap/>
          </w:tcPr>
          <w:p w14:paraId="2A8A038B">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bottom w:val="single" w:color="auto" w:sz="4" w:space="0"/>
              <w:right w:val="single" w:color="auto" w:sz="4" w:space="0"/>
            </w:tcBorders>
            <w:noWrap/>
          </w:tcPr>
          <w:p w14:paraId="7A16DC7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bl>
    <w:p w14:paraId="586ADFA4">
      <w:pPr>
        <w:pStyle w:val="69"/>
        <w:shd w:val="clear"/>
        <w:tabs>
          <w:tab w:val="left" w:pos="1050"/>
        </w:tabs>
        <w:spacing w:line="360" w:lineRule="auto"/>
        <w:rPr>
          <w:rFonts w:ascii="仿宋_GB2312" w:hAnsi="宋体" w:eastAsia="仿宋_GB2312"/>
          <w:color w:val="auto"/>
          <w:sz w:val="24"/>
          <w:highlight w:val="none"/>
        </w:rPr>
      </w:pPr>
    </w:p>
    <w:p w14:paraId="1FA8A7E1">
      <w:pPr>
        <w:pStyle w:val="69"/>
        <w:shd w:val="clear"/>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651F573">
      <w:pPr>
        <w:pStyle w:val="69"/>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1.填写投标供应商获得资质、认证或企业荣誉证书；</w:t>
      </w:r>
    </w:p>
    <w:p w14:paraId="1E1961C0">
      <w:pPr>
        <w:pStyle w:val="69"/>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2.附所列证书扫描件或影印件或其他证明材料。</w:t>
      </w:r>
    </w:p>
    <w:p w14:paraId="213FD9E5">
      <w:pPr>
        <w:widowControl/>
        <w:shd w:val="clear"/>
        <w:jc w:val="left"/>
        <w:rPr>
          <w:rFonts w:ascii="宋体" w:hAnsi="宋体"/>
          <w:b/>
          <w:color w:val="auto"/>
          <w:sz w:val="28"/>
          <w:highlight w:val="none"/>
        </w:rPr>
      </w:pPr>
    </w:p>
    <w:p w14:paraId="090AFEEA">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2B4C6588">
      <w:pPr>
        <w:shd w:val="clear"/>
        <w:spacing w:line="360" w:lineRule="auto"/>
        <w:ind w:left="420"/>
        <w:rPr>
          <w:rFonts w:ascii="宋体" w:hAnsi="宋体" w:cs="宋体"/>
          <w:color w:val="auto"/>
          <w:sz w:val="24"/>
          <w:highlight w:val="none"/>
        </w:rPr>
      </w:pPr>
    </w:p>
    <w:p w14:paraId="618D2248">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2D317C0C">
      <w:pPr>
        <w:shd w:val="clear"/>
        <w:spacing w:line="360" w:lineRule="auto"/>
        <w:ind w:firstLine="435"/>
        <w:rPr>
          <w:rFonts w:ascii="宋体" w:hAnsi="宋体" w:cs="宋体"/>
          <w:color w:val="auto"/>
          <w:sz w:val="24"/>
          <w:highlight w:val="none"/>
        </w:rPr>
      </w:pPr>
    </w:p>
    <w:p w14:paraId="58D63050">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2425744B">
      <w:pPr>
        <w:widowControl/>
        <w:shd w:val="clear"/>
        <w:jc w:val="left"/>
        <w:rPr>
          <w:rFonts w:ascii="宋体" w:hAnsi="宋体"/>
          <w:b/>
          <w:color w:val="auto"/>
          <w:sz w:val="28"/>
          <w:highlight w:val="none"/>
        </w:rPr>
      </w:pPr>
      <w:r>
        <w:rPr>
          <w:rFonts w:ascii="宋体" w:hAnsi="宋体"/>
          <w:b/>
          <w:color w:val="auto"/>
          <w:sz w:val="28"/>
          <w:highlight w:val="none"/>
        </w:rPr>
        <w:br w:type="page"/>
      </w:r>
    </w:p>
    <w:p w14:paraId="42FF11AA">
      <w:pPr>
        <w:pStyle w:val="69"/>
        <w:shd w:val="clear"/>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附件13</w:t>
      </w:r>
    </w:p>
    <w:p w14:paraId="1679206C">
      <w:pPr>
        <w:pStyle w:val="68"/>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供应商类似项目实施情况一览表</w:t>
      </w:r>
    </w:p>
    <w:p w14:paraId="39EF31D0">
      <w:pPr>
        <w:pStyle w:val="68"/>
        <w:shd w:val="clear"/>
        <w:spacing w:line="360" w:lineRule="auto"/>
        <w:jc w:val="center"/>
        <w:rPr>
          <w:rFonts w:ascii="仿宋_GB2312" w:eastAsia="仿宋_GB2312"/>
          <w:b/>
          <w:color w:val="auto"/>
          <w:sz w:val="28"/>
          <w:szCs w:val="28"/>
          <w:highlight w:val="none"/>
        </w:rPr>
      </w:pPr>
    </w:p>
    <w:tbl>
      <w:tblPr>
        <w:tblStyle w:val="4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6ED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635CB9C">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ign w:val="center"/>
          </w:tcPr>
          <w:p w14:paraId="414D03B7">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ign w:val="center"/>
          </w:tcPr>
          <w:p w14:paraId="3B02A179">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7B123E6">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合同内容</w:t>
            </w:r>
          </w:p>
        </w:tc>
        <w:tc>
          <w:tcPr>
            <w:tcW w:w="1452" w:type="dxa"/>
            <w:tcBorders>
              <w:top w:val="single" w:color="auto" w:sz="6" w:space="0"/>
              <w:left w:val="single" w:color="auto" w:sz="6" w:space="0"/>
              <w:bottom w:val="single" w:color="auto" w:sz="6" w:space="0"/>
              <w:right w:val="single" w:color="auto" w:sz="6" w:space="0"/>
            </w:tcBorders>
            <w:noWrap/>
            <w:vAlign w:val="center"/>
          </w:tcPr>
          <w:p w14:paraId="78A2BD78">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2DD5E186">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0FD7E644">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23794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68FA27C8">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tcPr>
          <w:p w14:paraId="3F9B34C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6D8840A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0D97D1A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2743609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6C85B60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3C1377D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60436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3C334C97">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tcPr>
          <w:p w14:paraId="68D5D69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2535B8B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792E33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431E88A9">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71AA915F">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68C91B3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7F4A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8258AF8">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tcPr>
          <w:p w14:paraId="09B2CA0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110F276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A04EF57">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4EA547B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003BB04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0DE38AB7">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5450A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9991279">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tcPr>
          <w:p w14:paraId="303BD46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1C77709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5D1CA56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64A40CEE">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0CFCB33F">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7AA68C7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45E08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357D9B0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2EDB5CFB">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125FE49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0CFEB39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6718404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5AC1EB32">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54214C1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1722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A70F3D2">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02F1E9D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3854E66E">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01A28DB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1DFCAB2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6BF8B19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16081B6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1AD8D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28448F4">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56F46314">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5BDE1B8B">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48FC5299">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4953E8B7">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4B62EFA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2019C154">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bl>
    <w:p w14:paraId="40D7F9AF">
      <w:pPr>
        <w:shd w:val="clea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3D5A78A">
      <w:pPr>
        <w:shd w:val="clea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扫描件或影印件并加盖投标供应商电子印章</w:t>
      </w:r>
      <w:r>
        <w:rPr>
          <w:rFonts w:ascii="宋体" w:hAnsi="宋体" w:cs="Arial"/>
          <w:color w:val="auto"/>
          <w:szCs w:val="21"/>
          <w:highlight w:val="none"/>
        </w:rPr>
        <w:t>）；</w:t>
      </w:r>
    </w:p>
    <w:p w14:paraId="42584EDF">
      <w:pPr>
        <w:shd w:val="clea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534F163A">
      <w:pPr>
        <w:widowControl/>
        <w:shd w:val="clear"/>
        <w:spacing w:line="360" w:lineRule="auto"/>
        <w:jc w:val="left"/>
        <w:rPr>
          <w:rFonts w:ascii="宋体" w:hAnsi="宋体"/>
          <w:b/>
          <w:color w:val="auto"/>
          <w:sz w:val="28"/>
          <w:highlight w:val="none"/>
        </w:rPr>
      </w:pPr>
    </w:p>
    <w:p w14:paraId="207FD340">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3B345652">
      <w:pPr>
        <w:shd w:val="clear"/>
        <w:spacing w:line="360" w:lineRule="auto"/>
        <w:ind w:left="420"/>
        <w:rPr>
          <w:rFonts w:ascii="宋体" w:hAnsi="宋体" w:cs="宋体"/>
          <w:color w:val="auto"/>
          <w:sz w:val="24"/>
          <w:highlight w:val="none"/>
        </w:rPr>
      </w:pPr>
    </w:p>
    <w:p w14:paraId="04E13BF1">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484B08FC">
      <w:pPr>
        <w:shd w:val="clear"/>
        <w:spacing w:line="360" w:lineRule="auto"/>
        <w:ind w:firstLine="435"/>
        <w:rPr>
          <w:rFonts w:ascii="宋体" w:hAnsi="宋体" w:cs="宋体"/>
          <w:color w:val="auto"/>
          <w:sz w:val="24"/>
          <w:highlight w:val="none"/>
        </w:rPr>
      </w:pPr>
    </w:p>
    <w:p w14:paraId="64CA963D">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38F63380">
      <w:pPr>
        <w:shd w:val="clear"/>
        <w:spacing w:line="360" w:lineRule="auto"/>
        <w:ind w:right="-110"/>
        <w:jc w:val="left"/>
        <w:rPr>
          <w:rFonts w:ascii="宋体" w:hAnsi="宋体" w:cs="宋体"/>
          <w:color w:val="auto"/>
          <w:spacing w:val="40"/>
          <w:sz w:val="52"/>
          <w:szCs w:val="52"/>
          <w:highlight w:val="none"/>
        </w:rPr>
      </w:pPr>
      <w:r>
        <w:rPr>
          <w:rFonts w:ascii="宋体" w:hAnsi="宋体"/>
          <w:b/>
          <w:color w:val="auto"/>
          <w:sz w:val="28"/>
          <w:highlight w:val="none"/>
        </w:rPr>
        <w:br w:type="page"/>
      </w:r>
      <w:r>
        <w:rPr>
          <w:rFonts w:hint="eastAsia" w:ascii="宋体" w:hAnsi="宋体" w:cs="宋体"/>
          <w:b/>
          <w:color w:val="auto"/>
          <w:sz w:val="28"/>
          <w:highlight w:val="none"/>
        </w:rPr>
        <w:t>附件14</w:t>
      </w:r>
    </w:p>
    <w:p w14:paraId="17A6C6A8">
      <w:pPr>
        <w:shd w:val="clea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7C5E9747">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72A07FFE">
      <w:pPr>
        <w:shd w:val="clear"/>
        <w:spacing w:after="100" w:afterAutospacing="1" w:line="360" w:lineRule="auto"/>
        <w:ind w:right="-108"/>
        <w:jc w:val="center"/>
        <w:rPr>
          <w:rFonts w:ascii="宋体" w:hAnsi="宋体" w:cs="宋体"/>
          <w:b/>
          <w:color w:val="auto"/>
          <w:spacing w:val="40"/>
          <w:sz w:val="84"/>
          <w:szCs w:val="84"/>
          <w:highlight w:val="none"/>
        </w:rPr>
      </w:pPr>
    </w:p>
    <w:p w14:paraId="0D1D1235">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0645DCB7">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6CE63F8B">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47E84784">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4A5B72F5">
      <w:pPr>
        <w:shd w:val="clear"/>
        <w:spacing w:line="360" w:lineRule="auto"/>
        <w:ind w:right="532"/>
        <w:jc w:val="center"/>
        <w:rPr>
          <w:rFonts w:ascii="宋体" w:hAnsi="宋体" w:cs="宋体"/>
          <w:color w:val="auto"/>
          <w:sz w:val="36"/>
          <w:szCs w:val="36"/>
          <w:highlight w:val="none"/>
        </w:rPr>
      </w:pPr>
    </w:p>
    <w:p w14:paraId="5FCD9F44">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14:paraId="0A354AB6">
      <w:pPr>
        <w:shd w:val="clea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36D7ED7D">
      <w:pPr>
        <w:shd w:val="clea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6A5F2FBA">
      <w:pPr>
        <w:shd w:val="clear"/>
        <w:spacing w:line="360" w:lineRule="auto"/>
        <w:ind w:right="-108"/>
        <w:jc w:val="center"/>
        <w:rPr>
          <w:rFonts w:ascii="宋体" w:hAnsi="宋体" w:cs="宋体"/>
          <w:b/>
          <w:color w:val="auto"/>
          <w:sz w:val="36"/>
          <w:szCs w:val="36"/>
          <w:highlight w:val="none"/>
        </w:rPr>
      </w:pPr>
    </w:p>
    <w:p w14:paraId="2A5698F9">
      <w:pPr>
        <w:shd w:val="clear"/>
        <w:spacing w:line="360" w:lineRule="auto"/>
        <w:ind w:right="-108"/>
        <w:jc w:val="center"/>
        <w:rPr>
          <w:rFonts w:ascii="宋体" w:hAnsi="宋体" w:cs="宋体"/>
          <w:b/>
          <w:color w:val="auto"/>
          <w:sz w:val="32"/>
          <w:szCs w:val="32"/>
          <w:highlight w:val="none"/>
        </w:rPr>
      </w:pPr>
    </w:p>
    <w:p w14:paraId="1CC778DE">
      <w:pPr>
        <w:shd w:val="clea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14:paraId="3C0D2E3C">
      <w:pPr>
        <w:shd w:val="clear"/>
        <w:spacing w:line="360" w:lineRule="auto"/>
        <w:ind w:right="-108"/>
        <w:jc w:val="center"/>
        <w:rPr>
          <w:rFonts w:ascii="宋体" w:hAnsi="宋体" w:cs="宋体"/>
          <w:b/>
          <w:color w:val="auto"/>
          <w:sz w:val="36"/>
          <w:szCs w:val="36"/>
          <w:highlight w:val="none"/>
        </w:rPr>
      </w:pPr>
    </w:p>
    <w:p w14:paraId="76FF354A">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（1）开标一览表；</w:t>
      </w:r>
    </w:p>
    <w:p w14:paraId="15BE0085">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（2）报价明细表；</w:t>
      </w:r>
    </w:p>
    <w:p w14:paraId="1F815AA0">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rPr>
        <w:t>（3）政府采购优惠政策相关资料（如有）</w:t>
      </w:r>
      <w:r>
        <w:rPr>
          <w:rFonts w:hint="eastAsia" w:ascii="宋体" w:hAnsi="宋体" w:cs="宋体"/>
          <w:color w:val="auto"/>
          <w:sz w:val="24"/>
          <w:highlight w:val="none"/>
        </w:rPr>
        <w:t>；</w:t>
      </w:r>
    </w:p>
    <w:p w14:paraId="65B1764A">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（4）针对报价投标供应商认为其他需要说明的内容（如有）。</w:t>
      </w:r>
    </w:p>
    <w:p w14:paraId="6550207E">
      <w:pPr>
        <w:shd w:val="clear"/>
        <w:spacing w:line="360" w:lineRule="auto"/>
        <w:ind w:left="480"/>
        <w:rPr>
          <w:rFonts w:ascii="宋体" w:hAnsi="宋体" w:cs="宋体"/>
          <w:b/>
          <w:color w:val="auto"/>
          <w:sz w:val="28"/>
          <w:highlight w:val="none"/>
        </w:rPr>
      </w:pPr>
    </w:p>
    <w:p w14:paraId="02D6B6D1">
      <w:pPr>
        <w:shd w:val="clear"/>
        <w:spacing w:line="360" w:lineRule="auto"/>
        <w:ind w:left="480"/>
        <w:rPr>
          <w:rFonts w:ascii="宋体" w:hAnsi="宋体" w:cs="宋体"/>
          <w:b/>
          <w:color w:val="auto"/>
          <w:sz w:val="28"/>
          <w:highlight w:val="none"/>
        </w:rPr>
      </w:pPr>
    </w:p>
    <w:p w14:paraId="4FAF693C">
      <w:pPr>
        <w:shd w:val="clear"/>
        <w:spacing w:line="360" w:lineRule="auto"/>
        <w:ind w:left="480"/>
        <w:rPr>
          <w:rFonts w:ascii="宋体" w:hAnsi="宋体" w:cs="宋体"/>
          <w:b/>
          <w:color w:val="auto"/>
          <w:sz w:val="28"/>
          <w:highlight w:val="none"/>
        </w:rPr>
      </w:pPr>
    </w:p>
    <w:p w14:paraId="166E8DDD">
      <w:pPr>
        <w:shd w:val="clear"/>
        <w:spacing w:line="360" w:lineRule="auto"/>
        <w:ind w:left="480"/>
        <w:rPr>
          <w:rFonts w:ascii="宋体" w:hAnsi="宋体" w:cs="宋体"/>
          <w:b/>
          <w:color w:val="auto"/>
          <w:sz w:val="28"/>
          <w:highlight w:val="none"/>
        </w:rPr>
      </w:pPr>
    </w:p>
    <w:p w14:paraId="25532F52">
      <w:pPr>
        <w:shd w:val="clear"/>
        <w:spacing w:line="360" w:lineRule="auto"/>
        <w:ind w:left="480"/>
        <w:rPr>
          <w:rFonts w:ascii="宋体" w:hAnsi="宋体" w:cs="宋体"/>
          <w:b/>
          <w:color w:val="auto"/>
          <w:sz w:val="28"/>
          <w:highlight w:val="none"/>
        </w:rPr>
      </w:pPr>
    </w:p>
    <w:p w14:paraId="0F970E69">
      <w:pPr>
        <w:shd w:val="clear"/>
        <w:spacing w:line="360" w:lineRule="auto"/>
        <w:ind w:left="480"/>
        <w:rPr>
          <w:rFonts w:ascii="宋体" w:hAnsi="宋体" w:cs="宋体"/>
          <w:b/>
          <w:color w:val="auto"/>
          <w:sz w:val="28"/>
          <w:highlight w:val="none"/>
        </w:rPr>
      </w:pPr>
    </w:p>
    <w:p w14:paraId="2E51A41C">
      <w:pPr>
        <w:shd w:val="clear"/>
        <w:spacing w:line="360" w:lineRule="auto"/>
        <w:ind w:left="480"/>
        <w:rPr>
          <w:rFonts w:ascii="宋体" w:hAnsi="宋体" w:cs="宋体"/>
          <w:b/>
          <w:color w:val="auto"/>
          <w:sz w:val="28"/>
          <w:highlight w:val="none"/>
        </w:rPr>
      </w:pPr>
    </w:p>
    <w:p w14:paraId="7597EAFB">
      <w:pPr>
        <w:shd w:val="clear"/>
        <w:spacing w:line="360" w:lineRule="auto"/>
        <w:ind w:left="480"/>
        <w:rPr>
          <w:rFonts w:ascii="宋体" w:hAnsi="宋体" w:cs="宋体"/>
          <w:b/>
          <w:color w:val="auto"/>
          <w:sz w:val="28"/>
          <w:highlight w:val="none"/>
        </w:rPr>
      </w:pPr>
    </w:p>
    <w:p w14:paraId="51AFFCF0">
      <w:pPr>
        <w:shd w:val="clear"/>
        <w:spacing w:line="360" w:lineRule="auto"/>
        <w:ind w:left="480"/>
        <w:rPr>
          <w:rFonts w:ascii="宋体" w:hAnsi="宋体" w:cs="宋体"/>
          <w:b/>
          <w:color w:val="auto"/>
          <w:sz w:val="28"/>
          <w:highlight w:val="none"/>
        </w:rPr>
      </w:pPr>
    </w:p>
    <w:p w14:paraId="284A1CCF">
      <w:pPr>
        <w:shd w:val="clear"/>
        <w:spacing w:line="360" w:lineRule="auto"/>
        <w:ind w:left="480"/>
        <w:rPr>
          <w:rFonts w:ascii="宋体" w:hAnsi="宋体" w:cs="宋体"/>
          <w:b/>
          <w:color w:val="auto"/>
          <w:sz w:val="28"/>
          <w:highlight w:val="none"/>
        </w:rPr>
      </w:pPr>
    </w:p>
    <w:p w14:paraId="369FB978">
      <w:pPr>
        <w:shd w:val="clear"/>
        <w:spacing w:line="360" w:lineRule="auto"/>
        <w:ind w:left="480"/>
        <w:rPr>
          <w:rFonts w:ascii="宋体" w:hAnsi="宋体" w:cs="宋体"/>
          <w:b/>
          <w:color w:val="auto"/>
          <w:sz w:val="28"/>
          <w:highlight w:val="none"/>
        </w:rPr>
      </w:pPr>
    </w:p>
    <w:p w14:paraId="6F316C58">
      <w:pPr>
        <w:shd w:val="clear"/>
        <w:spacing w:line="360" w:lineRule="auto"/>
        <w:ind w:left="480"/>
        <w:rPr>
          <w:rFonts w:ascii="宋体" w:hAnsi="宋体" w:cs="宋体"/>
          <w:b/>
          <w:color w:val="auto"/>
          <w:sz w:val="28"/>
          <w:highlight w:val="none"/>
        </w:rPr>
      </w:pPr>
    </w:p>
    <w:p w14:paraId="615D5C5F">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30C4B58A">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附件15</w:t>
      </w:r>
    </w:p>
    <w:p w14:paraId="30F6B32D">
      <w:pPr>
        <w:pStyle w:val="74"/>
        <w:shd w:val="clear"/>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14:paraId="6F925530">
      <w:pPr>
        <w:pStyle w:val="74"/>
        <w:shd w:val="clear"/>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06510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6BE9C176">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D5ECDB1">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8600113">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p>
        </w:tc>
      </w:tr>
      <w:tr w14:paraId="40C5FF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8916B5D">
            <w:pPr>
              <w:keepNext w:val="0"/>
              <w:keepLines w:val="0"/>
              <w:suppressLineNumbers w:val="0"/>
              <w:shd w:val="clear"/>
              <w:spacing w:before="0" w:beforeAutospacing="0" w:after="0" w:afterAutospacing="0"/>
              <w:ind w:left="0" w:right="0"/>
              <w:rPr>
                <w:rFonts w:hint="default"/>
                <w:color w:val="auto"/>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1000D86">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D36574F">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p>
        </w:tc>
      </w:tr>
    </w:tbl>
    <w:p w14:paraId="7BF18EAA">
      <w:pPr>
        <w:shd w:val="clear"/>
        <w:spacing w:line="360" w:lineRule="auto"/>
        <w:ind w:left="480"/>
        <w:rPr>
          <w:rFonts w:ascii="宋体" w:hAnsi="宋体" w:cs="宋体"/>
          <w:b/>
          <w:color w:val="auto"/>
          <w:sz w:val="30"/>
          <w:highlight w:val="none"/>
        </w:rPr>
      </w:pPr>
    </w:p>
    <w:p w14:paraId="4E482C8C">
      <w:pPr>
        <w:shd w:val="clea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14:paraId="77139A1C">
      <w:pPr>
        <w:pStyle w:val="17"/>
        <w:shd w:val="clear"/>
        <w:spacing w:line="360" w:lineRule="auto"/>
        <w:ind w:firstLineChars="200"/>
        <w:rPr>
          <w:rFonts w:ascii="宋体" w:cs="宋体"/>
          <w:color w:val="auto"/>
          <w:kern w:val="0"/>
          <w:szCs w:val="21"/>
          <w:highlight w:val="none"/>
        </w:rPr>
      </w:pPr>
      <w:r>
        <w:rPr>
          <w:rFonts w:hint="eastAsia" w:ascii="宋体" w:cs="宋体"/>
          <w:color w:val="auto"/>
          <w:kern w:val="0"/>
          <w:szCs w:val="21"/>
          <w:highlight w:val="none"/>
        </w:rPr>
        <w:t>1.投标总报价</w:t>
      </w:r>
      <w:r>
        <w:rPr>
          <w:rFonts w:hint="eastAsia" w:ascii="宋体" w:cs="宋体"/>
          <w:color w:val="auto"/>
          <w:kern w:val="0"/>
          <w:szCs w:val="21"/>
          <w:highlight w:val="none"/>
          <w:lang w:val="en-US" w:eastAsia="zh-CN"/>
        </w:rPr>
        <w:t>包括</w:t>
      </w:r>
      <w:r>
        <w:rPr>
          <w:rFonts w:hint="eastAsia" w:ascii="宋体" w:cs="宋体"/>
          <w:color w:val="auto"/>
          <w:kern w:val="0"/>
          <w:szCs w:val="21"/>
          <w:highlight w:val="none"/>
        </w:rPr>
        <w:t>但不仅限于项目相关的人员、设备、调试集成费用、培训费、验收费等。供应商应充分考虑安装、培训、对接、验收等工作时各环节所发生的费用，以及合同包含的所有风险责任等各项费用及不可预见费等所需的全部费用已包含在投标报价中</w:t>
      </w:r>
      <w:r>
        <w:rPr>
          <w:rFonts w:hint="eastAsia" w:hAnsi="宋体" w:cs="宋体"/>
          <w:color w:val="auto"/>
          <w:kern w:val="0"/>
          <w:szCs w:val="21"/>
          <w:highlight w:val="none"/>
        </w:rPr>
        <w:t>。</w:t>
      </w:r>
    </w:p>
    <w:p w14:paraId="28929643">
      <w:pPr>
        <w:shd w:val="clear"/>
        <w:spacing w:line="360" w:lineRule="auto"/>
        <w:ind w:firstLine="420" w:firstLineChars="200"/>
        <w:rPr>
          <w:rFonts w:ascii="宋体" w:cs="宋体"/>
          <w:b/>
          <w:i/>
          <w:color w:val="auto"/>
          <w:szCs w:val="21"/>
          <w:highlight w:val="none"/>
          <w:u w:val="single"/>
        </w:rPr>
      </w:pPr>
      <w:r>
        <w:rPr>
          <w:rFonts w:hint="eastAsia" w:ascii="宋体" w:cs="宋体"/>
          <w:color w:val="auto"/>
          <w:kern w:val="0"/>
          <w:szCs w:val="21"/>
          <w:highlight w:val="none"/>
        </w:rPr>
        <w:t>2.报价一经涂改，应在涂改处加盖单位公章，或者由法定代表人或授权委托代理人签字或盖章，否则其投标作无效标处理。</w:t>
      </w:r>
    </w:p>
    <w:p w14:paraId="3B4AF6E5">
      <w:pPr>
        <w:shd w:val="clear"/>
        <w:spacing w:line="360" w:lineRule="auto"/>
        <w:rPr>
          <w:rFonts w:ascii="宋体" w:hAnsi="宋体" w:cs="宋体"/>
          <w:color w:val="auto"/>
          <w:sz w:val="24"/>
          <w:highlight w:val="none"/>
        </w:rPr>
      </w:pPr>
    </w:p>
    <w:p w14:paraId="3736BF33">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23B4E08A">
      <w:pPr>
        <w:shd w:val="clear"/>
        <w:spacing w:line="360" w:lineRule="auto"/>
        <w:ind w:left="420"/>
        <w:rPr>
          <w:rFonts w:ascii="宋体" w:hAnsi="宋体" w:cs="宋体"/>
          <w:color w:val="auto"/>
          <w:sz w:val="24"/>
          <w:highlight w:val="none"/>
        </w:rPr>
      </w:pPr>
    </w:p>
    <w:p w14:paraId="2E9C734A">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34056FB9">
      <w:pPr>
        <w:shd w:val="clear"/>
        <w:spacing w:line="360" w:lineRule="auto"/>
        <w:ind w:firstLine="435"/>
        <w:rPr>
          <w:rFonts w:ascii="宋体" w:hAnsi="宋体" w:cs="宋体"/>
          <w:color w:val="auto"/>
          <w:sz w:val="24"/>
          <w:highlight w:val="none"/>
        </w:rPr>
      </w:pPr>
    </w:p>
    <w:p w14:paraId="6AD12A1E">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51CA98A0">
      <w:pPr>
        <w:shd w:val="clear"/>
        <w:spacing w:line="360" w:lineRule="auto"/>
        <w:rPr>
          <w:color w:val="auto"/>
          <w:highlight w:val="none"/>
        </w:rPr>
        <w:sectPr>
          <w:pgSz w:w="11906" w:h="16838"/>
          <w:pgMar w:top="1440" w:right="1803" w:bottom="1440" w:left="1803" w:header="851" w:footer="992" w:gutter="0"/>
          <w:cols w:space="0" w:num="1"/>
          <w:docGrid w:type="lines" w:linePitch="319" w:charSpace="0"/>
        </w:sectPr>
      </w:pPr>
    </w:p>
    <w:p w14:paraId="438373B8">
      <w:pPr>
        <w:widowControl/>
        <w:shd w:val="clear"/>
        <w:jc w:val="left"/>
        <w:rPr>
          <w:rFonts w:ascii="宋体" w:hAnsi="宋体"/>
          <w:b/>
          <w:color w:val="auto"/>
          <w:sz w:val="28"/>
          <w:highlight w:val="none"/>
        </w:rPr>
      </w:pPr>
    </w:p>
    <w:p w14:paraId="0779EEC1">
      <w:pPr>
        <w:shd w:val="clear"/>
        <w:spacing w:line="360" w:lineRule="auto"/>
        <w:rPr>
          <w:rFonts w:ascii="宋体" w:hAnsi="宋体"/>
          <w:b/>
          <w:color w:val="auto"/>
          <w:sz w:val="28"/>
          <w:highlight w:val="none"/>
        </w:rPr>
      </w:pPr>
      <w:r>
        <w:rPr>
          <w:rFonts w:hint="eastAsia" w:ascii="宋体" w:hAnsi="宋体"/>
          <w:b/>
          <w:color w:val="auto"/>
          <w:sz w:val="28"/>
          <w:highlight w:val="none"/>
        </w:rPr>
        <w:t>附件16</w:t>
      </w:r>
    </w:p>
    <w:p w14:paraId="02105CDC">
      <w:pPr>
        <w:shd w:val="clea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p>
    <w:p w14:paraId="0B0E0146">
      <w:pPr>
        <w:pStyle w:val="74"/>
        <w:shd w:val="clear"/>
        <w:spacing w:line="360" w:lineRule="auto"/>
        <w:ind w:right="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16"/>
        <w:gridCol w:w="857"/>
        <w:gridCol w:w="858"/>
        <w:gridCol w:w="1893"/>
        <w:gridCol w:w="1422"/>
      </w:tblGrid>
      <w:tr w14:paraId="2B43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6" w:type="dxa"/>
            <w:noWrap/>
            <w:vAlign w:val="center"/>
          </w:tcPr>
          <w:p w14:paraId="2337575D">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2316" w:type="dxa"/>
            <w:noWrap/>
            <w:vAlign w:val="center"/>
          </w:tcPr>
          <w:p w14:paraId="3F1CD10F">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报价项目</w:t>
            </w:r>
          </w:p>
        </w:tc>
        <w:tc>
          <w:tcPr>
            <w:tcW w:w="857" w:type="dxa"/>
            <w:noWrap/>
            <w:vAlign w:val="center"/>
          </w:tcPr>
          <w:p w14:paraId="2D4EB024">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单位</w:t>
            </w:r>
          </w:p>
        </w:tc>
        <w:tc>
          <w:tcPr>
            <w:tcW w:w="858" w:type="dxa"/>
            <w:noWrap/>
            <w:vAlign w:val="center"/>
          </w:tcPr>
          <w:p w14:paraId="2ED99ED3">
            <w:pPr>
              <w:keepNext w:val="0"/>
              <w:keepLines w:val="0"/>
              <w:suppressLineNumbers w:val="0"/>
              <w:shd w:val="clear"/>
              <w:spacing w:before="0" w:beforeAutospacing="0" w:after="0" w:afterAutospacing="0" w:line="360" w:lineRule="auto"/>
              <w:ind w:left="152"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893" w:type="dxa"/>
            <w:noWrap/>
            <w:vAlign w:val="center"/>
          </w:tcPr>
          <w:p w14:paraId="7D9E19E5">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单价（元）</w:t>
            </w:r>
          </w:p>
        </w:tc>
        <w:tc>
          <w:tcPr>
            <w:tcW w:w="1422" w:type="dxa"/>
            <w:noWrap/>
            <w:vAlign w:val="center"/>
          </w:tcPr>
          <w:p w14:paraId="5B83E137">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小计（元）</w:t>
            </w:r>
          </w:p>
        </w:tc>
      </w:tr>
      <w:tr w14:paraId="7620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176" w:type="dxa"/>
            <w:noWrap/>
            <w:vAlign w:val="center"/>
          </w:tcPr>
          <w:p w14:paraId="511FCBE5">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316" w:type="dxa"/>
            <w:noWrap/>
            <w:vAlign w:val="center"/>
          </w:tcPr>
          <w:p w14:paraId="58A5831E">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7" w:type="dxa"/>
            <w:noWrap/>
            <w:vAlign w:val="center"/>
          </w:tcPr>
          <w:p w14:paraId="6ED4DF1F">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8" w:type="dxa"/>
            <w:noWrap/>
            <w:vAlign w:val="center"/>
          </w:tcPr>
          <w:p w14:paraId="1FB267E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09FE56EA">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51CFD550">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3C35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176" w:type="dxa"/>
            <w:noWrap/>
            <w:vAlign w:val="center"/>
          </w:tcPr>
          <w:p w14:paraId="7DB8C6D8">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316" w:type="dxa"/>
            <w:noWrap/>
            <w:vAlign w:val="center"/>
          </w:tcPr>
          <w:p w14:paraId="29907890">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kern w:val="0"/>
                <w:sz w:val="24"/>
                <w:highlight w:val="none"/>
                <w:lang w:bidi="en-US"/>
              </w:rPr>
            </w:pPr>
          </w:p>
        </w:tc>
        <w:tc>
          <w:tcPr>
            <w:tcW w:w="857" w:type="dxa"/>
            <w:noWrap/>
            <w:vAlign w:val="center"/>
          </w:tcPr>
          <w:p w14:paraId="7CB2468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kern w:val="0"/>
                <w:sz w:val="24"/>
                <w:highlight w:val="none"/>
                <w:lang w:bidi="en-US"/>
              </w:rPr>
            </w:pPr>
          </w:p>
        </w:tc>
        <w:tc>
          <w:tcPr>
            <w:tcW w:w="858" w:type="dxa"/>
            <w:noWrap/>
            <w:vAlign w:val="center"/>
          </w:tcPr>
          <w:p w14:paraId="12A4CF4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37C2AAD2">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6F5D1847">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01DD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176" w:type="dxa"/>
            <w:noWrap/>
            <w:vAlign w:val="center"/>
          </w:tcPr>
          <w:p w14:paraId="2665A10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316" w:type="dxa"/>
            <w:noWrap/>
            <w:vAlign w:val="center"/>
          </w:tcPr>
          <w:p w14:paraId="7FB52F28">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7" w:type="dxa"/>
            <w:noWrap/>
            <w:vAlign w:val="center"/>
          </w:tcPr>
          <w:p w14:paraId="1D4425BD">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8" w:type="dxa"/>
            <w:noWrap/>
            <w:vAlign w:val="center"/>
          </w:tcPr>
          <w:p w14:paraId="15BCD4E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1EB82DEE">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2CAB4E17">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262C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76" w:type="dxa"/>
            <w:vMerge w:val="restart"/>
            <w:noWrap/>
            <w:vAlign w:val="center"/>
          </w:tcPr>
          <w:p w14:paraId="160C4C8F">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费用总计</w:t>
            </w:r>
          </w:p>
        </w:tc>
        <w:tc>
          <w:tcPr>
            <w:tcW w:w="7346" w:type="dxa"/>
            <w:gridSpan w:val="5"/>
            <w:noWrap/>
            <w:vAlign w:val="center"/>
          </w:tcPr>
          <w:p w14:paraId="0536CC3D">
            <w:pPr>
              <w:keepNext w:val="0"/>
              <w:keepLines w:val="0"/>
              <w:suppressLineNumbers w:val="0"/>
              <w:shd w:val="clear"/>
              <w:spacing w:before="0" w:beforeAutospacing="0" w:after="0" w:afterAutospacing="0" w:line="360" w:lineRule="auto"/>
              <w:ind w:left="0" w:right="0"/>
              <w:jc w:val="left"/>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大写：</w:t>
            </w:r>
          </w:p>
        </w:tc>
      </w:tr>
      <w:tr w14:paraId="2659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76" w:type="dxa"/>
            <w:vMerge w:val="continue"/>
            <w:noWrap/>
            <w:vAlign w:val="center"/>
          </w:tcPr>
          <w:p w14:paraId="7D2AD68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7346" w:type="dxa"/>
            <w:gridSpan w:val="5"/>
            <w:noWrap/>
            <w:vAlign w:val="center"/>
          </w:tcPr>
          <w:p w14:paraId="31AC25C6">
            <w:pPr>
              <w:keepNext w:val="0"/>
              <w:keepLines w:val="0"/>
              <w:suppressLineNumbers w:val="0"/>
              <w:shd w:val="clear"/>
              <w:spacing w:before="0" w:beforeAutospacing="0" w:after="0" w:afterAutospacing="0" w:line="360" w:lineRule="auto"/>
              <w:ind w:left="0" w:right="0"/>
              <w:jc w:val="left"/>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小写：</w:t>
            </w:r>
          </w:p>
        </w:tc>
      </w:tr>
    </w:tbl>
    <w:p w14:paraId="08DF1902">
      <w:pPr>
        <w:shd w:val="clear"/>
        <w:spacing w:line="360" w:lineRule="auto"/>
        <w:rPr>
          <w:rFonts w:ascii="宋体" w:hAnsi="宋体"/>
          <w:b/>
          <w:color w:val="auto"/>
          <w:szCs w:val="21"/>
          <w:highlight w:val="none"/>
        </w:rPr>
      </w:pPr>
      <w:r>
        <w:rPr>
          <w:rFonts w:hint="eastAsia" w:ascii="宋体" w:hAnsi="宋体"/>
          <w:b/>
          <w:color w:val="auto"/>
          <w:szCs w:val="21"/>
          <w:highlight w:val="none"/>
        </w:rPr>
        <w:t>要求：</w:t>
      </w:r>
    </w:p>
    <w:p w14:paraId="29BD0144">
      <w:pPr>
        <w:shd w:val="clea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752EBE23">
      <w:pPr>
        <w:shd w:val="clea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“报价明细表”中的报价总计应与“开标一览表”中的投标总报价相一致，不一致时，以开标一览表为准调整分项价格。</w:t>
      </w:r>
    </w:p>
    <w:p w14:paraId="1087F59D">
      <w:pPr>
        <w:shd w:val="clear"/>
        <w:spacing w:line="360" w:lineRule="auto"/>
        <w:ind w:left="435"/>
        <w:rPr>
          <w:rFonts w:ascii="宋体" w:hAnsi="宋体"/>
          <w:color w:val="auto"/>
          <w:szCs w:val="21"/>
          <w:highlight w:val="none"/>
        </w:rPr>
      </w:pPr>
      <w:r>
        <w:rPr>
          <w:rFonts w:hint="eastAsia" w:ascii="宋体" w:hAnsi="宋体"/>
          <w:color w:val="auto"/>
          <w:szCs w:val="21"/>
          <w:highlight w:val="none"/>
        </w:rPr>
        <w:t>3.本表须每页盖章。</w:t>
      </w:r>
    </w:p>
    <w:p w14:paraId="4427F2BD">
      <w:pPr>
        <w:shd w:val="clear"/>
        <w:spacing w:line="360" w:lineRule="auto"/>
        <w:ind w:firstLine="424" w:firstLineChars="177"/>
        <w:rPr>
          <w:rFonts w:ascii="宋体" w:hAnsi="宋体"/>
          <w:color w:val="auto"/>
          <w:sz w:val="24"/>
          <w:highlight w:val="none"/>
        </w:rPr>
      </w:pPr>
    </w:p>
    <w:p w14:paraId="12D976BD">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0629BCCC">
      <w:pPr>
        <w:shd w:val="clear"/>
        <w:spacing w:line="360" w:lineRule="auto"/>
        <w:ind w:left="420"/>
        <w:rPr>
          <w:rFonts w:ascii="宋体" w:hAnsi="宋体" w:cs="宋体"/>
          <w:color w:val="auto"/>
          <w:sz w:val="24"/>
          <w:highlight w:val="none"/>
        </w:rPr>
      </w:pPr>
    </w:p>
    <w:p w14:paraId="680573B2">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51E9EF25">
      <w:pPr>
        <w:shd w:val="clear"/>
        <w:spacing w:line="360" w:lineRule="auto"/>
        <w:ind w:firstLine="435"/>
        <w:rPr>
          <w:rFonts w:ascii="宋体" w:hAnsi="宋体" w:cs="宋体"/>
          <w:color w:val="auto"/>
          <w:sz w:val="24"/>
          <w:highlight w:val="none"/>
        </w:rPr>
      </w:pPr>
    </w:p>
    <w:p w14:paraId="181C2EED">
      <w:pPr>
        <w:shd w:val="clear"/>
        <w:spacing w:line="360" w:lineRule="auto"/>
        <w:ind w:firstLine="435"/>
        <w:rPr>
          <w:rFonts w:ascii="宋体" w:hAnsi="宋体"/>
          <w:b/>
          <w:color w:val="auto"/>
          <w:sz w:val="28"/>
          <w:highlight w:val="none"/>
        </w:rPr>
      </w:pPr>
      <w:r>
        <w:rPr>
          <w:rFonts w:hint="eastAsia" w:ascii="宋体" w:hAnsi="宋体" w:cs="宋体"/>
          <w:color w:val="auto"/>
          <w:sz w:val="24"/>
          <w:highlight w:val="none"/>
        </w:rPr>
        <w:t>日        期：</w:t>
      </w:r>
    </w:p>
    <w:p w14:paraId="6DBB16E9">
      <w:pPr>
        <w:widowControl/>
        <w:shd w:val="clear"/>
        <w:jc w:val="left"/>
        <w:rPr>
          <w:color w:val="auto"/>
          <w:kern w:val="0"/>
          <w:sz w:val="20"/>
          <w:szCs w:val="20"/>
          <w:highlight w:val="none"/>
        </w:rPr>
      </w:pPr>
      <w:r>
        <w:rPr>
          <w:color w:val="auto"/>
          <w:kern w:val="0"/>
          <w:sz w:val="20"/>
          <w:szCs w:val="20"/>
          <w:highlight w:val="none"/>
        </w:rPr>
        <w:br w:type="page"/>
      </w:r>
    </w:p>
    <w:p w14:paraId="5970357E">
      <w:pPr>
        <w:shd w:val="clea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附件17</w:t>
      </w:r>
    </w:p>
    <w:p w14:paraId="62C9F33E">
      <w:pPr>
        <w:pStyle w:val="75"/>
        <w:shd w:val="clear"/>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4557088D">
      <w:pPr>
        <w:pStyle w:val="75"/>
        <w:shd w:val="clear"/>
        <w:spacing w:line="360" w:lineRule="auto"/>
        <w:jc w:val="center"/>
        <w:rPr>
          <w:rFonts w:ascii="宋体" w:hAnsi="宋体"/>
          <w:b/>
          <w:color w:val="auto"/>
          <w:sz w:val="24"/>
          <w:highlight w:val="none"/>
          <w:lang w:val="en-GB"/>
        </w:rPr>
      </w:pPr>
    </w:p>
    <w:p w14:paraId="49CCA2F0">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08BC1AC8">
      <w:pPr>
        <w:pStyle w:val="75"/>
        <w:numPr>
          <w:ilvl w:val="0"/>
          <w:numId w:val="32"/>
        </w:num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软件和信息技术服务业  </w:t>
      </w:r>
      <w:r>
        <w:rPr>
          <w:rFonts w:hint="eastAsia" w:ascii="宋体" w:hAnsi="宋体"/>
          <w:color w:val="auto"/>
          <w:sz w:val="24"/>
          <w:highlight w:val="none"/>
        </w:rPr>
        <w:t>（招标文件中明确的所属行业）；承建（承接）企业为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8C0DAC0">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w:t>
      </w:r>
      <w:r>
        <w:rPr>
          <w:rFonts w:hint="eastAsia" w:ascii="宋体" w:hAnsi="宋体"/>
          <w:color w:val="auto"/>
          <w:sz w:val="24"/>
          <w:highlight w:val="none"/>
        </w:rPr>
        <w:t>（招标文件中明确的所属行业）；承建（承接）企业为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6DC83B70">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7BEEC59A">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5CB35623">
      <w:pPr>
        <w:pStyle w:val="75"/>
        <w:shd w:val="clear"/>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3E76EB70">
      <w:pPr>
        <w:pStyle w:val="75"/>
        <w:shd w:val="clear"/>
        <w:spacing w:line="360" w:lineRule="auto"/>
        <w:rPr>
          <w:rFonts w:ascii="宋体" w:hAnsi="宋体"/>
          <w:color w:val="auto"/>
          <w:spacing w:val="6"/>
          <w:sz w:val="24"/>
          <w:highlight w:val="none"/>
        </w:rPr>
      </w:pPr>
    </w:p>
    <w:p w14:paraId="09AAF0AD">
      <w:pPr>
        <w:pStyle w:val="75"/>
        <w:shd w:val="clear"/>
        <w:spacing w:line="360" w:lineRule="auto"/>
        <w:ind w:firstLine="480" w:firstLineChars="200"/>
        <w:rPr>
          <w:rFonts w:ascii="宋体" w:hAnsi="宋体" w:cs="Arial"/>
          <w:bCs/>
          <w:color w:val="auto"/>
          <w:sz w:val="24"/>
          <w:highlight w:val="none"/>
        </w:rPr>
      </w:pPr>
    </w:p>
    <w:p w14:paraId="135A0C0C">
      <w:pPr>
        <w:pStyle w:val="75"/>
        <w:shd w:val="clear"/>
        <w:spacing w:line="360" w:lineRule="auto"/>
        <w:rPr>
          <w:rFonts w:ascii="宋体" w:hAnsi="宋体"/>
          <w:color w:val="auto"/>
          <w:sz w:val="24"/>
          <w:highlight w:val="none"/>
        </w:rPr>
      </w:pPr>
    </w:p>
    <w:p w14:paraId="652DBEB4">
      <w:pPr>
        <w:pStyle w:val="75"/>
        <w:shd w:val="clear"/>
        <w:spacing w:line="360" w:lineRule="auto"/>
        <w:ind w:firstLine="4800" w:firstLineChars="2000"/>
        <w:rPr>
          <w:rFonts w:ascii="宋体" w:hAnsi="宋体"/>
          <w:color w:val="auto"/>
          <w:sz w:val="24"/>
          <w:highlight w:val="none"/>
        </w:rPr>
      </w:pPr>
      <w:r>
        <w:rPr>
          <w:rFonts w:hint="eastAsia" w:ascii="宋体" w:hAnsi="宋体"/>
          <w:color w:val="auto"/>
          <w:sz w:val="24"/>
          <w:highlight w:val="none"/>
        </w:rPr>
        <w:t>企业名称（盖章）：</w:t>
      </w:r>
    </w:p>
    <w:p w14:paraId="48DC769A">
      <w:pPr>
        <w:pStyle w:val="75"/>
        <w:shd w:val="clear"/>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日期：××年××月××日</w:t>
      </w:r>
    </w:p>
    <w:p w14:paraId="43419EE3">
      <w:pPr>
        <w:pStyle w:val="17"/>
        <w:shd w:val="clear"/>
        <w:rPr>
          <w:rFonts w:ascii="宋体" w:hAnsi="宋体" w:cs="宋体"/>
          <w:color w:val="auto"/>
          <w:sz w:val="24"/>
          <w:szCs w:val="24"/>
          <w:highlight w:val="none"/>
        </w:rPr>
      </w:pPr>
    </w:p>
    <w:p w14:paraId="7E06E8E5">
      <w:pPr>
        <w:pStyle w:val="17"/>
        <w:shd w:val="clear"/>
        <w:rPr>
          <w:rFonts w:ascii="宋体" w:hAnsi="宋体" w:cs="宋体"/>
          <w:color w:val="auto"/>
          <w:sz w:val="24"/>
          <w:szCs w:val="24"/>
          <w:highlight w:val="none"/>
        </w:rPr>
      </w:pPr>
    </w:p>
    <w:p w14:paraId="5D029812">
      <w:pPr>
        <w:shd w:val="clea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0UqpXTAAAABgEAAA8AAAAAAAAAAQAgAAAAIgAAAGRycy9kb3ducmV2Lnht&#10;bFBLAQIUABQAAAAIAIdO4kCs/fHU/gEAAP0DAAAOAAAAAAAAAAEAIAAAACIBAABkcnMvZTJvRG9j&#10;LnhtbFBLBQYAAAAABgAGAFkBAACSBQAAAAA=&#10;">
                <v:fill on="f" focussize="0,0"/>
                <v:stroke weight="1.25pt" color="#000000" joinstyle="miter"/>
                <v:imagedata o:title=""/>
                <o:lock v:ext="edit" aspectratio="f"/>
              </v:line>
            </w:pict>
          </mc:Fallback>
        </mc:AlternateContent>
      </w:r>
    </w:p>
    <w:p w14:paraId="36375B0C">
      <w:pPr>
        <w:shd w:val="clea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AB631FE">
      <w:pPr>
        <w:widowControl/>
        <w:shd w:val="clear"/>
        <w:jc w:val="left"/>
        <w:rPr>
          <w:color w:val="auto"/>
          <w:kern w:val="0"/>
          <w:sz w:val="20"/>
          <w:szCs w:val="20"/>
          <w:highlight w:val="none"/>
        </w:rPr>
      </w:pPr>
      <w:r>
        <w:rPr>
          <w:color w:val="auto"/>
          <w:kern w:val="0"/>
          <w:sz w:val="20"/>
          <w:szCs w:val="20"/>
          <w:highlight w:val="none"/>
        </w:rPr>
        <w:br w:type="page"/>
      </w:r>
    </w:p>
    <w:p w14:paraId="42043211">
      <w:pPr>
        <w:pStyle w:val="28"/>
        <w:shd w:val="clear"/>
        <w:spacing w:line="360" w:lineRule="auto"/>
        <w:jc w:val="center"/>
        <w:outlineLvl w:val="1"/>
        <w:rPr>
          <w:rFonts w:hAnsi="宋体" w:cs="宋体"/>
          <w:b/>
          <w:color w:val="auto"/>
          <w:sz w:val="32"/>
          <w:szCs w:val="32"/>
          <w:highlight w:val="none"/>
          <w:lang w:val="en-GB"/>
        </w:rPr>
      </w:pPr>
    </w:p>
    <w:p w14:paraId="1733CB27">
      <w:pPr>
        <w:pStyle w:val="28"/>
        <w:shd w:val="clear"/>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1D9676F6">
      <w:pPr>
        <w:shd w:val="clear"/>
        <w:spacing w:line="360" w:lineRule="auto"/>
        <w:ind w:firstLine="480" w:firstLineChars="200"/>
        <w:rPr>
          <w:rFonts w:ascii="宋体" w:hAnsi="宋体" w:cs="宋体"/>
          <w:color w:val="auto"/>
          <w:sz w:val="24"/>
          <w:highlight w:val="none"/>
        </w:rPr>
      </w:pPr>
    </w:p>
    <w:p w14:paraId="0F1886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417B1B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B0E185">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E61272A">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3378EF54">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E5BD05C">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2836AEB5">
      <w:pPr>
        <w:shd w:val="clear"/>
        <w:spacing w:line="360" w:lineRule="auto"/>
        <w:rPr>
          <w:rFonts w:ascii="宋体" w:hAnsi="宋体" w:cs="宋体"/>
          <w:b/>
          <w:color w:val="auto"/>
          <w:sz w:val="28"/>
          <w:highlight w:val="none"/>
        </w:rPr>
      </w:pPr>
    </w:p>
    <w:p w14:paraId="7EA9A35F">
      <w:pPr>
        <w:shd w:val="clear"/>
        <w:spacing w:line="360" w:lineRule="auto"/>
        <w:rPr>
          <w:rFonts w:ascii="宋体" w:hAnsi="宋体" w:cs="宋体"/>
          <w:b/>
          <w:color w:val="auto"/>
          <w:sz w:val="28"/>
          <w:highlight w:val="none"/>
        </w:rPr>
      </w:pPr>
    </w:p>
    <w:p w14:paraId="687AC55B">
      <w:pPr>
        <w:shd w:val="clear"/>
        <w:spacing w:line="360" w:lineRule="auto"/>
        <w:rPr>
          <w:rFonts w:ascii="宋体" w:hAnsi="宋体" w:cs="宋体"/>
          <w:b/>
          <w:color w:val="auto"/>
          <w:sz w:val="28"/>
          <w:highlight w:val="none"/>
        </w:rPr>
      </w:pPr>
    </w:p>
    <w:p w14:paraId="355E5344">
      <w:pPr>
        <w:shd w:val="clear"/>
        <w:spacing w:line="360" w:lineRule="auto"/>
        <w:rPr>
          <w:rFonts w:ascii="宋体" w:hAnsi="宋体" w:cs="宋体"/>
          <w:b/>
          <w:color w:val="auto"/>
          <w:sz w:val="28"/>
          <w:highlight w:val="none"/>
        </w:rPr>
      </w:pPr>
    </w:p>
    <w:p w14:paraId="492A7AA0">
      <w:pPr>
        <w:shd w:val="clear"/>
        <w:spacing w:line="360" w:lineRule="auto"/>
        <w:rPr>
          <w:rFonts w:ascii="宋体" w:hAnsi="宋体" w:cs="宋体"/>
          <w:b/>
          <w:color w:val="auto"/>
          <w:sz w:val="28"/>
          <w:highlight w:val="none"/>
        </w:rPr>
      </w:pPr>
    </w:p>
    <w:p w14:paraId="20A54F40">
      <w:pPr>
        <w:shd w:val="clear"/>
        <w:spacing w:line="360" w:lineRule="auto"/>
        <w:rPr>
          <w:rFonts w:ascii="宋体" w:hAnsi="宋体" w:cs="宋体"/>
          <w:b/>
          <w:color w:val="auto"/>
          <w:sz w:val="28"/>
          <w:highlight w:val="none"/>
        </w:rPr>
      </w:pPr>
    </w:p>
    <w:p w14:paraId="382BA52B">
      <w:pPr>
        <w:shd w:val="clear"/>
        <w:spacing w:line="360" w:lineRule="auto"/>
        <w:rPr>
          <w:rFonts w:ascii="宋体" w:hAnsi="宋体" w:cs="宋体"/>
          <w:b/>
          <w:color w:val="auto"/>
          <w:sz w:val="28"/>
          <w:highlight w:val="none"/>
        </w:rPr>
      </w:pPr>
    </w:p>
    <w:p w14:paraId="3EF09BFA">
      <w:pPr>
        <w:shd w:val="clear"/>
        <w:spacing w:line="360" w:lineRule="auto"/>
        <w:rPr>
          <w:rFonts w:ascii="宋体" w:hAnsi="宋体" w:cs="宋体"/>
          <w:b/>
          <w:color w:val="auto"/>
          <w:sz w:val="28"/>
          <w:highlight w:val="none"/>
        </w:rPr>
      </w:pPr>
    </w:p>
    <w:p w14:paraId="41BCD1FD">
      <w:pPr>
        <w:shd w:val="clear"/>
        <w:spacing w:line="360" w:lineRule="auto"/>
        <w:rPr>
          <w:rFonts w:ascii="宋体" w:hAnsi="宋体" w:cs="宋体"/>
          <w:b/>
          <w:color w:val="auto"/>
          <w:sz w:val="28"/>
          <w:highlight w:val="none"/>
        </w:rPr>
      </w:pPr>
    </w:p>
    <w:p w14:paraId="066E4B69">
      <w:pPr>
        <w:shd w:val="clear"/>
        <w:spacing w:line="360" w:lineRule="auto"/>
        <w:rPr>
          <w:rFonts w:ascii="宋体" w:hAnsi="宋体" w:cs="宋体"/>
          <w:b/>
          <w:color w:val="auto"/>
          <w:sz w:val="28"/>
          <w:highlight w:val="none"/>
        </w:rPr>
      </w:pPr>
    </w:p>
    <w:p w14:paraId="2572E4B3">
      <w:pPr>
        <w:shd w:val="clear"/>
        <w:spacing w:line="360" w:lineRule="auto"/>
        <w:rPr>
          <w:rFonts w:ascii="宋体" w:hAnsi="宋体" w:cs="宋体"/>
          <w:b/>
          <w:color w:val="auto"/>
          <w:sz w:val="28"/>
          <w:highlight w:val="none"/>
        </w:rPr>
      </w:pPr>
    </w:p>
    <w:p w14:paraId="0EB0E069">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附件18</w:t>
      </w:r>
    </w:p>
    <w:p w14:paraId="7A3A104A">
      <w:pPr>
        <w:shd w:val="clear"/>
        <w:spacing w:line="420" w:lineRule="exact"/>
        <w:jc w:val="center"/>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政府采购活动确认声明书</w:t>
      </w:r>
    </w:p>
    <w:p w14:paraId="6381CA1A">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u w:val="single"/>
          <w:lang w:eastAsia="zh-CN"/>
        </w:rPr>
        <w:t>台州市建航工程管理有限公司</w:t>
      </w:r>
      <w:r>
        <w:rPr>
          <w:rFonts w:hint="eastAsia" w:ascii="宋体" w:hAnsi="宋体" w:cs="宋体"/>
          <w:color w:val="auto"/>
          <w:sz w:val="22"/>
          <w:szCs w:val="22"/>
          <w:highlight w:val="none"/>
        </w:rPr>
        <w:t>（采购组织机构名称）：</w:t>
      </w:r>
    </w:p>
    <w:p w14:paraId="1FC6B7E2">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本人经由</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单位</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（法人代表）合法授权参加</w:t>
      </w:r>
      <w:r>
        <w:rPr>
          <w:rFonts w:hint="eastAsia" w:ascii="宋体" w:hAnsi="宋体" w:cs="宋体"/>
          <w:color w:val="auto"/>
          <w:sz w:val="22"/>
          <w:szCs w:val="22"/>
          <w:highlight w:val="none"/>
          <w:u w:val="single"/>
          <w:lang w:val="zh-CN"/>
        </w:rPr>
        <w:t>2025年智慧城管中心服务项目</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zh-CN"/>
        </w:rPr>
        <w:t>编号：</w:t>
      </w:r>
      <w:r>
        <w:rPr>
          <w:rFonts w:hint="eastAsia" w:ascii="宋体" w:hAnsi="宋体" w:cs="宋体"/>
          <w:color w:val="auto"/>
          <w:sz w:val="22"/>
          <w:szCs w:val="22"/>
          <w:highlight w:val="none"/>
          <w:u w:val="single"/>
          <w:lang w:val="zh-CN"/>
        </w:rPr>
        <w:t>TZJH-2025-036号</w:t>
      </w:r>
      <w:r>
        <w:rPr>
          <w:rFonts w:hint="eastAsia" w:ascii="宋体" w:hAnsi="宋体" w:cs="宋体"/>
          <w:color w:val="auto"/>
          <w:sz w:val="22"/>
          <w:szCs w:val="22"/>
          <w:highlight w:val="none"/>
          <w:lang w:val="zh-CN"/>
        </w:rPr>
        <w:t>）政府采购活动，经与本单位法人代表（负责人）联系确认，现就有关公平竞争事项郑重声明如下：</w:t>
      </w:r>
    </w:p>
    <w:p w14:paraId="623C1ED5">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一、本单位与采购人之间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D0842E8">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A.投资关系    B.行政隶属关系    C.业务指导关系</w:t>
      </w:r>
    </w:p>
    <w:p w14:paraId="36FFD375">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D.其他可能影响采购公正的利害关系（如有，请如实说明）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3AF160E">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二、现已清楚知道参加本项目采购活动的其他所有供应商名称，本单位 □与其他所有供应商之间均不存在利害关系 □与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4F5811F">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A.法定代表人或负责人或实际控制人是同一人</w:t>
      </w:r>
    </w:p>
    <w:p w14:paraId="17776A17">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B.法定代表人或负责人或实际控制人是夫妻关系</w:t>
      </w:r>
    </w:p>
    <w:p w14:paraId="45F05F7D">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C.法定代表人或负责人或实际控制人是直系血亲关系</w:t>
      </w:r>
    </w:p>
    <w:p w14:paraId="7CA5B14A">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D.法定代表人或负责人或实际控制人存在三代以内旁系血亲关系</w:t>
      </w:r>
    </w:p>
    <w:p w14:paraId="7CF5B8EA">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E.法定代表人或负责人或实际控制人存在近姻亲关系</w:t>
      </w:r>
    </w:p>
    <w:p w14:paraId="40C96A28">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F.法定代表人或负责人或实际控制人存在股份控制或实际控制关系</w:t>
      </w:r>
    </w:p>
    <w:p w14:paraId="6691A1BA">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G.存在共同直接或间接投资设立子公司、联营企业和合营企业情况</w:t>
      </w:r>
    </w:p>
    <w:p w14:paraId="2575FE5A">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H.存在分级代理或代销关系、同一生产制造商关系、管理关系、重要业务（占主营业务收入50%以上）或重要财务往来关系（如融资）等其他实质性控制关系</w:t>
      </w:r>
    </w:p>
    <w:p w14:paraId="20BE37D3">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9979346">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三、现已清楚知道并严格遵守政府采购法律法规和现场纪律。</w:t>
      </w:r>
    </w:p>
    <w:p w14:paraId="52E304FF">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四、我发现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1066CD99">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五、本单位若有违反诚信投标、采购法律法规等行为，愿意按照招标文件规定接受投标担保的处理。如已中标，自动放弃中标资格；给招标人造成损失的，依法承担赔偿责任。</w:t>
      </w:r>
    </w:p>
    <w:p w14:paraId="31347FA0">
      <w:pPr>
        <w:shd w:val="clear"/>
        <w:spacing w:line="420" w:lineRule="exact"/>
        <w:ind w:firstLine="4417" w:firstLineChars="2000"/>
        <w:rPr>
          <w:rFonts w:ascii="宋体" w:hAnsi="宋体" w:cs="宋体"/>
          <w:b/>
          <w:bCs/>
          <w:color w:val="auto"/>
          <w:sz w:val="22"/>
          <w:szCs w:val="22"/>
          <w:highlight w:val="none"/>
        </w:rPr>
      </w:pPr>
      <w:r>
        <w:rPr>
          <w:rFonts w:hint="eastAsia" w:ascii="宋体" w:hAnsi="宋体" w:cs="宋体"/>
          <w:b/>
          <w:bCs/>
          <w:color w:val="auto"/>
          <w:sz w:val="22"/>
          <w:szCs w:val="22"/>
          <w:highlight w:val="none"/>
        </w:rPr>
        <w:t>供应商代表签名：</w:t>
      </w:r>
    </w:p>
    <w:p w14:paraId="02E31F3E">
      <w:pPr>
        <w:shd w:val="clear"/>
        <w:spacing w:line="42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2022年  月  日</w:t>
      </w:r>
    </w:p>
    <w:p w14:paraId="7CB88FE5">
      <w:pPr>
        <w:shd w:val="clear"/>
        <w:spacing w:line="420" w:lineRule="exact"/>
        <w:rPr>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2"/>
          <w:szCs w:val="22"/>
          <w:highlight w:val="none"/>
        </w:rPr>
        <w:t>说明：商务技术文件开启后30分钟内，供应商通过邮件形式将经授权代表签署的《</w:t>
      </w:r>
      <w:r>
        <w:rPr>
          <w:rFonts w:hint="eastAsia" w:ascii="宋体" w:hAnsi="宋体" w:cs="宋体"/>
          <w:color w:val="auto"/>
          <w:sz w:val="22"/>
          <w:szCs w:val="22"/>
          <w:highlight w:val="none"/>
          <w:lang w:val="en-GB"/>
        </w:rPr>
        <w:t>政府采购活动确认声明书</w:t>
      </w:r>
      <w:r>
        <w:rPr>
          <w:rFonts w:hint="eastAsia" w:ascii="宋体" w:hAnsi="宋体" w:cs="宋体"/>
          <w:color w:val="auto"/>
          <w:sz w:val="22"/>
          <w:szCs w:val="22"/>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color w:val="auto"/>
          <w:kern w:val="0"/>
          <w:sz w:val="22"/>
          <w:szCs w:val="22"/>
          <w:highlight w:val="none"/>
        </w:rPr>
        <w:t>451350540@qq.com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不填写或未按规定发出邮件的，视同默认不存在确认声明书中的相关违规情形。</w:t>
      </w:r>
    </w:p>
    <w:tbl>
      <w:tblPr>
        <w:tblStyle w:val="46"/>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14:paraId="2D02E910">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14:paraId="73EC9EBC">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bookmarkStart w:id="6" w:name="_Toc19634"/>
            <w:bookmarkEnd w:id="6"/>
            <w:r>
              <w:rPr>
                <w:rFonts w:hint="eastAsia" w:ascii="宋体" w:hAnsi="宋体" w:cs="宋体"/>
                <w:b/>
                <w:bCs/>
                <w:color w:val="auto"/>
                <w:kern w:val="0"/>
                <w:sz w:val="18"/>
                <w:szCs w:val="18"/>
                <w:highlight w:val="none"/>
              </w:rPr>
              <w:t>中小微行业划型标准规定（根据工信部联企业〔</w:t>
            </w:r>
            <w:r>
              <w:rPr>
                <w:rFonts w:hint="default" w:ascii="宋体" w:hAnsi="宋体" w:cs="宋体"/>
                <w:b/>
                <w:bCs/>
                <w:color w:val="auto"/>
                <w:kern w:val="0"/>
                <w:sz w:val="18"/>
                <w:szCs w:val="18"/>
                <w:highlight w:val="none"/>
              </w:rPr>
              <w:t>2011</w:t>
            </w:r>
            <w:r>
              <w:rPr>
                <w:rFonts w:hint="eastAsia" w:ascii="宋体" w:hAnsi="宋体" w:cs="宋体"/>
                <w:b/>
                <w:bCs/>
                <w:color w:val="auto"/>
                <w:kern w:val="0"/>
                <w:sz w:val="18"/>
                <w:szCs w:val="18"/>
                <w:highlight w:val="none"/>
              </w:rPr>
              <w:t>〕</w:t>
            </w:r>
            <w:r>
              <w:rPr>
                <w:rFonts w:hint="default" w:ascii="宋体" w:hAnsi="宋体" w:cs="宋体"/>
                <w:b/>
                <w:bCs/>
                <w:color w:val="auto"/>
                <w:kern w:val="0"/>
                <w:sz w:val="18"/>
                <w:szCs w:val="18"/>
                <w:highlight w:val="none"/>
              </w:rPr>
              <w:t>300</w:t>
            </w:r>
            <w:r>
              <w:rPr>
                <w:rFonts w:hint="eastAsia" w:ascii="宋体" w:hAnsi="宋体" w:cs="宋体"/>
                <w:b/>
                <w:bCs/>
                <w:color w:val="auto"/>
                <w:kern w:val="0"/>
                <w:sz w:val="18"/>
                <w:szCs w:val="18"/>
                <w:highlight w:val="none"/>
              </w:rPr>
              <w:t>号制定）</w:t>
            </w:r>
          </w:p>
        </w:tc>
      </w:tr>
      <w:tr w14:paraId="79089597">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14:paraId="0514B46B">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562" w:type="dxa"/>
            <w:gridSpan w:val="3"/>
            <w:tcBorders>
              <w:top w:val="single" w:color="auto" w:sz="8" w:space="0"/>
              <w:left w:val="nil"/>
              <w:bottom w:val="single" w:color="auto" w:sz="4" w:space="0"/>
              <w:right w:val="single" w:color="000000" w:sz="8" w:space="0"/>
            </w:tcBorders>
            <w:vAlign w:val="bottom"/>
          </w:tcPr>
          <w:p w14:paraId="7E0EA8B8">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中型企业（两个指标的，必须同时满足）</w:t>
            </w:r>
          </w:p>
        </w:tc>
        <w:tc>
          <w:tcPr>
            <w:tcW w:w="4563" w:type="dxa"/>
            <w:gridSpan w:val="3"/>
            <w:tcBorders>
              <w:top w:val="single" w:color="auto" w:sz="8" w:space="0"/>
              <w:left w:val="nil"/>
              <w:bottom w:val="single" w:color="auto" w:sz="4" w:space="0"/>
              <w:right w:val="single" w:color="000000" w:sz="8" w:space="0"/>
            </w:tcBorders>
            <w:vAlign w:val="bottom"/>
          </w:tcPr>
          <w:p w14:paraId="60015290">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小型企业（两个指标的，必须同时满足，除中型企业外）</w:t>
            </w:r>
          </w:p>
        </w:tc>
        <w:tc>
          <w:tcPr>
            <w:tcW w:w="3534" w:type="dxa"/>
            <w:gridSpan w:val="3"/>
            <w:tcBorders>
              <w:top w:val="single" w:color="auto" w:sz="8" w:space="0"/>
              <w:left w:val="nil"/>
              <w:bottom w:val="single" w:color="auto" w:sz="4" w:space="0"/>
              <w:right w:val="single" w:color="000000" w:sz="8" w:space="0"/>
            </w:tcBorders>
            <w:vAlign w:val="bottom"/>
          </w:tcPr>
          <w:p w14:paraId="171F0692">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微型企业（两个指标的，满足其中之一）</w:t>
            </w:r>
          </w:p>
        </w:tc>
      </w:tr>
      <w:tr w14:paraId="18A55B32">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14:paraId="76E14323">
            <w:pPr>
              <w:keepNext w:val="0"/>
              <w:keepLines w:val="0"/>
              <w:widowControl/>
              <w:suppressLineNumbers w:val="0"/>
              <w:shd w:val="clear"/>
              <w:spacing w:before="0" w:beforeAutospacing="0" w:after="0" w:afterAutospacing="0"/>
              <w:ind w:left="0" w:right="0"/>
              <w:jc w:val="left"/>
              <w:rPr>
                <w:rFonts w:hint="default" w:ascii="宋体" w:hAnsi="宋体" w:cs="宋体"/>
                <w:b/>
                <w:bCs/>
                <w:color w:val="auto"/>
                <w:kern w:val="0"/>
                <w:sz w:val="18"/>
                <w:szCs w:val="18"/>
                <w:highlight w:val="none"/>
              </w:rPr>
            </w:pPr>
          </w:p>
        </w:tc>
        <w:tc>
          <w:tcPr>
            <w:tcW w:w="1387" w:type="dxa"/>
            <w:tcBorders>
              <w:top w:val="nil"/>
              <w:left w:val="nil"/>
              <w:bottom w:val="single" w:color="auto" w:sz="4" w:space="0"/>
              <w:right w:val="single" w:color="auto" w:sz="4" w:space="0"/>
            </w:tcBorders>
            <w:vAlign w:val="bottom"/>
          </w:tcPr>
          <w:p w14:paraId="6363F98A">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600" w:type="dxa"/>
            <w:tcBorders>
              <w:top w:val="nil"/>
              <w:left w:val="nil"/>
              <w:bottom w:val="single" w:color="auto" w:sz="4" w:space="0"/>
              <w:right w:val="single" w:color="auto" w:sz="4" w:space="0"/>
            </w:tcBorders>
            <w:vAlign w:val="bottom"/>
          </w:tcPr>
          <w:p w14:paraId="0A4DE3AB">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p>
          <w:p w14:paraId="3763ABAF">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75" w:type="dxa"/>
            <w:tcBorders>
              <w:top w:val="nil"/>
              <w:left w:val="nil"/>
              <w:bottom w:val="single" w:color="auto" w:sz="4" w:space="0"/>
              <w:right w:val="single" w:color="auto" w:sz="8" w:space="0"/>
            </w:tcBorders>
            <w:vAlign w:val="bottom"/>
          </w:tcPr>
          <w:p w14:paraId="156879D3">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p>
          <w:p w14:paraId="5EBE8080">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338" w:type="dxa"/>
            <w:tcBorders>
              <w:top w:val="nil"/>
              <w:left w:val="nil"/>
              <w:bottom w:val="single" w:color="auto" w:sz="4" w:space="0"/>
              <w:right w:val="single" w:color="auto" w:sz="4" w:space="0"/>
            </w:tcBorders>
            <w:vAlign w:val="bottom"/>
          </w:tcPr>
          <w:p w14:paraId="6878C6C5">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500" w:type="dxa"/>
            <w:tcBorders>
              <w:top w:val="nil"/>
              <w:left w:val="nil"/>
              <w:bottom w:val="single" w:color="auto" w:sz="4" w:space="0"/>
              <w:right w:val="single" w:color="auto" w:sz="4" w:space="0"/>
            </w:tcBorders>
            <w:vAlign w:val="bottom"/>
          </w:tcPr>
          <w:p w14:paraId="56A0D8A9">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p>
          <w:p w14:paraId="608C1901">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25" w:type="dxa"/>
            <w:tcBorders>
              <w:top w:val="nil"/>
              <w:left w:val="nil"/>
              <w:bottom w:val="single" w:color="auto" w:sz="4" w:space="0"/>
              <w:right w:val="single" w:color="auto" w:sz="8" w:space="0"/>
            </w:tcBorders>
            <w:vAlign w:val="bottom"/>
          </w:tcPr>
          <w:p w14:paraId="21948315">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p>
          <w:p w14:paraId="4F725689">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375" w:type="dxa"/>
            <w:tcBorders>
              <w:top w:val="nil"/>
              <w:left w:val="nil"/>
              <w:bottom w:val="single" w:color="auto" w:sz="4" w:space="0"/>
              <w:right w:val="single" w:color="auto" w:sz="4" w:space="0"/>
            </w:tcBorders>
            <w:vAlign w:val="bottom"/>
          </w:tcPr>
          <w:p w14:paraId="58F8CEBA">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030" w:type="dxa"/>
            <w:tcBorders>
              <w:top w:val="nil"/>
              <w:left w:val="nil"/>
              <w:bottom w:val="single" w:color="auto" w:sz="4" w:space="0"/>
              <w:right w:val="single" w:color="auto" w:sz="4" w:space="0"/>
            </w:tcBorders>
            <w:vAlign w:val="bottom"/>
          </w:tcPr>
          <w:p w14:paraId="3AD6B411">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（万元）</w:t>
            </w:r>
          </w:p>
        </w:tc>
        <w:tc>
          <w:tcPr>
            <w:tcW w:w="1129" w:type="dxa"/>
            <w:tcBorders>
              <w:top w:val="nil"/>
              <w:left w:val="nil"/>
              <w:bottom w:val="single" w:color="auto" w:sz="4" w:space="0"/>
              <w:right w:val="single" w:color="auto" w:sz="8" w:space="0"/>
            </w:tcBorders>
            <w:vAlign w:val="bottom"/>
          </w:tcPr>
          <w:p w14:paraId="40450F52">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（万元）</w:t>
            </w:r>
          </w:p>
        </w:tc>
      </w:tr>
      <w:tr w14:paraId="6BD74906">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59B27E87">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1</w:t>
            </w:r>
            <w:r>
              <w:rPr>
                <w:rFonts w:hint="eastAsia" w:ascii="宋体" w:hAnsi="宋体" w:cs="宋体"/>
                <w:color w:val="auto"/>
                <w:kern w:val="0"/>
                <w:sz w:val="18"/>
                <w:szCs w:val="18"/>
                <w:highlight w:val="none"/>
              </w:rPr>
              <w:t>、农林牧渔业</w:t>
            </w:r>
          </w:p>
        </w:tc>
        <w:tc>
          <w:tcPr>
            <w:tcW w:w="1387" w:type="dxa"/>
            <w:tcBorders>
              <w:top w:val="nil"/>
              <w:left w:val="nil"/>
              <w:bottom w:val="single" w:color="auto" w:sz="4" w:space="0"/>
              <w:right w:val="single" w:color="auto" w:sz="4" w:space="0"/>
            </w:tcBorders>
            <w:vAlign w:val="center"/>
          </w:tcPr>
          <w:p w14:paraId="180BE85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7E0F6DD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w:t>
            </w:r>
          </w:p>
        </w:tc>
        <w:tc>
          <w:tcPr>
            <w:tcW w:w="1575" w:type="dxa"/>
            <w:tcBorders>
              <w:top w:val="nil"/>
              <w:left w:val="nil"/>
              <w:bottom w:val="single" w:color="auto" w:sz="4" w:space="0"/>
              <w:right w:val="single" w:color="auto" w:sz="8" w:space="0"/>
            </w:tcBorders>
            <w:vAlign w:val="center"/>
          </w:tcPr>
          <w:p w14:paraId="68C0831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014FEFA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57C49E6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w:t>
            </w:r>
          </w:p>
        </w:tc>
        <w:tc>
          <w:tcPr>
            <w:tcW w:w="1725" w:type="dxa"/>
            <w:tcBorders>
              <w:top w:val="nil"/>
              <w:left w:val="nil"/>
              <w:bottom w:val="single" w:color="auto" w:sz="4" w:space="0"/>
              <w:right w:val="single" w:color="auto" w:sz="8" w:space="0"/>
            </w:tcBorders>
            <w:vAlign w:val="center"/>
          </w:tcPr>
          <w:p w14:paraId="1F10BB2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2CB4C6B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79803FF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w:t>
            </w:r>
          </w:p>
        </w:tc>
        <w:tc>
          <w:tcPr>
            <w:tcW w:w="1129" w:type="dxa"/>
            <w:tcBorders>
              <w:top w:val="nil"/>
              <w:left w:val="nil"/>
              <w:bottom w:val="single" w:color="auto" w:sz="4" w:space="0"/>
              <w:right w:val="single" w:color="auto" w:sz="8" w:space="0"/>
            </w:tcBorders>
            <w:vAlign w:val="center"/>
          </w:tcPr>
          <w:p w14:paraId="7453FA4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026D988">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07F00B36">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2</w:t>
            </w:r>
            <w:r>
              <w:rPr>
                <w:rFonts w:hint="eastAsia" w:ascii="宋体" w:hAnsi="宋体" w:cs="宋体"/>
                <w:color w:val="auto"/>
                <w:kern w:val="0"/>
                <w:sz w:val="18"/>
                <w:szCs w:val="18"/>
                <w:highlight w:val="none"/>
              </w:rPr>
              <w:t>、工业</w:t>
            </w:r>
          </w:p>
        </w:tc>
        <w:tc>
          <w:tcPr>
            <w:tcW w:w="1387" w:type="dxa"/>
            <w:tcBorders>
              <w:top w:val="nil"/>
              <w:left w:val="nil"/>
              <w:bottom w:val="single" w:color="auto" w:sz="4" w:space="0"/>
              <w:right w:val="single" w:color="auto" w:sz="4" w:space="0"/>
            </w:tcBorders>
            <w:vAlign w:val="center"/>
          </w:tcPr>
          <w:p w14:paraId="6378F27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7B54704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40000</w:t>
            </w:r>
          </w:p>
        </w:tc>
        <w:tc>
          <w:tcPr>
            <w:tcW w:w="1575" w:type="dxa"/>
            <w:tcBorders>
              <w:top w:val="nil"/>
              <w:left w:val="nil"/>
              <w:bottom w:val="single" w:color="auto" w:sz="4" w:space="0"/>
              <w:right w:val="single" w:color="auto" w:sz="8" w:space="0"/>
            </w:tcBorders>
            <w:vAlign w:val="center"/>
          </w:tcPr>
          <w:p w14:paraId="746AB94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6339B9E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＜1000</w:t>
            </w:r>
          </w:p>
        </w:tc>
        <w:tc>
          <w:tcPr>
            <w:tcW w:w="1500" w:type="dxa"/>
            <w:tcBorders>
              <w:top w:val="nil"/>
              <w:left w:val="nil"/>
              <w:bottom w:val="single" w:color="auto" w:sz="4" w:space="0"/>
              <w:right w:val="single" w:color="auto" w:sz="4" w:space="0"/>
            </w:tcBorders>
            <w:vAlign w:val="center"/>
          </w:tcPr>
          <w:p w14:paraId="6BF17F4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＜40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33F6FC1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743D1A3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2C47CA2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129" w:type="dxa"/>
            <w:tcBorders>
              <w:top w:val="nil"/>
              <w:left w:val="nil"/>
              <w:bottom w:val="single" w:color="auto" w:sz="4" w:space="0"/>
              <w:right w:val="single" w:color="auto" w:sz="8" w:space="0"/>
            </w:tcBorders>
            <w:vAlign w:val="center"/>
          </w:tcPr>
          <w:p w14:paraId="6D1E04F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F18FB01">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6FB7FAC4">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3</w:t>
            </w:r>
            <w:r>
              <w:rPr>
                <w:rFonts w:hint="eastAsia" w:ascii="宋体" w:hAnsi="宋体" w:cs="宋体"/>
                <w:color w:val="auto"/>
                <w:kern w:val="0"/>
                <w:sz w:val="18"/>
                <w:szCs w:val="18"/>
                <w:highlight w:val="none"/>
              </w:rPr>
              <w:t>、建筑业</w:t>
            </w:r>
          </w:p>
        </w:tc>
        <w:tc>
          <w:tcPr>
            <w:tcW w:w="1387" w:type="dxa"/>
            <w:tcBorders>
              <w:top w:val="nil"/>
              <w:left w:val="nil"/>
              <w:bottom w:val="single" w:color="auto" w:sz="4" w:space="0"/>
              <w:right w:val="single" w:color="auto" w:sz="4" w:space="0"/>
            </w:tcBorders>
            <w:vAlign w:val="center"/>
          </w:tcPr>
          <w:p w14:paraId="1738F4D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15A4B92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80000</w:t>
            </w:r>
          </w:p>
        </w:tc>
        <w:tc>
          <w:tcPr>
            <w:tcW w:w="1575" w:type="dxa"/>
            <w:tcBorders>
              <w:top w:val="nil"/>
              <w:left w:val="nil"/>
              <w:bottom w:val="single" w:color="auto" w:sz="4" w:space="0"/>
              <w:right w:val="single" w:color="auto" w:sz="8" w:space="0"/>
            </w:tcBorders>
            <w:vAlign w:val="center"/>
          </w:tcPr>
          <w:p w14:paraId="246E81C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80000</w:t>
            </w:r>
          </w:p>
        </w:tc>
        <w:tc>
          <w:tcPr>
            <w:tcW w:w="1338" w:type="dxa"/>
            <w:tcBorders>
              <w:top w:val="nil"/>
              <w:left w:val="nil"/>
              <w:bottom w:val="single" w:color="auto" w:sz="4" w:space="0"/>
              <w:right w:val="single" w:color="auto" w:sz="4" w:space="0"/>
            </w:tcBorders>
            <w:vAlign w:val="center"/>
          </w:tcPr>
          <w:p w14:paraId="433FA9A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3FE4D87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＜80000</w:t>
            </w:r>
          </w:p>
        </w:tc>
        <w:tc>
          <w:tcPr>
            <w:tcW w:w="1725" w:type="dxa"/>
            <w:tcBorders>
              <w:top w:val="nil"/>
              <w:left w:val="nil"/>
              <w:bottom w:val="single" w:color="auto" w:sz="4" w:space="0"/>
              <w:right w:val="single" w:color="auto" w:sz="8" w:space="0"/>
            </w:tcBorders>
            <w:vAlign w:val="center"/>
          </w:tcPr>
          <w:p w14:paraId="715C54F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＜80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40375AF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7572FFC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129" w:type="dxa"/>
            <w:tcBorders>
              <w:top w:val="nil"/>
              <w:left w:val="nil"/>
              <w:bottom w:val="single" w:color="auto" w:sz="4" w:space="0"/>
              <w:right w:val="single" w:color="auto" w:sz="8" w:space="0"/>
            </w:tcBorders>
            <w:vAlign w:val="center"/>
          </w:tcPr>
          <w:p w14:paraId="5233FEC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r>
      <w:tr w14:paraId="15B40EC6">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4477FA16">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4</w:t>
            </w:r>
            <w:r>
              <w:rPr>
                <w:rFonts w:hint="eastAsia" w:ascii="宋体" w:hAnsi="宋体" w:cs="宋体"/>
                <w:color w:val="auto"/>
                <w:kern w:val="0"/>
                <w:sz w:val="18"/>
                <w:szCs w:val="18"/>
                <w:highlight w:val="none"/>
              </w:rPr>
              <w:t>、批发业</w:t>
            </w:r>
          </w:p>
        </w:tc>
        <w:tc>
          <w:tcPr>
            <w:tcW w:w="1387" w:type="dxa"/>
            <w:tcBorders>
              <w:top w:val="nil"/>
              <w:left w:val="nil"/>
              <w:bottom w:val="single" w:color="auto" w:sz="4" w:space="0"/>
              <w:right w:val="single" w:color="auto" w:sz="4" w:space="0"/>
            </w:tcBorders>
            <w:vAlign w:val="center"/>
          </w:tcPr>
          <w:p w14:paraId="0428817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600" w:type="dxa"/>
            <w:tcBorders>
              <w:top w:val="nil"/>
              <w:left w:val="nil"/>
              <w:bottom w:val="single" w:color="auto" w:sz="4" w:space="0"/>
              <w:right w:val="single" w:color="auto" w:sz="4" w:space="0"/>
            </w:tcBorders>
            <w:vAlign w:val="center"/>
          </w:tcPr>
          <w:p w14:paraId="5BB878D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40000</w:t>
            </w:r>
          </w:p>
        </w:tc>
        <w:tc>
          <w:tcPr>
            <w:tcW w:w="1575" w:type="dxa"/>
            <w:tcBorders>
              <w:top w:val="nil"/>
              <w:left w:val="nil"/>
              <w:bottom w:val="single" w:color="auto" w:sz="4" w:space="0"/>
              <w:right w:val="single" w:color="auto" w:sz="8" w:space="0"/>
            </w:tcBorders>
            <w:vAlign w:val="center"/>
          </w:tcPr>
          <w:p w14:paraId="2D16B8A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0D37FBC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0</w:t>
            </w:r>
          </w:p>
        </w:tc>
        <w:tc>
          <w:tcPr>
            <w:tcW w:w="1500" w:type="dxa"/>
            <w:tcBorders>
              <w:top w:val="nil"/>
              <w:left w:val="nil"/>
              <w:bottom w:val="single" w:color="auto" w:sz="4" w:space="0"/>
              <w:right w:val="single" w:color="auto" w:sz="4" w:space="0"/>
            </w:tcBorders>
            <w:vAlign w:val="center"/>
          </w:tcPr>
          <w:p w14:paraId="4D59EB6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79C727C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64593EE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w:t>
            </w:r>
          </w:p>
        </w:tc>
        <w:tc>
          <w:tcPr>
            <w:tcW w:w="1030" w:type="dxa"/>
            <w:tcBorders>
              <w:top w:val="nil"/>
              <w:left w:val="nil"/>
              <w:bottom w:val="single" w:color="auto" w:sz="4" w:space="0"/>
              <w:right w:val="single" w:color="auto" w:sz="4" w:space="0"/>
            </w:tcBorders>
            <w:vAlign w:val="center"/>
          </w:tcPr>
          <w:p w14:paraId="4390AA4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129" w:type="dxa"/>
            <w:tcBorders>
              <w:top w:val="nil"/>
              <w:left w:val="nil"/>
              <w:bottom w:val="single" w:color="auto" w:sz="4" w:space="0"/>
              <w:right w:val="single" w:color="auto" w:sz="8" w:space="0"/>
            </w:tcBorders>
            <w:vAlign w:val="center"/>
          </w:tcPr>
          <w:p w14:paraId="1D871D2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2AFC04A">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23BB58E6">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w:t>
            </w:r>
            <w:r>
              <w:rPr>
                <w:rFonts w:hint="eastAsia" w:ascii="宋体" w:hAnsi="宋体" w:cs="宋体"/>
                <w:color w:val="auto"/>
                <w:kern w:val="0"/>
                <w:sz w:val="18"/>
                <w:szCs w:val="18"/>
                <w:highlight w:val="none"/>
              </w:rPr>
              <w:t>、零售业</w:t>
            </w:r>
          </w:p>
        </w:tc>
        <w:tc>
          <w:tcPr>
            <w:tcW w:w="1387" w:type="dxa"/>
            <w:tcBorders>
              <w:top w:val="nil"/>
              <w:left w:val="nil"/>
              <w:bottom w:val="single" w:color="auto" w:sz="4" w:space="0"/>
              <w:right w:val="single" w:color="auto" w:sz="4" w:space="0"/>
            </w:tcBorders>
            <w:vAlign w:val="center"/>
          </w:tcPr>
          <w:p w14:paraId="7A38408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63C93D1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w:t>
            </w:r>
          </w:p>
        </w:tc>
        <w:tc>
          <w:tcPr>
            <w:tcW w:w="1575" w:type="dxa"/>
            <w:tcBorders>
              <w:top w:val="nil"/>
              <w:left w:val="nil"/>
              <w:bottom w:val="single" w:color="auto" w:sz="4" w:space="0"/>
              <w:right w:val="single" w:color="auto" w:sz="8" w:space="0"/>
            </w:tcBorders>
            <w:vAlign w:val="center"/>
          </w:tcPr>
          <w:p w14:paraId="50BD3DA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0493AE2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＜300</w:t>
            </w:r>
          </w:p>
        </w:tc>
        <w:tc>
          <w:tcPr>
            <w:tcW w:w="1500" w:type="dxa"/>
            <w:tcBorders>
              <w:top w:val="nil"/>
              <w:left w:val="nil"/>
              <w:bottom w:val="single" w:color="auto" w:sz="4" w:space="0"/>
              <w:right w:val="single" w:color="auto" w:sz="4" w:space="0"/>
            </w:tcBorders>
            <w:vAlign w:val="center"/>
          </w:tcPr>
          <w:p w14:paraId="5621BFC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＜200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6406790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33F7B23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6DB4905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5214D8A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92F5C60">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3C227224">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6</w:t>
            </w:r>
            <w:r>
              <w:rPr>
                <w:rFonts w:hint="eastAsia" w:ascii="宋体" w:hAnsi="宋体" w:cs="宋体"/>
                <w:color w:val="auto"/>
                <w:kern w:val="0"/>
                <w:sz w:val="18"/>
                <w:szCs w:val="18"/>
                <w:highlight w:val="none"/>
              </w:rPr>
              <w:t>、交通运输业</w:t>
            </w:r>
          </w:p>
        </w:tc>
        <w:tc>
          <w:tcPr>
            <w:tcW w:w="1387" w:type="dxa"/>
            <w:tcBorders>
              <w:top w:val="nil"/>
              <w:left w:val="nil"/>
              <w:bottom w:val="single" w:color="auto" w:sz="4" w:space="0"/>
              <w:right w:val="single" w:color="auto" w:sz="4" w:space="0"/>
            </w:tcBorders>
            <w:vAlign w:val="center"/>
          </w:tcPr>
          <w:p w14:paraId="13DC9C8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753D561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33DCA53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5FBFB9B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＜1000</w:t>
            </w:r>
          </w:p>
        </w:tc>
        <w:tc>
          <w:tcPr>
            <w:tcW w:w="1500" w:type="dxa"/>
            <w:tcBorders>
              <w:top w:val="nil"/>
              <w:left w:val="nil"/>
              <w:bottom w:val="single" w:color="auto" w:sz="4" w:space="0"/>
              <w:right w:val="single" w:color="auto" w:sz="4" w:space="0"/>
            </w:tcBorders>
            <w:vAlign w:val="center"/>
          </w:tcPr>
          <w:p w14:paraId="652E666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0BC5AC3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7A4EF42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2077109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V</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129" w:type="dxa"/>
            <w:tcBorders>
              <w:top w:val="nil"/>
              <w:left w:val="nil"/>
              <w:bottom w:val="single" w:color="auto" w:sz="4" w:space="0"/>
              <w:right w:val="single" w:color="auto" w:sz="8" w:space="0"/>
            </w:tcBorders>
            <w:vAlign w:val="center"/>
          </w:tcPr>
          <w:p w14:paraId="6ADB052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A94FE5B">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14EA7F08">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7</w:t>
            </w:r>
            <w:r>
              <w:rPr>
                <w:rFonts w:hint="eastAsia" w:ascii="宋体" w:hAnsi="宋体" w:cs="宋体"/>
                <w:color w:val="auto"/>
                <w:kern w:val="0"/>
                <w:sz w:val="18"/>
                <w:szCs w:val="18"/>
                <w:highlight w:val="none"/>
              </w:rPr>
              <w:t>、仓储业</w:t>
            </w:r>
          </w:p>
        </w:tc>
        <w:tc>
          <w:tcPr>
            <w:tcW w:w="1387" w:type="dxa"/>
            <w:tcBorders>
              <w:top w:val="nil"/>
              <w:left w:val="nil"/>
              <w:bottom w:val="single" w:color="auto" w:sz="4" w:space="0"/>
              <w:right w:val="single" w:color="auto" w:sz="4" w:space="0"/>
            </w:tcBorders>
            <w:vAlign w:val="center"/>
          </w:tcPr>
          <w:p w14:paraId="3CC6D53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600" w:type="dxa"/>
            <w:tcBorders>
              <w:top w:val="nil"/>
              <w:left w:val="nil"/>
              <w:bottom w:val="single" w:color="auto" w:sz="4" w:space="0"/>
              <w:right w:val="single" w:color="auto" w:sz="4" w:space="0"/>
            </w:tcBorders>
            <w:vAlign w:val="center"/>
          </w:tcPr>
          <w:p w14:paraId="072C3E4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5374E78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79CECD4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7F17D70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498BEA5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5BB37ED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7527958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796F1D0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269FDB0">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48244C7C">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8</w:t>
            </w:r>
            <w:r>
              <w:rPr>
                <w:rFonts w:hint="eastAsia" w:ascii="宋体" w:hAnsi="宋体" w:cs="宋体"/>
                <w:color w:val="auto"/>
                <w:kern w:val="0"/>
                <w:sz w:val="18"/>
                <w:szCs w:val="18"/>
                <w:highlight w:val="none"/>
              </w:rPr>
              <w:t>、邮政业</w:t>
            </w:r>
          </w:p>
        </w:tc>
        <w:tc>
          <w:tcPr>
            <w:tcW w:w="1387" w:type="dxa"/>
            <w:tcBorders>
              <w:top w:val="nil"/>
              <w:left w:val="nil"/>
              <w:bottom w:val="single" w:color="auto" w:sz="4" w:space="0"/>
              <w:right w:val="single" w:color="auto" w:sz="4" w:space="0"/>
            </w:tcBorders>
            <w:vAlign w:val="center"/>
          </w:tcPr>
          <w:p w14:paraId="1AACEDF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719C208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714DA3A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7E5A378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w:t>
            </w:r>
            <w:r>
              <w:rPr>
                <w:rFonts w:hint="default" w:ascii="宋体" w:hAnsi="宋体" w:cs="宋体"/>
                <w:color w:val="auto"/>
                <w:kern w:val="0"/>
                <w:sz w:val="18"/>
                <w:szCs w:val="18"/>
                <w:highlight w:val="none"/>
              </w:rPr>
              <w:t>0</w:t>
            </w:r>
          </w:p>
        </w:tc>
        <w:tc>
          <w:tcPr>
            <w:tcW w:w="1500" w:type="dxa"/>
            <w:tcBorders>
              <w:top w:val="nil"/>
              <w:left w:val="nil"/>
              <w:bottom w:val="single" w:color="auto" w:sz="4" w:space="0"/>
              <w:right w:val="single" w:color="auto" w:sz="4" w:space="0"/>
            </w:tcBorders>
            <w:vAlign w:val="center"/>
          </w:tcPr>
          <w:p w14:paraId="29C40E6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＜30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2BA2868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320C2FF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4E07829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10720C1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E5D093D">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3B50499B">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9</w:t>
            </w:r>
            <w:r>
              <w:rPr>
                <w:rFonts w:hint="eastAsia" w:ascii="宋体" w:hAnsi="宋体" w:cs="宋体"/>
                <w:color w:val="auto"/>
                <w:kern w:val="0"/>
                <w:sz w:val="18"/>
                <w:szCs w:val="18"/>
                <w:highlight w:val="none"/>
              </w:rPr>
              <w:t>、住宿业</w:t>
            </w:r>
          </w:p>
        </w:tc>
        <w:tc>
          <w:tcPr>
            <w:tcW w:w="1387" w:type="dxa"/>
            <w:tcBorders>
              <w:top w:val="nil"/>
              <w:left w:val="nil"/>
              <w:bottom w:val="single" w:color="auto" w:sz="4" w:space="0"/>
              <w:right w:val="single" w:color="auto" w:sz="4" w:space="0"/>
            </w:tcBorders>
            <w:vAlign w:val="center"/>
          </w:tcPr>
          <w:p w14:paraId="27F42AA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797166D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489F678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2C4721F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59C4CAA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6E4BB94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09D9925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596DF93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795C8CF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6C3543E">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4A1484FB">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、餐饮业</w:t>
            </w:r>
          </w:p>
        </w:tc>
        <w:tc>
          <w:tcPr>
            <w:tcW w:w="1387" w:type="dxa"/>
            <w:tcBorders>
              <w:top w:val="nil"/>
              <w:left w:val="nil"/>
              <w:bottom w:val="single" w:color="auto" w:sz="4" w:space="0"/>
              <w:right w:val="single" w:color="auto" w:sz="4" w:space="0"/>
            </w:tcBorders>
            <w:vAlign w:val="center"/>
          </w:tcPr>
          <w:p w14:paraId="64D09ED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11E14A4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5E5F4C2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2605567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77DB53F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418991F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12A6924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41C08AE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V</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28BF5E0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509696B1">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0F3F9103">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11</w:t>
            </w:r>
            <w:r>
              <w:rPr>
                <w:rFonts w:hint="eastAsia" w:ascii="宋体" w:hAnsi="宋体" w:cs="宋体"/>
                <w:color w:val="auto"/>
                <w:kern w:val="0"/>
                <w:sz w:val="18"/>
                <w:szCs w:val="18"/>
                <w:highlight w:val="none"/>
              </w:rPr>
              <w:t>、信息传输业</w:t>
            </w:r>
          </w:p>
        </w:tc>
        <w:tc>
          <w:tcPr>
            <w:tcW w:w="1387" w:type="dxa"/>
            <w:tcBorders>
              <w:top w:val="nil"/>
              <w:left w:val="nil"/>
              <w:bottom w:val="single" w:color="auto" w:sz="4" w:space="0"/>
              <w:right w:val="single" w:color="auto" w:sz="4" w:space="0"/>
            </w:tcBorders>
            <w:vAlign w:val="center"/>
          </w:tcPr>
          <w:p w14:paraId="20C3E6B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w:t>
            </w:r>
          </w:p>
        </w:tc>
        <w:tc>
          <w:tcPr>
            <w:tcW w:w="1600" w:type="dxa"/>
            <w:tcBorders>
              <w:top w:val="nil"/>
              <w:left w:val="nil"/>
              <w:bottom w:val="single" w:color="auto" w:sz="4" w:space="0"/>
              <w:right w:val="single" w:color="auto" w:sz="4" w:space="0"/>
            </w:tcBorders>
            <w:vAlign w:val="center"/>
          </w:tcPr>
          <w:p w14:paraId="07401DA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100000</w:t>
            </w:r>
          </w:p>
        </w:tc>
        <w:tc>
          <w:tcPr>
            <w:tcW w:w="1575" w:type="dxa"/>
            <w:tcBorders>
              <w:top w:val="nil"/>
              <w:left w:val="nil"/>
              <w:bottom w:val="single" w:color="auto" w:sz="4" w:space="0"/>
              <w:right w:val="single" w:color="auto" w:sz="8" w:space="0"/>
            </w:tcBorders>
            <w:vAlign w:val="center"/>
          </w:tcPr>
          <w:p w14:paraId="058ED2F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519039C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＜20</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41C9E50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00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59712A4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7C9B5B8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5D44146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2115E5E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209E2B9">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61FC1CF8">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12</w:t>
            </w:r>
            <w:r>
              <w:rPr>
                <w:rFonts w:hint="eastAsia" w:ascii="宋体" w:hAnsi="宋体" w:cs="宋体"/>
                <w:color w:val="auto"/>
                <w:kern w:val="0"/>
                <w:sz w:val="18"/>
                <w:szCs w:val="18"/>
                <w:highlight w:val="none"/>
              </w:rPr>
              <w:t>、软件和信息技术服务业</w:t>
            </w:r>
          </w:p>
        </w:tc>
        <w:tc>
          <w:tcPr>
            <w:tcW w:w="1387" w:type="dxa"/>
            <w:tcBorders>
              <w:top w:val="nil"/>
              <w:left w:val="nil"/>
              <w:bottom w:val="single" w:color="auto" w:sz="4" w:space="0"/>
              <w:right w:val="single" w:color="auto" w:sz="4" w:space="0"/>
            </w:tcBorders>
            <w:vAlign w:val="center"/>
          </w:tcPr>
          <w:p w14:paraId="0689407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2FD600E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46E3C33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3A1D159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1A6DD71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39FFD55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27C2596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2751D46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w:t>
            </w:r>
          </w:p>
        </w:tc>
        <w:tc>
          <w:tcPr>
            <w:tcW w:w="1129" w:type="dxa"/>
            <w:tcBorders>
              <w:top w:val="nil"/>
              <w:left w:val="nil"/>
              <w:bottom w:val="single" w:color="auto" w:sz="4" w:space="0"/>
              <w:right w:val="single" w:color="auto" w:sz="8" w:space="0"/>
            </w:tcBorders>
            <w:vAlign w:val="center"/>
          </w:tcPr>
          <w:p w14:paraId="0958BEF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641A6AF">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0B01E8B5">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13</w:t>
            </w:r>
            <w:r>
              <w:rPr>
                <w:rFonts w:hint="eastAsia" w:ascii="宋体" w:hAnsi="宋体" w:cs="宋体"/>
                <w:color w:val="auto"/>
                <w:kern w:val="0"/>
                <w:sz w:val="18"/>
                <w:szCs w:val="18"/>
                <w:highlight w:val="none"/>
              </w:rPr>
              <w:t>、房地产开发经营</w:t>
            </w:r>
          </w:p>
        </w:tc>
        <w:tc>
          <w:tcPr>
            <w:tcW w:w="1387" w:type="dxa"/>
            <w:tcBorders>
              <w:top w:val="nil"/>
              <w:left w:val="nil"/>
              <w:bottom w:val="single" w:color="auto" w:sz="4" w:space="0"/>
              <w:right w:val="single" w:color="auto" w:sz="4" w:space="0"/>
            </w:tcBorders>
            <w:vAlign w:val="center"/>
          </w:tcPr>
          <w:p w14:paraId="4E9A241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52E2EBB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200000</w:t>
            </w:r>
          </w:p>
        </w:tc>
        <w:tc>
          <w:tcPr>
            <w:tcW w:w="1575" w:type="dxa"/>
            <w:tcBorders>
              <w:top w:val="nil"/>
              <w:left w:val="nil"/>
              <w:bottom w:val="single" w:color="auto" w:sz="4" w:space="0"/>
              <w:right w:val="single" w:color="auto" w:sz="8" w:space="0"/>
            </w:tcBorders>
            <w:vAlign w:val="center"/>
          </w:tcPr>
          <w:p w14:paraId="43B428D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338" w:type="dxa"/>
            <w:tcBorders>
              <w:top w:val="nil"/>
              <w:left w:val="nil"/>
              <w:bottom w:val="single" w:color="auto" w:sz="4" w:space="0"/>
              <w:right w:val="single" w:color="auto" w:sz="4" w:space="0"/>
            </w:tcBorders>
            <w:vAlign w:val="center"/>
          </w:tcPr>
          <w:p w14:paraId="02F0DE2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6B81D4E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＜200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195C739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22888DB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0A74D1A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770C939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w:t>
            </w:r>
          </w:p>
        </w:tc>
      </w:tr>
      <w:tr w14:paraId="1AB68387">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115703E6">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14</w:t>
            </w:r>
            <w:r>
              <w:rPr>
                <w:rFonts w:hint="eastAsia" w:ascii="宋体" w:hAnsi="宋体" w:cs="宋体"/>
                <w:color w:val="auto"/>
                <w:kern w:val="0"/>
                <w:sz w:val="18"/>
                <w:szCs w:val="18"/>
                <w:highlight w:val="none"/>
              </w:rPr>
              <w:t>、物业管理</w:t>
            </w:r>
          </w:p>
        </w:tc>
        <w:tc>
          <w:tcPr>
            <w:tcW w:w="1387" w:type="dxa"/>
            <w:tcBorders>
              <w:top w:val="nil"/>
              <w:left w:val="nil"/>
              <w:bottom w:val="single" w:color="auto" w:sz="4" w:space="0"/>
              <w:right w:val="single" w:color="auto" w:sz="4" w:space="0"/>
            </w:tcBorders>
            <w:vAlign w:val="center"/>
          </w:tcPr>
          <w:p w14:paraId="725247B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2F2CEA4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5000</w:t>
            </w:r>
          </w:p>
        </w:tc>
        <w:tc>
          <w:tcPr>
            <w:tcW w:w="1575" w:type="dxa"/>
            <w:tcBorders>
              <w:top w:val="nil"/>
              <w:left w:val="nil"/>
              <w:bottom w:val="single" w:color="auto" w:sz="4" w:space="0"/>
              <w:right w:val="single" w:color="auto" w:sz="8" w:space="0"/>
            </w:tcBorders>
            <w:vAlign w:val="center"/>
          </w:tcPr>
          <w:p w14:paraId="61C0F55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4036253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460362E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3994EE2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458625E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030" w:type="dxa"/>
            <w:tcBorders>
              <w:top w:val="nil"/>
              <w:left w:val="nil"/>
              <w:bottom w:val="single" w:color="auto" w:sz="4" w:space="0"/>
              <w:right w:val="single" w:color="auto" w:sz="4" w:space="0"/>
            </w:tcBorders>
            <w:vAlign w:val="center"/>
          </w:tcPr>
          <w:p w14:paraId="0F565E1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w:t>
            </w:r>
          </w:p>
        </w:tc>
        <w:tc>
          <w:tcPr>
            <w:tcW w:w="1129" w:type="dxa"/>
            <w:tcBorders>
              <w:top w:val="nil"/>
              <w:left w:val="nil"/>
              <w:bottom w:val="single" w:color="auto" w:sz="4" w:space="0"/>
              <w:right w:val="single" w:color="auto" w:sz="8" w:space="0"/>
            </w:tcBorders>
            <w:vAlign w:val="center"/>
          </w:tcPr>
          <w:p w14:paraId="4783E98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2580DE4">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3D5E7077">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15</w:t>
            </w:r>
            <w:r>
              <w:rPr>
                <w:rFonts w:hint="eastAsia" w:ascii="宋体" w:hAnsi="宋体" w:cs="宋体"/>
                <w:color w:val="auto"/>
                <w:kern w:val="0"/>
                <w:sz w:val="18"/>
                <w:szCs w:val="18"/>
                <w:highlight w:val="none"/>
              </w:rPr>
              <w:t>、租赁和商务服务业</w:t>
            </w:r>
          </w:p>
        </w:tc>
        <w:tc>
          <w:tcPr>
            <w:tcW w:w="1387" w:type="dxa"/>
            <w:tcBorders>
              <w:top w:val="nil"/>
              <w:left w:val="nil"/>
              <w:bottom w:val="single" w:color="auto" w:sz="4" w:space="0"/>
              <w:right w:val="single" w:color="auto" w:sz="4" w:space="0"/>
            </w:tcBorders>
            <w:vAlign w:val="center"/>
          </w:tcPr>
          <w:p w14:paraId="5C4A2BF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5E55B51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5" w:type="dxa"/>
            <w:tcBorders>
              <w:top w:val="nil"/>
              <w:left w:val="nil"/>
              <w:bottom w:val="single" w:color="auto" w:sz="4" w:space="0"/>
              <w:right w:val="single" w:color="auto" w:sz="8" w:space="0"/>
            </w:tcBorders>
            <w:vAlign w:val="center"/>
          </w:tcPr>
          <w:p w14:paraId="1544F80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120000</w:t>
            </w:r>
          </w:p>
        </w:tc>
        <w:tc>
          <w:tcPr>
            <w:tcW w:w="1338" w:type="dxa"/>
            <w:tcBorders>
              <w:top w:val="nil"/>
              <w:left w:val="nil"/>
              <w:bottom w:val="single" w:color="auto" w:sz="4" w:space="0"/>
              <w:right w:val="single" w:color="auto" w:sz="4" w:space="0"/>
            </w:tcBorders>
            <w:vAlign w:val="center"/>
          </w:tcPr>
          <w:p w14:paraId="19BFAE8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0B6997E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25" w:type="dxa"/>
            <w:tcBorders>
              <w:top w:val="nil"/>
              <w:left w:val="nil"/>
              <w:bottom w:val="single" w:color="auto" w:sz="4" w:space="0"/>
              <w:right w:val="single" w:color="auto" w:sz="8" w:space="0"/>
            </w:tcBorders>
            <w:vAlign w:val="center"/>
          </w:tcPr>
          <w:p w14:paraId="2E7A762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＜120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3123BED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25CBDBD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9" w:type="dxa"/>
            <w:tcBorders>
              <w:top w:val="nil"/>
              <w:left w:val="nil"/>
              <w:bottom w:val="single" w:color="auto" w:sz="4" w:space="0"/>
              <w:right w:val="single" w:color="auto" w:sz="8" w:space="0"/>
            </w:tcBorders>
            <w:vAlign w:val="center"/>
          </w:tcPr>
          <w:p w14:paraId="155683D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r>
      <w:tr w14:paraId="5F11B72F">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14:paraId="3E2104D7">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r>
              <w:rPr>
                <w:rFonts w:hint="eastAsia" w:ascii="宋体" w:hAnsi="宋体" w:cs="宋体"/>
                <w:color w:val="auto"/>
                <w:kern w:val="0"/>
                <w:sz w:val="18"/>
                <w:szCs w:val="18"/>
                <w:highlight w:val="none"/>
              </w:rPr>
              <w:t>、其他未列明行业</w:t>
            </w:r>
          </w:p>
        </w:tc>
        <w:tc>
          <w:tcPr>
            <w:tcW w:w="1387" w:type="dxa"/>
            <w:tcBorders>
              <w:top w:val="nil"/>
              <w:left w:val="nil"/>
              <w:bottom w:val="single" w:color="auto" w:sz="8" w:space="0"/>
              <w:right w:val="single" w:color="auto" w:sz="4" w:space="0"/>
            </w:tcBorders>
            <w:vAlign w:val="center"/>
          </w:tcPr>
          <w:p w14:paraId="1824FEA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8" w:space="0"/>
              <w:right w:val="single" w:color="auto" w:sz="4" w:space="0"/>
            </w:tcBorders>
            <w:vAlign w:val="center"/>
          </w:tcPr>
          <w:p w14:paraId="14913FA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5" w:type="dxa"/>
            <w:tcBorders>
              <w:top w:val="nil"/>
              <w:left w:val="nil"/>
              <w:bottom w:val="single" w:color="auto" w:sz="8" w:space="0"/>
              <w:right w:val="single" w:color="auto" w:sz="8" w:space="0"/>
            </w:tcBorders>
            <w:vAlign w:val="center"/>
          </w:tcPr>
          <w:p w14:paraId="36FC09D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8" w:space="0"/>
              <w:right w:val="single" w:color="auto" w:sz="4" w:space="0"/>
            </w:tcBorders>
            <w:vAlign w:val="center"/>
          </w:tcPr>
          <w:p w14:paraId="09EA1EC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8" w:space="0"/>
              <w:right w:val="single" w:color="auto" w:sz="4" w:space="0"/>
            </w:tcBorders>
            <w:vAlign w:val="center"/>
          </w:tcPr>
          <w:p w14:paraId="36382A6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25" w:type="dxa"/>
            <w:tcBorders>
              <w:top w:val="nil"/>
              <w:left w:val="nil"/>
              <w:bottom w:val="single" w:color="auto" w:sz="8" w:space="0"/>
              <w:right w:val="single" w:color="auto" w:sz="8" w:space="0"/>
            </w:tcBorders>
            <w:vAlign w:val="center"/>
          </w:tcPr>
          <w:p w14:paraId="3D90EE0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8" w:space="0"/>
              <w:right w:val="single" w:color="auto" w:sz="4" w:space="0"/>
            </w:tcBorders>
            <w:vAlign w:val="center"/>
          </w:tcPr>
          <w:p w14:paraId="06A7149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8" w:space="0"/>
              <w:right w:val="single" w:color="auto" w:sz="4" w:space="0"/>
            </w:tcBorders>
            <w:vAlign w:val="center"/>
          </w:tcPr>
          <w:p w14:paraId="5225C74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9" w:type="dxa"/>
            <w:tcBorders>
              <w:top w:val="nil"/>
              <w:left w:val="nil"/>
              <w:bottom w:val="single" w:color="auto" w:sz="8" w:space="0"/>
              <w:right w:val="single" w:color="auto" w:sz="8" w:space="0"/>
            </w:tcBorders>
            <w:vAlign w:val="center"/>
          </w:tcPr>
          <w:p w14:paraId="1DB1C3F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38765A7">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14:paraId="16816497">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说明　</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、企业类型的划分以统计部门的统计数据为依据。</w:t>
            </w:r>
          </w:p>
          <w:p w14:paraId="271DC013">
            <w:pPr>
              <w:keepNext w:val="0"/>
              <w:keepLines w:val="0"/>
              <w:widowControl/>
              <w:suppressLineNumbers w:val="0"/>
              <w:shd w:val="clear"/>
              <w:spacing w:before="0" w:beforeAutospacing="0" w:after="0" w:afterAutospacing="0"/>
              <w:ind w:left="0" w:right="0" w:firstLine="540" w:firstLineChars="30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r>
              <w:rPr>
                <w:rFonts w:hint="eastAsia" w:ascii="宋体" w:hAnsi="宋体" w:cs="宋体"/>
                <w:color w:val="auto"/>
                <w:kern w:val="0"/>
                <w:sz w:val="18"/>
                <w:szCs w:val="18"/>
                <w:highlight w:val="none"/>
              </w:rPr>
              <w:t>、个体工商户和本规定以外的行业，参照本规定进行划型。</w:t>
            </w:r>
          </w:p>
          <w:p w14:paraId="54DE2519">
            <w:pPr>
              <w:keepNext w:val="0"/>
              <w:keepLines w:val="0"/>
              <w:widowControl/>
              <w:suppressLineNumbers w:val="0"/>
              <w:shd w:val="clear"/>
              <w:spacing w:before="0" w:beforeAutospacing="0" w:after="0" w:afterAutospacing="0"/>
              <w:ind w:left="0" w:right="0" w:firstLine="540" w:firstLineChars="30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r>
              <w:rPr>
                <w:rFonts w:hint="eastAsia" w:ascii="宋体" w:hAnsi="宋体" w:cs="宋体"/>
                <w:color w:val="auto"/>
                <w:kern w:val="0"/>
                <w:sz w:val="18"/>
                <w:szCs w:val="18"/>
                <w:highlight w:val="none"/>
              </w:rPr>
              <w:t>、本规定的中型企业标准上限即为大型企业标准的下限。</w:t>
            </w:r>
          </w:p>
        </w:tc>
      </w:tr>
    </w:tbl>
    <w:p w14:paraId="4F3EFFCE">
      <w:pPr>
        <w:pStyle w:val="23"/>
        <w:shd w:val="clear"/>
        <w:ind w:firstLine="0" w:firstLineChars="0"/>
        <w:rPr>
          <w:color w:val="auto"/>
          <w:highlight w:val="none"/>
        </w:rPr>
      </w:pPr>
    </w:p>
    <w:sectPr>
      <w:headerReference r:id="rId6" w:type="default"/>
      <w:pgSz w:w="16838" w:h="11906" w:orient="landscape"/>
      <w:pgMar w:top="567" w:right="1440" w:bottom="56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00000000000000000"/>
    <w:charset w:val="86"/>
    <w:family w:val="script"/>
    <w:pitch w:val="default"/>
    <w:sig w:usb0="00000000" w:usb1="00000000" w:usb2="00000012"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6FBE">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0A66E244">
                          <w:pPr>
                            <w:pStyle w:val="3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BDvMPLOAIAAGEEAAAOAAAAAAAAAAEAIAAAACEBAABkcnMvZTJvRG9j&#10;LnhtbFBLBQYAAAAABgAGAFkBAADLBQAAAAA=&#10;">
              <v:fill on="f" focussize="0,0"/>
              <v:stroke on="f" weight="0.5pt"/>
              <v:imagedata o:title=""/>
              <o:lock v:ext="edit" aspectratio="f"/>
              <v:textbox inset="0mm,0mm,0mm,0mm" style="mso-fit-shape-to-text:t;">
                <w:txbxContent>
                  <w:p w14:paraId="0A66E244">
                    <w:pPr>
                      <w:pStyle w:val="3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BEFF">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180DB2E2">
                          <w:pPr>
                            <w:pStyle w:val="33"/>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14:paraId="180DB2E2">
                    <w:pPr>
                      <w:pStyle w:val="33"/>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p w14:paraId="098A8A43">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B10E">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28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16698B96">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C088">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2">
    <w:nsid w:val="A7226F28"/>
    <w:multiLevelType w:val="singleLevel"/>
    <w:tmpl w:val="A7226F28"/>
    <w:lvl w:ilvl="0" w:tentative="0">
      <w:start w:val="2"/>
      <w:numFmt w:val="chineseCounting"/>
      <w:suff w:val="nothing"/>
      <w:lvlText w:val="%1、"/>
      <w:lvlJc w:val="left"/>
      <w:rPr>
        <w:rFonts w:hint="eastAsia"/>
      </w:rPr>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C019F3D"/>
    <w:multiLevelType w:val="singleLevel"/>
    <w:tmpl w:val="AC019F3D"/>
    <w:lvl w:ilvl="0" w:tentative="0">
      <w:start w:val="1"/>
      <w:numFmt w:val="decimal"/>
      <w:lvlText w:val="%1."/>
      <w:lvlJc w:val="left"/>
      <w:pPr>
        <w:ind w:left="425" w:hanging="425"/>
      </w:pPr>
      <w:rPr>
        <w:rFonts w:hint="default"/>
      </w:rPr>
    </w:lvl>
  </w:abstractNum>
  <w:abstractNum w:abstractNumId="5">
    <w:nsid w:val="AE2D8F7B"/>
    <w:multiLevelType w:val="singleLevel"/>
    <w:tmpl w:val="AE2D8F7B"/>
    <w:lvl w:ilvl="0" w:tentative="0">
      <w:start w:val="1"/>
      <w:numFmt w:val="decimal"/>
      <w:pStyle w:val="16"/>
      <w:lvlText w:val="%1."/>
      <w:lvlJc w:val="left"/>
      <w:pPr>
        <w:tabs>
          <w:tab w:val="left" w:pos="360"/>
        </w:tabs>
        <w:ind w:left="360" w:hanging="360"/>
      </w:pPr>
    </w:lvl>
  </w:abstractNum>
  <w:abstractNum w:abstractNumId="6">
    <w:nsid w:val="BC09FFDB"/>
    <w:multiLevelType w:val="singleLevel"/>
    <w:tmpl w:val="BC09FFDB"/>
    <w:lvl w:ilvl="0" w:tentative="0">
      <w:start w:val="1"/>
      <w:numFmt w:val="decimal"/>
      <w:suff w:val="space"/>
      <w:lvlText w:val="%1."/>
      <w:lvlJc w:val="left"/>
    </w:lvl>
  </w:abstractNum>
  <w:abstractNum w:abstractNumId="7">
    <w:nsid w:val="C588194D"/>
    <w:multiLevelType w:val="singleLevel"/>
    <w:tmpl w:val="C588194D"/>
    <w:lvl w:ilvl="0" w:tentative="0">
      <w:start w:val="1"/>
      <w:numFmt w:val="chineseCounting"/>
      <w:suff w:val="space"/>
      <w:lvlText w:val="第%1章"/>
      <w:lvlJc w:val="left"/>
      <w:rPr>
        <w:rFonts w:hint="eastAsia"/>
      </w:rPr>
    </w:lvl>
  </w:abstractNum>
  <w:abstractNum w:abstractNumId="8">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9">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0">
    <w:nsid w:val="D09F2148"/>
    <w:multiLevelType w:val="singleLevel"/>
    <w:tmpl w:val="D09F2148"/>
    <w:lvl w:ilvl="0" w:tentative="0">
      <w:start w:val="1"/>
      <w:numFmt w:val="decimal"/>
      <w:lvlText w:val="%1."/>
      <w:lvlJc w:val="left"/>
      <w:pPr>
        <w:ind w:left="425" w:hanging="425"/>
      </w:pPr>
      <w:rPr>
        <w:rFonts w:hint="default"/>
      </w:rPr>
    </w:lvl>
  </w:abstractNum>
  <w:abstractNum w:abstractNumId="11">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2">
    <w:nsid w:val="E52BB1A9"/>
    <w:multiLevelType w:val="singleLevel"/>
    <w:tmpl w:val="E52BB1A9"/>
    <w:lvl w:ilvl="0" w:tentative="0">
      <w:start w:val="1"/>
      <w:numFmt w:val="chineseCounting"/>
      <w:suff w:val="nothing"/>
      <w:lvlText w:val="（%1）"/>
      <w:lvlJc w:val="left"/>
      <w:rPr>
        <w:rFonts w:hint="eastAsia"/>
      </w:rPr>
    </w:lvl>
  </w:abstractNum>
  <w:abstractNum w:abstractNumId="13">
    <w:nsid w:val="EB1BD96B"/>
    <w:multiLevelType w:val="singleLevel"/>
    <w:tmpl w:val="EB1BD96B"/>
    <w:lvl w:ilvl="0" w:tentative="0">
      <w:start w:val="2"/>
      <w:numFmt w:val="decimal"/>
      <w:suff w:val="nothing"/>
      <w:lvlText w:val="（%1）"/>
      <w:lvlJc w:val="left"/>
    </w:lvl>
  </w:abstractNum>
  <w:abstractNum w:abstractNumId="14">
    <w:nsid w:val="FAEE2C8F"/>
    <w:multiLevelType w:val="singleLevel"/>
    <w:tmpl w:val="FAEE2C8F"/>
    <w:lvl w:ilvl="0" w:tentative="0">
      <w:start w:val="1"/>
      <w:numFmt w:val="chineseCounting"/>
      <w:suff w:val="nothing"/>
      <w:lvlText w:val="%1、"/>
      <w:lvlJc w:val="left"/>
      <w:pPr>
        <w:ind w:left="-272"/>
      </w:pPr>
      <w:rPr>
        <w:rFonts w:hint="eastAsia"/>
      </w:rPr>
    </w:lvl>
  </w:abstractNum>
  <w:abstractNum w:abstractNumId="15">
    <w:nsid w:val="FF27596F"/>
    <w:multiLevelType w:val="singleLevel"/>
    <w:tmpl w:val="FF27596F"/>
    <w:lvl w:ilvl="0" w:tentative="0">
      <w:start w:val="1"/>
      <w:numFmt w:val="decimal"/>
      <w:lvlText w:val="%1."/>
      <w:lvlJc w:val="left"/>
      <w:pPr>
        <w:ind w:left="425" w:hanging="425"/>
      </w:pPr>
      <w:rPr>
        <w:rFonts w:hint="default"/>
      </w:rPr>
    </w:lvl>
  </w:abstractNum>
  <w:abstractNum w:abstractNumId="16">
    <w:nsid w:val="0000000E"/>
    <w:multiLevelType w:val="multilevel"/>
    <w:tmpl w:val="0000000E"/>
    <w:lvl w:ilvl="0" w:tentative="0">
      <w:start w:val="1"/>
      <w:numFmt w:val="decimal"/>
      <w:pStyle w:val="389"/>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8">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5"/>
      <w:suff w:val="space"/>
      <w:lvlText w:val="%1.%2.%3"/>
      <w:lvlJc w:val="left"/>
      <w:pPr>
        <w:ind w:left="426" w:firstLine="0"/>
      </w:pPr>
      <w:rPr>
        <w:rFonts w:hint="eastAsia" w:ascii="黑体" w:hAnsi="黑体" w:eastAsia="黑体"/>
        <w:sz w:val="28"/>
      </w:rPr>
    </w:lvl>
    <w:lvl w:ilvl="3" w:tentative="0">
      <w:start w:val="1"/>
      <w:numFmt w:val="decimal"/>
      <w:pStyle w:val="394"/>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18BE30EF"/>
    <w:multiLevelType w:val="singleLevel"/>
    <w:tmpl w:val="18BE30EF"/>
    <w:lvl w:ilvl="0" w:tentative="0">
      <w:start w:val="1"/>
      <w:numFmt w:val="decimal"/>
      <w:lvlText w:val="%1."/>
      <w:lvlJc w:val="left"/>
      <w:pPr>
        <w:ind w:left="425" w:hanging="425"/>
      </w:pPr>
      <w:rPr>
        <w:rFonts w:hint="default"/>
      </w:rPr>
    </w:lvl>
  </w:abstractNum>
  <w:abstractNum w:abstractNumId="20">
    <w:nsid w:val="19DCF4C9"/>
    <w:multiLevelType w:val="singleLevel"/>
    <w:tmpl w:val="19DCF4C9"/>
    <w:lvl w:ilvl="0" w:tentative="0">
      <w:start w:val="1"/>
      <w:numFmt w:val="decimal"/>
      <w:lvlText w:val="%1."/>
      <w:lvlJc w:val="left"/>
      <w:pPr>
        <w:ind w:left="425" w:hanging="425"/>
      </w:pPr>
      <w:rPr>
        <w:rFonts w:hint="default"/>
      </w:rPr>
    </w:lvl>
  </w:abstractNum>
  <w:abstractNum w:abstractNumId="21">
    <w:nsid w:val="3B363D98"/>
    <w:multiLevelType w:val="multilevel"/>
    <w:tmpl w:val="3B363D98"/>
    <w:lvl w:ilvl="0" w:tentative="0">
      <w:start w:val="1"/>
      <w:numFmt w:val="decimal"/>
      <w:pStyle w:val="18"/>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2">
    <w:nsid w:val="461E5E94"/>
    <w:multiLevelType w:val="singleLevel"/>
    <w:tmpl w:val="461E5E94"/>
    <w:lvl w:ilvl="0" w:tentative="0">
      <w:start w:val="2"/>
      <w:numFmt w:val="chineseCounting"/>
      <w:suff w:val="space"/>
      <w:lvlText w:val="第%1章"/>
      <w:lvlJc w:val="left"/>
      <w:rPr>
        <w:rFonts w:hint="eastAsia"/>
      </w:rPr>
    </w:lvl>
  </w:abstractNum>
  <w:abstractNum w:abstractNumId="2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4">
    <w:nsid w:val="4B0BFCF4"/>
    <w:multiLevelType w:val="singleLevel"/>
    <w:tmpl w:val="4B0BFCF4"/>
    <w:lvl w:ilvl="0" w:tentative="0">
      <w:start w:val="1"/>
      <w:numFmt w:val="decimal"/>
      <w:pStyle w:val="8"/>
      <w:lvlText w:val="%1."/>
      <w:lvlJc w:val="left"/>
      <w:pPr>
        <w:tabs>
          <w:tab w:val="left" w:pos="780"/>
        </w:tabs>
        <w:ind w:left="780" w:hanging="360"/>
      </w:pPr>
    </w:lvl>
  </w:abstractNum>
  <w:abstractNum w:abstractNumId="25">
    <w:nsid w:val="4EB1C310"/>
    <w:multiLevelType w:val="singleLevel"/>
    <w:tmpl w:val="4EB1C310"/>
    <w:lvl w:ilvl="0" w:tentative="0">
      <w:start w:val="1"/>
      <w:numFmt w:val="decimal"/>
      <w:lvlText w:val="%1."/>
      <w:lvlJc w:val="left"/>
      <w:pPr>
        <w:ind w:left="425" w:hanging="425"/>
      </w:pPr>
      <w:rPr>
        <w:rFonts w:hint="default"/>
      </w:rPr>
    </w:lvl>
  </w:abstractNum>
  <w:abstractNum w:abstractNumId="26">
    <w:nsid w:val="53F985B4"/>
    <w:multiLevelType w:val="singleLevel"/>
    <w:tmpl w:val="53F985B4"/>
    <w:lvl w:ilvl="0" w:tentative="0">
      <w:start w:val="1"/>
      <w:numFmt w:val="decimal"/>
      <w:lvlText w:val="%1."/>
      <w:lvlJc w:val="left"/>
      <w:pPr>
        <w:tabs>
          <w:tab w:val="left" w:pos="312"/>
        </w:tabs>
      </w:pPr>
    </w:lvl>
  </w:abstractNum>
  <w:abstractNum w:abstractNumId="27">
    <w:nsid w:val="561F21D4"/>
    <w:multiLevelType w:val="multilevel"/>
    <w:tmpl w:val="561F21D4"/>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6FB16F3"/>
    <w:multiLevelType w:val="multilevel"/>
    <w:tmpl w:val="56FB16F3"/>
    <w:lvl w:ilvl="0" w:tentative="0">
      <w:start w:val="1"/>
      <w:numFmt w:val="decimal"/>
      <w:pStyle w:val="4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632B4536"/>
    <w:multiLevelType w:val="singleLevel"/>
    <w:tmpl w:val="632B4536"/>
    <w:lvl w:ilvl="0" w:tentative="0">
      <w:start w:val="1"/>
      <w:numFmt w:val="decimal"/>
      <w:lvlText w:val="%1."/>
      <w:lvlJc w:val="left"/>
      <w:pPr>
        <w:ind w:left="425" w:hanging="425"/>
      </w:pPr>
      <w:rPr>
        <w:rFonts w:hint="default"/>
      </w:rPr>
    </w:lvl>
  </w:abstractNum>
  <w:abstractNum w:abstractNumId="30">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1">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0"/>
      <w:lvlText w:val="%1.%2"/>
      <w:lvlJc w:val="left"/>
      <w:pPr>
        <w:tabs>
          <w:tab w:val="left" w:pos="993"/>
        </w:tabs>
        <w:ind w:left="426" w:firstLine="0"/>
      </w:pPr>
      <w:rPr>
        <w:rFonts w:cs="Times New Roman"/>
      </w:rPr>
    </w:lvl>
    <w:lvl w:ilvl="2" w:tentative="0">
      <w:start w:val="1"/>
      <w:numFmt w:val="decimal"/>
      <w:pStyle w:val="91"/>
      <w:lvlText w:val="%1.%2.%3"/>
      <w:lvlJc w:val="left"/>
      <w:pPr>
        <w:tabs>
          <w:tab w:val="left" w:pos="98"/>
        </w:tabs>
        <w:ind w:left="-639" w:firstLine="0"/>
      </w:pPr>
      <w:rPr>
        <w:rFonts w:cs="Times New Roman"/>
      </w:rPr>
    </w:lvl>
    <w:lvl w:ilvl="3" w:tentative="0">
      <w:start w:val="1"/>
      <w:numFmt w:val="decimal"/>
      <w:pStyle w:val="92"/>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num w:numId="1">
    <w:abstractNumId w:val="24"/>
  </w:num>
  <w:num w:numId="2">
    <w:abstractNumId w:val="5"/>
  </w:num>
  <w:num w:numId="3">
    <w:abstractNumId w:val="2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18"/>
  </w:num>
  <w:num w:numId="8">
    <w:abstractNumId w:val="28"/>
  </w:num>
  <w:num w:numId="9">
    <w:abstractNumId w:val="23"/>
  </w:num>
  <w:num w:numId="10">
    <w:abstractNumId w:val="7"/>
  </w:num>
  <w:num w:numId="11">
    <w:abstractNumId w:val="11"/>
  </w:num>
  <w:num w:numId="12">
    <w:abstractNumId w:val="22"/>
  </w:num>
  <w:num w:numId="13">
    <w:abstractNumId w:val="3"/>
  </w:num>
  <w:num w:numId="14">
    <w:abstractNumId w:val="10"/>
  </w:num>
  <w:num w:numId="15">
    <w:abstractNumId w:val="1"/>
  </w:num>
  <w:num w:numId="16">
    <w:abstractNumId w:val="8"/>
  </w:num>
  <w:num w:numId="17">
    <w:abstractNumId w:val="13"/>
  </w:num>
  <w:num w:numId="18">
    <w:abstractNumId w:val="0"/>
  </w:num>
  <w:num w:numId="19">
    <w:abstractNumId w:val="29"/>
  </w:num>
  <w:num w:numId="20">
    <w:abstractNumId w:val="30"/>
  </w:num>
  <w:num w:numId="21">
    <w:abstractNumId w:val="4"/>
  </w:num>
  <w:num w:numId="22">
    <w:abstractNumId w:val="15"/>
  </w:num>
  <w:num w:numId="23">
    <w:abstractNumId w:val="20"/>
  </w:num>
  <w:num w:numId="24">
    <w:abstractNumId w:val="25"/>
  </w:num>
  <w:num w:numId="25">
    <w:abstractNumId w:val="19"/>
  </w:num>
  <w:num w:numId="26">
    <w:abstractNumId w:val="14"/>
  </w:num>
  <w:num w:numId="27">
    <w:abstractNumId w:val="6"/>
  </w:num>
  <w:num w:numId="28">
    <w:abstractNumId w:val="2"/>
  </w:num>
  <w:num w:numId="29">
    <w:abstractNumId w:val="12"/>
  </w:num>
  <w:num w:numId="30">
    <w:abstractNumId w:val="17"/>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TZkNmE0NDQ3ODIwN2JmZmU5NDI1OTJmMTY1ZjIifQ=="/>
  </w:docVars>
  <w:rsids>
    <w:rsidRoot w:val="00172A27"/>
    <w:rsid w:val="00046E15"/>
    <w:rsid w:val="0006294D"/>
    <w:rsid w:val="00062AB3"/>
    <w:rsid w:val="000903D5"/>
    <w:rsid w:val="000936C9"/>
    <w:rsid w:val="00107BF6"/>
    <w:rsid w:val="0012305D"/>
    <w:rsid w:val="00130920"/>
    <w:rsid w:val="00131E56"/>
    <w:rsid w:val="00157DF0"/>
    <w:rsid w:val="00165F2A"/>
    <w:rsid w:val="00172A27"/>
    <w:rsid w:val="00201D62"/>
    <w:rsid w:val="0021318F"/>
    <w:rsid w:val="00224964"/>
    <w:rsid w:val="0023456F"/>
    <w:rsid w:val="00242EEC"/>
    <w:rsid w:val="0025202F"/>
    <w:rsid w:val="002A1620"/>
    <w:rsid w:val="002B48B8"/>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635CB"/>
    <w:rsid w:val="00472F98"/>
    <w:rsid w:val="0048507C"/>
    <w:rsid w:val="00491BDF"/>
    <w:rsid w:val="004972D1"/>
    <w:rsid w:val="004B4165"/>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335C3"/>
    <w:rsid w:val="007462BF"/>
    <w:rsid w:val="00772676"/>
    <w:rsid w:val="007A236B"/>
    <w:rsid w:val="007A2629"/>
    <w:rsid w:val="007A373B"/>
    <w:rsid w:val="007C1005"/>
    <w:rsid w:val="007F3C66"/>
    <w:rsid w:val="00802325"/>
    <w:rsid w:val="00847BE5"/>
    <w:rsid w:val="0088009B"/>
    <w:rsid w:val="0088066B"/>
    <w:rsid w:val="0089471E"/>
    <w:rsid w:val="008A53AD"/>
    <w:rsid w:val="008D7912"/>
    <w:rsid w:val="00903A43"/>
    <w:rsid w:val="00906412"/>
    <w:rsid w:val="00912983"/>
    <w:rsid w:val="00913BD5"/>
    <w:rsid w:val="00923621"/>
    <w:rsid w:val="00947AA5"/>
    <w:rsid w:val="009B3E22"/>
    <w:rsid w:val="009B4CA9"/>
    <w:rsid w:val="009D56DB"/>
    <w:rsid w:val="009D5E8E"/>
    <w:rsid w:val="009E4231"/>
    <w:rsid w:val="009F3459"/>
    <w:rsid w:val="00A30B75"/>
    <w:rsid w:val="00A355C4"/>
    <w:rsid w:val="00A41902"/>
    <w:rsid w:val="00A41DFA"/>
    <w:rsid w:val="00A730CA"/>
    <w:rsid w:val="00A968FC"/>
    <w:rsid w:val="00AB2DE5"/>
    <w:rsid w:val="00B17E6F"/>
    <w:rsid w:val="00BB106D"/>
    <w:rsid w:val="00BC4555"/>
    <w:rsid w:val="00BE081B"/>
    <w:rsid w:val="00C425B3"/>
    <w:rsid w:val="00C52E14"/>
    <w:rsid w:val="00C72B8C"/>
    <w:rsid w:val="00C767D4"/>
    <w:rsid w:val="00C86AB9"/>
    <w:rsid w:val="00CB2012"/>
    <w:rsid w:val="00CC232E"/>
    <w:rsid w:val="00CD1804"/>
    <w:rsid w:val="00CE2C33"/>
    <w:rsid w:val="00CF25D3"/>
    <w:rsid w:val="00CF6EFD"/>
    <w:rsid w:val="00D13C71"/>
    <w:rsid w:val="00D21762"/>
    <w:rsid w:val="00D27612"/>
    <w:rsid w:val="00D323E8"/>
    <w:rsid w:val="00D556E6"/>
    <w:rsid w:val="00D61084"/>
    <w:rsid w:val="00D61A6A"/>
    <w:rsid w:val="00D97D78"/>
    <w:rsid w:val="00DA1022"/>
    <w:rsid w:val="00DB2CA8"/>
    <w:rsid w:val="00DF68EA"/>
    <w:rsid w:val="00E319E7"/>
    <w:rsid w:val="00E35A25"/>
    <w:rsid w:val="00E42FAF"/>
    <w:rsid w:val="00E5547D"/>
    <w:rsid w:val="00E73EE1"/>
    <w:rsid w:val="00E94D5A"/>
    <w:rsid w:val="00EB1C8A"/>
    <w:rsid w:val="00EB4E41"/>
    <w:rsid w:val="00EC69DC"/>
    <w:rsid w:val="00ED7F52"/>
    <w:rsid w:val="00EE25F8"/>
    <w:rsid w:val="00EE34AF"/>
    <w:rsid w:val="00EF2797"/>
    <w:rsid w:val="00F05C63"/>
    <w:rsid w:val="00F127FF"/>
    <w:rsid w:val="00F15903"/>
    <w:rsid w:val="00F82981"/>
    <w:rsid w:val="00FA6516"/>
    <w:rsid w:val="00FB70BA"/>
    <w:rsid w:val="0108599E"/>
    <w:rsid w:val="011B6997"/>
    <w:rsid w:val="0122167A"/>
    <w:rsid w:val="01245453"/>
    <w:rsid w:val="013E4022"/>
    <w:rsid w:val="01825BAD"/>
    <w:rsid w:val="01935887"/>
    <w:rsid w:val="02291D3B"/>
    <w:rsid w:val="02370322"/>
    <w:rsid w:val="02862D86"/>
    <w:rsid w:val="03016255"/>
    <w:rsid w:val="03117BB8"/>
    <w:rsid w:val="033605E0"/>
    <w:rsid w:val="037B33D3"/>
    <w:rsid w:val="038F65D0"/>
    <w:rsid w:val="04255409"/>
    <w:rsid w:val="04B019C0"/>
    <w:rsid w:val="04C55DC3"/>
    <w:rsid w:val="04CC341D"/>
    <w:rsid w:val="04E2157A"/>
    <w:rsid w:val="04F8157B"/>
    <w:rsid w:val="05035F45"/>
    <w:rsid w:val="05137CD7"/>
    <w:rsid w:val="05382B9E"/>
    <w:rsid w:val="0599415A"/>
    <w:rsid w:val="05EB3658"/>
    <w:rsid w:val="05FA5187"/>
    <w:rsid w:val="060B26E0"/>
    <w:rsid w:val="061C17FE"/>
    <w:rsid w:val="06293766"/>
    <w:rsid w:val="06364625"/>
    <w:rsid w:val="06F51849"/>
    <w:rsid w:val="07260533"/>
    <w:rsid w:val="074109F4"/>
    <w:rsid w:val="08505D37"/>
    <w:rsid w:val="08507AD0"/>
    <w:rsid w:val="087314A3"/>
    <w:rsid w:val="08752E31"/>
    <w:rsid w:val="08AF6781"/>
    <w:rsid w:val="08B06CBC"/>
    <w:rsid w:val="09994E82"/>
    <w:rsid w:val="09CA7C8A"/>
    <w:rsid w:val="0A0E3EBB"/>
    <w:rsid w:val="0A7E73DA"/>
    <w:rsid w:val="0AAE1995"/>
    <w:rsid w:val="0AC97250"/>
    <w:rsid w:val="0AF85654"/>
    <w:rsid w:val="0B420AE2"/>
    <w:rsid w:val="0B925AA8"/>
    <w:rsid w:val="0BCF2109"/>
    <w:rsid w:val="0BE40A94"/>
    <w:rsid w:val="0BE51A12"/>
    <w:rsid w:val="0BFA1D66"/>
    <w:rsid w:val="0C0735A2"/>
    <w:rsid w:val="0C1E2BA0"/>
    <w:rsid w:val="0C765CB2"/>
    <w:rsid w:val="0CC83A2C"/>
    <w:rsid w:val="0CFA78FF"/>
    <w:rsid w:val="0D075B79"/>
    <w:rsid w:val="0DFE4729"/>
    <w:rsid w:val="0E1F781C"/>
    <w:rsid w:val="0E7604E4"/>
    <w:rsid w:val="0E9658AF"/>
    <w:rsid w:val="0E970358"/>
    <w:rsid w:val="0EE45269"/>
    <w:rsid w:val="0F0C5A02"/>
    <w:rsid w:val="0F6A1A20"/>
    <w:rsid w:val="0FD0632B"/>
    <w:rsid w:val="10093FC5"/>
    <w:rsid w:val="10392EAE"/>
    <w:rsid w:val="10646958"/>
    <w:rsid w:val="10706EC2"/>
    <w:rsid w:val="10872B54"/>
    <w:rsid w:val="109F6B76"/>
    <w:rsid w:val="10D3404B"/>
    <w:rsid w:val="11021474"/>
    <w:rsid w:val="11220530"/>
    <w:rsid w:val="114E5D29"/>
    <w:rsid w:val="114F40BB"/>
    <w:rsid w:val="120C1CC5"/>
    <w:rsid w:val="124503FC"/>
    <w:rsid w:val="127C0CA6"/>
    <w:rsid w:val="12807280"/>
    <w:rsid w:val="12D84FB6"/>
    <w:rsid w:val="12FC24B4"/>
    <w:rsid w:val="13280C38"/>
    <w:rsid w:val="13546461"/>
    <w:rsid w:val="13636FCF"/>
    <w:rsid w:val="13F17AA5"/>
    <w:rsid w:val="14490CA5"/>
    <w:rsid w:val="145713EB"/>
    <w:rsid w:val="147D0790"/>
    <w:rsid w:val="148463E6"/>
    <w:rsid w:val="148D4AB1"/>
    <w:rsid w:val="14D20D9B"/>
    <w:rsid w:val="14F046FB"/>
    <w:rsid w:val="15616E77"/>
    <w:rsid w:val="15A72BED"/>
    <w:rsid w:val="15BF56EC"/>
    <w:rsid w:val="1621170E"/>
    <w:rsid w:val="16D818E3"/>
    <w:rsid w:val="17E02DC1"/>
    <w:rsid w:val="18B91D2B"/>
    <w:rsid w:val="18C40414"/>
    <w:rsid w:val="18EC37D3"/>
    <w:rsid w:val="192A45C3"/>
    <w:rsid w:val="193F5D85"/>
    <w:rsid w:val="19414DFD"/>
    <w:rsid w:val="19840504"/>
    <w:rsid w:val="19B55BB8"/>
    <w:rsid w:val="19D16D8A"/>
    <w:rsid w:val="1A6A6D44"/>
    <w:rsid w:val="1A6D331F"/>
    <w:rsid w:val="1A817123"/>
    <w:rsid w:val="1ACD4228"/>
    <w:rsid w:val="1B4B17D0"/>
    <w:rsid w:val="1BC212B7"/>
    <w:rsid w:val="1BF711C7"/>
    <w:rsid w:val="1C093ECB"/>
    <w:rsid w:val="1C1D644D"/>
    <w:rsid w:val="1C652823"/>
    <w:rsid w:val="1C9D4412"/>
    <w:rsid w:val="1CE4433A"/>
    <w:rsid w:val="1D0A1321"/>
    <w:rsid w:val="1D5B72C3"/>
    <w:rsid w:val="1D89079B"/>
    <w:rsid w:val="1DDF2F9A"/>
    <w:rsid w:val="1DE539F7"/>
    <w:rsid w:val="1DFF298B"/>
    <w:rsid w:val="1E1E6F53"/>
    <w:rsid w:val="1EE84AA8"/>
    <w:rsid w:val="1EF6145A"/>
    <w:rsid w:val="1F0D6046"/>
    <w:rsid w:val="1F3C0CC1"/>
    <w:rsid w:val="1F6542F4"/>
    <w:rsid w:val="1F7550C2"/>
    <w:rsid w:val="1F8930AC"/>
    <w:rsid w:val="1FA35DFA"/>
    <w:rsid w:val="1FBC0993"/>
    <w:rsid w:val="1FE67646"/>
    <w:rsid w:val="20011CF5"/>
    <w:rsid w:val="20411AAD"/>
    <w:rsid w:val="20623C58"/>
    <w:rsid w:val="206C4540"/>
    <w:rsid w:val="20831C11"/>
    <w:rsid w:val="20B428CF"/>
    <w:rsid w:val="20D963A1"/>
    <w:rsid w:val="21001F85"/>
    <w:rsid w:val="211E6D74"/>
    <w:rsid w:val="21637056"/>
    <w:rsid w:val="21873FA6"/>
    <w:rsid w:val="2193143C"/>
    <w:rsid w:val="21C47A14"/>
    <w:rsid w:val="22154B0D"/>
    <w:rsid w:val="2236615E"/>
    <w:rsid w:val="22556F69"/>
    <w:rsid w:val="228447E5"/>
    <w:rsid w:val="22BB5608"/>
    <w:rsid w:val="23424F53"/>
    <w:rsid w:val="236E14E2"/>
    <w:rsid w:val="23AB029F"/>
    <w:rsid w:val="24093984"/>
    <w:rsid w:val="247E7129"/>
    <w:rsid w:val="24CE146A"/>
    <w:rsid w:val="24E76928"/>
    <w:rsid w:val="25057870"/>
    <w:rsid w:val="25113937"/>
    <w:rsid w:val="25B10E34"/>
    <w:rsid w:val="25C95F4D"/>
    <w:rsid w:val="260B2FF2"/>
    <w:rsid w:val="26254107"/>
    <w:rsid w:val="26B92096"/>
    <w:rsid w:val="26F5563E"/>
    <w:rsid w:val="26FB5993"/>
    <w:rsid w:val="27447783"/>
    <w:rsid w:val="2769687D"/>
    <w:rsid w:val="2798423C"/>
    <w:rsid w:val="2953145F"/>
    <w:rsid w:val="29D148D0"/>
    <w:rsid w:val="2A094A20"/>
    <w:rsid w:val="2A0D1DA9"/>
    <w:rsid w:val="2A2E68CF"/>
    <w:rsid w:val="2A3E3DF9"/>
    <w:rsid w:val="2A43565C"/>
    <w:rsid w:val="2A64753C"/>
    <w:rsid w:val="2AC803DC"/>
    <w:rsid w:val="2ACD0D4B"/>
    <w:rsid w:val="2AF418F0"/>
    <w:rsid w:val="2AFB68A2"/>
    <w:rsid w:val="2B14447A"/>
    <w:rsid w:val="2B362300"/>
    <w:rsid w:val="2B657F18"/>
    <w:rsid w:val="2B902755"/>
    <w:rsid w:val="2BB30714"/>
    <w:rsid w:val="2C2A611C"/>
    <w:rsid w:val="2C776EE0"/>
    <w:rsid w:val="2D0C1A6D"/>
    <w:rsid w:val="2D5044F0"/>
    <w:rsid w:val="2DE0494E"/>
    <w:rsid w:val="2DE65084"/>
    <w:rsid w:val="2DEC5949"/>
    <w:rsid w:val="2DF5334F"/>
    <w:rsid w:val="2E334E31"/>
    <w:rsid w:val="2E5F4568"/>
    <w:rsid w:val="2ED20301"/>
    <w:rsid w:val="2F111A11"/>
    <w:rsid w:val="2F9E10B4"/>
    <w:rsid w:val="2FA30C45"/>
    <w:rsid w:val="2FAD4EC2"/>
    <w:rsid w:val="2FBE318F"/>
    <w:rsid w:val="2FCE3214"/>
    <w:rsid w:val="30143D85"/>
    <w:rsid w:val="30603468"/>
    <w:rsid w:val="30FE43B2"/>
    <w:rsid w:val="31734783"/>
    <w:rsid w:val="31752B09"/>
    <w:rsid w:val="323853F3"/>
    <w:rsid w:val="328C4DF3"/>
    <w:rsid w:val="32A16455"/>
    <w:rsid w:val="333D37F1"/>
    <w:rsid w:val="335069BC"/>
    <w:rsid w:val="33EB1F16"/>
    <w:rsid w:val="33FF675D"/>
    <w:rsid w:val="341548E3"/>
    <w:rsid w:val="34476D51"/>
    <w:rsid w:val="34FF0747"/>
    <w:rsid w:val="35000D96"/>
    <w:rsid w:val="352E7439"/>
    <w:rsid w:val="359A1F3F"/>
    <w:rsid w:val="35D24FF6"/>
    <w:rsid w:val="35E531B2"/>
    <w:rsid w:val="36333F5A"/>
    <w:rsid w:val="3648776F"/>
    <w:rsid w:val="365478A4"/>
    <w:rsid w:val="367D0D15"/>
    <w:rsid w:val="36933729"/>
    <w:rsid w:val="36D500B5"/>
    <w:rsid w:val="370B23AB"/>
    <w:rsid w:val="37191134"/>
    <w:rsid w:val="37621ECE"/>
    <w:rsid w:val="37663AEE"/>
    <w:rsid w:val="37712A39"/>
    <w:rsid w:val="37800E94"/>
    <w:rsid w:val="37831A17"/>
    <w:rsid w:val="37E020D2"/>
    <w:rsid w:val="386C2B80"/>
    <w:rsid w:val="38932B53"/>
    <w:rsid w:val="38A24236"/>
    <w:rsid w:val="38D7659C"/>
    <w:rsid w:val="39280784"/>
    <w:rsid w:val="39761340"/>
    <w:rsid w:val="39B272A1"/>
    <w:rsid w:val="39E55D12"/>
    <w:rsid w:val="3AAF1BDA"/>
    <w:rsid w:val="3ABA5325"/>
    <w:rsid w:val="3AE50133"/>
    <w:rsid w:val="3AE636B8"/>
    <w:rsid w:val="3AF61231"/>
    <w:rsid w:val="3B345EA5"/>
    <w:rsid w:val="3BE35465"/>
    <w:rsid w:val="3BF20317"/>
    <w:rsid w:val="3C2356AF"/>
    <w:rsid w:val="3C57218D"/>
    <w:rsid w:val="3C834D58"/>
    <w:rsid w:val="3CAA65A9"/>
    <w:rsid w:val="3CCE342B"/>
    <w:rsid w:val="3D962EF2"/>
    <w:rsid w:val="3DB531EC"/>
    <w:rsid w:val="3DCC30CB"/>
    <w:rsid w:val="3E201336"/>
    <w:rsid w:val="3E394E0C"/>
    <w:rsid w:val="3E744678"/>
    <w:rsid w:val="3E7A7D45"/>
    <w:rsid w:val="3E7E033A"/>
    <w:rsid w:val="3EAB6F07"/>
    <w:rsid w:val="3EF55C06"/>
    <w:rsid w:val="3EFE63F7"/>
    <w:rsid w:val="3F0B51D7"/>
    <w:rsid w:val="3F3F55C7"/>
    <w:rsid w:val="3F731F4D"/>
    <w:rsid w:val="3F7C4432"/>
    <w:rsid w:val="3FA94DD3"/>
    <w:rsid w:val="3FF14728"/>
    <w:rsid w:val="403A1C7C"/>
    <w:rsid w:val="40BF6EB5"/>
    <w:rsid w:val="40DD5CD2"/>
    <w:rsid w:val="411B272D"/>
    <w:rsid w:val="4131094E"/>
    <w:rsid w:val="41442AAE"/>
    <w:rsid w:val="414940CE"/>
    <w:rsid w:val="414B0D5B"/>
    <w:rsid w:val="415A4A27"/>
    <w:rsid w:val="420E187D"/>
    <w:rsid w:val="421671F5"/>
    <w:rsid w:val="428021C4"/>
    <w:rsid w:val="42D502B7"/>
    <w:rsid w:val="43036342"/>
    <w:rsid w:val="432B139E"/>
    <w:rsid w:val="433C63C3"/>
    <w:rsid w:val="43894FCF"/>
    <w:rsid w:val="43C615A1"/>
    <w:rsid w:val="43D2500C"/>
    <w:rsid w:val="43FF65D9"/>
    <w:rsid w:val="44010B62"/>
    <w:rsid w:val="443C255B"/>
    <w:rsid w:val="447B10FE"/>
    <w:rsid w:val="447C24FE"/>
    <w:rsid w:val="447C7AED"/>
    <w:rsid w:val="44DA2976"/>
    <w:rsid w:val="44EA1B73"/>
    <w:rsid w:val="45172894"/>
    <w:rsid w:val="45634690"/>
    <w:rsid w:val="4563730C"/>
    <w:rsid w:val="457173E6"/>
    <w:rsid w:val="46454873"/>
    <w:rsid w:val="46AA7D34"/>
    <w:rsid w:val="4736526E"/>
    <w:rsid w:val="477039AB"/>
    <w:rsid w:val="47E629E2"/>
    <w:rsid w:val="480C62D5"/>
    <w:rsid w:val="484212CB"/>
    <w:rsid w:val="48625C43"/>
    <w:rsid w:val="48694FA0"/>
    <w:rsid w:val="488E768B"/>
    <w:rsid w:val="489D7366"/>
    <w:rsid w:val="48BB582D"/>
    <w:rsid w:val="491633CD"/>
    <w:rsid w:val="495F7D2E"/>
    <w:rsid w:val="498F622E"/>
    <w:rsid w:val="49B241EB"/>
    <w:rsid w:val="49CC5F9C"/>
    <w:rsid w:val="49F41D5E"/>
    <w:rsid w:val="4A325E82"/>
    <w:rsid w:val="4A3721D1"/>
    <w:rsid w:val="4AA0530C"/>
    <w:rsid w:val="4AAF46FD"/>
    <w:rsid w:val="4AB6441D"/>
    <w:rsid w:val="4ADA01C5"/>
    <w:rsid w:val="4AE77A07"/>
    <w:rsid w:val="4B1E31F7"/>
    <w:rsid w:val="4B243BCC"/>
    <w:rsid w:val="4B9B2B3F"/>
    <w:rsid w:val="4BBF0F5D"/>
    <w:rsid w:val="4BCB3573"/>
    <w:rsid w:val="4BEC43EA"/>
    <w:rsid w:val="4C285D0E"/>
    <w:rsid w:val="4C3A128C"/>
    <w:rsid w:val="4C3C131C"/>
    <w:rsid w:val="4CAF4277"/>
    <w:rsid w:val="4CB16394"/>
    <w:rsid w:val="4CC103F7"/>
    <w:rsid w:val="4CE75373"/>
    <w:rsid w:val="4D0B0117"/>
    <w:rsid w:val="4D0C7397"/>
    <w:rsid w:val="4DBC54C9"/>
    <w:rsid w:val="4E125B2D"/>
    <w:rsid w:val="4E297F85"/>
    <w:rsid w:val="4E3A0519"/>
    <w:rsid w:val="4E656969"/>
    <w:rsid w:val="4EA97723"/>
    <w:rsid w:val="4EDF54B5"/>
    <w:rsid w:val="4FD71D64"/>
    <w:rsid w:val="50136BDE"/>
    <w:rsid w:val="50400BF6"/>
    <w:rsid w:val="508765A0"/>
    <w:rsid w:val="50B94F2C"/>
    <w:rsid w:val="51A7715F"/>
    <w:rsid w:val="521B4E34"/>
    <w:rsid w:val="5235516D"/>
    <w:rsid w:val="5265216E"/>
    <w:rsid w:val="52B5075F"/>
    <w:rsid w:val="52BD67C2"/>
    <w:rsid w:val="52C8298A"/>
    <w:rsid w:val="52D620D6"/>
    <w:rsid w:val="52DA2233"/>
    <w:rsid w:val="531541D9"/>
    <w:rsid w:val="531A6B64"/>
    <w:rsid w:val="53E1102E"/>
    <w:rsid w:val="549855E2"/>
    <w:rsid w:val="54E970AC"/>
    <w:rsid w:val="5523184A"/>
    <w:rsid w:val="552A1579"/>
    <w:rsid w:val="55770053"/>
    <w:rsid w:val="55816518"/>
    <w:rsid w:val="55C77B84"/>
    <w:rsid w:val="55DD6C4D"/>
    <w:rsid w:val="564306B8"/>
    <w:rsid w:val="564D6A26"/>
    <w:rsid w:val="566D4B95"/>
    <w:rsid w:val="567C0D51"/>
    <w:rsid w:val="57103BAF"/>
    <w:rsid w:val="572656D4"/>
    <w:rsid w:val="57616FF6"/>
    <w:rsid w:val="57651379"/>
    <w:rsid w:val="57780353"/>
    <w:rsid w:val="578D035B"/>
    <w:rsid w:val="579E65C5"/>
    <w:rsid w:val="57B9623A"/>
    <w:rsid w:val="580D51F7"/>
    <w:rsid w:val="58573E31"/>
    <w:rsid w:val="58664A9E"/>
    <w:rsid w:val="58742FAB"/>
    <w:rsid w:val="58E25DA4"/>
    <w:rsid w:val="59050A31"/>
    <w:rsid w:val="591B6B95"/>
    <w:rsid w:val="596960DB"/>
    <w:rsid w:val="59A059CB"/>
    <w:rsid w:val="59AD06A4"/>
    <w:rsid w:val="59D70A4F"/>
    <w:rsid w:val="5A1120F8"/>
    <w:rsid w:val="5A4D586D"/>
    <w:rsid w:val="5A6249B0"/>
    <w:rsid w:val="5A650D5A"/>
    <w:rsid w:val="5A960EAB"/>
    <w:rsid w:val="5AF641B2"/>
    <w:rsid w:val="5B023921"/>
    <w:rsid w:val="5B4473DA"/>
    <w:rsid w:val="5BA75F0B"/>
    <w:rsid w:val="5BD36737"/>
    <w:rsid w:val="5C484A27"/>
    <w:rsid w:val="5C60554B"/>
    <w:rsid w:val="5CB54A63"/>
    <w:rsid w:val="5CC25D8E"/>
    <w:rsid w:val="5D4E3FA5"/>
    <w:rsid w:val="5D765B27"/>
    <w:rsid w:val="5D7F3676"/>
    <w:rsid w:val="5E4979C9"/>
    <w:rsid w:val="5E71670A"/>
    <w:rsid w:val="5EE84C68"/>
    <w:rsid w:val="5EFB4D25"/>
    <w:rsid w:val="5F1910B9"/>
    <w:rsid w:val="5F285855"/>
    <w:rsid w:val="5F414965"/>
    <w:rsid w:val="5F75144C"/>
    <w:rsid w:val="5F7E5731"/>
    <w:rsid w:val="5FAD59C4"/>
    <w:rsid w:val="5FE3043E"/>
    <w:rsid w:val="60364892"/>
    <w:rsid w:val="60DE186A"/>
    <w:rsid w:val="61282C8B"/>
    <w:rsid w:val="61422EA1"/>
    <w:rsid w:val="61CD250B"/>
    <w:rsid w:val="61E91B05"/>
    <w:rsid w:val="61F11111"/>
    <w:rsid w:val="621D5BA4"/>
    <w:rsid w:val="62616A1D"/>
    <w:rsid w:val="635B6748"/>
    <w:rsid w:val="63947A95"/>
    <w:rsid w:val="63C153F0"/>
    <w:rsid w:val="63C714BF"/>
    <w:rsid w:val="63E90322"/>
    <w:rsid w:val="641B1986"/>
    <w:rsid w:val="646622C5"/>
    <w:rsid w:val="64CD06F0"/>
    <w:rsid w:val="655645C6"/>
    <w:rsid w:val="6557284E"/>
    <w:rsid w:val="65AA5795"/>
    <w:rsid w:val="65AB2B63"/>
    <w:rsid w:val="65CC7F7F"/>
    <w:rsid w:val="66020836"/>
    <w:rsid w:val="667C16E8"/>
    <w:rsid w:val="66943411"/>
    <w:rsid w:val="66A108CB"/>
    <w:rsid w:val="66C307DC"/>
    <w:rsid w:val="66CF63DE"/>
    <w:rsid w:val="671F6C89"/>
    <w:rsid w:val="6728723E"/>
    <w:rsid w:val="67765F64"/>
    <w:rsid w:val="67B167D1"/>
    <w:rsid w:val="67BB7ACC"/>
    <w:rsid w:val="67C1070A"/>
    <w:rsid w:val="67C8546A"/>
    <w:rsid w:val="68147595"/>
    <w:rsid w:val="6844766A"/>
    <w:rsid w:val="685F1C50"/>
    <w:rsid w:val="68666428"/>
    <w:rsid w:val="686B2706"/>
    <w:rsid w:val="689F4646"/>
    <w:rsid w:val="68A85138"/>
    <w:rsid w:val="68CA3EEA"/>
    <w:rsid w:val="68DE7E55"/>
    <w:rsid w:val="68F25237"/>
    <w:rsid w:val="69407BC8"/>
    <w:rsid w:val="69883AB0"/>
    <w:rsid w:val="699022E9"/>
    <w:rsid w:val="69996604"/>
    <w:rsid w:val="69B94C0E"/>
    <w:rsid w:val="69C72C9E"/>
    <w:rsid w:val="69D247C7"/>
    <w:rsid w:val="6A2A15CC"/>
    <w:rsid w:val="6A3F7A87"/>
    <w:rsid w:val="6A5D2D6C"/>
    <w:rsid w:val="6A714498"/>
    <w:rsid w:val="6A8E0ABC"/>
    <w:rsid w:val="6B4C6CF4"/>
    <w:rsid w:val="6BAA31DE"/>
    <w:rsid w:val="6BAE0F48"/>
    <w:rsid w:val="6C58188C"/>
    <w:rsid w:val="6CB452F9"/>
    <w:rsid w:val="6CBE247C"/>
    <w:rsid w:val="6D33687C"/>
    <w:rsid w:val="6D6467B2"/>
    <w:rsid w:val="6DA04EE5"/>
    <w:rsid w:val="6DCD2F33"/>
    <w:rsid w:val="6E601F01"/>
    <w:rsid w:val="6E8D0D3D"/>
    <w:rsid w:val="6ED8459B"/>
    <w:rsid w:val="6F0741F3"/>
    <w:rsid w:val="6F3510C4"/>
    <w:rsid w:val="6F3E3D9B"/>
    <w:rsid w:val="6F7B555E"/>
    <w:rsid w:val="6FB80CEF"/>
    <w:rsid w:val="6FC634EE"/>
    <w:rsid w:val="6FDE7453"/>
    <w:rsid w:val="702A119A"/>
    <w:rsid w:val="70304D45"/>
    <w:rsid w:val="70345B2D"/>
    <w:rsid w:val="7065082F"/>
    <w:rsid w:val="70913F9E"/>
    <w:rsid w:val="709D04F4"/>
    <w:rsid w:val="70D44E46"/>
    <w:rsid w:val="70ED402C"/>
    <w:rsid w:val="713F2A8A"/>
    <w:rsid w:val="714375FF"/>
    <w:rsid w:val="719566C0"/>
    <w:rsid w:val="71D52E2E"/>
    <w:rsid w:val="72587127"/>
    <w:rsid w:val="72A27523"/>
    <w:rsid w:val="72A930FC"/>
    <w:rsid w:val="72F61171"/>
    <w:rsid w:val="731B7071"/>
    <w:rsid w:val="732127B7"/>
    <w:rsid w:val="73657593"/>
    <w:rsid w:val="737C0DB1"/>
    <w:rsid w:val="73AD6A5C"/>
    <w:rsid w:val="745919C6"/>
    <w:rsid w:val="74702A9A"/>
    <w:rsid w:val="74883655"/>
    <w:rsid w:val="748A309D"/>
    <w:rsid w:val="74A311D9"/>
    <w:rsid w:val="74E92E35"/>
    <w:rsid w:val="74ED462C"/>
    <w:rsid w:val="752743F5"/>
    <w:rsid w:val="75464B5B"/>
    <w:rsid w:val="75B14EE1"/>
    <w:rsid w:val="75D869F6"/>
    <w:rsid w:val="75EB5CDA"/>
    <w:rsid w:val="75F378C9"/>
    <w:rsid w:val="761C2BBB"/>
    <w:rsid w:val="763306FC"/>
    <w:rsid w:val="76A3778E"/>
    <w:rsid w:val="76BD5CD9"/>
    <w:rsid w:val="77091498"/>
    <w:rsid w:val="77194B2C"/>
    <w:rsid w:val="772C33D8"/>
    <w:rsid w:val="776A1DE8"/>
    <w:rsid w:val="778F2F6E"/>
    <w:rsid w:val="77AE550D"/>
    <w:rsid w:val="780D64CD"/>
    <w:rsid w:val="78191F72"/>
    <w:rsid w:val="785D00CA"/>
    <w:rsid w:val="786F4FC1"/>
    <w:rsid w:val="78786AB0"/>
    <w:rsid w:val="78A53944"/>
    <w:rsid w:val="78CD06B7"/>
    <w:rsid w:val="78D74DC8"/>
    <w:rsid w:val="78E20029"/>
    <w:rsid w:val="795804BC"/>
    <w:rsid w:val="79627C43"/>
    <w:rsid w:val="79635820"/>
    <w:rsid w:val="79D03D4B"/>
    <w:rsid w:val="79DA30F6"/>
    <w:rsid w:val="7A156DB0"/>
    <w:rsid w:val="7A6C197B"/>
    <w:rsid w:val="7AA1536C"/>
    <w:rsid w:val="7AD83918"/>
    <w:rsid w:val="7AE6195B"/>
    <w:rsid w:val="7B73169F"/>
    <w:rsid w:val="7BDB302C"/>
    <w:rsid w:val="7C264ADD"/>
    <w:rsid w:val="7C5456C7"/>
    <w:rsid w:val="7C713EFD"/>
    <w:rsid w:val="7C927B30"/>
    <w:rsid w:val="7C931089"/>
    <w:rsid w:val="7D2D0B46"/>
    <w:rsid w:val="7D3E1A0A"/>
    <w:rsid w:val="7D426594"/>
    <w:rsid w:val="7D4A5A41"/>
    <w:rsid w:val="7D4D6A5F"/>
    <w:rsid w:val="7D503F42"/>
    <w:rsid w:val="7D6E5BA2"/>
    <w:rsid w:val="7DDD6CEA"/>
    <w:rsid w:val="7E1C1443"/>
    <w:rsid w:val="7E242E7A"/>
    <w:rsid w:val="7E251DE7"/>
    <w:rsid w:val="7E4308E9"/>
    <w:rsid w:val="7E636E14"/>
    <w:rsid w:val="7E664DEE"/>
    <w:rsid w:val="7F33321A"/>
    <w:rsid w:val="7F437B5A"/>
    <w:rsid w:val="7F484FD6"/>
    <w:rsid w:val="7F5848DA"/>
    <w:rsid w:val="7F664B03"/>
    <w:rsid w:val="7F8E0716"/>
    <w:rsid w:val="7F9372F6"/>
    <w:rsid w:val="7FD42887"/>
    <w:rsid w:val="7FE377DD"/>
    <w:rsid w:val="9F3F9D5B"/>
    <w:rsid w:val="AF7F8F8E"/>
    <w:rsid w:val="B9FF97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8"/>
    <w:next w:val="9"/>
    <w:link w:val="96"/>
    <w:unhideWhenUsed/>
    <w:qFormat/>
    <w:uiPriority w:val="9"/>
    <w:pPr>
      <w:keepNext/>
      <w:keepLines/>
      <w:tabs>
        <w:tab w:val="left" w:pos="780"/>
      </w:tabs>
      <w:spacing w:line="376" w:lineRule="auto"/>
      <w:ind w:left="2125" w:hanging="425"/>
      <w:outlineLvl w:val="4"/>
    </w:pPr>
    <w:rPr>
      <w:rFonts w:ascii="宋体" w:hAnsi="宋体" w:cs="宋体"/>
      <w:b/>
      <w:bCs/>
      <w:kern w:val="0"/>
      <w:sz w:val="28"/>
      <w:szCs w:val="28"/>
    </w:rPr>
  </w:style>
  <w:style w:type="paragraph" w:styleId="10">
    <w:name w:val="heading 6"/>
    <w:basedOn w:val="1"/>
    <w:next w:val="1"/>
    <w:link w:val="97"/>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11">
    <w:name w:val="heading 7"/>
    <w:basedOn w:val="1"/>
    <w:next w:val="1"/>
    <w:link w:val="98"/>
    <w:unhideWhenUsed/>
    <w:qFormat/>
    <w:uiPriority w:val="9"/>
    <w:pPr>
      <w:keepNext/>
      <w:keepLines/>
      <w:spacing w:line="320" w:lineRule="auto"/>
      <w:ind w:left="2975" w:hanging="425"/>
      <w:outlineLvl w:val="6"/>
    </w:pPr>
    <w:rPr>
      <w:rFonts w:ascii="宋体" w:hAnsi="宋体" w:cs="宋体"/>
      <w:b/>
      <w:bCs/>
      <w:kern w:val="0"/>
      <w:sz w:val="24"/>
    </w:rPr>
  </w:style>
  <w:style w:type="paragraph" w:styleId="12">
    <w:name w:val="heading 8"/>
    <w:basedOn w:val="1"/>
    <w:next w:val="1"/>
    <w:link w:val="99"/>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3">
    <w:name w:val="heading 9"/>
    <w:basedOn w:val="1"/>
    <w:next w:val="1"/>
    <w:link w:val="100"/>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List Number 2"/>
    <w:basedOn w:val="1"/>
    <w:semiHidden/>
    <w:unhideWhenUsed/>
    <w:qFormat/>
    <w:uiPriority w:val="0"/>
    <w:pPr>
      <w:numPr>
        <w:ilvl w:val="0"/>
        <w:numId w:val="1"/>
      </w:numPr>
    </w:p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4">
    <w:name w:val="toc 7"/>
    <w:basedOn w:val="1"/>
    <w:next w:val="1"/>
    <w:unhideWhenUsed/>
    <w:qFormat/>
    <w:uiPriority w:val="39"/>
    <w:pPr>
      <w:widowControl/>
      <w:ind w:left="2520" w:leftChars="1200"/>
      <w:jc w:val="left"/>
    </w:pPr>
    <w:rPr>
      <w:rFonts w:ascii="宋体" w:hAnsi="宋体" w:cs="宋体"/>
      <w:kern w:val="0"/>
      <w:sz w:val="24"/>
    </w:rPr>
  </w:style>
  <w:style w:type="paragraph" w:styleId="15">
    <w:name w:val="table of authorities"/>
    <w:basedOn w:val="1"/>
    <w:next w:val="1"/>
    <w:qFormat/>
    <w:uiPriority w:val="0"/>
    <w:pPr>
      <w:ind w:left="420" w:leftChars="200"/>
    </w:pPr>
  </w:style>
  <w:style w:type="paragraph" w:styleId="16">
    <w:name w:val="List Number"/>
    <w:basedOn w:val="1"/>
    <w:qFormat/>
    <w:uiPriority w:val="0"/>
    <w:pPr>
      <w:numPr>
        <w:ilvl w:val="0"/>
        <w:numId w:val="2"/>
      </w:numPr>
    </w:pPr>
  </w:style>
  <w:style w:type="paragraph" w:styleId="17">
    <w:name w:val="Normal Indent"/>
    <w:basedOn w:val="1"/>
    <w:next w:val="1"/>
    <w:qFormat/>
    <w:uiPriority w:val="0"/>
    <w:pPr>
      <w:ind w:firstLine="420"/>
    </w:pPr>
    <w:rPr>
      <w:szCs w:val="20"/>
    </w:rPr>
  </w:style>
  <w:style w:type="paragraph" w:styleId="18">
    <w:name w:val="caption"/>
    <w:basedOn w:val="1"/>
    <w:next w:val="1"/>
    <w:link w:val="408"/>
    <w:unhideWhenUsed/>
    <w:qFormat/>
    <w:uiPriority w:val="35"/>
    <w:pPr>
      <w:numPr>
        <w:ilvl w:val="0"/>
        <w:numId w:val="3"/>
      </w:numPr>
      <w:spacing w:line="360" w:lineRule="auto"/>
      <w:ind w:firstLine="0"/>
      <w:jc w:val="center"/>
    </w:pPr>
    <w:rPr>
      <w:rFonts w:ascii="Arial Unicode MS" w:hAnsi="Arial Unicode MS" w:cs="宋体"/>
      <w:kern w:val="0"/>
      <w:sz w:val="24"/>
      <w:szCs w:val="20"/>
    </w:rPr>
  </w:style>
  <w:style w:type="paragraph" w:styleId="19">
    <w:name w:val="Document Map"/>
    <w:basedOn w:val="1"/>
    <w:link w:val="102"/>
    <w:unhideWhenUsed/>
    <w:qFormat/>
    <w:uiPriority w:val="99"/>
    <w:pPr>
      <w:widowControl/>
      <w:jc w:val="left"/>
    </w:pPr>
    <w:rPr>
      <w:rFonts w:ascii="宋体" w:hAnsi="宋体" w:cs="宋体"/>
      <w:kern w:val="0"/>
      <w:sz w:val="18"/>
      <w:szCs w:val="18"/>
    </w:r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jc w:val="left"/>
    </w:pPr>
  </w:style>
  <w:style w:type="paragraph" w:styleId="22">
    <w:name w:val="Body Text"/>
    <w:basedOn w:val="1"/>
    <w:next w:val="23"/>
    <w:link w:val="108"/>
    <w:qFormat/>
    <w:uiPriority w:val="99"/>
    <w:pPr>
      <w:spacing w:line="360" w:lineRule="exact"/>
    </w:pPr>
    <w:rPr>
      <w:sz w:val="24"/>
    </w:rPr>
  </w:style>
  <w:style w:type="paragraph" w:styleId="23">
    <w:name w:val="Body Text First Indent"/>
    <w:basedOn w:val="1"/>
    <w:next w:val="24"/>
    <w:link w:val="109"/>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4">
    <w:name w:val="toc 6"/>
    <w:basedOn w:val="1"/>
    <w:next w:val="1"/>
    <w:unhideWhenUsed/>
    <w:qFormat/>
    <w:uiPriority w:val="39"/>
    <w:pPr>
      <w:widowControl/>
      <w:ind w:left="2100" w:leftChars="1000"/>
      <w:jc w:val="left"/>
    </w:pPr>
    <w:rPr>
      <w:rFonts w:ascii="宋体" w:hAnsi="宋体" w:cs="宋体"/>
      <w:kern w:val="0"/>
      <w:sz w:val="24"/>
    </w:rPr>
  </w:style>
  <w:style w:type="paragraph" w:styleId="25">
    <w:name w:val="Body Text Indent"/>
    <w:basedOn w:val="1"/>
    <w:next w:val="1"/>
    <w:link w:val="80"/>
    <w:qFormat/>
    <w:uiPriority w:val="0"/>
    <w:pPr>
      <w:spacing w:after="120"/>
      <w:ind w:left="420" w:leftChars="200"/>
    </w:pPr>
  </w:style>
  <w:style w:type="paragraph" w:styleId="26">
    <w:name w:val="toc 5"/>
    <w:basedOn w:val="1"/>
    <w:next w:val="1"/>
    <w:unhideWhenUsed/>
    <w:qFormat/>
    <w:uiPriority w:val="39"/>
    <w:pPr>
      <w:widowControl/>
      <w:ind w:left="1680" w:leftChars="800"/>
      <w:jc w:val="left"/>
    </w:pPr>
    <w:rPr>
      <w:rFonts w:ascii="宋体" w:hAnsi="宋体" w:cs="宋体"/>
      <w:kern w:val="0"/>
      <w:sz w:val="24"/>
    </w:rPr>
  </w:style>
  <w:style w:type="paragraph" w:styleId="27">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8">
    <w:name w:val="Plain Text"/>
    <w:basedOn w:val="1"/>
    <w:next w:val="29"/>
    <w:link w:val="84"/>
    <w:qFormat/>
    <w:uiPriority w:val="0"/>
    <w:rPr>
      <w:rFonts w:ascii="宋体" w:hAnsi="Courier New" w:cstheme="minorBidi"/>
    </w:rPr>
  </w:style>
  <w:style w:type="paragraph" w:styleId="29">
    <w:name w:val="Date"/>
    <w:basedOn w:val="1"/>
    <w:next w:val="1"/>
    <w:link w:val="410"/>
    <w:qFormat/>
    <w:uiPriority w:val="99"/>
    <w:pPr>
      <w:ind w:left="2500" w:leftChars="2500"/>
    </w:pPr>
    <w:rPr>
      <w:rFonts w:eastAsia="楷体_GB2312" w:asciiTheme="minorHAnsi" w:hAnsiTheme="minorHAnsi" w:cstheme="minorBidi"/>
      <w:sz w:val="32"/>
      <w:szCs w:val="22"/>
    </w:rPr>
  </w:style>
  <w:style w:type="paragraph" w:styleId="30">
    <w:name w:val="toc 8"/>
    <w:basedOn w:val="1"/>
    <w:next w:val="1"/>
    <w:unhideWhenUsed/>
    <w:qFormat/>
    <w:uiPriority w:val="39"/>
    <w:pPr>
      <w:widowControl/>
      <w:ind w:left="2940" w:leftChars="1400"/>
      <w:jc w:val="left"/>
    </w:pPr>
    <w:rPr>
      <w:rFonts w:ascii="宋体" w:hAnsi="宋体" w:cs="宋体"/>
      <w:kern w:val="0"/>
      <w:sz w:val="24"/>
    </w:rPr>
  </w:style>
  <w:style w:type="paragraph" w:styleId="31">
    <w:name w:val="Body Text Indent 2"/>
    <w:basedOn w:val="1"/>
    <w:link w:val="104"/>
    <w:unhideWhenUsed/>
    <w:qFormat/>
    <w:uiPriority w:val="99"/>
    <w:pPr>
      <w:widowControl/>
      <w:spacing w:after="120" w:line="480" w:lineRule="auto"/>
      <w:ind w:left="420" w:leftChars="200"/>
      <w:jc w:val="left"/>
    </w:pPr>
    <w:rPr>
      <w:rFonts w:ascii="宋体" w:hAnsi="宋体" w:cs="宋体"/>
      <w:kern w:val="0"/>
      <w:sz w:val="24"/>
    </w:rPr>
  </w:style>
  <w:style w:type="paragraph" w:styleId="32">
    <w:name w:val="Balloon Text"/>
    <w:basedOn w:val="1"/>
    <w:link w:val="79"/>
    <w:qFormat/>
    <w:uiPriority w:val="99"/>
    <w:rPr>
      <w:sz w:val="18"/>
      <w:szCs w:val="18"/>
    </w:rPr>
  </w:style>
  <w:style w:type="paragraph" w:styleId="33">
    <w:name w:val="footer"/>
    <w:basedOn w:val="1"/>
    <w:link w:val="105"/>
    <w:qFormat/>
    <w:uiPriority w:val="99"/>
    <w:pPr>
      <w:tabs>
        <w:tab w:val="center" w:pos="4153"/>
        <w:tab w:val="right" w:pos="8306"/>
      </w:tabs>
      <w:snapToGrid w:val="0"/>
      <w:jc w:val="left"/>
    </w:pPr>
    <w:rPr>
      <w:sz w:val="18"/>
    </w:rPr>
  </w:style>
  <w:style w:type="paragraph" w:styleId="34">
    <w:name w:val="header"/>
    <w:basedOn w:val="1"/>
    <w:link w:val="10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5">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6">
    <w:name w:val="toc 4"/>
    <w:basedOn w:val="1"/>
    <w:next w:val="1"/>
    <w:unhideWhenUsed/>
    <w:qFormat/>
    <w:uiPriority w:val="39"/>
    <w:pPr>
      <w:widowControl/>
      <w:ind w:left="1260" w:leftChars="600"/>
      <w:jc w:val="left"/>
    </w:pPr>
    <w:rPr>
      <w:rFonts w:ascii="宋体" w:hAnsi="宋体" w:cs="宋体"/>
      <w:kern w:val="0"/>
      <w:sz w:val="24"/>
    </w:rPr>
  </w:style>
  <w:style w:type="paragraph" w:styleId="37">
    <w:name w:val="List"/>
    <w:basedOn w:val="1"/>
    <w:qFormat/>
    <w:uiPriority w:val="0"/>
    <w:pPr>
      <w:ind w:left="200" w:hanging="200" w:hangingChars="200"/>
    </w:pPr>
  </w:style>
  <w:style w:type="paragraph" w:styleId="38">
    <w:name w:val="footnote text"/>
    <w:basedOn w:val="1"/>
    <w:link w:val="107"/>
    <w:unhideWhenUsed/>
    <w:qFormat/>
    <w:uiPriority w:val="99"/>
    <w:pPr>
      <w:widowControl/>
      <w:snapToGrid w:val="0"/>
      <w:jc w:val="left"/>
    </w:pPr>
    <w:rPr>
      <w:rFonts w:ascii="宋体" w:hAnsi="宋体" w:cs="宋体"/>
      <w:kern w:val="0"/>
      <w:sz w:val="18"/>
      <w:szCs w:val="18"/>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41">
    <w:name w:val="toc 9"/>
    <w:basedOn w:val="1"/>
    <w:next w:val="1"/>
    <w:unhideWhenUsed/>
    <w:qFormat/>
    <w:uiPriority w:val="39"/>
    <w:pPr>
      <w:widowControl/>
      <w:ind w:left="3360" w:leftChars="1600"/>
      <w:jc w:val="left"/>
    </w:pPr>
    <w:rPr>
      <w:rFonts w:ascii="宋体" w:hAnsi="宋体" w:cs="宋体"/>
      <w:kern w:val="0"/>
      <w:sz w:val="24"/>
    </w:rPr>
  </w:style>
  <w:style w:type="paragraph" w:styleId="42">
    <w:name w:val="HTML Preformatted"/>
    <w:basedOn w:val="1"/>
    <w:link w:val="4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Title"/>
    <w:basedOn w:val="1"/>
    <w:next w:val="1"/>
    <w:link w:val="413"/>
    <w:qFormat/>
    <w:uiPriority w:val="0"/>
    <w:pPr>
      <w:spacing w:before="240" w:after="60" w:line="360" w:lineRule="auto"/>
      <w:jc w:val="center"/>
      <w:outlineLvl w:val="0"/>
    </w:pPr>
    <w:rPr>
      <w:rFonts w:ascii="Arial" w:hAnsi="Arial"/>
      <w:b/>
      <w:bCs/>
      <w:kern w:val="36"/>
      <w:sz w:val="32"/>
      <w:szCs w:val="32"/>
    </w:rPr>
  </w:style>
  <w:style w:type="paragraph" w:styleId="44">
    <w:name w:val="annotation subject"/>
    <w:basedOn w:val="21"/>
    <w:next w:val="21"/>
    <w:link w:val="78"/>
    <w:qFormat/>
    <w:uiPriority w:val="99"/>
    <w:rPr>
      <w:b/>
      <w:bCs/>
    </w:rPr>
  </w:style>
  <w:style w:type="paragraph" w:styleId="45">
    <w:name w:val="Body Text First Indent 2"/>
    <w:basedOn w:val="25"/>
    <w:next w:val="1"/>
    <w:link w:val="110"/>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unhideWhenUsed/>
    <w:qFormat/>
    <w:uiPriority w:val="99"/>
  </w:style>
  <w:style w:type="character" w:styleId="51">
    <w:name w:val="FollowedHyperlink"/>
    <w:basedOn w:val="48"/>
    <w:unhideWhenUsed/>
    <w:qFormat/>
    <w:uiPriority w:val="99"/>
    <w:rPr>
      <w:color w:val="800080"/>
      <w:u w:val="single"/>
    </w:rPr>
  </w:style>
  <w:style w:type="character" w:styleId="52">
    <w:name w:val="Emphasis"/>
    <w:basedOn w:val="48"/>
    <w:qFormat/>
    <w:uiPriority w:val="20"/>
    <w:rPr>
      <w:i/>
      <w:iCs/>
    </w:rPr>
  </w:style>
  <w:style w:type="character" w:styleId="53">
    <w:name w:val="Hyperlink"/>
    <w:basedOn w:val="48"/>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basedOn w:val="48"/>
    <w:unhideWhenUsed/>
    <w:qFormat/>
    <w:uiPriority w:val="99"/>
    <w:rPr>
      <w:vertAlign w:val="superscript"/>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8">
    <w:name w:val="表格文字"/>
    <w:basedOn w:val="28"/>
    <w:next w:val="22"/>
    <w:qFormat/>
    <w:uiPriority w:val="0"/>
    <w:rPr>
      <w:sz w:val="24"/>
    </w:rPr>
  </w:style>
  <w:style w:type="paragraph" w:customStyle="1" w:styleId="5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2">
    <w:name w:val="List Paragraph"/>
    <w:basedOn w:val="1"/>
    <w:link w:val="398"/>
    <w:qFormat/>
    <w:uiPriority w:val="34"/>
    <w:pPr>
      <w:ind w:firstLine="420" w:firstLineChars="200"/>
    </w:pPr>
    <w:rPr>
      <w:rFonts w:ascii="Calibri" w:hAnsi="Calibri"/>
      <w:szCs w:val="22"/>
    </w:rPr>
  </w:style>
  <w:style w:type="paragraph" w:customStyle="1" w:styleId="63">
    <w:name w:val="列出段落1"/>
    <w:basedOn w:val="1"/>
    <w:qFormat/>
    <w:uiPriority w:val="34"/>
    <w:pPr>
      <w:ind w:firstLine="420" w:firstLineChars="200"/>
    </w:pPr>
    <w:rPr>
      <w:rFonts w:ascii="Calibri" w:hAnsi="Calibri"/>
      <w:kern w:val="0"/>
      <w:szCs w:val="20"/>
    </w:rPr>
  </w:style>
  <w:style w:type="paragraph" w:customStyle="1" w:styleId="6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4"/>
    <w:qFormat/>
    <w:uiPriority w:val="0"/>
    <w:rPr>
      <w:rFonts w:ascii="Times New Roman" w:hAnsi="Times New Roman" w:eastAsia="宋体" w:cs="Times New Roman"/>
      <w:sz w:val="21"/>
      <w:szCs w:val="22"/>
      <w:lang w:val="en-US" w:eastAsia="zh-CN" w:bidi="ar-SA"/>
    </w:rPr>
  </w:style>
  <w:style w:type="paragraph" w:customStyle="1" w:styleId="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纯文本_3"/>
    <w:basedOn w:val="70"/>
    <w:qFormat/>
    <w:uiPriority w:val="0"/>
    <w:pPr>
      <w:widowControl/>
      <w:jc w:val="left"/>
    </w:pPr>
    <w:rPr>
      <w:rFonts w:ascii="宋体" w:hAnsi="Courier New" w:eastAsiaTheme="minorEastAsia" w:cstheme="minorBidi"/>
      <w:szCs w:val="21"/>
    </w:rPr>
  </w:style>
  <w:style w:type="paragraph" w:customStyle="1" w:styleId="72">
    <w:name w:val="纯文本_0_1"/>
    <w:basedOn w:val="1"/>
    <w:qFormat/>
    <w:uiPriority w:val="0"/>
    <w:pPr>
      <w:widowControl/>
      <w:jc w:val="left"/>
    </w:pPr>
    <w:rPr>
      <w:rFonts w:ascii="宋体" w:hAnsi="Courier New" w:eastAsiaTheme="minorEastAsia" w:cstheme="minorBidi"/>
      <w:szCs w:val="21"/>
    </w:rPr>
  </w:style>
  <w:style w:type="paragraph" w:customStyle="1" w:styleId="7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Char"/>
    <w:basedOn w:val="48"/>
    <w:link w:val="21"/>
    <w:qFormat/>
    <w:uiPriority w:val="0"/>
    <w:rPr>
      <w:rFonts w:ascii="Times New Roman" w:hAnsi="Times New Roman" w:eastAsia="宋体" w:cs="Times New Roman"/>
      <w:kern w:val="2"/>
      <w:sz w:val="21"/>
      <w:szCs w:val="24"/>
    </w:rPr>
  </w:style>
  <w:style w:type="character" w:customStyle="1" w:styleId="78">
    <w:name w:val="批注主题 Char"/>
    <w:basedOn w:val="77"/>
    <w:link w:val="44"/>
    <w:qFormat/>
    <w:uiPriority w:val="99"/>
    <w:rPr>
      <w:rFonts w:ascii="Times New Roman" w:hAnsi="Times New Roman" w:eastAsia="宋体" w:cs="Times New Roman"/>
      <w:b/>
      <w:bCs/>
      <w:kern w:val="2"/>
      <w:sz w:val="21"/>
      <w:szCs w:val="24"/>
    </w:rPr>
  </w:style>
  <w:style w:type="character" w:customStyle="1" w:styleId="79">
    <w:name w:val="批注框文本 Char"/>
    <w:basedOn w:val="48"/>
    <w:link w:val="32"/>
    <w:qFormat/>
    <w:uiPriority w:val="99"/>
    <w:rPr>
      <w:rFonts w:ascii="Times New Roman" w:hAnsi="Times New Roman" w:eastAsia="宋体" w:cs="Times New Roman"/>
      <w:kern w:val="2"/>
      <w:sz w:val="18"/>
      <w:szCs w:val="18"/>
    </w:rPr>
  </w:style>
  <w:style w:type="character" w:customStyle="1" w:styleId="80">
    <w:name w:val="正文文本缩进 Char"/>
    <w:basedOn w:val="48"/>
    <w:link w:val="25"/>
    <w:qFormat/>
    <w:uiPriority w:val="0"/>
    <w:rPr>
      <w:kern w:val="2"/>
      <w:sz w:val="21"/>
      <w:szCs w:val="24"/>
    </w:rPr>
  </w:style>
  <w:style w:type="paragraph" w:customStyle="1" w:styleId="8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2"/>
    <w:basedOn w:val="1"/>
    <w:qFormat/>
    <w:uiPriority w:val="99"/>
    <w:pPr>
      <w:adjustRightInd w:val="0"/>
      <w:snapToGrid w:val="0"/>
    </w:pPr>
    <w:rPr>
      <w:rFonts w:ascii="Tahoma" w:hAnsi="Tahoma" w:eastAsia="微软雅黑" w:cs="Tahoma"/>
      <w:sz w:val="22"/>
      <w:szCs w:val="22"/>
    </w:rPr>
  </w:style>
  <w:style w:type="paragraph" w:customStyle="1" w:styleId="83">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4">
    <w:name w:val="纯文本 Char"/>
    <w:basedOn w:val="48"/>
    <w:link w:val="28"/>
    <w:qFormat/>
    <w:uiPriority w:val="0"/>
    <w:rPr>
      <w:rFonts w:ascii="宋体" w:hAnsi="Courier New" w:cstheme="minorBidi"/>
      <w:kern w:val="2"/>
      <w:sz w:val="21"/>
      <w:szCs w:val="24"/>
    </w:rPr>
  </w:style>
  <w:style w:type="paragraph" w:customStyle="1" w:styleId="85">
    <w:name w:val="*正文"/>
    <w:link w:val="86"/>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6">
    <w:name w:val="*正文 Char"/>
    <w:link w:val="85"/>
    <w:qFormat/>
    <w:uiPriority w:val="0"/>
    <w:rPr>
      <w:color w:val="000000"/>
      <w:sz w:val="24"/>
    </w:rPr>
  </w:style>
  <w:style w:type="paragraph" w:customStyle="1" w:styleId="87">
    <w:name w:val="正文（深信服）"/>
    <w:link w:val="88"/>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8">
    <w:name w:val="正文（深信服） 字符"/>
    <w:link w:val="87"/>
    <w:qFormat/>
    <w:uiPriority w:val="0"/>
    <w:rPr>
      <w:sz w:val="24"/>
      <w:szCs w:val="21"/>
    </w:rPr>
  </w:style>
  <w:style w:type="paragraph" w:customStyle="1" w:styleId="89">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0">
    <w:name w:val="SANGFOR_2_标题2"/>
    <w:basedOn w:val="4"/>
    <w:next w:val="1"/>
    <w:qFormat/>
    <w:uiPriority w:val="0"/>
    <w:pPr>
      <w:numPr>
        <w:ilvl w:val="1"/>
        <w:numId w:val="4"/>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1">
    <w:name w:val="SANGFOR_3_标题3"/>
    <w:basedOn w:val="5"/>
    <w:next w:val="1"/>
    <w:qFormat/>
    <w:uiPriority w:val="0"/>
    <w:pPr>
      <w:numPr>
        <w:ilvl w:val="2"/>
        <w:numId w:val="4"/>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2">
    <w:name w:val="SANGFOR_4_标题4"/>
    <w:basedOn w:val="6"/>
    <w:next w:val="1"/>
    <w:qFormat/>
    <w:uiPriority w:val="0"/>
    <w:pPr>
      <w:numPr>
        <w:ilvl w:val="3"/>
        <w:numId w:val="4"/>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3">
    <w:name w:val="标题 2 Char"/>
    <w:basedOn w:val="48"/>
    <w:link w:val="4"/>
    <w:qFormat/>
    <w:uiPriority w:val="9"/>
    <w:rPr>
      <w:rFonts w:asciiTheme="majorHAnsi" w:hAnsiTheme="majorHAnsi" w:eastAsiaTheme="majorEastAsia" w:cstheme="majorBidi"/>
      <w:b/>
      <w:bCs/>
      <w:kern w:val="2"/>
      <w:sz w:val="32"/>
      <w:szCs w:val="32"/>
    </w:rPr>
  </w:style>
  <w:style w:type="character" w:customStyle="1" w:styleId="94">
    <w:name w:val="标题 4 Char"/>
    <w:basedOn w:val="48"/>
    <w:link w:val="6"/>
    <w:qFormat/>
    <w:uiPriority w:val="9"/>
    <w:rPr>
      <w:rFonts w:asciiTheme="majorHAnsi" w:hAnsiTheme="majorHAnsi" w:eastAsiaTheme="majorEastAsia" w:cstheme="majorBidi"/>
      <w:b/>
      <w:bCs/>
      <w:kern w:val="2"/>
      <w:sz w:val="28"/>
      <w:szCs w:val="28"/>
    </w:rPr>
  </w:style>
  <w:style w:type="character" w:customStyle="1" w:styleId="95">
    <w:name w:val="标题 1 Char"/>
    <w:basedOn w:val="48"/>
    <w:link w:val="3"/>
    <w:qFormat/>
    <w:uiPriority w:val="99"/>
    <w:rPr>
      <w:rFonts w:ascii="宋体" w:hAnsi="宋体" w:cs="宋体"/>
      <w:b/>
      <w:bCs/>
      <w:kern w:val="44"/>
      <w:sz w:val="44"/>
      <w:szCs w:val="44"/>
    </w:rPr>
  </w:style>
  <w:style w:type="character" w:customStyle="1" w:styleId="96">
    <w:name w:val="标题 5 Char"/>
    <w:basedOn w:val="48"/>
    <w:link w:val="7"/>
    <w:qFormat/>
    <w:uiPriority w:val="9"/>
    <w:rPr>
      <w:rFonts w:ascii="宋体" w:hAnsi="宋体" w:cs="宋体"/>
      <w:b/>
      <w:bCs/>
      <w:sz w:val="28"/>
      <w:szCs w:val="28"/>
    </w:rPr>
  </w:style>
  <w:style w:type="character" w:customStyle="1" w:styleId="97">
    <w:name w:val="标题 6 Char"/>
    <w:basedOn w:val="48"/>
    <w:link w:val="10"/>
    <w:qFormat/>
    <w:uiPriority w:val="9"/>
    <w:rPr>
      <w:rFonts w:asciiTheme="majorHAnsi" w:hAnsiTheme="majorHAnsi" w:cstheme="majorBidi"/>
      <w:b/>
      <w:bCs/>
      <w:sz w:val="24"/>
      <w:szCs w:val="24"/>
    </w:rPr>
  </w:style>
  <w:style w:type="character" w:customStyle="1" w:styleId="98">
    <w:name w:val="标题 7 Char"/>
    <w:basedOn w:val="48"/>
    <w:link w:val="11"/>
    <w:qFormat/>
    <w:uiPriority w:val="9"/>
    <w:rPr>
      <w:rFonts w:ascii="宋体" w:hAnsi="宋体" w:cs="宋体"/>
      <w:b/>
      <w:bCs/>
      <w:sz w:val="24"/>
      <w:szCs w:val="24"/>
    </w:rPr>
  </w:style>
  <w:style w:type="character" w:customStyle="1" w:styleId="99">
    <w:name w:val="标题 8 Char"/>
    <w:basedOn w:val="48"/>
    <w:link w:val="12"/>
    <w:qFormat/>
    <w:uiPriority w:val="9"/>
    <w:rPr>
      <w:rFonts w:asciiTheme="majorHAnsi" w:hAnsiTheme="majorHAnsi" w:cstheme="majorBidi"/>
      <w:b/>
      <w:sz w:val="24"/>
      <w:szCs w:val="24"/>
    </w:rPr>
  </w:style>
  <w:style w:type="character" w:customStyle="1" w:styleId="100">
    <w:name w:val="标题 9 Char"/>
    <w:basedOn w:val="48"/>
    <w:link w:val="13"/>
    <w:qFormat/>
    <w:uiPriority w:val="9"/>
    <w:rPr>
      <w:rFonts w:asciiTheme="majorHAnsi" w:hAnsiTheme="majorHAnsi" w:cstheme="majorBidi"/>
      <w:b/>
      <w:sz w:val="24"/>
      <w:szCs w:val="21"/>
    </w:rPr>
  </w:style>
  <w:style w:type="character" w:customStyle="1" w:styleId="101">
    <w:name w:val="标题 3 Char"/>
    <w:basedOn w:val="48"/>
    <w:link w:val="5"/>
    <w:qFormat/>
    <w:uiPriority w:val="9"/>
    <w:rPr>
      <w:b/>
      <w:bCs/>
      <w:kern w:val="2"/>
      <w:sz w:val="32"/>
      <w:szCs w:val="32"/>
    </w:rPr>
  </w:style>
  <w:style w:type="character" w:customStyle="1" w:styleId="102">
    <w:name w:val="文档结构图 Char"/>
    <w:basedOn w:val="48"/>
    <w:link w:val="19"/>
    <w:qFormat/>
    <w:uiPriority w:val="99"/>
    <w:rPr>
      <w:rFonts w:ascii="宋体" w:hAnsi="宋体" w:cs="宋体"/>
      <w:sz w:val="18"/>
      <w:szCs w:val="18"/>
    </w:rPr>
  </w:style>
  <w:style w:type="character" w:customStyle="1" w:styleId="103">
    <w:name w:val="正文文本 Char"/>
    <w:basedOn w:val="48"/>
    <w:qFormat/>
    <w:uiPriority w:val="99"/>
    <w:rPr>
      <w:rFonts w:ascii="宋体" w:hAnsi="宋体" w:eastAsia="宋体" w:cs="宋体"/>
      <w:kern w:val="0"/>
      <w:sz w:val="24"/>
    </w:rPr>
  </w:style>
  <w:style w:type="character" w:customStyle="1" w:styleId="104">
    <w:name w:val="正文文本缩进 2 Char"/>
    <w:basedOn w:val="48"/>
    <w:link w:val="31"/>
    <w:qFormat/>
    <w:uiPriority w:val="99"/>
    <w:rPr>
      <w:rFonts w:ascii="宋体" w:hAnsi="宋体" w:cs="宋体"/>
      <w:sz w:val="24"/>
      <w:szCs w:val="24"/>
    </w:rPr>
  </w:style>
  <w:style w:type="character" w:customStyle="1" w:styleId="105">
    <w:name w:val="页脚 Char"/>
    <w:basedOn w:val="48"/>
    <w:link w:val="33"/>
    <w:qFormat/>
    <w:uiPriority w:val="99"/>
    <w:rPr>
      <w:kern w:val="2"/>
      <w:sz w:val="18"/>
      <w:szCs w:val="24"/>
    </w:rPr>
  </w:style>
  <w:style w:type="character" w:customStyle="1" w:styleId="106">
    <w:name w:val="页眉 Char"/>
    <w:basedOn w:val="48"/>
    <w:link w:val="34"/>
    <w:qFormat/>
    <w:uiPriority w:val="99"/>
    <w:rPr>
      <w:kern w:val="2"/>
      <w:sz w:val="18"/>
      <w:szCs w:val="24"/>
    </w:rPr>
  </w:style>
  <w:style w:type="character" w:customStyle="1" w:styleId="107">
    <w:name w:val="脚注文本 Char"/>
    <w:basedOn w:val="48"/>
    <w:link w:val="38"/>
    <w:qFormat/>
    <w:uiPriority w:val="99"/>
    <w:rPr>
      <w:rFonts w:ascii="宋体" w:hAnsi="宋体" w:cs="宋体"/>
      <w:sz w:val="18"/>
      <w:szCs w:val="18"/>
    </w:rPr>
  </w:style>
  <w:style w:type="character" w:customStyle="1" w:styleId="108">
    <w:name w:val="正文文本 Char1"/>
    <w:basedOn w:val="48"/>
    <w:link w:val="22"/>
    <w:qFormat/>
    <w:uiPriority w:val="99"/>
    <w:rPr>
      <w:kern w:val="2"/>
      <w:sz w:val="24"/>
      <w:szCs w:val="24"/>
    </w:rPr>
  </w:style>
  <w:style w:type="character" w:customStyle="1" w:styleId="109">
    <w:name w:val="正文首行缩进 Char"/>
    <w:basedOn w:val="108"/>
    <w:link w:val="23"/>
    <w:qFormat/>
    <w:uiPriority w:val="99"/>
    <w:rPr>
      <w:color w:val="000000"/>
      <w:spacing w:val="12"/>
      <w:kern w:val="2"/>
      <w:sz w:val="28"/>
      <w:szCs w:val="24"/>
    </w:rPr>
  </w:style>
  <w:style w:type="character" w:customStyle="1" w:styleId="110">
    <w:name w:val="正文首行缩进 2 Char"/>
    <w:basedOn w:val="80"/>
    <w:link w:val="45"/>
    <w:qFormat/>
    <w:uiPriority w:val="0"/>
    <w:rPr>
      <w:rFonts w:ascii="宋体" w:hAnsi="宋体" w:cs="宋体"/>
      <w:kern w:val="28"/>
      <w:sz w:val="24"/>
      <w:szCs w:val="24"/>
      <w:lang w:val="zh-CN"/>
    </w:rPr>
  </w:style>
  <w:style w:type="paragraph" w:styleId="111">
    <w:name w:val="No Spacing"/>
    <w:link w:val="112"/>
    <w:qFormat/>
    <w:uiPriority w:val="1"/>
    <w:rPr>
      <w:rFonts w:asciiTheme="minorHAnsi" w:hAnsiTheme="minorHAnsi" w:eastAsiaTheme="minorEastAsia" w:cstheme="minorBidi"/>
      <w:sz w:val="22"/>
      <w:szCs w:val="22"/>
      <w:lang w:val="en-US" w:eastAsia="zh-CN" w:bidi="ar-SA"/>
    </w:rPr>
  </w:style>
  <w:style w:type="character" w:customStyle="1" w:styleId="112">
    <w:name w:val="无间隔 Char"/>
    <w:basedOn w:val="48"/>
    <w:link w:val="111"/>
    <w:qFormat/>
    <w:uiPriority w:val="1"/>
    <w:rPr>
      <w:rFonts w:asciiTheme="minorHAnsi" w:hAnsiTheme="minorHAnsi" w:eastAsiaTheme="minorEastAsia" w:cstheme="minorBidi"/>
      <w:sz w:val="22"/>
      <w:szCs w:val="22"/>
    </w:rPr>
  </w:style>
  <w:style w:type="character" w:customStyle="1" w:styleId="113">
    <w:name w:val="font31"/>
    <w:basedOn w:val="48"/>
    <w:qFormat/>
    <w:uiPriority w:val="0"/>
    <w:rPr>
      <w:rFonts w:hint="eastAsia" w:ascii="宋体" w:hAnsi="宋体" w:eastAsia="宋体" w:cs="宋体"/>
      <w:color w:val="FF0000"/>
      <w:kern w:val="0"/>
      <w:sz w:val="21"/>
      <w:szCs w:val="21"/>
      <w:u w:val="none"/>
      <w:lang w:eastAsia="en-US"/>
    </w:rPr>
  </w:style>
  <w:style w:type="character" w:customStyle="1" w:styleId="114">
    <w:name w:val="font11"/>
    <w:basedOn w:val="48"/>
    <w:qFormat/>
    <w:uiPriority w:val="0"/>
    <w:rPr>
      <w:rFonts w:hint="eastAsia" w:ascii="微软雅黑" w:hAnsi="微软雅黑" w:eastAsia="微软雅黑" w:cs="微软雅黑"/>
      <w:color w:val="000000"/>
      <w:kern w:val="0"/>
      <w:sz w:val="20"/>
      <w:szCs w:val="20"/>
      <w:u w:val="single"/>
      <w:lang w:eastAsia="en-US"/>
    </w:rPr>
  </w:style>
  <w:style w:type="character" w:customStyle="1" w:styleId="115">
    <w:name w:val="font21"/>
    <w:basedOn w:val="48"/>
    <w:qFormat/>
    <w:uiPriority w:val="0"/>
    <w:rPr>
      <w:rFonts w:hint="eastAsia" w:ascii="宋体" w:hAnsi="宋体" w:eastAsia="宋体" w:cs="宋体"/>
      <w:color w:val="000000"/>
      <w:kern w:val="0"/>
      <w:sz w:val="22"/>
      <w:szCs w:val="22"/>
      <w:u w:val="none"/>
      <w:lang w:eastAsia="en-US"/>
    </w:rPr>
  </w:style>
  <w:style w:type="character" w:customStyle="1" w:styleId="116">
    <w:name w:val="font61"/>
    <w:basedOn w:val="48"/>
    <w:qFormat/>
    <w:uiPriority w:val="0"/>
    <w:rPr>
      <w:rFonts w:hint="eastAsia" w:ascii="仿宋" w:hAnsi="仿宋" w:eastAsia="仿宋" w:cs="仿宋"/>
      <w:color w:val="000000"/>
      <w:kern w:val="0"/>
      <w:sz w:val="20"/>
      <w:szCs w:val="20"/>
      <w:u w:val="none"/>
      <w:lang w:eastAsia="en-US"/>
    </w:rPr>
  </w:style>
  <w:style w:type="character" w:customStyle="1" w:styleId="117">
    <w:name w:val="font41"/>
    <w:basedOn w:val="48"/>
    <w:qFormat/>
    <w:uiPriority w:val="0"/>
    <w:rPr>
      <w:rFonts w:hint="eastAsia" w:ascii="微软雅黑" w:hAnsi="微软雅黑" w:eastAsia="微软雅黑" w:cs="微软雅黑"/>
      <w:color w:val="000000"/>
      <w:kern w:val="0"/>
      <w:sz w:val="24"/>
      <w:szCs w:val="24"/>
      <w:u w:val="single"/>
      <w:lang w:eastAsia="en-US"/>
    </w:rPr>
  </w:style>
  <w:style w:type="paragraph" w:customStyle="1" w:styleId="118">
    <w:name w:val="正文 样式"/>
    <w:basedOn w:val="1"/>
    <w:link w:val="119"/>
    <w:qFormat/>
    <w:uiPriority w:val="0"/>
    <w:pPr>
      <w:widowControl/>
      <w:spacing w:before="260" w:line="360" w:lineRule="auto"/>
      <w:ind w:firstLine="480" w:firstLineChars="200"/>
      <w:jc w:val="left"/>
    </w:pPr>
    <w:rPr>
      <w:rFonts w:ascii="宋体" w:hAnsi="宋体" w:cs="宋体"/>
      <w:kern w:val="0"/>
      <w:sz w:val="24"/>
    </w:rPr>
  </w:style>
  <w:style w:type="character" w:customStyle="1" w:styleId="119">
    <w:name w:val="正文 样式 Char"/>
    <w:link w:val="118"/>
    <w:qFormat/>
    <w:locked/>
    <w:uiPriority w:val="0"/>
    <w:rPr>
      <w:rFonts w:ascii="宋体" w:hAnsi="宋体" w:cs="宋体"/>
      <w:sz w:val="24"/>
      <w:szCs w:val="24"/>
    </w:rPr>
  </w:style>
  <w:style w:type="paragraph" w:customStyle="1" w:styleId="120">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1">
    <w:name w:val="apple-converted-space"/>
    <w:basedOn w:val="48"/>
    <w:qFormat/>
    <w:uiPriority w:val="0"/>
  </w:style>
  <w:style w:type="paragraph" w:customStyle="1" w:styleId="122">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3">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4">
    <w:name w:val="15"/>
    <w:basedOn w:val="48"/>
    <w:qFormat/>
    <w:uiPriority w:val="0"/>
    <w:rPr>
      <w:rFonts w:hint="eastAsia" w:ascii="宋体" w:hAnsi="宋体" w:eastAsia="宋体" w:cs="Times New Roman"/>
      <w:b/>
      <w:bCs/>
      <w:sz w:val="32"/>
      <w:szCs w:val="32"/>
    </w:rPr>
  </w:style>
  <w:style w:type="paragraph" w:customStyle="1" w:styleId="125">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6">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7">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28">
    <w:name w:val="表格表头"/>
    <w:basedOn w:val="1"/>
    <w:qFormat/>
    <w:uiPriority w:val="0"/>
    <w:pPr>
      <w:widowControl/>
      <w:spacing w:beforeLines="50" w:afterLines="50" w:line="360" w:lineRule="auto"/>
      <w:jc w:val="center"/>
    </w:pPr>
    <w:rPr>
      <w:b/>
      <w:kern w:val="0"/>
      <w:sz w:val="24"/>
      <w:szCs w:val="21"/>
    </w:rPr>
  </w:style>
  <w:style w:type="paragraph" w:customStyle="1" w:styleId="129">
    <w:name w:val="表格正文"/>
    <w:basedOn w:val="1"/>
    <w:link w:val="130"/>
    <w:qFormat/>
    <w:uiPriority w:val="0"/>
    <w:pPr>
      <w:widowControl/>
      <w:spacing w:line="360" w:lineRule="auto"/>
      <w:jc w:val="left"/>
    </w:pPr>
    <w:rPr>
      <w:kern w:val="0"/>
      <w:sz w:val="24"/>
      <w:lang w:val="zh-CN"/>
    </w:rPr>
  </w:style>
  <w:style w:type="character" w:customStyle="1" w:styleId="130">
    <w:name w:val="表格正文 Char"/>
    <w:link w:val="129"/>
    <w:qFormat/>
    <w:uiPriority w:val="0"/>
    <w:rPr>
      <w:sz w:val="24"/>
      <w:szCs w:val="24"/>
      <w:lang w:val="zh-CN"/>
    </w:rPr>
  </w:style>
  <w:style w:type="paragraph" w:customStyle="1" w:styleId="131">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2">
    <w:name w:val="表格文字（居左）"/>
    <w:basedOn w:val="133"/>
    <w:qFormat/>
    <w:uiPriority w:val="0"/>
    <w:pPr>
      <w:jc w:val="left"/>
    </w:pPr>
  </w:style>
  <w:style w:type="paragraph" w:customStyle="1" w:styleId="133">
    <w:name w:val="表格文字（居中）"/>
    <w:basedOn w:val="1"/>
    <w:qFormat/>
    <w:uiPriority w:val="0"/>
    <w:pPr>
      <w:widowControl/>
      <w:jc w:val="center"/>
    </w:pPr>
    <w:rPr>
      <w:kern w:val="0"/>
      <w:sz w:val="24"/>
    </w:rPr>
  </w:style>
  <w:style w:type="paragraph" w:customStyle="1" w:styleId="134">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0">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1">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2">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3">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4">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5">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9">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1">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4">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5">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5">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9">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0">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1">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3">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5">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0">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1">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2">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3">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4">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5">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6">
    <w:name w:val="font23"/>
    <w:basedOn w:val="1"/>
    <w:qFormat/>
    <w:uiPriority w:val="0"/>
    <w:pPr>
      <w:widowControl/>
      <w:spacing w:before="100" w:beforeAutospacing="1" w:after="100" w:afterAutospacing="1"/>
      <w:jc w:val="left"/>
    </w:pPr>
    <w:rPr>
      <w:kern w:val="0"/>
      <w:sz w:val="18"/>
      <w:szCs w:val="18"/>
    </w:rPr>
  </w:style>
  <w:style w:type="paragraph" w:customStyle="1" w:styleId="217">
    <w:name w:val="font24"/>
    <w:basedOn w:val="1"/>
    <w:qFormat/>
    <w:uiPriority w:val="0"/>
    <w:pPr>
      <w:widowControl/>
      <w:spacing w:before="100" w:beforeAutospacing="1" w:after="100" w:afterAutospacing="1"/>
      <w:jc w:val="left"/>
    </w:pPr>
    <w:rPr>
      <w:kern w:val="0"/>
      <w:sz w:val="18"/>
      <w:szCs w:val="18"/>
    </w:rPr>
  </w:style>
  <w:style w:type="paragraph" w:customStyle="1" w:styleId="218">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9">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5">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3">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4">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5">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6">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7">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8">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1">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2">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3">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7">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9">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0">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1">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2">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3">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4">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5">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6">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7">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8">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1">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2">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7">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8">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2">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4">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5">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6">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7">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8">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7">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8">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9">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5">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6">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2">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3">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6">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4">
    <w:name w:val="font01"/>
    <w:basedOn w:val="48"/>
    <w:qFormat/>
    <w:uiPriority w:val="0"/>
    <w:rPr>
      <w:rFonts w:hint="eastAsia" w:ascii="宋体" w:hAnsi="宋体" w:eastAsia="宋体" w:cs="宋体"/>
      <w:color w:val="000000"/>
      <w:sz w:val="20"/>
      <w:szCs w:val="20"/>
      <w:u w:val="none"/>
    </w:rPr>
  </w:style>
  <w:style w:type="character" w:customStyle="1" w:styleId="355">
    <w:name w:val="font191"/>
    <w:basedOn w:val="48"/>
    <w:qFormat/>
    <w:uiPriority w:val="0"/>
    <w:rPr>
      <w:rFonts w:hint="eastAsia" w:ascii="宋体" w:hAnsi="宋体" w:eastAsia="宋体" w:cs="宋体"/>
      <w:b/>
      <w:color w:val="000000"/>
      <w:sz w:val="20"/>
      <w:szCs w:val="20"/>
      <w:u w:val="none"/>
    </w:rPr>
  </w:style>
  <w:style w:type="character" w:customStyle="1" w:styleId="356">
    <w:name w:val="font161"/>
    <w:basedOn w:val="48"/>
    <w:qFormat/>
    <w:uiPriority w:val="0"/>
    <w:rPr>
      <w:rFonts w:hint="default" w:ascii="Arial" w:hAnsi="Arial" w:cs="Arial"/>
      <w:b/>
      <w:color w:val="000000"/>
      <w:sz w:val="20"/>
      <w:szCs w:val="20"/>
      <w:u w:val="none"/>
    </w:rPr>
  </w:style>
  <w:style w:type="character" w:customStyle="1" w:styleId="357">
    <w:name w:val="font181"/>
    <w:basedOn w:val="48"/>
    <w:qFormat/>
    <w:uiPriority w:val="0"/>
    <w:rPr>
      <w:rFonts w:hint="eastAsia" w:ascii="宋体" w:hAnsi="宋体" w:eastAsia="宋体" w:cs="宋体"/>
      <w:color w:val="000000"/>
      <w:sz w:val="20"/>
      <w:szCs w:val="20"/>
      <w:u w:val="none"/>
    </w:rPr>
  </w:style>
  <w:style w:type="character" w:customStyle="1" w:styleId="358">
    <w:name w:val="font171"/>
    <w:basedOn w:val="48"/>
    <w:qFormat/>
    <w:uiPriority w:val="0"/>
    <w:rPr>
      <w:rFonts w:hint="default" w:ascii="Arial" w:hAnsi="Arial" w:cs="Arial"/>
      <w:color w:val="000000"/>
      <w:sz w:val="20"/>
      <w:szCs w:val="20"/>
      <w:u w:val="none"/>
    </w:rPr>
  </w:style>
  <w:style w:type="character" w:customStyle="1" w:styleId="359">
    <w:name w:val="font112"/>
    <w:basedOn w:val="48"/>
    <w:qFormat/>
    <w:uiPriority w:val="0"/>
    <w:rPr>
      <w:rFonts w:hint="default" w:ascii="Arial" w:hAnsi="Arial" w:cs="Arial"/>
      <w:color w:val="000000"/>
      <w:sz w:val="16"/>
      <w:szCs w:val="16"/>
      <w:u w:val="none"/>
    </w:rPr>
  </w:style>
  <w:style w:type="character" w:customStyle="1" w:styleId="360">
    <w:name w:val="font101"/>
    <w:basedOn w:val="48"/>
    <w:qFormat/>
    <w:uiPriority w:val="0"/>
    <w:rPr>
      <w:rFonts w:hint="eastAsia" w:ascii="宋体" w:hAnsi="宋体" w:eastAsia="宋体" w:cs="宋体"/>
      <w:b/>
      <w:color w:val="000000"/>
      <w:sz w:val="20"/>
      <w:szCs w:val="20"/>
      <w:u w:val="none"/>
    </w:rPr>
  </w:style>
  <w:style w:type="character" w:customStyle="1" w:styleId="361">
    <w:name w:val="font91"/>
    <w:basedOn w:val="48"/>
    <w:qFormat/>
    <w:uiPriority w:val="0"/>
    <w:rPr>
      <w:rFonts w:ascii="Segoe UI Symbol" w:hAnsi="Segoe UI Symbol" w:eastAsia="Segoe UI Symbol" w:cs="Segoe UI Symbol"/>
      <w:color w:val="000000"/>
      <w:sz w:val="20"/>
      <w:szCs w:val="20"/>
      <w:u w:val="none"/>
    </w:rPr>
  </w:style>
  <w:style w:type="character" w:customStyle="1" w:styleId="362">
    <w:name w:val="font81"/>
    <w:basedOn w:val="48"/>
    <w:qFormat/>
    <w:uiPriority w:val="0"/>
    <w:rPr>
      <w:rFonts w:hint="default" w:ascii="Arial" w:hAnsi="Arial" w:cs="Arial"/>
      <w:color w:val="000000"/>
      <w:sz w:val="24"/>
      <w:szCs w:val="24"/>
      <w:u w:val="none"/>
      <w:vertAlign w:val="superscript"/>
    </w:rPr>
  </w:style>
  <w:style w:type="character" w:customStyle="1" w:styleId="363">
    <w:name w:val="font212"/>
    <w:basedOn w:val="48"/>
    <w:qFormat/>
    <w:uiPriority w:val="0"/>
    <w:rPr>
      <w:rFonts w:hint="default" w:ascii="Arial" w:hAnsi="Arial" w:cs="Arial"/>
      <w:color w:val="000000"/>
      <w:sz w:val="20"/>
      <w:szCs w:val="20"/>
      <w:u w:val="none"/>
    </w:rPr>
  </w:style>
  <w:style w:type="character" w:customStyle="1" w:styleId="364">
    <w:name w:val="font131"/>
    <w:basedOn w:val="48"/>
    <w:qFormat/>
    <w:uiPriority w:val="0"/>
    <w:rPr>
      <w:rFonts w:hint="eastAsia" w:ascii="宋体" w:hAnsi="宋体" w:eastAsia="宋体" w:cs="宋体"/>
      <w:color w:val="000000"/>
      <w:sz w:val="20"/>
      <w:szCs w:val="20"/>
      <w:u w:val="none"/>
    </w:rPr>
  </w:style>
  <w:style w:type="character" w:customStyle="1" w:styleId="365">
    <w:name w:val="font241"/>
    <w:basedOn w:val="48"/>
    <w:qFormat/>
    <w:uiPriority w:val="0"/>
    <w:rPr>
      <w:rFonts w:hint="eastAsia" w:ascii="宋体" w:hAnsi="宋体" w:eastAsia="宋体" w:cs="宋体"/>
      <w:color w:val="000000"/>
      <w:sz w:val="20"/>
      <w:szCs w:val="20"/>
      <w:u w:val="none"/>
    </w:rPr>
  </w:style>
  <w:style w:type="character" w:customStyle="1" w:styleId="366">
    <w:name w:val="font231"/>
    <w:basedOn w:val="48"/>
    <w:qFormat/>
    <w:uiPriority w:val="0"/>
    <w:rPr>
      <w:rFonts w:hint="default" w:ascii="Arial" w:hAnsi="Arial" w:cs="Arial"/>
      <w:color w:val="000000"/>
      <w:sz w:val="20"/>
      <w:szCs w:val="20"/>
      <w:u w:val="none"/>
    </w:rPr>
  </w:style>
  <w:style w:type="character" w:customStyle="1" w:styleId="367">
    <w:name w:val="font71"/>
    <w:basedOn w:val="48"/>
    <w:qFormat/>
    <w:uiPriority w:val="0"/>
    <w:rPr>
      <w:rFonts w:ascii="微软雅黑" w:hAnsi="微软雅黑" w:eastAsia="微软雅黑" w:cs="微软雅黑"/>
      <w:color w:val="000000"/>
      <w:sz w:val="20"/>
      <w:szCs w:val="20"/>
      <w:u w:val="none"/>
    </w:rPr>
  </w:style>
  <w:style w:type="character" w:customStyle="1" w:styleId="368">
    <w:name w:val="font51"/>
    <w:basedOn w:val="48"/>
    <w:qFormat/>
    <w:uiPriority w:val="0"/>
    <w:rPr>
      <w:rFonts w:hint="eastAsia" w:ascii="宋体" w:hAnsi="宋体" w:eastAsia="宋体" w:cs="宋体"/>
      <w:color w:val="000000"/>
      <w:sz w:val="20"/>
      <w:szCs w:val="20"/>
      <w:u w:val="none"/>
    </w:rPr>
  </w:style>
  <w:style w:type="character" w:customStyle="1" w:styleId="369">
    <w:name w:val="font121"/>
    <w:basedOn w:val="48"/>
    <w:qFormat/>
    <w:uiPriority w:val="0"/>
    <w:rPr>
      <w:rFonts w:hint="default" w:ascii="Arial" w:hAnsi="Arial" w:cs="Arial"/>
      <w:color w:val="000000"/>
      <w:sz w:val="20"/>
      <w:szCs w:val="20"/>
      <w:u w:val="none"/>
    </w:rPr>
  </w:style>
  <w:style w:type="character" w:customStyle="1" w:styleId="370">
    <w:name w:val="font132"/>
    <w:basedOn w:val="48"/>
    <w:qFormat/>
    <w:uiPriority w:val="0"/>
    <w:rPr>
      <w:rFonts w:hint="eastAsia" w:ascii="宋体" w:hAnsi="宋体" w:eastAsia="宋体" w:cs="宋体"/>
      <w:color w:val="000000"/>
      <w:sz w:val="20"/>
      <w:szCs w:val="20"/>
      <w:u w:val="none"/>
    </w:rPr>
  </w:style>
  <w:style w:type="character" w:customStyle="1" w:styleId="371">
    <w:name w:val="font111"/>
    <w:basedOn w:val="48"/>
    <w:qFormat/>
    <w:uiPriority w:val="0"/>
    <w:rPr>
      <w:rFonts w:hint="default" w:ascii="Arial" w:hAnsi="Arial" w:cs="Arial"/>
      <w:color w:val="000000"/>
      <w:sz w:val="20"/>
      <w:szCs w:val="20"/>
      <w:u w:val="none"/>
    </w:rPr>
  </w:style>
  <w:style w:type="character" w:customStyle="1" w:styleId="372">
    <w:name w:val="font122"/>
    <w:basedOn w:val="48"/>
    <w:qFormat/>
    <w:uiPriority w:val="0"/>
    <w:rPr>
      <w:rFonts w:hint="eastAsia" w:ascii="宋体" w:hAnsi="宋体" w:eastAsia="宋体" w:cs="宋体"/>
      <w:color w:val="000000"/>
      <w:sz w:val="20"/>
      <w:szCs w:val="20"/>
      <w:u w:val="none"/>
    </w:rPr>
  </w:style>
  <w:style w:type="character" w:customStyle="1" w:styleId="373">
    <w:name w:val="font222"/>
    <w:basedOn w:val="48"/>
    <w:qFormat/>
    <w:uiPriority w:val="0"/>
    <w:rPr>
      <w:rFonts w:hint="eastAsia" w:ascii="宋体" w:hAnsi="宋体" w:eastAsia="宋体" w:cs="宋体"/>
      <w:b/>
      <w:color w:val="000000"/>
      <w:sz w:val="20"/>
      <w:szCs w:val="20"/>
      <w:u w:val="none"/>
    </w:rPr>
  </w:style>
  <w:style w:type="character" w:customStyle="1" w:styleId="374">
    <w:name w:val="font211"/>
    <w:basedOn w:val="48"/>
    <w:qFormat/>
    <w:uiPriority w:val="0"/>
    <w:rPr>
      <w:rFonts w:hint="default" w:ascii="Arial" w:hAnsi="Arial" w:cs="Arial"/>
      <w:color w:val="000000"/>
      <w:sz w:val="20"/>
      <w:szCs w:val="20"/>
      <w:u w:val="none"/>
    </w:rPr>
  </w:style>
  <w:style w:type="character" w:customStyle="1" w:styleId="375">
    <w:name w:val="font201"/>
    <w:basedOn w:val="48"/>
    <w:qFormat/>
    <w:uiPriority w:val="0"/>
    <w:rPr>
      <w:rFonts w:hint="default" w:ascii="Arial" w:hAnsi="Arial" w:cs="Arial"/>
      <w:color w:val="000000"/>
      <w:sz w:val="20"/>
      <w:szCs w:val="20"/>
      <w:u w:val="none"/>
    </w:rPr>
  </w:style>
  <w:style w:type="character" w:customStyle="1" w:styleId="376">
    <w:name w:val="font151"/>
    <w:basedOn w:val="48"/>
    <w:qFormat/>
    <w:uiPriority w:val="0"/>
    <w:rPr>
      <w:rFonts w:hint="eastAsia" w:ascii="宋体" w:hAnsi="宋体" w:eastAsia="宋体" w:cs="宋体"/>
      <w:color w:val="000000"/>
      <w:sz w:val="16"/>
      <w:szCs w:val="16"/>
      <w:u w:val="none"/>
    </w:rPr>
  </w:style>
  <w:style w:type="character" w:customStyle="1" w:styleId="377">
    <w:name w:val="font141"/>
    <w:basedOn w:val="48"/>
    <w:qFormat/>
    <w:uiPriority w:val="0"/>
    <w:rPr>
      <w:rFonts w:hint="eastAsia" w:ascii="宋体" w:hAnsi="宋体" w:eastAsia="宋体" w:cs="宋体"/>
      <w:b/>
      <w:color w:val="000000"/>
      <w:sz w:val="20"/>
      <w:szCs w:val="20"/>
      <w:u w:val="none"/>
    </w:rPr>
  </w:style>
  <w:style w:type="paragraph" w:customStyle="1" w:styleId="3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0">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1">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2">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83">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4">
    <w:name w:val="列表段落1"/>
    <w:basedOn w:val="1"/>
    <w:qFormat/>
    <w:uiPriority w:val="34"/>
    <w:pPr>
      <w:widowControl/>
      <w:ind w:firstLine="420" w:firstLineChars="200"/>
      <w:jc w:val="left"/>
    </w:pPr>
    <w:rPr>
      <w:rFonts w:ascii="宋体" w:hAnsi="宋体" w:cs="宋体"/>
      <w:kern w:val="0"/>
      <w:sz w:val="24"/>
    </w:rPr>
  </w:style>
  <w:style w:type="paragraph" w:customStyle="1" w:styleId="38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6">
    <w:name w:val="样式2 Char Char"/>
    <w:link w:val="387"/>
    <w:qFormat/>
    <w:uiPriority w:val="0"/>
    <w:rPr>
      <w:rFonts w:ascii="Calibri" w:hAnsi="Calibri" w:eastAsia="微软雅黑"/>
      <w:b/>
      <w:color w:val="FF6600"/>
      <w:sz w:val="24"/>
    </w:rPr>
  </w:style>
  <w:style w:type="paragraph" w:customStyle="1" w:styleId="387">
    <w:name w:val="样式2"/>
    <w:basedOn w:val="1"/>
    <w:link w:val="386"/>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8">
    <w:name w:val="样式4"/>
    <w:basedOn w:val="1"/>
    <w:qFormat/>
    <w:uiPriority w:val="0"/>
    <w:pPr>
      <w:numPr>
        <w:ilvl w:val="0"/>
        <w:numId w:val="5"/>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9">
    <w:name w:val="样式3"/>
    <w:basedOn w:val="1"/>
    <w:qFormat/>
    <w:uiPriority w:val="0"/>
    <w:pPr>
      <w:numPr>
        <w:ilvl w:val="0"/>
        <w:numId w:val="6"/>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0">
    <w:name w:val="3zw1"/>
    <w:qFormat/>
    <w:uiPriority w:val="0"/>
    <w:rPr>
      <w:rFonts w:ascii="Times New Roman"/>
    </w:rPr>
  </w:style>
  <w:style w:type="paragraph" w:customStyle="1" w:styleId="39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2">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3">
    <w:name w:val="正文首行缩进1"/>
    <w:basedOn w:val="22"/>
    <w:qFormat/>
    <w:uiPriority w:val="0"/>
    <w:pPr>
      <w:widowControl/>
      <w:spacing w:line="360" w:lineRule="auto"/>
      <w:ind w:firstLine="200" w:firstLineChars="200"/>
      <w:jc w:val="left"/>
    </w:pPr>
    <w:rPr>
      <w:rFonts w:eastAsia="仿宋_GB2312"/>
      <w:kern w:val="0"/>
      <w:sz w:val="28"/>
    </w:rPr>
  </w:style>
  <w:style w:type="paragraph" w:customStyle="1" w:styleId="394">
    <w:name w:val="4级标题"/>
    <w:basedOn w:val="63"/>
    <w:qFormat/>
    <w:uiPriority w:val="0"/>
    <w:pPr>
      <w:keepLines/>
      <w:widowControl/>
      <w:numPr>
        <w:ilvl w:val="3"/>
        <w:numId w:val="7"/>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5">
    <w:name w:val="3级标题"/>
    <w:basedOn w:val="63"/>
    <w:link w:val="397"/>
    <w:qFormat/>
    <w:uiPriority w:val="0"/>
    <w:pPr>
      <w:keepLines/>
      <w:widowControl/>
      <w:numPr>
        <w:ilvl w:val="2"/>
        <w:numId w:val="7"/>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6">
    <w:name w:val="样式 首行缩进:  0 字符"/>
    <w:basedOn w:val="1"/>
    <w:link w:val="399"/>
    <w:qFormat/>
    <w:uiPriority w:val="0"/>
    <w:pPr>
      <w:widowControl/>
      <w:spacing w:line="360" w:lineRule="auto"/>
      <w:ind w:firstLine="200" w:firstLineChars="200"/>
      <w:jc w:val="left"/>
    </w:pPr>
    <w:rPr>
      <w:rFonts w:cs="宋体"/>
      <w:kern w:val="0"/>
      <w:sz w:val="24"/>
      <w:szCs w:val="20"/>
    </w:rPr>
  </w:style>
  <w:style w:type="character" w:customStyle="1" w:styleId="397">
    <w:name w:val="3级标题 Char"/>
    <w:link w:val="395"/>
    <w:qFormat/>
    <w:uiPriority w:val="0"/>
    <w:rPr>
      <w:rFonts w:ascii="黑体" w:hAnsi="黑体" w:eastAsia="黑体"/>
      <w:sz w:val="28"/>
      <w:szCs w:val="36"/>
      <w:lang w:eastAsia="en-US" w:bidi="en-US"/>
    </w:rPr>
  </w:style>
  <w:style w:type="character" w:customStyle="1" w:styleId="398">
    <w:name w:val="列出段落 Char"/>
    <w:link w:val="62"/>
    <w:qFormat/>
    <w:locked/>
    <w:uiPriority w:val="34"/>
    <w:rPr>
      <w:rFonts w:ascii="Calibri" w:hAnsi="Calibri"/>
      <w:kern w:val="2"/>
      <w:sz w:val="21"/>
      <w:szCs w:val="22"/>
    </w:rPr>
  </w:style>
  <w:style w:type="character" w:customStyle="1" w:styleId="399">
    <w:name w:val="样式 首行缩进:  0 字符 Char"/>
    <w:link w:val="396"/>
    <w:qFormat/>
    <w:locked/>
    <w:uiPriority w:val="0"/>
    <w:rPr>
      <w:rFonts w:cs="宋体"/>
      <w:sz w:val="24"/>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2">
    <w:name w:val="列表段落11"/>
    <w:basedOn w:val="1"/>
    <w:qFormat/>
    <w:uiPriority w:val="34"/>
    <w:pPr>
      <w:ind w:firstLine="420" w:firstLineChars="200"/>
    </w:pPr>
    <w:rPr>
      <w:rFonts w:ascii="Calibri" w:hAnsi="Calibri"/>
      <w:szCs w:val="22"/>
    </w:rPr>
  </w:style>
  <w:style w:type="paragraph" w:customStyle="1" w:styleId="403">
    <w:name w:val="0表格样式"/>
    <w:qFormat/>
    <w:uiPriority w:val="0"/>
    <w:rPr>
      <w:rFonts w:ascii="Calibri" w:hAnsi="Calibri" w:eastAsia="仿宋" w:cs="仿宋_GB2312"/>
      <w:kern w:val="2"/>
      <w:sz w:val="21"/>
      <w:szCs w:val="28"/>
      <w:lang w:val="en-US" w:eastAsia="zh-CN" w:bidi="ar-SA"/>
    </w:rPr>
  </w:style>
  <w:style w:type="paragraph" w:customStyle="1" w:styleId="404">
    <w:name w:val="修订3"/>
    <w:hidden/>
    <w:semiHidden/>
    <w:qFormat/>
    <w:uiPriority w:val="99"/>
    <w:rPr>
      <w:rFonts w:ascii="宋体" w:hAnsi="宋体" w:eastAsia="宋体" w:cs="宋体"/>
      <w:sz w:val="24"/>
      <w:szCs w:val="24"/>
      <w:lang w:val="en-US" w:eastAsia="zh-CN" w:bidi="ar-SA"/>
    </w:rPr>
  </w:style>
  <w:style w:type="character" w:customStyle="1" w:styleId="405">
    <w:name w:val="方案正文 Char"/>
    <w:link w:val="406"/>
    <w:qFormat/>
    <w:locked/>
    <w:uiPriority w:val="0"/>
    <w:rPr>
      <w:rFonts w:ascii="宋体" w:hAnsi="宋体" w:eastAsia="微软雅黑" w:cs="宋体"/>
      <w:color w:val="000000"/>
      <w:sz w:val="24"/>
    </w:rPr>
  </w:style>
  <w:style w:type="paragraph" w:customStyle="1" w:styleId="406">
    <w:name w:val="方案正文"/>
    <w:basedOn w:val="1"/>
    <w:link w:val="405"/>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7">
    <w:name w:val="技术文档正文"/>
    <w:basedOn w:val="1"/>
    <w:qFormat/>
    <w:uiPriority w:val="0"/>
    <w:pPr>
      <w:spacing w:line="360" w:lineRule="auto"/>
      <w:ind w:firstLine="200" w:firstLineChars="200"/>
    </w:pPr>
    <w:rPr>
      <w:rFonts w:cstheme="minorBidi"/>
      <w:sz w:val="24"/>
      <w:szCs w:val="21"/>
    </w:rPr>
  </w:style>
  <w:style w:type="character" w:customStyle="1" w:styleId="408">
    <w:name w:val="题注 Char"/>
    <w:link w:val="18"/>
    <w:qFormat/>
    <w:uiPriority w:val="35"/>
    <w:rPr>
      <w:rFonts w:ascii="Arial Unicode MS" w:hAnsi="Arial Unicode MS" w:cs="宋体"/>
      <w:sz w:val="24"/>
    </w:rPr>
  </w:style>
  <w:style w:type="character" w:customStyle="1" w:styleId="409">
    <w:name w:val="Unresolved Mention"/>
    <w:basedOn w:val="48"/>
    <w:semiHidden/>
    <w:unhideWhenUsed/>
    <w:qFormat/>
    <w:uiPriority w:val="99"/>
    <w:rPr>
      <w:color w:val="605E5C"/>
      <w:shd w:val="clear" w:color="auto" w:fill="E1DFDD"/>
    </w:rPr>
  </w:style>
  <w:style w:type="character" w:customStyle="1" w:styleId="410">
    <w:name w:val="日期 Char"/>
    <w:basedOn w:val="48"/>
    <w:link w:val="29"/>
    <w:qFormat/>
    <w:uiPriority w:val="99"/>
    <w:rPr>
      <w:rFonts w:eastAsia="楷体_GB2312" w:asciiTheme="minorHAnsi" w:hAnsiTheme="minorHAnsi" w:cstheme="minorBidi"/>
      <w:kern w:val="2"/>
      <w:sz w:val="32"/>
      <w:szCs w:val="22"/>
    </w:rPr>
  </w:style>
  <w:style w:type="character" w:customStyle="1" w:styleId="411">
    <w:name w:val="param-explain"/>
    <w:basedOn w:val="48"/>
    <w:qFormat/>
    <w:uiPriority w:val="0"/>
  </w:style>
  <w:style w:type="character" w:customStyle="1" w:styleId="412">
    <w:name w:val="HTML 预设格式 Char"/>
    <w:basedOn w:val="48"/>
    <w:link w:val="42"/>
    <w:qFormat/>
    <w:uiPriority w:val="99"/>
    <w:rPr>
      <w:rFonts w:ascii="宋体" w:hAnsi="宋体" w:cs="宋体"/>
      <w:sz w:val="24"/>
      <w:szCs w:val="24"/>
    </w:rPr>
  </w:style>
  <w:style w:type="character" w:customStyle="1" w:styleId="413">
    <w:name w:val="标题 Char"/>
    <w:basedOn w:val="48"/>
    <w:link w:val="43"/>
    <w:qFormat/>
    <w:uiPriority w:val="0"/>
    <w:rPr>
      <w:rFonts w:ascii="Arial" w:hAnsi="Arial"/>
      <w:b/>
      <w:bCs/>
      <w:kern w:val="36"/>
      <w:sz w:val="32"/>
      <w:szCs w:val="32"/>
    </w:rPr>
  </w:style>
  <w:style w:type="paragraph" w:customStyle="1" w:styleId="414">
    <w:name w:val="Char1"/>
    <w:basedOn w:val="1"/>
    <w:qFormat/>
    <w:uiPriority w:val="0"/>
    <w:rPr>
      <w:rFonts w:ascii="Tahoma" w:hAnsi="Tahoma"/>
      <w:sz w:val="24"/>
      <w:szCs w:val="20"/>
    </w:rPr>
  </w:style>
  <w:style w:type="paragraph" w:customStyle="1" w:styleId="415">
    <w:name w:val="正文（首行缩进2字符）"/>
    <w:basedOn w:val="1"/>
    <w:qFormat/>
    <w:uiPriority w:val="0"/>
    <w:pPr>
      <w:ind w:firstLine="480" w:firstLineChars="200"/>
    </w:pPr>
    <w:rPr>
      <w:sz w:val="24"/>
      <w:szCs w:val="20"/>
    </w:rPr>
  </w:style>
  <w:style w:type="paragraph" w:customStyle="1" w:styleId="416">
    <w:name w:val="表格内文"/>
    <w:basedOn w:val="1"/>
    <w:qFormat/>
    <w:uiPriority w:val="99"/>
    <w:pPr>
      <w:spacing w:line="400" w:lineRule="exact"/>
    </w:pPr>
    <w:rPr>
      <w:rFonts w:ascii="Arial" w:hAnsi="Arial" w:cs="宋体"/>
      <w:szCs w:val="20"/>
    </w:rPr>
  </w:style>
  <w:style w:type="paragraph" w:customStyle="1" w:styleId="417">
    <w:name w:val="_Style 1"/>
    <w:qFormat/>
    <w:uiPriority w:val="99"/>
    <w:rPr>
      <w:rFonts w:ascii="Calibri" w:hAnsi="Calibri" w:eastAsia="宋体" w:cs="Times New Roman"/>
      <w:kern w:val="2"/>
      <w:sz w:val="28"/>
      <w:szCs w:val="22"/>
      <w:lang w:val="en-US" w:eastAsia="zh-CN" w:bidi="ar-SA"/>
    </w:rPr>
  </w:style>
  <w:style w:type="character" w:customStyle="1" w:styleId="418">
    <w:name w:val="NormalCharacter"/>
    <w:semiHidden/>
    <w:qFormat/>
    <w:uiPriority w:val="0"/>
  </w:style>
  <w:style w:type="paragraph" w:customStyle="1" w:styleId="419">
    <w:name w:val="_Style 116"/>
    <w:qFormat/>
    <w:uiPriority w:val="99"/>
    <w:rPr>
      <w:rFonts w:ascii="Times New Roman" w:hAnsi="Times New Roman" w:eastAsia="宋体" w:cs="Times New Roman"/>
      <w:sz w:val="24"/>
      <w:szCs w:val="22"/>
      <w:lang w:val="en-US" w:eastAsia="zh-CN" w:bidi="ar-SA"/>
    </w:rPr>
  </w:style>
  <w:style w:type="paragraph" w:customStyle="1" w:styleId="420">
    <w:name w:val="hea"/>
    <w:basedOn w:val="1"/>
    <w:next w:val="1"/>
    <w:qFormat/>
    <w:uiPriority w:val="0"/>
    <w:pPr>
      <w:keepNext/>
      <w:keepLines/>
      <w:numPr>
        <w:ilvl w:val="0"/>
        <w:numId w:val="8"/>
      </w:numPr>
      <w:spacing w:before="340" w:after="330" w:line="578" w:lineRule="auto"/>
      <w:outlineLvl w:val="0"/>
    </w:pPr>
    <w:rPr>
      <w:b/>
      <w:bCs/>
      <w:kern w:val="44"/>
      <w:sz w:val="44"/>
      <w:szCs w:val="44"/>
    </w:rPr>
  </w:style>
  <w:style w:type="paragraph" w:customStyle="1" w:styleId="421">
    <w:name w:val="￥正文"/>
    <w:basedOn w:val="1"/>
    <w:qFormat/>
    <w:uiPriority w:val="0"/>
    <w:pPr>
      <w:ind w:firstLine="200" w:firstLineChars="200"/>
    </w:pPr>
    <w:rPr>
      <w:rFonts w:ascii="Calibri" w:hAnsi="Calibri"/>
    </w:rPr>
  </w:style>
  <w:style w:type="paragraph" w:customStyle="1" w:styleId="422">
    <w:name w:val="正文空格"/>
    <w:basedOn w:val="1"/>
    <w:next w:val="1"/>
    <w:qFormat/>
    <w:uiPriority w:val="0"/>
    <w:pPr>
      <w:spacing w:line="400" w:lineRule="exact"/>
      <w:ind w:firstLine="200" w:firstLineChars="200"/>
    </w:pPr>
    <w:rPr>
      <w:sz w:val="24"/>
      <w:szCs w:val="22"/>
    </w:rPr>
  </w:style>
  <w:style w:type="paragraph" w:customStyle="1" w:styleId="423">
    <w:name w:val="纯文本11"/>
    <w:basedOn w:val="1"/>
    <w:qFormat/>
    <w:uiPriority w:val="0"/>
    <w:rPr>
      <w:rFonts w:ascii="宋体" w:hAnsi="Courier New"/>
    </w:rPr>
  </w:style>
  <w:style w:type="paragraph" w:customStyle="1" w:styleId="4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27">
    <w:name w:val="H正文文本"/>
    <w:basedOn w:val="1"/>
    <w:qFormat/>
    <w:uiPriority w:val="0"/>
    <w:pPr>
      <w:spacing w:line="360" w:lineRule="auto"/>
      <w:ind w:firstLine="420" w:firstLineChars="200"/>
    </w:pPr>
    <w:rPr>
      <w:sz w:val="24"/>
    </w:rPr>
  </w:style>
  <w:style w:type="paragraph" w:customStyle="1" w:styleId="428">
    <w:name w:val="一级无"/>
    <w:basedOn w:val="1"/>
    <w:qFormat/>
    <w:uiPriority w:val="0"/>
    <w:pPr>
      <w:widowControl/>
      <w:jc w:val="left"/>
      <w:outlineLvl w:val="2"/>
    </w:pPr>
    <w:rPr>
      <w:rFonts w:ascii="宋体"/>
      <w:kern w:val="0"/>
      <w:szCs w:val="21"/>
    </w:rPr>
  </w:style>
  <w:style w:type="paragraph" w:customStyle="1" w:styleId="4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30">
    <w:name w:val="Heading3"/>
    <w:basedOn w:val="1"/>
    <w:next w:val="1"/>
    <w:qFormat/>
    <w:uiPriority w:val="0"/>
    <w:pPr>
      <w:spacing w:before="120" w:after="12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71</Pages>
  <Words>17943</Words>
  <Characters>19197</Characters>
  <Lines>235</Lines>
  <Paragraphs>66</Paragraphs>
  <TotalTime>890</TotalTime>
  <ScaleCrop>false</ScaleCrop>
  <LinksUpToDate>false</LinksUpToDate>
  <CharactersWithSpaces>19402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2021-07-08T01:31:00Z</dcterms:created>
  <dc:creator>S-mile</dc:creator>
  <cp:lastModifiedBy>ushop</cp:lastModifiedBy>
  <cp:lastPrinted>2024-01-12T22:11:00Z</cp:lastPrinted>
  <dcterms:modified xsi:type="dcterms:W3CDTF">2025-07-01T00:12:07Z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D5612450990E472EB5DA2FD051ABEDA6_13</vt:lpwstr>
  </property>
  <property fmtid="{D5CDD505-2E9C-101B-9397-08002B2CF9AE}" pid="4" name="KSOTemplateDocerSaveRecord">
    <vt:lpwstr>eyJoZGlkIjoiNWM4MTczYTkxNjQxNTZmZDJkMjkyZjJjNjUxMzRhMzgiLCJ1c2VySWQiOiI3MjUwNjk1MzIifQ==</vt:lpwstr>
  </property>
</Properties>
</file>