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drawing>
          <wp:inline distT="0" distB="0" distL="114300" distR="114300">
            <wp:extent cx="2954020" cy="1857375"/>
            <wp:effectExtent l="0" t="0" r="0" b="0"/>
            <wp:docPr id="5" name="图片 5" descr="ZH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H_画板 1"/>
                    <pic:cNvPicPr>
                      <a:picLocks noChangeAspect="1"/>
                    </pic:cNvPicPr>
                  </pic:nvPicPr>
                  <pic:blipFill>
                    <a:blip r:embed="rId10"/>
                    <a:srcRect l="9173" t="25331" r="7249" b="24452"/>
                    <a:stretch>
                      <a:fillRect/>
                    </a:stretch>
                  </pic:blipFill>
                  <pic:spPr>
                    <a:xfrm>
                      <a:off x="0" y="0"/>
                      <a:ext cx="2954020" cy="185737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公开招标文件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ind w:firstLine="2650" w:firstLineChars="600"/>
        <w:rPr>
          <w:rFonts w:ascii="宋体"/>
          <w:b/>
          <w:color w:val="000000"/>
          <w:kern w:val="0"/>
          <w:sz w:val="52"/>
          <w:szCs w:val="52"/>
        </w:rPr>
      </w:pPr>
      <w:r>
        <w:rPr>
          <w:rFonts w:hint="eastAsia" w:asciiTheme="minorEastAsia" w:hAnsiTheme="minorEastAsia" w:eastAsiaTheme="minorEastAsia"/>
          <w:b/>
          <w:sz w:val="44"/>
          <w:szCs w:val="44"/>
        </w:rPr>
        <w:t>（电子招投标）</w:t>
      </w:r>
    </w:p>
    <w:p>
      <w:pPr>
        <w:autoSpaceDE w:val="0"/>
        <w:autoSpaceDN w:val="0"/>
        <w:adjustRightInd w:val="0"/>
        <w:spacing w:line="360" w:lineRule="auto"/>
        <w:jc w:val="left"/>
        <w:rPr>
          <w:rFonts w:ascii="宋体"/>
          <w:kern w:val="0"/>
          <w:sz w:val="28"/>
        </w:rPr>
      </w:pPr>
    </w:p>
    <w:p>
      <w:pPr>
        <w:autoSpaceDE w:val="0"/>
        <w:autoSpaceDN w:val="0"/>
        <w:adjustRightInd w:val="0"/>
        <w:spacing w:line="360" w:lineRule="auto"/>
        <w:jc w:val="left"/>
        <w:rPr>
          <w:rFonts w:hint="eastAsia" w:eastAsia="宋体"/>
          <w:lang w:eastAsia="zh-CN"/>
        </w:rPr>
      </w:pPr>
      <w:r>
        <w:rPr>
          <w:rFonts w:hint="eastAsia" w:ascii="宋体"/>
          <w:kern w:val="0"/>
          <w:sz w:val="28"/>
        </w:rPr>
        <w:t>采购项目：</w:t>
      </w:r>
      <w:r>
        <w:rPr>
          <w:rFonts w:hint="eastAsia" w:ascii="宋体"/>
          <w:kern w:val="0"/>
          <w:sz w:val="28"/>
          <w:lang w:eastAsia="zh-CN"/>
        </w:rPr>
        <w:t>椒江区土地整治(垦造耕地、建设用地复垦、永久基本农田连片整治等项目)服务采购</w:t>
      </w:r>
    </w:p>
    <w:p>
      <w:pPr>
        <w:autoSpaceDE w:val="0"/>
        <w:autoSpaceDN w:val="0"/>
        <w:adjustRightInd w:val="0"/>
        <w:spacing w:line="360" w:lineRule="auto"/>
        <w:jc w:val="left"/>
      </w:pPr>
      <w:r>
        <w:rPr>
          <w:rFonts w:hint="eastAsia" w:ascii="宋体"/>
          <w:kern w:val="0"/>
          <w:sz w:val="28"/>
        </w:rPr>
        <w:t>项目编号：TZZH2024-jjgtj16</w:t>
      </w:r>
    </w:p>
    <w:p>
      <w:pPr>
        <w:autoSpaceDE w:val="0"/>
        <w:autoSpaceDN w:val="0"/>
        <w:adjustRightInd w:val="0"/>
        <w:spacing w:line="360" w:lineRule="auto"/>
        <w:jc w:val="left"/>
        <w:rPr>
          <w:rFonts w:ascii="宋体"/>
          <w:kern w:val="0"/>
          <w:sz w:val="28"/>
        </w:rPr>
      </w:pPr>
      <w:r>
        <w:rPr>
          <w:rFonts w:hint="eastAsia" w:ascii="宋体"/>
          <w:kern w:val="0"/>
          <w:sz w:val="28"/>
        </w:rPr>
        <w:t>采购人：台州市自然资源和规划局椒江分局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s="宋体"/>
          <w:kern w:val="0"/>
          <w:sz w:val="28"/>
          <w:szCs w:val="28"/>
        </w:rPr>
      </w:pPr>
      <w:r>
        <w:rPr>
          <w:rFonts w:hint="eastAsia" w:ascii="宋体"/>
          <w:kern w:val="0"/>
          <w:sz w:val="28"/>
        </w:rPr>
        <w:t>招标代理：</w:t>
      </w:r>
      <w:r>
        <w:rPr>
          <w:rFonts w:hint="eastAsia" w:ascii="宋体" w:hAnsi="宋体" w:cs="宋体"/>
          <w:kern w:val="0"/>
          <w:sz w:val="28"/>
          <w:szCs w:val="28"/>
        </w:rPr>
        <w:t>台州市中恒企业管理咨询有限公司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s="宋体"/>
          <w:kern w:val="0"/>
          <w:sz w:val="28"/>
          <w:szCs w:val="28"/>
        </w:rPr>
      </w:pPr>
    </w:p>
    <w:p>
      <w:pPr>
        <w:pStyle w:val="25"/>
        <w:rPr>
          <w:rFonts w:ascii="宋体" w:cs="宋体"/>
          <w:szCs w:val="28"/>
        </w:rPr>
      </w:pPr>
    </w:p>
    <w:p>
      <w:pPr>
        <w:pStyle w:val="25"/>
        <w:jc w:val="both"/>
        <w:rPr>
          <w:rFonts w:ascii="宋体" w:cs="宋体"/>
          <w:szCs w:val="28"/>
        </w:rPr>
      </w:pPr>
    </w:p>
    <w:p>
      <w:pPr>
        <w:rPr>
          <w:rFonts w:ascii="宋体" w:cs="宋体"/>
          <w:kern w:val="0"/>
          <w:sz w:val="28"/>
          <w:szCs w:val="28"/>
        </w:rPr>
      </w:pPr>
    </w:p>
    <w:p>
      <w:pPr>
        <w:pStyle w:val="25"/>
      </w:pPr>
    </w:p>
    <w:p>
      <w:pPr>
        <w:spacing w:line="360" w:lineRule="auto"/>
        <w:ind w:firstLine="2880" w:firstLineChars="900"/>
        <w:jc w:val="both"/>
        <w:rPr>
          <w:sz w:val="32"/>
          <w:szCs w:val="32"/>
        </w:rPr>
      </w:pPr>
      <w:r>
        <w:rPr>
          <w:rFonts w:hint="eastAsia" w:ascii="宋体" w:hAnsi="宋体"/>
          <w:sz w:val="32"/>
          <w:szCs w:val="32"/>
        </w:rPr>
        <w:t>二〇二四年</w:t>
      </w:r>
      <w:r>
        <w:rPr>
          <w:rFonts w:hint="eastAsia" w:ascii="宋体" w:hAnsi="宋体"/>
          <w:sz w:val="32"/>
          <w:szCs w:val="32"/>
          <w:lang w:val="en-US" w:eastAsia="zh-CN"/>
        </w:rPr>
        <w:t>五</w:t>
      </w:r>
      <w:r>
        <w:rPr>
          <w:rFonts w:hint="eastAsia" w:ascii="宋体" w:hAnsi="宋体"/>
          <w:sz w:val="32"/>
          <w:szCs w:val="32"/>
        </w:rPr>
        <w:t>月</w:t>
      </w:r>
    </w:p>
    <w:p>
      <w:pPr>
        <w:jc w:val="center"/>
      </w:pPr>
    </w:p>
    <w:p>
      <w:pPr>
        <w:pStyle w:val="25"/>
      </w:pPr>
    </w:p>
    <w:p/>
    <w:p>
      <w:pPr>
        <w:pStyle w:val="11"/>
      </w:pPr>
    </w:p>
    <w:p>
      <w:pPr>
        <w:jc w:val="center"/>
        <w:rPr>
          <w:rFonts w:ascii="宋体" w:cs="Arial"/>
          <w:b/>
          <w:bCs/>
          <w:color w:val="000000"/>
          <w:sz w:val="36"/>
          <w:szCs w:val="36"/>
        </w:rPr>
      </w:pPr>
      <w:r>
        <w:rPr>
          <w:rFonts w:hint="eastAsia" w:ascii="宋体" w:hAnsi="宋体" w:cs="Arial"/>
          <w:b/>
          <w:bCs/>
          <w:color w:val="000000"/>
          <w:sz w:val="36"/>
          <w:szCs w:val="36"/>
        </w:rPr>
        <w:t>目录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sz w:val="36"/>
        </w:rPr>
      </w:pPr>
    </w:p>
    <w:p>
      <w:pPr>
        <w:spacing w:line="360" w:lineRule="auto"/>
        <w:rPr>
          <w:rFonts w:ascii="新宋体" w:hAnsi="新宋体" w:eastAsia="新宋体"/>
          <w:sz w:val="28"/>
          <w:szCs w:val="28"/>
        </w:rPr>
      </w:pPr>
    </w:p>
    <w:p>
      <w:pPr>
        <w:numPr>
          <w:ilvl w:val="0"/>
          <w:numId w:val="4"/>
        </w:numPr>
        <w:spacing w:line="360" w:lineRule="auto"/>
        <w:rPr>
          <w:rFonts w:ascii="宋体"/>
          <w:b/>
          <w:sz w:val="28"/>
          <w:szCs w:val="28"/>
        </w:rPr>
      </w:pPr>
      <w:r>
        <w:rPr>
          <w:rFonts w:hint="eastAsia" w:ascii="宋体" w:hAnsi="宋体"/>
          <w:b/>
          <w:sz w:val="28"/>
          <w:szCs w:val="28"/>
        </w:rPr>
        <w:t>公开招标采购公告</w:t>
      </w:r>
    </w:p>
    <w:p>
      <w:pPr>
        <w:numPr>
          <w:ilvl w:val="0"/>
          <w:numId w:val="4"/>
        </w:numPr>
        <w:spacing w:line="360" w:lineRule="auto"/>
        <w:rPr>
          <w:rFonts w:ascii="宋体"/>
          <w:b/>
          <w:sz w:val="28"/>
          <w:szCs w:val="28"/>
        </w:rPr>
      </w:pPr>
      <w:r>
        <w:rPr>
          <w:rFonts w:hint="eastAsia" w:ascii="宋体" w:hAnsi="宋体"/>
          <w:b/>
          <w:sz w:val="28"/>
          <w:szCs w:val="28"/>
        </w:rPr>
        <w:t>投标人须知</w:t>
      </w:r>
    </w:p>
    <w:p>
      <w:pPr>
        <w:numPr>
          <w:ilvl w:val="0"/>
          <w:numId w:val="4"/>
        </w:numPr>
        <w:spacing w:line="360" w:lineRule="auto"/>
        <w:rPr>
          <w:rFonts w:ascii="宋体"/>
          <w:b/>
          <w:sz w:val="28"/>
          <w:szCs w:val="28"/>
        </w:rPr>
      </w:pPr>
      <w:r>
        <w:rPr>
          <w:rFonts w:hint="eastAsia" w:ascii="宋体" w:hAnsi="宋体"/>
          <w:b/>
          <w:sz w:val="28"/>
          <w:szCs w:val="28"/>
        </w:rPr>
        <w:t>评标办法及评分标准</w:t>
      </w:r>
    </w:p>
    <w:p>
      <w:pPr>
        <w:numPr>
          <w:ilvl w:val="0"/>
          <w:numId w:val="4"/>
        </w:numPr>
        <w:spacing w:line="360" w:lineRule="auto"/>
        <w:rPr>
          <w:rFonts w:ascii="宋体"/>
          <w:b/>
          <w:sz w:val="28"/>
          <w:szCs w:val="28"/>
        </w:rPr>
      </w:pPr>
      <w:r>
        <w:rPr>
          <w:rFonts w:hint="eastAsia" w:ascii="宋体" w:hAnsi="宋体"/>
          <w:b/>
          <w:sz w:val="28"/>
          <w:szCs w:val="28"/>
        </w:rPr>
        <w:t>公开招标需求</w:t>
      </w:r>
    </w:p>
    <w:p>
      <w:pPr>
        <w:numPr>
          <w:ilvl w:val="0"/>
          <w:numId w:val="4"/>
        </w:numPr>
        <w:spacing w:line="360" w:lineRule="auto"/>
        <w:rPr>
          <w:rFonts w:ascii="宋体"/>
          <w:b/>
          <w:sz w:val="28"/>
          <w:szCs w:val="28"/>
        </w:rPr>
      </w:pPr>
      <w:r>
        <w:rPr>
          <w:rFonts w:hint="eastAsia" w:ascii="宋体" w:hAnsi="宋体"/>
          <w:b/>
          <w:sz w:val="28"/>
          <w:szCs w:val="28"/>
        </w:rPr>
        <w:t>政府采购合同主要条款指引</w:t>
      </w:r>
    </w:p>
    <w:p>
      <w:pPr>
        <w:numPr>
          <w:ilvl w:val="0"/>
          <w:numId w:val="4"/>
        </w:numPr>
        <w:spacing w:line="360" w:lineRule="auto"/>
        <w:rPr>
          <w:rFonts w:ascii="宋体"/>
          <w:b/>
          <w:sz w:val="28"/>
          <w:szCs w:val="28"/>
        </w:rPr>
      </w:pPr>
      <w:r>
        <w:rPr>
          <w:rFonts w:hint="eastAsia" w:ascii="宋体" w:hAnsi="宋体"/>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1"/>
        <w:ind w:firstLine="0"/>
        <w:rPr>
          <w:rFonts w:ascii="宋体"/>
          <w:b/>
          <w:kern w:val="0"/>
          <w:sz w:val="36"/>
          <w:szCs w:val="36"/>
        </w:rPr>
      </w:pPr>
    </w:p>
    <w:p>
      <w:pPr>
        <w:pStyle w:val="12"/>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b/>
          <w:kern w:val="0"/>
          <w:sz w:val="36"/>
          <w:szCs w:val="36"/>
        </w:rPr>
      </w:pPr>
      <w:r>
        <w:rPr>
          <w:rFonts w:hint="eastAsia" w:ascii="宋体" w:hAnsi="宋体"/>
          <w:b/>
          <w:kern w:val="0"/>
          <w:sz w:val="36"/>
          <w:szCs w:val="36"/>
        </w:rPr>
        <w:t>第一章 公开</w:t>
      </w:r>
      <w:r>
        <w:rPr>
          <w:rFonts w:hint="eastAsia" w:ascii="宋体" w:hAnsi="宋体"/>
          <w:b/>
          <w:sz w:val="36"/>
          <w:szCs w:val="36"/>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kern w:val="0"/>
          <w:sz w:val="24"/>
        </w:rPr>
      </w:pPr>
      <w:r>
        <w:rPr>
          <w:rFonts w:hint="eastAsia" w:ascii="宋体" w:hAnsi="宋体"/>
          <w:kern w:val="0"/>
          <w:sz w:val="24"/>
        </w:rPr>
        <w:t>根据《中华人民共和国政府采购法》、《中华人民共和国政府采购法实施条例》和财政部令第</w:t>
      </w:r>
      <w:r>
        <w:rPr>
          <w:rFonts w:ascii="宋体" w:hAnsi="宋体"/>
          <w:kern w:val="0"/>
          <w:sz w:val="24"/>
        </w:rPr>
        <w:t>87</w:t>
      </w:r>
      <w:r>
        <w:rPr>
          <w:rFonts w:hint="eastAsia" w:ascii="宋体" w:hAnsi="宋体"/>
          <w:kern w:val="0"/>
          <w:sz w:val="24"/>
        </w:rPr>
        <w:t>号《政府采购货物和服务招标投标管理办法》等有关规定</w:t>
      </w:r>
      <w:r>
        <w:rPr>
          <w:rFonts w:ascii="宋体" w:hAnsi="宋体"/>
          <w:kern w:val="0"/>
          <w:sz w:val="24"/>
        </w:rPr>
        <w:t xml:space="preserve">, </w:t>
      </w:r>
      <w:r>
        <w:rPr>
          <w:rFonts w:hint="eastAsia" w:ascii="宋体" w:hAnsi="宋体"/>
          <w:kern w:val="0"/>
          <w:sz w:val="24"/>
        </w:rPr>
        <w:t>受采购人委托，现就台州市自然资源和规划局椒江分局</w:t>
      </w:r>
      <w:r>
        <w:rPr>
          <w:rFonts w:hint="eastAsia" w:ascii="宋体" w:hAnsi="宋体"/>
          <w:kern w:val="0"/>
          <w:sz w:val="24"/>
          <w:lang w:eastAsia="zh-CN"/>
        </w:rPr>
        <w:t>椒江区土地整治(垦造耕地、建设用地复垦、永久基本农田连片整治等项目)服务采购</w:t>
      </w:r>
      <w:r>
        <w:rPr>
          <w:rFonts w:hint="eastAsia" w:ascii="宋体" w:hAnsi="宋体"/>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sz w:val="24"/>
        </w:rPr>
      </w:pPr>
      <w:r>
        <w:rPr>
          <w:rFonts w:hint="eastAsia" w:ascii="宋体" w:hAnsi="宋体"/>
          <w:b/>
          <w:kern w:val="0"/>
          <w:sz w:val="24"/>
        </w:rPr>
        <w:t>一、项目编号：</w:t>
      </w:r>
      <w:r>
        <w:rPr>
          <w:rFonts w:hint="eastAsia" w:ascii="宋体" w:hAnsi="宋体"/>
          <w:color w:val="000000"/>
          <w:sz w:val="24"/>
        </w:rPr>
        <w:t>TZZH2024-jjgtj16</w:t>
      </w:r>
    </w:p>
    <w:p>
      <w:pPr>
        <w:widowControl/>
        <w:tabs>
          <w:tab w:val="left" w:pos="0"/>
        </w:tabs>
        <w:spacing w:line="360" w:lineRule="auto"/>
        <w:ind w:firstLine="482" w:firstLineChars="200"/>
        <w:rPr>
          <w:sz w:val="24"/>
        </w:rPr>
      </w:pPr>
      <w:r>
        <w:rPr>
          <w:rFonts w:hint="eastAsia" w:ascii="宋体" w:hAnsi="宋体"/>
          <w:b/>
          <w:kern w:val="0"/>
          <w:sz w:val="24"/>
        </w:rPr>
        <w:t>二、招标项目概况</w:t>
      </w:r>
      <w:bookmarkStart w:id="0" w:name="EBc3c9f0bc06b6413d849824fe98ba274c"/>
    </w:p>
    <w:tbl>
      <w:tblPr>
        <w:tblStyle w:val="28"/>
        <w:tblW w:w="9555" w:type="dxa"/>
        <w:tblInd w:w="-271" w:type="dxa"/>
        <w:tblLayout w:type="fixed"/>
        <w:tblCellMar>
          <w:top w:w="15" w:type="dxa"/>
          <w:left w:w="15" w:type="dxa"/>
          <w:bottom w:w="15" w:type="dxa"/>
          <w:right w:w="15" w:type="dxa"/>
        </w:tblCellMar>
      </w:tblPr>
      <w:tblGrid>
        <w:gridCol w:w="777"/>
        <w:gridCol w:w="2583"/>
        <w:gridCol w:w="1025"/>
        <w:gridCol w:w="698"/>
        <w:gridCol w:w="1219"/>
        <w:gridCol w:w="1525"/>
        <w:gridCol w:w="1728"/>
      </w:tblGrid>
      <w:tr>
        <w:tblPrEx>
          <w:tblCellMar>
            <w:top w:w="15" w:type="dxa"/>
            <w:left w:w="15" w:type="dxa"/>
            <w:bottom w:w="15" w:type="dxa"/>
            <w:right w:w="15"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cs="宋体"/>
                <w:b/>
                <w:color w:val="000000"/>
                <w:sz w:val="24"/>
              </w:rPr>
            </w:pPr>
            <w:r>
              <w:rPr>
                <w:rFonts w:hint="eastAsia" w:ascii="宋体" w:hAnsi="宋体"/>
                <w:b/>
                <w:color w:val="000000" w:themeColor="text1"/>
                <w:sz w:val="24"/>
                <w14:textFill>
                  <w14:solidFill>
                    <w14:schemeClr w14:val="tx1"/>
                  </w14:solidFill>
                </w14:textFill>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firstLine="120" w:firstLineChars="50"/>
              <w:jc w:val="center"/>
              <w:rPr>
                <w:rFonts w:ascii="宋体" w:cs="宋体"/>
                <w:b/>
                <w:color w:val="000000"/>
                <w:sz w:val="24"/>
              </w:rPr>
            </w:pPr>
            <w:r>
              <w:rPr>
                <w:rFonts w:hint="eastAsia" w:ascii="宋体" w:hAnsi="宋体"/>
                <w:b/>
                <w:color w:val="000000" w:themeColor="text1"/>
                <w:sz w:val="24"/>
                <w14:textFill>
                  <w14:solidFill>
                    <w14:schemeClr w14:val="tx1"/>
                  </w14:solidFill>
                </w14:textFill>
              </w:rPr>
              <w:t>项目名称</w:t>
            </w:r>
          </w:p>
        </w:tc>
        <w:tc>
          <w:tcPr>
            <w:tcW w:w="102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Pr>
                <w:rFonts w:ascii="宋体" w:cs="宋体"/>
                <w:b/>
                <w:color w:val="000000"/>
                <w:sz w:val="24"/>
              </w:rPr>
            </w:pPr>
            <w:r>
              <w:rPr>
                <w:rFonts w:hint="eastAsia" w:ascii="宋体" w:hAnsi="宋体" w:cs="宋体"/>
                <w:b/>
                <w:color w:val="000000" w:themeColor="text1"/>
                <w:kern w:val="0"/>
                <w:sz w:val="24"/>
                <w14:textFill>
                  <w14:solidFill>
                    <w14:schemeClr w14:val="tx1"/>
                  </w14:solidFill>
                </w14:textFill>
              </w:rPr>
              <w:t>简要技术要求</w:t>
            </w:r>
          </w:p>
        </w:tc>
        <w:tc>
          <w:tcPr>
            <w:tcW w:w="69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cs="宋体"/>
                <w:b/>
                <w:color w:val="000000"/>
                <w:sz w:val="24"/>
              </w:rPr>
            </w:pPr>
            <w:r>
              <w:rPr>
                <w:rFonts w:hint="eastAsia" w:ascii="宋体" w:hAnsi="宋体"/>
                <w:b/>
                <w:color w:val="000000" w:themeColor="text1"/>
                <w:sz w:val="24"/>
                <w14:textFill>
                  <w14:solidFill>
                    <w14:schemeClr w14:val="tx1"/>
                  </w14:solidFill>
                </w14:textFill>
              </w:rPr>
              <w:t>数量</w:t>
            </w:r>
          </w:p>
        </w:tc>
        <w:tc>
          <w:tcPr>
            <w:tcW w:w="121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52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预算（万元）</w:t>
            </w:r>
          </w:p>
        </w:tc>
        <w:tc>
          <w:tcPr>
            <w:tcW w:w="17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最高限价（万元）</w:t>
            </w:r>
          </w:p>
        </w:tc>
      </w:tr>
      <w:tr>
        <w:tblPrEx>
          <w:tblCellMar>
            <w:top w:w="15" w:type="dxa"/>
            <w:left w:w="15" w:type="dxa"/>
            <w:bottom w:w="15" w:type="dxa"/>
            <w:right w:w="15"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p>
        </w:tc>
        <w:tc>
          <w:tcPr>
            <w:tcW w:w="25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eastAsia" w:ascii="宋体" w:eastAsia="宋体"/>
                <w:color w:val="000000" w:themeColor="text1"/>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椒江区土地整治(垦造耕地、建设用地复垦、永久基本农田连片整治等项目)服务采购</w:t>
            </w:r>
          </w:p>
        </w:tc>
        <w:tc>
          <w:tcPr>
            <w:tcW w:w="102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详见公开招标需求</w:t>
            </w:r>
          </w:p>
        </w:tc>
        <w:tc>
          <w:tcPr>
            <w:tcW w:w="69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firstLine="240" w:firstLineChars="100"/>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1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firstLine="480" w:firstLineChars="200"/>
              <w:rPr>
                <w:rFonts w:asci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152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100</w:t>
            </w:r>
          </w:p>
        </w:tc>
        <w:tc>
          <w:tcPr>
            <w:tcW w:w="17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100</w:t>
            </w:r>
          </w:p>
        </w:tc>
      </w:tr>
      <w:bookmarkEnd w:id="0"/>
    </w:tbl>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三、合格投标人的资格条件</w:t>
      </w:r>
    </w:p>
    <w:p>
      <w:pPr>
        <w:tabs>
          <w:tab w:val="left" w:pos="180"/>
          <w:tab w:val="left" w:pos="360"/>
          <w:tab w:val="left" w:pos="540"/>
          <w:tab w:val="left" w:pos="8280"/>
        </w:tabs>
        <w:autoSpaceDE w:val="0"/>
        <w:autoSpaceDN w:val="0"/>
        <w:adjustRightInd w:val="0"/>
        <w:spacing w:before="100" w:line="360" w:lineRule="auto"/>
        <w:ind w:right="23" w:firstLine="42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 w:val="24"/>
          <w14:textFill>
            <w14:solidFill>
              <w14:schemeClr w14:val="tx1"/>
            </w14:solidFill>
          </w14:textFill>
        </w:rPr>
        <w:t>符合《中华人民共和国政府采购法》第二十二条规定</w:t>
      </w:r>
      <w:r>
        <w:rPr>
          <w:rFonts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未被“信用中国”（</w:t>
      </w:r>
      <w:r>
        <w:rPr>
          <w:rFonts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t>）、中国政府采购网（</w:t>
      </w:r>
      <w:r>
        <w:rPr>
          <w:rFonts w:ascii="宋体" w:hAnsi="宋体"/>
          <w:color w:val="000000" w:themeColor="text1"/>
          <w:sz w:val="24"/>
          <w14:textFill>
            <w14:solidFill>
              <w14:schemeClr w14:val="tx1"/>
            </w14:solidFill>
          </w14:textFill>
        </w:rPr>
        <w:t>www.ccgp.gov.cn</w:t>
      </w:r>
      <w:r>
        <w:rPr>
          <w:rFonts w:hint="eastAsia" w:ascii="宋体" w:hAnsi="宋体"/>
          <w:color w:val="000000" w:themeColor="text1"/>
          <w:sz w:val="24"/>
          <w14:textFill>
            <w14:solidFill>
              <w14:schemeClr w14:val="tx1"/>
            </w14:solidFill>
          </w14:textFill>
        </w:rPr>
        <w:t>）列入失信被执行人、重大税收违法案件当事人名单、政府采购严重违法失信行为记录名单；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1、根据《政府采购促进中小企业发展管理办法》财库〔2020〕46号文件的规定，本项目为专门面向中小企业采购的项目，供应商应为中小企业</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（监狱企业及残疾人福利性单位视同小型、微型企业） </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2、法律、行政法规规定的其他条件：单位负责人为同一个人或者存在直接控股、管理关系的不同供应商，不得同时参加本项目投标；为本项目提供整体设计、咨询等服务的供应商，不得参与本项目投标。</w:t>
      </w:r>
    </w:p>
    <w:p>
      <w:pPr>
        <w:pStyle w:val="37"/>
        <w:ind w:firstLine="480" w:firstLineChars="200"/>
        <w:rPr>
          <w:rFonts w:ascii="宋体" w:hAns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3、公益一类事业单位不属于政府购买服务的承接主体，不得参与承接政府购买服务。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（3）本项目的特定资格要求：同时具备省土地学会颁发的土地规划乙级（含准乙级）及以上资质证书和测绘乙级及以上资质证书；</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sz w:val="24"/>
        </w:rPr>
      </w:pPr>
      <w:r>
        <w:rPr>
          <w:rFonts w:hint="eastAsia" w:ascii="宋体" w:hAnsi="宋体"/>
          <w:b/>
          <w:sz w:val="24"/>
        </w:rPr>
        <w:t>四、招标文件获取的方式、时间</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1</w:t>
      </w:r>
      <w:r>
        <w:rPr>
          <w:rFonts w:hint="eastAsia" w:ascii="宋体" w:hAnsi="宋体"/>
          <w:color w:val="000000"/>
          <w:sz w:val="24"/>
        </w:rPr>
        <w:t>、本项目采购文件实行“政采云平台”在线获取，不提供采购文件纸质版。供应商获取采购文件前应先完成“政采云平台”的账号注册同时办理</w:t>
      </w:r>
      <w:r>
        <w:rPr>
          <w:rFonts w:ascii="宋体" w:hAnsi="宋体"/>
          <w:color w:val="000000"/>
          <w:sz w:val="24"/>
        </w:rPr>
        <w:t>CA</w:t>
      </w:r>
      <w:r>
        <w:rPr>
          <w:rFonts w:hint="eastAsia" w:ascii="宋体" w:hAnsi="宋体"/>
          <w:color w:val="000000"/>
          <w:sz w:val="24"/>
        </w:rPr>
        <w:t>领取。</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2</w:t>
      </w:r>
      <w:r>
        <w:rPr>
          <w:rFonts w:hint="eastAsia" w:ascii="宋体" w:hAnsi="宋体"/>
          <w:color w:val="000000"/>
          <w:sz w:val="24"/>
        </w:rPr>
        <w:t>、地点：政采云平台（</w:t>
      </w:r>
      <w:r>
        <w:rPr>
          <w:rFonts w:ascii="宋体" w:hAnsi="宋体"/>
          <w:color w:val="000000"/>
          <w:sz w:val="24"/>
        </w:rPr>
        <w:t>http://zfcg.czt.zj.gov.cn</w:t>
      </w:r>
      <w:r>
        <w:rPr>
          <w:rFonts w:hint="eastAsia" w:ascii="宋体" w:hAnsi="宋体"/>
          <w:color w:val="000000"/>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3</w:t>
      </w:r>
      <w:r>
        <w:rPr>
          <w:rFonts w:hint="eastAsia" w:ascii="宋体" w:hAnsi="宋体"/>
          <w:color w:val="000000"/>
          <w:sz w:val="24"/>
        </w:rPr>
        <w:t>、方式：潜在投标人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4</w:t>
      </w:r>
      <w:r>
        <w:rPr>
          <w:rFonts w:hint="eastAsia" w:ascii="宋体" w:hAnsi="宋体"/>
          <w:color w:val="000000"/>
          <w:sz w:val="24"/>
        </w:rPr>
        <w:t>、供应商获取采购文件时须提交的文件资料：无。</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5</w:t>
      </w:r>
      <w:r>
        <w:rPr>
          <w:rFonts w:hint="eastAsia" w:ascii="宋体" w:hAnsi="宋体"/>
          <w:color w:val="000000"/>
          <w:sz w:val="24"/>
        </w:rPr>
        <w:t>、提示：招标公告附件内的采购文件（或采购需求）仅供阅览使用，供应商只有在“政采云平台”完成获取采购文件申请并下载了采购文件后才视作依法获取采购文件（法律法规所指的供应商获取采购文件时间以供应商完成获取采购文件申请后下载采购文件的时间为准）。</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hint="eastAsia" w:ascii="宋体" w:hAnsi="宋体"/>
          <w:color w:val="000000"/>
          <w:sz w:val="24"/>
        </w:rPr>
        <w:t>注：请供应商按上述要求获取采购文件，如未在“政采云”系统内完成相关流程，引起的投标无效责任自负。</w:t>
      </w:r>
    </w:p>
    <w:p>
      <w:pPr>
        <w:widowControl/>
        <w:spacing w:line="460" w:lineRule="exact"/>
        <w:jc w:val="left"/>
        <w:rPr>
          <w:rFonts w:ascii="新宋体" w:hAnsi="新宋体" w:eastAsia="新宋体" w:cs="新宋体"/>
          <w:b/>
          <w:bCs/>
          <w:color w:val="000000" w:themeColor="text1"/>
          <w:kern w:val="0"/>
          <w:sz w:val="22"/>
          <w:szCs w:val="22"/>
          <w14:textFill>
            <w14:solidFill>
              <w14:schemeClr w14:val="tx1"/>
            </w14:solidFill>
          </w14:textFill>
        </w:rPr>
      </w:pPr>
      <w:r>
        <w:rPr>
          <w:rFonts w:hint="eastAsia" w:ascii="宋体" w:hAnsi="宋体"/>
          <w:b/>
          <w:color w:val="000000" w:themeColor="text1"/>
          <w:sz w:val="24"/>
          <w14:textFill>
            <w14:solidFill>
              <w14:schemeClr w14:val="tx1"/>
            </w14:solidFill>
          </w14:textFill>
        </w:rPr>
        <w:t>五、投标文件递交截止时间：</w:t>
      </w:r>
      <w:bookmarkStart w:id="1" w:name="B23_谈判响应文件提交截止日期"/>
      <w:bookmarkEnd w:id="1"/>
      <w:r>
        <w:rPr>
          <w:rFonts w:hint="eastAsia" w:ascii="新宋体" w:hAnsi="新宋体" w:eastAsia="新宋体" w:cs="新宋体"/>
          <w:bCs/>
          <w:color w:val="000000" w:themeColor="text1"/>
          <w:kern w:val="0"/>
          <w:sz w:val="22"/>
          <w:szCs w:val="22"/>
          <w14:textFill>
            <w14:solidFill>
              <w14:schemeClr w14:val="tx1"/>
            </w14:solidFill>
          </w14:textFill>
        </w:rPr>
        <w:t>2024年</w:t>
      </w:r>
      <w:r>
        <w:rPr>
          <w:rFonts w:hint="eastAsia" w:ascii="新宋体" w:hAnsi="新宋体" w:eastAsia="新宋体" w:cs="新宋体"/>
          <w:bCs/>
          <w:color w:val="000000" w:themeColor="text1"/>
          <w:kern w:val="0"/>
          <w:sz w:val="22"/>
          <w:szCs w:val="22"/>
          <w:lang w:val="en-US" w:eastAsia="zh-CN"/>
          <w14:textFill>
            <w14:solidFill>
              <w14:schemeClr w14:val="tx1"/>
            </w14:solidFill>
          </w14:textFill>
        </w:rPr>
        <w:t>6</w:t>
      </w:r>
      <w:r>
        <w:rPr>
          <w:rFonts w:hint="eastAsia" w:ascii="新宋体" w:hAnsi="新宋体" w:eastAsia="新宋体" w:cs="新宋体"/>
          <w:bCs/>
          <w:color w:val="000000" w:themeColor="text1"/>
          <w:kern w:val="0"/>
          <w:sz w:val="22"/>
          <w:szCs w:val="22"/>
          <w14:textFill>
            <w14:solidFill>
              <w14:schemeClr w14:val="tx1"/>
            </w14:solidFill>
          </w14:textFill>
        </w:rPr>
        <w:t>月</w:t>
      </w:r>
      <w:r>
        <w:rPr>
          <w:rFonts w:hint="eastAsia" w:ascii="新宋体" w:hAnsi="新宋体" w:eastAsia="新宋体" w:cs="新宋体"/>
          <w:bCs/>
          <w:color w:val="000000" w:themeColor="text1"/>
          <w:kern w:val="0"/>
          <w:sz w:val="22"/>
          <w:szCs w:val="22"/>
          <w:lang w:val="en-US" w:eastAsia="zh-CN"/>
          <w14:textFill>
            <w14:solidFill>
              <w14:schemeClr w14:val="tx1"/>
            </w14:solidFill>
          </w14:textFill>
        </w:rPr>
        <w:t>18</w:t>
      </w:r>
      <w:r>
        <w:rPr>
          <w:rFonts w:hint="eastAsia" w:ascii="新宋体" w:hAnsi="新宋体" w:eastAsia="新宋体" w:cs="新宋体"/>
          <w:bCs/>
          <w:color w:val="000000" w:themeColor="text1"/>
          <w:kern w:val="0"/>
          <w:sz w:val="22"/>
          <w:szCs w:val="22"/>
          <w14:textFill>
            <w14:solidFill>
              <w14:schemeClr w14:val="tx1"/>
            </w14:solidFill>
          </w14:textFill>
        </w:rPr>
        <w:t>日9时0分。</w:t>
      </w:r>
    </w:p>
    <w:p>
      <w:pPr>
        <w:widowControl/>
        <w:spacing w:line="460" w:lineRule="exact"/>
        <w:jc w:val="left"/>
        <w:rPr>
          <w:rFonts w:ascii="新宋体" w:hAnsi="新宋体" w:eastAsia="新宋体" w:cs="新宋体"/>
          <w:bCs/>
          <w:color w:val="000000" w:themeColor="text1"/>
          <w:kern w:val="0"/>
          <w:sz w:val="22"/>
          <w:szCs w:val="22"/>
          <w14:textFill>
            <w14:solidFill>
              <w14:schemeClr w14:val="tx1"/>
            </w14:solidFill>
          </w14:textFill>
        </w:rPr>
      </w:pPr>
      <w:r>
        <w:rPr>
          <w:rFonts w:hint="eastAsia" w:ascii="新宋体" w:hAnsi="新宋体" w:eastAsia="新宋体" w:cs="新宋体"/>
          <w:b/>
          <w:color w:val="000000" w:themeColor="text1"/>
          <w:kern w:val="0"/>
          <w:sz w:val="22"/>
          <w:szCs w:val="22"/>
          <w14:textFill>
            <w14:solidFill>
              <w14:schemeClr w14:val="tx1"/>
            </w14:solidFill>
          </w14:textFill>
        </w:rPr>
        <w:t>六</w:t>
      </w:r>
      <w:r>
        <w:rPr>
          <w:rFonts w:hint="eastAsia" w:ascii="宋体" w:hAnsi="宋体"/>
          <w:b/>
          <w:color w:val="000000" w:themeColor="text1"/>
          <w:sz w:val="24"/>
          <w14:textFill>
            <w14:solidFill>
              <w14:schemeClr w14:val="tx1"/>
            </w14:solidFill>
          </w14:textFill>
        </w:rPr>
        <w:t>、开标时间：</w:t>
      </w:r>
      <w:bookmarkStart w:id="2" w:name="B26_谈判时间日期"/>
      <w:bookmarkEnd w:id="2"/>
      <w:r>
        <w:rPr>
          <w:rFonts w:hint="eastAsia" w:ascii="新宋体" w:hAnsi="新宋体" w:eastAsia="新宋体" w:cs="新宋体"/>
          <w:bCs/>
          <w:color w:val="000000" w:themeColor="text1"/>
          <w:kern w:val="0"/>
          <w:sz w:val="22"/>
          <w:szCs w:val="22"/>
          <w14:textFill>
            <w14:solidFill>
              <w14:schemeClr w14:val="tx1"/>
            </w14:solidFill>
          </w14:textFill>
        </w:rPr>
        <w:t>2024年</w:t>
      </w:r>
      <w:r>
        <w:rPr>
          <w:rFonts w:hint="eastAsia" w:ascii="新宋体" w:hAnsi="新宋体" w:eastAsia="新宋体" w:cs="新宋体"/>
          <w:bCs/>
          <w:color w:val="000000" w:themeColor="text1"/>
          <w:kern w:val="0"/>
          <w:sz w:val="22"/>
          <w:szCs w:val="22"/>
          <w:lang w:val="en-US" w:eastAsia="zh-CN"/>
          <w14:textFill>
            <w14:solidFill>
              <w14:schemeClr w14:val="tx1"/>
            </w14:solidFill>
          </w14:textFill>
        </w:rPr>
        <w:t>6</w:t>
      </w:r>
      <w:r>
        <w:rPr>
          <w:rFonts w:hint="eastAsia" w:ascii="新宋体" w:hAnsi="新宋体" w:eastAsia="新宋体" w:cs="新宋体"/>
          <w:bCs/>
          <w:color w:val="000000" w:themeColor="text1"/>
          <w:kern w:val="0"/>
          <w:sz w:val="22"/>
          <w:szCs w:val="22"/>
          <w14:textFill>
            <w14:solidFill>
              <w14:schemeClr w14:val="tx1"/>
            </w14:solidFill>
          </w14:textFill>
        </w:rPr>
        <w:t>月</w:t>
      </w:r>
      <w:r>
        <w:rPr>
          <w:rFonts w:hint="eastAsia" w:ascii="新宋体" w:hAnsi="新宋体" w:eastAsia="新宋体" w:cs="新宋体"/>
          <w:bCs/>
          <w:color w:val="000000" w:themeColor="text1"/>
          <w:kern w:val="0"/>
          <w:sz w:val="22"/>
          <w:szCs w:val="22"/>
          <w:lang w:val="en-US" w:eastAsia="zh-CN"/>
          <w14:textFill>
            <w14:solidFill>
              <w14:schemeClr w14:val="tx1"/>
            </w14:solidFill>
          </w14:textFill>
        </w:rPr>
        <w:t>18</w:t>
      </w:r>
      <w:r>
        <w:rPr>
          <w:rFonts w:hint="eastAsia" w:ascii="新宋体" w:hAnsi="新宋体" w:eastAsia="新宋体" w:cs="新宋体"/>
          <w:bCs/>
          <w:color w:val="000000" w:themeColor="text1"/>
          <w:kern w:val="0"/>
          <w:sz w:val="22"/>
          <w:szCs w:val="22"/>
          <w14:textFill>
            <w14:solidFill>
              <w14:schemeClr w14:val="tx1"/>
            </w14:solidFill>
          </w14:textFill>
        </w:rPr>
        <w:t>日9时0分。</w:t>
      </w:r>
    </w:p>
    <w:p>
      <w:pPr>
        <w:widowControl/>
        <w:spacing w:line="460" w:lineRule="exact"/>
        <w:jc w:val="left"/>
        <w:rPr>
          <w:rFonts w:ascii="新宋体" w:hAnsi="新宋体" w:eastAsia="新宋体" w:cs="新宋体"/>
          <w:bCs/>
          <w:color w:val="000000" w:themeColor="text1"/>
          <w:kern w:val="0"/>
          <w:sz w:val="22"/>
          <w:szCs w:val="22"/>
          <w14:textFill>
            <w14:solidFill>
              <w14:schemeClr w14:val="tx1"/>
            </w14:solidFill>
          </w14:textFill>
        </w:rPr>
      </w:pPr>
      <w:r>
        <w:rPr>
          <w:rFonts w:hint="eastAsia" w:ascii="宋体" w:hAnsi="宋体"/>
          <w:b/>
          <w:color w:val="000000" w:themeColor="text1"/>
          <w:sz w:val="24"/>
          <w14:textFill>
            <w14:solidFill>
              <w14:schemeClr w14:val="tx1"/>
            </w14:solidFill>
          </w14:textFill>
        </w:rPr>
        <w:t>七、</w:t>
      </w:r>
      <w:r>
        <w:rPr>
          <w:rFonts w:hint="eastAsia" w:ascii="宋体" w:hAnsi="宋体"/>
          <w:b/>
          <w:color w:val="000000" w:themeColor="text1"/>
          <w:sz w:val="24"/>
          <w:lang w:val="en-US" w:eastAsia="zh-CN"/>
          <w14:textFill>
            <w14:solidFill>
              <w14:schemeClr w14:val="tx1"/>
            </w14:solidFill>
          </w14:textFill>
        </w:rPr>
        <w:t>开标</w:t>
      </w:r>
      <w:r>
        <w:rPr>
          <w:rFonts w:hint="eastAsia" w:ascii="宋体" w:hAnsi="宋体"/>
          <w:b/>
          <w:color w:val="000000" w:themeColor="text1"/>
          <w:sz w:val="24"/>
          <w14:textFill>
            <w14:solidFill>
              <w14:schemeClr w14:val="tx1"/>
            </w14:solidFill>
          </w14:textFill>
        </w:rPr>
        <w:t>地点</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网址）</w:t>
      </w:r>
      <w:r>
        <w:rPr>
          <w:rFonts w:hint="eastAsia" w:ascii="宋体" w:hAnsi="宋体"/>
          <w:b/>
          <w:color w:val="000000" w:themeColor="text1"/>
          <w:sz w:val="24"/>
          <w14:textFill>
            <w14:solidFill>
              <w14:schemeClr w14:val="tx1"/>
            </w14:solidFill>
          </w14:textFill>
        </w:rPr>
        <w:t>：</w:t>
      </w:r>
      <w:r>
        <w:rPr>
          <w:rFonts w:hint="eastAsia" w:ascii="宋体" w:hAnsi="宋体" w:eastAsia="宋体" w:cs="宋体"/>
          <w:sz w:val="24"/>
          <w:highlight w:val="none"/>
        </w:rPr>
        <w:t>通过政釆云平台实行在线开标。</w:t>
      </w:r>
    </w:p>
    <w:p>
      <w:pPr>
        <w:widowControl/>
        <w:spacing w:line="460" w:lineRule="exact"/>
        <w:jc w:val="left"/>
        <w:rPr>
          <w:rFonts w:ascii="宋体"/>
          <w:b/>
          <w:sz w:val="24"/>
        </w:rPr>
      </w:pPr>
      <w:r>
        <w:rPr>
          <w:rFonts w:hint="eastAsia" w:ascii="宋体" w:hAnsi="宋体"/>
          <w:b/>
          <w:sz w:val="24"/>
        </w:rPr>
        <w:t>八、投标保证金：无需提交。</w:t>
      </w:r>
    </w:p>
    <w:p>
      <w:pPr>
        <w:widowControl/>
        <w:spacing w:line="460" w:lineRule="exact"/>
        <w:jc w:val="left"/>
        <w:rPr>
          <w:rFonts w:ascii="宋体"/>
          <w:b/>
          <w:sz w:val="24"/>
        </w:rPr>
      </w:pPr>
      <w:r>
        <w:rPr>
          <w:rFonts w:hint="eastAsia" w:ascii="宋体" w:hAnsi="宋体"/>
          <w:b/>
          <w:sz w:val="24"/>
        </w:rPr>
        <w:t>九、在线投标响应（电子投标）说明</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1</w:t>
      </w:r>
      <w:r>
        <w:rPr>
          <w:rFonts w:hint="eastAsia" w:ascii="宋体" w:hAnsi="宋体"/>
          <w:color w:val="000000"/>
          <w:sz w:val="24"/>
        </w:rPr>
        <w:t>、本项目通过“政采云平台（</w:t>
      </w:r>
      <w:r>
        <w:rPr>
          <w:rFonts w:ascii="宋体" w:hAnsi="宋体"/>
          <w:color w:val="000000"/>
          <w:sz w:val="24"/>
        </w:rPr>
        <w:t>www.zcygov.cn</w:t>
      </w:r>
      <w:r>
        <w:rPr>
          <w:rFonts w:hint="eastAsia" w:ascii="宋体" w:hAnsi="宋体"/>
          <w:color w:val="000000"/>
          <w:sz w:val="24"/>
        </w:rPr>
        <w:t>）”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2</w:t>
      </w:r>
      <w:r>
        <w:rPr>
          <w:rFonts w:hint="eastAsia" w:ascii="宋体" w:hAnsi="宋体"/>
          <w:color w:val="000000"/>
          <w:sz w:val="24"/>
        </w:rPr>
        <w:t>、“政采云电子交易客户端”请自行前往“浙江政府采购网</w:t>
      </w:r>
      <w:r>
        <w:rPr>
          <w:rFonts w:ascii="宋体"/>
          <w:color w:val="000000"/>
          <w:sz w:val="24"/>
        </w:rPr>
        <w:t>-</w:t>
      </w:r>
      <w:r>
        <w:rPr>
          <w:rFonts w:hint="eastAsia" w:ascii="宋体" w:hAnsi="宋体"/>
          <w:color w:val="000000"/>
          <w:sz w:val="24"/>
        </w:rPr>
        <w:t>下载专区</w:t>
      </w:r>
      <w:r>
        <w:rPr>
          <w:rFonts w:ascii="宋体"/>
          <w:color w:val="000000"/>
          <w:sz w:val="24"/>
        </w:rPr>
        <w:t>-</w:t>
      </w:r>
      <w:r>
        <w:rPr>
          <w:rFonts w:hint="eastAsia" w:ascii="宋体" w:hAnsi="宋体"/>
          <w:color w:val="000000"/>
          <w:sz w:val="24"/>
        </w:rPr>
        <w:t>电子交易客户端”进行下载；电子投标具体操作流程详见本公告附件《供应商项目采购</w:t>
      </w:r>
      <w:r>
        <w:rPr>
          <w:rFonts w:ascii="宋体"/>
          <w:color w:val="000000"/>
          <w:sz w:val="24"/>
        </w:rPr>
        <w:t>-</w:t>
      </w:r>
      <w:r>
        <w:rPr>
          <w:rFonts w:hint="eastAsia" w:ascii="宋体" w:hAnsi="宋体"/>
          <w:color w:val="000000"/>
          <w:sz w:val="24"/>
        </w:rPr>
        <w:t>电子招投标操作指南》；通过“政采云平台”参与在线投标时如遇平台技术问题详询</w:t>
      </w:r>
      <w:r>
        <w:rPr>
          <w:rFonts w:ascii="宋体" w:hAnsi="宋体"/>
          <w:color w:val="000000"/>
          <w:sz w:val="24"/>
        </w:rPr>
        <w:t>400-881-7190</w:t>
      </w:r>
      <w:r>
        <w:rPr>
          <w:rFonts w:hint="eastAsia" w:ascii="宋体" w:hAnsi="宋体"/>
          <w:color w:val="000000"/>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3</w:t>
      </w:r>
      <w:r>
        <w:rPr>
          <w:rFonts w:hint="eastAsia" w:ascii="宋体" w:hAnsi="宋体"/>
          <w:color w:val="000000"/>
          <w:sz w:val="24"/>
        </w:rPr>
        <w:t>、为确保网上操作合法、有效和安全，投标人应当在投标文件递交截止时间前完成在“政采云平台”的身份认证，确保在电子投标过程中能够对相关数据电文进行加密和使用电子签章。使用“政采云电子交易客户端”需要提前申领</w:t>
      </w:r>
      <w:r>
        <w:rPr>
          <w:rFonts w:ascii="宋体" w:hAnsi="宋体"/>
          <w:color w:val="000000"/>
          <w:sz w:val="24"/>
        </w:rPr>
        <w:t>CA</w:t>
      </w:r>
      <w:r>
        <w:rPr>
          <w:rFonts w:hint="eastAsia" w:ascii="宋体" w:hAnsi="宋体"/>
          <w:color w:val="000000"/>
          <w:sz w:val="24"/>
        </w:rPr>
        <w:t>数字证书，申领流程请自行前往“浙江政府采购网</w:t>
      </w:r>
      <w:r>
        <w:rPr>
          <w:rFonts w:ascii="宋体"/>
          <w:color w:val="000000"/>
          <w:sz w:val="24"/>
        </w:rPr>
        <w:t>-</w:t>
      </w:r>
      <w:r>
        <w:rPr>
          <w:rFonts w:hint="eastAsia" w:ascii="宋体" w:hAnsi="宋体"/>
          <w:color w:val="000000"/>
          <w:sz w:val="24"/>
        </w:rPr>
        <w:t>下载专区</w:t>
      </w:r>
      <w:r>
        <w:rPr>
          <w:rFonts w:ascii="宋体"/>
          <w:color w:val="000000"/>
          <w:sz w:val="24"/>
        </w:rPr>
        <w:t>-</w:t>
      </w:r>
      <w:r>
        <w:rPr>
          <w:rFonts w:hint="eastAsia" w:ascii="宋体" w:hAnsi="宋体"/>
          <w:color w:val="000000"/>
          <w:sz w:val="24"/>
        </w:rPr>
        <w:t>电子交易客户端</w:t>
      </w:r>
      <w:r>
        <w:rPr>
          <w:rFonts w:ascii="宋体"/>
          <w:color w:val="000000"/>
          <w:sz w:val="24"/>
        </w:rPr>
        <w:t>-</w:t>
      </w:r>
      <w:r>
        <w:fldChar w:fldCharType="begin"/>
      </w:r>
      <w:r>
        <w:instrText xml:space="preserve"> HYPERLINK "http://www.zjzfcg.gov.cn/bidClientTemplate/2019-05-27/12945.html" \t "_blank" \o "CA驱动和申领流程" </w:instrText>
      </w:r>
      <w:r>
        <w:fldChar w:fldCharType="separate"/>
      </w:r>
      <w:r>
        <w:rPr>
          <w:rFonts w:ascii="宋体" w:hAnsi="宋体"/>
          <w:color w:val="000000"/>
          <w:sz w:val="24"/>
        </w:rPr>
        <w:t>CA</w:t>
      </w:r>
      <w:r>
        <w:rPr>
          <w:rFonts w:hint="eastAsia" w:ascii="宋体" w:hAnsi="宋体"/>
          <w:color w:val="000000"/>
          <w:sz w:val="24"/>
        </w:rPr>
        <w:t>驱动和申领流程</w:t>
      </w:r>
      <w:r>
        <w:rPr>
          <w:rFonts w:hint="eastAsia" w:ascii="宋体" w:hAnsi="宋体"/>
          <w:color w:val="000000"/>
          <w:sz w:val="24"/>
        </w:rPr>
        <w:fldChar w:fldCharType="end"/>
      </w:r>
      <w:r>
        <w:rPr>
          <w:rFonts w:hint="eastAsia" w:ascii="宋体" w:hAnsi="宋体"/>
          <w:color w:val="000000"/>
          <w:sz w:val="24"/>
        </w:rPr>
        <w:t>”进行查阅。</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4</w:t>
      </w:r>
      <w:r>
        <w:rPr>
          <w:rFonts w:hint="eastAsia" w:ascii="宋体" w:hAnsi="宋体"/>
          <w:color w:val="000000"/>
          <w:sz w:val="24"/>
        </w:rPr>
        <w:t>、投标人应当在投标文件递交截止时间前，将生成的“电子加密投标文件”上传递交至“政采云平台”。投标文件递交截止时间以后上传递交的投标文件将被“政采云平台”拒收。</w:t>
      </w:r>
    </w:p>
    <w:p>
      <w:pPr>
        <w:tabs>
          <w:tab w:val="left" w:pos="180"/>
          <w:tab w:val="left" w:pos="360"/>
          <w:tab w:val="left" w:pos="540"/>
          <w:tab w:val="left" w:pos="8280"/>
        </w:tabs>
        <w:autoSpaceDE w:val="0"/>
        <w:autoSpaceDN w:val="0"/>
        <w:adjustRightInd w:val="0"/>
        <w:spacing w:before="100" w:line="360" w:lineRule="auto"/>
        <w:ind w:right="23" w:firstLine="420" w:firstLineChars="200"/>
        <w:jc w:val="left"/>
        <w:rPr>
          <w:rFonts w:ascii="宋体" w:hAnsi="宋体"/>
          <w:color w:val="000000"/>
          <w:sz w:val="24"/>
        </w:rPr>
      </w:pPr>
      <w:r>
        <w:fldChar w:fldCharType="begin"/>
      </w:r>
      <w:r>
        <w:instrText xml:space="preserve"> HYPERLINK "mailto:5、投标人在" </w:instrText>
      </w:r>
      <w:r>
        <w:fldChar w:fldCharType="separate"/>
      </w:r>
      <w:r>
        <w:rPr>
          <w:rFonts w:hint="eastAsia" w:ascii="宋体" w:hAnsi="宋体"/>
          <w:sz w:val="24"/>
        </w:rPr>
        <w:t>5、投标人在“政采云平台”完成“电子加密投标文件”的上传递交后，还可以（建议顺丰快递邮寄形式）向采购代理机构递交以介质（U盘）存储的数据电文形式的“备份投标文件”或以加密压缩文件发送至电子邮箱37694060@qq.com，“介质（U盘）存储备份投标文件”应当密封包装并在包装上标注投标项目名称、投标单位名称并加盖公章，“备份投标文件”必须在</w:t>
      </w:r>
      <w:r>
        <w:rPr>
          <w:rFonts w:hint="eastAsia" w:ascii="宋体" w:hAnsi="宋体"/>
          <w:sz w:val="24"/>
        </w:rPr>
        <w:fldChar w:fldCharType="end"/>
      </w:r>
      <w:r>
        <w:rPr>
          <w:rFonts w:hint="eastAsia" w:ascii="宋体" w:hAnsi="宋体"/>
          <w:sz w:val="24"/>
        </w:rPr>
        <w:t>投标文件递交截止时间之前</w:t>
      </w:r>
      <w:r>
        <w:rPr>
          <w:rFonts w:hint="eastAsia" w:ascii="宋体" w:hAnsi="宋体"/>
          <w:color w:val="000000"/>
          <w:sz w:val="24"/>
        </w:rPr>
        <w:t>送达</w:t>
      </w:r>
      <w:r>
        <w:rPr>
          <w:rFonts w:hint="eastAsia" w:ascii="宋体" w:hAnsi="宋体"/>
          <w:sz w:val="24"/>
        </w:rPr>
        <w:t>台州市黄岩区尚司路</w:t>
      </w:r>
      <w:r>
        <w:rPr>
          <w:rFonts w:ascii="宋体" w:hAnsi="宋体"/>
          <w:sz w:val="24"/>
        </w:rPr>
        <w:t>33</w:t>
      </w:r>
      <w:r>
        <w:rPr>
          <w:rFonts w:hint="eastAsia" w:ascii="宋体" w:hAnsi="宋体"/>
          <w:sz w:val="24"/>
        </w:rPr>
        <w:t>号浙江华诚会计师事务所</w:t>
      </w:r>
      <w:r>
        <w:rPr>
          <w:rFonts w:hint="eastAsia" w:ascii="宋体" w:hAnsi="宋体"/>
          <w:color w:val="000000"/>
          <w:sz w:val="24"/>
        </w:rPr>
        <w:t>并由采购代理机构签收，否则视作投标人未提交“备份投标文件”。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hint="eastAsia" w:ascii="宋体" w:hAnsi="宋体"/>
          <w:color w:val="000000"/>
          <w:sz w:val="24"/>
          <w:lang w:val="en-US" w:eastAsia="zh-CN"/>
        </w:rPr>
        <w:t>▲</w:t>
      </w:r>
      <w:r>
        <w:rPr>
          <w:rFonts w:ascii="宋体" w:hAnsi="宋体"/>
          <w:color w:val="000000"/>
          <w:sz w:val="24"/>
        </w:rPr>
        <w:t>6</w:t>
      </w:r>
      <w:r>
        <w:rPr>
          <w:rFonts w:hint="eastAsia" w:ascii="宋体" w:hAnsi="宋体"/>
          <w:color w:val="000000"/>
          <w:sz w:val="24"/>
        </w:rPr>
        <w:t>、通过“政采云平台”上传递交的“电子加密投标文件”无法按时解密，投标人递交了备份投标文件的，以备份投标文件为依据，否则视为投标文件撤回。通过“政采云平台”上传递交的“电子加密投标文件”已按时解密的，“备份投标文件”自动失效。投标人仅递交备份投标文件的，投标无效。</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7</w:t>
      </w:r>
      <w:r>
        <w:rPr>
          <w:rFonts w:hint="eastAsia" w:ascii="宋体" w:hAnsi="宋体"/>
          <w:color w:val="000000"/>
          <w:sz w:val="24"/>
        </w:rPr>
        <w:t>、投标人无需在开标当天到达开标现场对电子投标进行解密，可在公司办公场地在规定时间内对电子投标文件进行解密。重要提醒：解密用的</w:t>
      </w:r>
      <w:r>
        <w:rPr>
          <w:rFonts w:ascii="宋体" w:hAnsi="宋体"/>
          <w:color w:val="000000"/>
          <w:sz w:val="24"/>
        </w:rPr>
        <w:t>CA</w:t>
      </w:r>
      <w:r>
        <w:rPr>
          <w:rFonts w:hint="eastAsia" w:ascii="宋体" w:hAnsi="宋体"/>
          <w:color w:val="000000"/>
          <w:sz w:val="24"/>
        </w:rPr>
        <w:t>为制作投标文件的</w:t>
      </w:r>
      <w:r>
        <w:rPr>
          <w:rFonts w:ascii="宋体" w:hAnsi="宋体"/>
          <w:color w:val="000000"/>
          <w:sz w:val="24"/>
        </w:rPr>
        <w:t>CA</w:t>
      </w:r>
      <w:r>
        <w:rPr>
          <w:rFonts w:hint="eastAsia" w:ascii="宋体" w:hAnsi="宋体"/>
          <w:color w:val="000000"/>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sz w:val="24"/>
        </w:rPr>
      </w:pPr>
      <w:r>
        <w:rPr>
          <w:rFonts w:ascii="宋体" w:hAnsi="宋体"/>
          <w:color w:val="000000"/>
          <w:sz w:val="24"/>
        </w:rPr>
        <w:t>8</w:t>
      </w:r>
      <w:r>
        <w:rPr>
          <w:rFonts w:hint="eastAsia" w:ascii="宋体" w:hAnsi="宋体"/>
          <w:color w:val="000000"/>
          <w:sz w:val="24"/>
        </w:rPr>
        <w:t>、本项目由采购代理机构做好“备份电子投标文件”的签收工作后，与投标资料一并归档。投标人授权代表不参加现场开标活动，由采购代理机构或采购人派出工作人员进行现场监督。采购代理机构将记录所有投标文件的开封过程的有关内容，并由采购代理机构或采购人的监督人员签字确认。评审小组要求供应商澄清、说明或者补正，须通过政采云平台要求澄清、说明或者补正。</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sz w:val="24"/>
        </w:rPr>
      </w:pPr>
      <w:r>
        <w:rPr>
          <w:rFonts w:ascii="宋体" w:hAnsi="宋体"/>
          <w:color w:val="000000"/>
          <w:sz w:val="24"/>
        </w:rPr>
        <w:t>9</w:t>
      </w:r>
      <w:r>
        <w:rPr>
          <w:rFonts w:hint="eastAsia" w:ascii="宋体" w:hAnsi="宋体"/>
          <w:color w:val="000000"/>
          <w:sz w:val="24"/>
        </w:rPr>
        <w:t>、电子投标操作指南详见：“</w:t>
      </w:r>
      <w:r>
        <w:fldChar w:fldCharType="begin"/>
      </w:r>
      <w:r>
        <w:instrText xml:space="preserve"> HYPERLINK "https://edu.zcygov.cn/luban/e-biding" </w:instrText>
      </w:r>
      <w:r>
        <w:fldChar w:fldCharType="separate"/>
      </w:r>
      <w:r>
        <w:rPr>
          <w:rFonts w:ascii="宋体" w:hAnsi="宋体"/>
          <w:color w:val="000000"/>
          <w:sz w:val="24"/>
        </w:rPr>
        <w:t>https://edu.zcygov.cn/luban/e-biding</w:t>
      </w:r>
      <w:r>
        <w:rPr>
          <w:rFonts w:ascii="宋体" w:hAnsi="宋体"/>
          <w:color w:val="000000"/>
          <w:sz w:val="24"/>
        </w:rPr>
        <w:fldChar w:fldCharType="end"/>
      </w:r>
      <w:r>
        <w:rPr>
          <w:rFonts w:hint="eastAsia" w:ascii="宋体" w:hAnsi="宋体"/>
          <w:color w:val="000000"/>
          <w:sz w:val="24"/>
        </w:rPr>
        <w:t>”。</w:t>
      </w:r>
    </w:p>
    <w:p>
      <w:pPr>
        <w:pStyle w:val="53"/>
      </w:pPr>
    </w:p>
    <w:p>
      <w:pPr>
        <w:snapToGrid w:val="0"/>
        <w:spacing w:line="360" w:lineRule="auto"/>
        <w:ind w:firstLine="482" w:firstLineChars="200"/>
        <w:rPr>
          <w:rFonts w:ascii="宋体" w:cs="Arial"/>
          <w:b/>
          <w:color w:val="000000"/>
          <w:sz w:val="24"/>
        </w:rPr>
      </w:pPr>
      <w:r>
        <w:rPr>
          <w:rFonts w:hint="eastAsia" w:ascii="宋体" w:hAnsi="宋体" w:cs="Arial"/>
          <w:b/>
          <w:color w:val="000000"/>
          <w:sz w:val="24"/>
        </w:rPr>
        <w:t>十、投标人信用信息查询渠道及截止时点、信用信息查询记录和证据留存的具体方式、信用信息的使用规则</w:t>
      </w:r>
    </w:p>
    <w:p>
      <w:pPr>
        <w:snapToGrid w:val="0"/>
        <w:spacing w:line="360" w:lineRule="auto"/>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、查询渠道：国家企业信用信息公示系统（</w:t>
      </w:r>
      <w:r>
        <w:rPr>
          <w:rFonts w:ascii="宋体" w:hAnsi="宋体" w:cs="Arial"/>
          <w:color w:val="000000"/>
          <w:sz w:val="24"/>
        </w:rPr>
        <w:t>http://www.gsxt.gov.cn/index.html</w:t>
      </w:r>
      <w:r>
        <w:rPr>
          <w:rFonts w:hint="eastAsia" w:ascii="宋体" w:hAnsi="宋体" w:cs="Arial"/>
          <w:color w:val="000000"/>
          <w:sz w:val="24"/>
        </w:rPr>
        <w:t>）。</w:t>
      </w:r>
    </w:p>
    <w:p>
      <w:pPr>
        <w:snapToGrid w:val="0"/>
        <w:spacing w:line="360" w:lineRule="auto"/>
        <w:ind w:firstLine="480" w:firstLineChars="200"/>
        <w:rPr>
          <w:rFonts w:ascii="宋体" w:cs="Arial"/>
          <w:b/>
          <w:bCs/>
          <w:color w:val="000000"/>
          <w:sz w:val="24"/>
          <w:shd w:val="clear" w:color="FFFFFF" w:fill="D9D9D9"/>
        </w:rPr>
      </w:pPr>
      <w:r>
        <w:rPr>
          <w:rFonts w:ascii="宋体" w:hAnsi="宋体" w:cs="Arial"/>
          <w:color w:val="000000"/>
          <w:sz w:val="24"/>
        </w:rPr>
        <w:t>2</w:t>
      </w:r>
      <w:r>
        <w:rPr>
          <w:rFonts w:hint="eastAsia" w:ascii="宋体" w:hAnsi="宋体" w:cs="Arial"/>
          <w:color w:val="000000"/>
          <w:sz w:val="24"/>
        </w:rPr>
        <w:t>、截止时点：开标后评标前。</w:t>
      </w:r>
    </w:p>
    <w:p>
      <w:pPr>
        <w:snapToGrid w:val="0"/>
        <w:spacing w:line="360" w:lineRule="auto"/>
        <w:ind w:firstLine="480" w:firstLineChars="200"/>
        <w:rPr>
          <w:rFonts w:ascii="宋体" w:cs="Arial"/>
          <w:color w:val="000000"/>
          <w:sz w:val="24"/>
        </w:rPr>
      </w:pPr>
      <w:r>
        <w:rPr>
          <w:rFonts w:ascii="宋体" w:hAnsi="宋体" w:cs="Arial"/>
          <w:color w:val="000000"/>
          <w:sz w:val="24"/>
        </w:rPr>
        <w:t>3</w:t>
      </w:r>
      <w:r>
        <w:rPr>
          <w:rFonts w:hint="eastAsia" w:ascii="宋体" w:hAnsi="宋体" w:cs="Arial"/>
          <w:color w:val="000000"/>
          <w:sz w:val="24"/>
        </w:rPr>
        <w:t>、信用信息查询记录和证据留存的具体方式：由采购组织机构在规定查询时间内打印信用信息查询记录并归入项目档案。</w:t>
      </w:r>
    </w:p>
    <w:p>
      <w:pPr>
        <w:snapToGrid w:val="0"/>
        <w:spacing w:line="360" w:lineRule="auto"/>
        <w:ind w:firstLine="480" w:firstLineChars="200"/>
        <w:rPr>
          <w:rFonts w:ascii="宋体" w:hAnsi="宋体" w:cs="Arial"/>
          <w:color w:val="000000"/>
          <w:sz w:val="24"/>
        </w:rPr>
      </w:pPr>
      <w:r>
        <w:rPr>
          <w:rFonts w:ascii="宋体" w:hAnsi="宋体" w:cs="Arial"/>
          <w:color w:val="000000"/>
          <w:sz w:val="24"/>
        </w:rPr>
        <w:t>4</w:t>
      </w:r>
      <w:r>
        <w:rPr>
          <w:rFonts w:hint="eastAsia" w:ascii="宋体" w:hAnsi="宋体" w:cs="Arial"/>
          <w:color w:val="000000"/>
          <w:sz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p>
      <w:pPr>
        <w:widowControl/>
        <w:adjustRightInd/>
        <w:snapToGrid w:val="0"/>
        <w:spacing w:line="360" w:lineRule="auto"/>
        <w:ind w:firstLine="482" w:firstLineChars="200"/>
        <w:jc w:val="left"/>
        <w:rPr>
          <w:rFonts w:hint="eastAsia" w:ascii="宋体" w:hAnsi="宋体" w:cs="Arial"/>
          <w:b/>
          <w:bCs w:val="0"/>
          <w:color w:val="000000"/>
          <w:kern w:val="2"/>
          <w:sz w:val="24"/>
          <w:szCs w:val="24"/>
        </w:rPr>
      </w:pPr>
      <w:r>
        <w:rPr>
          <w:rFonts w:hint="eastAsia" w:ascii="宋体" w:hAnsi="宋体" w:cs="Arial"/>
          <w:b/>
          <w:bCs w:val="0"/>
          <w:color w:val="000000"/>
          <w:kern w:val="2"/>
          <w:sz w:val="24"/>
          <w:szCs w:val="24"/>
        </w:rPr>
        <w:t>十一、质疑和投诉：</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lang w:val="en-US" w:eastAsia="zh-CN"/>
        </w:rPr>
        <w:t>▲</w:t>
      </w:r>
      <w:r>
        <w:rPr>
          <w:rFonts w:hint="eastAsia" w:ascii="宋体" w:hAnsi="宋体" w:cs="Arial"/>
          <w:color w:val="000000"/>
          <w:sz w:val="24"/>
        </w:rPr>
        <w:t>1</w:t>
      </w:r>
      <w:r>
        <w:rPr>
          <w:rFonts w:ascii="宋体" w:hAnsi="宋体" w:cs="Arial"/>
          <w:color w:val="000000"/>
          <w:sz w:val="24"/>
        </w:rPr>
        <w:t>. 未按招标公告规定获取招标文件的潜在投标人不得对招标文件提出质疑，其投标将被拒绝；</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 投标人认为招标文件使自己的权益受到损害的，可以自获取招标文件之日或者招标文件公告期限届满之日（在招标文件公告期限届满后获取招标文件的，以招标文件公告期限届满之日为准）起7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sz w:val="24"/>
        </w:rPr>
        <w:t>3</w:t>
      </w:r>
      <w:r>
        <w:rPr>
          <w:rFonts w:ascii="宋体" w:hAnsi="宋体" w:cs="Arial"/>
          <w:color w:val="000000"/>
          <w:sz w:val="24"/>
        </w:rPr>
        <w:t xml:space="preserve">. </w:t>
      </w:r>
      <w:r>
        <w:rPr>
          <w:rFonts w:ascii="宋体" w:hAnsi="宋体" w:cs="Arial"/>
          <w:color w:val="000000" w:themeColor="text1"/>
          <w:sz w:val="24"/>
          <w14:textFill>
            <w14:solidFill>
              <w14:schemeClr w14:val="tx1"/>
            </w14:solidFill>
          </w14:textFill>
        </w:rPr>
        <w:t>质疑受理</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.1采购人质疑受理：</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接收质疑函的方式：</w:t>
      </w:r>
      <w:r>
        <w:rPr>
          <w:rFonts w:hint="eastAsia" w:ascii="宋体" w:hAnsi="宋体" w:cs="Arial"/>
          <w:color w:val="000000" w:themeColor="text1"/>
          <w:sz w:val="24"/>
          <w14:textFill>
            <w14:solidFill>
              <w14:schemeClr w14:val="tx1"/>
            </w14:solidFill>
          </w14:textFill>
        </w:rPr>
        <w:t>邮寄方式/直接送达</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联系人：江先生  </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联系电话：0576-89065368</w:t>
      </w:r>
    </w:p>
    <w:p>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通讯地址地点：台州市椒江区中山西路19-21号国土大厦</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.2采购代理机构质疑受理：</w:t>
      </w:r>
    </w:p>
    <w:p>
      <w:pPr>
        <w:snapToGrid w:val="0"/>
        <w:spacing w:line="360" w:lineRule="auto"/>
        <w:ind w:firstLine="480" w:firstLineChars="200"/>
        <w:rPr>
          <w:rFonts w:ascii="宋体" w:hAnsi="宋体" w:cs="Arial"/>
          <w:color w:val="000000"/>
          <w:sz w:val="24"/>
        </w:rPr>
      </w:pPr>
      <w:r>
        <w:rPr>
          <w:rFonts w:ascii="宋体" w:hAnsi="宋体" w:cs="Arial"/>
          <w:color w:val="000000"/>
          <w:sz w:val="24"/>
        </w:rPr>
        <w:t>接收质疑函的方式：</w:t>
      </w:r>
      <w:r>
        <w:rPr>
          <w:rFonts w:hint="eastAsia" w:ascii="宋体" w:hAnsi="宋体" w:cs="Arial"/>
          <w:color w:val="000000"/>
          <w:sz w:val="24"/>
        </w:rPr>
        <w:t>邮寄方式/直接送达</w:t>
      </w:r>
    </w:p>
    <w:p>
      <w:pPr>
        <w:snapToGrid w:val="0"/>
        <w:spacing w:line="360" w:lineRule="auto"/>
        <w:ind w:firstLine="480" w:firstLineChars="200"/>
        <w:rPr>
          <w:rFonts w:ascii="宋体" w:hAnsi="宋体" w:cs="Arial"/>
          <w:color w:val="000000"/>
          <w:sz w:val="24"/>
        </w:rPr>
      </w:pPr>
      <w:r>
        <w:rPr>
          <w:rFonts w:ascii="宋体" w:hAnsi="宋体" w:cs="Arial"/>
          <w:color w:val="000000"/>
          <w:sz w:val="24"/>
        </w:rPr>
        <w:t>联系</w:t>
      </w:r>
      <w:r>
        <w:rPr>
          <w:rFonts w:hint="eastAsia" w:ascii="宋体" w:hAnsi="宋体" w:cs="Arial"/>
          <w:color w:val="000000"/>
          <w:sz w:val="24"/>
        </w:rPr>
        <w:t>人</w:t>
      </w:r>
      <w:r>
        <w:rPr>
          <w:rFonts w:ascii="宋体" w:hAnsi="宋体" w:cs="Arial"/>
          <w:color w:val="000000"/>
          <w:sz w:val="24"/>
        </w:rPr>
        <w:t>：</w:t>
      </w:r>
      <w:r>
        <w:rPr>
          <w:rFonts w:hint="eastAsia" w:ascii="宋体" w:hAnsi="宋体" w:cs="Arial"/>
          <w:color w:val="000000"/>
          <w:sz w:val="24"/>
        </w:rPr>
        <w:t xml:space="preserve">高小姐 </w:t>
      </w:r>
    </w:p>
    <w:p>
      <w:pPr>
        <w:snapToGrid w:val="0"/>
        <w:spacing w:line="360" w:lineRule="auto"/>
        <w:ind w:firstLine="480" w:firstLineChars="200"/>
        <w:rPr>
          <w:rFonts w:ascii="宋体" w:hAnsi="宋体" w:cs="Arial"/>
          <w:color w:val="000000"/>
          <w:sz w:val="24"/>
        </w:rPr>
      </w:pPr>
      <w:r>
        <w:rPr>
          <w:rFonts w:ascii="宋体" w:hAnsi="宋体" w:cs="Arial"/>
          <w:color w:val="000000"/>
          <w:sz w:val="24"/>
        </w:rPr>
        <w:t>联系电话：0576-84260529</w:t>
      </w:r>
      <w:r>
        <w:rPr>
          <w:rFonts w:hint="eastAsia" w:ascii="宋体" w:hAnsi="宋体" w:cs="Arial"/>
          <w:color w:val="000000"/>
          <w:sz w:val="24"/>
        </w:rPr>
        <w:t xml:space="preserve"> </w:t>
      </w:r>
    </w:p>
    <w:p>
      <w:pPr>
        <w:snapToGrid w:val="0"/>
        <w:spacing w:line="360" w:lineRule="auto"/>
        <w:ind w:firstLine="480" w:firstLineChars="200"/>
      </w:pPr>
      <w:r>
        <w:rPr>
          <w:rFonts w:ascii="宋体" w:hAnsi="宋体" w:cs="Arial"/>
          <w:color w:val="000000"/>
          <w:sz w:val="24"/>
        </w:rPr>
        <w:t>通讯地址地点：</w:t>
      </w:r>
      <w:r>
        <w:rPr>
          <w:rFonts w:hint="eastAsia" w:ascii="宋体" w:hAnsi="宋体" w:cs="Arial"/>
          <w:color w:val="000000"/>
          <w:sz w:val="24"/>
        </w:rPr>
        <w:t>台州市黄岩尚司路</w:t>
      </w:r>
      <w:r>
        <w:rPr>
          <w:rFonts w:ascii="宋体" w:hAnsi="宋体" w:cs="Arial"/>
          <w:color w:val="000000"/>
          <w:sz w:val="24"/>
        </w:rPr>
        <w:t>33</w:t>
      </w:r>
      <w:r>
        <w:rPr>
          <w:rFonts w:hint="eastAsia" w:ascii="宋体" w:hAnsi="宋体" w:cs="Arial"/>
          <w:color w:val="000000"/>
          <w:sz w:val="24"/>
        </w:rPr>
        <w:t xml:space="preserve">号 </w:t>
      </w:r>
    </w:p>
    <w:p>
      <w:pPr>
        <w:numPr>
          <w:ilvl w:val="0"/>
          <w:numId w:val="5"/>
        </w:numPr>
        <w:snapToGrid w:val="0"/>
        <w:spacing w:line="360" w:lineRule="auto"/>
        <w:ind w:firstLine="482" w:firstLineChars="200"/>
        <w:rPr>
          <w:rFonts w:ascii="宋体" w:hAnsi="宋体" w:cs="Arial"/>
          <w:b/>
          <w:sz w:val="24"/>
        </w:rPr>
      </w:pPr>
      <w:r>
        <w:rPr>
          <w:rFonts w:hint="eastAsia" w:ascii="宋体" w:hAnsi="宋体" w:cs="Arial"/>
          <w:b/>
          <w:sz w:val="24"/>
        </w:rPr>
        <w:t>相关注意事项</w:t>
      </w:r>
    </w:p>
    <w:p>
      <w:pPr>
        <w:spacing w:line="360" w:lineRule="auto"/>
        <w:ind w:firstLine="480" w:firstLineChars="200"/>
        <w:textAlignment w:val="bottom"/>
        <w:rPr>
          <w:rFonts w:ascii="宋体"/>
          <w:bCs/>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hint="eastAsia" w:ascii="宋体"/>
          <w:bCs/>
          <w:color w:val="000000" w:themeColor="text1"/>
          <w:kern w:val="0"/>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cs="Arial"/>
          <w:color w:val="000000"/>
          <w:sz w:val="24"/>
        </w:rPr>
      </w:pPr>
      <w:r>
        <w:rPr>
          <w:rFonts w:hint="eastAsia" w:ascii="宋体" w:hAnsi="宋体" w:cs="Arial"/>
          <w:color w:val="000000" w:themeColor="text1"/>
          <w:sz w:val="24"/>
          <w14:textFill>
            <w14:solidFill>
              <w14:schemeClr w14:val="tx1"/>
            </w14:solidFill>
          </w14:textFill>
        </w:rPr>
        <w:t>3、供应商认为采购文件使自己的权益受到</w:t>
      </w:r>
      <w:r>
        <w:rPr>
          <w:rFonts w:hint="eastAsia" w:ascii="宋体" w:hAnsi="宋体" w:cs="Arial"/>
          <w:color w:val="000000"/>
          <w:sz w:val="24"/>
        </w:rPr>
        <w:t>损害的，可以自收到采购文件之日（获取</w:t>
      </w:r>
      <w:r>
        <w:rPr>
          <w:rFonts w:ascii="宋体" w:hAnsi="宋体" w:cs="Arial"/>
          <w:color w:val="000000"/>
          <w:sz w:val="24"/>
        </w:rPr>
        <w:t>/</w:t>
      </w:r>
      <w:r>
        <w:rPr>
          <w:rFonts w:hint="eastAsia" w:ascii="宋体" w:hAnsi="宋体" w:cs="Arial"/>
          <w:color w:val="000000"/>
          <w:sz w:val="24"/>
        </w:rPr>
        <w:t>发售截止日之后收到采购文件的，以获取</w:t>
      </w:r>
      <w:r>
        <w:rPr>
          <w:rFonts w:ascii="宋体" w:hAnsi="宋体" w:cs="Arial"/>
          <w:color w:val="000000"/>
          <w:sz w:val="24"/>
        </w:rPr>
        <w:t>/</w:t>
      </w:r>
      <w:r>
        <w:rPr>
          <w:rFonts w:hint="eastAsia" w:ascii="宋体" w:hAnsi="宋体" w:cs="Arial"/>
          <w:color w:val="000000"/>
          <w:sz w:val="24"/>
        </w:rPr>
        <w:t>发售截止日为准）起</w:t>
      </w:r>
      <w:r>
        <w:rPr>
          <w:rFonts w:ascii="宋体" w:hAnsi="宋体" w:cs="Arial"/>
          <w:color w:val="000000"/>
          <w:sz w:val="24"/>
        </w:rPr>
        <w:t>7</w:t>
      </w:r>
      <w:r>
        <w:rPr>
          <w:rFonts w:hint="eastAsia" w:ascii="宋体" w:hAnsi="宋体" w:cs="Arial"/>
          <w:color w:val="000000"/>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Arial"/>
          <w:sz w:val="24"/>
        </w:rPr>
      </w:pPr>
      <w:r>
        <w:rPr>
          <w:rFonts w:hint="eastAsia" w:ascii="宋体" w:hAnsi="宋体" w:cs="Arial"/>
          <w:sz w:val="24"/>
        </w:rPr>
        <w:t>4、根据《浙江省政府采购供应商注册及诚信管理暂行办法》浙财采监【</w:t>
      </w:r>
      <w:r>
        <w:rPr>
          <w:rFonts w:ascii="宋体" w:hAnsi="宋体" w:cs="Arial"/>
          <w:sz w:val="24"/>
        </w:rPr>
        <w:t>2009</w:t>
      </w:r>
      <w:r>
        <w:rPr>
          <w:rFonts w:hint="eastAsia" w:ascii="宋体" w:hAnsi="宋体" w:cs="Arial"/>
          <w:sz w:val="24"/>
        </w:rPr>
        <w:t>】</w:t>
      </w:r>
      <w:r>
        <w:rPr>
          <w:rFonts w:ascii="宋体" w:hAnsi="宋体" w:cs="Arial"/>
          <w:sz w:val="24"/>
        </w:rPr>
        <w:t>28</w:t>
      </w:r>
      <w:r>
        <w:rPr>
          <w:rFonts w:hint="eastAsia" w:ascii="宋体" w:hAnsi="宋体" w:cs="Arial"/>
          <w:sz w:val="24"/>
        </w:rPr>
        <w:t>号文件，请各投标供应商及时办理浙江政府采购网“政府采购供应商注册”手续。</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5、本项目所有公告发布网站：“浙江省政府采购网”（</w:t>
      </w:r>
      <w:r>
        <w:rPr>
          <w:rFonts w:ascii="宋体" w:hAnsi="宋体" w:cs="Arial"/>
          <w:color w:val="000000"/>
          <w:sz w:val="24"/>
        </w:rPr>
        <w:t xml:space="preserve">http:// </w:t>
      </w:r>
      <w:r>
        <w:fldChar w:fldCharType="begin"/>
      </w:r>
      <w:r>
        <w:instrText xml:space="preserve"> HYPERLINK "http://www.zjzfcg.gov.cn）。" </w:instrText>
      </w:r>
      <w:r>
        <w:fldChar w:fldCharType="separate"/>
      </w:r>
      <w:r>
        <w:rPr>
          <w:rStyle w:val="32"/>
          <w:rFonts w:ascii="宋体" w:hAnsi="宋体" w:cs="Arial"/>
          <w:sz w:val="24"/>
        </w:rPr>
        <w:t>www.zjzfcg.gov.cn</w:t>
      </w:r>
      <w:r>
        <w:rPr>
          <w:rStyle w:val="32"/>
          <w:rFonts w:hint="eastAsia" w:ascii="宋体" w:hAnsi="宋体" w:cs="Arial"/>
          <w:sz w:val="24"/>
        </w:rPr>
        <w:t>）。</w:t>
      </w:r>
      <w:r>
        <w:rPr>
          <w:rStyle w:val="34"/>
          <w:rFonts w:hint="eastAsia" w:ascii="宋体" w:hAnsi="宋体" w:cs="Arial"/>
          <w:sz w:val="24"/>
        </w:rPr>
        <w:fldChar w:fldCharType="end"/>
      </w:r>
    </w:p>
    <w:p>
      <w:pPr>
        <w:pStyle w:val="14"/>
        <w:ind w:left="0" w:leftChars="0"/>
      </w:pPr>
    </w:p>
    <w:p>
      <w:pPr>
        <w:spacing w:line="360" w:lineRule="auto"/>
        <w:ind w:firstLine="590" w:firstLineChars="245"/>
        <w:rPr>
          <w:rFonts w:ascii="宋体"/>
          <w:b/>
          <w:sz w:val="24"/>
        </w:rPr>
      </w:pPr>
      <w:r>
        <w:rPr>
          <w:rFonts w:hint="eastAsia" w:ascii="宋体" w:hAnsi="宋体"/>
          <w:b/>
          <w:sz w:val="24"/>
        </w:rPr>
        <w:t>十三、联系方式</w:t>
      </w:r>
    </w:p>
    <w:p>
      <w:pPr>
        <w:spacing w:line="360" w:lineRule="auto"/>
        <w:ind w:firstLine="472" w:firstLineChars="196"/>
        <w:rPr>
          <w:rFonts w:ascii="宋体"/>
          <w:b/>
          <w:sz w:val="24"/>
        </w:rPr>
      </w:pPr>
      <w:r>
        <w:rPr>
          <w:rFonts w:hint="eastAsia" w:ascii="宋体" w:hAnsi="宋体"/>
          <w:b/>
          <w:sz w:val="24"/>
        </w:rPr>
        <w:t>（一）采购代理机构</w:t>
      </w:r>
    </w:p>
    <w:p>
      <w:pPr>
        <w:snapToGrid w:val="0"/>
        <w:spacing w:line="360" w:lineRule="auto"/>
        <w:ind w:firstLine="600" w:firstLineChars="250"/>
        <w:rPr>
          <w:rFonts w:ascii="宋体" w:cs="Arial"/>
          <w:color w:val="000000"/>
          <w:sz w:val="24"/>
        </w:rPr>
      </w:pPr>
      <w:r>
        <w:rPr>
          <w:rFonts w:hint="eastAsia" w:ascii="宋体" w:hAnsi="宋体" w:cs="Arial"/>
          <w:color w:val="000000"/>
          <w:sz w:val="24"/>
        </w:rPr>
        <w:t>机构名称：台州市中恒企业管理咨询有限公司</w:t>
      </w:r>
    </w:p>
    <w:p>
      <w:pPr>
        <w:snapToGrid w:val="0"/>
        <w:spacing w:line="360" w:lineRule="auto"/>
        <w:ind w:firstLine="600" w:firstLineChars="250"/>
        <w:rPr>
          <w:rFonts w:ascii="宋体" w:cs="Arial"/>
          <w:color w:val="000000"/>
          <w:sz w:val="24"/>
        </w:rPr>
      </w:pPr>
      <w:r>
        <w:rPr>
          <w:rFonts w:hint="eastAsia" w:ascii="宋体" w:hAnsi="宋体" w:cs="Arial"/>
          <w:color w:val="000000"/>
          <w:sz w:val="24"/>
        </w:rPr>
        <w:t>联系人：王女士</w:t>
      </w:r>
    </w:p>
    <w:p>
      <w:pPr>
        <w:snapToGrid w:val="0"/>
        <w:spacing w:line="360" w:lineRule="auto"/>
        <w:ind w:firstLine="600" w:firstLineChars="250"/>
        <w:rPr>
          <w:rFonts w:ascii="仿宋_GB2312" w:hAnsi="仿宋" w:eastAsia="仿宋_GB2312" w:cs="宋体"/>
          <w:kern w:val="0"/>
          <w:sz w:val="28"/>
          <w:szCs w:val="28"/>
        </w:rPr>
      </w:pPr>
      <w:r>
        <w:rPr>
          <w:rFonts w:hint="eastAsia" w:ascii="宋体" w:hAnsi="宋体" w:cs="Arial"/>
          <w:color w:val="000000"/>
          <w:sz w:val="24"/>
        </w:rPr>
        <w:t>联系电话：</w:t>
      </w:r>
      <w:r>
        <w:rPr>
          <w:rFonts w:ascii="宋体" w:hAnsi="宋体" w:cs="Arial"/>
          <w:color w:val="000000"/>
          <w:sz w:val="24"/>
        </w:rPr>
        <w:t>0576-84260529</w:t>
      </w:r>
      <w:r>
        <w:rPr>
          <w:rFonts w:hint="eastAsia" w:ascii="宋体" w:hAnsi="宋体" w:cs="Arial"/>
          <w:color w:val="000000"/>
          <w:sz w:val="24"/>
        </w:rPr>
        <w:t>，</w:t>
      </w:r>
      <w:r>
        <w:rPr>
          <w:rFonts w:ascii="宋体" w:hAnsi="宋体" w:cs="Arial"/>
          <w:color w:val="000000"/>
          <w:sz w:val="24"/>
        </w:rPr>
        <w:t xml:space="preserve">13738606556 </w:t>
      </w:r>
    </w:p>
    <w:p>
      <w:pPr>
        <w:snapToGrid w:val="0"/>
        <w:spacing w:line="360" w:lineRule="auto"/>
        <w:ind w:firstLine="600" w:firstLineChars="25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地址：台州市黄岩尚司路</w:t>
      </w:r>
      <w:r>
        <w:rPr>
          <w:rFonts w:ascii="宋体" w:hAnsi="宋体" w:cs="Arial"/>
          <w:color w:val="000000" w:themeColor="text1"/>
          <w:sz w:val="24"/>
          <w14:textFill>
            <w14:solidFill>
              <w14:schemeClr w14:val="tx1"/>
            </w14:solidFill>
          </w14:textFill>
        </w:rPr>
        <w:t>33</w:t>
      </w:r>
      <w:r>
        <w:rPr>
          <w:rFonts w:hint="eastAsia" w:ascii="宋体" w:hAnsi="宋体" w:cs="Arial"/>
          <w:color w:val="000000" w:themeColor="text1"/>
          <w:sz w:val="24"/>
          <w14:textFill>
            <w14:solidFill>
              <w14:schemeClr w14:val="tx1"/>
            </w14:solidFill>
          </w14:textFill>
        </w:rPr>
        <w:t>号</w:t>
      </w:r>
    </w:p>
    <w:p>
      <w:pPr>
        <w:snapToGrid w:val="0"/>
        <w:spacing w:line="360" w:lineRule="auto"/>
        <w:ind w:firstLine="602" w:firstLineChars="25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p>
    <w:p>
      <w:pPr>
        <w:snapToGrid w:val="0"/>
        <w:spacing w:line="360" w:lineRule="auto"/>
        <w:ind w:firstLine="600" w:firstLineChars="25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采购人名称：台州市自然资源和规划局椒江分局</w:t>
      </w:r>
    </w:p>
    <w:p>
      <w:pPr>
        <w:snapToGrid w:val="0"/>
        <w:spacing w:line="360" w:lineRule="auto"/>
        <w:ind w:firstLine="600" w:firstLineChars="25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 王先生</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联系电话：0576-89065368，15857699698</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采购人地址：台州市椒江区中山西路19-21号国土大厦</w:t>
      </w:r>
    </w:p>
    <w:p>
      <w:pPr>
        <w:spacing w:line="360" w:lineRule="auto"/>
        <w:ind w:firstLine="472" w:firstLineChars="196"/>
        <w:rPr>
          <w:rFonts w:ascii="宋体"/>
          <w:b/>
          <w:sz w:val="24"/>
        </w:rPr>
      </w:pPr>
      <w:r>
        <w:rPr>
          <w:rFonts w:hint="eastAsia" w:ascii="宋体" w:hAnsi="宋体"/>
          <w:b/>
          <w:sz w:val="24"/>
        </w:rPr>
        <w:t>（三）同级政府采购监督管理部门</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同级政府采购监督管理部门名称：台州市椒江区财政局政府采购监管科</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联系人：王女士</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监督投诉电话：0576-89069293</w:t>
      </w:r>
    </w:p>
    <w:p>
      <w:pPr>
        <w:snapToGrid w:val="0"/>
        <w:spacing w:line="360" w:lineRule="auto"/>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地址：台州市椒江区建设路6号</w:t>
      </w:r>
    </w:p>
    <w:p>
      <w:pPr>
        <w:spacing w:line="360" w:lineRule="auto"/>
        <w:ind w:firstLine="472" w:firstLineChars="196"/>
        <w:rPr>
          <w:rFonts w:ascii="宋体" w:hAnsi="宋体"/>
          <w:b/>
          <w:sz w:val="24"/>
        </w:rPr>
      </w:pPr>
      <w:r>
        <w:rPr>
          <w:rFonts w:hint="eastAsia" w:ascii="宋体" w:hAnsi="宋体"/>
          <w:b/>
          <w:sz w:val="24"/>
        </w:rPr>
        <w:t>（四）政采云平台</w:t>
      </w:r>
    </w:p>
    <w:p>
      <w:pPr>
        <w:spacing w:line="360" w:lineRule="auto"/>
        <w:ind w:firstLine="420" w:firstLineChars="200"/>
      </w:pPr>
      <w:r>
        <w:rPr>
          <w:rFonts w:hint="eastAsia" w:ascii="宋体" w:hAnsi="宋体" w:cs="宋体"/>
          <w:szCs w:val="21"/>
        </w:rPr>
        <w:t>联系电话</w:t>
      </w:r>
      <w:r>
        <w:rPr>
          <w:rFonts w:hint="eastAsia" w:ascii="宋体" w:hAnsi="宋体" w:cs="Arial"/>
          <w:color w:val="000000"/>
          <w:sz w:val="24"/>
        </w:rPr>
        <w:t xml:space="preserve">：4008817190   </w:t>
      </w:r>
    </w:p>
    <w:p>
      <w:pPr>
        <w:spacing w:line="360" w:lineRule="auto"/>
        <w:ind w:firstLine="482" w:firstLineChars="200"/>
        <w:rPr>
          <w:rFonts w:ascii="宋体" w:cs="宋体"/>
          <w:sz w:val="24"/>
          <w:szCs w:val="32"/>
        </w:rPr>
      </w:pPr>
      <w:r>
        <w:rPr>
          <w:rFonts w:hint="eastAsia" w:ascii="宋体" w:hAnsi="宋体"/>
          <w:b/>
          <w:sz w:val="24"/>
        </w:rPr>
        <w:t>（五）其余事项：</w:t>
      </w:r>
      <w:r>
        <w:rPr>
          <w:rFonts w:hint="eastAsia" w:ascii="宋体" w:hAnsi="宋体" w:cs="宋体"/>
          <w:sz w:val="24"/>
          <w:szCs w:val="32"/>
        </w:rPr>
        <w:t>中标供应商如有融资需求，可使用以下银行的政采贷服务。</w:t>
      </w:r>
    </w:p>
    <w:tbl>
      <w:tblPr>
        <w:tblStyle w:val="28"/>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银行</w:t>
            </w:r>
          </w:p>
        </w:tc>
        <w:tc>
          <w:tcPr>
            <w:tcW w:w="1470" w:type="dxa"/>
            <w:vAlign w:val="center"/>
          </w:tcPr>
          <w:p>
            <w:pPr>
              <w:jc w:val="center"/>
              <w:rPr>
                <w:rFonts w:ascii="宋体" w:cs="宋体"/>
                <w:sz w:val="24"/>
              </w:rPr>
            </w:pPr>
            <w:r>
              <w:rPr>
                <w:rFonts w:hint="eastAsia" w:ascii="宋体" w:hAnsi="宋体" w:cs="宋体"/>
                <w:sz w:val="24"/>
              </w:rPr>
              <w:t>贷款年利率</w:t>
            </w:r>
          </w:p>
        </w:tc>
        <w:tc>
          <w:tcPr>
            <w:tcW w:w="1155" w:type="dxa"/>
            <w:vAlign w:val="center"/>
          </w:tcPr>
          <w:p>
            <w:pPr>
              <w:jc w:val="center"/>
              <w:rPr>
                <w:rFonts w:ascii="宋体" w:cs="宋体"/>
                <w:sz w:val="24"/>
              </w:rPr>
            </w:pPr>
            <w:r>
              <w:rPr>
                <w:rFonts w:hint="eastAsia" w:ascii="宋体" w:hAnsi="宋体" w:cs="宋体"/>
                <w:sz w:val="24"/>
              </w:rPr>
              <w:t>联系人</w:t>
            </w:r>
          </w:p>
        </w:tc>
        <w:tc>
          <w:tcPr>
            <w:tcW w:w="2672" w:type="dxa"/>
            <w:vAlign w:val="center"/>
          </w:tcPr>
          <w:p>
            <w:pPr>
              <w:jc w:val="center"/>
              <w:rPr>
                <w:rFonts w:asci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中国工商银行</w:t>
            </w:r>
          </w:p>
        </w:tc>
        <w:tc>
          <w:tcPr>
            <w:tcW w:w="1470" w:type="dxa"/>
            <w:vAlign w:val="center"/>
          </w:tcPr>
          <w:p>
            <w:pPr>
              <w:jc w:val="center"/>
              <w:rPr>
                <w:rFonts w:ascii="宋体" w:cs="宋体"/>
                <w:sz w:val="24"/>
              </w:rPr>
            </w:pPr>
            <w:r>
              <w:rPr>
                <w:rFonts w:ascii="宋体" w:hAnsi="宋体" w:cs="宋体"/>
                <w:sz w:val="24"/>
              </w:rPr>
              <w:t>3.8%</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王霖</w:t>
            </w:r>
          </w:p>
        </w:tc>
        <w:tc>
          <w:tcPr>
            <w:tcW w:w="2672" w:type="dxa"/>
            <w:vAlign w:val="center"/>
          </w:tcPr>
          <w:p>
            <w:pPr>
              <w:rPr>
                <w:rFonts w:ascii="宋体" w:cs="宋体"/>
                <w:sz w:val="24"/>
              </w:rPr>
            </w:pPr>
            <w:r>
              <w:rPr>
                <w:rFonts w:ascii="宋体" w:hAnsi="宋体" w:cs="宋体"/>
                <w:sz w:val="24"/>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中国农业银行</w:t>
            </w:r>
          </w:p>
        </w:tc>
        <w:tc>
          <w:tcPr>
            <w:tcW w:w="1470" w:type="dxa"/>
            <w:vAlign w:val="center"/>
          </w:tcPr>
          <w:p>
            <w:pPr>
              <w:jc w:val="center"/>
              <w:rPr>
                <w:rFonts w:ascii="宋体" w:cs="宋体"/>
                <w:sz w:val="24"/>
              </w:rPr>
            </w:pPr>
            <w:r>
              <w:rPr>
                <w:rFonts w:ascii="宋体" w:hAnsi="宋体" w:cs="宋体"/>
                <w:sz w:val="24"/>
              </w:rPr>
              <w:t>3.8%</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龚盛</w:t>
            </w:r>
          </w:p>
        </w:tc>
        <w:tc>
          <w:tcPr>
            <w:tcW w:w="2672" w:type="dxa"/>
            <w:vAlign w:val="center"/>
          </w:tcPr>
          <w:p>
            <w:pPr>
              <w:rPr>
                <w:rFonts w:ascii="宋体" w:cs="宋体"/>
                <w:sz w:val="24"/>
              </w:rPr>
            </w:pPr>
            <w:r>
              <w:rPr>
                <w:rFonts w:ascii="宋体" w:hAnsi="宋体" w:cs="宋体"/>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中国建设银行</w:t>
            </w:r>
          </w:p>
        </w:tc>
        <w:tc>
          <w:tcPr>
            <w:tcW w:w="1470" w:type="dxa"/>
            <w:vAlign w:val="center"/>
          </w:tcPr>
          <w:p>
            <w:pPr>
              <w:jc w:val="center"/>
              <w:rPr>
                <w:rFonts w:ascii="宋体" w:cs="宋体"/>
                <w:sz w:val="24"/>
              </w:rPr>
            </w:pPr>
            <w:r>
              <w:rPr>
                <w:rFonts w:ascii="宋体" w:hAnsi="宋体" w:cs="宋体"/>
                <w:sz w:val="24"/>
              </w:rPr>
              <w:t>3.8%</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梅晶晶</w:t>
            </w:r>
          </w:p>
        </w:tc>
        <w:tc>
          <w:tcPr>
            <w:tcW w:w="2672" w:type="dxa"/>
            <w:vAlign w:val="center"/>
          </w:tcPr>
          <w:p>
            <w:pPr>
              <w:rPr>
                <w:rFonts w:ascii="宋体" w:cs="宋体"/>
                <w:sz w:val="24"/>
              </w:rPr>
            </w:pPr>
            <w:r>
              <w:rPr>
                <w:rFonts w:ascii="宋体" w:hAnsi="宋体" w:cs="宋体"/>
                <w:sz w:val="24"/>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中国银行</w:t>
            </w:r>
          </w:p>
        </w:tc>
        <w:tc>
          <w:tcPr>
            <w:tcW w:w="1470" w:type="dxa"/>
            <w:vAlign w:val="center"/>
          </w:tcPr>
          <w:p>
            <w:pPr>
              <w:jc w:val="center"/>
              <w:rPr>
                <w:rFonts w:ascii="宋体" w:cs="宋体"/>
                <w:sz w:val="24"/>
              </w:rPr>
            </w:pPr>
            <w:r>
              <w:rPr>
                <w:rFonts w:ascii="宋体" w:hAnsi="宋体" w:cs="宋体"/>
                <w:sz w:val="24"/>
              </w:rPr>
              <w:t>3.75%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任茜</w:t>
            </w:r>
          </w:p>
        </w:tc>
        <w:tc>
          <w:tcPr>
            <w:tcW w:w="2672" w:type="dxa"/>
            <w:vAlign w:val="center"/>
          </w:tcPr>
          <w:p>
            <w:pPr>
              <w:rPr>
                <w:rFonts w:ascii="宋体" w:cs="宋体"/>
                <w:sz w:val="24"/>
              </w:rPr>
            </w:pPr>
            <w:r>
              <w:rPr>
                <w:rFonts w:ascii="宋体" w:hAnsi="宋体" w:cs="宋体"/>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浦发银行台州分行</w:t>
            </w:r>
          </w:p>
        </w:tc>
        <w:tc>
          <w:tcPr>
            <w:tcW w:w="1470" w:type="dxa"/>
            <w:vAlign w:val="center"/>
          </w:tcPr>
          <w:p>
            <w:pPr>
              <w:jc w:val="center"/>
              <w:rPr>
                <w:rFonts w:ascii="宋体" w:cs="宋体"/>
                <w:sz w:val="24"/>
              </w:rPr>
            </w:pPr>
            <w:r>
              <w:rPr>
                <w:rFonts w:ascii="宋体" w:hAnsi="宋体" w:cs="宋体"/>
                <w:sz w:val="24"/>
              </w:rPr>
              <w:t>4.05%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王渊</w:t>
            </w:r>
          </w:p>
        </w:tc>
        <w:tc>
          <w:tcPr>
            <w:tcW w:w="2672" w:type="dxa"/>
            <w:vAlign w:val="center"/>
          </w:tcPr>
          <w:p>
            <w:pPr>
              <w:rPr>
                <w:rFonts w:ascii="宋体" w:cs="宋体"/>
                <w:sz w:val="24"/>
              </w:rPr>
            </w:pPr>
            <w:r>
              <w:rPr>
                <w:rFonts w:ascii="宋体" w:hAnsi="宋体" w:cs="宋体"/>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浦发银行椒江分行</w:t>
            </w:r>
          </w:p>
        </w:tc>
        <w:tc>
          <w:tcPr>
            <w:tcW w:w="1470" w:type="dxa"/>
            <w:vAlign w:val="center"/>
          </w:tcPr>
          <w:p>
            <w:pPr>
              <w:jc w:val="center"/>
              <w:rPr>
                <w:rFonts w:ascii="宋体" w:cs="宋体"/>
                <w:sz w:val="24"/>
              </w:rPr>
            </w:pPr>
            <w:r>
              <w:rPr>
                <w:rFonts w:ascii="宋体" w:hAnsi="宋体" w:cs="宋体"/>
                <w:sz w:val="24"/>
              </w:rPr>
              <w:t>4.05%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孙瑞华</w:t>
            </w:r>
          </w:p>
        </w:tc>
        <w:tc>
          <w:tcPr>
            <w:tcW w:w="2672" w:type="dxa"/>
            <w:vAlign w:val="center"/>
          </w:tcPr>
          <w:p>
            <w:pPr>
              <w:rPr>
                <w:rFonts w:ascii="宋体" w:cs="宋体"/>
                <w:sz w:val="24"/>
              </w:rPr>
            </w:pPr>
            <w:r>
              <w:rPr>
                <w:rFonts w:ascii="宋体" w:hAnsi="宋体" w:cs="宋体"/>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交通银行台州分行</w:t>
            </w:r>
          </w:p>
        </w:tc>
        <w:tc>
          <w:tcPr>
            <w:tcW w:w="1470" w:type="dxa"/>
            <w:vAlign w:val="center"/>
          </w:tcPr>
          <w:p>
            <w:pPr>
              <w:jc w:val="center"/>
              <w:rPr>
                <w:rFonts w:ascii="宋体" w:cs="宋体"/>
                <w:sz w:val="24"/>
              </w:rPr>
            </w:pPr>
            <w:r>
              <w:rPr>
                <w:rFonts w:ascii="宋体" w:hAnsi="宋体" w:cs="宋体"/>
                <w:sz w:val="24"/>
              </w:rPr>
              <w:t>3.75%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周翔宇</w:t>
            </w:r>
          </w:p>
        </w:tc>
        <w:tc>
          <w:tcPr>
            <w:tcW w:w="2672" w:type="dxa"/>
            <w:vAlign w:val="center"/>
          </w:tcPr>
          <w:p>
            <w:pPr>
              <w:rPr>
                <w:rFonts w:ascii="宋体" w:cs="宋体"/>
                <w:sz w:val="24"/>
              </w:rPr>
            </w:pPr>
            <w:r>
              <w:rPr>
                <w:rFonts w:ascii="宋体" w:hAnsi="宋体" w:cs="宋体"/>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招商银行台州分行</w:t>
            </w:r>
          </w:p>
        </w:tc>
        <w:tc>
          <w:tcPr>
            <w:tcW w:w="1470" w:type="dxa"/>
            <w:vAlign w:val="center"/>
          </w:tcPr>
          <w:p>
            <w:pPr>
              <w:jc w:val="center"/>
              <w:rPr>
                <w:rFonts w:ascii="宋体" w:cs="宋体"/>
                <w:sz w:val="24"/>
              </w:rPr>
            </w:pPr>
            <w:r>
              <w:rPr>
                <w:rFonts w:ascii="宋体" w:hAnsi="宋体" w:cs="宋体"/>
                <w:sz w:val="24"/>
              </w:rPr>
              <w:t>4.32%</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王海玲</w:t>
            </w:r>
          </w:p>
        </w:tc>
        <w:tc>
          <w:tcPr>
            <w:tcW w:w="2672" w:type="dxa"/>
            <w:vAlign w:val="center"/>
          </w:tcPr>
          <w:p>
            <w:pPr>
              <w:rPr>
                <w:rFonts w:ascii="宋体" w:cs="宋体"/>
                <w:sz w:val="24"/>
              </w:rPr>
            </w:pPr>
            <w:r>
              <w:rPr>
                <w:rFonts w:ascii="宋体" w:hAnsi="宋体" w:cs="宋体"/>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浙商银行台州分行</w:t>
            </w:r>
          </w:p>
        </w:tc>
        <w:tc>
          <w:tcPr>
            <w:tcW w:w="1470" w:type="dxa"/>
            <w:vAlign w:val="center"/>
          </w:tcPr>
          <w:p>
            <w:pPr>
              <w:jc w:val="center"/>
              <w:rPr>
                <w:rFonts w:ascii="宋体" w:cs="宋体"/>
                <w:sz w:val="24"/>
              </w:rPr>
            </w:pPr>
            <w:r>
              <w:rPr>
                <w:rFonts w:ascii="宋体" w:hAnsi="宋体" w:cs="宋体"/>
                <w:sz w:val="24"/>
              </w:rPr>
              <w:t>5.01%</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章涉漪</w:t>
            </w:r>
          </w:p>
        </w:tc>
        <w:tc>
          <w:tcPr>
            <w:tcW w:w="2672" w:type="dxa"/>
            <w:vAlign w:val="center"/>
          </w:tcPr>
          <w:p>
            <w:pPr>
              <w:rPr>
                <w:rFonts w:ascii="宋体" w:cs="宋体"/>
                <w:sz w:val="24"/>
              </w:rPr>
            </w:pPr>
            <w:r>
              <w:rPr>
                <w:rFonts w:ascii="宋体" w:hAnsi="宋体" w:cs="宋体"/>
                <w:sz w:val="24"/>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中信银行台州分行</w:t>
            </w:r>
          </w:p>
        </w:tc>
        <w:tc>
          <w:tcPr>
            <w:tcW w:w="1470" w:type="dxa"/>
            <w:vAlign w:val="center"/>
          </w:tcPr>
          <w:p>
            <w:pPr>
              <w:jc w:val="center"/>
              <w:rPr>
                <w:rFonts w:ascii="宋体" w:cs="宋体"/>
                <w:sz w:val="24"/>
              </w:rPr>
            </w:pPr>
            <w:r>
              <w:rPr>
                <w:rFonts w:ascii="宋体" w:hAnsi="宋体" w:cs="宋体"/>
                <w:sz w:val="24"/>
              </w:rPr>
              <w:t>4.15%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陈金园</w:t>
            </w:r>
          </w:p>
        </w:tc>
        <w:tc>
          <w:tcPr>
            <w:tcW w:w="2672" w:type="dxa"/>
            <w:vAlign w:val="center"/>
          </w:tcPr>
          <w:p>
            <w:pPr>
              <w:rPr>
                <w:rFonts w:ascii="宋体" w:cs="宋体"/>
                <w:sz w:val="24"/>
              </w:rPr>
            </w:pPr>
            <w:r>
              <w:rPr>
                <w:rFonts w:ascii="宋体" w:hAnsi="宋体" w:cs="宋体"/>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华夏银行台州分行</w:t>
            </w:r>
          </w:p>
        </w:tc>
        <w:tc>
          <w:tcPr>
            <w:tcW w:w="1470" w:type="dxa"/>
            <w:vAlign w:val="center"/>
          </w:tcPr>
          <w:p>
            <w:pPr>
              <w:jc w:val="center"/>
              <w:rPr>
                <w:rFonts w:ascii="宋体" w:cs="宋体"/>
                <w:sz w:val="24"/>
              </w:rPr>
            </w:pPr>
            <w:r>
              <w:rPr>
                <w:rFonts w:ascii="宋体" w:hAnsi="宋体" w:cs="宋体"/>
                <w:sz w:val="24"/>
              </w:rPr>
              <w:t>4.5%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邱明达</w:t>
            </w:r>
          </w:p>
        </w:tc>
        <w:tc>
          <w:tcPr>
            <w:tcW w:w="2672" w:type="dxa"/>
            <w:vAlign w:val="center"/>
          </w:tcPr>
          <w:p>
            <w:pPr>
              <w:rPr>
                <w:rFonts w:ascii="宋体" w:cs="宋体"/>
                <w:sz w:val="24"/>
              </w:rPr>
            </w:pPr>
            <w:r>
              <w:rPr>
                <w:rFonts w:ascii="宋体" w:hAnsi="宋体" w:cs="宋体"/>
                <w:sz w:val="24"/>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泰隆银行开发区支行</w:t>
            </w:r>
          </w:p>
        </w:tc>
        <w:tc>
          <w:tcPr>
            <w:tcW w:w="1470" w:type="dxa"/>
            <w:vAlign w:val="center"/>
          </w:tcPr>
          <w:p>
            <w:pPr>
              <w:jc w:val="center"/>
              <w:rPr>
                <w:rFonts w:ascii="宋体" w:cs="宋体"/>
                <w:sz w:val="24"/>
              </w:rPr>
            </w:pPr>
            <w:r>
              <w:rPr>
                <w:rFonts w:ascii="宋体" w:hAnsi="宋体" w:cs="宋体"/>
                <w:sz w:val="24"/>
              </w:rPr>
              <w:t>5.6%</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梁宛莉</w:t>
            </w:r>
          </w:p>
        </w:tc>
        <w:tc>
          <w:tcPr>
            <w:tcW w:w="2672" w:type="dxa"/>
            <w:vAlign w:val="center"/>
          </w:tcPr>
          <w:p>
            <w:pPr>
              <w:rPr>
                <w:rFonts w:ascii="宋体" w:cs="宋体"/>
                <w:sz w:val="24"/>
              </w:rPr>
            </w:pPr>
            <w:r>
              <w:rPr>
                <w:rFonts w:ascii="宋体" w:hAnsi="宋体" w:cs="宋体"/>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民泰银行椒江支行</w:t>
            </w:r>
          </w:p>
        </w:tc>
        <w:tc>
          <w:tcPr>
            <w:tcW w:w="1470" w:type="dxa"/>
            <w:vAlign w:val="center"/>
          </w:tcPr>
          <w:p>
            <w:pPr>
              <w:jc w:val="center"/>
              <w:rPr>
                <w:rFonts w:ascii="宋体" w:cs="宋体"/>
                <w:sz w:val="24"/>
              </w:rPr>
            </w:pPr>
            <w:r>
              <w:rPr>
                <w:rFonts w:ascii="宋体" w:hAnsi="宋体" w:cs="宋体"/>
                <w:sz w:val="24"/>
              </w:rPr>
              <w:t>5.8%</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陈慧珠</w:t>
            </w:r>
          </w:p>
        </w:tc>
        <w:tc>
          <w:tcPr>
            <w:tcW w:w="2672" w:type="dxa"/>
            <w:vAlign w:val="center"/>
          </w:tcPr>
          <w:p>
            <w:pPr>
              <w:rPr>
                <w:rFonts w:ascii="宋体" w:cs="宋体"/>
                <w:sz w:val="24"/>
              </w:rPr>
            </w:pPr>
            <w:r>
              <w:rPr>
                <w:rFonts w:ascii="宋体" w:hAnsi="宋体" w:cs="宋体"/>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绍兴银行台州分行</w:t>
            </w:r>
          </w:p>
        </w:tc>
        <w:tc>
          <w:tcPr>
            <w:tcW w:w="1470" w:type="dxa"/>
            <w:vAlign w:val="center"/>
          </w:tcPr>
          <w:p>
            <w:pPr>
              <w:jc w:val="center"/>
              <w:rPr>
                <w:rFonts w:ascii="宋体" w:cs="宋体"/>
                <w:sz w:val="24"/>
              </w:rPr>
            </w:pPr>
            <w:r>
              <w:rPr>
                <w:rFonts w:ascii="宋体" w:hAnsi="宋体" w:cs="宋体"/>
                <w:sz w:val="24"/>
              </w:rPr>
              <w:t>5.1%</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郭庭斌</w:t>
            </w:r>
          </w:p>
        </w:tc>
        <w:tc>
          <w:tcPr>
            <w:tcW w:w="2672" w:type="dxa"/>
            <w:vAlign w:val="center"/>
          </w:tcPr>
          <w:p>
            <w:pPr>
              <w:rPr>
                <w:rFonts w:ascii="宋体" w:cs="宋体"/>
                <w:sz w:val="24"/>
              </w:rPr>
            </w:pPr>
            <w:r>
              <w:rPr>
                <w:rFonts w:ascii="宋体" w:hAnsi="宋体" w:cs="宋体"/>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温州银行台州分行</w:t>
            </w:r>
          </w:p>
        </w:tc>
        <w:tc>
          <w:tcPr>
            <w:tcW w:w="1470" w:type="dxa"/>
            <w:vAlign w:val="center"/>
          </w:tcPr>
          <w:p>
            <w:pPr>
              <w:jc w:val="center"/>
              <w:rPr>
                <w:rFonts w:ascii="宋体" w:cs="宋体"/>
                <w:sz w:val="24"/>
              </w:rPr>
            </w:pPr>
            <w:r>
              <w:rPr>
                <w:rFonts w:ascii="宋体" w:hAnsi="宋体" w:cs="宋体"/>
                <w:sz w:val="24"/>
              </w:rPr>
              <w:t>4.55%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王晓波</w:t>
            </w:r>
          </w:p>
        </w:tc>
        <w:tc>
          <w:tcPr>
            <w:tcW w:w="2672" w:type="dxa"/>
            <w:vAlign w:val="center"/>
          </w:tcPr>
          <w:p>
            <w:pPr>
              <w:rPr>
                <w:rFonts w:ascii="宋体" w:cs="宋体"/>
                <w:sz w:val="24"/>
              </w:rPr>
            </w:pPr>
            <w:r>
              <w:rPr>
                <w:rFonts w:ascii="宋体" w:hAnsi="宋体" w:cs="宋体"/>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平安银行台州分行</w:t>
            </w:r>
          </w:p>
        </w:tc>
        <w:tc>
          <w:tcPr>
            <w:tcW w:w="1470" w:type="dxa"/>
            <w:vAlign w:val="center"/>
          </w:tcPr>
          <w:p>
            <w:pPr>
              <w:jc w:val="center"/>
              <w:rPr>
                <w:rFonts w:ascii="宋体" w:cs="宋体"/>
                <w:sz w:val="24"/>
              </w:rPr>
            </w:pPr>
            <w:r>
              <w:rPr>
                <w:rFonts w:ascii="宋体" w:hAnsi="宋体" w:cs="宋体"/>
                <w:sz w:val="24"/>
              </w:rPr>
              <w:t>6.53%</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李俊丽</w:t>
            </w:r>
          </w:p>
        </w:tc>
        <w:tc>
          <w:tcPr>
            <w:tcW w:w="2672" w:type="dxa"/>
            <w:vAlign w:val="center"/>
          </w:tcPr>
          <w:p>
            <w:pPr>
              <w:rPr>
                <w:rFonts w:ascii="宋体" w:cs="宋体"/>
                <w:sz w:val="24"/>
              </w:rPr>
            </w:pPr>
            <w:r>
              <w:rPr>
                <w:rFonts w:ascii="宋体" w:hAnsi="宋体" w:cs="宋体"/>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宁波银行台州分行</w:t>
            </w:r>
          </w:p>
        </w:tc>
        <w:tc>
          <w:tcPr>
            <w:tcW w:w="1470" w:type="dxa"/>
            <w:vAlign w:val="center"/>
          </w:tcPr>
          <w:p>
            <w:pPr>
              <w:jc w:val="center"/>
              <w:rPr>
                <w:rFonts w:ascii="宋体" w:cs="宋体"/>
                <w:sz w:val="24"/>
              </w:rPr>
            </w:pPr>
            <w:r>
              <w:rPr>
                <w:rFonts w:ascii="宋体" w:hAnsi="宋体" w:cs="宋体"/>
                <w:sz w:val="24"/>
              </w:rPr>
              <w:t>4.35%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戴莉丽</w:t>
            </w:r>
          </w:p>
        </w:tc>
        <w:tc>
          <w:tcPr>
            <w:tcW w:w="2672" w:type="dxa"/>
            <w:vAlign w:val="center"/>
          </w:tcPr>
          <w:p>
            <w:pPr>
              <w:rPr>
                <w:rFonts w:ascii="宋体" w:cs="宋体"/>
                <w:sz w:val="24"/>
              </w:rPr>
            </w:pPr>
            <w:r>
              <w:rPr>
                <w:rFonts w:ascii="宋体" w:hAnsi="宋体" w:cs="宋体"/>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金华银行台州分行</w:t>
            </w:r>
          </w:p>
        </w:tc>
        <w:tc>
          <w:tcPr>
            <w:tcW w:w="1470" w:type="dxa"/>
            <w:vAlign w:val="center"/>
          </w:tcPr>
          <w:p>
            <w:pPr>
              <w:jc w:val="center"/>
              <w:rPr>
                <w:rFonts w:ascii="宋体" w:cs="宋体"/>
                <w:sz w:val="24"/>
              </w:rPr>
            </w:pPr>
            <w:r>
              <w:rPr>
                <w:rFonts w:ascii="宋体" w:hAnsi="宋体" w:cs="宋体"/>
                <w:sz w:val="24"/>
              </w:rPr>
              <w:t>4.05%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金雪婷</w:t>
            </w:r>
          </w:p>
        </w:tc>
        <w:tc>
          <w:tcPr>
            <w:tcW w:w="2672" w:type="dxa"/>
            <w:vAlign w:val="center"/>
          </w:tcPr>
          <w:p>
            <w:pPr>
              <w:rPr>
                <w:rFonts w:ascii="宋体" w:cs="宋体"/>
                <w:sz w:val="24"/>
              </w:rPr>
            </w:pPr>
            <w:r>
              <w:rPr>
                <w:rFonts w:ascii="宋体" w:hAnsi="宋体" w:cs="宋体"/>
                <w:sz w:val="24"/>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台州银行</w:t>
            </w:r>
          </w:p>
        </w:tc>
        <w:tc>
          <w:tcPr>
            <w:tcW w:w="1470" w:type="dxa"/>
            <w:vAlign w:val="center"/>
          </w:tcPr>
          <w:p>
            <w:pPr>
              <w:jc w:val="center"/>
              <w:rPr>
                <w:rFonts w:ascii="宋体" w:cs="宋体"/>
                <w:sz w:val="24"/>
              </w:rPr>
            </w:pPr>
            <w:r>
              <w:rPr>
                <w:rFonts w:ascii="宋体" w:hAnsi="宋体" w:cs="宋体"/>
                <w:sz w:val="24"/>
              </w:rPr>
              <w:t>5.6%</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洪婷</w:t>
            </w:r>
          </w:p>
        </w:tc>
        <w:tc>
          <w:tcPr>
            <w:tcW w:w="2672" w:type="dxa"/>
            <w:vAlign w:val="center"/>
          </w:tcPr>
          <w:p>
            <w:pPr>
              <w:rPr>
                <w:rFonts w:ascii="宋体" w:cs="宋体"/>
                <w:sz w:val="24"/>
              </w:rPr>
            </w:pPr>
            <w:r>
              <w:rPr>
                <w:rFonts w:ascii="宋体" w:hAnsi="宋体" w:cs="宋体"/>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jc w:val="center"/>
              <w:rPr>
                <w:rFonts w:ascii="宋体" w:cs="宋体"/>
                <w:sz w:val="24"/>
              </w:rPr>
            </w:pPr>
            <w:r>
              <w:rPr>
                <w:rFonts w:hint="eastAsia" w:ascii="宋体" w:hAnsi="宋体" w:cs="宋体"/>
                <w:sz w:val="24"/>
              </w:rPr>
              <w:t>邮储银行台州分行</w:t>
            </w:r>
          </w:p>
        </w:tc>
        <w:tc>
          <w:tcPr>
            <w:tcW w:w="1470" w:type="dxa"/>
            <w:vAlign w:val="center"/>
          </w:tcPr>
          <w:p>
            <w:pPr>
              <w:jc w:val="center"/>
              <w:rPr>
                <w:rFonts w:ascii="宋体" w:cs="宋体"/>
                <w:sz w:val="24"/>
              </w:rPr>
            </w:pPr>
            <w:r>
              <w:rPr>
                <w:rFonts w:ascii="宋体" w:hAnsi="宋体" w:cs="宋体"/>
                <w:sz w:val="24"/>
              </w:rPr>
              <w:t>3.85%</w:t>
            </w:r>
            <w:r>
              <w:rPr>
                <w:rFonts w:hint="eastAsia" w:ascii="宋体" w:hAnsi="宋体" w:cs="宋体"/>
                <w:sz w:val="24"/>
              </w:rPr>
              <w:t>起</w:t>
            </w:r>
          </w:p>
        </w:tc>
        <w:tc>
          <w:tcPr>
            <w:tcW w:w="1155" w:type="dxa"/>
            <w:vAlign w:val="center"/>
          </w:tcPr>
          <w:p>
            <w:pPr>
              <w:jc w:val="center"/>
              <w:rPr>
                <w:rFonts w:ascii="宋体" w:cs="宋体"/>
                <w:sz w:val="24"/>
              </w:rPr>
            </w:pPr>
            <w:r>
              <w:rPr>
                <w:rFonts w:hint="eastAsia" w:ascii="宋体" w:hAnsi="宋体" w:cs="宋体"/>
                <w:sz w:val="24"/>
              </w:rPr>
              <w:t>董庆</w:t>
            </w:r>
          </w:p>
        </w:tc>
        <w:tc>
          <w:tcPr>
            <w:tcW w:w="2672" w:type="dxa"/>
            <w:vAlign w:val="center"/>
          </w:tcPr>
          <w:p>
            <w:pPr>
              <w:rPr>
                <w:rFonts w:ascii="宋体" w:cs="宋体"/>
                <w:sz w:val="24"/>
              </w:rPr>
            </w:pPr>
            <w:r>
              <w:rPr>
                <w:rFonts w:ascii="宋体" w:hAnsi="宋体" w:cs="宋体"/>
                <w:sz w:val="24"/>
              </w:rPr>
              <w:t>81888982/18957683735</w:t>
            </w:r>
          </w:p>
        </w:tc>
      </w:tr>
    </w:tbl>
    <w:p>
      <w:pPr>
        <w:spacing w:line="360" w:lineRule="auto"/>
        <w:jc w:val="center"/>
        <w:rPr>
          <w:rFonts w:ascii="宋体" w:hAnsi="宋体" w:cs="宋体"/>
          <w:sz w:val="24"/>
          <w:szCs w:val="32"/>
        </w:rPr>
      </w:pPr>
      <w:r>
        <w:rPr>
          <w:rFonts w:hint="eastAsia" w:ascii="宋体" w:hAnsi="宋体" w:cs="宋体"/>
          <w:sz w:val="24"/>
          <w:szCs w:val="32"/>
        </w:rPr>
        <w:t>合同履约保函联系方式</w:t>
      </w:r>
    </w:p>
    <w:tbl>
      <w:tblPr>
        <w:tblStyle w:val="29"/>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pPr>
              <w:jc w:val="center"/>
              <w:rPr>
                <w:rFonts w:ascii="宋体" w:hAnsi="宋体" w:cs="宋体"/>
                <w:sz w:val="24"/>
              </w:rPr>
            </w:pPr>
            <w:r>
              <w:rPr>
                <w:rFonts w:hint="eastAsia" w:ascii="宋体" w:hAnsi="宋体" w:cs="宋体"/>
                <w:sz w:val="24"/>
              </w:rPr>
              <w:t>保险公司名称</w:t>
            </w:r>
          </w:p>
        </w:tc>
        <w:tc>
          <w:tcPr>
            <w:tcW w:w="2466" w:type="dxa"/>
            <w:vAlign w:val="center"/>
          </w:tcPr>
          <w:p>
            <w:pPr>
              <w:jc w:val="center"/>
              <w:rPr>
                <w:rFonts w:ascii="宋体" w:hAnsi="宋体" w:cs="宋体"/>
                <w:sz w:val="24"/>
              </w:rPr>
            </w:pPr>
            <w:r>
              <w:rPr>
                <w:rFonts w:hint="eastAsia" w:ascii="宋体" w:hAnsi="宋体" w:cs="宋体"/>
                <w:sz w:val="24"/>
              </w:rPr>
              <w:t>保费率</w:t>
            </w:r>
          </w:p>
        </w:tc>
        <w:tc>
          <w:tcPr>
            <w:tcW w:w="991" w:type="dxa"/>
            <w:vAlign w:val="center"/>
          </w:tcPr>
          <w:p>
            <w:pPr>
              <w:jc w:val="center"/>
              <w:rPr>
                <w:rFonts w:ascii="宋体" w:hAnsi="宋体" w:cs="宋体"/>
                <w:sz w:val="24"/>
              </w:rPr>
            </w:pPr>
            <w:r>
              <w:rPr>
                <w:rFonts w:hint="eastAsia" w:ascii="宋体" w:hAnsi="宋体" w:cs="宋体"/>
                <w:sz w:val="24"/>
              </w:rPr>
              <w:t>联系人</w:t>
            </w:r>
          </w:p>
        </w:tc>
        <w:tc>
          <w:tcPr>
            <w:tcW w:w="1718" w:type="dxa"/>
            <w:vAlign w:val="center"/>
          </w:tcPr>
          <w:p>
            <w:pPr>
              <w:jc w:val="center"/>
              <w:rPr>
                <w:rFonts w:ascii="宋体" w:hAnsi="宋体" w:cs="宋体"/>
                <w:sz w:val="24"/>
              </w:rPr>
            </w:pPr>
            <w:r>
              <w:rPr>
                <w:rFonts w:hint="eastAsia" w:ascii="宋体" w:hAnsi="宋体" w:cs="宋体"/>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中国人寿财产保险股份有限公司台州中心支公司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年费率1%，最低保费500元</w:t>
            </w:r>
          </w:p>
        </w:tc>
        <w:tc>
          <w:tcPr>
            <w:tcW w:w="991" w:type="dxa"/>
            <w:vAlign w:val="center"/>
          </w:tcPr>
          <w:p>
            <w:pPr>
              <w:jc w:val="center"/>
              <w:rPr>
                <w:rFonts w:ascii="宋体" w:hAnsi="宋体" w:cs="宋体"/>
                <w:sz w:val="24"/>
              </w:rPr>
            </w:pPr>
            <w:r>
              <w:rPr>
                <w:rFonts w:hint="eastAsia" w:ascii="宋体" w:hAnsi="宋体" w:cs="宋体"/>
                <w:sz w:val="24"/>
              </w:rPr>
              <w:t>徐凌</w:t>
            </w:r>
          </w:p>
        </w:tc>
        <w:tc>
          <w:tcPr>
            <w:tcW w:w="1718" w:type="dxa"/>
            <w:vAlign w:val="center"/>
          </w:tcPr>
          <w:p>
            <w:pPr>
              <w:jc w:val="center"/>
              <w:rPr>
                <w:rFonts w:ascii="宋体" w:hAnsi="宋体" w:cs="宋体"/>
                <w:sz w:val="24"/>
              </w:rPr>
            </w:pPr>
            <w:r>
              <w:rPr>
                <w:rFonts w:hint="eastAsia" w:ascii="宋体" w:hAnsi="宋体" w:cs="宋体"/>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永诚财产保险股份有限公司台州分公司</w:t>
            </w:r>
          </w:p>
        </w:tc>
        <w:tc>
          <w:tcPr>
            <w:tcW w:w="2466" w:type="dxa"/>
            <w:vAlign w:val="center"/>
          </w:tcPr>
          <w:p>
            <w:pPr>
              <w:jc w:val="center"/>
              <w:rPr>
                <w:rFonts w:ascii="宋体" w:hAnsi="宋体" w:cs="宋体"/>
                <w:sz w:val="24"/>
              </w:rPr>
            </w:pPr>
            <w:r>
              <w:rPr>
                <w:rFonts w:hint="eastAsia" w:ascii="宋体" w:hAnsi="宋体" w:cs="宋体"/>
                <w:sz w:val="24"/>
              </w:rPr>
              <w:t>年费率1%，最低保费1000元</w:t>
            </w:r>
          </w:p>
        </w:tc>
        <w:tc>
          <w:tcPr>
            <w:tcW w:w="991" w:type="dxa"/>
            <w:vAlign w:val="center"/>
          </w:tcPr>
          <w:p>
            <w:pPr>
              <w:jc w:val="center"/>
              <w:rPr>
                <w:rFonts w:ascii="宋体" w:hAnsi="宋体" w:cs="宋体"/>
                <w:sz w:val="24"/>
              </w:rPr>
            </w:pPr>
            <w:r>
              <w:rPr>
                <w:rFonts w:hint="eastAsia" w:ascii="宋体" w:hAnsi="宋体" w:cs="宋体"/>
                <w:sz w:val="24"/>
              </w:rPr>
              <w:t>尹刚强</w:t>
            </w:r>
          </w:p>
        </w:tc>
        <w:tc>
          <w:tcPr>
            <w:tcW w:w="1718" w:type="dxa"/>
            <w:vAlign w:val="center"/>
          </w:tcPr>
          <w:p>
            <w:pPr>
              <w:jc w:val="center"/>
              <w:rPr>
                <w:rFonts w:ascii="宋体" w:hAnsi="宋体" w:cs="宋体"/>
                <w:sz w:val="24"/>
              </w:rPr>
            </w:pPr>
            <w:r>
              <w:rPr>
                <w:rFonts w:hint="eastAsia" w:ascii="宋体" w:hAnsi="宋体" w:cs="宋体"/>
                <w:sz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华泰财产保险有限公司台州中心支公司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年费率0.5%，最低保费1000元</w:t>
            </w:r>
          </w:p>
        </w:tc>
        <w:tc>
          <w:tcPr>
            <w:tcW w:w="991" w:type="dxa"/>
            <w:vAlign w:val="center"/>
          </w:tcPr>
          <w:p>
            <w:pPr>
              <w:jc w:val="center"/>
              <w:rPr>
                <w:rFonts w:ascii="宋体" w:hAnsi="宋体" w:cs="宋体"/>
                <w:sz w:val="24"/>
              </w:rPr>
            </w:pPr>
            <w:r>
              <w:rPr>
                <w:rFonts w:hint="eastAsia" w:ascii="宋体" w:hAnsi="宋体" w:cs="宋体"/>
                <w:sz w:val="24"/>
              </w:rPr>
              <w:t>王灵芳</w:t>
            </w:r>
          </w:p>
        </w:tc>
        <w:tc>
          <w:tcPr>
            <w:tcW w:w="1718" w:type="dxa"/>
            <w:vAlign w:val="center"/>
          </w:tcPr>
          <w:p>
            <w:pPr>
              <w:jc w:val="center"/>
              <w:rPr>
                <w:rFonts w:ascii="宋体" w:hAnsi="宋体" w:cs="宋体"/>
                <w:sz w:val="24"/>
              </w:rPr>
            </w:pPr>
            <w:r>
              <w:rPr>
                <w:rFonts w:hint="eastAsia" w:ascii="宋体" w:hAnsi="宋体" w:cs="宋体"/>
                <w:sz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中国大地财产保险股份有限公司台州中心支公司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年费率1.5%，最低保费1000元</w:t>
            </w:r>
          </w:p>
        </w:tc>
        <w:tc>
          <w:tcPr>
            <w:tcW w:w="991" w:type="dxa"/>
            <w:vAlign w:val="center"/>
          </w:tcPr>
          <w:p>
            <w:pPr>
              <w:jc w:val="center"/>
              <w:rPr>
                <w:rFonts w:ascii="宋体" w:hAnsi="宋体" w:cs="宋体"/>
                <w:sz w:val="24"/>
              </w:rPr>
            </w:pPr>
            <w:r>
              <w:rPr>
                <w:rFonts w:hint="eastAsia" w:ascii="宋体" w:hAnsi="宋体" w:cs="宋体"/>
                <w:sz w:val="24"/>
              </w:rPr>
              <w:t>徐小明</w:t>
            </w:r>
          </w:p>
        </w:tc>
        <w:tc>
          <w:tcPr>
            <w:tcW w:w="1718" w:type="dxa"/>
            <w:vAlign w:val="center"/>
          </w:tcPr>
          <w:p>
            <w:pPr>
              <w:jc w:val="center"/>
              <w:rPr>
                <w:rFonts w:ascii="宋体" w:hAnsi="宋体" w:cs="宋体"/>
                <w:sz w:val="24"/>
              </w:rPr>
            </w:pPr>
            <w:r>
              <w:rPr>
                <w:rFonts w:hint="eastAsia" w:ascii="宋体" w:hAnsi="宋体" w:cs="宋体"/>
                <w:sz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阳光保险台州中心支公司</w:t>
            </w:r>
          </w:p>
        </w:tc>
        <w:tc>
          <w:tcPr>
            <w:tcW w:w="2466" w:type="dxa"/>
            <w:vAlign w:val="center"/>
          </w:tcPr>
          <w:p>
            <w:pPr>
              <w:jc w:val="center"/>
              <w:rPr>
                <w:rFonts w:ascii="宋体" w:hAnsi="宋体" w:cs="宋体"/>
                <w:sz w:val="24"/>
              </w:rPr>
            </w:pPr>
            <w:r>
              <w:rPr>
                <w:rFonts w:hint="eastAsia" w:ascii="宋体" w:hAnsi="宋体" w:cs="宋体"/>
                <w:sz w:val="24"/>
              </w:rPr>
              <w:t>年费率1%，最低保费500元</w:t>
            </w:r>
          </w:p>
        </w:tc>
        <w:tc>
          <w:tcPr>
            <w:tcW w:w="991" w:type="dxa"/>
            <w:vAlign w:val="center"/>
          </w:tcPr>
          <w:p>
            <w:pPr>
              <w:jc w:val="center"/>
              <w:rPr>
                <w:rFonts w:ascii="宋体" w:hAnsi="宋体" w:cs="宋体"/>
                <w:sz w:val="24"/>
              </w:rPr>
            </w:pPr>
            <w:r>
              <w:rPr>
                <w:rFonts w:hint="eastAsia" w:ascii="宋体" w:hAnsi="宋体" w:cs="宋体"/>
                <w:sz w:val="24"/>
              </w:rPr>
              <w:t>林高明</w:t>
            </w:r>
          </w:p>
        </w:tc>
        <w:tc>
          <w:tcPr>
            <w:tcW w:w="1718" w:type="dxa"/>
            <w:vAlign w:val="center"/>
          </w:tcPr>
          <w:p>
            <w:pPr>
              <w:jc w:val="center"/>
              <w:rPr>
                <w:rFonts w:ascii="宋体" w:hAnsi="宋体" w:cs="宋体"/>
                <w:sz w:val="24"/>
              </w:rPr>
            </w:pPr>
            <w:r>
              <w:rPr>
                <w:rFonts w:hint="eastAsia" w:ascii="宋体" w:hAnsi="宋体" w:cs="宋体"/>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中华联合财产保险股份有限公司台州中心支公司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年费率2%，最低保费500元</w:t>
            </w:r>
          </w:p>
        </w:tc>
        <w:tc>
          <w:tcPr>
            <w:tcW w:w="991" w:type="dxa"/>
            <w:vAlign w:val="center"/>
          </w:tcPr>
          <w:p>
            <w:pPr>
              <w:jc w:val="center"/>
              <w:rPr>
                <w:rFonts w:ascii="宋体" w:hAnsi="宋体" w:cs="宋体"/>
                <w:sz w:val="24"/>
              </w:rPr>
            </w:pPr>
            <w:r>
              <w:rPr>
                <w:rFonts w:hint="eastAsia" w:ascii="宋体" w:hAnsi="宋体" w:cs="宋体"/>
                <w:sz w:val="24"/>
              </w:rPr>
              <w:t>王仙高</w:t>
            </w:r>
          </w:p>
        </w:tc>
        <w:tc>
          <w:tcPr>
            <w:tcW w:w="1718" w:type="dxa"/>
            <w:vAlign w:val="center"/>
          </w:tcPr>
          <w:p>
            <w:pPr>
              <w:jc w:val="center"/>
              <w:rPr>
                <w:rFonts w:ascii="宋体" w:hAnsi="宋体" w:cs="宋体"/>
                <w:sz w:val="24"/>
              </w:rPr>
            </w:pPr>
            <w:r>
              <w:rPr>
                <w:rFonts w:hint="eastAsia" w:ascii="宋体" w:hAnsi="宋体" w:cs="宋体"/>
                <w:sz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中国人民财产保险股份有限公司台州中心支公司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年费率0.3%，最低保费1000元</w:t>
            </w:r>
          </w:p>
        </w:tc>
        <w:tc>
          <w:tcPr>
            <w:tcW w:w="991" w:type="dxa"/>
            <w:vAlign w:val="center"/>
          </w:tcPr>
          <w:p>
            <w:pPr>
              <w:jc w:val="center"/>
              <w:rPr>
                <w:rFonts w:ascii="宋体" w:hAnsi="宋体" w:cs="宋体"/>
                <w:sz w:val="24"/>
              </w:rPr>
            </w:pPr>
            <w:r>
              <w:rPr>
                <w:rFonts w:hint="eastAsia" w:ascii="宋体" w:hAnsi="宋体" w:cs="宋体"/>
                <w:sz w:val="24"/>
              </w:rPr>
              <w:t>王仙春</w:t>
            </w:r>
          </w:p>
        </w:tc>
        <w:tc>
          <w:tcPr>
            <w:tcW w:w="1718" w:type="dxa"/>
            <w:vAlign w:val="center"/>
          </w:tcPr>
          <w:p>
            <w:pPr>
              <w:jc w:val="center"/>
              <w:rPr>
                <w:rFonts w:ascii="宋体" w:hAnsi="宋体" w:cs="宋体"/>
                <w:sz w:val="24"/>
              </w:rPr>
            </w:pPr>
            <w:r>
              <w:rPr>
                <w:rFonts w:hint="eastAsia" w:ascii="宋体" w:hAnsi="宋体" w:cs="宋体"/>
                <w:sz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jc w:val="center"/>
              <w:rPr>
                <w:rFonts w:ascii="宋体" w:hAnsi="宋体" w:cs="宋体"/>
                <w:sz w:val="24"/>
              </w:rPr>
            </w:pPr>
            <w:r>
              <w:rPr>
                <w:rFonts w:hint="eastAsia" w:ascii="宋体" w:hAnsi="宋体" w:cs="宋体"/>
                <w:sz w:val="24"/>
              </w:rPr>
              <w:t>永安财产保险股份有限公司台州中心支公司</w:t>
            </w:r>
          </w:p>
        </w:tc>
        <w:tc>
          <w:tcPr>
            <w:tcW w:w="2466" w:type="dxa"/>
            <w:vAlign w:val="center"/>
          </w:tcPr>
          <w:p>
            <w:pPr>
              <w:jc w:val="center"/>
              <w:rPr>
                <w:rFonts w:ascii="宋体" w:hAnsi="宋体" w:cs="宋体"/>
                <w:sz w:val="24"/>
              </w:rPr>
            </w:pPr>
            <w:r>
              <w:rPr>
                <w:rFonts w:hint="eastAsia" w:ascii="宋体" w:hAnsi="宋体" w:cs="宋体"/>
                <w:sz w:val="24"/>
              </w:rPr>
              <w:t>年费率0.3%，最低保费1000</w:t>
            </w:r>
          </w:p>
        </w:tc>
        <w:tc>
          <w:tcPr>
            <w:tcW w:w="991" w:type="dxa"/>
            <w:vAlign w:val="center"/>
          </w:tcPr>
          <w:p>
            <w:pPr>
              <w:jc w:val="center"/>
              <w:rPr>
                <w:rFonts w:ascii="宋体" w:hAnsi="宋体" w:cs="宋体"/>
                <w:sz w:val="24"/>
              </w:rPr>
            </w:pPr>
            <w:r>
              <w:rPr>
                <w:rFonts w:hint="eastAsia" w:ascii="宋体" w:hAnsi="宋体" w:cs="宋体"/>
                <w:sz w:val="24"/>
              </w:rPr>
              <w:t>王春宇</w:t>
            </w:r>
          </w:p>
        </w:tc>
        <w:tc>
          <w:tcPr>
            <w:tcW w:w="1718" w:type="dxa"/>
            <w:vAlign w:val="center"/>
          </w:tcPr>
          <w:p>
            <w:pPr>
              <w:jc w:val="center"/>
              <w:rPr>
                <w:rFonts w:ascii="宋体" w:hAnsi="宋体" w:cs="宋体"/>
                <w:sz w:val="24"/>
              </w:rPr>
            </w:pPr>
            <w:r>
              <w:rPr>
                <w:rFonts w:hint="eastAsia" w:ascii="宋体" w:hAnsi="宋体" w:cs="宋体"/>
                <w:sz w:val="24"/>
              </w:rPr>
              <w:t>13676675331</w:t>
            </w:r>
          </w:p>
        </w:tc>
      </w:tr>
    </w:tbl>
    <w:p>
      <w:pPr>
        <w:spacing w:line="360" w:lineRule="auto"/>
        <w:jc w:val="center"/>
        <w:rPr>
          <w:rFonts w:ascii="宋体" w:hAnsi="宋体" w:cs="宋体"/>
          <w:sz w:val="24"/>
          <w:szCs w:val="32"/>
        </w:rPr>
      </w:pPr>
      <w:r>
        <w:rPr>
          <w:rFonts w:hint="eastAsia" w:ascii="宋体" w:hAnsi="宋体" w:cs="宋体"/>
          <w:sz w:val="24"/>
          <w:szCs w:val="32"/>
        </w:rPr>
        <w:t>预付款保函联系方式</w:t>
      </w:r>
    </w:p>
    <w:tbl>
      <w:tblPr>
        <w:tblStyle w:val="29"/>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pPr>
              <w:jc w:val="center"/>
              <w:rPr>
                <w:rFonts w:ascii="宋体" w:hAnsi="宋体" w:cs="宋体"/>
                <w:sz w:val="24"/>
              </w:rPr>
            </w:pPr>
            <w:r>
              <w:rPr>
                <w:rFonts w:hint="eastAsia" w:ascii="宋体" w:hAnsi="宋体" w:cs="宋体"/>
                <w:sz w:val="24"/>
              </w:rPr>
              <w:t>保险公司名称</w:t>
            </w:r>
          </w:p>
        </w:tc>
        <w:tc>
          <w:tcPr>
            <w:tcW w:w="2151" w:type="dxa"/>
            <w:vAlign w:val="center"/>
          </w:tcPr>
          <w:p>
            <w:pPr>
              <w:jc w:val="center"/>
              <w:rPr>
                <w:rFonts w:ascii="宋体" w:hAnsi="宋体" w:cs="宋体"/>
                <w:sz w:val="24"/>
              </w:rPr>
            </w:pPr>
            <w:r>
              <w:rPr>
                <w:rFonts w:hint="eastAsia" w:ascii="宋体" w:hAnsi="宋体" w:cs="宋体"/>
                <w:sz w:val="24"/>
              </w:rPr>
              <w:t>保费率</w:t>
            </w:r>
          </w:p>
        </w:tc>
        <w:tc>
          <w:tcPr>
            <w:tcW w:w="991" w:type="dxa"/>
            <w:vAlign w:val="center"/>
          </w:tcPr>
          <w:p>
            <w:pPr>
              <w:jc w:val="center"/>
              <w:rPr>
                <w:rFonts w:ascii="宋体" w:hAnsi="宋体" w:cs="宋体"/>
                <w:sz w:val="24"/>
              </w:rPr>
            </w:pPr>
            <w:r>
              <w:rPr>
                <w:rFonts w:hint="eastAsia" w:ascii="宋体" w:hAnsi="宋体" w:cs="宋体"/>
                <w:sz w:val="24"/>
              </w:rPr>
              <w:t>联系人</w:t>
            </w:r>
          </w:p>
        </w:tc>
        <w:tc>
          <w:tcPr>
            <w:tcW w:w="1703" w:type="dxa"/>
            <w:vAlign w:val="center"/>
          </w:tcPr>
          <w:p>
            <w:pPr>
              <w:jc w:val="center"/>
              <w:rPr>
                <w:rFonts w:ascii="宋体" w:hAnsi="宋体" w:cs="宋体"/>
                <w:sz w:val="24"/>
              </w:rPr>
            </w:pPr>
            <w:r>
              <w:rPr>
                <w:rFonts w:hint="eastAsia" w:ascii="宋体" w:hAnsi="宋体" w:cs="宋体"/>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jc w:val="center"/>
              <w:rPr>
                <w:rFonts w:ascii="宋体" w:hAnsi="宋体" w:cs="宋体"/>
                <w:sz w:val="24"/>
              </w:rPr>
            </w:pPr>
            <w:r>
              <w:rPr>
                <w:rFonts w:hint="eastAsia" w:ascii="宋体" w:hAnsi="宋体" w:cs="宋体"/>
                <w:sz w:val="24"/>
              </w:rPr>
              <w:t>中国人寿财产保险股份有限公司台州中心支公司</w:t>
            </w:r>
          </w:p>
        </w:tc>
        <w:tc>
          <w:tcPr>
            <w:tcW w:w="2151" w:type="dxa"/>
            <w:vAlign w:val="center"/>
          </w:tcPr>
          <w:p>
            <w:pPr>
              <w:jc w:val="center"/>
              <w:rPr>
                <w:rFonts w:ascii="宋体" w:hAnsi="宋体" w:cs="宋体"/>
                <w:sz w:val="24"/>
              </w:rPr>
            </w:pPr>
            <w:r>
              <w:rPr>
                <w:rFonts w:hint="eastAsia" w:ascii="宋体" w:hAnsi="宋体" w:cs="宋体"/>
                <w:sz w:val="24"/>
              </w:rPr>
              <w:t>年费率3%，最低保费500元</w:t>
            </w:r>
          </w:p>
        </w:tc>
        <w:tc>
          <w:tcPr>
            <w:tcW w:w="991" w:type="dxa"/>
            <w:vAlign w:val="center"/>
          </w:tcPr>
          <w:p>
            <w:pPr>
              <w:jc w:val="center"/>
              <w:rPr>
                <w:rFonts w:ascii="宋体" w:hAnsi="宋体" w:cs="宋体"/>
                <w:sz w:val="24"/>
              </w:rPr>
            </w:pPr>
            <w:r>
              <w:rPr>
                <w:rFonts w:hint="eastAsia" w:ascii="宋体" w:hAnsi="宋体" w:cs="宋体"/>
                <w:sz w:val="24"/>
              </w:rPr>
              <w:t>徐凌</w:t>
            </w:r>
          </w:p>
        </w:tc>
        <w:tc>
          <w:tcPr>
            <w:tcW w:w="1703" w:type="dxa"/>
            <w:vAlign w:val="center"/>
          </w:tcPr>
          <w:p>
            <w:pPr>
              <w:jc w:val="center"/>
              <w:rPr>
                <w:rFonts w:ascii="宋体" w:hAnsi="宋体" w:cs="宋体"/>
                <w:sz w:val="24"/>
              </w:rPr>
            </w:pPr>
            <w:r>
              <w:rPr>
                <w:rFonts w:hint="eastAsia" w:ascii="宋体" w:hAnsi="宋体" w:cs="宋体"/>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jc w:val="center"/>
              <w:rPr>
                <w:rFonts w:ascii="宋体" w:hAnsi="宋体" w:cs="宋体"/>
                <w:sz w:val="24"/>
              </w:rPr>
            </w:pPr>
            <w:r>
              <w:rPr>
                <w:rFonts w:hint="eastAsia" w:ascii="宋体" w:hAnsi="宋体" w:cs="宋体"/>
                <w:sz w:val="24"/>
              </w:rPr>
              <w:t>阳光保险台州中心支公司</w:t>
            </w:r>
          </w:p>
        </w:tc>
        <w:tc>
          <w:tcPr>
            <w:tcW w:w="2151" w:type="dxa"/>
            <w:vAlign w:val="center"/>
          </w:tcPr>
          <w:p>
            <w:pPr>
              <w:jc w:val="center"/>
              <w:rPr>
                <w:rFonts w:ascii="宋体" w:hAnsi="宋体" w:cs="宋体"/>
                <w:sz w:val="24"/>
              </w:rPr>
            </w:pPr>
            <w:r>
              <w:rPr>
                <w:rFonts w:hint="eastAsia" w:ascii="宋体" w:hAnsi="宋体" w:cs="宋体"/>
                <w:sz w:val="24"/>
              </w:rPr>
              <w:t>年费率1%，最低保费500元</w:t>
            </w:r>
          </w:p>
        </w:tc>
        <w:tc>
          <w:tcPr>
            <w:tcW w:w="991" w:type="dxa"/>
            <w:vAlign w:val="center"/>
          </w:tcPr>
          <w:p>
            <w:pPr>
              <w:jc w:val="center"/>
              <w:rPr>
                <w:rFonts w:ascii="宋体" w:hAnsi="宋体" w:cs="宋体"/>
                <w:sz w:val="24"/>
              </w:rPr>
            </w:pPr>
            <w:r>
              <w:rPr>
                <w:rFonts w:hint="eastAsia" w:ascii="宋体" w:hAnsi="宋体" w:cs="宋体"/>
                <w:sz w:val="24"/>
              </w:rPr>
              <w:t>林高明</w:t>
            </w:r>
          </w:p>
        </w:tc>
        <w:tc>
          <w:tcPr>
            <w:tcW w:w="1703" w:type="dxa"/>
            <w:vAlign w:val="center"/>
          </w:tcPr>
          <w:p>
            <w:pPr>
              <w:jc w:val="center"/>
              <w:rPr>
                <w:rFonts w:ascii="宋体" w:hAnsi="宋体" w:cs="宋体"/>
                <w:sz w:val="24"/>
              </w:rPr>
            </w:pPr>
            <w:r>
              <w:rPr>
                <w:rFonts w:hint="eastAsia" w:ascii="宋体" w:hAnsi="宋体" w:cs="宋体"/>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jc w:val="center"/>
              <w:rPr>
                <w:rFonts w:ascii="宋体" w:hAnsi="宋体" w:cs="宋体"/>
                <w:sz w:val="24"/>
              </w:rPr>
            </w:pPr>
            <w:r>
              <w:rPr>
                <w:rFonts w:hint="eastAsia" w:ascii="宋体" w:hAnsi="宋体" w:cs="宋体"/>
                <w:sz w:val="24"/>
              </w:rPr>
              <w:t>天安财产保险股份有限公司台州中心支公司</w:t>
            </w:r>
          </w:p>
        </w:tc>
        <w:tc>
          <w:tcPr>
            <w:tcW w:w="2151" w:type="dxa"/>
            <w:vAlign w:val="center"/>
          </w:tcPr>
          <w:p>
            <w:pPr>
              <w:jc w:val="center"/>
              <w:rPr>
                <w:rFonts w:ascii="宋体" w:hAnsi="宋体" w:cs="宋体"/>
                <w:sz w:val="24"/>
              </w:rPr>
            </w:pPr>
            <w:r>
              <w:rPr>
                <w:rFonts w:hint="eastAsia" w:ascii="宋体" w:hAnsi="宋体" w:cs="宋体"/>
                <w:sz w:val="24"/>
              </w:rPr>
              <w:t>年费率1%-2%，最低保费500元</w:t>
            </w:r>
          </w:p>
        </w:tc>
        <w:tc>
          <w:tcPr>
            <w:tcW w:w="991" w:type="dxa"/>
            <w:vAlign w:val="center"/>
          </w:tcPr>
          <w:p>
            <w:pPr>
              <w:jc w:val="center"/>
              <w:rPr>
                <w:rFonts w:ascii="宋体" w:hAnsi="宋体" w:cs="宋体"/>
                <w:sz w:val="24"/>
              </w:rPr>
            </w:pPr>
            <w:r>
              <w:rPr>
                <w:rFonts w:hint="eastAsia" w:ascii="宋体" w:hAnsi="宋体" w:cs="宋体"/>
                <w:sz w:val="24"/>
              </w:rPr>
              <w:t>罗赛</w:t>
            </w:r>
          </w:p>
        </w:tc>
        <w:tc>
          <w:tcPr>
            <w:tcW w:w="1703" w:type="dxa"/>
            <w:vAlign w:val="center"/>
          </w:tcPr>
          <w:p>
            <w:pPr>
              <w:jc w:val="center"/>
              <w:rPr>
                <w:rFonts w:ascii="宋体" w:hAnsi="宋体" w:cs="宋体"/>
                <w:sz w:val="24"/>
              </w:rPr>
            </w:pPr>
            <w:r>
              <w:rPr>
                <w:rFonts w:hint="eastAsia" w:ascii="宋体" w:hAnsi="宋体" w:cs="宋体"/>
                <w:sz w:val="24"/>
              </w:rPr>
              <w:t>13736605643</w:t>
            </w:r>
          </w:p>
        </w:tc>
      </w:tr>
    </w:tbl>
    <w:p>
      <w:pPr>
        <w:snapToGrid w:val="0"/>
        <w:spacing w:line="360" w:lineRule="auto"/>
        <w:rPr>
          <w:rFonts w:ascii="宋体" w:cs="Arial"/>
          <w:color w:val="000000"/>
          <w:sz w:val="24"/>
        </w:rPr>
      </w:pPr>
      <w:r>
        <w:rPr>
          <w:rFonts w:hint="eastAsia" w:ascii="宋体"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sz w:val="30"/>
          <w:szCs w:val="30"/>
        </w:rPr>
      </w:pPr>
    </w:p>
    <w:p>
      <w:pPr>
        <w:pStyle w:val="25"/>
        <w:rPr>
          <w:sz w:val="30"/>
          <w:szCs w:val="30"/>
        </w:rPr>
      </w:pPr>
    </w:p>
    <w:p>
      <w:pPr>
        <w:rPr>
          <w:sz w:val="30"/>
          <w:szCs w:val="30"/>
        </w:rPr>
      </w:pPr>
    </w:p>
    <w:p>
      <w:pPr>
        <w:pStyle w:val="37"/>
      </w:pPr>
    </w:p>
    <w:p>
      <w:pPr>
        <w:pStyle w:val="37"/>
      </w:pPr>
    </w:p>
    <w:p>
      <w:pPr>
        <w:pStyle w:val="37"/>
      </w:pPr>
    </w:p>
    <w:p>
      <w:pPr>
        <w:numPr>
          <w:ilvl w:val="0"/>
          <w:numId w:val="6"/>
        </w:numPr>
        <w:spacing w:line="360" w:lineRule="auto"/>
        <w:jc w:val="center"/>
        <w:rPr>
          <w:rFonts w:ascii="宋体"/>
          <w:b/>
          <w:sz w:val="36"/>
          <w:szCs w:val="36"/>
        </w:rPr>
      </w:pPr>
      <w:r>
        <w:rPr>
          <w:rFonts w:hint="eastAsia" w:ascii="宋体" w:hAnsi="宋体"/>
          <w:b/>
          <w:sz w:val="36"/>
          <w:szCs w:val="36"/>
        </w:rPr>
        <w:t>投标人须知</w:t>
      </w:r>
    </w:p>
    <w:p>
      <w:pPr>
        <w:spacing w:line="360" w:lineRule="auto"/>
        <w:jc w:val="center"/>
        <w:rPr>
          <w:rFonts w:ascii="宋体"/>
          <w:b/>
          <w:sz w:val="24"/>
        </w:rPr>
      </w:pPr>
      <w:r>
        <w:rPr>
          <w:rFonts w:hint="eastAsia" w:ascii="宋体" w:hAnsi="宋体"/>
          <w:b/>
          <w:sz w:val="24"/>
          <w:lang w:val="zh-CN"/>
        </w:rPr>
        <w:t>投标须知</w:t>
      </w:r>
      <w:r>
        <w:rPr>
          <w:rFonts w:hint="eastAsia" w:ascii="宋体" w:hAnsi="宋体"/>
          <w:b/>
          <w:sz w:val="24"/>
        </w:rPr>
        <w:t>前附表</w:t>
      </w:r>
    </w:p>
    <w:tbl>
      <w:tblPr>
        <w:tblStyle w:val="2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vAlign w:val="center"/>
          </w:tcPr>
          <w:p>
            <w:pPr>
              <w:spacing w:line="360" w:lineRule="auto"/>
              <w:jc w:val="center"/>
              <w:rPr>
                <w:rFonts w:ascii="宋体" w:cs="宋体"/>
                <w:color w:val="000000"/>
                <w:sz w:val="24"/>
              </w:rPr>
            </w:pPr>
            <w:r>
              <w:rPr>
                <w:rFonts w:hint="eastAsia" w:ascii="宋体" w:hAnsi="宋体" w:cs="宋体"/>
                <w:color w:val="000000"/>
                <w:sz w:val="24"/>
              </w:rPr>
              <w:t>序号</w:t>
            </w:r>
          </w:p>
        </w:tc>
        <w:tc>
          <w:tcPr>
            <w:tcW w:w="1880" w:type="dxa"/>
            <w:vAlign w:val="center"/>
          </w:tcPr>
          <w:p>
            <w:pPr>
              <w:spacing w:line="360" w:lineRule="auto"/>
              <w:jc w:val="center"/>
              <w:rPr>
                <w:rFonts w:ascii="宋体" w:cs="宋体"/>
                <w:color w:val="000000"/>
                <w:sz w:val="24"/>
              </w:rPr>
            </w:pPr>
            <w:r>
              <w:rPr>
                <w:rFonts w:hint="eastAsia" w:ascii="宋体" w:hAnsi="宋体" w:cs="宋体"/>
                <w:color w:val="000000"/>
                <w:sz w:val="24"/>
              </w:rPr>
              <w:t>项目</w:t>
            </w:r>
          </w:p>
        </w:tc>
        <w:tc>
          <w:tcPr>
            <w:tcW w:w="6203" w:type="dxa"/>
            <w:vAlign w:val="center"/>
          </w:tcPr>
          <w:p>
            <w:pPr>
              <w:spacing w:line="360" w:lineRule="auto"/>
              <w:jc w:val="center"/>
              <w:rPr>
                <w:rFonts w:ascii="宋体" w:cs="宋体"/>
                <w:color w:val="000000"/>
                <w:sz w:val="24"/>
              </w:rPr>
            </w:pPr>
            <w:r>
              <w:rPr>
                <w:rFonts w:hint="eastAsia" w:ascii="宋体" w:hAnsi="宋体" w:cs="宋体"/>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vAlign w:val="center"/>
          </w:tcPr>
          <w:p>
            <w:pPr>
              <w:spacing w:line="360" w:lineRule="auto"/>
              <w:jc w:val="center"/>
              <w:rPr>
                <w:rFonts w:ascii="宋体" w:cs="宋体"/>
                <w:color w:val="000000"/>
                <w:sz w:val="24"/>
              </w:rPr>
            </w:pPr>
            <w:r>
              <w:rPr>
                <w:rFonts w:ascii="宋体" w:hAnsi="宋体" w:cs="宋体"/>
                <w:color w:val="000000"/>
                <w:sz w:val="24"/>
              </w:rPr>
              <w:t>1</w:t>
            </w:r>
          </w:p>
        </w:tc>
        <w:tc>
          <w:tcPr>
            <w:tcW w:w="1880" w:type="dxa"/>
            <w:vAlign w:val="center"/>
          </w:tcPr>
          <w:p>
            <w:pPr>
              <w:autoSpaceDE w:val="0"/>
              <w:autoSpaceDN w:val="0"/>
              <w:adjustRightInd w:val="0"/>
              <w:spacing w:line="300" w:lineRule="atLeast"/>
              <w:rPr>
                <w:rFonts w:ascii="宋体" w:hAnsi="宋体" w:cs="宋体"/>
                <w:bCs/>
                <w:kern w:val="0"/>
                <w:sz w:val="22"/>
                <w:szCs w:val="22"/>
                <w:lang w:val="zh-CN"/>
              </w:rPr>
            </w:pPr>
            <w:r>
              <w:rPr>
                <w:rFonts w:hint="eastAsia" w:ascii="宋体" w:hAnsi="宋体" w:cs="宋体"/>
                <w:bCs/>
                <w:kern w:val="0"/>
                <w:sz w:val="22"/>
                <w:szCs w:val="22"/>
                <w:lang w:val="zh-CN"/>
              </w:rPr>
              <w:t>供应商特定资格要求</w:t>
            </w:r>
          </w:p>
        </w:tc>
        <w:tc>
          <w:tcPr>
            <w:tcW w:w="6203" w:type="dxa"/>
            <w:vAlign w:val="center"/>
          </w:tcPr>
          <w:p>
            <w:pPr>
              <w:autoSpaceDE w:val="0"/>
              <w:autoSpaceDN w:val="0"/>
              <w:adjustRightInd w:val="0"/>
              <w:spacing w:line="300" w:lineRule="atLeast"/>
              <w:rPr>
                <w:rFonts w:ascii="宋体" w:hAnsi="宋体" w:cs="宋体"/>
                <w:bCs/>
                <w:kern w:val="0"/>
                <w:sz w:val="22"/>
                <w:szCs w:val="22"/>
                <w:lang w:val="zh-CN"/>
              </w:rPr>
            </w:pPr>
            <w:r>
              <w:rPr>
                <w:rFonts w:hint="eastAsia" w:ascii="宋体" w:hAnsi="宋体" w:cs="宋体"/>
                <w:bCs/>
                <w:kern w:val="0"/>
                <w:sz w:val="22"/>
                <w:szCs w:val="22"/>
                <w:lang w:val="zh-CN"/>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2</w:t>
            </w:r>
          </w:p>
        </w:tc>
        <w:tc>
          <w:tcPr>
            <w:tcW w:w="1880" w:type="dxa"/>
            <w:vAlign w:val="center"/>
          </w:tcPr>
          <w:p>
            <w:pPr>
              <w:spacing w:line="360" w:lineRule="auto"/>
              <w:jc w:val="center"/>
              <w:rPr>
                <w:rFonts w:ascii="宋体" w:cs="宋体"/>
                <w:sz w:val="24"/>
              </w:rPr>
            </w:pPr>
            <w:r>
              <w:rPr>
                <w:rFonts w:hint="eastAsia" w:ascii="宋体" w:hAnsi="宋体" w:cs="宋体"/>
                <w:bCs/>
                <w:kern w:val="0"/>
                <w:sz w:val="22"/>
                <w:szCs w:val="22"/>
              </w:rPr>
              <w:t>投标截止时间</w:t>
            </w:r>
          </w:p>
        </w:tc>
        <w:tc>
          <w:tcPr>
            <w:tcW w:w="6203" w:type="dxa"/>
            <w:vAlign w:val="center"/>
          </w:tcPr>
          <w:p>
            <w:pPr>
              <w:spacing w:line="360" w:lineRule="auto"/>
              <w:rPr>
                <w:rFonts w:ascii="宋体" w:cs="宋体"/>
                <w:sz w:val="24"/>
              </w:rPr>
            </w:pPr>
            <w:r>
              <w:rPr>
                <w:rFonts w:hint="eastAsia" w:ascii="宋体" w:hAnsi="宋体" w:cs="宋体"/>
                <w:bCs/>
                <w:kern w:val="0"/>
                <w:sz w:val="22"/>
                <w:szCs w:val="22"/>
                <w:lang w:val="zh-CN"/>
              </w:rPr>
              <w:t>北京时间2024年</w:t>
            </w:r>
            <w:r>
              <w:rPr>
                <w:rFonts w:hint="eastAsia" w:ascii="宋体" w:hAnsi="宋体" w:cs="宋体"/>
                <w:bCs/>
                <w:kern w:val="0"/>
                <w:sz w:val="22"/>
                <w:szCs w:val="22"/>
                <w:lang w:val="en-US" w:eastAsia="zh-CN"/>
              </w:rPr>
              <w:t>6</w:t>
            </w:r>
            <w:r>
              <w:rPr>
                <w:rFonts w:hint="eastAsia" w:ascii="宋体" w:hAnsi="宋体" w:cs="宋体"/>
                <w:bCs/>
                <w:kern w:val="0"/>
                <w:sz w:val="22"/>
                <w:szCs w:val="22"/>
                <w:lang w:val="zh-CN"/>
              </w:rPr>
              <w:t>月</w:t>
            </w:r>
            <w:r>
              <w:rPr>
                <w:rFonts w:hint="eastAsia" w:ascii="宋体" w:hAnsi="宋体" w:cs="宋体"/>
                <w:bCs/>
                <w:kern w:val="0"/>
                <w:sz w:val="22"/>
                <w:szCs w:val="22"/>
                <w:lang w:val="en-US" w:eastAsia="zh-CN"/>
              </w:rPr>
              <w:t>18</w:t>
            </w:r>
            <w:r>
              <w:rPr>
                <w:rFonts w:hint="eastAsia" w:ascii="宋体" w:hAnsi="宋体" w:cs="宋体"/>
                <w:bCs/>
                <w:kern w:val="0"/>
                <w:sz w:val="22"/>
                <w:szCs w:val="22"/>
                <w:lang w:val="zh-CN"/>
              </w:rPr>
              <w:t>日</w:t>
            </w:r>
            <w:r>
              <w:rPr>
                <w:rFonts w:hint="eastAsia" w:ascii="宋体" w:hAnsi="宋体" w:cs="宋体"/>
                <w:bCs/>
                <w:kern w:val="0"/>
                <w:sz w:val="22"/>
                <w:szCs w:val="22"/>
              </w:rPr>
              <w:t>9</w:t>
            </w:r>
            <w:r>
              <w:rPr>
                <w:rFonts w:hint="eastAsia" w:ascii="宋体" w:hAnsi="宋体" w:cs="宋体"/>
                <w:bCs/>
                <w:kern w:val="0"/>
                <w:sz w:val="22"/>
                <w:szCs w:val="22"/>
                <w:lang w:val="zh-CN"/>
              </w:rPr>
              <w:t>时</w:t>
            </w:r>
            <w:r>
              <w:rPr>
                <w:rFonts w:hint="eastAsia" w:ascii="宋体" w:hAnsi="宋体" w:cs="宋体"/>
                <w:bCs/>
                <w:kern w:val="0"/>
                <w:sz w:val="22"/>
                <w:szCs w:val="22"/>
              </w:rPr>
              <w:t xml:space="preserve"> 0</w:t>
            </w:r>
            <w:r>
              <w:rPr>
                <w:rFonts w:hint="eastAsia" w:ascii="宋体" w:hAnsi="宋体" w:cs="宋体"/>
                <w:bCs/>
                <w:kern w:val="0"/>
                <w:sz w:val="22"/>
                <w:szCs w:val="22"/>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3</w:t>
            </w:r>
          </w:p>
        </w:tc>
        <w:tc>
          <w:tcPr>
            <w:tcW w:w="1880" w:type="dxa"/>
            <w:vAlign w:val="center"/>
          </w:tcPr>
          <w:p>
            <w:pPr>
              <w:autoSpaceDE w:val="0"/>
              <w:autoSpaceDN w:val="0"/>
              <w:adjustRightInd w:val="0"/>
              <w:spacing w:line="300" w:lineRule="atLeast"/>
              <w:rPr>
                <w:rFonts w:ascii="宋体" w:cs="宋体"/>
                <w:bCs/>
                <w:kern w:val="0"/>
                <w:sz w:val="22"/>
                <w:szCs w:val="22"/>
              </w:rPr>
            </w:pPr>
            <w:r>
              <w:rPr>
                <w:rFonts w:hint="eastAsia" w:ascii="宋体" w:hAnsi="宋体" w:cs="宋体"/>
                <w:bCs/>
                <w:kern w:val="0"/>
                <w:sz w:val="22"/>
                <w:szCs w:val="22"/>
                <w:lang w:val="zh-CN"/>
              </w:rPr>
              <w:t>投标文件的编制</w:t>
            </w:r>
          </w:p>
        </w:tc>
        <w:tc>
          <w:tcPr>
            <w:tcW w:w="6203" w:type="dxa"/>
            <w:vAlign w:val="center"/>
          </w:tcPr>
          <w:p>
            <w:pPr>
              <w:autoSpaceDE w:val="0"/>
              <w:autoSpaceDN w:val="0"/>
              <w:adjustRightInd w:val="0"/>
              <w:spacing w:line="300" w:lineRule="atLeast"/>
              <w:rPr>
                <w:rFonts w:ascii="宋体" w:cs="宋体"/>
                <w:sz w:val="24"/>
              </w:rPr>
            </w:pPr>
            <w:r>
              <w:rPr>
                <w:rFonts w:hint="eastAsia" w:ascii="宋体" w:hAnsi="宋体" w:cs="宋体"/>
                <w:bCs/>
                <w:kern w:val="0"/>
                <w:sz w:val="22"/>
                <w:szCs w:val="22"/>
                <w:lang w:val="zh-CN"/>
              </w:rPr>
              <w:t>供应商应先安装“政采云电子交易客户端”，并按照本采购文件和“政采云平台”的要求，通过“政采云电子交易客户端”编制并加密投标文件。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4</w:t>
            </w:r>
          </w:p>
        </w:tc>
        <w:tc>
          <w:tcPr>
            <w:tcW w:w="1880" w:type="dxa"/>
            <w:vAlign w:val="center"/>
          </w:tcPr>
          <w:p>
            <w:pPr>
              <w:autoSpaceDE w:val="0"/>
              <w:autoSpaceDN w:val="0"/>
              <w:adjustRightInd w:val="0"/>
              <w:spacing w:line="300" w:lineRule="atLeast"/>
              <w:rPr>
                <w:rFonts w:ascii="宋体" w:cs="宋体"/>
                <w:bCs/>
                <w:kern w:val="0"/>
                <w:sz w:val="22"/>
                <w:szCs w:val="22"/>
              </w:rPr>
            </w:pPr>
            <w:r>
              <w:rPr>
                <w:rFonts w:hint="eastAsia" w:ascii="宋体" w:hAnsi="宋体" w:cs="宋体"/>
                <w:bCs/>
                <w:kern w:val="0"/>
                <w:sz w:val="22"/>
                <w:szCs w:val="22"/>
                <w:lang w:val="zh-CN"/>
              </w:rPr>
              <w:t>签字或盖章要求</w:t>
            </w:r>
          </w:p>
        </w:tc>
        <w:tc>
          <w:tcPr>
            <w:tcW w:w="6203" w:type="dxa"/>
            <w:vAlign w:val="center"/>
          </w:tcPr>
          <w:p>
            <w:pPr>
              <w:autoSpaceDE w:val="0"/>
              <w:autoSpaceDN w:val="0"/>
              <w:adjustRightInd w:val="0"/>
              <w:spacing w:line="300" w:lineRule="atLeast"/>
              <w:rPr>
                <w:rFonts w:ascii="宋体" w:cs="宋体"/>
                <w:sz w:val="24"/>
              </w:rPr>
            </w:pPr>
            <w:r>
              <w:rPr>
                <w:rFonts w:hint="eastAsia" w:ascii="宋体" w:hAnsi="宋体" w:cs="宋体"/>
                <w:bCs/>
                <w:kern w:val="0"/>
                <w:sz w:val="22"/>
                <w:szCs w:val="22"/>
                <w:lang w:val="zh-CN"/>
              </w:rPr>
              <w:t>投标文件的相应位置应加盖：电子签章。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5</w:t>
            </w:r>
          </w:p>
        </w:tc>
        <w:tc>
          <w:tcPr>
            <w:tcW w:w="1880" w:type="dxa"/>
            <w:vAlign w:val="center"/>
          </w:tcPr>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投标文件的形式、制作及组成</w:t>
            </w:r>
          </w:p>
        </w:tc>
        <w:tc>
          <w:tcPr>
            <w:tcW w:w="6203" w:type="dxa"/>
            <w:vAlign w:val="center"/>
          </w:tcPr>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本项目实行在线投标响应（电子投标）。</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w:t>
            </w:r>
            <w:r>
              <w:rPr>
                <w:rFonts w:ascii="宋体" w:hAnsi="宋体" w:cs="宋体"/>
                <w:bCs/>
                <w:kern w:val="0"/>
                <w:sz w:val="22"/>
                <w:szCs w:val="22"/>
                <w:lang w:val="zh-CN"/>
              </w:rPr>
              <w:t>1</w:t>
            </w:r>
            <w:r>
              <w:rPr>
                <w:rFonts w:hint="eastAsia" w:ascii="宋体" w:hAnsi="宋体" w:cs="宋体"/>
                <w:bCs/>
                <w:kern w:val="0"/>
                <w:sz w:val="22"/>
                <w:szCs w:val="22"/>
                <w:lang w:val="zh-CN"/>
              </w:rPr>
              <w:t>）“电子加密投标文件”是指通过“政采云电子交易客户端”完成投标文件编制后生成并加密的数据电文形式的投标文件。</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w:t>
            </w:r>
            <w:r>
              <w:rPr>
                <w:rFonts w:ascii="宋体" w:hAnsi="宋体" w:cs="宋体"/>
                <w:bCs/>
                <w:kern w:val="0"/>
                <w:sz w:val="22"/>
                <w:szCs w:val="22"/>
                <w:lang w:val="zh-CN"/>
              </w:rPr>
              <w:t>2</w:t>
            </w:r>
            <w:r>
              <w:rPr>
                <w:rFonts w:hint="eastAsia" w:ascii="宋体" w:hAnsi="宋体" w:cs="宋体"/>
                <w:bCs/>
                <w:kern w:val="0"/>
                <w:sz w:val="22"/>
                <w:szCs w:val="22"/>
                <w:lang w:val="zh-CN"/>
              </w:rPr>
              <w:t>）“备份投标文件”是指与“电子加密投标文件”同时生成的数据电文形式的电子文件（备份标书），其他方式编制的备份投标文件视为无效备份投标文件。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以上两类投标文件均由资格</w:t>
            </w:r>
            <w:r>
              <w:rPr>
                <w:rFonts w:hint="eastAsia" w:ascii="宋体" w:hAnsi="宋体" w:cs="宋体"/>
                <w:bCs/>
                <w:kern w:val="0"/>
                <w:sz w:val="22"/>
                <w:szCs w:val="22"/>
                <w:lang w:val="en-US" w:eastAsia="zh-CN"/>
              </w:rPr>
              <w:t>证明文件</w:t>
            </w:r>
            <w:r>
              <w:rPr>
                <w:rFonts w:hint="eastAsia" w:ascii="宋体" w:hAnsi="宋体" w:cs="宋体"/>
                <w:bCs/>
                <w:kern w:val="0"/>
                <w:sz w:val="22"/>
                <w:szCs w:val="22"/>
                <w:lang w:val="zh-CN"/>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6</w:t>
            </w:r>
          </w:p>
        </w:tc>
        <w:tc>
          <w:tcPr>
            <w:tcW w:w="1880" w:type="dxa"/>
            <w:vAlign w:val="center"/>
          </w:tcPr>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投标文件份数</w:t>
            </w:r>
          </w:p>
        </w:tc>
        <w:tc>
          <w:tcPr>
            <w:tcW w:w="6203" w:type="dxa"/>
            <w:vAlign w:val="center"/>
          </w:tcPr>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w:t>
            </w:r>
            <w:r>
              <w:rPr>
                <w:rFonts w:ascii="宋体" w:hAnsi="宋体" w:cs="宋体"/>
                <w:bCs/>
                <w:kern w:val="0"/>
                <w:sz w:val="22"/>
                <w:szCs w:val="22"/>
                <w:lang w:val="zh-CN"/>
              </w:rPr>
              <w:t>1</w:t>
            </w:r>
            <w:r>
              <w:rPr>
                <w:rFonts w:hint="eastAsia" w:ascii="宋体" w:hAnsi="宋体" w:cs="宋体"/>
                <w:bCs/>
                <w:kern w:val="0"/>
                <w:sz w:val="22"/>
                <w:szCs w:val="22"/>
                <w:lang w:val="zh-CN"/>
              </w:rPr>
              <w:t>）“电子加密投标文件”：在线上传递交、一份。</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（2）“备份投标文件”：</w:t>
            </w:r>
            <w:r>
              <w:fldChar w:fldCharType="begin"/>
            </w:r>
            <w:r>
              <w:instrText xml:space="preserve"> HYPERLINK "mailto:以U盘存储，密封包装后（顺丰快递形式）或以加密压缩文件发送至电子邮箱37694060@qq.com，在2021年" </w:instrText>
            </w:r>
            <w:r>
              <w:fldChar w:fldCharType="separate"/>
            </w:r>
            <w:r>
              <w:rPr>
                <w:rFonts w:hint="eastAsia" w:ascii="宋体" w:hAnsi="宋体" w:cs="宋体"/>
                <w:bCs/>
                <w:kern w:val="0"/>
                <w:sz w:val="22"/>
                <w:szCs w:val="22"/>
                <w:lang w:val="zh-CN"/>
              </w:rPr>
              <w:t>以U盘存储，密封包装后（顺丰快递形式）</w:t>
            </w:r>
            <w:r>
              <w:rPr>
                <w:rFonts w:hint="eastAsia" w:ascii="宋体" w:hAnsi="宋体" w:cs="宋体"/>
                <w:bCs/>
                <w:kern w:val="0"/>
                <w:sz w:val="22"/>
                <w:szCs w:val="22"/>
              </w:rPr>
              <w:t>或以加密压缩文件发送至电子邮箱37694060@qq.com，</w:t>
            </w:r>
            <w:r>
              <w:rPr>
                <w:rFonts w:hint="eastAsia" w:ascii="宋体" w:hAnsi="宋体" w:cs="宋体"/>
                <w:bCs/>
                <w:kern w:val="0"/>
                <w:sz w:val="22"/>
                <w:szCs w:val="22"/>
                <w:lang w:val="zh-CN"/>
              </w:rPr>
              <w:t>在</w:t>
            </w:r>
            <w:r>
              <w:rPr>
                <w:rFonts w:hint="eastAsia" w:ascii="新宋体" w:hAnsi="新宋体" w:eastAsia="新宋体" w:cs="新宋体"/>
                <w:bCs/>
                <w:kern w:val="0"/>
                <w:sz w:val="22"/>
                <w:szCs w:val="22"/>
              </w:rPr>
              <w:t>投标文件递交截止时间之前</w:t>
            </w:r>
            <w:r>
              <w:rPr>
                <w:rFonts w:hint="eastAsia" w:ascii="新宋体" w:hAnsi="新宋体" w:eastAsia="新宋体" w:cs="新宋体"/>
                <w:bCs/>
                <w:kern w:val="0"/>
                <w:sz w:val="22"/>
                <w:szCs w:val="22"/>
              </w:rPr>
              <w:fldChar w:fldCharType="end"/>
            </w:r>
            <w:r>
              <w:rPr>
                <w:rFonts w:hint="eastAsia" w:ascii="宋体" w:hAnsi="宋体" w:cs="宋体"/>
                <w:bCs/>
                <w:kern w:val="0"/>
                <w:sz w:val="22"/>
                <w:szCs w:val="22"/>
                <w:lang w:val="zh-CN"/>
              </w:rPr>
              <w:t>递交一份。邮寄地址：</w:t>
            </w:r>
            <w:r>
              <w:rPr>
                <w:rFonts w:hint="eastAsia" w:ascii="宋体" w:cs="宋体"/>
                <w:bCs/>
                <w:kern w:val="0"/>
                <w:sz w:val="22"/>
                <w:szCs w:val="22"/>
              </w:rPr>
              <w:t>台</w:t>
            </w:r>
            <w:r>
              <w:rPr>
                <w:rFonts w:hint="eastAsia" w:ascii="宋体" w:hAnsi="宋体" w:cs="宋体"/>
                <w:bCs/>
                <w:kern w:val="0"/>
                <w:sz w:val="22"/>
                <w:szCs w:val="22"/>
                <w:lang w:val="zh-CN"/>
              </w:rPr>
              <w:t>州市黄岩</w:t>
            </w:r>
            <w:r>
              <w:rPr>
                <w:rFonts w:hint="eastAsia" w:ascii="宋体" w:hAnsi="宋体" w:cs="宋体"/>
                <w:bCs/>
                <w:kern w:val="0"/>
                <w:sz w:val="22"/>
                <w:szCs w:val="22"/>
                <w:lang w:val="en-US" w:eastAsia="zh-CN"/>
              </w:rPr>
              <w:t>区</w:t>
            </w:r>
            <w:r>
              <w:rPr>
                <w:rFonts w:hint="eastAsia" w:ascii="宋体" w:hAnsi="宋体" w:cs="宋体"/>
                <w:bCs/>
                <w:kern w:val="0"/>
                <w:sz w:val="22"/>
                <w:szCs w:val="22"/>
                <w:lang w:val="zh-CN"/>
              </w:rPr>
              <w:t>尚司路33号浙江华诚会计师事务所，</w:t>
            </w:r>
            <w:r>
              <w:rPr>
                <w:rFonts w:hint="eastAsia" w:ascii="宋体" w:hAnsi="宋体" w:cs="宋体"/>
                <w:bCs/>
                <w:kern w:val="0"/>
                <w:sz w:val="22"/>
                <w:szCs w:val="22"/>
              </w:rPr>
              <w:t>高小姐</w:t>
            </w:r>
            <w:r>
              <w:rPr>
                <w:rFonts w:hint="eastAsia" w:ascii="宋体" w:hAnsi="宋体" w:cs="宋体"/>
                <w:bCs/>
                <w:kern w:val="0"/>
                <w:sz w:val="22"/>
                <w:szCs w:val="22"/>
                <w:lang w:val="zh-CN"/>
              </w:rPr>
              <w:t>收</w:t>
            </w:r>
            <w:r>
              <w:rPr>
                <w:rFonts w:hint="eastAsia" w:ascii="宋体" w:cs="宋体"/>
                <w:bCs/>
                <w:kern w:val="0"/>
                <w:sz w:val="22"/>
                <w:szCs w:val="22"/>
                <w:lang w:val="zh-CN"/>
              </w:rPr>
              <w:t>，</w:t>
            </w:r>
            <w:r>
              <w:rPr>
                <w:rFonts w:hint="eastAsia" w:ascii="宋体" w:cs="宋体"/>
                <w:bCs/>
                <w:kern w:val="0"/>
                <w:sz w:val="22"/>
                <w:szCs w:val="22"/>
              </w:rPr>
              <w:t>联系方式：13958656510</w:t>
            </w:r>
            <w:r>
              <w:rPr>
                <w:rFonts w:hint="eastAsia" w:ascii="宋体" w:hAnsi="宋体" w:cs="宋体"/>
                <w:bCs/>
                <w:kern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7</w:t>
            </w:r>
          </w:p>
        </w:tc>
        <w:tc>
          <w:tcPr>
            <w:tcW w:w="1880" w:type="dxa"/>
            <w:vAlign w:val="center"/>
          </w:tcPr>
          <w:p>
            <w:pPr>
              <w:autoSpaceDE w:val="0"/>
              <w:autoSpaceDN w:val="0"/>
              <w:adjustRightInd w:val="0"/>
              <w:spacing w:line="300" w:lineRule="atLeast"/>
              <w:rPr>
                <w:rFonts w:ascii="宋体" w:cs="宋体"/>
                <w:bCs/>
                <w:kern w:val="0"/>
                <w:sz w:val="22"/>
                <w:szCs w:val="22"/>
              </w:rPr>
            </w:pPr>
            <w:r>
              <w:rPr>
                <w:rFonts w:hint="eastAsia" w:ascii="宋体" w:hAnsi="宋体" w:cs="宋体"/>
                <w:bCs/>
                <w:kern w:val="0"/>
                <w:sz w:val="22"/>
                <w:szCs w:val="22"/>
                <w:lang w:val="zh-CN"/>
              </w:rPr>
              <w:t>投标文件的上传和递交</w:t>
            </w:r>
          </w:p>
        </w:tc>
        <w:tc>
          <w:tcPr>
            <w:tcW w:w="6203" w:type="dxa"/>
            <w:vAlign w:val="center"/>
          </w:tcPr>
          <w:p>
            <w:pPr>
              <w:pStyle w:val="75"/>
              <w:autoSpaceDE w:val="0"/>
              <w:autoSpaceDN w:val="0"/>
              <w:adjustRightInd w:val="0"/>
              <w:spacing w:line="300" w:lineRule="atLeast"/>
              <w:jc w:val="both"/>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1</w:t>
            </w:r>
            <w:r>
              <w:rPr>
                <w:rFonts w:hint="eastAsia" w:cs="宋体"/>
                <w:bCs/>
                <w:color w:val="000000" w:themeColor="text1"/>
                <w:sz w:val="22"/>
                <w14:textFill>
                  <w14:solidFill>
                    <w14:schemeClr w14:val="tx1"/>
                  </w14:solidFill>
                </w14:textFill>
              </w:rPr>
              <w:t>）“电子加密投标文件”的上传、递交：</w:t>
            </w:r>
          </w:p>
          <w:p>
            <w:pPr>
              <w:pStyle w:val="75"/>
              <w:autoSpaceDE w:val="0"/>
              <w:autoSpaceDN w:val="0"/>
              <w:adjustRightInd w:val="0"/>
              <w:spacing w:line="300" w:lineRule="atLeast"/>
              <w:jc w:val="both"/>
              <w:rPr>
                <w:rFonts w:cs="宋体"/>
                <w:bCs/>
                <w:color w:val="000000" w:themeColor="text1"/>
                <w:sz w:val="22"/>
                <w14:textFill>
                  <w14:solidFill>
                    <w14:schemeClr w14:val="tx1"/>
                  </w14:solidFill>
                </w14:textFill>
              </w:rPr>
            </w:pPr>
            <w:r>
              <w:rPr>
                <w:rFonts w:hint="eastAsia" w:cs="宋体"/>
                <w:bCs/>
                <w:color w:val="000000" w:themeColor="text1"/>
                <w:sz w:val="22"/>
                <w:lang w:val="en-US" w:eastAsia="zh-CN"/>
                <w14:textFill>
                  <w14:solidFill>
                    <w14:schemeClr w14:val="tx1"/>
                  </w14:solidFill>
                </w14:textFill>
              </w:rPr>
              <w:t>▲</w:t>
            </w:r>
            <w:r>
              <w:rPr>
                <w:rFonts w:cs="宋体"/>
                <w:bCs/>
                <w:color w:val="000000" w:themeColor="text1"/>
                <w:sz w:val="22"/>
                <w14:textFill>
                  <w14:solidFill>
                    <w14:schemeClr w14:val="tx1"/>
                  </w14:solidFill>
                </w14:textFill>
              </w:rPr>
              <w:t>a.</w:t>
            </w:r>
            <w:r>
              <w:rPr>
                <w:rFonts w:hint="eastAsia" w:cs="宋体"/>
                <w:bCs/>
                <w:color w:val="000000" w:themeColor="text1"/>
                <w:sz w:val="22"/>
                <w14:textFill>
                  <w14:solidFill>
                    <w14:schemeClr w14:val="tx1"/>
                  </w14:solidFill>
                </w14:textFill>
              </w:rPr>
              <w:t>投标人应在投标文件递交截止时间前将“电子加密投标文件”成功上传递交至“政采云平台”，否则投标无效。</w:t>
            </w:r>
          </w:p>
          <w:p>
            <w:pPr>
              <w:pStyle w:val="75"/>
              <w:autoSpaceDE w:val="0"/>
              <w:autoSpaceDN w:val="0"/>
              <w:adjustRightInd w:val="0"/>
              <w:spacing w:line="300" w:lineRule="atLeast"/>
              <w:jc w:val="both"/>
              <w:rPr>
                <w:rFonts w:cs="宋体"/>
                <w:bCs/>
                <w:color w:val="000000" w:themeColor="text1"/>
                <w:sz w:val="22"/>
                <w14:textFill>
                  <w14:solidFill>
                    <w14:schemeClr w14:val="tx1"/>
                  </w14:solidFill>
                </w14:textFill>
              </w:rPr>
            </w:pPr>
            <w:r>
              <w:rPr>
                <w:rFonts w:cs="宋体"/>
                <w:bCs/>
                <w:color w:val="000000" w:themeColor="text1"/>
                <w:sz w:val="22"/>
                <w14:textFill>
                  <w14:solidFill>
                    <w14:schemeClr w14:val="tx1"/>
                  </w14:solidFill>
                </w14:textFill>
              </w:rPr>
              <w:t>b.</w:t>
            </w:r>
            <w:r>
              <w:rPr>
                <w:rFonts w:hint="eastAsia" w:cs="宋体"/>
                <w:bCs/>
                <w:color w:val="000000" w:themeColor="text1"/>
                <w:sz w:val="22"/>
                <w14:textFill>
                  <w14:solidFill>
                    <w14:schemeClr w14:val="tx1"/>
                  </w14:solidFill>
                </w14:textFill>
              </w:rPr>
              <w:t>“电子加密投标文件”成功上传递交后，供应商可自行打印投标文件接收回执。</w:t>
            </w:r>
          </w:p>
          <w:p>
            <w:pPr>
              <w:pStyle w:val="75"/>
              <w:autoSpaceDE w:val="0"/>
              <w:autoSpaceDN w:val="0"/>
              <w:adjustRightInd w:val="0"/>
              <w:spacing w:line="300" w:lineRule="atLeast"/>
              <w:jc w:val="both"/>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2</w:t>
            </w:r>
            <w:r>
              <w:rPr>
                <w:rFonts w:hint="eastAsia" w:cs="宋体"/>
                <w:bCs/>
                <w:color w:val="000000" w:themeColor="text1"/>
                <w:sz w:val="22"/>
                <w14:textFill>
                  <w14:solidFill>
                    <w14:schemeClr w14:val="tx1"/>
                  </w14:solidFill>
                </w14:textFill>
              </w:rPr>
              <w:t>）“备份投标文件”的密封包装、递交：</w:t>
            </w:r>
          </w:p>
          <w:p>
            <w:pPr>
              <w:pStyle w:val="75"/>
              <w:autoSpaceDE w:val="0"/>
              <w:autoSpaceDN w:val="0"/>
              <w:adjustRightInd w:val="0"/>
              <w:spacing w:line="300" w:lineRule="atLeast"/>
              <w:jc w:val="both"/>
              <w:rPr>
                <w:rFonts w:cs="宋体"/>
                <w:bCs/>
                <w:sz w:val="22"/>
              </w:rPr>
            </w:pPr>
            <w:r>
              <w:rPr>
                <w:rFonts w:hint="eastAsia" w:cs="宋体"/>
                <w:bCs/>
                <w:sz w:val="22"/>
              </w:rPr>
              <w:t>a.投标人在“政采云平台”完成“电子加密投标文件”的上传递交后，还可以在</w:t>
            </w:r>
            <w:r>
              <w:rPr>
                <w:rFonts w:hint="eastAsia" w:ascii="新宋体" w:hAnsi="新宋体" w:eastAsia="新宋体" w:cs="新宋体"/>
                <w:bCs/>
                <w:sz w:val="22"/>
                <w:lang w:val="en-US"/>
              </w:rPr>
              <w:t>投标文件递交截止时间之前</w:t>
            </w:r>
            <w:r>
              <w:rPr>
                <w:rFonts w:hint="eastAsia" w:cs="宋体"/>
                <w:bCs/>
                <w:sz w:val="22"/>
              </w:rPr>
              <w:t>递交以介质（U盘）存储的 “备份投标文件”</w:t>
            </w:r>
            <w:r>
              <w:rPr>
                <w:rFonts w:hint="eastAsia" w:cs="宋体"/>
                <w:bCs/>
                <w:sz w:val="22"/>
                <w:lang w:val="en-US"/>
              </w:rPr>
              <w:t>或以加密压缩文件发送至电子邮箱37694060@qq.com</w:t>
            </w:r>
            <w:r>
              <w:rPr>
                <w:rFonts w:hint="eastAsia" w:cs="宋体"/>
                <w:bCs/>
                <w:sz w:val="22"/>
              </w:rPr>
              <w:t>（一份）；解密CA必须上传并制作电子投标文件CA锁。</w:t>
            </w:r>
          </w:p>
          <w:p>
            <w:pPr>
              <w:autoSpaceDE w:val="0"/>
              <w:autoSpaceDN w:val="0"/>
              <w:adjustRightInd w:val="0"/>
              <w:spacing w:line="300" w:lineRule="atLeast"/>
              <w:rPr>
                <w:rFonts w:ascii="宋体" w:cs="宋体"/>
                <w:bCs/>
                <w:color w:val="000000" w:themeColor="text1"/>
                <w:kern w:val="0"/>
                <w:sz w:val="22"/>
                <w:szCs w:val="22"/>
                <w:lang w:val="zh-CN"/>
                <w14:textFill>
                  <w14:solidFill>
                    <w14:schemeClr w14:val="tx1"/>
                  </w14:solidFill>
                </w14:textFill>
              </w:rPr>
            </w:pPr>
            <w:r>
              <w:rPr>
                <w:rFonts w:ascii="宋体" w:hAnsi="宋体" w:cs="宋体"/>
                <w:bCs/>
                <w:color w:val="000000" w:themeColor="text1"/>
                <w:kern w:val="0"/>
                <w:sz w:val="22"/>
                <w:szCs w:val="22"/>
                <w:lang w:val="zh-CN"/>
                <w14:textFill>
                  <w14:solidFill>
                    <w14:schemeClr w14:val="tx1"/>
                  </w14:solidFill>
                </w14:textFill>
              </w:rPr>
              <w:t>b.</w:t>
            </w:r>
            <w:r>
              <w:rPr>
                <w:rFonts w:hint="eastAsia" w:ascii="宋体" w:hAnsi="宋体" w:cs="宋体"/>
                <w:bCs/>
                <w:color w:val="000000" w:themeColor="text1"/>
                <w:kern w:val="0"/>
                <w:sz w:val="22"/>
                <w:szCs w:val="22"/>
                <w:lang w:val="zh-CN"/>
                <w14:textFill>
                  <w14:solidFill>
                    <w14:schemeClr w14:val="tx1"/>
                  </w14:solidFill>
                </w14:textFill>
              </w:rPr>
              <w:t>“</w:t>
            </w:r>
            <w:r>
              <w:rPr>
                <w:rFonts w:hint="eastAsia" w:cs="宋体"/>
                <w:bCs/>
                <w:sz w:val="22"/>
              </w:rPr>
              <w:t>介质</w:t>
            </w:r>
            <w:r>
              <w:rPr>
                <w:rFonts w:hint="eastAsia" w:ascii="宋体" w:hAnsi="宋体" w:cs="宋体"/>
                <w:bCs/>
                <w:color w:val="000000" w:themeColor="text1"/>
                <w:kern w:val="0"/>
                <w:sz w:val="22"/>
                <w:szCs w:val="22"/>
                <w:lang w:val="zh-CN"/>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ascii="宋体" w:cs="宋体"/>
                <w:color w:val="000000" w:themeColor="text1"/>
                <w:sz w:val="24"/>
                <w14:textFill>
                  <w14:solidFill>
                    <w14:schemeClr w14:val="tx1"/>
                  </w14:solidFill>
                </w14:textFill>
              </w:rPr>
            </w:pPr>
            <w:r>
              <w:rPr>
                <w:rFonts w:ascii="宋体" w:hAnsi="宋体" w:cs="宋体"/>
                <w:bCs/>
                <w:color w:val="000000" w:themeColor="text1"/>
                <w:kern w:val="0"/>
                <w:sz w:val="22"/>
                <w:szCs w:val="22"/>
                <w:lang w:val="zh-CN"/>
                <w14:textFill>
                  <w14:solidFill>
                    <w14:schemeClr w14:val="tx1"/>
                  </w14:solidFill>
                </w14:textFill>
              </w:rPr>
              <w:t>c.</w:t>
            </w:r>
            <w:r>
              <w:rPr>
                <w:rFonts w:hint="eastAsia" w:ascii="宋体" w:hAnsi="宋体" w:cs="宋体"/>
                <w:bCs/>
                <w:color w:val="000000" w:themeColor="text1"/>
                <w:kern w:val="0"/>
                <w:sz w:val="22"/>
                <w:szCs w:val="22"/>
                <w:lang w:val="zh-CN"/>
                <w14:textFill>
                  <w14:solidFill>
                    <w14:schemeClr w14:val="tx1"/>
                  </w14:solidFill>
                </w14:textFill>
              </w:rPr>
              <w:t>通过“政采云平台”成功上传递交的“电子加密投标文件”已按时解密的，“备份投标文件”自动失效。</w:t>
            </w:r>
            <w:r>
              <w:rPr>
                <w:rFonts w:hint="eastAsia" w:ascii="宋体" w:hAnsi="宋体" w:cs="宋体"/>
                <w:bCs/>
                <w:color w:val="000000" w:themeColor="text1"/>
                <w:kern w:val="0"/>
                <w:sz w:val="22"/>
                <w:szCs w:val="22"/>
                <w:lang w:val="en-US" w:eastAsia="zh-CN"/>
                <w14:textFill>
                  <w14:solidFill>
                    <w14:schemeClr w14:val="tx1"/>
                  </w14:solidFill>
                </w14:textFill>
              </w:rPr>
              <w:t>▲</w:t>
            </w:r>
            <w:r>
              <w:rPr>
                <w:rFonts w:hint="eastAsia" w:ascii="宋体" w:hAnsi="宋体" w:cs="宋体"/>
                <w:bCs/>
                <w:color w:val="000000" w:themeColor="text1"/>
                <w:kern w:val="0"/>
                <w:sz w:val="22"/>
                <w:szCs w:val="22"/>
                <w:lang w:val="zh-CN"/>
                <w14:textFill>
                  <w14:solidFill>
                    <w14:schemeClr w14:val="tx1"/>
                  </w14:solidFill>
                </w14:textFill>
              </w:rPr>
              <w:t>投标文件递交截止时间前，投标人仅递交了“备份投标文件”而未将“电子加密投标文件”成功上传至“政采云平台”的，投标无效。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8</w:t>
            </w:r>
          </w:p>
        </w:tc>
        <w:tc>
          <w:tcPr>
            <w:tcW w:w="1880" w:type="dxa"/>
            <w:vAlign w:val="center"/>
          </w:tcPr>
          <w:p>
            <w:pPr>
              <w:autoSpaceDE w:val="0"/>
              <w:autoSpaceDN w:val="0"/>
              <w:adjustRightInd w:val="0"/>
              <w:spacing w:line="300" w:lineRule="atLeast"/>
              <w:rPr>
                <w:rFonts w:ascii="宋体" w:cs="宋体"/>
                <w:bCs/>
                <w:kern w:val="0"/>
                <w:sz w:val="22"/>
                <w:szCs w:val="22"/>
              </w:rPr>
            </w:pPr>
            <w:r>
              <w:rPr>
                <w:rFonts w:hint="eastAsia" w:ascii="宋体" w:hAnsi="宋体" w:cs="宋体"/>
                <w:bCs/>
                <w:kern w:val="0"/>
                <w:sz w:val="22"/>
                <w:szCs w:val="22"/>
                <w:lang w:val="zh-CN"/>
              </w:rPr>
              <w:t>电子加密投标文件的解密和异常情况处理</w:t>
            </w:r>
          </w:p>
        </w:tc>
        <w:tc>
          <w:tcPr>
            <w:tcW w:w="6203" w:type="dxa"/>
            <w:vAlign w:val="center"/>
          </w:tcPr>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w:t>
            </w:r>
            <w:r>
              <w:rPr>
                <w:rFonts w:ascii="宋体" w:hAnsi="宋体" w:cs="宋体"/>
                <w:bCs/>
                <w:kern w:val="0"/>
                <w:sz w:val="22"/>
                <w:szCs w:val="22"/>
                <w:lang w:val="zh-CN"/>
              </w:rPr>
              <w:t>1</w:t>
            </w:r>
            <w:r>
              <w:rPr>
                <w:rFonts w:hint="eastAsia" w:ascii="宋体" w:hAnsi="宋体" w:cs="宋体"/>
                <w:bCs/>
                <w:kern w:val="0"/>
                <w:sz w:val="22"/>
                <w:szCs w:val="22"/>
                <w:lang w:val="zh-CN"/>
              </w:rPr>
              <w:t>）开标后，采购组织机构将向各投标人发出“电子加密投标文件”的解密通知，各投标人代表应当在接到解密通知后</w:t>
            </w:r>
            <w:r>
              <w:rPr>
                <w:rFonts w:ascii="宋体" w:hAnsi="宋体" w:cs="宋体"/>
                <w:bCs/>
                <w:kern w:val="0"/>
                <w:sz w:val="22"/>
                <w:szCs w:val="22"/>
              </w:rPr>
              <w:t>30</w:t>
            </w:r>
            <w:r>
              <w:rPr>
                <w:rFonts w:hint="eastAsia" w:ascii="宋体" w:hAnsi="宋体" w:cs="宋体"/>
                <w:bCs/>
                <w:kern w:val="0"/>
                <w:sz w:val="22"/>
                <w:szCs w:val="22"/>
              </w:rPr>
              <w:t>分钟</w:t>
            </w:r>
            <w:r>
              <w:rPr>
                <w:rFonts w:hint="eastAsia" w:ascii="宋体" w:hAnsi="宋体" w:cs="宋体"/>
                <w:bCs/>
                <w:kern w:val="0"/>
                <w:sz w:val="22"/>
                <w:szCs w:val="22"/>
                <w:lang w:val="zh-CN"/>
              </w:rPr>
              <w:t>内自行完成“电子加密投标文件”的在线解密。</w:t>
            </w:r>
          </w:p>
          <w:p>
            <w:pPr>
              <w:autoSpaceDE w:val="0"/>
              <w:autoSpaceDN w:val="0"/>
              <w:adjustRightInd w:val="0"/>
              <w:spacing w:line="300" w:lineRule="atLeast"/>
              <w:rPr>
                <w:rFonts w:ascii="宋体" w:cs="宋体"/>
                <w:bCs/>
                <w:kern w:val="0"/>
                <w:sz w:val="22"/>
                <w:szCs w:val="22"/>
                <w:lang w:val="zh-CN"/>
              </w:rPr>
            </w:pPr>
            <w:r>
              <w:rPr>
                <w:rFonts w:hint="eastAsia" w:ascii="宋体" w:hAnsi="宋体" w:cs="宋体"/>
                <w:bCs/>
                <w:kern w:val="0"/>
                <w:sz w:val="22"/>
                <w:szCs w:val="22"/>
                <w:lang w:val="zh-CN"/>
              </w:rPr>
              <w:t>（</w:t>
            </w:r>
            <w:r>
              <w:rPr>
                <w:rFonts w:ascii="宋体" w:hAnsi="宋体" w:cs="宋体"/>
                <w:bCs/>
                <w:kern w:val="0"/>
                <w:sz w:val="22"/>
                <w:szCs w:val="22"/>
                <w:lang w:val="zh-CN"/>
              </w:rPr>
              <w:t>2</w:t>
            </w:r>
            <w:r>
              <w:rPr>
                <w:rFonts w:hint="eastAsia" w:ascii="宋体" w:hAnsi="宋体" w:cs="宋体"/>
                <w:bCs/>
                <w:kern w:val="0"/>
                <w:sz w:val="22"/>
                <w:szCs w:val="22"/>
                <w:lang w:val="zh-CN"/>
              </w:rPr>
              <w:t>）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cs="宋体"/>
                <w:sz w:val="24"/>
              </w:rPr>
            </w:pPr>
            <w:r>
              <w:rPr>
                <w:rFonts w:hint="eastAsia" w:ascii="宋体" w:hAnsi="宋体" w:cs="宋体"/>
                <w:bCs/>
                <w:color w:val="000000" w:themeColor="text1"/>
                <w:kern w:val="0"/>
                <w:sz w:val="22"/>
                <w:szCs w:val="22"/>
                <w:lang w:val="en-US" w:eastAsia="zh-CN"/>
                <w14:textFill>
                  <w14:solidFill>
                    <w14:schemeClr w14:val="tx1"/>
                  </w14:solidFill>
                </w14:textFill>
              </w:rPr>
              <w:t>▲</w:t>
            </w:r>
            <w:r>
              <w:rPr>
                <w:rFonts w:hint="eastAsia" w:ascii="宋体" w:hAnsi="宋体" w:cs="宋体"/>
                <w:bCs/>
                <w:kern w:val="0"/>
                <w:sz w:val="22"/>
                <w:szCs w:val="22"/>
                <w:lang w:val="zh-CN"/>
              </w:rPr>
              <w:t>（</w:t>
            </w:r>
            <w:r>
              <w:rPr>
                <w:rFonts w:ascii="宋体" w:hAnsi="宋体" w:cs="宋体"/>
                <w:bCs/>
                <w:kern w:val="0"/>
                <w:sz w:val="22"/>
                <w:szCs w:val="22"/>
                <w:lang w:val="zh-CN"/>
              </w:rPr>
              <w:t>3</w:t>
            </w:r>
            <w:r>
              <w:rPr>
                <w:rFonts w:hint="eastAsia" w:ascii="宋体" w:hAnsi="宋体" w:cs="宋体"/>
                <w:bCs/>
                <w:kern w:val="0"/>
                <w:sz w:val="22"/>
                <w:szCs w:val="22"/>
                <w:lang w:val="zh-CN"/>
              </w:rPr>
              <w:t>）投标文件递交截止时间前，投标人仅递交了“备份投标文件”而未将电子加密投标文件上传至“政采云平台”的，投标无效。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9</w:t>
            </w:r>
          </w:p>
        </w:tc>
        <w:tc>
          <w:tcPr>
            <w:tcW w:w="1880" w:type="dxa"/>
            <w:vAlign w:val="center"/>
          </w:tcPr>
          <w:p>
            <w:pPr>
              <w:rPr>
                <w:rFonts w:ascii="宋体" w:cs="宋体"/>
                <w:bCs/>
                <w:kern w:val="0"/>
                <w:sz w:val="22"/>
                <w:szCs w:val="22"/>
              </w:rPr>
            </w:pPr>
            <w:r>
              <w:rPr>
                <w:rFonts w:hint="eastAsia" w:ascii="宋体" w:hAnsi="宋体" w:cs="宋体"/>
                <w:bCs/>
                <w:sz w:val="22"/>
                <w:szCs w:val="22"/>
              </w:rPr>
              <w:t>递交投标文件地点</w:t>
            </w:r>
          </w:p>
        </w:tc>
        <w:tc>
          <w:tcPr>
            <w:tcW w:w="6203" w:type="dxa"/>
            <w:vAlign w:val="center"/>
          </w:tcPr>
          <w:p>
            <w:pPr>
              <w:rPr>
                <w:rFonts w:ascii="宋体" w:cs="宋体"/>
                <w:sz w:val="24"/>
              </w:rPr>
            </w:pPr>
            <w:r>
              <w:rPr>
                <w:rFonts w:hint="eastAsia" w:ascii="宋体" w:hAnsi="宋体" w:cs="宋体"/>
                <w:bCs/>
                <w:color w:val="000000" w:themeColor="text1"/>
                <w:kern w:val="0"/>
                <w:sz w:val="22"/>
                <w:szCs w:val="22"/>
                <w:lang w:val="en-US" w:eastAsia="zh-CN"/>
                <w14:textFill>
                  <w14:solidFill>
                    <w14:schemeClr w14:val="tx1"/>
                  </w14:solidFill>
                </w14:textFill>
              </w:rPr>
              <w:t>▲</w:t>
            </w:r>
            <w:r>
              <w:rPr>
                <w:rFonts w:hint="eastAsia" w:ascii="宋体" w:hAnsi="宋体" w:cs="宋体"/>
                <w:bCs/>
                <w:sz w:val="22"/>
                <w:szCs w:val="22"/>
              </w:rPr>
              <w:t>投标人应当在投标文件递交截止时间前，将生成的“电子加密投标文件”上传递交至“政采云平台”。投标文件递交截止时间以后上传递交的投标文件将被“政采云平台”拒收。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10</w:t>
            </w:r>
          </w:p>
        </w:tc>
        <w:tc>
          <w:tcPr>
            <w:tcW w:w="1880" w:type="dxa"/>
            <w:vAlign w:val="center"/>
          </w:tcPr>
          <w:p>
            <w:pPr>
              <w:autoSpaceDE w:val="0"/>
              <w:autoSpaceDN w:val="0"/>
              <w:adjustRightInd w:val="0"/>
              <w:spacing w:line="300" w:lineRule="atLeast"/>
              <w:rPr>
                <w:rFonts w:ascii="宋体" w:cs="宋体"/>
                <w:bCs/>
                <w:kern w:val="0"/>
                <w:sz w:val="22"/>
                <w:szCs w:val="22"/>
              </w:rPr>
            </w:pPr>
            <w:r>
              <w:rPr>
                <w:rFonts w:hint="eastAsia" w:ascii="宋体" w:hAnsi="宋体" w:cs="宋体"/>
                <w:bCs/>
                <w:kern w:val="0"/>
                <w:sz w:val="22"/>
                <w:szCs w:val="22"/>
                <w:lang w:val="zh-CN"/>
              </w:rPr>
              <w:t>开标时间和地点</w:t>
            </w:r>
          </w:p>
        </w:tc>
        <w:tc>
          <w:tcPr>
            <w:tcW w:w="6203" w:type="dxa"/>
            <w:vAlign w:val="center"/>
          </w:tcPr>
          <w:p>
            <w:pPr>
              <w:spacing w:line="300" w:lineRule="exact"/>
              <w:rPr>
                <w:rFonts w:ascii="宋体" w:cs="宋体"/>
                <w:bCs/>
                <w:kern w:val="0"/>
                <w:sz w:val="22"/>
                <w:szCs w:val="22"/>
                <w:lang w:val="zh-CN"/>
              </w:rPr>
            </w:pPr>
            <w:r>
              <w:rPr>
                <w:rFonts w:hint="eastAsia" w:ascii="宋体" w:hAnsi="宋体" w:cs="宋体"/>
                <w:bCs/>
                <w:kern w:val="0"/>
                <w:sz w:val="22"/>
                <w:szCs w:val="22"/>
                <w:lang w:val="zh-CN"/>
              </w:rPr>
              <w:t>开标时间：</w:t>
            </w:r>
            <w:r>
              <w:rPr>
                <w:rFonts w:hint="eastAsia" w:ascii="新宋体" w:hAnsi="新宋体" w:eastAsia="新宋体" w:cs="新宋体"/>
                <w:bCs/>
                <w:kern w:val="0"/>
                <w:sz w:val="22"/>
                <w:szCs w:val="22"/>
              </w:rPr>
              <w:t>2024年</w:t>
            </w:r>
            <w:r>
              <w:rPr>
                <w:rFonts w:hint="eastAsia" w:ascii="新宋体" w:hAnsi="新宋体" w:eastAsia="新宋体" w:cs="新宋体"/>
                <w:bCs/>
                <w:kern w:val="0"/>
                <w:sz w:val="22"/>
                <w:szCs w:val="22"/>
                <w:lang w:val="en-US" w:eastAsia="zh-CN"/>
              </w:rPr>
              <w:t>6</w:t>
            </w:r>
            <w:r>
              <w:rPr>
                <w:rFonts w:hint="eastAsia" w:ascii="新宋体" w:hAnsi="新宋体" w:eastAsia="新宋体" w:cs="新宋体"/>
                <w:bCs/>
                <w:kern w:val="0"/>
                <w:sz w:val="22"/>
                <w:szCs w:val="22"/>
              </w:rPr>
              <w:t>月</w:t>
            </w:r>
            <w:r>
              <w:rPr>
                <w:rFonts w:hint="eastAsia" w:ascii="新宋体" w:hAnsi="新宋体" w:eastAsia="新宋体" w:cs="新宋体"/>
                <w:bCs/>
                <w:kern w:val="0"/>
                <w:sz w:val="22"/>
                <w:szCs w:val="22"/>
                <w:lang w:val="en-US" w:eastAsia="zh-CN"/>
              </w:rPr>
              <w:t>18</w:t>
            </w:r>
            <w:r>
              <w:rPr>
                <w:rFonts w:hint="eastAsia" w:ascii="新宋体" w:hAnsi="新宋体" w:eastAsia="新宋体" w:cs="新宋体"/>
                <w:bCs/>
                <w:kern w:val="0"/>
                <w:sz w:val="22"/>
                <w:szCs w:val="22"/>
              </w:rPr>
              <w:t>日9时0分</w:t>
            </w:r>
          </w:p>
          <w:p>
            <w:pPr>
              <w:spacing w:line="300" w:lineRule="exact"/>
              <w:rPr>
                <w:rFonts w:ascii="宋体" w:cs="宋体"/>
                <w:color w:val="FF0000"/>
                <w:sz w:val="24"/>
              </w:rPr>
            </w:pPr>
            <w:r>
              <w:rPr>
                <w:rFonts w:hint="eastAsia" w:ascii="宋体" w:hAnsi="宋体" w:cs="宋体"/>
                <w:bCs/>
                <w:color w:val="000000" w:themeColor="text1"/>
                <w:kern w:val="0"/>
                <w:sz w:val="22"/>
                <w:szCs w:val="22"/>
                <w:lang w:val="zh-CN"/>
                <w14:textFill>
                  <w14:solidFill>
                    <w14:schemeClr w14:val="tx1"/>
                  </w14:solidFill>
                </w14:textFill>
              </w:rPr>
              <w:t>开标地点（</w:t>
            </w:r>
            <w:r>
              <w:rPr>
                <w:rFonts w:hint="eastAsia" w:ascii="宋体" w:hAnsi="宋体" w:cs="宋体"/>
                <w:bCs/>
                <w:color w:val="000000" w:themeColor="text1"/>
                <w:kern w:val="0"/>
                <w:sz w:val="22"/>
                <w:szCs w:val="22"/>
                <w:lang w:val="en-US" w:eastAsia="zh-CN"/>
                <w14:textFill>
                  <w14:solidFill>
                    <w14:schemeClr w14:val="tx1"/>
                  </w14:solidFill>
                </w14:textFill>
              </w:rPr>
              <w:t>网址）</w:t>
            </w:r>
            <w:r>
              <w:rPr>
                <w:rFonts w:hint="eastAsia" w:ascii="宋体" w:hAnsi="宋体" w:cs="宋体"/>
                <w:bCs/>
                <w:color w:val="000000" w:themeColor="text1"/>
                <w:kern w:val="0"/>
                <w:sz w:val="22"/>
                <w:szCs w:val="22"/>
                <w:lang w:val="zh-CN"/>
                <w14:textFill>
                  <w14:solidFill>
                    <w14:schemeClr w14:val="tx1"/>
                  </w14:solidFill>
                </w14:textFill>
              </w:rPr>
              <w:t>：</w:t>
            </w:r>
            <w:r>
              <w:rPr>
                <w:rFonts w:hint="eastAsia" w:ascii="宋体" w:hAnsi="宋体" w:eastAsia="宋体" w:cs="宋体"/>
                <w:sz w:val="24"/>
                <w:highlight w:val="none"/>
              </w:rPr>
              <w:t>通过政釆云平台实行在线开标。</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11</w:t>
            </w:r>
          </w:p>
        </w:tc>
        <w:tc>
          <w:tcPr>
            <w:tcW w:w="1880" w:type="dxa"/>
            <w:vAlign w:val="center"/>
          </w:tcPr>
          <w:p>
            <w:pPr>
              <w:rPr>
                <w:rFonts w:ascii="宋体" w:hAnsi="宋体" w:cs="宋体"/>
                <w:bCs/>
                <w:sz w:val="22"/>
                <w:szCs w:val="22"/>
                <w:lang w:val="zh-CN"/>
              </w:rPr>
            </w:pPr>
            <w:r>
              <w:rPr>
                <w:rFonts w:hint="eastAsia" w:ascii="宋体" w:hAnsi="宋体" w:cs="宋体"/>
                <w:bCs/>
                <w:sz w:val="22"/>
                <w:szCs w:val="22"/>
              </w:rPr>
              <w:t>投标有效期</w:t>
            </w:r>
          </w:p>
        </w:tc>
        <w:tc>
          <w:tcPr>
            <w:tcW w:w="6203" w:type="dxa"/>
            <w:vAlign w:val="center"/>
          </w:tcPr>
          <w:p>
            <w:pPr>
              <w:rPr>
                <w:rFonts w:ascii="宋体" w:hAnsi="宋体" w:cs="宋体"/>
                <w:bCs/>
                <w:sz w:val="22"/>
                <w:szCs w:val="22"/>
                <w:lang w:val="zh-CN"/>
              </w:rPr>
            </w:pPr>
            <w:r>
              <w:rPr>
                <w:rFonts w:hint="eastAsia" w:ascii="宋体" w:hAnsi="宋体" w:cs="宋体"/>
                <w:bCs/>
                <w:color w:val="000000" w:themeColor="text1"/>
                <w:kern w:val="0"/>
                <w:sz w:val="22"/>
                <w:szCs w:val="22"/>
                <w:lang w:val="en-US" w:eastAsia="zh-CN"/>
                <w14:textFill>
                  <w14:solidFill>
                    <w14:schemeClr w14:val="tx1"/>
                  </w14:solidFill>
                </w14:textFill>
              </w:rPr>
              <w:t>▲</w:t>
            </w:r>
            <w:r>
              <w:rPr>
                <w:rFonts w:hint="eastAsia" w:ascii="宋体" w:hAnsi="宋体" w:cs="宋体"/>
                <w:bCs/>
                <w:sz w:val="22"/>
                <w:szCs w:val="22"/>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hAnsi="宋体" w:cs="宋体"/>
                <w:sz w:val="24"/>
              </w:rPr>
            </w:pPr>
            <w:r>
              <w:rPr>
                <w:rFonts w:hint="eastAsia" w:ascii="宋体" w:hAnsi="宋体" w:cs="宋体"/>
                <w:sz w:val="24"/>
              </w:rPr>
              <w:t>12</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中小企业预留份额情况</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根据《政府采购促进中小企业发展管理办法》财库〔2020〕46号文件和《台州市财政局关于进一步加大政府采购支持中小企业力度助力扎实稳住经济的通知》台财采发〔2022〕3号的规定，本项目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hAnsi="宋体" w:cs="宋体"/>
                <w:sz w:val="24"/>
              </w:rPr>
            </w:pPr>
            <w:r>
              <w:rPr>
                <w:rFonts w:hint="eastAsia" w:ascii="宋体" w:hAnsi="宋体" w:cs="宋体"/>
                <w:sz w:val="24"/>
              </w:rPr>
              <w:t>13</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中小企业优惠措施</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1.项目属性（服务类）</w:t>
            </w:r>
          </w:p>
          <w:p>
            <w:pPr>
              <w:rPr>
                <w:rFonts w:ascii="宋体" w:hAnsi="宋体" w:cs="宋体"/>
                <w:bCs/>
                <w:sz w:val="22"/>
                <w:szCs w:val="22"/>
                <w:lang w:val="zh-CN"/>
              </w:rPr>
            </w:pPr>
            <w:r>
              <w:rPr>
                <w:rFonts w:hint="eastAsia" w:ascii="宋体" w:hAnsi="宋体" w:cs="宋体"/>
                <w:bCs/>
                <w:sz w:val="22"/>
                <w:szCs w:val="22"/>
                <w:lang w:val="zh-CN"/>
              </w:rPr>
              <w:t>2.中小企业划分标准所属行业（具体根据《中小企业划型标准规定》执行）</w:t>
            </w:r>
          </w:p>
          <w:p>
            <w:pPr>
              <w:rPr>
                <w:rFonts w:ascii="宋体" w:hAnsi="宋体" w:cs="宋体"/>
                <w:bCs/>
                <w:sz w:val="22"/>
                <w:szCs w:val="22"/>
                <w:lang w:val="zh-CN"/>
              </w:rPr>
            </w:pPr>
            <w:r>
              <w:rPr>
                <w:rFonts w:hint="eastAsia" w:ascii="宋体" w:hAnsi="宋体" w:cs="宋体"/>
                <w:bCs/>
                <w:sz w:val="22"/>
                <w:szCs w:val="22"/>
                <w:lang w:val="zh-CN"/>
              </w:rPr>
              <w:t xml:space="preserve">采购标的：椒江区土地整治(垦造耕地、建设用地复垦、永久基本农田连片整治等项目)服务  </w:t>
            </w:r>
          </w:p>
          <w:p>
            <w:pPr>
              <w:rPr>
                <w:rFonts w:ascii="宋体" w:hAnsi="宋体" w:cs="宋体"/>
                <w:bCs/>
                <w:sz w:val="22"/>
                <w:szCs w:val="22"/>
              </w:rPr>
            </w:pPr>
            <w:r>
              <w:rPr>
                <w:rFonts w:hint="eastAsia" w:ascii="宋体" w:hAnsi="宋体" w:cs="宋体"/>
                <w:bCs/>
                <w:sz w:val="22"/>
                <w:szCs w:val="22"/>
                <w:lang w:val="zh-CN"/>
              </w:rPr>
              <w:t>所属行业：</w:t>
            </w:r>
            <w:r>
              <w:rPr>
                <w:rFonts w:hint="eastAsia" w:ascii="宋体" w:hAnsi="宋体" w:cs="宋体"/>
                <w:bCs/>
                <w:sz w:val="22"/>
                <w:szCs w:val="22"/>
                <w:u w:val="single"/>
                <w:lang w:val="zh-CN"/>
              </w:rPr>
              <w:t>其他未列明行业</w:t>
            </w:r>
            <w:r>
              <w:rPr>
                <w:rFonts w:hint="eastAsia" w:ascii="宋体" w:hAnsi="宋体" w:cs="宋体"/>
                <w:bCs/>
                <w:sz w:val="22"/>
                <w:szCs w:val="22"/>
                <w:lang w:val="zh-CN"/>
              </w:rPr>
              <w:t>。</w:t>
            </w:r>
          </w:p>
          <w:p>
            <w:pPr>
              <w:rPr>
                <w:rFonts w:ascii="宋体" w:hAnsi="宋体" w:cs="宋体"/>
                <w:bCs/>
                <w:sz w:val="22"/>
                <w:szCs w:val="22"/>
                <w:lang w:val="zh-CN"/>
              </w:rPr>
            </w:pPr>
            <w:r>
              <w:rPr>
                <w:rFonts w:hint="eastAsia" w:ascii="宋体" w:hAnsi="宋体" w:cs="宋体"/>
                <w:bCs/>
                <w:sz w:val="22"/>
                <w:szCs w:val="22"/>
                <w:lang w:val="zh-CN"/>
              </w:rPr>
              <w:t>3.根据《政府采购促进中小企业发展管理办法》（财库〔2020〕46号）第七条的规定，</w:t>
            </w:r>
            <w:r>
              <w:rPr>
                <w:rFonts w:hint="eastAsia" w:ascii="宋体" w:hAnsi="宋体" w:cs="宋体"/>
                <w:bCs/>
                <w:sz w:val="22"/>
                <w:szCs w:val="22"/>
              </w:rPr>
              <w:t>本项目</w:t>
            </w:r>
            <w:r>
              <w:rPr>
                <w:rFonts w:hint="eastAsia" w:ascii="宋体" w:hAnsi="宋体" w:cs="宋体"/>
                <w:bCs/>
                <w:sz w:val="22"/>
                <w:szCs w:val="22"/>
                <w:lang w:val="zh-CN"/>
              </w:rPr>
              <w:t>专门面向中小企业采购，不进行小微企业的价格扣除。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sz w:val="24"/>
              </w:rPr>
            </w:pPr>
            <w:r>
              <w:rPr>
                <w:rFonts w:ascii="宋体" w:hAnsi="宋体" w:cs="宋体"/>
                <w:sz w:val="24"/>
              </w:rPr>
              <w:t>1</w:t>
            </w:r>
            <w:r>
              <w:rPr>
                <w:rFonts w:hint="eastAsia" w:ascii="宋体" w:hAnsi="宋体" w:cs="宋体"/>
                <w:sz w:val="24"/>
              </w:rPr>
              <w:t>4</w:t>
            </w:r>
          </w:p>
        </w:tc>
        <w:tc>
          <w:tcPr>
            <w:tcW w:w="1880" w:type="dxa"/>
            <w:vAlign w:val="center"/>
          </w:tcPr>
          <w:p>
            <w:pPr>
              <w:rPr>
                <w:rFonts w:ascii="宋体" w:cs="宋体"/>
                <w:bCs/>
                <w:kern w:val="0"/>
                <w:sz w:val="22"/>
                <w:szCs w:val="22"/>
              </w:rPr>
            </w:pPr>
            <w:r>
              <w:rPr>
                <w:rFonts w:hint="eastAsia" w:ascii="宋体" w:hAnsi="宋体" w:cs="宋体"/>
                <w:bCs/>
                <w:kern w:val="0"/>
                <w:sz w:val="22"/>
                <w:szCs w:val="22"/>
              </w:rPr>
              <w:t>评标委员会的组建</w:t>
            </w:r>
          </w:p>
        </w:tc>
        <w:tc>
          <w:tcPr>
            <w:tcW w:w="6203" w:type="dxa"/>
            <w:vAlign w:val="center"/>
          </w:tcPr>
          <w:p>
            <w:pPr>
              <w:rPr>
                <w:rFonts w:ascii="宋体" w:cs="宋体"/>
                <w:sz w:val="24"/>
              </w:rPr>
            </w:pPr>
            <w:r>
              <w:rPr>
                <w:rFonts w:hint="eastAsia" w:ascii="宋体" w:hAnsi="宋体" w:cs="宋体"/>
                <w:bCs/>
                <w:sz w:val="22"/>
                <w:szCs w:val="22"/>
              </w:rPr>
              <w:t>采购人按照《中华人民共和国政府采购法》等有关法律、法规的规定组建评标委员会，评标委员会成员由采购人代表和有关技术、经济等方面的专家组成，成员人数为</w:t>
            </w:r>
            <w:r>
              <w:rPr>
                <w:rFonts w:ascii="宋体" w:hAnsi="宋体" w:cs="宋体"/>
                <w:bCs/>
                <w:sz w:val="22"/>
                <w:szCs w:val="22"/>
              </w:rPr>
              <w:t>5</w:t>
            </w:r>
            <w:r>
              <w:rPr>
                <w:rFonts w:hint="eastAsia" w:ascii="宋体" w:hAnsi="宋体" w:cs="宋体"/>
                <w:bCs/>
                <w:sz w:val="22"/>
                <w:szCs w:val="22"/>
              </w:rPr>
              <w:t>人（含）以上单数，除采购人代表外的专家将在评标专家库中随机抽取产生。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vAlign w:val="center"/>
          </w:tcPr>
          <w:p>
            <w:pPr>
              <w:rPr>
                <w:rFonts w:ascii="宋体" w:hAnsi="宋体" w:cs="宋体"/>
                <w:bCs/>
                <w:sz w:val="22"/>
                <w:szCs w:val="22"/>
                <w:lang w:val="zh-CN"/>
              </w:rPr>
            </w:pPr>
            <w:r>
              <w:rPr>
                <w:rFonts w:hint="eastAsia" w:ascii="宋体" w:hAnsi="宋体" w:cs="宋体"/>
                <w:bCs/>
                <w:sz w:val="22"/>
                <w:szCs w:val="22"/>
                <w:lang w:val="zh-CN"/>
              </w:rPr>
              <w:t>1</w:t>
            </w:r>
            <w:r>
              <w:rPr>
                <w:rFonts w:hint="eastAsia" w:ascii="宋体" w:hAnsi="宋体" w:cs="宋体"/>
                <w:bCs/>
                <w:sz w:val="22"/>
                <w:szCs w:val="22"/>
              </w:rPr>
              <w:t>5</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投标保证金</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rPr>
                <w:rFonts w:ascii="宋体" w:hAnsi="宋体" w:cs="宋体"/>
                <w:bCs/>
                <w:sz w:val="22"/>
                <w:szCs w:val="22"/>
                <w:lang w:val="zh-CN"/>
              </w:rPr>
            </w:pPr>
            <w:r>
              <w:rPr>
                <w:rFonts w:hint="eastAsia" w:ascii="宋体" w:hAnsi="宋体" w:cs="宋体"/>
                <w:bCs/>
                <w:sz w:val="22"/>
                <w:szCs w:val="22"/>
                <w:lang w:val="zh-CN"/>
              </w:rPr>
              <w:t>1</w:t>
            </w:r>
            <w:r>
              <w:rPr>
                <w:rFonts w:hint="eastAsia" w:ascii="宋体" w:hAnsi="宋体" w:cs="宋体"/>
                <w:bCs/>
                <w:sz w:val="22"/>
                <w:szCs w:val="22"/>
              </w:rPr>
              <w:t>6</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履约保证金</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rPr>
                <w:rFonts w:ascii="宋体" w:hAnsi="宋体" w:cs="宋体"/>
                <w:bCs/>
                <w:sz w:val="22"/>
                <w:szCs w:val="22"/>
                <w:lang w:val="zh-CN"/>
              </w:rPr>
            </w:pPr>
            <w:r>
              <w:rPr>
                <w:rFonts w:hint="eastAsia" w:ascii="宋体" w:hAnsi="宋体" w:cs="宋体"/>
                <w:bCs/>
                <w:sz w:val="22"/>
                <w:szCs w:val="22"/>
                <w:lang w:val="zh-CN"/>
              </w:rPr>
              <w:t>1</w:t>
            </w:r>
            <w:r>
              <w:rPr>
                <w:rFonts w:hint="eastAsia" w:ascii="宋体" w:hAnsi="宋体" w:cs="宋体"/>
                <w:bCs/>
                <w:sz w:val="22"/>
                <w:szCs w:val="22"/>
              </w:rPr>
              <w:t>7</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代理服务费</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1.本项目招标代理服务费</w:t>
            </w:r>
            <w:r>
              <w:rPr>
                <w:rFonts w:hint="eastAsia" w:ascii="宋体" w:hAnsi="宋体" w:cs="宋体"/>
                <w:bCs/>
                <w:sz w:val="22"/>
                <w:szCs w:val="22"/>
                <w:lang w:val="en-US" w:eastAsia="zh-CN"/>
              </w:rPr>
              <w:t>按</w:t>
            </w:r>
            <w:r>
              <w:rPr>
                <w:rFonts w:hint="eastAsia" w:ascii="宋体" w:hAnsi="宋体" w:cs="宋体"/>
                <w:bCs/>
                <w:sz w:val="22"/>
                <w:szCs w:val="22"/>
              </w:rPr>
              <w:t>4800元</w:t>
            </w:r>
            <w:r>
              <w:rPr>
                <w:rFonts w:hint="eastAsia" w:ascii="宋体" w:hAnsi="宋体" w:cs="宋体"/>
                <w:bCs/>
                <w:sz w:val="22"/>
                <w:szCs w:val="22"/>
                <w:lang w:val="zh-CN"/>
              </w:rPr>
              <w:t>收取，费用由中标单位支付。</w:t>
            </w:r>
          </w:p>
          <w:p>
            <w:pPr>
              <w:rPr>
                <w:rFonts w:ascii="宋体" w:hAnsi="宋体" w:cs="宋体"/>
                <w:bCs/>
                <w:sz w:val="22"/>
                <w:szCs w:val="22"/>
                <w:lang w:val="zh-CN"/>
              </w:rPr>
            </w:pPr>
            <w:r>
              <w:rPr>
                <w:rFonts w:hint="eastAsia" w:ascii="宋体" w:hAnsi="宋体" w:cs="宋体"/>
                <w:bCs/>
                <w:sz w:val="22"/>
                <w:szCs w:val="22"/>
                <w:lang w:val="zh-CN"/>
              </w:rPr>
              <w:t>2.中标人在收到中标通知书后5个工作日内向本招标代理机构支付招标服务费。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rPr>
                <w:rFonts w:ascii="宋体" w:hAnsi="宋体" w:cs="宋体"/>
                <w:bCs/>
                <w:sz w:val="22"/>
                <w:szCs w:val="22"/>
              </w:rPr>
            </w:pPr>
            <w:r>
              <w:rPr>
                <w:rFonts w:hint="eastAsia" w:ascii="宋体" w:hAnsi="宋体" w:cs="宋体"/>
                <w:bCs/>
                <w:sz w:val="22"/>
                <w:szCs w:val="22"/>
              </w:rPr>
              <w:t>18</w:t>
            </w:r>
          </w:p>
        </w:tc>
        <w:tc>
          <w:tcPr>
            <w:tcW w:w="1880" w:type="dxa"/>
            <w:vAlign w:val="center"/>
          </w:tcPr>
          <w:p>
            <w:pPr>
              <w:rPr>
                <w:rFonts w:ascii="宋体" w:hAnsi="宋体" w:cs="宋体"/>
                <w:bCs/>
                <w:sz w:val="22"/>
                <w:szCs w:val="22"/>
              </w:rPr>
            </w:pPr>
            <w:r>
              <w:rPr>
                <w:rFonts w:hint="eastAsia" w:ascii="宋体" w:hAnsi="宋体" w:cs="宋体"/>
                <w:bCs/>
                <w:sz w:val="22"/>
                <w:szCs w:val="22"/>
              </w:rPr>
              <w:t>其他</w:t>
            </w:r>
          </w:p>
        </w:tc>
        <w:tc>
          <w:tcPr>
            <w:tcW w:w="6203" w:type="dxa"/>
          </w:tcPr>
          <w:p>
            <w:pPr>
              <w:rPr>
                <w:rFonts w:ascii="宋体" w:hAnsi="宋体" w:cs="宋体"/>
                <w:bCs/>
                <w:sz w:val="22"/>
                <w:szCs w:val="22"/>
                <w:lang w:val="zh-CN"/>
              </w:rPr>
            </w:pPr>
            <w:r>
              <w:rPr>
                <w:rFonts w:hint="eastAsia" w:ascii="宋体" w:hAnsi="宋体" w:cs="宋体"/>
                <w:b/>
                <w:sz w:val="22"/>
                <w:szCs w:val="22"/>
                <w:lang w:val="zh-CN"/>
              </w:rPr>
              <w:t>供应商中标后需提供纸质投标文件给招标代理机构作为备案存档，纸质投标文件系电子投标文件纸质版，两者内容应一致；数量为：资格证明文件、商务与技术文件、报价文件各一正</w:t>
            </w:r>
            <w:r>
              <w:rPr>
                <w:rFonts w:hint="eastAsia" w:ascii="宋体" w:hAnsi="宋体" w:cs="宋体"/>
                <w:b/>
                <w:sz w:val="22"/>
                <w:szCs w:val="22"/>
              </w:rPr>
              <w:t>一</w:t>
            </w:r>
            <w:r>
              <w:rPr>
                <w:rFonts w:hint="eastAsia" w:ascii="宋体" w:hAnsi="宋体" w:cs="宋体"/>
                <w:b/>
                <w:sz w:val="22"/>
                <w:szCs w:val="22"/>
                <w:lang w:val="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pPr>
              <w:rPr>
                <w:rFonts w:ascii="宋体" w:hAnsi="宋体" w:cs="宋体"/>
                <w:bCs/>
                <w:sz w:val="22"/>
                <w:szCs w:val="22"/>
                <w:lang w:val="zh-CN"/>
              </w:rPr>
            </w:pPr>
            <w:r>
              <w:rPr>
                <w:rFonts w:hint="eastAsia" w:ascii="宋体" w:hAnsi="宋体" w:cs="宋体"/>
                <w:bCs/>
                <w:sz w:val="22"/>
                <w:szCs w:val="22"/>
                <w:lang w:val="zh-CN"/>
              </w:rPr>
              <w:t>1</w:t>
            </w:r>
            <w:r>
              <w:rPr>
                <w:rFonts w:hint="eastAsia" w:ascii="宋体" w:hAnsi="宋体" w:cs="宋体"/>
                <w:bCs/>
                <w:sz w:val="22"/>
                <w:szCs w:val="22"/>
              </w:rPr>
              <w:t>9</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实质性条款</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vAlign w:val="center"/>
          </w:tcPr>
          <w:p>
            <w:pPr>
              <w:rPr>
                <w:rFonts w:ascii="宋体" w:hAnsi="宋体" w:cs="宋体"/>
                <w:bCs/>
                <w:sz w:val="22"/>
                <w:szCs w:val="22"/>
              </w:rPr>
            </w:pPr>
            <w:r>
              <w:rPr>
                <w:rFonts w:hint="eastAsia" w:ascii="宋体" w:hAnsi="宋体" w:cs="宋体"/>
                <w:bCs/>
                <w:sz w:val="22"/>
                <w:szCs w:val="22"/>
              </w:rPr>
              <w:t>20</w:t>
            </w:r>
          </w:p>
        </w:tc>
        <w:tc>
          <w:tcPr>
            <w:tcW w:w="1880" w:type="dxa"/>
            <w:vAlign w:val="center"/>
          </w:tcPr>
          <w:p>
            <w:pPr>
              <w:rPr>
                <w:rFonts w:ascii="宋体" w:hAnsi="宋体" w:cs="宋体"/>
                <w:bCs/>
                <w:sz w:val="22"/>
                <w:szCs w:val="22"/>
                <w:lang w:val="zh-CN"/>
              </w:rPr>
            </w:pPr>
            <w:r>
              <w:rPr>
                <w:rFonts w:hint="eastAsia" w:ascii="宋体" w:hAnsi="宋体" w:cs="宋体"/>
                <w:bCs/>
                <w:sz w:val="22"/>
                <w:szCs w:val="22"/>
                <w:lang w:val="zh-CN"/>
              </w:rPr>
              <w:t>解释权</w:t>
            </w:r>
          </w:p>
        </w:tc>
        <w:tc>
          <w:tcPr>
            <w:tcW w:w="6203" w:type="dxa"/>
            <w:vAlign w:val="center"/>
          </w:tcPr>
          <w:p>
            <w:pPr>
              <w:rPr>
                <w:rFonts w:ascii="宋体" w:hAnsi="宋体" w:cs="宋体"/>
                <w:bCs/>
                <w:sz w:val="22"/>
                <w:szCs w:val="22"/>
                <w:lang w:val="zh-CN"/>
              </w:rPr>
            </w:pPr>
            <w:r>
              <w:rPr>
                <w:rFonts w:hint="eastAsia" w:ascii="宋体" w:hAnsi="宋体" w:cs="宋体"/>
                <w:bCs/>
                <w:sz w:val="22"/>
                <w:szCs w:val="22"/>
                <w:lang w:val="zh-CN"/>
              </w:rPr>
              <w:t>本招标文件解释权属于采购人和采购代理机构</w:t>
            </w:r>
          </w:p>
        </w:tc>
      </w:tr>
    </w:tbl>
    <w:p>
      <w:pPr>
        <w:pStyle w:val="15"/>
        <w:snapToGrid w:val="0"/>
        <w:spacing w:before="120" w:after="120" w:line="360" w:lineRule="auto"/>
        <w:rPr>
          <w:rFonts w:hAnsi="宋体"/>
          <w:b/>
          <w:sz w:val="24"/>
        </w:rPr>
      </w:pPr>
    </w:p>
    <w:p>
      <w:pPr>
        <w:pStyle w:val="15"/>
        <w:snapToGrid w:val="0"/>
        <w:spacing w:before="120" w:after="120" w:line="360" w:lineRule="auto"/>
        <w:ind w:firstLine="482" w:firstLineChars="200"/>
        <w:rPr>
          <w:rFonts w:hAnsi="宋体"/>
          <w:b/>
          <w:sz w:val="24"/>
        </w:rPr>
      </w:pPr>
      <w:r>
        <w:rPr>
          <w:rFonts w:hint="eastAsia" w:hAnsi="宋体"/>
          <w:b/>
          <w:sz w:val="24"/>
        </w:rPr>
        <w:t>一、总则</w:t>
      </w:r>
    </w:p>
    <w:p>
      <w:pPr>
        <w:snapToGrid w:val="0"/>
        <w:spacing w:line="360" w:lineRule="auto"/>
        <w:ind w:firstLine="472" w:firstLineChars="196"/>
        <w:jc w:val="left"/>
        <w:outlineLvl w:val="1"/>
        <w:rPr>
          <w:rFonts w:ascii="宋体"/>
          <w:b/>
          <w:color w:val="000000"/>
          <w:sz w:val="24"/>
        </w:rPr>
      </w:pPr>
      <w:r>
        <w:rPr>
          <w:rFonts w:hint="eastAsia" w:ascii="宋体" w:hAnsi="宋体"/>
          <w:b/>
          <w:color w:val="000000"/>
          <w:sz w:val="24"/>
        </w:rPr>
        <w:t>（一）适用范围</w:t>
      </w:r>
    </w:p>
    <w:p>
      <w:pPr>
        <w:snapToGrid w:val="0"/>
        <w:spacing w:line="360" w:lineRule="auto"/>
        <w:ind w:firstLine="480" w:firstLineChars="200"/>
        <w:jc w:val="left"/>
        <w:rPr>
          <w:rFonts w:ascii="宋体"/>
          <w:color w:val="000000"/>
          <w:sz w:val="24"/>
        </w:rPr>
      </w:pPr>
      <w:r>
        <w:rPr>
          <w:rFonts w:hint="eastAsia" w:ascii="宋体" w:hAnsi="宋体"/>
          <w:color w:val="000000"/>
          <w:sz w:val="24"/>
        </w:rPr>
        <w:t>本招标文件适用于</w:t>
      </w:r>
      <w:r>
        <w:rPr>
          <w:rFonts w:hint="eastAsia" w:ascii="宋体" w:hAnsi="宋体"/>
          <w:bCs/>
          <w:color w:val="000000"/>
          <w:sz w:val="24"/>
        </w:rPr>
        <w:t>本次</w:t>
      </w:r>
      <w:r>
        <w:rPr>
          <w:rFonts w:hint="eastAsia" w:ascii="宋体" w:hAnsi="宋体"/>
          <w:color w:val="000000"/>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宋体"/>
          <w:b/>
          <w:color w:val="000000"/>
          <w:sz w:val="24"/>
        </w:rPr>
      </w:pPr>
      <w:r>
        <w:rPr>
          <w:rFonts w:hint="eastAsia" w:ascii="宋体" w:hAnsi="宋体"/>
          <w:b/>
          <w:color w:val="000000"/>
          <w:sz w:val="24"/>
        </w:rPr>
        <w:t>（二）定义</w:t>
      </w:r>
    </w:p>
    <w:p>
      <w:pPr>
        <w:pStyle w:val="7"/>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000000"/>
          <w:sz w:val="24"/>
          <w:szCs w:val="24"/>
        </w:rPr>
      </w:pPr>
      <w:r>
        <w:rPr>
          <w:rFonts w:ascii="宋体" w:hAnsi="宋体"/>
          <w:b w:val="0"/>
          <w:color w:val="000000"/>
          <w:sz w:val="24"/>
          <w:szCs w:val="24"/>
        </w:rPr>
        <w:t>1</w:t>
      </w:r>
      <w:r>
        <w:rPr>
          <w:rFonts w:hint="eastAsia" w:ascii="宋体" w:hAnsi="宋体"/>
          <w:b w:val="0"/>
          <w:color w:val="000000"/>
          <w:sz w:val="24"/>
          <w:szCs w:val="24"/>
        </w:rPr>
        <w:t>、</w:t>
      </w:r>
      <w:r>
        <w:rPr>
          <w:rFonts w:hint="eastAsia" w:ascii="宋体" w:hAnsi="宋体"/>
          <w:b w:val="0"/>
          <w:bCs w:val="0"/>
          <w:sz w:val="24"/>
          <w:szCs w:val="24"/>
          <w:lang w:val="zh-CN"/>
        </w:rPr>
        <w:t>“采购组织机构”指采购人委托组织招标的采购代理机构。</w:t>
      </w:r>
    </w:p>
    <w:p>
      <w:pPr>
        <w:snapToGrid w:val="0"/>
        <w:spacing w:line="360" w:lineRule="auto"/>
        <w:ind w:firstLine="566" w:firstLineChars="236"/>
        <w:rPr>
          <w:rFonts w:ascii="宋体"/>
          <w:color w:val="000000"/>
          <w:sz w:val="24"/>
        </w:rPr>
      </w:pPr>
      <w:r>
        <w:rPr>
          <w:rFonts w:ascii="宋体" w:hAnsi="宋体"/>
          <w:color w:val="000000"/>
          <w:sz w:val="24"/>
        </w:rPr>
        <w:t>2</w:t>
      </w:r>
      <w:r>
        <w:rPr>
          <w:rFonts w:hint="eastAsia" w:ascii="宋体" w:hAnsi="宋体"/>
          <w:color w:val="000000"/>
          <w:sz w:val="24"/>
        </w:rPr>
        <w:t>、采购人：是指委托采购代理机构采购本次项目的国家机关、事业单位和团体组织。</w:t>
      </w:r>
    </w:p>
    <w:p>
      <w:pPr>
        <w:snapToGrid w:val="0"/>
        <w:spacing w:line="360" w:lineRule="auto"/>
        <w:ind w:left="424" w:leftChars="202" w:firstLine="141" w:firstLineChars="59"/>
        <w:jc w:val="left"/>
        <w:rPr>
          <w:rFonts w:ascii="宋体"/>
          <w:color w:val="000000"/>
          <w:sz w:val="24"/>
        </w:rPr>
      </w:pPr>
      <w:r>
        <w:rPr>
          <w:rFonts w:ascii="宋体" w:hAnsi="宋体"/>
          <w:color w:val="000000"/>
          <w:sz w:val="24"/>
        </w:rPr>
        <w:t>3</w:t>
      </w:r>
      <w:r>
        <w:rPr>
          <w:rFonts w:hint="eastAsia" w:ascii="宋体" w:hAnsi="宋体"/>
          <w:color w:val="000000"/>
          <w:sz w:val="24"/>
        </w:rPr>
        <w:t>、投标人：是指向采购</w:t>
      </w:r>
      <w:r>
        <w:rPr>
          <w:rFonts w:hint="eastAsia" w:ascii="宋体" w:hAnsi="宋体"/>
          <w:sz w:val="24"/>
          <w:lang w:val="zh-CN"/>
        </w:rPr>
        <w:t>组织</w:t>
      </w:r>
      <w:r>
        <w:rPr>
          <w:rFonts w:hint="eastAsia" w:ascii="宋体" w:hAnsi="宋体"/>
          <w:color w:val="000000"/>
          <w:sz w:val="24"/>
        </w:rPr>
        <w:t>机构提交投标文件的单位或个人。</w:t>
      </w:r>
    </w:p>
    <w:p>
      <w:pPr>
        <w:snapToGrid w:val="0"/>
        <w:spacing w:line="360" w:lineRule="auto"/>
        <w:ind w:left="424" w:leftChars="202" w:firstLine="143"/>
        <w:jc w:val="left"/>
        <w:rPr>
          <w:rFonts w:ascii="宋体"/>
          <w:color w:val="000000"/>
          <w:sz w:val="24"/>
        </w:rPr>
      </w:pPr>
      <w:r>
        <w:rPr>
          <w:rFonts w:ascii="宋体" w:hAnsi="宋体"/>
          <w:color w:val="000000"/>
          <w:sz w:val="24"/>
        </w:rPr>
        <w:t>4</w:t>
      </w:r>
      <w:r>
        <w:rPr>
          <w:rFonts w:hint="eastAsia" w:ascii="宋体" w:hAnsi="宋体"/>
          <w:color w:val="000000"/>
          <w:sz w:val="24"/>
        </w:rPr>
        <w:t>、货物：是指各种形态和种类的物品，包括原材料、燃料、设备、产品等。</w:t>
      </w:r>
    </w:p>
    <w:p>
      <w:pPr>
        <w:snapToGrid w:val="0"/>
        <w:spacing w:line="360" w:lineRule="auto"/>
        <w:ind w:firstLine="566" w:firstLineChars="236"/>
        <w:jc w:val="left"/>
        <w:rPr>
          <w:rFonts w:ascii="宋体"/>
          <w:b/>
          <w:sz w:val="24"/>
        </w:rPr>
      </w:pPr>
      <w:r>
        <w:rPr>
          <w:rFonts w:ascii="宋体" w:hAnsi="宋体"/>
          <w:color w:val="000000"/>
          <w:sz w:val="24"/>
        </w:rPr>
        <w:t>5</w:t>
      </w:r>
      <w:r>
        <w:rPr>
          <w:rFonts w:hint="eastAsia" w:ascii="宋体" w:hAnsi="宋体"/>
          <w:color w:val="000000"/>
          <w:sz w:val="24"/>
        </w:rPr>
        <w:t>、</w:t>
      </w:r>
      <w:r>
        <w:rPr>
          <w:rFonts w:hint="eastAsia" w:ascii="宋体" w:hAnsi="宋体"/>
          <w:sz w:val="24"/>
        </w:rPr>
        <w:t>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color w:val="000000"/>
          <w:sz w:val="24"/>
        </w:rPr>
      </w:pPr>
      <w:r>
        <w:rPr>
          <w:rFonts w:ascii="宋体" w:hAnsi="宋体"/>
          <w:color w:val="000000"/>
          <w:sz w:val="24"/>
        </w:rPr>
        <w:t>6</w:t>
      </w:r>
      <w:r>
        <w:rPr>
          <w:rFonts w:hint="eastAsia" w:ascii="宋体" w:hAnsi="宋体"/>
          <w:color w:val="000000"/>
          <w:sz w:val="24"/>
        </w:rPr>
        <w:t>、“书面形式”包括信函、传真等。</w:t>
      </w:r>
    </w:p>
    <w:p>
      <w:pPr>
        <w:snapToGrid w:val="0"/>
        <w:spacing w:line="360" w:lineRule="auto"/>
        <w:ind w:firstLine="566" w:firstLineChars="236"/>
        <w:jc w:val="left"/>
        <w:rPr>
          <w:rFonts w:ascii="宋体"/>
          <w:color w:val="000000"/>
          <w:sz w:val="24"/>
        </w:rPr>
      </w:pPr>
      <w:r>
        <w:rPr>
          <w:rFonts w:ascii="宋体" w:hAnsi="宋体"/>
          <w:color w:val="000000"/>
          <w:sz w:val="24"/>
        </w:rPr>
        <w:t>7</w:t>
      </w:r>
      <w:r>
        <w:rPr>
          <w:rFonts w:hint="eastAsia" w:ascii="宋体" w:hAnsi="宋体"/>
          <w:color w:val="000000"/>
          <w:sz w:val="24"/>
        </w:rPr>
        <w:t>、“▲”系指实质性要求条款。</w:t>
      </w:r>
    </w:p>
    <w:p>
      <w:pPr>
        <w:snapToGrid w:val="0"/>
        <w:spacing w:before="156" w:beforeLines="50" w:line="360" w:lineRule="auto"/>
        <w:ind w:firstLine="472" w:firstLineChars="196"/>
        <w:jc w:val="left"/>
        <w:outlineLvl w:val="1"/>
        <w:rPr>
          <w:rFonts w:ascii="宋体"/>
          <w:b/>
          <w:color w:val="000000"/>
          <w:sz w:val="24"/>
        </w:rPr>
      </w:pPr>
      <w:r>
        <w:rPr>
          <w:rFonts w:hint="eastAsia" w:ascii="宋体" w:hAnsi="宋体"/>
          <w:b/>
          <w:color w:val="000000"/>
          <w:sz w:val="24"/>
        </w:rPr>
        <w:t>（三）投标费用</w:t>
      </w:r>
    </w:p>
    <w:p>
      <w:pPr>
        <w:snapToGrid w:val="0"/>
        <w:spacing w:line="360" w:lineRule="auto"/>
        <w:ind w:firstLine="480" w:firstLineChars="200"/>
        <w:jc w:val="left"/>
        <w:rPr>
          <w:rFonts w:ascii="宋体"/>
          <w:sz w:val="24"/>
        </w:rPr>
      </w:pPr>
      <w:r>
        <w:rPr>
          <w:rFonts w:hint="eastAsia" w:ascii="宋体" w:hAnsi="宋体"/>
          <w:sz w:val="24"/>
        </w:rPr>
        <w:t>不论投标结果如何，投标人均应自行承担所有与投标有关的全部费用（招标文件有相关规定除外）。</w:t>
      </w:r>
    </w:p>
    <w:p>
      <w:pPr>
        <w:pStyle w:val="15"/>
        <w:snapToGrid w:val="0"/>
        <w:spacing w:line="360" w:lineRule="auto"/>
        <w:ind w:left="2" w:leftChars="1" w:firstLine="482" w:firstLineChars="200"/>
        <w:rPr>
          <w:rFonts w:hAnsi="宋体"/>
          <w:b/>
          <w:sz w:val="24"/>
        </w:rPr>
      </w:pPr>
      <w:r>
        <w:rPr>
          <w:rFonts w:hint="eastAsia" w:hAnsi="宋体"/>
          <w:b/>
          <w:sz w:val="24"/>
        </w:rPr>
        <w:t>（四）特别说明</w:t>
      </w:r>
    </w:p>
    <w:p>
      <w:pPr>
        <w:pStyle w:val="15"/>
        <w:snapToGrid w:val="0"/>
        <w:spacing w:line="360" w:lineRule="auto"/>
        <w:ind w:left="2" w:leftChars="1" w:firstLine="480" w:firstLineChars="200"/>
        <w:rPr>
          <w:rFonts w:hAnsi="宋体"/>
          <w:sz w:val="24"/>
        </w:rPr>
      </w:pPr>
      <w:r>
        <w:rPr>
          <w:rFonts w:hAnsi="宋体"/>
          <w:sz w:val="24"/>
        </w:rPr>
        <w:t>1</w:t>
      </w:r>
      <w:r>
        <w:rPr>
          <w:rFonts w:hint="eastAsia" w:hAnsi="宋体"/>
          <w:sz w:val="24"/>
        </w:rPr>
        <w:t>、投标人投标所使用的资格、信誉、荣誉、业绩与企业认证必须为本法人所拥有。投标人投标所使用的采购项目实施人员必须为本法人员工（指本法人正式员工）。</w:t>
      </w:r>
      <w:r>
        <w:rPr>
          <w:rFonts w:ascii="宋体" w:hAnsi="宋体" w:eastAsia="宋体" w:cs="宋体"/>
          <w:sz w:val="24"/>
          <w:szCs w:val="24"/>
        </w:rPr>
        <w:t>▲其中涉及资格条件的如非本法人所拥有，则投标无效。</w:t>
      </w:r>
    </w:p>
    <w:p>
      <w:pPr>
        <w:spacing w:line="360" w:lineRule="auto"/>
        <w:ind w:firstLine="480" w:firstLineChars="200"/>
        <w:rPr>
          <w:rFonts w:ascii="宋体"/>
          <w:sz w:val="24"/>
        </w:rPr>
      </w:pPr>
      <w:r>
        <w:rPr>
          <w:rFonts w:ascii="宋体" w:hAnsi="宋体"/>
          <w:sz w:val="24"/>
        </w:rPr>
        <w:t>2</w:t>
      </w:r>
      <w:r>
        <w:rPr>
          <w:rFonts w:hint="eastAsia" w:ascii="宋体" w:hAnsi="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sz w:val="24"/>
        </w:rPr>
        <w:tab/>
      </w:r>
    </w:p>
    <w:p>
      <w:pPr>
        <w:pStyle w:val="58"/>
        <w:snapToGrid w:val="0"/>
        <w:spacing w:line="360" w:lineRule="auto"/>
        <w:ind w:firstLineChars="0"/>
        <w:rPr>
          <w:rFonts w:ascii="宋体"/>
          <w:sz w:val="24"/>
          <w:szCs w:val="24"/>
        </w:rPr>
      </w:pPr>
      <w:r>
        <w:rPr>
          <w:rFonts w:ascii="宋体" w:hAnsi="宋体" w:eastAsia="宋体" w:cs="宋体"/>
          <w:sz w:val="24"/>
          <w:szCs w:val="24"/>
        </w:rPr>
        <w:t>▲</w:t>
      </w:r>
      <w:r>
        <w:rPr>
          <w:rFonts w:ascii="宋体" w:hAnsi="宋体"/>
          <w:sz w:val="24"/>
          <w:szCs w:val="24"/>
        </w:rPr>
        <w:t>3</w:t>
      </w:r>
      <w:r>
        <w:rPr>
          <w:rFonts w:hint="eastAsia" w:ascii="宋体" w:hAnsi="宋体"/>
          <w:sz w:val="24"/>
          <w:szCs w:val="24"/>
        </w:rPr>
        <w:t>、投标人在投标活动中提供任何虚假材料</w:t>
      </w:r>
      <w:r>
        <w:rPr>
          <w:rFonts w:ascii="宋体"/>
          <w:sz w:val="24"/>
          <w:szCs w:val="24"/>
        </w:rPr>
        <w:t>,</w:t>
      </w:r>
      <w:r>
        <w:rPr>
          <w:rFonts w:hint="eastAsia" w:ascii="宋体" w:hAnsi="宋体"/>
          <w:sz w:val="24"/>
          <w:szCs w:val="24"/>
        </w:rPr>
        <w:t>其投标无效，并报监管部门查处；中标后发现的</w:t>
      </w:r>
      <w:r>
        <w:rPr>
          <w:rFonts w:ascii="宋体"/>
          <w:sz w:val="24"/>
          <w:szCs w:val="24"/>
        </w:rPr>
        <w:t>,</w:t>
      </w:r>
      <w:r>
        <w:rPr>
          <w:rFonts w:hint="eastAsia" w:ascii="宋体" w:hAnsi="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keepNext w:val="0"/>
        <w:keepLines w:val="0"/>
        <w:tabs>
          <w:tab w:val="left" w:pos="851"/>
        </w:tabs>
        <w:autoSpaceDE w:val="0"/>
        <w:autoSpaceDN w:val="0"/>
        <w:adjustRightInd w:val="0"/>
        <w:snapToGrid w:val="0"/>
        <w:spacing w:before="0" w:after="0" w:line="360" w:lineRule="auto"/>
        <w:ind w:firstLine="482" w:firstLineChars="200"/>
        <w:rPr>
          <w:rFonts w:ascii="宋体"/>
          <w:b w:val="0"/>
          <w:bCs w:val="0"/>
          <w:sz w:val="24"/>
          <w:szCs w:val="24"/>
        </w:rPr>
      </w:pPr>
      <w:r>
        <w:rPr>
          <w:rFonts w:ascii="宋体" w:hAnsi="宋体" w:eastAsia="宋体" w:cs="宋体"/>
          <w:sz w:val="24"/>
          <w:szCs w:val="24"/>
        </w:rPr>
        <w:t>▲</w:t>
      </w:r>
      <w:r>
        <w:rPr>
          <w:rFonts w:ascii="宋体" w:hAnsi="宋体"/>
          <w:b w:val="0"/>
          <w:bCs w:val="0"/>
          <w:sz w:val="24"/>
          <w:szCs w:val="24"/>
        </w:rPr>
        <w:t>4</w:t>
      </w:r>
      <w:r>
        <w:rPr>
          <w:rFonts w:hint="eastAsia" w:ascii="宋体" w:hAnsi="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82" w:firstLineChars="200"/>
        <w:rPr>
          <w:rFonts w:ascii="宋体"/>
          <w:b w:val="0"/>
          <w:bCs w:val="0"/>
          <w:sz w:val="24"/>
          <w:szCs w:val="24"/>
        </w:rPr>
      </w:pPr>
      <w:r>
        <w:rPr>
          <w:rFonts w:ascii="宋体" w:hAnsi="宋体" w:eastAsia="宋体" w:cs="宋体"/>
          <w:sz w:val="24"/>
          <w:szCs w:val="24"/>
        </w:rPr>
        <w:t>▲</w:t>
      </w:r>
      <w:r>
        <w:rPr>
          <w:rFonts w:ascii="宋体" w:hAnsi="宋体"/>
          <w:b w:val="0"/>
          <w:bCs w:val="0"/>
          <w:sz w:val="24"/>
          <w:szCs w:val="24"/>
        </w:rPr>
        <w:t>5</w:t>
      </w:r>
      <w:r>
        <w:rPr>
          <w:rFonts w:hint="eastAsia" w:ascii="宋体" w:hAnsi="宋体"/>
          <w:b w:val="0"/>
          <w:bCs w:val="0"/>
          <w:sz w:val="24"/>
          <w:szCs w:val="24"/>
        </w:rPr>
        <w:t>、为采购项目提供整体设计、规范编制或者项目管理、监理、检测等服务的供应商，不得再参加该采购项目的其他采购活动。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sz w:val="24"/>
          <w:szCs w:val="24"/>
        </w:rPr>
      </w:pPr>
      <w:r>
        <w:rPr>
          <w:rFonts w:ascii="宋体" w:hAnsi="宋体"/>
          <w:b w:val="0"/>
          <w:bCs w:val="0"/>
          <w:sz w:val="24"/>
          <w:szCs w:val="24"/>
        </w:rPr>
        <w:t>6</w:t>
      </w:r>
      <w:r>
        <w:rPr>
          <w:rFonts w:hint="eastAsia" w:ascii="宋体" w:hAnsi="宋体"/>
          <w:b w:val="0"/>
          <w:bCs w:val="0"/>
          <w:sz w:val="24"/>
          <w:szCs w:val="24"/>
        </w:rPr>
        <w:t>、投标文件格式中的表格式样可以根据项目差别做适当调整</w:t>
      </w:r>
      <w:r>
        <w:rPr>
          <w:rFonts w:ascii="宋体"/>
          <w:b w:val="0"/>
          <w:bCs w:val="0"/>
          <w:sz w:val="24"/>
          <w:szCs w:val="24"/>
        </w:rPr>
        <w:t>,</w:t>
      </w:r>
      <w:r>
        <w:rPr>
          <w:rFonts w:hint="eastAsia" w:ascii="宋体" w:hAnsi="宋体"/>
          <w:b w:val="0"/>
          <w:bCs w:val="0"/>
          <w:sz w:val="24"/>
          <w:szCs w:val="24"/>
        </w:rPr>
        <w:t>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82" w:firstLineChars="200"/>
        <w:rPr>
          <w:rFonts w:ascii="宋体"/>
          <w:b w:val="0"/>
          <w:bCs w:val="0"/>
          <w:sz w:val="24"/>
          <w:szCs w:val="24"/>
        </w:rPr>
      </w:pPr>
      <w:r>
        <w:rPr>
          <w:rFonts w:ascii="宋体" w:hAnsi="宋体" w:eastAsia="宋体" w:cs="宋体"/>
          <w:sz w:val="24"/>
          <w:szCs w:val="24"/>
        </w:rPr>
        <w:t>▲</w:t>
      </w:r>
      <w:r>
        <w:rPr>
          <w:rFonts w:ascii="宋体" w:hAnsi="宋体"/>
          <w:b w:val="0"/>
          <w:bCs w:val="0"/>
          <w:sz w:val="24"/>
          <w:szCs w:val="24"/>
        </w:rPr>
        <w:t>7</w:t>
      </w:r>
      <w:r>
        <w:rPr>
          <w:rFonts w:hint="eastAsia" w:ascii="宋体" w:hAnsi="宋体"/>
          <w:b w:val="0"/>
          <w:bCs w:val="0"/>
          <w:sz w:val="24"/>
          <w:szCs w:val="24"/>
        </w:rPr>
        <w:t>、单位负责人为同一人或者存在直接控股、管理关系的不同供应商，不得参加同一合同项下的政府采购活动。</w:t>
      </w:r>
    </w:p>
    <w:p>
      <w:pPr>
        <w:pStyle w:val="7"/>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sz w:val="24"/>
          <w:szCs w:val="24"/>
        </w:rPr>
      </w:pPr>
      <w:r>
        <w:rPr>
          <w:rFonts w:ascii="宋体" w:hAnsi="宋体"/>
          <w:b w:val="0"/>
          <w:bCs w:val="0"/>
          <w:sz w:val="24"/>
          <w:szCs w:val="24"/>
        </w:rPr>
        <w:t>8</w:t>
      </w:r>
      <w:r>
        <w:rPr>
          <w:rFonts w:hint="eastAsia" w:ascii="宋体" w:hAnsi="宋体"/>
          <w:b w:val="0"/>
          <w:bCs w:val="0"/>
          <w:sz w:val="24"/>
          <w:szCs w:val="24"/>
        </w:rPr>
        <w:t>、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sz w:val="24"/>
          <w:szCs w:val="24"/>
        </w:rPr>
      </w:pPr>
      <w:r>
        <w:rPr>
          <w:rFonts w:ascii="宋体" w:hAnsi="宋体"/>
          <w:b w:val="0"/>
          <w:bCs w:val="0"/>
          <w:sz w:val="24"/>
          <w:szCs w:val="24"/>
        </w:rPr>
        <w:t>9</w:t>
      </w:r>
      <w:r>
        <w:rPr>
          <w:rFonts w:hint="eastAsia" w:ascii="宋体" w:hAnsi="宋体"/>
          <w:b w:val="0"/>
          <w:bCs w:val="0"/>
          <w:sz w:val="24"/>
          <w:szCs w:val="24"/>
        </w:rPr>
        <w:t>、本项目采用在线投标响应方式，执行《浙江省财政厅关于印发浙江省政府采购项目电子交易管理暂行办法的通知》（浙财采监〔</w:t>
      </w:r>
      <w:r>
        <w:rPr>
          <w:rFonts w:ascii="宋体" w:hAnsi="宋体"/>
          <w:b w:val="0"/>
          <w:bCs w:val="0"/>
          <w:sz w:val="24"/>
          <w:szCs w:val="24"/>
        </w:rPr>
        <w:t>2019</w:t>
      </w:r>
      <w:r>
        <w:rPr>
          <w:rFonts w:hint="eastAsia" w:ascii="宋体" w:hAnsi="宋体"/>
          <w:b w:val="0"/>
          <w:bCs w:val="0"/>
          <w:sz w:val="24"/>
          <w:szCs w:val="24"/>
        </w:rPr>
        <w:t>〕</w:t>
      </w:r>
      <w:r>
        <w:rPr>
          <w:rFonts w:ascii="宋体" w:hAnsi="宋体"/>
          <w:b w:val="0"/>
          <w:bCs w:val="0"/>
          <w:sz w:val="24"/>
          <w:szCs w:val="24"/>
        </w:rPr>
        <w:t xml:space="preserve">10 </w:t>
      </w:r>
      <w:r>
        <w:rPr>
          <w:rFonts w:hint="eastAsia" w:ascii="宋体" w:hAnsi="宋体"/>
          <w:b w:val="0"/>
          <w:bCs w:val="0"/>
          <w:sz w:val="24"/>
          <w:szCs w:val="24"/>
        </w:rPr>
        <w:t>号）等相关规定。</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 w:val="24"/>
        </w:rPr>
      </w:pPr>
      <w:r>
        <w:rPr>
          <w:rFonts w:hint="eastAsia" w:ascii="宋体" w:hAnsi="宋体"/>
          <w:b/>
          <w:kern w:val="0"/>
          <w:sz w:val="24"/>
        </w:rPr>
        <w:t>二、招标文件</w:t>
      </w:r>
    </w:p>
    <w:p>
      <w:pPr>
        <w:autoSpaceDE w:val="0"/>
        <w:autoSpaceDN w:val="0"/>
        <w:adjustRightInd w:val="0"/>
        <w:spacing w:line="360" w:lineRule="auto"/>
        <w:rPr>
          <w:rFonts w:ascii="宋体"/>
          <w:kern w:val="0"/>
          <w:sz w:val="24"/>
        </w:rPr>
      </w:pPr>
      <w:r>
        <w:rPr>
          <w:rFonts w:hint="eastAsia" w:ascii="宋体" w:hAnsi="宋体"/>
          <w:kern w:val="0"/>
          <w:sz w:val="24"/>
        </w:rPr>
        <w:t>（一）招标文件由招标文件总目录所列内容组成。</w:t>
      </w:r>
    </w:p>
    <w:p>
      <w:pPr>
        <w:autoSpaceDE w:val="0"/>
        <w:autoSpaceDN w:val="0"/>
        <w:adjustRightInd w:val="0"/>
        <w:spacing w:line="360" w:lineRule="auto"/>
        <w:ind w:firstLine="360" w:firstLineChars="150"/>
        <w:rPr>
          <w:rFonts w:ascii="宋体"/>
          <w:kern w:val="0"/>
          <w:sz w:val="24"/>
        </w:rPr>
      </w:pPr>
      <w:r>
        <w:rPr>
          <w:rFonts w:hint="eastAsia" w:ascii="宋体" w:hAnsi="宋体"/>
          <w:kern w:val="0"/>
          <w:sz w:val="24"/>
        </w:rPr>
        <w:t>（二）招标文件的澄清或修改</w:t>
      </w:r>
    </w:p>
    <w:p>
      <w:pPr>
        <w:autoSpaceDE w:val="0"/>
        <w:autoSpaceDN w:val="0"/>
        <w:adjustRightInd w:val="0"/>
        <w:spacing w:line="360" w:lineRule="auto"/>
        <w:ind w:firstLine="420" w:firstLineChars="175"/>
        <w:rPr>
          <w:rFonts w:ascii="宋体"/>
          <w:kern w:val="0"/>
          <w:sz w:val="24"/>
        </w:rPr>
      </w:pPr>
      <w:r>
        <w:rPr>
          <w:rFonts w:ascii="宋体" w:hAnsi="宋体"/>
          <w:kern w:val="0"/>
          <w:sz w:val="24"/>
        </w:rPr>
        <w:t>1</w:t>
      </w:r>
      <w:r>
        <w:rPr>
          <w:rFonts w:hint="eastAsia" w:ascii="宋体" w:hAnsi="宋体"/>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kern w:val="0"/>
          <w:sz w:val="24"/>
        </w:rPr>
        <w:t>15</w:t>
      </w:r>
      <w:r>
        <w:rPr>
          <w:rFonts w:hint="eastAsia" w:ascii="宋体" w:hAnsi="宋体"/>
          <w:kern w:val="0"/>
          <w:sz w:val="24"/>
        </w:rPr>
        <w:t>日前，在原公告发布媒体上发布澄清公告，澄清或者修改的内容为招标文件的组成部分；不足</w:t>
      </w:r>
      <w:r>
        <w:rPr>
          <w:rFonts w:ascii="宋体" w:hAnsi="宋体"/>
          <w:kern w:val="0"/>
          <w:sz w:val="24"/>
        </w:rPr>
        <w:t>15</w:t>
      </w:r>
      <w:r>
        <w:rPr>
          <w:rFonts w:hint="eastAsia" w:ascii="宋体" w:hAnsi="宋体"/>
          <w:kern w:val="0"/>
          <w:sz w:val="24"/>
        </w:rPr>
        <w:t>日的，采购人或者采购组织机构应当顺延提交投标文件的截止时间。</w:t>
      </w:r>
    </w:p>
    <w:p>
      <w:pPr>
        <w:autoSpaceDE w:val="0"/>
        <w:autoSpaceDN w:val="0"/>
        <w:adjustRightInd w:val="0"/>
        <w:spacing w:line="360" w:lineRule="auto"/>
        <w:ind w:firstLine="480"/>
        <w:rPr>
          <w:rFonts w:ascii="宋体"/>
          <w:kern w:val="0"/>
          <w:sz w:val="24"/>
        </w:rPr>
      </w:pPr>
      <w:r>
        <w:rPr>
          <w:rFonts w:ascii="宋体" w:hAnsi="宋体"/>
          <w:kern w:val="0"/>
          <w:sz w:val="24"/>
        </w:rPr>
        <w:t>2</w:t>
      </w:r>
      <w:r>
        <w:rPr>
          <w:rFonts w:hint="eastAsia" w:ascii="宋体" w:hAnsi="宋体"/>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b/>
          <w:kern w:val="0"/>
          <w:sz w:val="24"/>
        </w:rPr>
      </w:pPr>
      <w:r>
        <w:rPr>
          <w:rFonts w:hint="eastAsia" w:ascii="宋体" w:hAnsi="宋体"/>
          <w:b/>
          <w:kern w:val="0"/>
          <w:sz w:val="24"/>
        </w:rPr>
        <w:t>三、投标文件</w:t>
      </w:r>
    </w:p>
    <w:p>
      <w:pPr>
        <w:autoSpaceDE w:val="0"/>
        <w:autoSpaceDN w:val="0"/>
        <w:adjustRightInd w:val="0"/>
        <w:spacing w:line="360" w:lineRule="auto"/>
        <w:ind w:firstLine="482" w:firstLineChars="200"/>
        <w:rPr>
          <w:rFonts w:ascii="宋体"/>
          <w:b/>
          <w:bCs/>
          <w:kern w:val="0"/>
          <w:sz w:val="24"/>
        </w:rPr>
      </w:pPr>
      <w:r>
        <w:rPr>
          <w:rFonts w:hint="eastAsia" w:ascii="宋体"/>
          <w:b/>
          <w:color w:val="000000"/>
          <w:sz w:val="24"/>
          <w:lang w:val="zh-CN"/>
        </w:rPr>
        <w:t>（一）</w:t>
      </w:r>
      <w:r>
        <w:rPr>
          <w:rFonts w:hint="eastAsia" w:ascii="宋体" w:hAnsi="宋体"/>
          <w:b/>
          <w:bCs/>
          <w:kern w:val="0"/>
          <w:sz w:val="24"/>
        </w:rPr>
        <w:t>投标文件的组成</w:t>
      </w:r>
    </w:p>
    <w:p>
      <w:pPr>
        <w:snapToGrid w:val="0"/>
        <w:spacing w:line="360" w:lineRule="auto"/>
        <w:ind w:firstLine="480" w:firstLineChars="200"/>
        <w:rPr>
          <w:rFonts w:ascii="仿宋_GB2312" w:hAnsi="仿宋_GB2312" w:eastAsia="仿宋_GB2312" w:cs="仿宋_GB2312"/>
          <w:sz w:val="24"/>
          <w:lang w:val="zh-CN"/>
        </w:rPr>
      </w:pPr>
      <w:r>
        <w:rPr>
          <w:rFonts w:hint="eastAsia" w:ascii="宋体" w:hAnsi="宋体"/>
          <w:kern w:val="0"/>
          <w:sz w:val="24"/>
        </w:rPr>
        <w:t>投标人接到招标文件后，按照采购组织机构的要求提供：资格证明文件、商务与技术文件和报价文件。</w:t>
      </w:r>
    </w:p>
    <w:p>
      <w:pPr>
        <w:snapToGrid w:val="0"/>
        <w:spacing w:line="360" w:lineRule="auto"/>
        <w:ind w:firstLine="482" w:firstLineChars="200"/>
        <w:rPr>
          <w:rFonts w:ascii="宋体"/>
          <w:kern w:val="0"/>
          <w:sz w:val="24"/>
        </w:rPr>
      </w:pPr>
      <w:r>
        <w:rPr>
          <w:rFonts w:hint="eastAsia" w:ascii="宋体" w:hAnsi="宋体" w:cs="宋体"/>
          <w:b/>
          <w:sz w:val="24"/>
        </w:rPr>
        <w:t>▲</w:t>
      </w:r>
      <w:r>
        <w:rPr>
          <w:rFonts w:ascii="宋体" w:hAnsi="宋体"/>
          <w:b/>
          <w:sz w:val="24"/>
        </w:rPr>
        <w:t>1</w:t>
      </w:r>
      <w:r>
        <w:rPr>
          <w:rFonts w:hint="eastAsia" w:ascii="宋体" w:hAnsi="宋体"/>
          <w:b/>
          <w:sz w:val="24"/>
        </w:rPr>
        <w:t>、资格证明文件</w:t>
      </w:r>
      <w:r>
        <w:rPr>
          <w:rFonts w:hint="eastAsia" w:ascii="宋体" w:hAnsi="宋体"/>
          <w:b/>
          <w:color w:val="000000"/>
          <w:sz w:val="24"/>
        </w:rPr>
        <w:t>的组成：</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hint="eastAsia" w:ascii="宋体" w:hAnsi="宋体" w:cs="宋体"/>
          <w:sz w:val="24"/>
          <w:szCs w:val="24"/>
        </w:rPr>
        <w:t>声明书</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olor w:val="000000"/>
          <w:kern w:val="0"/>
          <w:sz w:val="24"/>
        </w:rPr>
        <w:t>（2）</w:t>
      </w:r>
      <w:r>
        <w:rPr>
          <w:rFonts w:hint="eastAsia" w:ascii="宋体" w:hAnsi="宋体" w:cs="宋体"/>
          <w:sz w:val="24"/>
          <w:szCs w:val="24"/>
        </w:rPr>
        <w:t>授权委托书（法定代表人亲自办理投标事宜的，则无需提交)</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olor w:val="000000"/>
          <w:kern w:val="0"/>
          <w:sz w:val="24"/>
        </w:rPr>
        <w:t>（3）</w:t>
      </w:r>
      <w:r>
        <w:rPr>
          <w:rFonts w:hint="eastAsia" w:ascii="宋体" w:hAnsi="宋体" w:cs="宋体"/>
          <w:sz w:val="24"/>
          <w:szCs w:val="24"/>
        </w:rPr>
        <w:t>法人或者其他组织的营业执照等证明文件，自然人的身份证明</w:t>
      </w:r>
    </w:p>
    <w:p>
      <w:pPr>
        <w:widowControl/>
        <w:spacing w:line="360" w:lineRule="auto"/>
        <w:ind w:right="60" w:firstLine="480" w:firstLineChars="200"/>
        <w:jc w:val="left"/>
        <w:outlineLvl w:val="0"/>
        <w:rPr>
          <w:rFonts w:ascii="宋体" w:hAnsi="宋体" w:cs="宋体"/>
          <w:sz w:val="24"/>
        </w:rPr>
      </w:pPr>
      <w:r>
        <w:rPr>
          <w:rFonts w:hint="eastAsia" w:ascii="宋体" w:hAnsi="宋体"/>
          <w:color w:val="000000"/>
          <w:kern w:val="0"/>
          <w:sz w:val="24"/>
        </w:rPr>
        <w:t>（4）</w:t>
      </w:r>
      <w:r>
        <w:rPr>
          <w:rFonts w:hint="eastAsia" w:ascii="宋体" w:hAnsi="宋体" w:cs="宋体"/>
          <w:sz w:val="24"/>
        </w:rPr>
        <w:t>提供关于供应商财务状况和依法缴纳税收及社会保障资金的书面承诺；</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olor w:val="000000"/>
          <w:kern w:val="0"/>
          <w:sz w:val="24"/>
        </w:rPr>
        <w:t>（5）</w:t>
      </w:r>
      <w:r>
        <w:rPr>
          <w:rFonts w:hint="eastAsia" w:ascii="宋体" w:hAnsi="宋体" w:cs="宋体"/>
          <w:sz w:val="24"/>
          <w:szCs w:val="24"/>
        </w:rPr>
        <w:t>未被“信用中国”（www.creditchina.gov.cn）、中国政府采购网（www.ccgp.gov.cn）列入失信被执行人、重大税收违法案件当事人名单、政府采购严重违法失信行为记录名单证明</w:t>
      </w:r>
    </w:p>
    <w:p>
      <w:pPr>
        <w:widowControl/>
        <w:spacing w:line="360" w:lineRule="auto"/>
        <w:ind w:right="60" w:firstLine="480" w:firstLineChars="200"/>
        <w:jc w:val="left"/>
        <w:outlineLvl w:val="0"/>
        <w:rPr>
          <w:rFonts w:ascii="宋体" w:hAnsi="宋体"/>
          <w:color w:val="000000"/>
          <w:kern w:val="0"/>
          <w:sz w:val="24"/>
        </w:rPr>
      </w:pPr>
      <w:r>
        <w:rPr>
          <w:rFonts w:hint="eastAsia" w:ascii="宋体" w:hAnsi="宋体"/>
          <w:color w:val="000000"/>
          <w:kern w:val="0"/>
          <w:sz w:val="24"/>
        </w:rPr>
        <w:t>（6）具备履行合同所必需的设备和专业技术能力的承诺函</w:t>
      </w:r>
    </w:p>
    <w:p>
      <w:pPr>
        <w:widowControl/>
        <w:spacing w:line="360" w:lineRule="auto"/>
        <w:ind w:right="60" w:firstLine="480" w:firstLineChars="200"/>
        <w:jc w:val="left"/>
        <w:outlineLvl w:val="0"/>
        <w:rPr>
          <w:rFonts w:ascii="宋体" w:hAnsi="宋体"/>
          <w:color w:val="000000"/>
          <w:kern w:val="0"/>
          <w:sz w:val="24"/>
        </w:rPr>
      </w:pPr>
      <w:r>
        <w:rPr>
          <w:rFonts w:hint="eastAsia" w:ascii="宋体" w:hAnsi="宋体"/>
          <w:color w:val="000000"/>
          <w:kern w:val="0"/>
          <w:sz w:val="24"/>
        </w:rPr>
        <w:t>（7）中小企业等声明函</w:t>
      </w:r>
    </w:p>
    <w:p>
      <w:pPr>
        <w:widowControl/>
        <w:spacing w:line="360" w:lineRule="auto"/>
        <w:ind w:right="60" w:firstLine="480" w:firstLineChars="200"/>
        <w:jc w:val="left"/>
        <w:outlineLvl w:val="0"/>
        <w:rPr>
          <w:rFonts w:ascii="宋体" w:hAnsi="宋体"/>
          <w:color w:val="000000"/>
          <w:kern w:val="0"/>
          <w:sz w:val="24"/>
        </w:rPr>
      </w:pPr>
      <w:r>
        <w:rPr>
          <w:rFonts w:hint="eastAsia" w:ascii="宋体" w:hAnsi="宋体"/>
          <w:color w:val="000000"/>
          <w:kern w:val="0"/>
          <w:sz w:val="24"/>
        </w:rPr>
        <w:t>（8）针对采购政策要求提供的说明</w:t>
      </w:r>
    </w:p>
    <w:p>
      <w:pPr>
        <w:widowControl/>
        <w:spacing w:line="360" w:lineRule="auto"/>
        <w:ind w:right="60" w:firstLine="480" w:firstLineChars="200"/>
        <w:jc w:val="left"/>
        <w:outlineLvl w:val="0"/>
        <w:rPr>
          <w:rFonts w:hint="eastAsia" w:ascii="宋体" w:hAnsi="宋体" w:eastAsia="宋体" w:cs="Times New Roman"/>
          <w:color w:val="000000"/>
          <w:kern w:val="0"/>
          <w:sz w:val="24"/>
          <w:lang w:eastAsia="zh-CN"/>
        </w:rPr>
      </w:pPr>
      <w:r>
        <w:rPr>
          <w:rFonts w:hint="eastAsia" w:ascii="宋体" w:hAnsi="宋体"/>
          <w:color w:val="000000"/>
          <w:kern w:val="0"/>
          <w:sz w:val="24"/>
        </w:rPr>
        <w:t>（9）本项目特</w:t>
      </w:r>
      <w:r>
        <w:rPr>
          <w:rFonts w:hint="eastAsia" w:ascii="宋体" w:hAnsi="宋体"/>
          <w:color w:val="000000"/>
          <w:kern w:val="0"/>
          <w:sz w:val="24"/>
          <w:lang w:val="en-US" w:eastAsia="zh-CN"/>
        </w:rPr>
        <w:t>定</w:t>
      </w:r>
      <w:r>
        <w:rPr>
          <w:rFonts w:hint="eastAsia" w:ascii="宋体" w:hAnsi="宋体"/>
          <w:color w:val="000000"/>
          <w:kern w:val="0"/>
          <w:sz w:val="24"/>
        </w:rPr>
        <w:t>资格要求证明</w:t>
      </w:r>
      <w:r>
        <w:rPr>
          <w:rFonts w:hint="eastAsia" w:ascii="宋体" w:hAnsi="宋体" w:eastAsia="宋体" w:cs="Times New Roman"/>
          <w:color w:val="000000"/>
          <w:kern w:val="0"/>
          <w:sz w:val="24"/>
          <w:lang w:eastAsia="zh-CN"/>
        </w:rPr>
        <w:t>（</w:t>
      </w:r>
      <w:r>
        <w:rPr>
          <w:rFonts w:hint="eastAsia" w:ascii="宋体" w:hAnsi="宋体" w:eastAsia="宋体" w:cs="Times New Roman"/>
          <w:color w:val="000000"/>
          <w:kern w:val="0"/>
          <w:sz w:val="24"/>
        </w:rPr>
        <w:t>同时具备省土地学会颁发的土地规划乙级（含准乙级）及以上资质证书和测绘乙级及以上资质证书</w:t>
      </w:r>
      <w:r>
        <w:rPr>
          <w:rFonts w:hint="eastAsia" w:ascii="宋体" w:hAnsi="宋体" w:cs="Times New Roman"/>
          <w:color w:val="000000"/>
          <w:kern w:val="0"/>
          <w:sz w:val="24"/>
          <w:lang w:eastAsia="zh-CN"/>
        </w:rPr>
        <w:t>）</w:t>
      </w:r>
    </w:p>
    <w:p>
      <w:pPr>
        <w:widowControl/>
        <w:spacing w:line="360" w:lineRule="auto"/>
        <w:ind w:right="60" w:firstLine="480" w:firstLineChars="200"/>
        <w:jc w:val="left"/>
        <w:outlineLvl w:val="0"/>
      </w:pPr>
      <w:r>
        <w:rPr>
          <w:rFonts w:hint="eastAsia" w:ascii="宋体" w:hAnsi="宋体"/>
          <w:color w:val="000000"/>
          <w:kern w:val="0"/>
          <w:sz w:val="24"/>
        </w:rPr>
        <w:t>（10）非联合体投标申明</w:t>
      </w:r>
    </w:p>
    <w:p>
      <w:pPr>
        <w:pStyle w:val="11"/>
        <w:widowControl/>
        <w:adjustRightInd w:val="0"/>
        <w:snapToGrid w:val="0"/>
        <w:spacing w:line="360" w:lineRule="auto"/>
        <w:ind w:firstLine="482" w:firstLineChars="200"/>
        <w:rPr>
          <w:rFonts w:ascii="宋体"/>
          <w:b/>
          <w:color w:val="000000"/>
          <w:sz w:val="24"/>
        </w:rPr>
      </w:pPr>
      <w:r>
        <w:rPr>
          <w:rFonts w:hint="eastAsia" w:ascii="宋体" w:hAnsi="宋体"/>
          <w:b/>
          <w:color w:val="000000"/>
          <w:sz w:val="24"/>
        </w:rPr>
        <w:t>商务与技术文件的组成：</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投标人情况介绍</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投标人类似业绩情况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投标人企业实力情况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项目实施人员安排情况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项目理解情况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项目重难点分析及解决方案情况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项目具体工作内容及实施计划安排情况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投标人服务能力情况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投标人保密措施情况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投标人售后服务情况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项目的响应情况</w:t>
      </w:r>
    </w:p>
    <w:p>
      <w:pPr>
        <w:pStyle w:val="11"/>
        <w:widowControl/>
        <w:numPr>
          <w:ilvl w:val="0"/>
          <w:numId w:val="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投标人需要说明的其他内容。（如有）</w:t>
      </w:r>
    </w:p>
    <w:p>
      <w:pPr>
        <w:pStyle w:val="11"/>
        <w:widowControl/>
        <w:adjustRightInd w:val="0"/>
        <w:snapToGrid w:val="0"/>
        <w:spacing w:line="360" w:lineRule="auto"/>
        <w:ind w:firstLine="482" w:firstLineChars="200"/>
        <w:rPr>
          <w:rFonts w:ascii="宋体"/>
          <w:b/>
          <w:kern w:val="0"/>
          <w:sz w:val="24"/>
        </w:rPr>
      </w:pPr>
      <w:r>
        <w:rPr>
          <w:rFonts w:ascii="宋体" w:hAnsi="宋体"/>
          <w:b/>
          <w:kern w:val="0"/>
          <w:sz w:val="24"/>
        </w:rPr>
        <w:t>3</w:t>
      </w:r>
      <w:r>
        <w:rPr>
          <w:rFonts w:hint="eastAsia" w:ascii="宋体" w:hAnsi="宋体"/>
          <w:b/>
          <w:kern w:val="0"/>
          <w:sz w:val="24"/>
        </w:rPr>
        <w:t>、报价文件的组成</w:t>
      </w:r>
    </w:p>
    <w:p>
      <w:pPr>
        <w:autoSpaceDE w:val="0"/>
        <w:autoSpaceDN w:val="0"/>
        <w:adjustRightInd w:val="0"/>
        <w:spacing w:line="360" w:lineRule="auto"/>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）报价文件由开标一览表以及投标人认为其他需要说明的内容组成。</w:t>
      </w:r>
    </w:p>
    <w:p>
      <w:pPr>
        <w:autoSpaceDE w:val="0"/>
        <w:autoSpaceDN w:val="0"/>
        <w:adjustRightInd w:val="0"/>
        <w:spacing w:line="360" w:lineRule="auto"/>
        <w:ind w:firstLine="480" w:firstLineChars="200"/>
        <w:rPr>
          <w:rFonts w:ascii="宋体"/>
          <w:color w:val="000000"/>
          <w:kern w:val="0"/>
          <w:sz w:val="24"/>
        </w:rPr>
      </w:pPr>
      <w:r>
        <w:rPr>
          <w:rFonts w:hint="eastAsia" w:ascii="宋体" w:hAnsi="宋体"/>
          <w:color w:val="000000"/>
          <w:kern w:val="0"/>
          <w:sz w:val="24"/>
          <w:lang w:val="en-US" w:eastAsia="zh-CN"/>
        </w:rPr>
        <w:t>▲</w:t>
      </w: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）此报价为投标人一次性报出唯一的最终价格，包含其它一切所要涉及到的费用，有选择的</w:t>
      </w:r>
      <w:r>
        <w:rPr>
          <w:rFonts w:hint="eastAsia" w:ascii="宋体" w:hAnsi="宋体"/>
          <w:color w:val="000000"/>
          <w:kern w:val="0"/>
          <w:sz w:val="24"/>
          <w:lang w:eastAsia="zh-CN"/>
        </w:rPr>
        <w:t>、</w:t>
      </w:r>
      <w:r>
        <w:rPr>
          <w:rFonts w:hint="eastAsia" w:ascii="宋体" w:hAnsi="宋体"/>
          <w:color w:val="000000"/>
          <w:kern w:val="0"/>
          <w:sz w:val="24"/>
          <w:lang w:val="en-US" w:eastAsia="zh-CN"/>
        </w:rPr>
        <w:t>附条件的</w:t>
      </w:r>
      <w:r>
        <w:rPr>
          <w:rFonts w:hint="eastAsia" w:ascii="宋体" w:hAnsi="宋体"/>
          <w:color w:val="000000"/>
          <w:kern w:val="0"/>
          <w:sz w:val="24"/>
        </w:rPr>
        <w:t>报价将被拒绝。</w:t>
      </w:r>
    </w:p>
    <w:p>
      <w:pPr>
        <w:autoSpaceDE w:val="0"/>
        <w:autoSpaceDN w:val="0"/>
        <w:adjustRightInd w:val="0"/>
        <w:spacing w:line="360" w:lineRule="auto"/>
        <w:ind w:firstLine="480" w:firstLineChars="200"/>
        <w:rPr>
          <w:rFonts w:hint="eastAsia" w:ascii="宋体" w:hAnsi="宋体" w:eastAsia="宋体" w:cs="Times New Roman"/>
          <w:color w:val="000000"/>
          <w:kern w:val="0"/>
          <w:sz w:val="24"/>
        </w:rPr>
      </w:pPr>
      <w:r>
        <w:rPr>
          <w:rFonts w:hint="eastAsia" w:ascii="宋体" w:hAnsi="宋体"/>
          <w:color w:val="000000"/>
          <w:kern w:val="0"/>
          <w:sz w:val="24"/>
          <w:lang w:val="zh-CN"/>
        </w:rPr>
        <w:t>（</w:t>
      </w:r>
      <w:r>
        <w:rPr>
          <w:rFonts w:ascii="宋体" w:hAnsi="宋体"/>
          <w:color w:val="000000"/>
          <w:kern w:val="0"/>
          <w:sz w:val="24"/>
        </w:rPr>
        <w:t>3</w:t>
      </w:r>
      <w:r>
        <w:rPr>
          <w:rFonts w:hint="eastAsia" w:ascii="宋体" w:hAnsi="宋体"/>
          <w:color w:val="000000"/>
          <w:kern w:val="0"/>
          <w:sz w:val="24"/>
          <w:lang w:val="zh-CN"/>
        </w:rPr>
        <w:t>）投标报价</w:t>
      </w:r>
      <w:r>
        <w:rPr>
          <w:rFonts w:hint="eastAsia" w:ascii="宋体" w:hAnsi="宋体" w:eastAsia="宋体" w:cs="Times New Roman"/>
          <w:color w:val="000000"/>
          <w:kern w:val="0"/>
          <w:sz w:val="24"/>
          <w:lang w:val="zh-CN"/>
        </w:rPr>
        <w:t>是</w:t>
      </w:r>
      <w:r>
        <w:rPr>
          <w:rFonts w:hint="eastAsia" w:ascii="宋体" w:hAnsi="宋体" w:eastAsia="宋体" w:cs="Times New Roman"/>
          <w:color w:val="000000"/>
          <w:kern w:val="0"/>
          <w:sz w:val="24"/>
        </w:rPr>
        <w:t>包括完成项目内容所需的一切人员工资（聘用人员的工资、津贴、奖金、社保缴费等）、含税金、方案和成果设计阶段的制作、印刷、邮寄、差旅、</w:t>
      </w:r>
      <w:r>
        <w:rPr>
          <w:rFonts w:hint="eastAsia" w:ascii="宋体" w:hAnsi="宋体" w:eastAsia="宋体" w:cs="Times New Roman"/>
          <w:color w:val="000000"/>
          <w:kern w:val="0"/>
          <w:sz w:val="24"/>
          <w:szCs w:val="24"/>
          <w:lang w:val="en-US" w:eastAsia="zh-CN"/>
        </w:rPr>
        <w:t>代理服务费</w:t>
      </w:r>
      <w:r>
        <w:rPr>
          <w:rFonts w:hint="eastAsia" w:ascii="宋体" w:hAnsi="宋体" w:eastAsia="宋体" w:cs="Times New Roman"/>
          <w:color w:val="000000"/>
          <w:kern w:val="0"/>
          <w:sz w:val="24"/>
        </w:rPr>
        <w:t>、会务费、知识产权、税费、利润等完成合同所需的一切本身和不可或缺的所有工作开支、政策性文件规定及合同包含的所有风险、责任等各项全部费用并承担一切风险责任。</w:t>
      </w:r>
    </w:p>
    <w:p>
      <w:pPr>
        <w:autoSpaceDE w:val="0"/>
        <w:autoSpaceDN w:val="0"/>
        <w:adjustRightInd w:val="0"/>
        <w:spacing w:line="360" w:lineRule="auto"/>
        <w:ind w:firstLine="480" w:firstLineChars="200"/>
        <w:rPr>
          <w:rFonts w:ascii="宋体"/>
          <w:color w:val="000000"/>
          <w:kern w:val="0"/>
          <w:sz w:val="24"/>
        </w:rPr>
      </w:pPr>
      <w:r>
        <w:rPr>
          <w:rFonts w:hint="eastAsia" w:ascii="宋体" w:hAnsi="宋体" w:eastAsia="宋体" w:cs="Times New Roman"/>
          <w:color w:val="000000"/>
          <w:kern w:val="0"/>
          <w:sz w:val="24"/>
        </w:rPr>
        <w:t>（5）相关报价单需打印或用不</w:t>
      </w:r>
      <w:r>
        <w:rPr>
          <w:rFonts w:hint="eastAsia" w:ascii="宋体" w:hAnsi="宋体" w:eastAsia="宋体" w:cs="Times New Roman"/>
          <w:color w:val="000000"/>
          <w:kern w:val="0"/>
          <w:sz w:val="24"/>
          <w:lang w:val="en-US" w:eastAsia="zh-CN"/>
        </w:rPr>
        <w:t>褪</w:t>
      </w:r>
      <w:r>
        <w:rPr>
          <w:rFonts w:hint="eastAsia" w:ascii="宋体" w:hAnsi="宋体" w:eastAsia="宋体" w:cs="Times New Roman"/>
          <w:color w:val="000000"/>
          <w:kern w:val="0"/>
          <w:sz w:val="24"/>
        </w:rPr>
        <w:t>色的墨水填写</w:t>
      </w:r>
      <w:r>
        <w:rPr>
          <w:rFonts w:hint="eastAsia" w:ascii="宋体" w:hAnsi="宋体"/>
          <w:color w:val="000000"/>
          <w:kern w:val="0"/>
          <w:sz w:val="24"/>
        </w:rPr>
        <w:t>，投标报价单不得涂改和增删，如有错漏必须修改，修改处须由同一签署人签字或盖章</w:t>
      </w:r>
      <w:r>
        <w:rPr>
          <w:rFonts w:hint="eastAsia"/>
          <w:lang w:eastAsia="zh-CN"/>
        </w:rPr>
        <w:t>，</w:t>
      </w:r>
      <w:r>
        <w:rPr>
          <w:rFonts w:hint="eastAsia"/>
          <w:lang w:val="en-US" w:eastAsia="zh-CN"/>
        </w:rPr>
        <w:t>未签字盖章视为修改无效，</w:t>
      </w:r>
      <w:r>
        <w:rPr>
          <w:rFonts w:hint="eastAsia" w:ascii="宋体" w:hAnsi="宋体"/>
          <w:color w:val="000000"/>
          <w:kern w:val="0"/>
          <w:sz w:val="24"/>
        </w:rPr>
        <w:t>由于字迹模糊或表达不清引起的后果由投标人负责。</w:t>
      </w:r>
    </w:p>
    <w:p>
      <w:pPr>
        <w:autoSpaceDE w:val="0"/>
        <w:autoSpaceDN w:val="0"/>
        <w:adjustRightInd w:val="0"/>
        <w:ind w:firstLine="480" w:firstLineChars="200"/>
        <w:rPr>
          <w:rFonts w:ascii="宋体"/>
          <w:color w:val="000000"/>
          <w:sz w:val="24"/>
        </w:rPr>
      </w:pPr>
      <w:r>
        <w:rPr>
          <w:rFonts w:hint="eastAsia" w:ascii="宋体" w:hAnsi="宋体"/>
          <w:color w:val="000000"/>
          <w:sz w:val="24"/>
        </w:rPr>
        <w:t>（</w:t>
      </w:r>
      <w:r>
        <w:rPr>
          <w:rFonts w:ascii="宋体" w:hAnsi="宋体"/>
          <w:color w:val="000000"/>
          <w:kern w:val="0"/>
          <w:sz w:val="24"/>
        </w:rPr>
        <w:t>6</w:t>
      </w:r>
      <w:r>
        <w:rPr>
          <w:rFonts w:hint="eastAsia" w:ascii="宋体" w:hAnsi="宋体"/>
          <w:color w:val="000000"/>
          <w:sz w:val="24"/>
        </w:rPr>
        <w:t>）投标报价应按招标文件中相关附表格式填写。</w:t>
      </w:r>
    </w:p>
    <w:p>
      <w:pPr>
        <w:tabs>
          <w:tab w:val="left" w:pos="1418"/>
        </w:tabs>
        <w:autoSpaceDE w:val="0"/>
        <w:autoSpaceDN w:val="0"/>
        <w:adjustRightInd w:val="0"/>
        <w:spacing w:line="360" w:lineRule="auto"/>
        <w:rPr>
          <w:rFonts w:ascii="宋体"/>
          <w:b/>
          <w:kern w:val="0"/>
          <w:sz w:val="24"/>
        </w:rPr>
      </w:pPr>
      <w:r>
        <w:rPr>
          <w:rFonts w:hint="eastAsia" w:ascii="宋体" w:hAnsi="宋体"/>
          <w:b/>
          <w:kern w:val="0"/>
          <w:sz w:val="24"/>
        </w:rPr>
        <w:t>四、投标文件的制作、封装及递交要求</w:t>
      </w:r>
    </w:p>
    <w:p>
      <w:pPr>
        <w:numPr>
          <w:ilvl w:val="0"/>
          <w:numId w:val="8"/>
        </w:numPr>
        <w:autoSpaceDE w:val="0"/>
        <w:autoSpaceDN w:val="0"/>
        <w:adjustRightInd w:val="0"/>
        <w:spacing w:line="360" w:lineRule="auto"/>
        <w:ind w:firstLine="480"/>
        <w:rPr>
          <w:rFonts w:ascii="宋体"/>
          <w:b/>
          <w:bCs/>
          <w:color w:val="000000"/>
          <w:sz w:val="24"/>
        </w:rPr>
      </w:pPr>
      <w:r>
        <w:rPr>
          <w:rFonts w:hint="eastAsia" w:ascii="宋体" w:hAnsi="宋体"/>
          <w:b/>
          <w:bCs/>
          <w:color w:val="000000"/>
          <w:sz w:val="24"/>
        </w:rPr>
        <w:t>投标文件的制作要求</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1.1</w:t>
      </w:r>
      <w:r>
        <w:rPr>
          <w:rFonts w:hint="eastAsia" w:hAnsi="宋体"/>
          <w:b/>
          <w:bCs/>
          <w:color w:val="000000"/>
          <w:sz w:val="24"/>
        </w:rPr>
        <w:t>本项目通过“政府采购云平台（</w:t>
      </w:r>
      <w:r>
        <w:rPr>
          <w:rFonts w:hAnsi="宋体"/>
          <w:b/>
          <w:bCs/>
          <w:color w:val="000000"/>
          <w:sz w:val="24"/>
        </w:rPr>
        <w:t>www.zcygov.cn</w:t>
      </w:r>
      <w:r>
        <w:rPr>
          <w:rFonts w:hint="eastAsia" w:hAnsi="宋体"/>
          <w:b/>
          <w:bCs/>
          <w:color w:val="000000"/>
          <w:sz w:val="24"/>
        </w:rPr>
        <w:t>）”实行在线投标响应（电子投标）。供应商应通过“政采云电子交易客户端”，并按照本招标文件和“政府采购云平台”的要求编制并加密投标文件。</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1.2 </w:t>
      </w:r>
      <w:r>
        <w:rPr>
          <w:rFonts w:hint="eastAsia" w:hAnsi="宋体"/>
          <w:color w:val="000000"/>
          <w:sz w:val="24"/>
        </w:rPr>
        <w:t>投标供应商应当按照本章节“投标文件组成”规定的内容及顺序在“政采云电子交易客户端”编制投标文件。其中《资格文件》和《商务技术文件》中不得出现本项目投标报价，如因投标供应商原因提前泄露投标报价，相关责任由投标供应商自负。</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1.3 </w:t>
      </w:r>
      <w:r>
        <w:rPr>
          <w:rFonts w:hint="eastAsia" w:hAnsi="宋体"/>
          <w:color w:val="000000"/>
          <w:sz w:val="24"/>
        </w:rPr>
        <w:t>本文件《第六部分投标文件格式》中有提供格式的，投标供应商参照格式进行编制（格式中要求提供相关证明材料的还需后附相关证明材料）；本文件《第六部分投标文件格式》未提供格式的，请各投标单位自行拟定格式。</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1.4 </w:t>
      </w:r>
      <w:r>
        <w:rPr>
          <w:rFonts w:hint="eastAsia" w:hAnsi="宋体"/>
          <w:color w:val="000000"/>
          <w:sz w:val="24"/>
        </w:rPr>
        <w:t>《投标文件》内容不完整、编排混乱导致《投标文件》被误读、漏读或者查找不到相关内容的，相关责任由投标供应商自负。</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1.5 </w:t>
      </w:r>
      <w:r>
        <w:rPr>
          <w:rFonts w:hint="eastAsia" w:hAnsi="宋体"/>
          <w:color w:val="000000"/>
          <w:sz w:val="24"/>
        </w:rPr>
        <w:t>《投标文件》因字迹潦草或表达不清所引起的后果由投标供应商负责。</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1.6 </w:t>
      </w:r>
      <w:r>
        <w:rPr>
          <w:rFonts w:hint="eastAsia" w:hAnsi="宋体"/>
          <w:color w:val="000000"/>
          <w:sz w:val="24"/>
        </w:rPr>
        <w:t>投标供应商没有按照本章节“投标文件组成”要求提供全部资料，或者没有仔细阅读招标文件，或者没有对招标文件在各方面的要求作出实质性响应，由此造成的一切后果由投标供应商自行承担。</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、投标文件的签章</w:t>
      </w:r>
    </w:p>
    <w:p>
      <w:pPr>
        <w:pStyle w:val="15"/>
        <w:adjustRightInd w:val="0"/>
        <w:snapToGrid w:val="0"/>
        <w:spacing w:line="430" w:lineRule="atLeast"/>
        <w:ind w:firstLine="480" w:firstLineChars="200"/>
        <w:rPr>
          <w:rFonts w:hAnsi="宋体"/>
          <w:color w:val="000000"/>
          <w:sz w:val="24"/>
        </w:rPr>
      </w:pPr>
      <w:r>
        <w:rPr>
          <w:rFonts w:hAnsi="宋体"/>
          <w:color w:val="000000"/>
          <w:sz w:val="24"/>
        </w:rPr>
        <w:t>1.1</w:t>
      </w:r>
      <w:r>
        <w:rPr>
          <w:rFonts w:hint="eastAsia" w:hAnsi="宋体"/>
          <w:color w:val="000000"/>
          <w:sz w:val="24"/>
        </w:rPr>
        <w:t>《投标文件》的签章：见《第二章供应商须知（</w:t>
      </w:r>
      <w:r>
        <w:rPr>
          <w:rFonts w:hint="eastAsia" w:hAnsi="宋体"/>
          <w:color w:val="000000"/>
          <w:sz w:val="24"/>
          <w:lang w:val="zh-CN"/>
        </w:rPr>
        <w:t>投标须知</w:t>
      </w:r>
      <w:r>
        <w:rPr>
          <w:rFonts w:hint="eastAsia" w:hAnsi="宋体"/>
          <w:color w:val="000000"/>
          <w:sz w:val="24"/>
        </w:rPr>
        <w:t>前附表）》；</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1.2 </w:t>
      </w:r>
      <w:r>
        <w:rPr>
          <w:rFonts w:hint="eastAsia" w:hAnsi="宋体"/>
          <w:color w:val="000000"/>
          <w:sz w:val="24"/>
        </w:rPr>
        <w:t>根据招标文件要求在投标文件相应位置由投标供应商法定代表人或授权代表签字（或盖章），需要加盖投标供应商公章的采用</w:t>
      </w:r>
      <w:r>
        <w:rPr>
          <w:rFonts w:hAnsi="宋体"/>
          <w:color w:val="000000"/>
          <w:sz w:val="24"/>
        </w:rPr>
        <w:t>CA</w:t>
      </w:r>
      <w:r>
        <w:rPr>
          <w:rFonts w:hint="eastAsia" w:hAnsi="宋体"/>
          <w:color w:val="000000"/>
          <w:sz w:val="24"/>
        </w:rPr>
        <w:t>电子签章。</w:t>
      </w:r>
    </w:p>
    <w:p>
      <w:pPr>
        <w:pStyle w:val="15"/>
        <w:adjustRightInd w:val="0"/>
        <w:snapToGrid w:val="0"/>
        <w:spacing w:line="430" w:lineRule="atLeast"/>
        <w:ind w:firstLine="480" w:firstLineChars="200"/>
        <w:rPr>
          <w:rFonts w:hAnsi="宋体"/>
          <w:color w:val="000000"/>
          <w:sz w:val="24"/>
        </w:rPr>
      </w:pPr>
      <w:r>
        <w:rPr>
          <w:rFonts w:hAnsi="宋体"/>
          <w:color w:val="000000"/>
          <w:sz w:val="24"/>
        </w:rPr>
        <w:t>1.3</w:t>
      </w:r>
      <w:r>
        <w:rPr>
          <w:rFonts w:hint="eastAsia" w:hAnsi="宋体"/>
          <w:color w:val="000000"/>
          <w:sz w:val="24"/>
        </w:rPr>
        <w:t>电子签章操作指南详见《供应商</w:t>
      </w:r>
      <w:r>
        <w:rPr>
          <w:rFonts w:hAnsi="宋体"/>
          <w:color w:val="000000"/>
          <w:sz w:val="24"/>
        </w:rPr>
        <w:t>-</w:t>
      </w:r>
      <w:r>
        <w:rPr>
          <w:rFonts w:hint="eastAsia" w:hAnsi="宋体"/>
          <w:color w:val="000000"/>
          <w:sz w:val="24"/>
        </w:rPr>
        <w:t>政府采购项目电子交易操作指南》（</w:t>
      </w:r>
      <w:r>
        <w:rPr>
          <w:rFonts w:hAnsi="宋体"/>
          <w:color w:val="000000"/>
          <w:sz w:val="24"/>
        </w:rPr>
        <w:t>https://help.zcygov.cn/web/site_2/2018/12-28/2573.html</w:t>
      </w:r>
      <w:r>
        <w:rPr>
          <w:rFonts w:hint="eastAsia" w:hAnsi="宋体"/>
          <w:color w:val="000000"/>
          <w:sz w:val="24"/>
        </w:rPr>
        <w:t>）。</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、投标文件的形式</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3.1 </w:t>
      </w:r>
      <w:r>
        <w:rPr>
          <w:rFonts w:hint="eastAsia" w:hAnsi="宋体"/>
          <w:color w:val="000000"/>
          <w:sz w:val="24"/>
        </w:rPr>
        <w:t>投标文件的形式：见《第二章供应商须知（</w:t>
      </w:r>
      <w:r>
        <w:rPr>
          <w:rFonts w:hint="eastAsia" w:hAnsi="宋体"/>
          <w:color w:val="000000"/>
          <w:sz w:val="24"/>
          <w:lang w:val="zh-CN"/>
        </w:rPr>
        <w:t>投标须知</w:t>
      </w:r>
      <w:r>
        <w:rPr>
          <w:rFonts w:hint="eastAsia" w:hAnsi="宋体"/>
          <w:color w:val="000000"/>
          <w:sz w:val="24"/>
        </w:rPr>
        <w:t>前附表）》；</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3.2 </w:t>
      </w:r>
      <w:r>
        <w:rPr>
          <w:rFonts w:hint="eastAsia" w:hAnsi="宋体"/>
          <w:color w:val="000000"/>
          <w:sz w:val="24"/>
        </w:rPr>
        <w:t>“电子加密投标文件”：“电子加密投标文件”是指通过“政采云电子交易客户端”完成投标文件编制后生成并加密的数据电文形式的投标文件。</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四、投标文件递交</w:t>
      </w:r>
    </w:p>
    <w:p>
      <w:pPr>
        <w:pStyle w:val="15"/>
        <w:adjustRightInd w:val="0"/>
        <w:snapToGrid w:val="0"/>
        <w:spacing w:line="430" w:lineRule="atLeast"/>
        <w:ind w:firstLine="480" w:firstLineChars="200"/>
        <w:rPr>
          <w:rFonts w:hAnsi="宋体"/>
          <w:color w:val="000000"/>
          <w:sz w:val="24"/>
        </w:rPr>
      </w:pPr>
      <w:r>
        <w:rPr>
          <w:rFonts w:hAnsi="宋体"/>
          <w:color w:val="000000"/>
          <w:sz w:val="24"/>
        </w:rPr>
        <w:t>1</w:t>
      </w:r>
      <w:r>
        <w:rPr>
          <w:rFonts w:hint="eastAsia" w:hAnsi="宋体"/>
          <w:color w:val="000000"/>
          <w:sz w:val="24"/>
        </w:rPr>
        <w:t>、投标文件的上传和递交</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“投标文件”的上传、递交：见《第二章供应商须知（</w:t>
      </w:r>
      <w:r>
        <w:rPr>
          <w:rFonts w:hint="eastAsia" w:hAnsi="宋体"/>
          <w:color w:val="000000"/>
          <w:sz w:val="24"/>
          <w:lang w:val="zh-CN"/>
        </w:rPr>
        <w:t>投标须知</w:t>
      </w:r>
      <w:r>
        <w:rPr>
          <w:rFonts w:hint="eastAsia" w:hAnsi="宋体"/>
          <w:color w:val="000000"/>
          <w:sz w:val="24"/>
        </w:rPr>
        <w:t>前附表）》。</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、“电子加密投标文件”解密和异常情况处理</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“电子加密投标文件”解密：见《第二章供应商须知（</w:t>
      </w:r>
      <w:r>
        <w:rPr>
          <w:rFonts w:hint="eastAsia" w:hAnsi="宋体"/>
          <w:color w:val="000000"/>
          <w:sz w:val="24"/>
          <w:lang w:val="zh-CN"/>
        </w:rPr>
        <w:t>投标须知</w:t>
      </w:r>
      <w:r>
        <w:rPr>
          <w:rFonts w:hint="eastAsia" w:hAnsi="宋体"/>
          <w:color w:val="000000"/>
          <w:sz w:val="24"/>
        </w:rPr>
        <w:t>前附表）》。</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、投标文件的补充、修改或撤回</w:t>
      </w:r>
      <w:r>
        <w:rPr>
          <w:rFonts w:hAnsi="宋体"/>
          <w:color w:val="000000"/>
          <w:sz w:val="24"/>
        </w:rPr>
        <w:tab/>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3.1 </w:t>
      </w:r>
      <w:r>
        <w:rPr>
          <w:rFonts w:hint="eastAsia" w:hAnsi="宋体"/>
          <w:color w:val="000000"/>
          <w:sz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olor w:val="000000"/>
          <w:sz w:val="24"/>
          <w:lang w:val="en-US" w:eastAsia="zh-CN"/>
        </w:rPr>
        <w:t>▲</w:t>
      </w:r>
      <w:r>
        <w:rPr>
          <w:rFonts w:hint="eastAsia" w:hAnsi="宋体"/>
          <w:color w:val="000000"/>
          <w:sz w:val="24"/>
        </w:rPr>
        <w:t>投标截止时间后递交的投标文件，“政府采购云平台”将予以拒收。</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3.2 </w:t>
      </w:r>
      <w:r>
        <w:rPr>
          <w:rFonts w:hint="eastAsia" w:hAnsi="宋体"/>
          <w:color w:val="000000"/>
          <w:sz w:val="24"/>
        </w:rPr>
        <w:t>投标截止时间后，投标供应商不得撤回、修改《投标文件》。</w:t>
      </w:r>
    </w:p>
    <w:p>
      <w:pPr>
        <w:pStyle w:val="15"/>
        <w:adjustRightInd w:val="0"/>
        <w:snapToGrid w:val="0"/>
        <w:spacing w:line="430" w:lineRule="atLeast"/>
        <w:ind w:firstLine="480" w:firstLineChars="200"/>
        <w:rPr>
          <w:rFonts w:hAnsi="宋体"/>
          <w:color w:val="000000"/>
          <w:sz w:val="24"/>
        </w:rPr>
      </w:pPr>
      <w:r>
        <w:rPr>
          <w:rFonts w:hAnsi="宋体"/>
          <w:color w:val="000000"/>
          <w:sz w:val="24"/>
        </w:rPr>
        <w:t>4</w:t>
      </w:r>
      <w:r>
        <w:rPr>
          <w:rFonts w:hint="eastAsia" w:hAnsi="宋体"/>
          <w:color w:val="000000"/>
          <w:sz w:val="24"/>
        </w:rPr>
        <w:t>、投标文件的备选方案</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lang w:val="en-US" w:eastAsia="zh-CN"/>
        </w:rPr>
        <w:t>▲</w:t>
      </w:r>
      <w:r>
        <w:rPr>
          <w:rFonts w:hint="eastAsia" w:hAnsi="宋体"/>
          <w:color w:val="000000"/>
          <w:sz w:val="24"/>
        </w:rPr>
        <w:t>投标供应商不得递交任何的投标备选（替代）方案，否则其投标文件将作无效标处理。</w:t>
      </w:r>
    </w:p>
    <w:p>
      <w:pPr>
        <w:pStyle w:val="15"/>
        <w:numPr>
          <w:ilvl w:val="0"/>
          <w:numId w:val="9"/>
        </w:numPr>
        <w:adjustRightInd w:val="0"/>
        <w:snapToGrid w:val="0"/>
        <w:spacing w:line="430" w:lineRule="atLeast"/>
        <w:ind w:firstLine="480" w:firstLineChars="200"/>
        <w:rPr>
          <w:rFonts w:hAnsi="宋体"/>
          <w:color w:val="000000"/>
          <w:sz w:val="24"/>
        </w:rPr>
      </w:pPr>
      <w:r>
        <w:rPr>
          <w:rFonts w:hint="eastAsia" w:hAnsi="宋体"/>
          <w:color w:val="000000"/>
          <w:sz w:val="24"/>
        </w:rPr>
        <w:t>投标截止时间</w:t>
      </w:r>
    </w:p>
    <w:p>
      <w:pPr>
        <w:pStyle w:val="15"/>
        <w:adjustRightInd w:val="0"/>
        <w:snapToGrid w:val="0"/>
        <w:spacing w:line="430" w:lineRule="atLeast"/>
        <w:ind w:firstLine="480" w:firstLineChars="200"/>
        <w:rPr>
          <w:rFonts w:hAnsi="宋体"/>
          <w:color w:val="000000"/>
          <w:sz w:val="24"/>
        </w:rPr>
      </w:pPr>
      <w:r>
        <w:rPr>
          <w:rFonts w:hAnsi="宋体"/>
          <w:color w:val="000000"/>
          <w:sz w:val="24"/>
        </w:rPr>
        <w:t>5.1</w:t>
      </w:r>
      <w:r>
        <w:rPr>
          <w:rFonts w:hint="eastAsia" w:hAnsi="宋体"/>
          <w:color w:val="000000"/>
          <w:sz w:val="24"/>
        </w:rPr>
        <w:t>投标文件必须在投标文件递交截止时间前送达指定的投标地点。</w:t>
      </w:r>
    </w:p>
    <w:p>
      <w:pPr>
        <w:pStyle w:val="15"/>
        <w:adjustRightInd w:val="0"/>
        <w:snapToGrid w:val="0"/>
        <w:spacing w:line="430" w:lineRule="atLeast"/>
        <w:ind w:firstLine="480" w:firstLineChars="200"/>
        <w:rPr>
          <w:rFonts w:hAnsi="宋体"/>
          <w:color w:val="000000"/>
          <w:sz w:val="24"/>
        </w:rPr>
      </w:pPr>
      <w:r>
        <w:rPr>
          <w:rFonts w:hAnsi="宋体"/>
          <w:color w:val="000000"/>
          <w:sz w:val="24"/>
        </w:rPr>
        <w:t>5.2</w:t>
      </w:r>
      <w:r>
        <w:rPr>
          <w:rFonts w:hint="eastAsia" w:hAnsi="宋体"/>
          <w:color w:val="000000"/>
          <w:sz w:val="24"/>
        </w:rPr>
        <w:t>采购机构如因故推迟投标截止时间，应在投标截止前以更正公告形式通知所有供应商。在这种情况下，供应商的权利和义务将受到新的截止时间的约束。</w:t>
      </w:r>
    </w:p>
    <w:p>
      <w:pPr>
        <w:pStyle w:val="15"/>
        <w:adjustRightInd w:val="0"/>
        <w:snapToGrid w:val="0"/>
        <w:spacing w:line="430" w:lineRule="atLeast"/>
        <w:ind w:firstLine="480" w:firstLineChars="200"/>
        <w:rPr>
          <w:rFonts w:hAnsi="宋体"/>
          <w:color w:val="000000"/>
          <w:sz w:val="24"/>
        </w:rPr>
      </w:pPr>
      <w:r>
        <w:rPr>
          <w:rFonts w:hAnsi="宋体"/>
          <w:color w:val="000000"/>
          <w:sz w:val="24"/>
        </w:rPr>
        <w:t>6</w:t>
      </w:r>
      <w:r>
        <w:rPr>
          <w:rFonts w:hint="eastAsia" w:hAnsi="宋体"/>
          <w:color w:val="000000"/>
          <w:sz w:val="24"/>
        </w:rPr>
        <w:t>、投标文件的修改和撤回</w:t>
      </w:r>
    </w:p>
    <w:p>
      <w:pPr>
        <w:pStyle w:val="15"/>
        <w:adjustRightInd w:val="0"/>
        <w:snapToGrid w:val="0"/>
        <w:spacing w:line="430" w:lineRule="atLeast"/>
        <w:ind w:firstLine="480" w:firstLineChars="200"/>
        <w:rPr>
          <w:rFonts w:hAnsi="宋体"/>
          <w:color w:val="000000"/>
          <w:sz w:val="24"/>
        </w:rPr>
      </w:pPr>
      <w:r>
        <w:rPr>
          <w:rFonts w:hAnsi="宋体"/>
          <w:color w:val="000000"/>
          <w:sz w:val="24"/>
        </w:rPr>
        <w:t>6.1</w:t>
      </w:r>
      <w:r>
        <w:rPr>
          <w:rFonts w:hint="eastAsia" w:hAnsi="宋体"/>
          <w:color w:val="000000"/>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5"/>
        <w:adjustRightInd w:val="0"/>
        <w:snapToGrid w:val="0"/>
        <w:spacing w:line="430" w:lineRule="atLeast"/>
        <w:ind w:firstLine="480" w:firstLineChars="200"/>
        <w:rPr>
          <w:rFonts w:hAnsi="宋体"/>
          <w:color w:val="000000"/>
          <w:sz w:val="24"/>
        </w:rPr>
      </w:pPr>
      <w:r>
        <w:rPr>
          <w:rFonts w:hAnsi="宋体"/>
          <w:color w:val="000000"/>
          <w:sz w:val="24"/>
        </w:rPr>
        <w:t>7</w:t>
      </w:r>
      <w:r>
        <w:rPr>
          <w:rFonts w:hint="eastAsia" w:hAnsi="宋体"/>
          <w:color w:val="000000"/>
          <w:sz w:val="24"/>
        </w:rPr>
        <w:t>、投标文件的递交</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▲递交投标文件时，需满足以下要求，否则该投标文件予以拒绝：</w:t>
      </w:r>
    </w:p>
    <w:p>
      <w:pPr>
        <w:pStyle w:val="15"/>
        <w:adjustRightInd w:val="0"/>
        <w:snapToGrid w:val="0"/>
        <w:spacing w:line="430" w:lineRule="atLeast"/>
        <w:ind w:firstLine="480" w:firstLineChars="200"/>
        <w:rPr>
          <w:rFonts w:hAnsi="宋体"/>
          <w:color w:val="000000"/>
          <w:sz w:val="24"/>
        </w:rPr>
      </w:pPr>
      <w:r>
        <w:rPr>
          <w:rFonts w:hAnsi="宋体"/>
          <w:color w:val="000000"/>
          <w:sz w:val="24"/>
        </w:rPr>
        <w:t>7.1</w:t>
      </w:r>
      <w:r>
        <w:rPr>
          <w:rFonts w:hint="eastAsia" w:hAnsi="宋体"/>
          <w:color w:val="000000"/>
          <w:sz w:val="24"/>
        </w:rPr>
        <w:t>在投标截止时间之前递交。</w:t>
      </w:r>
    </w:p>
    <w:p>
      <w:pPr>
        <w:pStyle w:val="15"/>
        <w:adjustRightInd w:val="0"/>
        <w:snapToGrid w:val="0"/>
        <w:spacing w:line="430" w:lineRule="atLeast"/>
        <w:ind w:firstLine="480" w:firstLineChars="200"/>
        <w:rPr>
          <w:rFonts w:hAnsi="宋体"/>
          <w:color w:val="000000"/>
          <w:sz w:val="24"/>
        </w:rPr>
      </w:pPr>
      <w:r>
        <w:rPr>
          <w:rFonts w:hAnsi="宋体"/>
          <w:color w:val="000000"/>
          <w:sz w:val="24"/>
        </w:rPr>
        <w:t>7.2</w:t>
      </w:r>
      <w:r>
        <w:rPr>
          <w:rFonts w:hint="eastAsia" w:hAnsi="宋体"/>
          <w:color w:val="000000"/>
          <w:sz w:val="24"/>
        </w:rPr>
        <w:t>包装与密封符合招标文件要求。</w:t>
      </w:r>
    </w:p>
    <w:p>
      <w:pPr>
        <w:pStyle w:val="15"/>
        <w:adjustRightInd w:val="0"/>
        <w:snapToGrid w:val="0"/>
        <w:spacing w:line="430" w:lineRule="atLeast"/>
        <w:ind w:firstLine="480" w:firstLineChars="200"/>
        <w:rPr>
          <w:rFonts w:hAnsi="宋体"/>
          <w:color w:val="000000"/>
          <w:sz w:val="24"/>
        </w:rPr>
      </w:pPr>
      <w:r>
        <w:rPr>
          <w:rFonts w:hAnsi="宋体"/>
          <w:color w:val="000000"/>
          <w:sz w:val="24"/>
        </w:rPr>
        <w:t>7.3</w:t>
      </w:r>
      <w:r>
        <w:rPr>
          <w:rFonts w:hint="eastAsia" w:hAnsi="宋体"/>
          <w:color w:val="000000"/>
          <w:sz w:val="24"/>
        </w:rPr>
        <w:t>投标文件递交到指定的投标地点。</w:t>
      </w:r>
    </w:p>
    <w:p>
      <w:pPr>
        <w:tabs>
          <w:tab w:val="left" w:pos="1418"/>
        </w:tabs>
        <w:autoSpaceDE w:val="0"/>
        <w:autoSpaceDN w:val="0"/>
        <w:adjustRightInd w:val="0"/>
        <w:spacing w:line="360" w:lineRule="auto"/>
        <w:rPr>
          <w:rFonts w:ascii="宋体"/>
          <w:b/>
          <w:kern w:val="0"/>
          <w:sz w:val="24"/>
        </w:rPr>
      </w:pPr>
      <w:bookmarkStart w:id="3" w:name="_Toc5719"/>
      <w:r>
        <w:rPr>
          <w:rFonts w:hint="eastAsia" w:ascii="宋体" w:hAnsi="宋体"/>
          <w:b/>
          <w:kern w:val="0"/>
          <w:sz w:val="24"/>
        </w:rPr>
        <w:t>五、开标和评标</w:t>
      </w:r>
      <w:bookmarkEnd w:id="3"/>
    </w:p>
    <w:p>
      <w:pPr>
        <w:pStyle w:val="15"/>
        <w:adjustRightInd w:val="0"/>
        <w:snapToGrid w:val="0"/>
        <w:spacing w:line="430" w:lineRule="atLeast"/>
        <w:ind w:firstLine="480" w:firstLineChars="200"/>
        <w:rPr>
          <w:rFonts w:hAnsi="宋体"/>
          <w:color w:val="000000"/>
          <w:sz w:val="24"/>
        </w:rPr>
      </w:pPr>
      <w:r>
        <w:rPr>
          <w:rFonts w:hAnsi="宋体"/>
          <w:color w:val="000000"/>
          <w:sz w:val="24"/>
        </w:rPr>
        <w:t>1</w:t>
      </w:r>
      <w:r>
        <w:rPr>
          <w:rFonts w:hint="eastAsia" w:hAnsi="宋体"/>
          <w:color w:val="000000"/>
          <w:sz w:val="24"/>
        </w:rPr>
        <w:t>、开标</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 xml:space="preserve">1.1 </w:t>
      </w:r>
      <w:r>
        <w:rPr>
          <w:rFonts w:hint="eastAsia" w:hAnsi="宋体"/>
          <w:b/>
          <w:bCs/>
          <w:color w:val="000000"/>
          <w:sz w:val="24"/>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在线开评标进行时，供应商投标代表需自行关注平台提示信息，期间有发出“询标</w:t>
      </w:r>
      <w:r>
        <w:rPr>
          <w:rFonts w:hAnsi="宋体"/>
          <w:b/>
          <w:bCs/>
          <w:color w:val="000000"/>
          <w:sz w:val="24"/>
        </w:rPr>
        <w:t>/</w:t>
      </w:r>
      <w:r>
        <w:rPr>
          <w:rFonts w:hint="eastAsia" w:hAnsi="宋体"/>
          <w:b/>
          <w:bCs/>
          <w:color w:val="000000"/>
          <w:sz w:val="24"/>
        </w:rPr>
        <w:t>澄清函”等相关线上函件时，因供应商自身原因逾期</w:t>
      </w:r>
      <w:r>
        <w:rPr>
          <w:rFonts w:hAnsi="宋体"/>
          <w:b/>
          <w:bCs/>
          <w:color w:val="000000"/>
          <w:sz w:val="24"/>
        </w:rPr>
        <w:t>/</w:t>
      </w:r>
      <w:r>
        <w:rPr>
          <w:rFonts w:hint="eastAsia" w:hAnsi="宋体"/>
          <w:b/>
          <w:bCs/>
          <w:color w:val="000000"/>
          <w:sz w:val="24"/>
        </w:rPr>
        <w:t>错过回复时间，由此造成的后果由供应商自行承担。</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1.2 </w:t>
      </w:r>
      <w:r>
        <w:rPr>
          <w:rFonts w:hint="eastAsia" w:hAnsi="宋体"/>
          <w:color w:val="000000"/>
          <w:sz w:val="24"/>
        </w:rPr>
        <w:t>开标流程</w:t>
      </w:r>
    </w:p>
    <w:p>
      <w:pPr>
        <w:pStyle w:val="15"/>
        <w:adjustRightInd w:val="0"/>
        <w:snapToGrid w:val="0"/>
        <w:spacing w:line="430" w:lineRule="atLeast"/>
        <w:ind w:firstLine="480" w:firstLineChars="200"/>
        <w:rPr>
          <w:rFonts w:hAnsi="宋体"/>
          <w:b/>
          <w:bCs/>
          <w:color w:val="000000"/>
          <w:sz w:val="24"/>
        </w:rPr>
      </w:pPr>
      <w:r>
        <w:rPr>
          <w:rFonts w:hint="eastAsia" w:hAnsi="宋体"/>
          <w:color w:val="000000"/>
          <w:sz w:val="24"/>
        </w:rPr>
        <w:t>（</w:t>
      </w:r>
      <w:r>
        <w:rPr>
          <w:rFonts w:hAnsi="宋体"/>
          <w:color w:val="000000"/>
          <w:sz w:val="24"/>
        </w:rPr>
        <w:t>1</w:t>
      </w:r>
      <w:r>
        <w:rPr>
          <w:rFonts w:hint="eastAsia" w:hAnsi="宋体"/>
          <w:color w:val="000000"/>
          <w:sz w:val="24"/>
        </w:rPr>
        <w:t>）向各投标供应商发出电子加密投标文件【开始解密】通知，由供应商按招标文件规定的时间内自行进行投标文件解密。</w:t>
      </w:r>
      <w:r>
        <w:rPr>
          <w:rFonts w:hint="eastAsia" w:hAnsi="宋体"/>
          <w:b/>
          <w:bCs/>
          <w:color w:val="000000"/>
          <w:sz w:val="24"/>
        </w:rPr>
        <w:t>投标供应商在规定的时间内无法完成已递交的“电子加密投标文件”解密的，其投标文件按拒收处理。</w:t>
      </w:r>
    </w:p>
    <w:p>
      <w:pPr>
        <w:pStyle w:val="15"/>
        <w:adjustRightInd w:val="0"/>
        <w:snapToGrid w:val="0"/>
        <w:spacing w:line="430" w:lineRule="atLeast"/>
        <w:ind w:firstLine="480" w:firstLineChars="200"/>
        <w:rPr>
          <w:rFonts w:hAnsi="宋体"/>
          <w:b/>
          <w:bCs/>
          <w:color w:val="000000"/>
          <w:sz w:val="24"/>
        </w:rPr>
      </w:pPr>
      <w:r>
        <w:rPr>
          <w:rFonts w:hint="eastAsia" w:hAnsi="宋体"/>
          <w:color w:val="000000"/>
          <w:sz w:val="24"/>
        </w:rPr>
        <w:t>（</w:t>
      </w:r>
      <w:r>
        <w:rPr>
          <w:rFonts w:hAnsi="宋体"/>
          <w:color w:val="000000"/>
          <w:sz w:val="24"/>
        </w:rPr>
        <w:t>2</w:t>
      </w:r>
      <w:r>
        <w:rPr>
          <w:rFonts w:hint="eastAsia" w:hAnsi="宋体"/>
          <w:color w:val="000000"/>
          <w:sz w:val="24"/>
        </w:rPr>
        <w:t>）</w:t>
      </w:r>
      <w:r>
        <w:rPr>
          <w:rFonts w:hint="eastAsia" w:hAnsi="宋体"/>
          <w:b/>
          <w:bCs/>
          <w:color w:val="000000"/>
          <w:sz w:val="24"/>
        </w:rPr>
        <w:t>投标文件解密结束，各投标人签署《政府采购活动现场确认声明书》（见附件）后将扫描件发送至采购代理机构邮箱：</w:t>
      </w:r>
      <w:r>
        <w:fldChar w:fldCharType="begin"/>
      </w:r>
      <w:r>
        <w:instrText xml:space="preserve"> HYPERLINK "mailto:37694060@qq.com" </w:instrText>
      </w:r>
      <w:r>
        <w:fldChar w:fldCharType="separate"/>
      </w:r>
      <w:r>
        <w:rPr>
          <w:rFonts w:hAnsi="宋体"/>
          <w:b/>
          <w:bCs/>
          <w:color w:val="000000"/>
          <w:sz w:val="24"/>
        </w:rPr>
        <w:t>37694060@qq.com</w:t>
      </w:r>
      <w:r>
        <w:rPr>
          <w:rFonts w:hAnsi="宋体"/>
          <w:b/>
          <w:bCs/>
          <w:color w:val="000000"/>
          <w:sz w:val="24"/>
        </w:rPr>
        <w:fldChar w:fldCharType="end"/>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w:t>
      </w:r>
      <w:r>
        <w:rPr>
          <w:rFonts w:hAnsi="宋体"/>
          <w:color w:val="000000"/>
          <w:sz w:val="24"/>
        </w:rPr>
        <w:t>3</w:t>
      </w:r>
      <w:r>
        <w:rPr>
          <w:rFonts w:hint="eastAsia" w:hAnsi="宋体"/>
          <w:color w:val="000000"/>
          <w:sz w:val="24"/>
        </w:rPr>
        <w:t>）开启资格文件，进入资格审查环节，采购人或采购代理机构将对依法对投标供应商的资格进行审查，具体见本章节“投标供应商资格审查”相关规定。</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w:t>
      </w:r>
      <w:r>
        <w:rPr>
          <w:rFonts w:hAnsi="宋体"/>
          <w:color w:val="000000"/>
          <w:sz w:val="24"/>
        </w:rPr>
        <w:t>4</w:t>
      </w:r>
      <w:r>
        <w:rPr>
          <w:rFonts w:hint="eastAsia" w:hAnsi="宋体"/>
          <w:color w:val="000000"/>
          <w:sz w:val="24"/>
        </w:rPr>
        <w:t>）开启资格审查通过的投标供应商的商务技术文件进入符合性审查及商务技术评审；</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w:t>
      </w:r>
      <w:r>
        <w:rPr>
          <w:rFonts w:hAnsi="宋体"/>
          <w:color w:val="000000"/>
          <w:sz w:val="24"/>
        </w:rPr>
        <w:t>5</w:t>
      </w:r>
      <w:r>
        <w:rPr>
          <w:rFonts w:hint="eastAsia" w:hAnsi="宋体"/>
          <w:color w:val="000000"/>
          <w:sz w:val="24"/>
        </w:rPr>
        <w:t>）符合性审查、商务技术评审结束后，开启符合性审查、商务技术评审有效投标供应商的《报价文件》。由评标委员会对报价文件的符合性等进行审查核实。</w:t>
      </w:r>
      <w:r>
        <w:rPr>
          <w:rFonts w:hint="eastAsia" w:hAnsi="宋体"/>
          <w:color w:val="000000"/>
          <w:sz w:val="24"/>
          <w:lang w:val="en-US" w:eastAsia="zh-CN"/>
        </w:rPr>
        <w:t>▲</w:t>
      </w:r>
      <w:r>
        <w:rPr>
          <w:rFonts w:hint="eastAsia" w:hAnsi="宋体"/>
          <w:color w:val="000000"/>
          <w:sz w:val="24"/>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开标时，报价文件中投标报价出现前后不一致的，按照下列规定修正：</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（一）投标文件中开标一览表内容与投标文件中相应内容不一致的，以开标一览表为准；</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（二）大写金额和小写金额不一致的，以大写金额为准；</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（三）单价金额小数点或者百分比有明显错位的，以开标一览表的总价为准，并修改单价；</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（四）总价金额与按单价汇总金额不一致的，以单价金额计算结果为准。</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lang w:val="en-US" w:eastAsia="zh-CN"/>
        </w:rPr>
        <w:t>▲</w:t>
      </w:r>
      <w:r>
        <w:rPr>
          <w:rFonts w:hint="eastAsia" w:hAnsi="宋体"/>
          <w:color w:val="000000"/>
          <w:sz w:val="24"/>
        </w:rPr>
        <w:t>同时出现两种以上不一致的，按照前款规定的顺序修正。修正后的报价按照《政府采购货物和服务招标投标管理办法》（财政部令第</w:t>
      </w:r>
      <w:r>
        <w:rPr>
          <w:rFonts w:hAnsi="宋体"/>
          <w:color w:val="000000"/>
          <w:sz w:val="24"/>
        </w:rPr>
        <w:t>87</w:t>
      </w:r>
      <w:r>
        <w:rPr>
          <w:rFonts w:hint="eastAsia" w:hAnsi="宋体"/>
          <w:color w:val="000000"/>
          <w:sz w:val="24"/>
        </w:rPr>
        <w:t>号）第五十一条第二款的规定经投标供应商确认后产生约束力，投标供应商不确认</w:t>
      </w:r>
      <w:r>
        <w:rPr>
          <w:rFonts w:hint="eastAsia" w:hAnsi="宋体"/>
          <w:color w:val="000000"/>
          <w:sz w:val="24"/>
          <w:lang w:val="en-US" w:eastAsia="zh-CN"/>
        </w:rPr>
        <w:t>或不在规定时间内确认</w:t>
      </w:r>
      <w:r>
        <w:rPr>
          <w:rFonts w:hint="eastAsia" w:hAnsi="宋体"/>
          <w:color w:val="000000"/>
          <w:sz w:val="24"/>
        </w:rPr>
        <w:t>的，其投标无效。</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w:t>
      </w:r>
      <w:r>
        <w:rPr>
          <w:rFonts w:hAnsi="宋体"/>
          <w:color w:val="000000"/>
          <w:sz w:val="24"/>
        </w:rPr>
        <w:t>6</w:t>
      </w:r>
      <w:r>
        <w:rPr>
          <w:rFonts w:hint="eastAsia" w:hAnsi="宋体"/>
          <w:color w:val="000000"/>
          <w:sz w:val="24"/>
        </w:rPr>
        <w:t>）评审结束后，公布采购结果。</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特别说明：如遇“政府采购云平台”电子化开标或评审程序调整的，按调整后程序执行。</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、资格审查</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 xml:space="preserve">2.1 </w:t>
      </w:r>
      <w:r>
        <w:rPr>
          <w:rFonts w:hint="eastAsia" w:hAnsi="宋体"/>
          <w:b/>
          <w:bCs/>
          <w:color w:val="000000"/>
          <w:sz w:val="24"/>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 xml:space="preserve">2.2 </w:t>
      </w:r>
      <w:r>
        <w:rPr>
          <w:rFonts w:hint="eastAsia" w:hAnsi="宋体"/>
          <w:b/>
          <w:bCs/>
          <w:color w:val="000000"/>
          <w:sz w:val="24"/>
        </w:rPr>
        <w:t>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 xml:space="preserve">2.3 </w:t>
      </w:r>
      <w:r>
        <w:rPr>
          <w:rFonts w:hint="eastAsia" w:hAnsi="宋体"/>
          <w:b/>
          <w:bCs/>
          <w:color w:val="000000"/>
          <w:sz w:val="24"/>
        </w:rPr>
        <w:t>单位负责人为同一人或者存在直接控股、管理关系的不同供应商参加同一合同项下的政府采购活动的，相关投标供应商均作资格无效处理。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、评标</w:t>
      </w:r>
    </w:p>
    <w:p>
      <w:pPr>
        <w:pStyle w:val="15"/>
        <w:adjustRightInd w:val="0"/>
        <w:snapToGrid w:val="0"/>
        <w:spacing w:line="430" w:lineRule="atLeast"/>
        <w:ind w:firstLine="480" w:firstLineChars="200"/>
        <w:rPr>
          <w:rFonts w:hAnsi="宋体"/>
          <w:color w:val="000000"/>
          <w:sz w:val="24"/>
        </w:rPr>
      </w:pPr>
      <w:r>
        <w:rPr>
          <w:rFonts w:hAnsi="宋体"/>
          <w:color w:val="000000"/>
          <w:sz w:val="24"/>
        </w:rPr>
        <w:t>3.1</w:t>
      </w:r>
      <w:r>
        <w:rPr>
          <w:rFonts w:hint="eastAsia" w:hAnsi="宋体"/>
          <w:color w:val="000000"/>
          <w:sz w:val="24"/>
        </w:rPr>
        <w:t>评标由采购人依法组建的评标委员会负责，并独立履行下列职责：</w:t>
      </w:r>
    </w:p>
    <w:p>
      <w:pPr>
        <w:pStyle w:val="15"/>
        <w:adjustRightInd w:val="0"/>
        <w:snapToGrid w:val="0"/>
        <w:spacing w:line="430" w:lineRule="atLeast"/>
        <w:ind w:firstLine="480" w:firstLineChars="200"/>
        <w:rPr>
          <w:rFonts w:hAnsi="宋体"/>
          <w:color w:val="000000"/>
          <w:sz w:val="24"/>
        </w:rPr>
      </w:pPr>
      <w:r>
        <w:rPr>
          <w:rFonts w:hAnsi="宋体"/>
          <w:color w:val="000000"/>
          <w:sz w:val="24"/>
        </w:rPr>
        <w:t>1</w:t>
      </w:r>
      <w:r>
        <w:rPr>
          <w:rFonts w:hint="eastAsia" w:hAnsi="宋体"/>
          <w:color w:val="000000"/>
          <w:sz w:val="24"/>
        </w:rPr>
        <w:t>）审查投标文件是否符合招标文件要求，并做出评价；</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）要求供应商对投标文件有关事项做出解释或者澄清；</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）按照招标文件确定的评标办法确定中标候选人，并对其排序；综合得分最高的供应商推荐为中标人；</w:t>
      </w:r>
    </w:p>
    <w:p>
      <w:pPr>
        <w:pStyle w:val="15"/>
        <w:adjustRightInd w:val="0"/>
        <w:snapToGrid w:val="0"/>
        <w:spacing w:line="430" w:lineRule="atLeast"/>
        <w:ind w:firstLine="480" w:firstLineChars="200"/>
        <w:rPr>
          <w:rFonts w:hAnsi="宋体"/>
          <w:color w:val="000000"/>
          <w:sz w:val="24"/>
        </w:rPr>
      </w:pPr>
      <w:r>
        <w:rPr>
          <w:rFonts w:hAnsi="宋体"/>
          <w:color w:val="000000"/>
          <w:sz w:val="24"/>
        </w:rPr>
        <w:t>4</w:t>
      </w:r>
      <w:r>
        <w:rPr>
          <w:rFonts w:hint="eastAsia" w:hAnsi="宋体"/>
          <w:color w:val="000000"/>
          <w:sz w:val="24"/>
        </w:rPr>
        <w:t>）向采购人或者有关部门报告非法干预评标工作的行为。</w:t>
      </w:r>
    </w:p>
    <w:p>
      <w:pPr>
        <w:pStyle w:val="15"/>
        <w:adjustRightInd w:val="0"/>
        <w:snapToGrid w:val="0"/>
        <w:spacing w:line="430" w:lineRule="atLeast"/>
        <w:ind w:firstLine="480" w:firstLineChars="200"/>
        <w:rPr>
          <w:rFonts w:hAnsi="宋体"/>
          <w:color w:val="000000"/>
          <w:sz w:val="24"/>
        </w:rPr>
      </w:pPr>
      <w:r>
        <w:rPr>
          <w:rFonts w:hAnsi="宋体"/>
          <w:color w:val="000000"/>
          <w:sz w:val="24"/>
        </w:rPr>
        <w:t>3.2</w:t>
      </w:r>
      <w:r>
        <w:rPr>
          <w:rFonts w:hint="eastAsia" w:hAnsi="宋体"/>
          <w:color w:val="000000"/>
          <w:sz w:val="24"/>
        </w:rPr>
        <w:t>评标应当遵循下列工作程序：</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 </w:t>
      </w:r>
      <w:r>
        <w:rPr>
          <w:rFonts w:hint="eastAsia" w:hAnsi="宋体"/>
          <w:color w:val="000000"/>
          <w:sz w:val="24"/>
        </w:rPr>
        <w:t>投标文件符合性审查。依据招标文件的规定，从投标文件的有效性、完整性和对招标文件的响应程度进行审查，以确定是否对招标文件的实质性要求做出响应。</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lang w:val="en-US" w:eastAsia="zh-CN"/>
        </w:rPr>
        <w:t>▲</w:t>
      </w:r>
      <w:r>
        <w:rPr>
          <w:rFonts w:hint="eastAsia" w:hAnsi="宋体"/>
          <w:color w:val="000000"/>
          <w:sz w:val="24"/>
        </w:rPr>
        <w:t>实质上没有响应招标文件要求的投标将被拒绝。供应商不得通过修正或撤消不合要求的偏离从而使其投标成为实质上响应的投标。</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评标委员会对投标文件的判定，只依据投标文件内容本身，不依靠开标后的任何外来证明。</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）比较与评价。按招标文件中规定的评标方法和标准，对资格审查和符合性审查合格的投标文件进行商务和技术评估，综合比较与评价。</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3.3 </w:t>
      </w:r>
      <w:r>
        <w:rPr>
          <w:rFonts w:hint="eastAsia" w:hAnsi="宋体"/>
          <w:color w:val="000000"/>
          <w:sz w:val="24"/>
        </w:rPr>
        <w:t>▲投标人存在下列情况之一的，投标无效</w:t>
      </w:r>
      <w:r>
        <w:rPr>
          <w:rFonts w:hAnsi="宋体"/>
          <w:color w:val="000000"/>
          <w:sz w:val="24"/>
        </w:rPr>
        <w:t>:</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1</w:t>
      </w:r>
      <w:r>
        <w:rPr>
          <w:rFonts w:hint="eastAsia" w:hAnsi="宋体"/>
          <w:b/>
          <w:bCs/>
          <w:color w:val="000000"/>
          <w:sz w:val="24"/>
        </w:rPr>
        <w:t>）投标文件正本未按招标文件要求签署或</w:t>
      </w:r>
      <w:r>
        <w:rPr>
          <w:rFonts w:hAnsi="宋体"/>
          <w:b/>
          <w:bCs/>
          <w:color w:val="000000"/>
          <w:sz w:val="24"/>
        </w:rPr>
        <w:t>CA</w:t>
      </w:r>
      <w:r>
        <w:rPr>
          <w:rFonts w:hint="eastAsia" w:hAnsi="宋体"/>
          <w:b/>
          <w:bCs/>
          <w:color w:val="000000"/>
          <w:sz w:val="24"/>
        </w:rPr>
        <w:t>电子签章的；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2</w:t>
      </w:r>
      <w:r>
        <w:rPr>
          <w:rFonts w:hint="eastAsia" w:hAnsi="宋体"/>
          <w:b/>
          <w:bCs/>
          <w:color w:val="000000"/>
          <w:sz w:val="24"/>
        </w:rPr>
        <w:t>）不具备招标文件中规定的资格要求的；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3</w:t>
      </w:r>
      <w:r>
        <w:rPr>
          <w:rFonts w:hint="eastAsia" w:hAnsi="宋体"/>
          <w:b/>
          <w:bCs/>
          <w:color w:val="000000"/>
          <w:sz w:val="24"/>
        </w:rPr>
        <w:t>）报价超过招标文件中规定的预算金额或者最高限价的；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4</w:t>
      </w:r>
      <w:r>
        <w:rPr>
          <w:rFonts w:hint="eastAsia" w:hAnsi="宋体"/>
          <w:b/>
          <w:bCs/>
          <w:color w:val="000000"/>
          <w:sz w:val="24"/>
        </w:rPr>
        <w:t>）投标文件含有采购人不能接受的附加条件的（包括招标文件中明确要求不得偏离的招标要求，存在负偏离的）</w:t>
      </w:r>
      <w:r>
        <w:rPr>
          <w:rFonts w:hAnsi="宋体"/>
          <w:b/>
          <w:bCs/>
          <w:color w:val="000000"/>
          <w:sz w:val="24"/>
        </w:rPr>
        <w:t>;</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5</w:t>
      </w:r>
      <w:r>
        <w:rPr>
          <w:rFonts w:hint="eastAsia" w:hAnsi="宋体"/>
          <w:b/>
          <w:bCs/>
          <w:color w:val="000000"/>
          <w:sz w:val="24"/>
        </w:rPr>
        <w:t>）供应商递交两份或两份以上内容不同的投标文件，未声明哪一份有效的；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6</w:t>
      </w:r>
      <w:r>
        <w:rPr>
          <w:rFonts w:hint="eastAsia" w:hAnsi="宋体"/>
          <w:b/>
          <w:bCs/>
          <w:color w:val="000000"/>
          <w:sz w:val="24"/>
        </w:rPr>
        <w:t>）对关键条文的偏离、保留或反对，例如关于付款方式、完工期、免费质保期、适用法律法规、标准、税费等其他内容；</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7</w:t>
      </w:r>
      <w:r>
        <w:rPr>
          <w:rFonts w:hint="eastAsia" w:hAnsi="宋体"/>
          <w:b/>
          <w:bCs/>
          <w:color w:val="000000"/>
          <w:sz w:val="24"/>
        </w:rPr>
        <w:t>）存在串标、抬标或弄虚作假情况的；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8</w:t>
      </w:r>
      <w:r>
        <w:rPr>
          <w:rFonts w:hint="eastAsia" w:hAnsi="宋体"/>
          <w:b/>
          <w:bCs/>
          <w:color w:val="000000"/>
          <w:sz w:val="24"/>
        </w:rPr>
        <w:t>）参与本项目的不同供应商单位负责人为同一人或者存在直接控股、管理关系的；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9</w:t>
      </w:r>
      <w:r>
        <w:rPr>
          <w:rFonts w:hint="eastAsia" w:hAnsi="宋体"/>
          <w:b/>
          <w:bCs/>
          <w:color w:val="000000"/>
          <w:sz w:val="24"/>
        </w:rPr>
        <w:t>）供应商的资格文件或者商务技术文件中出现投标报价的；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10</w:t>
      </w:r>
      <w:r>
        <w:rPr>
          <w:rFonts w:hint="eastAsia" w:hAnsi="宋体"/>
          <w:b/>
          <w:bCs/>
          <w:color w:val="000000"/>
          <w:sz w:val="24"/>
        </w:rPr>
        <w:t>）投标供应商在线制作投标文件时《开标一览表》中填写的金额与解密后“电子加密投标文件”中《开标一览表》填写的金额不一致并拒绝按招标文件要求接受此调整的；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11</w:t>
      </w:r>
      <w:r>
        <w:rPr>
          <w:rFonts w:hint="eastAsia" w:hAnsi="宋体"/>
          <w:b/>
          <w:bCs/>
          <w:color w:val="000000"/>
          <w:sz w:val="24"/>
        </w:rPr>
        <w:t>）法律、法规和招标文件规定的其他无效情形（或出现重大偏差）。</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3.4 </w:t>
      </w:r>
      <w:r>
        <w:rPr>
          <w:rFonts w:hint="eastAsia" w:hAnsi="宋体"/>
          <w:color w:val="000000"/>
          <w:sz w:val="24"/>
        </w:rPr>
        <w:t>▲评标委员会发现投标文件有下列情形之一的属于重大偏差</w:t>
      </w:r>
      <w:r>
        <w:rPr>
          <w:rFonts w:hAnsi="宋体"/>
          <w:color w:val="000000"/>
          <w:sz w:val="24"/>
        </w:rPr>
        <w:t>(</w:t>
      </w:r>
      <w:r>
        <w:rPr>
          <w:rFonts w:hint="eastAsia" w:hAnsi="宋体"/>
          <w:color w:val="000000"/>
          <w:sz w:val="24"/>
        </w:rPr>
        <w:t>评标委员会按少数服从多数原则认定</w:t>
      </w:r>
      <w:r>
        <w:rPr>
          <w:rFonts w:hAnsi="宋体"/>
          <w:color w:val="000000"/>
          <w:sz w:val="24"/>
        </w:rPr>
        <w:t>),</w:t>
      </w:r>
      <w:r>
        <w:rPr>
          <w:rFonts w:hint="eastAsia" w:hAnsi="宋体"/>
          <w:color w:val="000000"/>
          <w:sz w:val="24"/>
        </w:rPr>
        <w:t>按照无效投标处理：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1</w:t>
      </w:r>
      <w:r>
        <w:rPr>
          <w:rFonts w:hint="eastAsia" w:hAnsi="宋体"/>
          <w:color w:val="000000"/>
          <w:sz w:val="24"/>
        </w:rPr>
        <w:t>）未按招标文件要求编制或字迹模糊、辨认不清的投标文件；</w:t>
      </w:r>
    </w:p>
    <w:p>
      <w:pPr>
        <w:pStyle w:val="15"/>
        <w:adjustRightInd w:val="0"/>
        <w:snapToGrid w:val="0"/>
        <w:spacing w:line="430" w:lineRule="atLeast"/>
        <w:ind w:firstLine="480" w:firstLineChars="200"/>
        <w:rPr>
          <w:rFonts w:hAnsi="宋体"/>
          <w:color w:val="000000"/>
          <w:sz w:val="24"/>
        </w:rPr>
      </w:pPr>
      <w:r>
        <w:rPr>
          <w:rFonts w:hAnsi="宋体"/>
          <w:color w:val="000000"/>
          <w:sz w:val="24"/>
        </w:rPr>
        <w:t>2</w:t>
      </w:r>
      <w:r>
        <w:rPr>
          <w:rFonts w:hint="eastAsia" w:hAnsi="宋体"/>
          <w:color w:val="000000"/>
          <w:sz w:val="24"/>
        </w:rPr>
        <w:t>）供应商技术资信投标文件中出现投标报价；</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）除</w:t>
      </w:r>
      <w:r>
        <w:rPr>
          <w:rFonts w:hAnsi="宋体"/>
          <w:color w:val="000000"/>
          <w:sz w:val="24"/>
        </w:rPr>
        <w:t>3.3</w:t>
      </w:r>
      <w:r>
        <w:rPr>
          <w:rFonts w:hint="eastAsia" w:hAnsi="宋体"/>
          <w:color w:val="000000"/>
          <w:sz w:val="24"/>
        </w:rPr>
        <w:t>条款以外，出现其它明显不符合技术规格、技术标准的要求或不满足招标文件技术规格书中的主要参数的投标文件；</w:t>
      </w:r>
    </w:p>
    <w:p>
      <w:pPr>
        <w:pStyle w:val="15"/>
        <w:adjustRightInd w:val="0"/>
        <w:snapToGrid w:val="0"/>
        <w:spacing w:line="430" w:lineRule="atLeast"/>
        <w:ind w:firstLine="480" w:firstLineChars="200"/>
        <w:rPr>
          <w:rFonts w:hAnsi="宋体"/>
          <w:color w:val="000000"/>
          <w:sz w:val="24"/>
        </w:rPr>
      </w:pPr>
      <w:r>
        <w:rPr>
          <w:rFonts w:hAnsi="宋体"/>
          <w:color w:val="000000"/>
          <w:sz w:val="24"/>
        </w:rPr>
        <w:t>4</w:t>
      </w:r>
      <w:r>
        <w:rPr>
          <w:rFonts w:hint="eastAsia" w:hAnsi="宋体"/>
          <w:color w:val="000000"/>
          <w:sz w:val="24"/>
        </w:rPr>
        <w:t>）除</w:t>
      </w:r>
      <w:r>
        <w:rPr>
          <w:rFonts w:hAnsi="宋体"/>
          <w:color w:val="000000"/>
          <w:sz w:val="24"/>
        </w:rPr>
        <w:t>3.3</w:t>
      </w:r>
      <w:r>
        <w:rPr>
          <w:rFonts w:hint="eastAsia" w:hAnsi="宋体"/>
          <w:color w:val="000000"/>
          <w:sz w:val="24"/>
        </w:rPr>
        <w:t>条款以外，出现投标货物数量与招标文件对比出现较大偏差或商务报价明细表计算错误，出现较大差错；</w:t>
      </w:r>
    </w:p>
    <w:p>
      <w:pPr>
        <w:pStyle w:val="15"/>
        <w:adjustRightInd w:val="0"/>
        <w:snapToGrid w:val="0"/>
        <w:spacing w:line="430" w:lineRule="atLeast"/>
        <w:ind w:firstLine="480" w:firstLineChars="200"/>
        <w:rPr>
          <w:rFonts w:hAnsi="宋体"/>
          <w:color w:val="000000"/>
          <w:sz w:val="24"/>
        </w:rPr>
      </w:pPr>
      <w:r>
        <w:rPr>
          <w:rFonts w:hAnsi="宋体"/>
          <w:color w:val="000000"/>
          <w:sz w:val="24"/>
        </w:rPr>
        <w:t>5</w:t>
      </w:r>
      <w:r>
        <w:rPr>
          <w:rFonts w:hint="eastAsia" w:hAnsi="宋体"/>
          <w:color w:val="000000"/>
          <w:sz w:val="24"/>
        </w:rPr>
        <w:t>）除</w:t>
      </w:r>
      <w:r>
        <w:rPr>
          <w:rFonts w:hAnsi="宋体"/>
          <w:color w:val="000000"/>
          <w:sz w:val="24"/>
        </w:rPr>
        <w:t>3.3</w:t>
      </w:r>
      <w:r>
        <w:rPr>
          <w:rFonts w:hint="eastAsia" w:hAnsi="宋体"/>
          <w:color w:val="000000"/>
          <w:sz w:val="24"/>
        </w:rPr>
        <w:t>条款以外，出现其它不符合招标文件中规定的实质性要求的投标文件，是否为偏离实质性要求由评标委员会认定。</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3.5 </w:t>
      </w:r>
      <w:r>
        <w:rPr>
          <w:rFonts w:hint="eastAsia" w:hAnsi="宋体"/>
          <w:color w:val="000000"/>
          <w:sz w:val="24"/>
        </w:rPr>
        <w:t>开启供应商商务报价文件后发现价格、数量有误，其投标价将按下述原则处理：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1) </w:t>
      </w:r>
      <w:r>
        <w:rPr>
          <w:rFonts w:hint="eastAsia" w:hAnsi="宋体"/>
          <w:color w:val="000000"/>
          <w:sz w:val="24"/>
        </w:rPr>
        <w:t>任何有漏去一些小项货物或服务的投标将被视为其费用已包含在投标总价中，投标价格不予调整。如果供应商不接受上述处理方式，将作为无效投标。</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2) </w:t>
      </w:r>
      <w:r>
        <w:rPr>
          <w:rFonts w:hint="eastAsia" w:hAnsi="宋体"/>
          <w:color w:val="000000"/>
          <w:sz w:val="24"/>
        </w:rPr>
        <w:t>任何有多报一些小项工程或货物的投标其投标价不予调整，如果该供应商中标，则合同价格必须为核减掉多报的一些小项工程或货物后的价格。如果供应商不接受上述处理方式，将作为无效投标。</w:t>
      </w:r>
    </w:p>
    <w:p>
      <w:pPr>
        <w:pStyle w:val="15"/>
        <w:adjustRightInd w:val="0"/>
        <w:snapToGrid w:val="0"/>
        <w:spacing w:line="430" w:lineRule="atLeast"/>
        <w:ind w:firstLine="480" w:firstLineChars="200"/>
        <w:rPr>
          <w:rFonts w:hAnsi="宋体"/>
          <w:color w:val="000000"/>
          <w:sz w:val="24"/>
        </w:rPr>
      </w:pPr>
      <w:r>
        <w:rPr>
          <w:rFonts w:hAnsi="宋体"/>
          <w:color w:val="000000"/>
          <w:sz w:val="24"/>
        </w:rPr>
        <w:t>3</w:t>
      </w:r>
      <w:r>
        <w:rPr>
          <w:rFonts w:hint="eastAsia" w:hAnsi="宋体"/>
          <w:color w:val="000000"/>
          <w:sz w:val="24"/>
        </w:rPr>
        <w:t>）对于计算错误的其投标价不予调整，如果该供应商中标，如其投标价格计算错误导致多报者合同价格予以据实核减，少报者合同价格不予调整。如果供应商不接受上述处理方式，将作为无效投标。</w:t>
      </w:r>
    </w:p>
    <w:p>
      <w:pPr>
        <w:pStyle w:val="15"/>
        <w:adjustRightInd w:val="0"/>
        <w:snapToGrid w:val="0"/>
        <w:spacing w:line="430" w:lineRule="atLeast"/>
        <w:ind w:firstLine="480" w:firstLineChars="200"/>
        <w:rPr>
          <w:rFonts w:hAnsi="宋体"/>
          <w:color w:val="000000"/>
          <w:sz w:val="24"/>
        </w:rPr>
      </w:pPr>
      <w:r>
        <w:rPr>
          <w:rFonts w:hAnsi="宋体"/>
          <w:color w:val="000000"/>
          <w:sz w:val="24"/>
        </w:rPr>
        <w:t>4</w:t>
      </w:r>
      <w:r>
        <w:rPr>
          <w:rFonts w:hint="eastAsia" w:hAnsi="宋体"/>
          <w:color w:val="000000"/>
          <w:sz w:val="24"/>
        </w:rPr>
        <w:t>）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pStyle w:val="15"/>
        <w:adjustRightInd w:val="0"/>
        <w:snapToGrid w:val="0"/>
        <w:spacing w:line="430" w:lineRule="atLeast"/>
        <w:ind w:firstLine="480" w:firstLineChars="200"/>
        <w:rPr>
          <w:rFonts w:hAnsi="宋体"/>
          <w:b/>
          <w:bCs/>
          <w:color w:val="000000"/>
          <w:sz w:val="24"/>
        </w:rPr>
      </w:pPr>
      <w:r>
        <w:rPr>
          <w:rFonts w:hAnsi="宋体"/>
          <w:color w:val="000000"/>
          <w:sz w:val="24"/>
        </w:rPr>
        <w:t xml:space="preserve">3.6 </w:t>
      </w:r>
      <w:r>
        <w:rPr>
          <w:rFonts w:hint="eastAsia" w:hAnsi="宋体"/>
          <w:color w:val="000000"/>
          <w:sz w:val="24"/>
        </w:rPr>
        <w:t>▲</w:t>
      </w:r>
      <w:r>
        <w:rPr>
          <w:rFonts w:hint="eastAsia" w:hAnsi="宋体"/>
          <w:b/>
          <w:bCs/>
          <w:color w:val="000000"/>
          <w:sz w:val="24"/>
        </w:rPr>
        <w:t>评标委员会认为投标人的报价明显低于其他通过符合性审查投标人的报价，有可能影响产品或服务质量或者不能诚信履约的，应当要求其通过“政府采购云平台”在合理的时间内提供线上书面说明，必要时提交相关证明材料；投标人不能证明其报价合理性的，评标委员会应当将其作为无效投标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3.7 </w:t>
      </w:r>
      <w:r>
        <w:rPr>
          <w:rFonts w:hint="eastAsia" w:hAnsi="宋体"/>
          <w:color w:val="000000"/>
          <w:sz w:val="24"/>
        </w:rPr>
        <w:t>评标委员会在评标中，不得改变招标文件中规定的评标标准、方法和中标条件。</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3.8 </w:t>
      </w:r>
      <w:r>
        <w:rPr>
          <w:rFonts w:hint="eastAsia" w:hAnsi="宋体"/>
          <w:color w:val="000000"/>
          <w:sz w:val="24"/>
        </w:rPr>
        <w:t>评标时如遇到招标文件未规定的特殊情况，由评标委员会按少数服从多数原则集体决定处理。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3.9</w:t>
      </w:r>
      <w:r>
        <w:rPr>
          <w:rFonts w:hint="eastAsia" w:hAnsi="宋体"/>
          <w:b/>
          <w:bCs/>
          <w:color w:val="000000"/>
          <w:sz w:val="24"/>
        </w:rPr>
        <w:t>评标委员会对未中标的供应商不作解释。同时根据政府采购法实施条例第四十条规定，本项目不对供应商公布详细的评审情况，不公布具体评标细则中小项得分。</w:t>
      </w:r>
    </w:p>
    <w:p>
      <w:pPr>
        <w:pStyle w:val="15"/>
        <w:adjustRightInd w:val="0"/>
        <w:snapToGrid w:val="0"/>
        <w:spacing w:line="430" w:lineRule="atLeast"/>
        <w:ind w:firstLine="480" w:firstLineChars="200"/>
        <w:rPr>
          <w:rFonts w:hAnsi="宋体"/>
          <w:color w:val="000000"/>
          <w:sz w:val="24"/>
        </w:rPr>
      </w:pPr>
      <w:r>
        <w:rPr>
          <w:rFonts w:hAnsi="宋体"/>
          <w:color w:val="000000"/>
          <w:sz w:val="24"/>
        </w:rPr>
        <w:t>4</w:t>
      </w:r>
      <w:r>
        <w:rPr>
          <w:rFonts w:hint="eastAsia" w:hAnsi="宋体"/>
          <w:color w:val="000000"/>
          <w:sz w:val="24"/>
        </w:rPr>
        <w:t>、投标文件的澄清</w:t>
      </w:r>
    </w:p>
    <w:p>
      <w:pPr>
        <w:pStyle w:val="15"/>
        <w:adjustRightInd w:val="0"/>
        <w:snapToGrid w:val="0"/>
        <w:spacing w:line="430" w:lineRule="atLeast"/>
        <w:ind w:firstLine="480" w:firstLineChars="200"/>
        <w:rPr>
          <w:rFonts w:hAnsi="宋体"/>
          <w:color w:val="000000"/>
          <w:sz w:val="24"/>
        </w:rPr>
      </w:pPr>
      <w:r>
        <w:rPr>
          <w:rFonts w:hAnsi="宋体"/>
          <w:color w:val="000000"/>
          <w:sz w:val="24"/>
        </w:rPr>
        <w:t xml:space="preserve">4.1 </w:t>
      </w:r>
      <w:r>
        <w:rPr>
          <w:rFonts w:hint="eastAsia" w:hAnsi="宋体"/>
          <w:color w:val="000000"/>
          <w:sz w:val="24"/>
        </w:rPr>
        <w:t>为有利于对投标文件的比较和评议，必要时评标委员会可要求投标供应商对投标文件相关事宜进行澄清。评标委员会将通过“政府采购云平台”在线询标的形式要求投标供应商在规定的时间内作出必要的澄清、说明，供投标供应商澄清、说明时间不少于</w:t>
      </w:r>
      <w:r>
        <w:rPr>
          <w:rFonts w:hAnsi="宋体"/>
          <w:color w:val="000000"/>
          <w:sz w:val="24"/>
        </w:rPr>
        <w:t>30</w:t>
      </w:r>
      <w:r>
        <w:rPr>
          <w:rFonts w:hint="eastAsia" w:hAnsi="宋体"/>
          <w:color w:val="000000"/>
          <w:sz w:val="24"/>
        </w:rPr>
        <w:t>分钟，投标供应商未在规定的时间内作出必要的澄清、说明将导致对其不利的评定。</w:t>
      </w:r>
    </w:p>
    <w:p>
      <w:pPr>
        <w:pStyle w:val="15"/>
        <w:adjustRightInd w:val="0"/>
        <w:snapToGrid w:val="0"/>
        <w:spacing w:line="430" w:lineRule="atLeast"/>
        <w:ind w:firstLine="480" w:firstLineChars="200"/>
        <w:rPr>
          <w:rFonts w:hAnsi="宋体"/>
          <w:color w:val="000000"/>
          <w:sz w:val="24"/>
        </w:rPr>
      </w:pPr>
      <w:r>
        <w:rPr>
          <w:rFonts w:hAnsi="宋体"/>
          <w:color w:val="000000"/>
          <w:sz w:val="24"/>
        </w:rPr>
        <w:t>4.2</w:t>
      </w:r>
      <w:r>
        <w:rPr>
          <w:rFonts w:hint="eastAsia" w:hAnsi="宋体"/>
          <w:color w:val="000000"/>
          <w:sz w:val="24"/>
        </w:rPr>
        <w:t>投标供应商的澄清、说明应当通过“政府采购云平台”在线答复形式提交，并加盖公章。投标供应商的澄清、说明不得超出投标文件的范围或者改变投标文件的实质性内容。</w:t>
      </w:r>
    </w:p>
    <w:p>
      <w:pPr>
        <w:pStyle w:val="15"/>
        <w:adjustRightInd w:val="0"/>
        <w:snapToGrid w:val="0"/>
        <w:spacing w:line="430" w:lineRule="atLeast"/>
        <w:ind w:firstLine="480" w:firstLineChars="200"/>
        <w:rPr>
          <w:rFonts w:hAnsi="宋体"/>
          <w:color w:val="000000"/>
          <w:sz w:val="24"/>
        </w:rPr>
      </w:pPr>
      <w:r>
        <w:rPr>
          <w:rFonts w:hAnsi="宋体"/>
          <w:color w:val="000000"/>
          <w:sz w:val="24"/>
        </w:rPr>
        <w:t>5</w:t>
      </w:r>
      <w:r>
        <w:rPr>
          <w:rFonts w:hint="eastAsia" w:hAnsi="宋体"/>
          <w:color w:val="000000"/>
          <w:sz w:val="24"/>
        </w:rPr>
        <w:t>、禁止供应商相互串通投标。</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5.1</w:t>
      </w:r>
      <w:r>
        <w:rPr>
          <w:rFonts w:hint="eastAsia" w:hAnsi="宋体"/>
          <w:b/>
          <w:bCs/>
          <w:color w:val="000000"/>
          <w:sz w:val="24"/>
        </w:rPr>
        <w:t>、有下列情形之一的，视为供应商相互串通投标：</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（一）不同供应商的投标文件由同一单位或者个人编制；</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（二）不同供应商委托同一单位或者个人办理投标事宜；</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（三）不同供应商的投标文件载明的项目管理成员为同一人；</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（四）不同供应商的投标文件异常一致或者投标报价呈规律性差异；</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（五）不同供应商的投标文件相互混装；</w:t>
      </w:r>
    </w:p>
    <w:p>
      <w:pPr>
        <w:pStyle w:val="15"/>
        <w:adjustRightInd w:val="0"/>
        <w:snapToGrid w:val="0"/>
        <w:spacing w:line="430" w:lineRule="atLeast"/>
        <w:ind w:firstLine="480" w:firstLineChars="200"/>
        <w:rPr>
          <w:rFonts w:hAnsi="宋体"/>
          <w:color w:val="000000"/>
          <w:sz w:val="24"/>
        </w:rPr>
      </w:pPr>
      <w:r>
        <w:rPr>
          <w:rFonts w:hAnsi="宋体"/>
          <w:color w:val="000000"/>
          <w:sz w:val="24"/>
        </w:rPr>
        <w:t>5.2</w:t>
      </w:r>
      <w:r>
        <w:rPr>
          <w:rFonts w:hint="eastAsia" w:hAnsi="宋体"/>
          <w:color w:val="000000"/>
          <w:sz w:val="24"/>
        </w:rPr>
        <w:t>、经评标委员会认定供应商进行串通投标的，评标委员会可以对相关供应商做出无效投标处理，并上报政府采购管理部门进行进一步处理。</w:t>
      </w:r>
    </w:p>
    <w:p>
      <w:pPr>
        <w:pStyle w:val="15"/>
        <w:adjustRightInd w:val="0"/>
        <w:snapToGrid w:val="0"/>
        <w:spacing w:line="430" w:lineRule="atLeast"/>
        <w:ind w:firstLine="480" w:firstLineChars="200"/>
        <w:rPr>
          <w:rFonts w:hAnsi="宋体"/>
          <w:color w:val="000000"/>
          <w:sz w:val="24"/>
        </w:rPr>
      </w:pPr>
      <w:r>
        <w:rPr>
          <w:rFonts w:hAnsi="宋体"/>
          <w:color w:val="000000"/>
          <w:sz w:val="24"/>
        </w:rPr>
        <w:t>6</w:t>
      </w:r>
      <w:r>
        <w:rPr>
          <w:rFonts w:hint="eastAsia" w:hAnsi="宋体"/>
          <w:color w:val="000000"/>
          <w:sz w:val="24"/>
        </w:rPr>
        <w:t>、评标原则</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▲投标截止时或评审过程中有效投标供应商不足三家的，不予开标或评标。</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评标委员会按照招标文件的要求和条件对投标文件进行商务和技术评估，综合比较与评价。</w:t>
      </w:r>
    </w:p>
    <w:p>
      <w:pPr>
        <w:pStyle w:val="15"/>
        <w:adjustRightInd w:val="0"/>
        <w:snapToGrid w:val="0"/>
        <w:spacing w:line="430" w:lineRule="atLeast"/>
        <w:ind w:firstLine="480" w:firstLineChars="200"/>
        <w:rPr>
          <w:rFonts w:hAnsi="宋体"/>
          <w:color w:val="000000"/>
          <w:sz w:val="24"/>
        </w:rPr>
      </w:pPr>
      <w:r>
        <w:rPr>
          <w:rFonts w:hint="eastAsia" w:hAnsi="宋体"/>
          <w:color w:val="000000"/>
          <w:sz w:val="24"/>
        </w:rPr>
        <w:t>评标办法具体见本招标文件第七部分。</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7</w:t>
      </w:r>
      <w:r>
        <w:rPr>
          <w:rFonts w:hint="eastAsia" w:hAnsi="宋体"/>
          <w:b/>
          <w:bCs/>
          <w:color w:val="000000"/>
          <w:sz w:val="24"/>
        </w:rPr>
        <w:t>、可中止电子交易活动的情形</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采购过程中出现以下情形，导致电子交易平台无法正常运行，或者无法保证电子交易的公平、公正和安全时，采购组织机构可中止电子交易活动：</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1</w:t>
      </w:r>
      <w:r>
        <w:rPr>
          <w:rFonts w:hint="eastAsia" w:hAnsi="宋体"/>
          <w:b/>
          <w:bCs/>
          <w:color w:val="000000"/>
          <w:sz w:val="24"/>
        </w:rPr>
        <w:t>）电子交易平台发生故障而无法登录访问的；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2</w:t>
      </w:r>
      <w:r>
        <w:rPr>
          <w:rFonts w:hint="eastAsia" w:hAnsi="宋体"/>
          <w:b/>
          <w:bCs/>
          <w:color w:val="000000"/>
          <w:sz w:val="24"/>
        </w:rPr>
        <w:t>）电子交易平台应用或数据库出现错误，不能进行正常操作的；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3</w:t>
      </w:r>
      <w:r>
        <w:rPr>
          <w:rFonts w:hint="eastAsia" w:hAnsi="宋体"/>
          <w:b/>
          <w:bCs/>
          <w:color w:val="000000"/>
          <w:sz w:val="24"/>
        </w:rPr>
        <w:t>）电子交易平台发现严重安全漏洞，有潜在泄密危险的；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4</w:t>
      </w:r>
      <w:r>
        <w:rPr>
          <w:rFonts w:hint="eastAsia" w:hAnsi="宋体"/>
          <w:b/>
          <w:bCs/>
          <w:color w:val="000000"/>
          <w:sz w:val="24"/>
        </w:rPr>
        <w:t>）病毒发作导致不能进行正常操作的；</w:t>
      </w:r>
    </w:p>
    <w:p>
      <w:pPr>
        <w:pStyle w:val="15"/>
        <w:adjustRightInd w:val="0"/>
        <w:snapToGrid w:val="0"/>
        <w:spacing w:line="430" w:lineRule="atLeast"/>
        <w:ind w:firstLine="482" w:firstLineChars="200"/>
        <w:rPr>
          <w:rFonts w:hAnsi="宋体"/>
          <w:b/>
          <w:bCs/>
          <w:color w:val="000000"/>
          <w:sz w:val="24"/>
        </w:rPr>
      </w:pPr>
      <w:r>
        <w:rPr>
          <w:rFonts w:hAnsi="宋体"/>
          <w:b/>
          <w:bCs/>
          <w:color w:val="000000"/>
          <w:sz w:val="24"/>
        </w:rPr>
        <w:t>5</w:t>
      </w:r>
      <w:r>
        <w:rPr>
          <w:rFonts w:hint="eastAsia" w:hAnsi="宋体"/>
          <w:b/>
          <w:bCs/>
          <w:color w:val="000000"/>
          <w:sz w:val="24"/>
        </w:rPr>
        <w:t>）其他无法保证电子交易的公平、公正和安全的情况。</w:t>
      </w:r>
    </w:p>
    <w:p>
      <w:pPr>
        <w:pStyle w:val="15"/>
        <w:adjustRightInd w:val="0"/>
        <w:snapToGrid w:val="0"/>
        <w:spacing w:line="430" w:lineRule="atLeast"/>
        <w:ind w:firstLine="480" w:firstLineChars="200"/>
      </w:pPr>
      <w:r>
        <w:rPr>
          <w:rFonts w:hint="eastAsia" w:hAnsi="宋体"/>
          <w:color w:val="000000"/>
          <w:sz w:val="24"/>
        </w:rPr>
        <w:t>出现前款规定情形，不影响采购公平、公正性的，采购组织机构可以待上述情形消除后继续组织电子交易活动；影响或可能影响采购公平、公正性的，应当重新采购。</w:t>
      </w:r>
    </w:p>
    <w:p>
      <w:pPr>
        <w:pStyle w:val="24"/>
        <w:spacing w:before="0" w:beforeAutospacing="0" w:after="0" w:afterAutospacing="0" w:line="360" w:lineRule="auto"/>
        <w:ind w:firstLine="361" w:firstLineChars="150"/>
        <w:jc w:val="both"/>
        <w:rPr>
          <w:b/>
        </w:rPr>
      </w:pPr>
      <w:r>
        <w:rPr>
          <w:rFonts w:hint="eastAsia"/>
          <w:b/>
        </w:rPr>
        <w:t>六、定标</w:t>
      </w:r>
    </w:p>
    <w:p>
      <w:pPr>
        <w:pStyle w:val="24"/>
        <w:spacing w:before="0" w:beforeAutospacing="0" w:after="0" w:afterAutospacing="0" w:line="360" w:lineRule="auto"/>
        <w:ind w:firstLine="480" w:firstLineChars="200"/>
        <w:jc w:val="both"/>
      </w:pPr>
      <w:r>
        <w:t>1</w:t>
      </w:r>
      <w:r>
        <w:rPr>
          <w:rFonts w:hint="eastAsia"/>
        </w:rPr>
        <w:t>、确定中标供应商。评标委员会根据采购单位的《授权意见确认书》，推荐中标候选人或确定中标人。其中推荐中标候选人的，采购组织机构在评审结束后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pPr>
        <w:spacing w:line="360" w:lineRule="auto"/>
        <w:ind w:firstLine="480" w:firstLineChars="200"/>
        <w:rPr>
          <w:rFonts w:ascii="宋体"/>
          <w:kern w:val="0"/>
          <w:sz w:val="24"/>
        </w:rPr>
      </w:pPr>
      <w:r>
        <w:rPr>
          <w:rFonts w:ascii="宋体" w:hAnsi="宋体"/>
          <w:sz w:val="24"/>
        </w:rPr>
        <w:t>2</w:t>
      </w:r>
      <w:r>
        <w:rPr>
          <w:rFonts w:hint="eastAsia" w:ascii="宋体" w:hAnsi="宋体"/>
          <w:sz w:val="24"/>
        </w:rPr>
        <w:t>、</w:t>
      </w:r>
      <w:r>
        <w:rPr>
          <w:rFonts w:hint="eastAsia" w:ascii="宋体" w:hAnsi="宋体"/>
          <w:kern w:val="0"/>
          <w:sz w:val="24"/>
        </w:rPr>
        <w:t>发布</w:t>
      </w:r>
      <w:r>
        <w:rPr>
          <w:rFonts w:hint="eastAsia"/>
          <w:sz w:val="24"/>
        </w:rPr>
        <w:t>中标</w:t>
      </w:r>
      <w:r>
        <w:rPr>
          <w:rFonts w:hint="eastAsia" w:ascii="宋体" w:hAnsi="宋体"/>
          <w:kern w:val="0"/>
          <w:sz w:val="24"/>
        </w:rPr>
        <w:t>结果公告。采购组织机构应当自中标人确定之日起</w:t>
      </w:r>
      <w:r>
        <w:rPr>
          <w:rFonts w:ascii="宋体" w:hAnsi="宋体"/>
          <w:kern w:val="0"/>
          <w:sz w:val="24"/>
        </w:rPr>
        <w:t>2</w:t>
      </w:r>
      <w:r>
        <w:rPr>
          <w:rFonts w:hint="eastAsia" w:ascii="宋体" w:hAnsi="宋体"/>
          <w:kern w:val="0"/>
          <w:sz w:val="24"/>
        </w:rPr>
        <w:t>个工作日内，在省级以上财政部门指定的媒体及相关网站上公告中标结果，招标文件应当随中标结果同时公告。</w:t>
      </w:r>
    </w:p>
    <w:p>
      <w:pPr>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、发出中标通知书。采购组织机构在发布中标结果的同时，向中标人发出中标通知书。</w:t>
      </w:r>
    </w:p>
    <w:p>
      <w:pPr>
        <w:spacing w:line="360" w:lineRule="auto"/>
        <w:ind w:firstLine="482" w:firstLineChars="200"/>
        <w:rPr>
          <w:rFonts w:ascii="宋体"/>
          <w:kern w:val="0"/>
          <w:sz w:val="24"/>
        </w:rPr>
      </w:pPr>
      <w:r>
        <w:rPr>
          <w:rFonts w:hint="eastAsia" w:ascii="宋体" w:hAnsi="宋体"/>
          <w:b/>
          <w:sz w:val="24"/>
        </w:rPr>
        <w:t>七、</w:t>
      </w:r>
      <w:r>
        <w:rPr>
          <w:rFonts w:hint="eastAsia" w:ascii="宋体" w:hAnsi="宋体"/>
          <w:b/>
          <w:kern w:val="0"/>
          <w:sz w:val="24"/>
        </w:rPr>
        <w:t>合同签订及公告</w:t>
      </w:r>
    </w:p>
    <w:p>
      <w:pPr>
        <w:spacing w:line="360" w:lineRule="auto"/>
        <w:ind w:firstLine="482" w:firstLineChars="200"/>
        <w:rPr>
          <w:rFonts w:ascii="宋体"/>
          <w:b/>
          <w:kern w:val="0"/>
          <w:sz w:val="24"/>
        </w:rPr>
      </w:pPr>
      <w:r>
        <w:rPr>
          <w:rFonts w:hint="eastAsia" w:ascii="宋体" w:hAnsi="宋体"/>
          <w:b/>
          <w:sz w:val="24"/>
        </w:rPr>
        <w:t>（一）签订合同</w:t>
      </w:r>
    </w:p>
    <w:p>
      <w:pPr>
        <w:pStyle w:val="24"/>
        <w:spacing w:before="0" w:beforeAutospacing="0" w:after="0" w:afterAutospacing="0" w:line="360" w:lineRule="auto"/>
        <w:ind w:firstLine="600" w:firstLineChars="250"/>
        <w:jc w:val="both"/>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pPr>
        <w:pStyle w:val="24"/>
        <w:spacing w:before="0" w:beforeAutospacing="0" w:after="0" w:afterAutospacing="0" w:line="360" w:lineRule="auto"/>
        <w:ind w:firstLine="600" w:firstLineChars="250"/>
        <w:jc w:val="both"/>
      </w:pPr>
      <w:r>
        <w:t>2</w:t>
      </w:r>
      <w:r>
        <w:rPr>
          <w:rFonts w:hint="eastAsia"/>
        </w:rPr>
        <w:t>、采购人不得向中标人提出任何不合理的要求作为签订合同的条件。</w:t>
      </w:r>
    </w:p>
    <w:p>
      <w:pPr>
        <w:pStyle w:val="24"/>
        <w:spacing w:before="0" w:beforeAutospacing="0" w:after="0" w:afterAutospacing="0" w:line="360" w:lineRule="auto"/>
        <w:ind w:firstLine="600" w:firstLineChars="250"/>
        <w:jc w:val="both"/>
      </w:pPr>
      <w:r>
        <w:t>3</w:t>
      </w:r>
      <w:r>
        <w:rPr>
          <w:rFonts w:hint="eastAsia"/>
        </w:rPr>
        <w:t>、中标供应商无故拖延、拒签合同的</w:t>
      </w:r>
      <w:r>
        <w:t>,</w:t>
      </w:r>
      <w:r>
        <w:rPr>
          <w:rFonts w:hint="eastAsia"/>
        </w:rPr>
        <w:t>投标保证金将不予退还并取消中标资格。</w:t>
      </w:r>
    </w:p>
    <w:p>
      <w:pPr>
        <w:pStyle w:val="24"/>
        <w:spacing w:before="0" w:beforeAutospacing="0" w:after="0" w:afterAutospacing="0" w:line="360" w:lineRule="auto"/>
        <w:ind w:firstLine="480" w:firstLineChars="200"/>
        <w:jc w:val="both"/>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4"/>
        <w:spacing w:line="360" w:lineRule="auto"/>
        <w:ind w:firstLine="480" w:firstLineChars="200"/>
      </w:pPr>
      <w:r>
        <w:t>5</w:t>
      </w:r>
      <w:r>
        <w:rPr>
          <w:rFonts w:hint="eastAsia"/>
        </w:rPr>
        <w:t>、询问或者质疑事项可能影响中标结果的，采购人应当暂停签订合同，已经签订合同的，应当中止履行合同</w:t>
      </w:r>
      <w:r>
        <w:rPr>
          <w:rFonts w:hint="eastAsia"/>
          <w:lang w:eastAsia="zh-CN"/>
        </w:rPr>
        <w:t>。</w:t>
      </w:r>
      <w:r>
        <w:rPr>
          <w:rFonts w:hint="eastAsia"/>
        </w:rPr>
        <w:t>（中标结果的质疑期为中标结果公告期限届满之日起七个工作日）</w:t>
      </w:r>
    </w:p>
    <w:p>
      <w:pPr>
        <w:pStyle w:val="24"/>
        <w:spacing w:line="360" w:lineRule="auto"/>
        <w:ind w:firstLine="482" w:firstLineChars="200"/>
        <w:rPr>
          <w:rFonts w:cs="仿宋_GB2312"/>
          <w:b/>
        </w:rPr>
      </w:pPr>
      <w:r>
        <w:rPr>
          <w:rFonts w:hint="eastAsia"/>
          <w:b/>
        </w:rPr>
        <w:t>（二）合同公告及备案</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、采购人应当自政府采购合同签订之日起</w:t>
      </w:r>
      <w:r>
        <w:rPr>
          <w:rFonts w:ascii="宋体" w:hAnsi="宋体"/>
          <w:sz w:val="24"/>
        </w:rPr>
        <w:t>2</w:t>
      </w:r>
      <w:r>
        <w:rPr>
          <w:rFonts w:hint="eastAsia" w:ascii="宋体" w:hAnsi="宋体"/>
          <w:sz w:val="24"/>
        </w:rPr>
        <w:t>个工作日内，</w:t>
      </w:r>
      <w:r>
        <w:rPr>
          <w:rFonts w:hint="eastAsia" w:ascii="宋体" w:hAnsi="宋体"/>
          <w:kern w:val="0"/>
          <w:sz w:val="24"/>
        </w:rPr>
        <w:t>在省级以上财政部门指定的政府采购信息发布媒体及相关网站上公告</w:t>
      </w:r>
      <w:r>
        <w:rPr>
          <w:rFonts w:hint="eastAsia" w:ascii="宋体" w:hAnsi="宋体"/>
          <w:sz w:val="24"/>
        </w:rPr>
        <w:t>。</w:t>
      </w:r>
    </w:p>
    <w:p>
      <w:pPr>
        <w:spacing w:line="360" w:lineRule="auto"/>
        <w:ind w:firstLine="480" w:firstLineChars="200"/>
        <w:rPr>
          <w:rFonts w:ascii="宋体"/>
          <w:sz w:val="24"/>
        </w:rPr>
      </w:pPr>
      <w:r>
        <w:rPr>
          <w:rFonts w:ascii="宋体" w:hAnsi="宋体"/>
          <w:sz w:val="24"/>
        </w:rPr>
        <w:t>2</w:t>
      </w:r>
      <w:r>
        <w:rPr>
          <w:rFonts w:hint="eastAsia" w:ascii="宋体" w:hAnsi="宋体"/>
          <w:sz w:val="24"/>
        </w:rPr>
        <w:t>、采购人应当自政府采购合同签订之日起</w:t>
      </w:r>
      <w:r>
        <w:rPr>
          <w:rFonts w:ascii="宋体" w:hAnsi="宋体"/>
          <w:sz w:val="24"/>
        </w:rPr>
        <w:t>7</w:t>
      </w:r>
      <w:r>
        <w:rPr>
          <w:rFonts w:hint="eastAsia" w:ascii="宋体" w:hAnsi="宋体"/>
          <w:sz w:val="24"/>
        </w:rPr>
        <w:t>个工作日内，将政府采购合同副本报同级人民政府财政部门备案以及采购组织机构存档。</w:t>
      </w:r>
    </w:p>
    <w:p>
      <w:pPr>
        <w:spacing w:line="360" w:lineRule="auto"/>
        <w:rPr>
          <w:rFonts w:ascii="宋体"/>
          <w:sz w:val="24"/>
        </w:rPr>
      </w:pPr>
      <w:r>
        <w:rPr>
          <w:rFonts w:ascii="宋体"/>
          <w:sz w:val="24"/>
        </w:rPr>
        <w:br w:type="page"/>
      </w:r>
    </w:p>
    <w:p>
      <w:pPr>
        <w:numPr>
          <w:ilvl w:val="0"/>
          <w:numId w:val="6"/>
        </w:numPr>
        <w:spacing w:line="360" w:lineRule="auto"/>
        <w:jc w:val="center"/>
        <w:rPr>
          <w:rFonts w:ascii="宋体"/>
          <w:b/>
          <w:sz w:val="36"/>
          <w:szCs w:val="36"/>
        </w:rPr>
      </w:pPr>
      <w:r>
        <w:rPr>
          <w:rFonts w:hint="eastAsia" w:ascii="宋体" w:hAnsi="宋体"/>
          <w:b/>
          <w:sz w:val="36"/>
          <w:szCs w:val="36"/>
        </w:rPr>
        <w:t>评标办法及评分标准</w:t>
      </w:r>
    </w:p>
    <w:p>
      <w:pPr>
        <w:autoSpaceDE w:val="0"/>
        <w:autoSpaceDN w:val="0"/>
        <w:spacing w:line="360" w:lineRule="auto"/>
        <w:ind w:firstLine="480" w:firstLineChars="200"/>
        <w:rPr>
          <w:rFonts w:ascii="宋体"/>
          <w:b/>
          <w:i/>
          <w:kern w:val="0"/>
          <w:sz w:val="24"/>
        </w:rPr>
      </w:pPr>
      <w:r>
        <w:rPr>
          <w:rFonts w:hint="eastAsia" w:ascii="宋体" w:hAnsi="宋体"/>
          <w:kern w:val="0"/>
          <w:sz w:val="24"/>
        </w:rPr>
        <w:t>一、采购组织机构将组织评标委员会，对投标人提供的投标文件进行综合评审。</w:t>
      </w:r>
    </w:p>
    <w:p>
      <w:pPr>
        <w:autoSpaceDE w:val="0"/>
        <w:autoSpaceDN w:val="0"/>
        <w:adjustRightInd w:val="0"/>
        <w:spacing w:line="360" w:lineRule="auto"/>
        <w:ind w:right="84" w:firstLine="472"/>
        <w:rPr>
          <w:rFonts w:ascii="宋体"/>
          <w:kern w:val="0"/>
          <w:sz w:val="24"/>
        </w:rPr>
      </w:pPr>
      <w:r>
        <w:rPr>
          <w:rFonts w:hint="eastAsia" w:ascii="宋体" w:hAnsi="宋体"/>
          <w:kern w:val="0"/>
          <w:sz w:val="24"/>
        </w:rPr>
        <w:t>二、本次招标项目的评标方法为综合评分法，总计</w:t>
      </w:r>
      <w:r>
        <w:rPr>
          <w:rFonts w:ascii="宋体" w:hAnsi="宋体"/>
          <w:kern w:val="0"/>
          <w:sz w:val="24"/>
        </w:rPr>
        <w:t>100</w:t>
      </w:r>
      <w:r>
        <w:rPr>
          <w:rFonts w:hint="eastAsia" w:ascii="宋体" w:hAnsi="宋体"/>
          <w:kern w:val="0"/>
          <w:sz w:val="24"/>
        </w:rPr>
        <w:t>分。</w:t>
      </w:r>
    </w:p>
    <w:p>
      <w:pPr>
        <w:autoSpaceDE w:val="0"/>
        <w:autoSpaceDN w:val="0"/>
        <w:adjustRightInd w:val="0"/>
        <w:spacing w:line="360" w:lineRule="auto"/>
        <w:ind w:right="84" w:firstLine="472" w:firstLineChars="0"/>
        <w:rPr>
          <w:rFonts w:hint="eastAsia" w:ascii="宋体" w:hAnsi="宋体" w:eastAsia="宋体" w:cs="Times New Roman"/>
          <w:kern w:val="0"/>
          <w:sz w:val="24"/>
          <w:lang w:val="zh-CN"/>
        </w:rPr>
      </w:pPr>
      <w:r>
        <w:rPr>
          <w:rFonts w:hint="eastAsia" w:ascii="宋体" w:hAnsi="宋体" w:eastAsia="宋体" w:cs="Times New Roman"/>
          <w:bCs w:val="0"/>
          <w:kern w:val="0"/>
          <w:sz w:val="24"/>
          <w:lang w:val="zh-CN"/>
        </w:rPr>
        <w:t>（一）</w:t>
      </w:r>
      <w:r>
        <w:rPr>
          <w:rFonts w:hint="eastAsia" w:ascii="宋体" w:hAnsi="宋体" w:eastAsia="宋体" w:cs="Times New Roman"/>
          <w:kern w:val="0"/>
          <w:sz w:val="24"/>
          <w:lang w:val="zh-CN"/>
        </w:rPr>
        <w:t>商务与技术文件中的客观分应一致，评审小组成员应独立评审，客观分打分不一致时，采购人及采购代理机构可以提示评审委员会复核或者书面说明理由。其余在规定的分值内单独评定打分。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（二）各投标人商务与技术文件</w:t>
      </w:r>
      <w:r>
        <w:rPr>
          <w:rFonts w:hint="eastAsia" w:ascii="宋体"/>
          <w:color w:val="000000"/>
          <w:kern w:val="0"/>
          <w:sz w:val="24"/>
          <w:lang w:val="zh-CN"/>
        </w:rPr>
        <w:t>得分按照评标委员会成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ascii="宋体"/>
          <w:bCs/>
          <w:color w:val="000000"/>
          <w:sz w:val="24"/>
          <w:lang w:val="zh-CN"/>
        </w:rPr>
        <w:t>=</w:t>
      </w:r>
      <w:r>
        <w:rPr>
          <w:rFonts w:hint="eastAsia" w:ascii="宋体"/>
          <w:bCs/>
          <w:color w:val="000000"/>
          <w:sz w:val="24"/>
          <w:lang w:val="zh-CN"/>
        </w:rPr>
        <w:t>评标委员会所有成员评分合计数</w:t>
      </w:r>
      <w:r>
        <w:rPr>
          <w:rFonts w:ascii="宋体"/>
          <w:bCs/>
          <w:color w:val="000000"/>
          <w:sz w:val="24"/>
          <w:lang w:val="zh-CN"/>
        </w:rPr>
        <w:t>/</w:t>
      </w:r>
      <w:r>
        <w:rPr>
          <w:rFonts w:hint="eastAsia" w:ascii="宋体"/>
          <w:bCs/>
          <w:color w:val="000000"/>
          <w:sz w:val="24"/>
          <w:lang w:val="zh-CN"/>
        </w:rPr>
        <w:t>评标委员会组成人员数。</w:t>
      </w:r>
    </w:p>
    <w:p>
      <w:pPr>
        <w:numPr>
          <w:ilvl w:val="0"/>
          <w:numId w:val="10"/>
        </w:numPr>
        <w:autoSpaceDE w:val="0"/>
        <w:autoSpaceDN w:val="0"/>
        <w:adjustRightInd w:val="0"/>
        <w:spacing w:line="360" w:lineRule="auto"/>
        <w:ind w:right="85" w:firstLine="480" w:firstLineChars="200"/>
        <w:rPr>
          <w:rFonts w:hint="eastAsia" w:ascii="宋体" w:hAnsi="宋体"/>
          <w:sz w:val="24"/>
          <w:lang w:eastAsia="zh-CN"/>
        </w:rPr>
      </w:pPr>
      <w:r>
        <w:rPr>
          <w:rFonts w:hint="eastAsia" w:ascii="宋体" w:hAnsi="宋体"/>
          <w:sz w:val="24"/>
          <w:lang w:eastAsia="zh-CN"/>
        </w:rPr>
        <w:t>投标报价得分采用低价优先方法计算，即满足招标文件要求且投标价格最低的投标报价为评标基准价，其报价得满分。其他投标人的投标报价得分按下列公式计算：</w:t>
      </w:r>
    </w:p>
    <w:p>
      <w:pPr>
        <w:numPr>
          <w:ilvl w:val="0"/>
          <w:numId w:val="0"/>
        </w:numPr>
        <w:autoSpaceDE w:val="0"/>
        <w:autoSpaceDN w:val="0"/>
        <w:adjustRightInd w:val="0"/>
        <w:spacing w:line="360" w:lineRule="auto"/>
        <w:ind w:right="85" w:rightChars="0" w:firstLine="720" w:firstLineChars="3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投标报价得分=(评标基准价／投标报价)×</w:t>
      </w:r>
      <w:r>
        <w:rPr>
          <w:rFonts w:hint="eastAsia" w:ascii="宋体"/>
          <w:color w:val="000000" w:themeColor="text1"/>
          <w:sz w:val="24"/>
          <w14:textFill>
            <w14:solidFill>
              <w14:schemeClr w14:val="tx1"/>
            </w14:solidFill>
          </w14:textFill>
        </w:rPr>
        <w:t>2</w:t>
      </w:r>
      <w:r>
        <w:rPr>
          <w:rFonts w:hint="eastAsia" w:ascii="宋体"/>
          <w:color w:val="000000" w:themeColor="text1"/>
          <w:sz w:val="24"/>
          <w:lang w:val="zh-CN"/>
          <w14:textFill>
            <w14:solidFill>
              <w14:schemeClr w14:val="tx1"/>
            </w14:solidFill>
          </w14:textFill>
        </w:rPr>
        <w:t>0%×100。</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（四）政府采购政策及优惠：（</w:t>
      </w:r>
      <w:r>
        <w:rPr>
          <w:rFonts w:ascii="宋体"/>
          <w:color w:val="000000"/>
          <w:sz w:val="24"/>
          <w:lang w:val="zh-CN"/>
        </w:rPr>
        <w:t>1</w:t>
      </w:r>
      <w:r>
        <w:rPr>
          <w:rFonts w:hint="eastAsia" w:ascii="宋体"/>
          <w:color w:val="000000"/>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w:t>
      </w:r>
      <w:r>
        <w:rPr>
          <w:rFonts w:ascii="宋体"/>
          <w:color w:val="000000"/>
          <w:sz w:val="24"/>
          <w:lang w:val="zh-CN"/>
        </w:rPr>
        <w:t>2</w:t>
      </w:r>
      <w:r>
        <w:rPr>
          <w:rFonts w:hint="eastAsia" w:ascii="宋体"/>
          <w:color w:val="000000"/>
          <w:sz w:val="24"/>
          <w:lang w:val="zh-CN"/>
        </w:rPr>
        <w:t>）监狱企业参加政府采购活动时，应当提供由省级以上监狱管理局、戒毒管理局（含新疆生产建设兵团）出具的属于监狱企业的证明文件，视同小型、微型企业，享受小微企业政府采购优惠政策；（</w:t>
      </w:r>
      <w:r>
        <w:rPr>
          <w:rFonts w:ascii="宋体"/>
          <w:color w:val="000000"/>
          <w:sz w:val="24"/>
          <w:lang w:val="zh-CN"/>
        </w:rPr>
        <w:t>3</w:t>
      </w:r>
      <w:r>
        <w:rPr>
          <w:rFonts w:hint="eastAsia" w:ascii="宋体"/>
          <w:color w:val="000000"/>
          <w:sz w:val="24"/>
          <w:lang w:val="zh-CN"/>
        </w:rPr>
        <w:t>）残疾人福利性单位在参加政府采购活动时，应提供《残疾人福利性单位声明函》（见附件），视同小型、微型企业，享受小微企业政府采购优惠政策。</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color w:val="000000" w:themeColor="text1"/>
          <w:sz w:val="24"/>
          <w:lang w:val="zh-CN"/>
          <w14:textFill>
            <w14:solidFill>
              <w14:schemeClr w14:val="tx1"/>
            </w14:solidFill>
          </w14:textFill>
        </w:rPr>
        <w:t>具体优惠：</w:t>
      </w:r>
      <w:r>
        <w:rPr>
          <w:rFonts w:hint="eastAsia" w:ascii="宋体"/>
          <w:color w:val="000000" w:themeColor="text1"/>
          <w:sz w:val="24"/>
          <w14:textFill>
            <w14:solidFill>
              <w14:schemeClr w14:val="tx1"/>
            </w14:solidFill>
          </w14:textFill>
        </w:rPr>
        <w:t>本项目</w:t>
      </w:r>
      <w:r>
        <w:rPr>
          <w:rFonts w:hint="eastAsia" w:ascii="宋体"/>
          <w:color w:val="000000" w:themeColor="text1"/>
          <w:sz w:val="24"/>
          <w:lang w:val="zh-CN"/>
          <w14:textFill>
            <w14:solidFill>
              <w14:schemeClr w14:val="tx1"/>
            </w14:solidFill>
          </w14:textFill>
        </w:rPr>
        <w:t>专门面向中小企业采购，</w:t>
      </w:r>
      <w:r>
        <w:rPr>
          <w:rFonts w:hint="eastAsia" w:ascii="宋体"/>
          <w:b/>
          <w:bCs/>
          <w:color w:val="000000" w:themeColor="text1"/>
          <w:sz w:val="24"/>
          <w:lang w:val="zh-CN"/>
          <w14:textFill>
            <w14:solidFill>
              <w14:schemeClr w14:val="tx1"/>
            </w14:solidFill>
          </w14:textFill>
        </w:rPr>
        <w:t>不进行小微企业的价格扣除。</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color w:val="000000"/>
          <w:sz w:val="24"/>
          <w:lang w:val="zh-CN"/>
        </w:rPr>
        <w:t>注：得分以系统计算为准，保留</w:t>
      </w:r>
      <w:r>
        <w:rPr>
          <w:rFonts w:ascii="宋体"/>
          <w:color w:val="000000"/>
          <w:sz w:val="24"/>
          <w:lang w:val="zh-CN"/>
        </w:rPr>
        <w:t>2</w:t>
      </w:r>
      <w:r>
        <w:rPr>
          <w:rFonts w:hint="eastAsia" w:ascii="宋体"/>
          <w:color w:val="000000"/>
          <w:sz w:val="24"/>
          <w:lang w:val="zh-CN"/>
        </w:rPr>
        <w:t>位小数。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四、如综合得分相同，投标报价低者为先；如综合得分且投标报价相同的，服务类采购项目以实力信誉及业绩得分较高者为先。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sz w:val="24"/>
          <w:lang w:val="zh-CN"/>
        </w:rPr>
        <w:t>五、提供相同品牌产品的不同投标人参加同一合同项下投标的，按一家供应商认定：（</w:t>
      </w:r>
      <w:r>
        <w:rPr>
          <w:rFonts w:ascii="宋体"/>
          <w:color w:val="000000"/>
          <w:sz w:val="24"/>
          <w:lang w:val="zh-CN"/>
        </w:rPr>
        <w:t>1</w:t>
      </w:r>
      <w:r>
        <w:rPr>
          <w:rFonts w:hint="eastAsia" w:ascii="宋体"/>
          <w:color w:val="000000"/>
          <w:sz w:val="24"/>
          <w:lang w:val="zh-CN"/>
        </w:rPr>
        <w:t>）采用最低评标价法的采购项目，以其中通过资格审查、符合性审查且报价最低的参加评标；报价相同的，由评标委员会集体确定一个投标人参加评标，其他投标无效。（</w:t>
      </w:r>
      <w:r>
        <w:rPr>
          <w:rFonts w:ascii="宋体"/>
          <w:color w:val="000000"/>
          <w:sz w:val="24"/>
          <w:lang w:val="zh-CN"/>
        </w:rPr>
        <w:t>2</w:t>
      </w:r>
      <w:r>
        <w:rPr>
          <w:rFonts w:hint="eastAsia" w:ascii="宋体"/>
          <w:color w:val="000000"/>
          <w:sz w:val="24"/>
          <w:lang w:val="zh-CN"/>
        </w:rPr>
        <w:t>）使用综合评分法的采购项目，评审后得分最高的同品牌投标人获得中标人推荐资格；评审得分相同的，由评标委员会集体推</w:t>
      </w:r>
      <w:r>
        <w:rPr>
          <w:rFonts w:hint="eastAsia" w:ascii="宋体"/>
          <w:color w:val="000000" w:themeColor="text1"/>
          <w:sz w:val="24"/>
          <w:lang w:val="zh-CN"/>
          <w14:textFill>
            <w14:solidFill>
              <w14:schemeClr w14:val="tx1"/>
            </w14:solidFill>
          </w14:textFill>
        </w:rPr>
        <w:t>荐一个投标人作为中标候选人，其他同品牌投标人不作为中标候选人。</w:t>
      </w:r>
    </w:p>
    <w:p>
      <w:pPr>
        <w:rPr>
          <w:rFonts w:ascii="宋体" w:hAnsi="宋体"/>
          <w:color w:val="000000" w:themeColor="text1"/>
          <w:kern w:val="0"/>
          <w:sz w:val="24"/>
          <w14:textFill>
            <w14:solidFill>
              <w14:schemeClr w14:val="tx1"/>
            </w14:solidFill>
          </w14:textFill>
        </w:rPr>
      </w:pPr>
      <w:r>
        <w:rPr>
          <w:rFonts w:hint="eastAsia" w:ascii="宋体"/>
          <w:color w:val="000000" w:themeColor="text1"/>
          <w:sz w:val="24"/>
          <w:lang w:val="zh-CN"/>
          <w14:textFill>
            <w14:solidFill>
              <w14:schemeClr w14:val="tx1"/>
            </w14:solidFill>
          </w14:textFill>
        </w:rPr>
        <w:t>六、本次评分具体分值细化条款如下表：（</w:t>
      </w:r>
      <w:r>
        <w:rPr>
          <w:rFonts w:hint="eastAsia" w:ascii="宋体"/>
          <w:color w:val="000000" w:themeColor="text1"/>
          <w:sz w:val="24"/>
          <w14:textFill>
            <w14:solidFill>
              <w14:schemeClr w14:val="tx1"/>
            </w14:solidFill>
          </w14:textFill>
        </w:rPr>
        <w:t>100</w:t>
      </w:r>
      <w:r>
        <w:rPr>
          <w:rFonts w:hint="eastAsia" w:ascii="宋体"/>
          <w:color w:val="000000" w:themeColor="text1"/>
          <w:sz w:val="24"/>
          <w:lang w:val="zh-CN"/>
          <w14:textFill>
            <w14:solidFill>
              <w14:schemeClr w14:val="tx1"/>
            </w14:solidFill>
          </w14:textFill>
        </w:rPr>
        <w:t xml:space="preserve">分） </w:t>
      </w:r>
    </w:p>
    <w:tbl>
      <w:tblPr>
        <w:tblStyle w:val="28"/>
        <w:tblW w:w="925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626"/>
        <w:gridCol w:w="1075"/>
        <w:gridCol w:w="779"/>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0" w:type="dxa"/>
            <w:gridSpan w:val="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107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评审项目</w:t>
            </w:r>
          </w:p>
        </w:tc>
        <w:tc>
          <w:tcPr>
            <w:tcW w:w="779"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5796"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0" w:type="dxa"/>
            <w:gridSpan w:val="2"/>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报价部分20分</w:t>
            </w:r>
          </w:p>
        </w:tc>
        <w:tc>
          <w:tcPr>
            <w:tcW w:w="107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p>
        </w:tc>
        <w:tc>
          <w:tcPr>
            <w:tcW w:w="779"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5796" w:type="dxa"/>
            <w:vAlign w:val="center"/>
          </w:tcPr>
          <w:p>
            <w:pPr>
              <w:spacing w:line="36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取合格供应商的</w:t>
            </w:r>
            <w:r>
              <w:rPr>
                <w:rFonts w:hint="eastAsia" w:ascii="宋体" w:hAnsi="宋体" w:cs="宋体"/>
                <w:color w:val="000000" w:themeColor="text1"/>
                <w:szCs w:val="21"/>
                <w:lang w:eastAsia="zh-CN"/>
                <w14:textFill>
                  <w14:solidFill>
                    <w14:schemeClr w14:val="tx1"/>
                  </w14:solidFill>
                </w14:textFill>
              </w:rPr>
              <w:t>投标最后报价最低价（折扣率最低）为基准价。基准价为</w:t>
            </w:r>
            <w:r>
              <w:rPr>
                <w:rFonts w:hint="eastAsia" w:ascii="宋体" w:hAnsi="宋体" w:cs="宋体"/>
                <w:color w:val="000000" w:themeColor="text1"/>
                <w:szCs w:val="21"/>
                <w:lang w:val="en-US" w:eastAsia="zh-CN"/>
                <w14:textFill>
                  <w14:solidFill>
                    <w14:schemeClr w14:val="tx1"/>
                  </w14:solidFill>
                </w14:textFill>
              </w:rPr>
              <w:t>20分。最后报价得分=（评标基准价/最后报价）即（折扣率）</w:t>
            </w:r>
            <w:r>
              <w:rPr>
                <w:rFonts w:hint="default" w:ascii="Arial" w:hAnsi="Arial" w:cs="Arial"/>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20%*100(小数点后保留2位小数)。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74" w:type="dxa"/>
            <w:vMerge w:val="restar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商务技术部分80分</w:t>
            </w:r>
          </w:p>
        </w:tc>
        <w:tc>
          <w:tcPr>
            <w:tcW w:w="626" w:type="dxa"/>
            <w:vMerge w:val="restart"/>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商务部分30分</w:t>
            </w:r>
          </w:p>
        </w:tc>
        <w:tc>
          <w:tcPr>
            <w:tcW w:w="1075"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类似业绩</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2分</w:t>
            </w:r>
          </w:p>
        </w:tc>
        <w:tc>
          <w:tcPr>
            <w:tcW w:w="5796" w:type="dxa"/>
            <w:vAlign w:val="center"/>
          </w:tcPr>
          <w:p>
            <w:pPr>
              <w:adjustRightInd w:val="0"/>
              <w:snapToGrid w:val="0"/>
              <w:rPr>
                <w:rFonts w:ascii="宋体" w:hAnsi="宋体" w:cs="宋体"/>
                <w:color w:val="000000" w:themeColor="text1"/>
                <w:szCs w:val="21"/>
                <w14:textFill>
                  <w14:solidFill>
                    <w14:schemeClr w14:val="tx1"/>
                  </w14:solidFill>
                </w14:textFill>
              </w:rPr>
            </w:pPr>
            <w:bookmarkStart w:id="4" w:name="OLE_LINK1"/>
            <w:r>
              <w:rPr>
                <w:rFonts w:hint="eastAsia" w:ascii="宋体" w:hAnsi="宋体" w:cs="宋体"/>
                <w:color w:val="000000" w:themeColor="text1"/>
                <w:szCs w:val="21"/>
                <w14:textFill>
                  <w14:solidFill>
                    <w14:schemeClr w14:val="tx1"/>
                  </w14:solidFill>
                </w14:textFill>
              </w:rPr>
              <w:t>2020年1月1日以来</w:t>
            </w:r>
            <w:r>
              <w:rPr>
                <w:rFonts w:hint="eastAsia" w:cs="宋体" w:asciiTheme="minorEastAsia" w:hAnsiTheme="minorEastAsia"/>
                <w:color w:val="000000" w:themeColor="text1"/>
                <w:lang w:bidi="ar"/>
                <w14:textFill>
                  <w14:solidFill>
                    <w14:schemeClr w14:val="tx1"/>
                  </w14:solidFill>
                </w14:textFill>
              </w:rPr>
              <w:t>（以合同签订时间为准）同类项目业绩每提供1个业绩得1分，</w:t>
            </w:r>
            <w:r>
              <w:rPr>
                <w:rFonts w:hint="eastAsia" w:ascii="宋体" w:hAnsi="宋体" w:cs="宋体"/>
                <w:color w:val="000000" w:themeColor="text1"/>
                <w:szCs w:val="21"/>
                <w14:textFill>
                  <w14:solidFill>
                    <w14:schemeClr w14:val="tx1"/>
                  </w14:solidFill>
                </w14:textFill>
              </w:rPr>
              <w:t>此项最高得2分</w:t>
            </w:r>
            <w:bookmarkEnd w:id="4"/>
            <w:r>
              <w:rPr>
                <w:rFonts w:hint="eastAsia"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hint="eastAsia" w:cs="宋体" w:asciiTheme="minorEastAsia" w:hAnsiTheme="minorEastAsia"/>
                <w:color w:val="000000" w:themeColor="text1"/>
                <w:kern w:val="2"/>
                <w:sz w:val="21"/>
                <w:lang w:bidi="ar"/>
                <w14:textFill>
                  <w14:solidFill>
                    <w14:schemeClr w14:val="tx1"/>
                  </w14:solidFill>
                </w14:textFill>
              </w:rPr>
              <w:t>注：提供合同扫描件，并加盖公章，否则不得分。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74"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Merge w:val="restart"/>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企业实力</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c>
          <w:tcPr>
            <w:tcW w:w="5796" w:type="dxa"/>
            <w:vAlign w:val="center"/>
          </w:tcPr>
          <w:p>
            <w:pPr>
              <w:pStyle w:val="2"/>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投标人具有有效的信息技术服务管理体系认证证书、信息安全管理体系认证证书、质量管理体系认证证书、售后服务认证证书的每个得1分，本项最高4分。</w:t>
            </w:r>
          </w:p>
          <w:p>
            <w:pPr>
              <w:pStyle w:val="3"/>
              <w:ind w:firstLine="0" w:firstLineChars="0"/>
              <w:rPr>
                <w:color w:val="000000" w:themeColor="text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注：提供有效期内的认证证书扫描件，</w:t>
            </w:r>
            <w:r>
              <w:rPr>
                <w:rFonts w:hint="eastAsia" w:cs="宋体" w:asciiTheme="minorEastAsia" w:hAnsiTheme="minorEastAsia"/>
                <w:color w:val="000000" w:themeColor="text1"/>
                <w:kern w:val="2"/>
                <w:sz w:val="21"/>
                <w:szCs w:val="24"/>
                <w:lang w:bidi="ar"/>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74"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Merge w:val="continue"/>
            <w:vAlign w:val="center"/>
          </w:tcPr>
          <w:p>
            <w:pPr>
              <w:widowControl/>
              <w:jc w:val="left"/>
              <w:rPr>
                <w:rFonts w:ascii="宋体" w:hAnsi="宋体" w:cs="宋体"/>
                <w:color w:val="000000" w:themeColor="text1"/>
                <w:szCs w:val="21"/>
                <w14:textFill>
                  <w14:solidFill>
                    <w14:schemeClr w14:val="tx1"/>
                  </w14:solidFill>
                </w14:textFill>
              </w:rPr>
            </w:pP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tc>
        <w:tc>
          <w:tcPr>
            <w:tcW w:w="5796" w:type="dxa"/>
            <w:vAlign w:val="center"/>
          </w:tcPr>
          <w:p>
            <w:pPr>
              <w:pStyle w:val="2"/>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投标人具有</w:t>
            </w:r>
            <w:r>
              <w:rPr>
                <w:rFonts w:hint="eastAsia" w:ascii="宋体" w:hAnsi="宋体" w:cs="宋体"/>
                <w:color w:val="000000" w:themeColor="text1"/>
                <w:kern w:val="2"/>
                <w:sz w:val="21"/>
                <w:szCs w:val="21"/>
                <w:lang w:eastAsia="zh-CN"/>
                <w14:textFill>
                  <w14:solidFill>
                    <w14:schemeClr w14:val="tx1"/>
                  </w14:solidFill>
                </w14:textFill>
              </w:rPr>
              <w:t>城乡规划编制乙级及以上资质证书</w:t>
            </w:r>
            <w:r>
              <w:rPr>
                <w:rFonts w:hint="eastAsia" w:ascii="宋体" w:hAnsi="宋体" w:cs="宋体"/>
                <w:color w:val="000000" w:themeColor="text1"/>
                <w:kern w:val="2"/>
                <w:sz w:val="21"/>
                <w:szCs w:val="21"/>
                <w:lang w:val="en-US" w:eastAsia="zh-CN"/>
                <w14:textFill>
                  <w14:solidFill>
                    <w14:schemeClr w14:val="tx1"/>
                  </w14:solidFill>
                </w14:textFill>
              </w:rPr>
              <w:t>和</w:t>
            </w:r>
            <w:r>
              <w:rPr>
                <w:rFonts w:hint="eastAsia" w:ascii="宋体" w:hAnsi="宋体" w:cs="宋体"/>
                <w:color w:val="000000" w:themeColor="text1"/>
                <w:kern w:val="2"/>
                <w:sz w:val="21"/>
                <w:szCs w:val="21"/>
                <w14:textFill>
                  <w14:solidFill>
                    <w14:schemeClr w14:val="tx1"/>
                  </w14:solidFill>
                </w14:textFill>
              </w:rPr>
              <w:t>具有国土整治和生态修复工程专项设计等级乙级及以上</w:t>
            </w:r>
            <w:r>
              <w:rPr>
                <w:rFonts w:hint="eastAsia" w:ascii="宋体" w:hAnsi="宋体" w:cs="宋体"/>
                <w:color w:val="000000" w:themeColor="text1"/>
                <w:kern w:val="2"/>
                <w:sz w:val="21"/>
                <w:szCs w:val="21"/>
                <w:lang w:val="en-US" w:eastAsia="zh-CN"/>
                <w14:textFill>
                  <w14:solidFill>
                    <w14:schemeClr w14:val="tx1"/>
                  </w14:solidFill>
                </w14:textFill>
              </w:rPr>
              <w:t>资质证书，每项</w:t>
            </w:r>
            <w:r>
              <w:rPr>
                <w:rFonts w:hint="eastAsia" w:ascii="宋体" w:hAnsi="宋体" w:cs="宋体"/>
                <w:color w:val="000000" w:themeColor="text1"/>
                <w:kern w:val="2"/>
                <w:sz w:val="21"/>
                <w:szCs w:val="21"/>
                <w14:textFill>
                  <w14:solidFill>
                    <w14:schemeClr w14:val="tx1"/>
                  </w14:solidFill>
                </w14:textFill>
              </w:rPr>
              <w:t>得</w:t>
            </w:r>
            <w:r>
              <w:rPr>
                <w:rFonts w:hint="eastAsia" w:ascii="宋体" w:hAnsi="宋体" w:cs="宋体"/>
                <w:color w:val="000000" w:themeColor="text1"/>
                <w:kern w:val="2"/>
                <w:sz w:val="21"/>
                <w:szCs w:val="21"/>
                <w:lang w:val="en-US" w:eastAsia="zh-CN"/>
                <w14:textFill>
                  <w14:solidFill>
                    <w14:schemeClr w14:val="tx1"/>
                  </w14:solidFill>
                </w14:textFill>
              </w:rPr>
              <w:t>1</w:t>
            </w:r>
            <w:r>
              <w:rPr>
                <w:rFonts w:hint="eastAsia" w:ascii="宋体" w:hAnsi="宋体" w:cs="宋体"/>
                <w:color w:val="000000" w:themeColor="text1"/>
                <w:kern w:val="2"/>
                <w:sz w:val="21"/>
                <w:szCs w:val="21"/>
                <w14:textFill>
                  <w14:solidFill>
                    <w14:schemeClr w14:val="tx1"/>
                  </w14:solidFill>
                </w14:textFill>
              </w:rPr>
              <w:t>分，本项最高得</w:t>
            </w:r>
            <w:r>
              <w:rPr>
                <w:rFonts w:hint="eastAsia" w:ascii="宋体" w:hAnsi="宋体" w:cs="宋体"/>
                <w:color w:val="000000" w:themeColor="text1"/>
                <w:kern w:val="2"/>
                <w:sz w:val="21"/>
                <w:szCs w:val="21"/>
                <w:lang w:val="en-US" w:eastAsia="zh-CN"/>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分。</w:t>
            </w:r>
          </w:p>
          <w:p>
            <w:pPr>
              <w:pStyle w:val="3"/>
              <w:ind w:firstLine="0" w:firstLineChars="0"/>
              <w:rPr>
                <w:color w:val="000000" w:themeColor="text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注：提供有效期内的证书扫描件，</w:t>
            </w:r>
            <w:r>
              <w:rPr>
                <w:rFonts w:hint="eastAsia" w:cs="宋体" w:asciiTheme="minorEastAsia" w:hAnsiTheme="minorEastAsia"/>
                <w:color w:val="000000" w:themeColor="text1"/>
                <w:kern w:val="2"/>
                <w:sz w:val="21"/>
                <w:szCs w:val="24"/>
                <w:lang w:bidi="ar"/>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974"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Merge w:val="restart"/>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项目实施人员安排</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6分</w:t>
            </w:r>
          </w:p>
        </w:tc>
        <w:tc>
          <w:tcPr>
            <w:tcW w:w="5796" w:type="dxa"/>
            <w:vAlign w:val="center"/>
          </w:tcPr>
          <w:p>
            <w:pPr>
              <w:adjustRightInd w:val="0"/>
              <w:snapToGrid w:val="0"/>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项目负责人具有测绘</w:t>
            </w:r>
            <w:r>
              <w:rPr>
                <w:rFonts w:hint="eastAsia" w:ascii="宋体" w:hAnsi="宋体" w:cs="宋体"/>
                <w:color w:val="000000" w:themeColor="text1"/>
                <w:spacing w:val="4"/>
                <w:kern w:val="0"/>
                <w:szCs w:val="21"/>
                <w:lang w:eastAsia="zh-CN"/>
                <w14:textFill>
                  <w14:solidFill>
                    <w14:schemeClr w14:val="tx1"/>
                  </w14:solidFill>
                </w14:textFill>
              </w:rPr>
              <w:t>类（工程测量、地理信息）</w:t>
            </w:r>
            <w:r>
              <w:rPr>
                <w:rFonts w:hint="eastAsia" w:ascii="宋体" w:hAnsi="宋体" w:cs="宋体"/>
                <w:color w:val="000000" w:themeColor="text1"/>
                <w:spacing w:val="4"/>
                <w:kern w:val="0"/>
                <w:szCs w:val="21"/>
                <w14:textFill>
                  <w14:solidFill>
                    <w14:schemeClr w14:val="tx1"/>
                  </w14:solidFill>
                </w14:textFill>
              </w:rPr>
              <w:t>或土地</w:t>
            </w:r>
            <w:r>
              <w:rPr>
                <w:rFonts w:hint="eastAsia" w:ascii="宋体" w:hAnsi="宋体" w:cs="宋体"/>
                <w:color w:val="000000" w:themeColor="text1"/>
                <w:spacing w:val="4"/>
                <w:kern w:val="0"/>
                <w:szCs w:val="21"/>
                <w:lang w:val="en-US" w:eastAsia="zh-CN"/>
                <w14:textFill>
                  <w14:solidFill>
                    <w14:schemeClr w14:val="tx1"/>
                  </w14:solidFill>
                </w14:textFill>
              </w:rPr>
              <w:t>类（土地规划、城乡规划）</w:t>
            </w:r>
            <w:r>
              <w:rPr>
                <w:rFonts w:hint="eastAsia" w:ascii="宋体" w:hAnsi="宋体" w:cs="宋体"/>
                <w:color w:val="000000" w:themeColor="text1"/>
                <w:spacing w:val="4"/>
                <w:kern w:val="0"/>
                <w:szCs w:val="21"/>
                <w14:textFill>
                  <w14:solidFill>
                    <w14:schemeClr w14:val="tx1"/>
                  </w14:solidFill>
                </w14:textFill>
              </w:rPr>
              <w:t>或土地整治和生态修复专业高级</w:t>
            </w:r>
            <w:r>
              <w:rPr>
                <w:rFonts w:hint="eastAsia" w:ascii="宋体" w:hAnsi="宋体" w:cs="宋体"/>
                <w:color w:val="000000" w:themeColor="text1"/>
                <w:spacing w:val="4"/>
                <w:kern w:val="0"/>
                <w:szCs w:val="21"/>
                <w:lang w:val="en-US" w:eastAsia="zh-CN"/>
                <w14:textFill>
                  <w14:solidFill>
                    <w14:schemeClr w14:val="tx1"/>
                  </w14:solidFill>
                </w14:textFill>
              </w:rPr>
              <w:t>工程师</w:t>
            </w:r>
            <w:r>
              <w:rPr>
                <w:rFonts w:hint="eastAsia" w:ascii="宋体" w:hAnsi="宋体" w:cs="宋体"/>
                <w:color w:val="000000" w:themeColor="text1"/>
                <w:spacing w:val="4"/>
                <w:kern w:val="0"/>
                <w:szCs w:val="21"/>
                <w14:textFill>
                  <w14:solidFill>
                    <w14:schemeClr w14:val="tx1"/>
                  </w14:solidFill>
                </w14:textFill>
              </w:rPr>
              <w:t>及以上职称的得4分，项目负责人同时具有注册测绘师或注册</w:t>
            </w:r>
            <w:r>
              <w:rPr>
                <w:rFonts w:hint="eastAsia" w:ascii="宋体" w:hAnsi="宋体" w:cs="宋体"/>
                <w:color w:val="000000" w:themeColor="text1"/>
                <w:spacing w:val="4"/>
                <w:kern w:val="0"/>
                <w:szCs w:val="21"/>
                <w:lang w:eastAsia="zh-CN"/>
                <w14:textFill>
                  <w14:solidFill>
                    <w14:schemeClr w14:val="tx1"/>
                  </w14:solidFill>
                </w14:textFill>
              </w:rPr>
              <w:t>城乡</w:t>
            </w:r>
            <w:r>
              <w:rPr>
                <w:rFonts w:hint="eastAsia" w:ascii="宋体" w:hAnsi="宋体" w:cs="宋体"/>
                <w:color w:val="000000" w:themeColor="text1"/>
                <w:spacing w:val="4"/>
                <w:kern w:val="0"/>
                <w:szCs w:val="21"/>
                <w14:textFill>
                  <w14:solidFill>
                    <w14:schemeClr w14:val="tx1"/>
                  </w14:solidFill>
                </w14:textFill>
              </w:rPr>
              <w:t>规划师证书的加2分。本项最高得6分。</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注：须提供上述人员相应证书及近三个月内社保证明扫描件并加盖投标人公章，否则不得分。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74" w:type="dxa"/>
            <w:vMerge w:val="continue"/>
            <w:vAlign w:val="center"/>
          </w:tcPr>
          <w:p>
            <w:pPr>
              <w:pStyle w:val="101"/>
              <w:snapToGrid w:val="0"/>
              <w:spacing w:line="360" w:lineRule="exact"/>
              <w:ind w:firstLine="480"/>
              <w:rPr>
                <w:color w:val="000000" w:themeColor="text1"/>
                <w14:textFill>
                  <w14:solidFill>
                    <w14:schemeClr w14:val="tx1"/>
                  </w14:solidFill>
                </w14:textFill>
              </w:rPr>
            </w:pPr>
          </w:p>
        </w:tc>
        <w:tc>
          <w:tcPr>
            <w:tcW w:w="626" w:type="dxa"/>
            <w:vMerge w:val="continue"/>
            <w:vAlign w:val="center"/>
          </w:tcPr>
          <w:p>
            <w:pPr>
              <w:pStyle w:val="101"/>
              <w:snapToGrid w:val="0"/>
              <w:spacing w:line="360" w:lineRule="exact"/>
              <w:ind w:firstLine="480"/>
              <w:rPr>
                <w:color w:val="000000" w:themeColor="text1"/>
                <w14:textFill>
                  <w14:solidFill>
                    <w14:schemeClr w14:val="tx1"/>
                  </w14:solidFill>
                </w14:textFill>
              </w:rPr>
            </w:pPr>
          </w:p>
        </w:tc>
        <w:tc>
          <w:tcPr>
            <w:tcW w:w="1075" w:type="dxa"/>
            <w:vMerge w:val="continue"/>
            <w:vAlign w:val="center"/>
          </w:tcPr>
          <w:p>
            <w:pPr>
              <w:pStyle w:val="101"/>
              <w:snapToGrid w:val="0"/>
              <w:spacing w:line="360" w:lineRule="exact"/>
              <w:ind w:firstLine="480"/>
              <w:rPr>
                <w:color w:val="000000" w:themeColor="text1"/>
                <w14:textFill>
                  <w14:solidFill>
                    <w14:schemeClr w14:val="tx1"/>
                  </w14:solidFill>
                </w14:textFill>
              </w:rPr>
            </w:pPr>
          </w:p>
        </w:tc>
        <w:tc>
          <w:tcPr>
            <w:tcW w:w="779" w:type="dxa"/>
            <w:vAlign w:val="center"/>
          </w:tcPr>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lang w:val="en-US" w:eastAsia="zh-CN"/>
                <w14:textFill>
                  <w14:solidFill>
                    <w14:schemeClr w14:val="tx1"/>
                  </w14:solidFill>
                </w14:textFill>
              </w:rPr>
              <w:t>16</w:t>
            </w:r>
            <w:r>
              <w:rPr>
                <w:rFonts w:hint="eastAsia" w:ascii="宋体" w:hAnsi="宋体" w:cs="宋体"/>
                <w:color w:val="000000" w:themeColor="text1"/>
                <w:spacing w:val="4"/>
                <w:sz w:val="21"/>
                <w:szCs w:val="21"/>
                <w14:textFill>
                  <w14:solidFill>
                    <w14:schemeClr w14:val="tx1"/>
                  </w14:solidFill>
                </w14:textFill>
              </w:rPr>
              <w:t>分</w:t>
            </w:r>
          </w:p>
        </w:tc>
        <w:tc>
          <w:tcPr>
            <w:tcW w:w="5796" w:type="dxa"/>
            <w:vAlign w:val="center"/>
          </w:tcPr>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项目组成员具有测绘</w:t>
            </w:r>
            <w:r>
              <w:rPr>
                <w:rFonts w:hint="eastAsia" w:ascii="宋体" w:hAnsi="宋体" w:cs="宋体"/>
                <w:color w:val="000000" w:themeColor="text1"/>
                <w:spacing w:val="4"/>
                <w:sz w:val="21"/>
                <w:szCs w:val="21"/>
                <w:lang w:eastAsia="zh-CN"/>
                <w14:textFill>
                  <w14:solidFill>
                    <w14:schemeClr w14:val="tx1"/>
                  </w14:solidFill>
                </w14:textFill>
              </w:rPr>
              <w:t>类（工程测量、地理信息）</w:t>
            </w:r>
            <w:r>
              <w:rPr>
                <w:rFonts w:hint="eastAsia" w:ascii="宋体" w:hAnsi="宋体" w:cs="宋体"/>
                <w:color w:val="000000" w:themeColor="text1"/>
                <w:spacing w:val="4"/>
                <w:sz w:val="21"/>
                <w:szCs w:val="21"/>
                <w14:textFill>
                  <w14:solidFill>
                    <w14:schemeClr w14:val="tx1"/>
                  </w14:solidFill>
                </w14:textFill>
              </w:rPr>
              <w:t>或土地</w:t>
            </w:r>
            <w:r>
              <w:rPr>
                <w:rFonts w:hint="eastAsia" w:ascii="宋体" w:hAnsi="宋体" w:cs="宋体"/>
                <w:color w:val="000000" w:themeColor="text1"/>
                <w:spacing w:val="4"/>
                <w:sz w:val="21"/>
                <w:szCs w:val="21"/>
                <w:lang w:val="en-US" w:eastAsia="zh-CN"/>
                <w14:textFill>
                  <w14:solidFill>
                    <w14:schemeClr w14:val="tx1"/>
                  </w14:solidFill>
                </w14:textFill>
              </w:rPr>
              <w:t>类（土地规划、城乡规划）</w:t>
            </w:r>
            <w:r>
              <w:rPr>
                <w:rFonts w:hint="eastAsia" w:ascii="宋体" w:hAnsi="宋体" w:cs="宋体"/>
                <w:color w:val="000000" w:themeColor="text1"/>
                <w:spacing w:val="4"/>
                <w:sz w:val="21"/>
                <w:szCs w:val="21"/>
                <w14:textFill>
                  <w14:solidFill>
                    <w14:schemeClr w14:val="tx1"/>
                  </w14:solidFill>
                </w14:textFill>
              </w:rPr>
              <w:t>或土地整治和生态修复专业高级工程师及以上职称，每类专业得4分，中级工程师每类得3分，最高得12分，具有</w:t>
            </w:r>
            <w:r>
              <w:rPr>
                <w:rFonts w:hint="eastAsia" w:ascii="宋体" w:hAnsi="宋体" w:cs="宋体"/>
                <w:color w:val="000000" w:themeColor="text1"/>
                <w:spacing w:val="4"/>
                <w:sz w:val="21"/>
                <w:szCs w:val="21"/>
                <w:lang w:eastAsia="zh-CN"/>
                <w14:textFill>
                  <w14:solidFill>
                    <w14:schemeClr w14:val="tx1"/>
                  </w14:solidFill>
                </w14:textFill>
              </w:rPr>
              <w:t>高级</w:t>
            </w:r>
            <w:r>
              <w:rPr>
                <w:rFonts w:hint="eastAsia" w:ascii="宋体" w:hAnsi="宋体" w:cs="宋体"/>
                <w:color w:val="000000" w:themeColor="text1"/>
                <w:spacing w:val="4"/>
                <w:sz w:val="21"/>
                <w:szCs w:val="21"/>
                <w14:textFill>
                  <w14:solidFill>
                    <w14:schemeClr w14:val="tx1"/>
                  </w14:solidFill>
                </w14:textFill>
              </w:rPr>
              <w:t>国土整治与生态修复行业专项能力技术人员证书</w:t>
            </w:r>
            <w:r>
              <w:rPr>
                <w:rFonts w:hint="eastAsia" w:ascii="宋体" w:hAnsi="宋体" w:cs="宋体"/>
                <w:color w:val="000000" w:themeColor="text1"/>
                <w:spacing w:val="4"/>
                <w:sz w:val="21"/>
                <w:szCs w:val="21"/>
                <w:lang w:eastAsia="zh-CN"/>
                <w14:textFill>
                  <w14:solidFill>
                    <w14:schemeClr w14:val="tx1"/>
                  </w14:solidFill>
                </w14:textFill>
              </w:rPr>
              <w:t>和工程测量员职业资格证书高级</w:t>
            </w:r>
            <w:r>
              <w:rPr>
                <w:rFonts w:hint="eastAsia" w:ascii="宋体" w:hAnsi="宋体" w:cs="宋体"/>
                <w:color w:val="000000" w:themeColor="text1"/>
                <w:spacing w:val="4"/>
                <w:sz w:val="21"/>
                <w:szCs w:val="21"/>
                <w14:textFill>
                  <w14:solidFill>
                    <w14:schemeClr w14:val="tx1"/>
                  </w14:solidFill>
                </w14:textFill>
              </w:rPr>
              <w:t>的每项加</w:t>
            </w:r>
            <w:r>
              <w:rPr>
                <w:rFonts w:hint="eastAsia" w:ascii="宋体" w:hAnsi="宋体" w:cs="宋体"/>
                <w:color w:val="000000" w:themeColor="text1"/>
                <w:spacing w:val="4"/>
                <w:sz w:val="21"/>
                <w:szCs w:val="21"/>
                <w:lang w:val="en-US" w:eastAsia="zh-CN"/>
                <w14:textFill>
                  <w14:solidFill>
                    <w14:schemeClr w14:val="tx1"/>
                  </w14:solidFill>
                </w14:textFill>
              </w:rPr>
              <w:t>2</w:t>
            </w:r>
            <w:r>
              <w:rPr>
                <w:rFonts w:hint="eastAsia" w:ascii="宋体" w:hAnsi="宋体" w:cs="宋体"/>
                <w:color w:val="000000" w:themeColor="text1"/>
                <w:spacing w:val="4"/>
                <w:sz w:val="21"/>
                <w:szCs w:val="21"/>
                <w14:textFill>
                  <w14:solidFill>
                    <w14:schemeClr w14:val="tx1"/>
                  </w14:solidFill>
                </w14:textFill>
              </w:rPr>
              <w:t>分，最高得</w:t>
            </w:r>
            <w:r>
              <w:rPr>
                <w:rFonts w:hint="eastAsia" w:ascii="宋体" w:hAnsi="宋体" w:cs="宋体"/>
                <w:color w:val="000000" w:themeColor="text1"/>
                <w:spacing w:val="4"/>
                <w:sz w:val="21"/>
                <w:szCs w:val="21"/>
                <w:lang w:val="en-US" w:eastAsia="zh-CN"/>
                <w14:textFill>
                  <w14:solidFill>
                    <w14:schemeClr w14:val="tx1"/>
                  </w14:solidFill>
                </w14:textFill>
              </w:rPr>
              <w:t>4</w:t>
            </w:r>
            <w:r>
              <w:rPr>
                <w:rFonts w:hint="eastAsia" w:ascii="宋体" w:hAnsi="宋体" w:cs="宋体"/>
                <w:color w:val="000000" w:themeColor="text1"/>
                <w:spacing w:val="4"/>
                <w:sz w:val="21"/>
                <w:szCs w:val="21"/>
                <w14:textFill>
                  <w14:solidFill>
                    <w14:schemeClr w14:val="tx1"/>
                  </w14:solidFill>
                </w14:textFill>
              </w:rPr>
              <w:t>分，本项最高得1</w:t>
            </w:r>
            <w:r>
              <w:rPr>
                <w:rFonts w:hint="eastAsia" w:ascii="宋体" w:hAnsi="宋体" w:cs="宋体"/>
                <w:color w:val="000000" w:themeColor="text1"/>
                <w:spacing w:val="4"/>
                <w:sz w:val="21"/>
                <w:szCs w:val="21"/>
                <w:lang w:val="en-US" w:eastAsia="zh-CN"/>
                <w14:textFill>
                  <w14:solidFill>
                    <w14:schemeClr w14:val="tx1"/>
                  </w14:solidFill>
                </w14:textFill>
              </w:rPr>
              <w:t>6</w:t>
            </w:r>
            <w:r>
              <w:rPr>
                <w:rFonts w:hint="eastAsia" w:ascii="宋体" w:hAnsi="宋体" w:cs="宋体"/>
                <w:color w:val="000000" w:themeColor="text1"/>
                <w:spacing w:val="4"/>
                <w:sz w:val="21"/>
                <w:szCs w:val="21"/>
                <w14:textFill>
                  <w14:solidFill>
                    <w14:schemeClr w14:val="tx1"/>
                  </w14:solidFill>
                </w14:textFill>
              </w:rPr>
              <w:t>分，以上成员不得重复得分。</w:t>
            </w:r>
          </w:p>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注：须提供上述人员相应证书及近三个月内社保证明扫描件并加盖投标人公章，否则不得分。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vMerge w:val="continue"/>
          </w:tcPr>
          <w:p>
            <w:pPr>
              <w:spacing w:line="360" w:lineRule="exact"/>
              <w:rPr>
                <w:rFonts w:ascii="宋体" w:hAnsi="宋体" w:cs="宋体"/>
                <w:color w:val="000000" w:themeColor="text1"/>
                <w:szCs w:val="21"/>
                <w14:textFill>
                  <w14:solidFill>
                    <w14:schemeClr w14:val="tx1"/>
                  </w14:solidFill>
                </w14:textFill>
              </w:rPr>
            </w:pPr>
          </w:p>
        </w:tc>
        <w:tc>
          <w:tcPr>
            <w:tcW w:w="626" w:type="dxa"/>
            <w:vMerge w:val="restart"/>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技术部分50分</w:t>
            </w:r>
          </w:p>
        </w:tc>
        <w:tc>
          <w:tcPr>
            <w:tcW w:w="107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项目理解</w:t>
            </w:r>
          </w:p>
        </w:tc>
        <w:tc>
          <w:tcPr>
            <w:tcW w:w="779" w:type="dxa"/>
            <w:vAlign w:val="center"/>
          </w:tcPr>
          <w:p>
            <w:pPr>
              <w:widowControl/>
              <w:jc w:val="center"/>
              <w:rPr>
                <w:rFonts w:ascii="宋体" w:hAnsi="宋体" w:cs="宋体"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5796" w:type="dxa"/>
            <w:vAlign w:val="center"/>
          </w:tcPr>
          <w:p>
            <w:pPr>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根据投标人对项目背景</w:t>
            </w:r>
            <w:r>
              <w:rPr>
                <w:rFonts w:hint="eastAsia" w:ascii="宋体" w:hAnsi="宋体" w:cs="宋体"/>
                <w:color w:val="000000" w:themeColor="text1"/>
                <w:spacing w:val="4"/>
                <w:sz w:val="21"/>
                <w:szCs w:val="21"/>
                <w:lang w:eastAsia="zh-CN"/>
                <w14:textFill>
                  <w14:solidFill>
                    <w14:schemeClr w14:val="tx1"/>
                  </w14:solidFill>
                </w14:textFill>
              </w:rPr>
              <w:t>、</w:t>
            </w:r>
            <w:r>
              <w:rPr>
                <w:rFonts w:hint="eastAsia" w:ascii="宋体" w:hAnsi="宋体" w:cs="宋体"/>
                <w:color w:val="000000" w:themeColor="text1"/>
                <w:spacing w:val="4"/>
                <w:sz w:val="21"/>
                <w:szCs w:val="21"/>
                <w:lang w:val="en-US" w:eastAsia="zh-CN"/>
                <w14:textFill>
                  <w14:solidFill>
                    <w14:schemeClr w14:val="tx1"/>
                  </w14:solidFill>
                </w14:textFill>
              </w:rPr>
              <w:t>区域资源潜力分析</w:t>
            </w:r>
            <w:r>
              <w:rPr>
                <w:rFonts w:hint="eastAsia" w:ascii="宋体" w:hAnsi="宋体" w:cs="宋体"/>
                <w:color w:val="000000" w:themeColor="text1"/>
                <w:spacing w:val="4"/>
                <w:sz w:val="21"/>
                <w:szCs w:val="21"/>
                <w14:textFill>
                  <w14:solidFill>
                    <w14:schemeClr w14:val="tx1"/>
                  </w14:solidFill>
                </w14:textFill>
              </w:rPr>
              <w:t>和需求描述全面性、准确性、针对性情况进行打分。</w:t>
            </w:r>
          </w:p>
          <w:p>
            <w:pPr>
              <w:rPr>
                <w:rFonts w:hint="default" w:ascii="宋体" w:hAnsi="宋体" w:cs="宋体"/>
                <w:color w:val="000000" w:themeColor="text1"/>
                <w:spacing w:val="4"/>
                <w:sz w:val="21"/>
                <w:szCs w:val="21"/>
                <w:lang w:val="en-US" w:eastAsia="zh-CN"/>
                <w14:textFill>
                  <w14:solidFill>
                    <w14:schemeClr w14:val="tx1"/>
                  </w14:solidFill>
                </w14:textFill>
              </w:rPr>
            </w:pPr>
            <w:r>
              <w:rPr>
                <w:rFonts w:hint="eastAsia" w:ascii="宋体" w:hAnsi="宋体" w:cs="宋体"/>
                <w:color w:val="000000" w:themeColor="text1"/>
                <w:spacing w:val="4"/>
                <w:sz w:val="21"/>
                <w:szCs w:val="21"/>
                <w:lang w:val="en-US" w:eastAsia="zh-CN"/>
                <w14:textFill>
                  <w14:solidFill>
                    <w14:schemeClr w14:val="tx1"/>
                  </w14:solidFill>
                </w14:textFill>
              </w:rPr>
              <w:t>分析</w:t>
            </w:r>
            <w:r>
              <w:rPr>
                <w:rFonts w:hint="eastAsia" w:ascii="宋体" w:hAnsi="宋体" w:cs="宋体"/>
                <w:color w:val="000000" w:themeColor="text1"/>
                <w:spacing w:val="4"/>
                <w:sz w:val="21"/>
                <w:szCs w:val="21"/>
                <w14:textFill>
                  <w14:solidFill>
                    <w14:schemeClr w14:val="tx1"/>
                  </w14:solidFill>
                </w14:textFill>
              </w:rPr>
              <w:t>和需求描述全面</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、准确</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、针对性</w:t>
            </w:r>
            <w:r>
              <w:rPr>
                <w:rFonts w:hint="eastAsia" w:ascii="宋体" w:hAnsi="宋体" w:cs="宋体"/>
                <w:color w:val="000000" w:themeColor="text1"/>
                <w:spacing w:val="4"/>
                <w:sz w:val="21"/>
                <w:szCs w:val="21"/>
                <w:lang w:val="en-US" w:eastAsia="zh-CN"/>
                <w14:textFill>
                  <w14:solidFill>
                    <w14:schemeClr w14:val="tx1"/>
                  </w14:solidFill>
                </w14:textFill>
              </w:rPr>
              <w:t>较强的得10分；</w:t>
            </w:r>
          </w:p>
          <w:p>
            <w:pPr>
              <w:rPr>
                <w:rFonts w:hint="eastAsia" w:ascii="宋体" w:hAnsi="宋体" w:cs="宋体"/>
                <w:color w:val="000000" w:themeColor="text1"/>
                <w:spacing w:val="4"/>
                <w:sz w:val="21"/>
                <w:szCs w:val="21"/>
                <w:lang w:val="en-US" w:eastAsia="zh-CN"/>
                <w14:textFill>
                  <w14:solidFill>
                    <w14:schemeClr w14:val="tx1"/>
                  </w14:solidFill>
                </w14:textFill>
              </w:rPr>
            </w:pPr>
            <w:r>
              <w:rPr>
                <w:rFonts w:hint="eastAsia" w:ascii="宋体" w:hAnsi="宋体" w:cs="宋体"/>
                <w:color w:val="000000" w:themeColor="text1"/>
                <w:spacing w:val="4"/>
                <w:sz w:val="21"/>
                <w:szCs w:val="21"/>
                <w:lang w:val="en-US" w:eastAsia="zh-CN"/>
                <w14:textFill>
                  <w14:solidFill>
                    <w14:schemeClr w14:val="tx1"/>
                  </w14:solidFill>
                </w14:textFill>
              </w:rPr>
              <w:t>分析</w:t>
            </w:r>
            <w:r>
              <w:rPr>
                <w:rFonts w:hint="eastAsia" w:ascii="宋体" w:hAnsi="宋体" w:cs="宋体"/>
                <w:color w:val="000000" w:themeColor="text1"/>
                <w:spacing w:val="4"/>
                <w:sz w:val="21"/>
                <w:szCs w:val="21"/>
                <w14:textFill>
                  <w14:solidFill>
                    <w14:schemeClr w14:val="tx1"/>
                  </w14:solidFill>
                </w14:textFill>
              </w:rPr>
              <w:t>和需求描述全面</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、准确</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、针对性</w:t>
            </w:r>
            <w:r>
              <w:rPr>
                <w:rFonts w:hint="eastAsia" w:ascii="宋体" w:hAnsi="宋体" w:cs="宋体"/>
                <w:color w:val="000000" w:themeColor="text1"/>
                <w:spacing w:val="4"/>
                <w:sz w:val="21"/>
                <w:szCs w:val="21"/>
                <w:lang w:val="en-US" w:eastAsia="zh-CN"/>
                <w14:textFill>
                  <w14:solidFill>
                    <w14:schemeClr w14:val="tx1"/>
                  </w14:solidFill>
                </w14:textFill>
              </w:rPr>
              <w:t>一般的得7分；</w:t>
            </w:r>
          </w:p>
          <w:p>
            <w:pPr>
              <w:rPr>
                <w:rFonts w:hint="eastAsia" w:ascii="宋体" w:hAnsi="宋体" w:cs="宋体" w:eastAsiaTheme="minorEastAsia"/>
                <w:color w:val="000000" w:themeColor="text1"/>
                <w:spacing w:val="4"/>
                <w:sz w:val="21"/>
                <w:szCs w:val="21"/>
                <w:lang w:val="en-US" w:eastAsia="zh-CN"/>
                <w14:textFill>
                  <w14:solidFill>
                    <w14:schemeClr w14:val="tx1"/>
                  </w14:solidFill>
                </w14:textFill>
              </w:rPr>
            </w:pPr>
            <w:r>
              <w:rPr>
                <w:rFonts w:hint="eastAsia" w:ascii="宋体" w:hAnsi="宋体" w:cs="宋体"/>
                <w:color w:val="000000" w:themeColor="text1"/>
                <w:spacing w:val="4"/>
                <w:sz w:val="21"/>
                <w:szCs w:val="21"/>
                <w:lang w:val="en-US" w:eastAsia="zh-CN"/>
                <w14:textFill>
                  <w14:solidFill>
                    <w14:schemeClr w14:val="tx1"/>
                  </w14:solidFill>
                </w14:textFill>
              </w:rPr>
              <w:t>分析</w:t>
            </w:r>
            <w:r>
              <w:rPr>
                <w:rFonts w:hint="eastAsia" w:ascii="宋体" w:hAnsi="宋体" w:cs="宋体"/>
                <w:color w:val="000000" w:themeColor="text1"/>
                <w:spacing w:val="4"/>
                <w:sz w:val="21"/>
                <w:szCs w:val="21"/>
                <w14:textFill>
                  <w14:solidFill>
                    <w14:schemeClr w14:val="tx1"/>
                  </w14:solidFill>
                </w14:textFill>
              </w:rPr>
              <w:t>和需求描述全面</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、准确</w:t>
            </w:r>
            <w:r>
              <w:rPr>
                <w:rFonts w:hint="eastAsia" w:ascii="宋体" w:hAnsi="宋体" w:cs="宋体"/>
                <w:color w:val="000000" w:themeColor="text1"/>
                <w:spacing w:val="4"/>
                <w:sz w:val="21"/>
                <w:szCs w:val="21"/>
                <w:lang w:val="en-US" w:eastAsia="zh-CN"/>
                <w14:textFill>
                  <w14:solidFill>
                    <w14:schemeClr w14:val="tx1"/>
                  </w14:solidFill>
                </w14:textFill>
              </w:rPr>
              <w:t>性</w:t>
            </w:r>
            <w:r>
              <w:rPr>
                <w:rFonts w:hint="eastAsia" w:ascii="宋体" w:hAnsi="宋体" w:cs="宋体"/>
                <w:color w:val="000000" w:themeColor="text1"/>
                <w:spacing w:val="4"/>
                <w:sz w:val="21"/>
                <w:szCs w:val="21"/>
                <w14:textFill>
                  <w14:solidFill>
                    <w14:schemeClr w14:val="tx1"/>
                  </w14:solidFill>
                </w14:textFill>
              </w:rPr>
              <w:t>、针对性</w:t>
            </w:r>
            <w:r>
              <w:rPr>
                <w:rFonts w:hint="eastAsia" w:ascii="宋体" w:hAnsi="宋体" w:cs="宋体"/>
                <w:color w:val="000000" w:themeColor="text1"/>
                <w:spacing w:val="4"/>
                <w:sz w:val="21"/>
                <w:szCs w:val="21"/>
                <w:lang w:val="en-US" w:eastAsia="zh-CN"/>
                <w14:textFill>
                  <w14:solidFill>
                    <w14:schemeClr w14:val="tx1"/>
                  </w14:solidFill>
                </w14:textFill>
              </w:rPr>
              <w:t>欠缺的得3分；</w:t>
            </w:r>
          </w:p>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974" w:type="dxa"/>
            <w:vMerge w:val="continue"/>
          </w:tcPr>
          <w:p>
            <w:pPr>
              <w:spacing w:line="360" w:lineRule="exact"/>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Align w:val="center"/>
          </w:tcPr>
          <w:p>
            <w:pPr>
              <w:spacing w:line="360" w:lineRule="exact"/>
              <w:jc w:val="center"/>
              <w:rPr>
                <w:rFonts w:asciiTheme="minorEastAsia" w:hAnsiTheme="minorEastAsia" w:eastAsiaTheme="minorEastAsia" w:cstheme="minorEastAsia"/>
                <w:color w:val="000000" w:themeColor="text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重难点分析及解决方案</w:t>
            </w:r>
          </w:p>
        </w:tc>
        <w:tc>
          <w:tcPr>
            <w:tcW w:w="779" w:type="dxa"/>
            <w:vAlign w:val="center"/>
          </w:tcPr>
          <w:p>
            <w:pPr>
              <w:widowControl/>
              <w:jc w:val="center"/>
              <w:rPr>
                <w:rFonts w:ascii="宋体" w:hAnsi="宋体" w:cs="宋体"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5796" w:type="dxa"/>
            <w:vAlign w:val="center"/>
          </w:tcPr>
          <w:p>
            <w:pPr>
              <w:pStyle w:val="102"/>
              <w:spacing w:line="240" w:lineRule="auto"/>
              <w:ind w:firstLine="0" w:firstLineChars="0"/>
              <w:jc w:val="both"/>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根据投标人</w:t>
            </w:r>
            <w:r>
              <w:rPr>
                <w:rFonts w:hint="eastAsia" w:ascii="宋体" w:hAnsi="宋体" w:cs="宋体"/>
                <w:color w:val="000000" w:themeColor="text1"/>
                <w:spacing w:val="4"/>
                <w:sz w:val="21"/>
                <w:szCs w:val="21"/>
                <w:lang w:eastAsia="zh-CN"/>
                <w14:textFill>
                  <w14:solidFill>
                    <w14:schemeClr w14:val="tx1"/>
                  </w14:solidFill>
                </w14:textFill>
              </w:rPr>
              <w:t>根据椒江区实际情况，并结合相关实际案例进行重难点分析并提出可行的解决方案</w:t>
            </w:r>
            <w:r>
              <w:rPr>
                <w:rFonts w:hint="eastAsia" w:ascii="宋体" w:hAnsi="宋体" w:cs="宋体"/>
                <w:color w:val="000000" w:themeColor="text1"/>
                <w:spacing w:val="4"/>
                <w:sz w:val="21"/>
                <w:szCs w:val="21"/>
                <w14:textFill>
                  <w14:solidFill>
                    <w14:schemeClr w14:val="tx1"/>
                  </w14:solidFill>
                </w14:textFill>
              </w:rPr>
              <w:t>。</w:t>
            </w:r>
          </w:p>
          <w:p>
            <w:pPr>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项目重点难点分析到位，对应的解决方案合理正确的得 10分；</w:t>
            </w:r>
          </w:p>
          <w:p>
            <w:pPr>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项目重点难点分析及对应的解决方案有偏差的得</w:t>
            </w:r>
            <w:r>
              <w:rPr>
                <w:rFonts w:hint="eastAsia" w:ascii="宋体" w:hAnsi="宋体" w:eastAsia="宋体" w:cs="宋体"/>
                <w:color w:val="000000" w:themeColor="text1"/>
                <w:spacing w:val="4"/>
                <w:szCs w:val="21"/>
                <w:lang w:val="en-US" w:eastAsia="zh-CN"/>
                <w14:textFill>
                  <w14:solidFill>
                    <w14:schemeClr w14:val="tx1"/>
                  </w14:solidFill>
                </w14:textFill>
              </w:rPr>
              <w:t>7</w:t>
            </w:r>
            <w:r>
              <w:rPr>
                <w:rFonts w:hint="eastAsia" w:ascii="宋体" w:hAnsi="宋体" w:eastAsia="宋体" w:cs="宋体"/>
                <w:color w:val="000000" w:themeColor="text1"/>
                <w:spacing w:val="4"/>
                <w:szCs w:val="21"/>
                <w14:textFill>
                  <w14:solidFill>
                    <w14:schemeClr w14:val="tx1"/>
                  </w14:solidFill>
                </w14:textFill>
              </w:rPr>
              <w:t>分；</w:t>
            </w:r>
          </w:p>
          <w:p>
            <w:pPr>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项目重点难点分析及对应的解决方案敷衍的得</w:t>
            </w:r>
            <w:r>
              <w:rPr>
                <w:rFonts w:hint="eastAsia" w:ascii="宋体" w:hAnsi="宋体" w:eastAsia="宋体" w:cs="宋体"/>
                <w:color w:val="000000" w:themeColor="text1"/>
                <w:spacing w:val="4"/>
                <w:szCs w:val="21"/>
                <w:lang w:val="en-US" w:eastAsia="zh-CN"/>
                <w14:textFill>
                  <w14:solidFill>
                    <w14:schemeClr w14:val="tx1"/>
                  </w14:solidFill>
                </w14:textFill>
              </w:rPr>
              <w:t>3</w:t>
            </w:r>
            <w:r>
              <w:rPr>
                <w:rFonts w:hint="eastAsia" w:ascii="宋体" w:hAnsi="宋体" w:eastAsia="宋体" w:cs="宋体"/>
                <w:color w:val="000000" w:themeColor="text1"/>
                <w:spacing w:val="4"/>
                <w:szCs w:val="21"/>
                <w14:textFill>
                  <w14:solidFill>
                    <w14:schemeClr w14:val="tx1"/>
                  </w14:solidFill>
                </w14:textFill>
              </w:rPr>
              <w:t>分；</w:t>
            </w:r>
          </w:p>
          <w:p>
            <w:pPr>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974" w:type="dxa"/>
            <w:vMerge w:val="continue"/>
          </w:tcPr>
          <w:p>
            <w:pPr>
              <w:spacing w:line="360" w:lineRule="exact"/>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Align w:val="center"/>
          </w:tcPr>
          <w:p>
            <w:pPr>
              <w:spacing w:line="36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项目具体工作内容及实施计划安排</w:t>
            </w:r>
          </w:p>
        </w:tc>
        <w:tc>
          <w:tcPr>
            <w:tcW w:w="779" w:type="dxa"/>
            <w:vAlign w:val="center"/>
          </w:tcPr>
          <w:p>
            <w:pPr>
              <w:widowControl/>
              <w:jc w:val="center"/>
              <w:rPr>
                <w:rFonts w:ascii="宋体" w:hAnsi="宋体" w:cs="宋体"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5796" w:type="dxa"/>
            <w:vAlign w:val="center"/>
          </w:tcPr>
          <w:p>
            <w:pPr>
              <w:pStyle w:val="102"/>
              <w:spacing w:line="240" w:lineRule="auto"/>
              <w:ind w:firstLine="0" w:firstLineChars="0"/>
              <w:jc w:val="both"/>
              <w:rPr>
                <w:rFonts w:hint="eastAsia" w:ascii="宋体" w:hAnsi="宋体" w:eastAsia="宋体" w:cs="宋体"/>
                <w:color w:val="000000" w:themeColor="text1"/>
                <w:spacing w:val="4"/>
                <w:kern w:val="0"/>
                <w:sz w:val="21"/>
                <w:szCs w:val="21"/>
                <w:lang w:eastAsia="zh-CN"/>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根据投标人对本项目的工作内容及实施计划安排表述的全面性和可行性进行打分</w:t>
            </w:r>
            <w:r>
              <w:rPr>
                <w:rFonts w:hint="eastAsia" w:ascii="宋体" w:hAnsi="宋体" w:eastAsia="宋体" w:cs="宋体"/>
                <w:color w:val="000000" w:themeColor="text1"/>
                <w:spacing w:val="4"/>
                <w:kern w:val="0"/>
                <w:sz w:val="21"/>
                <w:szCs w:val="21"/>
                <w:lang w:eastAsia="zh-CN"/>
                <w14:textFill>
                  <w14:solidFill>
                    <w14:schemeClr w14:val="tx1"/>
                  </w14:solidFill>
                </w14:textFill>
              </w:rPr>
              <w:t>并提供椒江区近两年可实施的项目地块分析表。</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制定的实施计划及具体措施内容详尽、可行的得 10 分；</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制定的实施计划及具体措施内容不够完善、有缺陷、操作性不强的得7分；</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与本项目的实际情况有偏差、敷衍的得3分；</w:t>
            </w:r>
          </w:p>
          <w:p>
            <w:pPr>
              <w:tabs>
                <w:tab w:val="left" w:pos="2061"/>
              </w:tabs>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74" w:type="dxa"/>
            <w:vMerge w:val="continue"/>
          </w:tcPr>
          <w:p>
            <w:pPr>
              <w:spacing w:line="360" w:lineRule="exact"/>
              <w:rPr>
                <w:rFonts w:ascii="宋体" w:hAnsi="宋体" w:cs="宋体"/>
                <w:color w:val="000000" w:themeColor="text1"/>
                <w:szCs w:val="21"/>
                <w14:textFill>
                  <w14:solidFill>
                    <w14:schemeClr w14:val="tx1"/>
                  </w14:solidFill>
                </w14:textFill>
              </w:rPr>
            </w:pPr>
          </w:p>
        </w:tc>
        <w:tc>
          <w:tcPr>
            <w:tcW w:w="626" w:type="dxa"/>
            <w:vMerge w:val="continue"/>
            <w:vAlign w:val="center"/>
          </w:tcPr>
          <w:p>
            <w:pPr>
              <w:spacing w:line="360" w:lineRule="exact"/>
              <w:rPr>
                <w:rFonts w:ascii="宋体" w:hAnsi="宋体" w:cs="宋体"/>
                <w:color w:val="000000" w:themeColor="text1"/>
                <w:szCs w:val="21"/>
                <w14:textFill>
                  <w14:solidFill>
                    <w14:schemeClr w14:val="tx1"/>
                  </w14:solidFill>
                </w14:textFill>
              </w:rPr>
            </w:pPr>
          </w:p>
        </w:tc>
        <w:tc>
          <w:tcPr>
            <w:tcW w:w="1075" w:type="dxa"/>
            <w:vAlign w:val="center"/>
          </w:tcPr>
          <w:p>
            <w:pPr>
              <w:spacing w:line="360" w:lineRule="exact"/>
              <w:jc w:val="center"/>
              <w:rPr>
                <w:rFonts w:ascii="宋体" w:hAnsi="宋体" w:cs="宋体"/>
                <w:bCs/>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服务能力</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8分</w:t>
            </w:r>
          </w:p>
        </w:tc>
        <w:tc>
          <w:tcPr>
            <w:tcW w:w="5796" w:type="dxa"/>
            <w:vAlign w:val="center"/>
          </w:tcPr>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根据项目实施过程中安全保障以及质量控制管理制度等情况进行打分。</w:t>
            </w:r>
          </w:p>
          <w:p>
            <w:pPr>
              <w:pStyle w:val="4"/>
              <w:ind w:left="0" w:leftChars="0" w:firstLine="0" w:firstLineChars="0"/>
              <w:rPr>
                <w:rFonts w:hint="default"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安全保障以及质量控制管理制度全面性、深度程度、可实施性强的得8分；</w:t>
            </w:r>
          </w:p>
          <w:p>
            <w:pPr>
              <w:rPr>
                <w:rFonts w:hint="default"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安全保障以及质量控制管理制度全面性、深度程度、可实施性较强的得5分；</w:t>
            </w:r>
          </w:p>
          <w:p>
            <w:pPr>
              <w:pStyle w:val="2"/>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安全保障以及质量控制管理制度全面性、深度程度、可实施性欠缺的得3分；</w:t>
            </w:r>
          </w:p>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74" w:type="dxa"/>
            <w:vMerge w:val="continue"/>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p>
        </w:tc>
        <w:tc>
          <w:tcPr>
            <w:tcW w:w="626" w:type="dxa"/>
            <w:vMerge w:val="continue"/>
            <w:vAlign w:val="center"/>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p>
        </w:tc>
        <w:tc>
          <w:tcPr>
            <w:tcW w:w="1075" w:type="dxa"/>
            <w:vAlign w:val="center"/>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保密</w:t>
            </w:r>
          </w:p>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措施</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6分</w:t>
            </w:r>
          </w:p>
        </w:tc>
        <w:tc>
          <w:tcPr>
            <w:tcW w:w="5796" w:type="dxa"/>
            <w:vAlign w:val="center"/>
          </w:tcPr>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根据投标人在方案及报告编制过程中形成的资料、数据、材料、报告等的信息安全、资料保密，以及后续服务等环节的保密措施进行打分。</w:t>
            </w:r>
          </w:p>
          <w:p>
            <w:pPr>
              <w:pStyle w:val="4"/>
              <w:ind w:left="0" w:leftChars="0" w:firstLine="0" w:firstLineChars="0"/>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保密措施</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合理性、科学性、全面性较强的得6分；</w:t>
            </w:r>
          </w:p>
          <w:p>
            <w:pP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保密措施</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合理性、科学性、全面性一般的得4分；</w:t>
            </w:r>
          </w:p>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保密措施</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合理性、科学性、全面性欠缺的得2分；</w:t>
            </w:r>
          </w:p>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974" w:type="dxa"/>
            <w:vMerge w:val="continue"/>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p>
        </w:tc>
        <w:tc>
          <w:tcPr>
            <w:tcW w:w="626" w:type="dxa"/>
            <w:vMerge w:val="continue"/>
            <w:vAlign w:val="center"/>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p>
        </w:tc>
        <w:tc>
          <w:tcPr>
            <w:tcW w:w="1075" w:type="dxa"/>
            <w:vAlign w:val="center"/>
          </w:tcPr>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售后服务</w:t>
            </w:r>
          </w:p>
        </w:tc>
        <w:tc>
          <w:tcPr>
            <w:tcW w:w="779" w:type="dxa"/>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6分</w:t>
            </w:r>
          </w:p>
        </w:tc>
        <w:tc>
          <w:tcPr>
            <w:tcW w:w="5796" w:type="dxa"/>
            <w:vAlign w:val="center"/>
          </w:tcPr>
          <w:p>
            <w:pPr>
              <w:pStyle w:val="101"/>
              <w:snapToGrid w:val="0"/>
              <w:spacing w:line="360" w:lineRule="exact"/>
              <w:ind w:firstLine="0" w:firstLineChars="0"/>
              <w:rPr>
                <w:rFonts w:hint="eastAsia"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根据投标人提供的售后服务承诺情况（应急响应情况、成果纠错、维护及措施等）进行打分，</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售后服务</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内容清晰、完整、合理的得6分；</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售后服务</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内容一般，基本满足项目实际需求的的得4分；</w:t>
            </w:r>
          </w:p>
          <w:p>
            <w:pPr>
              <w:pStyle w:val="102"/>
              <w:spacing w:line="240" w:lineRule="auto"/>
              <w:ind w:firstLine="0" w:firstLineChars="0"/>
              <w:jc w:val="both"/>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售后服务</w:t>
            </w:r>
            <w:r>
              <w:rPr>
                <w:rFonts w:hint="eastAsia" w:ascii="宋体" w:hAnsi="宋体" w:cs="宋体" w:eastAsiaTheme="minorEastAsia"/>
                <w:color w:val="000000" w:themeColor="text1"/>
                <w:spacing w:val="4"/>
                <w:kern w:val="2"/>
                <w:sz w:val="21"/>
                <w:szCs w:val="21"/>
                <w:lang w:val="en-US" w:eastAsia="zh-CN" w:bidi="ar-SA"/>
                <w14:textFill>
                  <w14:solidFill>
                    <w14:schemeClr w14:val="tx1"/>
                  </w14:solidFill>
                </w14:textFill>
              </w:rPr>
              <w:t>内容简陋、表达不明确的得2分；</w:t>
            </w:r>
          </w:p>
          <w:p>
            <w:pPr>
              <w:pStyle w:val="101"/>
              <w:snapToGrid w:val="0"/>
              <w:spacing w:line="360" w:lineRule="exact"/>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未提供不得分。</w:t>
            </w:r>
          </w:p>
        </w:tc>
      </w:tr>
    </w:tbl>
    <w:p>
      <w:pPr>
        <w:rPr>
          <w:color w:val="FF0000"/>
        </w:rPr>
      </w:pPr>
    </w:p>
    <w:p>
      <w:pPr>
        <w:numPr>
          <w:ilvl w:val="0"/>
          <w:numId w:val="0"/>
        </w:numPr>
        <w:spacing w:line="360" w:lineRule="auto"/>
        <w:jc w:val="both"/>
        <w:rPr>
          <w:rFonts w:ascii="宋体"/>
          <w:b/>
          <w:color w:val="000000" w:themeColor="text1"/>
          <w:sz w:val="36"/>
          <w:szCs w:val="36"/>
          <w14:textFill>
            <w14:solidFill>
              <w14:schemeClr w14:val="tx1"/>
            </w14:solidFill>
          </w14:textFill>
        </w:rPr>
      </w:pPr>
    </w:p>
    <w:p>
      <w:pPr>
        <w:numPr>
          <w:ilvl w:val="0"/>
          <w:numId w:val="0"/>
        </w:numPr>
        <w:spacing w:line="360" w:lineRule="auto"/>
        <w:jc w:val="both"/>
        <w:rPr>
          <w:rFonts w:ascii="宋体"/>
          <w:b/>
          <w:color w:val="000000" w:themeColor="text1"/>
          <w:sz w:val="36"/>
          <w:szCs w:val="36"/>
          <w14:textFill>
            <w14:solidFill>
              <w14:schemeClr w14:val="tx1"/>
            </w14:solidFill>
          </w14:textFill>
        </w:rPr>
      </w:pPr>
    </w:p>
    <w:p>
      <w:pPr>
        <w:numPr>
          <w:ilvl w:val="0"/>
          <w:numId w:val="0"/>
        </w:numPr>
        <w:spacing w:line="360" w:lineRule="auto"/>
        <w:jc w:val="both"/>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3"/>
        <w:rPr>
          <w:rFonts w:ascii="宋体"/>
          <w:b/>
          <w:color w:val="000000" w:themeColor="text1"/>
          <w:sz w:val="36"/>
          <w:szCs w:val="36"/>
          <w14:textFill>
            <w14:solidFill>
              <w14:schemeClr w14:val="tx1"/>
            </w14:solidFill>
          </w14:textFill>
        </w:rPr>
      </w:pPr>
    </w:p>
    <w:p>
      <w:pPr>
        <w:pStyle w:val="4"/>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3"/>
        <w:rPr>
          <w:rFonts w:ascii="宋体"/>
          <w:b/>
          <w:color w:val="000000" w:themeColor="text1"/>
          <w:sz w:val="36"/>
          <w:szCs w:val="36"/>
          <w14:textFill>
            <w14:solidFill>
              <w14:schemeClr w14:val="tx1"/>
            </w14:solidFill>
          </w14:textFill>
        </w:rPr>
      </w:pPr>
    </w:p>
    <w:p>
      <w:pPr>
        <w:pStyle w:val="4"/>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3"/>
        <w:rPr>
          <w:rFonts w:ascii="宋体"/>
          <w:b/>
          <w:color w:val="000000" w:themeColor="text1"/>
          <w:sz w:val="36"/>
          <w:szCs w:val="36"/>
          <w14:textFill>
            <w14:solidFill>
              <w14:schemeClr w14:val="tx1"/>
            </w14:solidFill>
          </w14:textFill>
        </w:rPr>
      </w:pPr>
    </w:p>
    <w:p>
      <w:pPr>
        <w:pStyle w:val="4"/>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pStyle w:val="2"/>
        <w:rPr>
          <w:rFonts w:ascii="宋体"/>
          <w:b/>
          <w:color w:val="000000" w:themeColor="text1"/>
          <w:sz w:val="36"/>
          <w:szCs w:val="36"/>
          <w14:textFill>
            <w14:solidFill>
              <w14:schemeClr w14:val="tx1"/>
            </w14:solidFill>
          </w14:textFill>
        </w:rPr>
      </w:pPr>
    </w:p>
    <w:p>
      <w:pPr>
        <w:pStyle w:val="3"/>
        <w:rPr>
          <w:rFonts w:ascii="宋体"/>
          <w:b/>
          <w:color w:val="000000" w:themeColor="text1"/>
          <w:sz w:val="36"/>
          <w:szCs w:val="36"/>
          <w14:textFill>
            <w14:solidFill>
              <w14:schemeClr w14:val="tx1"/>
            </w14:solidFill>
          </w14:textFill>
        </w:rPr>
      </w:pPr>
    </w:p>
    <w:p>
      <w:pPr>
        <w:pStyle w:val="4"/>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pStyle w:val="2"/>
      </w:pPr>
    </w:p>
    <w:p>
      <w:pPr>
        <w:numPr>
          <w:ilvl w:val="0"/>
          <w:numId w:val="6"/>
        </w:numPr>
        <w:spacing w:line="360" w:lineRule="auto"/>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公开招标需求</w:t>
      </w:r>
    </w:p>
    <w:p>
      <w:pPr>
        <w:tabs>
          <w:tab w:val="left" w:pos="8280"/>
        </w:tabs>
        <w:autoSpaceDE w:val="0"/>
        <w:autoSpaceDN w:val="0"/>
        <w:adjustRightInd w:val="0"/>
        <w:spacing w:line="360" w:lineRule="auto"/>
        <w:ind w:right="25"/>
        <w:rPr>
          <w:rFonts w:asci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一、招标项目一览表</w:t>
      </w:r>
    </w:p>
    <w:p>
      <w:pPr>
        <w:tabs>
          <w:tab w:val="left" w:pos="8280"/>
        </w:tabs>
        <w:autoSpaceDE w:val="0"/>
        <w:autoSpaceDN w:val="0"/>
        <w:adjustRightInd w:val="0"/>
        <w:spacing w:line="360" w:lineRule="auto"/>
        <w:ind w:right="2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本次招标共</w:t>
      </w:r>
      <w:r>
        <w:rPr>
          <w:rFonts w:hint="eastAsia" w:ascii="宋体" w:hAnsi="宋体"/>
          <w:color w:val="000000" w:themeColor="text1"/>
          <w:sz w:val="24"/>
          <w:u w:val="single"/>
          <w14:textFill>
            <w14:solidFill>
              <w14:schemeClr w14:val="tx1"/>
            </w14:solidFill>
          </w14:textFill>
        </w:rPr>
        <w:t>一</w:t>
      </w:r>
      <w:r>
        <w:rPr>
          <w:rFonts w:hint="eastAsia" w:ascii="宋体" w:hAnsi="宋体"/>
          <w:color w:val="000000" w:themeColor="text1"/>
          <w:sz w:val="24"/>
          <w14:textFill>
            <w14:solidFill>
              <w14:schemeClr w14:val="tx1"/>
            </w14:solidFill>
          </w14:textFill>
        </w:rPr>
        <w:t>个标段，具体内容如下表：</w:t>
      </w:r>
    </w:p>
    <w:tbl>
      <w:tblPr>
        <w:tblStyle w:val="28"/>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93"/>
        <w:gridCol w:w="2208"/>
        <w:gridCol w:w="767"/>
        <w:gridCol w:w="8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58" w:type="dxa"/>
            <w:vAlign w:val="center"/>
          </w:tcPr>
          <w:p>
            <w:pPr>
              <w:tabs>
                <w:tab w:val="left" w:pos="8280"/>
              </w:tabs>
              <w:autoSpaceDE w:val="0"/>
              <w:autoSpaceDN w:val="0"/>
              <w:adjustRightInd w:val="0"/>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893" w:type="dxa"/>
            <w:vAlign w:val="center"/>
          </w:tcPr>
          <w:p>
            <w:pPr>
              <w:tabs>
                <w:tab w:val="left" w:pos="8280"/>
              </w:tabs>
              <w:autoSpaceDE w:val="0"/>
              <w:autoSpaceDN w:val="0"/>
              <w:adjustRightInd w:val="0"/>
              <w:ind w:right="25" w:firstLine="120" w:firstLineChars="5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2208" w:type="dxa"/>
            <w:vAlign w:val="center"/>
          </w:tcPr>
          <w:p>
            <w:pPr>
              <w:tabs>
                <w:tab w:val="left" w:pos="8280"/>
              </w:tabs>
              <w:autoSpaceDE w:val="0"/>
              <w:autoSpaceDN w:val="0"/>
              <w:adjustRightInd w:val="0"/>
              <w:ind w:right="25"/>
              <w:rPr>
                <w:rFonts w:asci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767" w:type="dxa"/>
            <w:vAlign w:val="center"/>
          </w:tcPr>
          <w:p>
            <w:pPr>
              <w:tabs>
                <w:tab w:val="left" w:pos="8280"/>
              </w:tabs>
              <w:autoSpaceDE w:val="0"/>
              <w:autoSpaceDN w:val="0"/>
              <w:adjustRightInd w:val="0"/>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800" w:type="dxa"/>
            <w:vAlign w:val="center"/>
          </w:tcPr>
          <w:p>
            <w:pPr>
              <w:tabs>
                <w:tab w:val="left" w:pos="8280"/>
              </w:tabs>
              <w:autoSpaceDE w:val="0"/>
              <w:autoSpaceDN w:val="0"/>
              <w:adjustRightInd w:val="0"/>
              <w:ind w:right="25"/>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325" w:type="dxa"/>
            <w:vAlign w:val="center"/>
          </w:tcPr>
          <w:p>
            <w:pPr>
              <w:tabs>
                <w:tab w:val="left" w:pos="8280"/>
              </w:tabs>
              <w:autoSpaceDE w:val="0"/>
              <w:autoSpaceDN w:val="0"/>
              <w:adjustRightInd w:val="0"/>
              <w:ind w:right="25" w:firstLine="241" w:firstLineChars="1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58"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p>
        </w:tc>
        <w:tc>
          <w:tcPr>
            <w:tcW w:w="2893" w:type="dxa"/>
            <w:vAlign w:val="center"/>
          </w:tcPr>
          <w:p>
            <w:pPr>
              <w:tabs>
                <w:tab w:val="left" w:pos="8280"/>
              </w:tabs>
              <w:autoSpaceDE w:val="0"/>
              <w:autoSpaceDN w:val="0"/>
              <w:adjustRightInd w:val="0"/>
              <w:ind w:right="25"/>
              <w:jc w:val="center"/>
              <w:rPr>
                <w:rFonts w:hint="eastAsia" w:asci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椒江区土地整治(垦造耕地、建设用地复垦、永久基本农田连片整治等项目)服务采购</w:t>
            </w:r>
          </w:p>
        </w:tc>
        <w:tc>
          <w:tcPr>
            <w:tcW w:w="2208"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详见公开招标需求</w:t>
            </w:r>
          </w:p>
        </w:tc>
        <w:tc>
          <w:tcPr>
            <w:tcW w:w="767"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0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1325"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自合同签订之日起</w:t>
            </w:r>
            <w:r>
              <w:rPr>
                <w:rFonts w:hint="eastAsia" w:ascii="宋体" w:hAnsi="宋体"/>
                <w:color w:val="000000" w:themeColor="text1"/>
                <w:sz w:val="24"/>
                <w:lang w:val="en-US" w:eastAsia="zh-CN"/>
                <w14:textFill>
                  <w14:solidFill>
                    <w14:schemeClr w14:val="tx1"/>
                  </w14:solidFill>
                </w14:textFill>
              </w:rPr>
              <w:t>至</w:t>
            </w:r>
            <w:r>
              <w:rPr>
                <w:rFonts w:hint="eastAsia" w:ascii="宋体" w:hAnsi="宋体"/>
                <w:color w:val="000000" w:themeColor="text1"/>
                <w:sz w:val="24"/>
                <w14:textFill>
                  <w14:solidFill>
                    <w14:schemeClr w14:val="tx1"/>
                  </w14:solidFill>
                </w14:textFill>
              </w:rPr>
              <w:t>2025年12月31日</w:t>
            </w:r>
          </w:p>
        </w:tc>
      </w:tr>
    </w:tbl>
    <w:p>
      <w:pPr>
        <w:spacing w:line="360" w:lineRule="auto"/>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、项目概况</w:t>
      </w:r>
    </w:p>
    <w:p>
      <w:pPr>
        <w:pStyle w:val="100"/>
        <w:ind w:firstLine="480"/>
        <w:rPr>
          <w:rFonts w:ascii="宋体" w:hAnsi="宋体" w:eastAsia="宋体"/>
          <w:color w:val="000000" w:themeColor="text1"/>
          <w:kern w:val="2"/>
          <w:sz w:val="24"/>
          <w:szCs w:val="24"/>
          <w:lang w:eastAsia="zh-CN"/>
          <w14:textFill>
            <w14:solidFill>
              <w14:schemeClr w14:val="tx1"/>
            </w14:solidFill>
          </w14:textFill>
        </w:rPr>
      </w:pPr>
      <w:bookmarkStart w:id="5" w:name="_Toc391132354"/>
      <w:r>
        <w:rPr>
          <w:rFonts w:hint="eastAsia" w:ascii="宋体" w:hAnsi="宋体" w:eastAsia="宋体"/>
          <w:color w:val="000000" w:themeColor="text1"/>
          <w:kern w:val="2"/>
          <w:sz w:val="24"/>
          <w:szCs w:val="24"/>
          <w:lang w:eastAsia="zh-CN"/>
          <w14:textFill>
            <w14:solidFill>
              <w14:schemeClr w14:val="tx1"/>
            </w14:solidFill>
          </w14:textFill>
        </w:rPr>
        <w:t>本项目为椒江区土地整治(垦造耕地、建设用地复垦、永久基本农田连片整治等项目)服务采购，在椒江区域范围内，进行全域土地整治项目勘察、测量、设计、土壤取样、耕地质量等级评定报告、数据入库工作。</w:t>
      </w:r>
    </w:p>
    <w:p>
      <w:pPr>
        <w:pStyle w:val="100"/>
        <w:ind w:firstLine="0" w:firstLineChars="0"/>
        <w:rPr>
          <w:rFonts w:ascii="宋体" w:hAnsi="宋体" w:eastAsia="宋体"/>
          <w:b/>
          <w:color w:val="000000" w:themeColor="text1"/>
          <w:kern w:val="2"/>
          <w:sz w:val="24"/>
          <w:szCs w:val="24"/>
          <w:lang w:eastAsia="zh-CN"/>
          <w14:textFill>
            <w14:solidFill>
              <w14:schemeClr w14:val="tx1"/>
            </w14:solidFill>
          </w14:textFill>
        </w:rPr>
      </w:pPr>
      <w:r>
        <w:rPr>
          <w:rFonts w:hint="eastAsia" w:ascii="宋体" w:hAnsi="宋体" w:eastAsia="宋体"/>
          <w:b/>
          <w:color w:val="000000" w:themeColor="text1"/>
          <w:kern w:val="2"/>
          <w:sz w:val="24"/>
          <w:szCs w:val="24"/>
          <w:lang w:val="en-US" w:eastAsia="zh-CN"/>
          <w14:textFill>
            <w14:solidFill>
              <w14:schemeClr w14:val="tx1"/>
            </w14:solidFill>
          </w14:textFill>
        </w:rPr>
        <w:t>三</w:t>
      </w:r>
      <w:r>
        <w:rPr>
          <w:rFonts w:hint="eastAsia" w:ascii="宋体" w:hAnsi="宋体" w:eastAsia="宋体"/>
          <w:b/>
          <w:color w:val="000000" w:themeColor="text1"/>
          <w:kern w:val="2"/>
          <w:sz w:val="24"/>
          <w:szCs w:val="24"/>
          <w:lang w:eastAsia="zh-CN"/>
          <w14:textFill>
            <w14:solidFill>
              <w14:schemeClr w14:val="tx1"/>
            </w14:solidFill>
          </w14:textFill>
        </w:rPr>
        <w:t>、项目内容及任务</w:t>
      </w:r>
    </w:p>
    <w:bookmarkEnd w:id="5"/>
    <w:p>
      <w:pPr>
        <w:spacing w:line="360" w:lineRule="auto"/>
        <w:ind w:firstLine="487" w:firstLineChars="202"/>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1、总体目标</w:t>
      </w:r>
    </w:p>
    <w:p>
      <w:pPr>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在椒江区域范围内，进行全域土地整治项目勘察、测量、设计、土壤取样、耕地质量等级评定报告、数据入库工作。</w:t>
      </w:r>
    </w:p>
    <w:p>
      <w:pPr>
        <w:spacing w:line="360" w:lineRule="auto"/>
        <w:ind w:firstLine="487" w:firstLineChars="202"/>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2、工期要求</w:t>
      </w:r>
    </w:p>
    <w:p>
      <w:pPr>
        <w:snapToGrid w:val="0"/>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自合同签订之日起到2025年12月31日，完成全域土地整治项目测量和设计服务单位采购；</w:t>
      </w:r>
    </w:p>
    <w:p>
      <w:pPr>
        <w:spacing w:line="360" w:lineRule="auto"/>
        <w:ind w:firstLine="487" w:firstLineChars="202"/>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3、工作任务</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在椒江区域范围内，进行全域土地整治项目勘察、测量、设计、土壤取样、耕地质量等级评定报告、数据入库工作。</w:t>
      </w:r>
    </w:p>
    <w:p>
      <w:pPr>
        <w:spacing w:line="360" w:lineRule="auto"/>
        <w:ind w:firstLine="487" w:firstLineChars="202"/>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4、主要成果</w:t>
      </w:r>
      <w:bookmarkStart w:id="6" w:name="_Hlk62839812"/>
    </w:p>
    <w:p>
      <w:pPr>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（1）规划设计方案；</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（2）测绘报告（包含地形测量和竣工测量）；</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（3）耕地质量等级评定报告及土壤检测报告；</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（4）采购人要求提供的有关文件、资料；</w:t>
      </w:r>
    </w:p>
    <w:bookmarkEnd w:id="6"/>
    <w:p>
      <w:pPr>
        <w:pStyle w:val="100"/>
        <w:ind w:firstLine="0" w:firstLineChars="0"/>
        <w:rPr>
          <w:rFonts w:ascii="宋体" w:hAnsi="宋体" w:eastAsia="宋体"/>
          <w:b/>
          <w:color w:val="000000" w:themeColor="text1"/>
          <w:kern w:val="2"/>
          <w:sz w:val="24"/>
          <w:szCs w:val="24"/>
          <w:lang w:eastAsia="zh-CN"/>
          <w14:textFill>
            <w14:solidFill>
              <w14:schemeClr w14:val="tx1"/>
            </w14:solidFill>
          </w14:textFill>
        </w:rPr>
      </w:pPr>
      <w:r>
        <w:rPr>
          <w:rFonts w:hint="eastAsia" w:ascii="宋体" w:hAnsi="宋体" w:eastAsia="宋体"/>
          <w:b/>
          <w:color w:val="000000" w:themeColor="text1"/>
          <w:kern w:val="2"/>
          <w:sz w:val="24"/>
          <w:szCs w:val="24"/>
          <w:lang w:val="en-US" w:eastAsia="zh-CN"/>
          <w14:textFill>
            <w14:solidFill>
              <w14:schemeClr w14:val="tx1"/>
            </w14:solidFill>
          </w14:textFill>
        </w:rPr>
        <w:t>四</w:t>
      </w:r>
      <w:r>
        <w:rPr>
          <w:rFonts w:hint="eastAsia" w:ascii="宋体" w:hAnsi="宋体" w:eastAsia="宋体"/>
          <w:b/>
          <w:color w:val="000000" w:themeColor="text1"/>
          <w:kern w:val="2"/>
          <w:sz w:val="24"/>
          <w:szCs w:val="24"/>
          <w:lang w:eastAsia="zh-CN"/>
          <w14:textFill>
            <w14:solidFill>
              <w14:schemeClr w14:val="tx1"/>
            </w14:solidFill>
          </w14:textFill>
        </w:rPr>
        <w:t>、项目主要技术依据</w:t>
      </w:r>
    </w:p>
    <w:p>
      <w:pPr>
        <w:spacing w:line="360" w:lineRule="auto"/>
        <w:ind w:firstLine="484" w:firstLineChars="202"/>
        <w:outlineLvl w:val="0"/>
        <w:rPr>
          <w:rFonts w:ascii="宋体" w:hAnsi="宋体"/>
          <w:color w:val="000000" w:themeColor="text1"/>
          <w:sz w:val="24"/>
          <w14:textFill>
            <w14:solidFill>
              <w14:schemeClr w14:val="tx1"/>
            </w14:solidFill>
          </w14:textFill>
        </w:rPr>
      </w:pPr>
      <w:bookmarkStart w:id="7" w:name="_Hlk62839602"/>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《浙江省土地整治项目规划设计规范》（2015）；</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《浙江省土地整治垦造水田建设标准（试行）》（2014）；</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《土地开发整理规划编制规程》（TD/T1011-2000）；</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《土地开发整理项目规划设计规范》（TD/T1012-20</w:t>
      </w:r>
      <w:r>
        <w:rPr>
          <w:rFonts w:hint="eastAsia" w:ascii="宋体" w:hAnsi="宋体"/>
          <w:color w:val="000000" w:themeColor="text1"/>
          <w:sz w:val="24"/>
          <w14:textFill>
            <w14:solidFill>
              <w14:schemeClr w14:val="tx1"/>
            </w14:solidFill>
          </w14:textFill>
        </w:rPr>
        <w:t>16</w:t>
      </w:r>
      <w:r>
        <w:rPr>
          <w:rFonts w:ascii="宋体" w:hAnsi="宋体"/>
          <w:color w:val="000000" w:themeColor="text1"/>
          <w:sz w:val="24"/>
          <w14:textFill>
            <w14:solidFill>
              <w14:schemeClr w14:val="tx1"/>
            </w14:solidFill>
          </w14:textFill>
        </w:rPr>
        <w:t>）；</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《浙江省土地整治项目预算定额标准》（201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其它有关设计文件、法律法规。</w:t>
      </w:r>
    </w:p>
    <w:bookmarkEnd w:id="7"/>
    <w:p>
      <w:pPr>
        <w:pStyle w:val="100"/>
        <w:ind w:firstLine="0" w:firstLineChars="0"/>
        <w:rPr>
          <w:rFonts w:ascii="宋体" w:hAnsi="宋体" w:eastAsia="宋体"/>
          <w:b/>
          <w:color w:val="000000" w:themeColor="text1"/>
          <w:kern w:val="2"/>
          <w:sz w:val="24"/>
          <w:szCs w:val="24"/>
          <w:lang w:eastAsia="zh-CN"/>
          <w14:textFill>
            <w14:solidFill>
              <w14:schemeClr w14:val="tx1"/>
            </w14:solidFill>
          </w14:textFill>
        </w:rPr>
      </w:pPr>
      <w:r>
        <w:rPr>
          <w:rFonts w:hint="eastAsia" w:ascii="宋体" w:hAnsi="宋体" w:eastAsia="宋体"/>
          <w:b/>
          <w:color w:val="000000" w:themeColor="text1"/>
          <w:kern w:val="2"/>
          <w:sz w:val="24"/>
          <w:szCs w:val="24"/>
          <w:lang w:val="en-US" w:eastAsia="zh-CN"/>
          <w14:textFill>
            <w14:solidFill>
              <w14:schemeClr w14:val="tx1"/>
            </w14:solidFill>
          </w14:textFill>
        </w:rPr>
        <w:t>五</w:t>
      </w:r>
      <w:r>
        <w:rPr>
          <w:rFonts w:hint="eastAsia" w:ascii="宋体" w:hAnsi="宋体" w:eastAsia="宋体"/>
          <w:b/>
          <w:color w:val="000000" w:themeColor="text1"/>
          <w:kern w:val="2"/>
          <w:sz w:val="24"/>
          <w:szCs w:val="24"/>
          <w:lang w:eastAsia="zh-CN"/>
          <w14:textFill>
            <w14:solidFill>
              <w14:schemeClr w14:val="tx1"/>
            </w14:solidFill>
          </w14:textFill>
        </w:rPr>
        <w:t>、质量要求</w:t>
      </w:r>
    </w:p>
    <w:p>
      <w:pPr>
        <w:spacing w:line="360" w:lineRule="auto"/>
        <w:ind w:firstLine="484" w:firstLineChars="202"/>
        <w:outlineLvl w:val="0"/>
        <w:rPr>
          <w:rFonts w:ascii="宋体" w:hAnsi="宋体"/>
          <w:color w:val="000000" w:themeColor="text1"/>
          <w:sz w:val="24"/>
          <w14:textFill>
            <w14:solidFill>
              <w14:schemeClr w14:val="tx1"/>
            </w14:solidFill>
          </w14:textFill>
        </w:rPr>
      </w:pPr>
      <w:bookmarkStart w:id="8" w:name="_Hlk62839651"/>
      <w:r>
        <w:rPr>
          <w:rFonts w:hint="eastAsia" w:ascii="宋体" w:hAnsi="宋体"/>
          <w:color w:val="000000" w:themeColor="text1"/>
          <w:sz w:val="24"/>
          <w14:textFill>
            <w14:solidFill>
              <w14:schemeClr w14:val="tx1"/>
            </w14:solidFill>
          </w14:textFill>
        </w:rPr>
        <w:t>项目最终成果质量需通过自然资源部核查。</w:t>
      </w:r>
    </w:p>
    <w:bookmarkEnd w:id="8"/>
    <w:p>
      <w:pPr>
        <w:pStyle w:val="100"/>
        <w:ind w:firstLine="0" w:firstLineChars="0"/>
        <w:rPr>
          <w:rFonts w:ascii="宋体" w:hAnsi="宋体" w:eastAsia="宋体"/>
          <w:b/>
          <w:color w:val="000000" w:themeColor="text1"/>
          <w:kern w:val="2"/>
          <w:sz w:val="24"/>
          <w:szCs w:val="24"/>
          <w:lang w:eastAsia="zh-CN"/>
          <w14:textFill>
            <w14:solidFill>
              <w14:schemeClr w14:val="tx1"/>
            </w14:solidFill>
          </w14:textFill>
        </w:rPr>
      </w:pPr>
      <w:r>
        <w:rPr>
          <w:rFonts w:hint="eastAsia" w:ascii="宋体" w:hAnsi="宋体" w:eastAsia="宋体"/>
          <w:b/>
          <w:color w:val="000000" w:themeColor="text1"/>
          <w:kern w:val="2"/>
          <w:sz w:val="24"/>
          <w:szCs w:val="24"/>
          <w:lang w:val="en-US" w:eastAsia="zh-CN"/>
          <w14:textFill>
            <w14:solidFill>
              <w14:schemeClr w14:val="tx1"/>
            </w14:solidFill>
          </w14:textFill>
        </w:rPr>
        <w:t>六</w:t>
      </w:r>
      <w:r>
        <w:rPr>
          <w:rFonts w:hint="eastAsia" w:ascii="宋体" w:hAnsi="宋体" w:eastAsia="宋体"/>
          <w:b/>
          <w:color w:val="000000" w:themeColor="text1"/>
          <w:kern w:val="2"/>
          <w:sz w:val="24"/>
          <w:szCs w:val="24"/>
          <w:lang w:eastAsia="zh-CN"/>
          <w14:textFill>
            <w14:solidFill>
              <w14:schemeClr w14:val="tx1"/>
            </w14:solidFill>
          </w14:textFill>
        </w:rPr>
        <w:t>、其他要求</w:t>
      </w:r>
    </w:p>
    <w:p>
      <w:pPr>
        <w:spacing w:line="360" w:lineRule="auto"/>
        <w:ind w:firstLine="484" w:firstLineChars="202"/>
        <w:outlineLvl w:val="0"/>
        <w:rPr>
          <w:rFonts w:ascii="宋体" w:hAnsi="宋体"/>
          <w:color w:val="000000" w:themeColor="text1"/>
          <w:sz w:val="24"/>
          <w14:textFill>
            <w14:solidFill>
              <w14:schemeClr w14:val="tx1"/>
            </w14:solidFill>
          </w14:textFill>
        </w:rPr>
      </w:pPr>
      <w:bookmarkStart w:id="9" w:name="_Hlk62839929"/>
      <w:r>
        <w:rPr>
          <w:rFonts w:hint="eastAsia" w:ascii="宋体" w:hAnsi="宋体"/>
          <w:color w:val="000000" w:themeColor="text1"/>
          <w:sz w:val="24"/>
          <w14:textFill>
            <w14:solidFill>
              <w14:schemeClr w14:val="tx1"/>
            </w14:solidFill>
          </w14:textFill>
        </w:rPr>
        <w:t>1、成交供应商应组建能够满足本项目服务需要的项目小组，按照工作范围和内容保质保量按时完成工作，并及时向采购人汇报工作进展。</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2、投标人应在文件中明确投入本项目服务的人员基本配备情况（提供服务人员分配表）。团队成员须具有较高的专业素养和一定工作经验。</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3、成交供应商应自行承担项目实施过程中的安全生产责任，无论采购人任何情况下均不承担因此产生的任何法律责任和经济责任。</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4、成交供应商应提供快速的售后响应服务，同时做好与相关单位的衔接工作。</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5、成交供应商应承诺提供成果提交验收后的本项目后期根据实际需求对数据的调整、修改等服务。</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6、成交供应商应当对每宗作业情况建立完整的电子档案，在合同正常终止后全部移交给采购人保管。</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7、与本项目有关的资料及数据成果中涉及国家秘密的内容，均要</w:t>
      </w:r>
      <w:r>
        <w:rPr>
          <w:rFonts w:hint="eastAsia" w:ascii="宋体" w:hAnsi="宋体" w:eastAsia="宋体" w:cs="Times New Roman"/>
          <w:color w:val="000000" w:themeColor="text1"/>
          <w:sz w:val="24"/>
          <w14:textFill>
            <w14:solidFill>
              <w14:schemeClr w14:val="tx1"/>
            </w14:solidFill>
          </w14:textFill>
        </w:rPr>
        <w:t>求按照《</w:t>
      </w:r>
      <w:r>
        <w:rPr>
          <w:rFonts w:hint="eastAsia" w:ascii="宋体" w:hAnsi="宋体" w:eastAsia="宋体" w:cs="Times New Roman"/>
          <w:color w:val="000000" w:themeColor="text1"/>
          <w:sz w:val="24"/>
          <w:lang w:val="en-US" w:eastAsia="zh-CN"/>
          <w14:textFill>
            <w14:solidFill>
              <w14:schemeClr w14:val="tx1"/>
            </w14:solidFill>
          </w14:textFill>
        </w:rPr>
        <w:t>中华人民共和</w:t>
      </w:r>
      <w:r>
        <w:rPr>
          <w:rFonts w:hint="eastAsia" w:ascii="宋体" w:hAnsi="宋体" w:eastAsia="宋体" w:cs="Times New Roman"/>
          <w:color w:val="000000" w:themeColor="text1"/>
          <w:sz w:val="24"/>
          <w14:textFill>
            <w14:solidFill>
              <w14:schemeClr w14:val="tx1"/>
            </w14:solidFill>
          </w14:textFill>
        </w:rPr>
        <w:t>国保</w:t>
      </w:r>
      <w:r>
        <w:rPr>
          <w:rFonts w:hint="eastAsia" w:ascii="宋体" w:hAnsi="宋体" w:eastAsia="宋体" w:cs="Times New Roman"/>
          <w:color w:val="000000" w:themeColor="text1"/>
          <w:sz w:val="24"/>
          <w:lang w:val="en-US" w:eastAsia="zh-CN"/>
          <w14:textFill>
            <w14:solidFill>
              <w14:schemeClr w14:val="tx1"/>
            </w14:solidFill>
          </w14:textFill>
        </w:rPr>
        <w:t>守国家秘</w:t>
      </w:r>
      <w:r>
        <w:rPr>
          <w:rFonts w:hint="eastAsia" w:ascii="宋体" w:hAnsi="宋体" w:eastAsia="宋体" w:cs="Times New Roman"/>
          <w:color w:val="000000" w:themeColor="text1"/>
          <w:sz w:val="24"/>
          <w14:textFill>
            <w14:solidFill>
              <w14:schemeClr w14:val="tx1"/>
            </w14:solidFill>
          </w14:textFill>
        </w:rPr>
        <w:t>密法》及相关法律法规执行。</w:t>
      </w:r>
    </w:p>
    <w:bookmarkEnd w:id="9"/>
    <w:p>
      <w:pPr>
        <w:pStyle w:val="100"/>
        <w:ind w:firstLine="0" w:firstLineChars="0"/>
        <w:rPr>
          <w:rFonts w:ascii="宋体" w:hAnsi="宋体" w:eastAsia="宋体"/>
          <w:b/>
          <w:color w:val="000000" w:themeColor="text1"/>
          <w:kern w:val="2"/>
          <w:sz w:val="24"/>
          <w:szCs w:val="24"/>
          <w:lang w:eastAsia="zh-CN"/>
          <w14:textFill>
            <w14:solidFill>
              <w14:schemeClr w14:val="tx1"/>
            </w14:solidFill>
          </w14:textFill>
        </w:rPr>
      </w:pPr>
      <w:r>
        <w:rPr>
          <w:rFonts w:hint="eastAsia" w:ascii="宋体" w:hAnsi="宋体" w:eastAsia="宋体"/>
          <w:b/>
          <w:color w:val="000000" w:themeColor="text1"/>
          <w:kern w:val="2"/>
          <w:sz w:val="24"/>
          <w:szCs w:val="24"/>
          <w:lang w:val="en-US" w:eastAsia="zh-CN"/>
          <w14:textFill>
            <w14:solidFill>
              <w14:schemeClr w14:val="tx1"/>
            </w14:solidFill>
          </w14:textFill>
        </w:rPr>
        <w:t>七</w:t>
      </w:r>
      <w:r>
        <w:rPr>
          <w:rFonts w:hint="eastAsia" w:ascii="宋体" w:hAnsi="宋体" w:eastAsia="宋体"/>
          <w:b/>
          <w:color w:val="000000" w:themeColor="text1"/>
          <w:kern w:val="2"/>
          <w:sz w:val="24"/>
          <w:szCs w:val="24"/>
          <w:lang w:eastAsia="zh-CN"/>
          <w14:textFill>
            <w14:solidFill>
              <w14:schemeClr w14:val="tx1"/>
            </w14:solidFill>
          </w14:textFill>
        </w:rPr>
        <w:t>、商务要求</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1、本项目须经采购人书面同意后，耕地质量等级评定报告和土壤监测报告可由中标方委托有资质的第三方出具，其它不得分包。</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2、服务期：自合同签订之日起到2025年12月31日.</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3、成果提交时间：根据采购人要求按时完成任务并报送成果。</w:t>
      </w:r>
    </w:p>
    <w:p>
      <w:pPr>
        <w:spacing w:line="360" w:lineRule="auto"/>
        <w:ind w:firstLine="484" w:firstLineChars="202"/>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成果提交地点：采购人指定地点。</w:t>
      </w:r>
    </w:p>
    <w:p>
      <w:pPr>
        <w:snapToGrid w:val="0"/>
        <w:spacing w:line="312" w:lineRule="auto"/>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4、结算方式：</w:t>
      </w:r>
    </w:p>
    <w:p>
      <w:pPr>
        <w:snapToGrid w:val="0"/>
        <w:spacing w:line="312" w:lineRule="auto"/>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（1）根据实际整治项目面积结算，结算公式：货款=实际整治项目面积×单价×报价折扣率；</w:t>
      </w:r>
    </w:p>
    <w:p>
      <w:pPr>
        <w:snapToGrid w:val="0"/>
        <w:spacing w:line="312" w:lineRule="auto"/>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（2）按单个项目结算，且在合同期内全部项目总价不得超过100万元。</w:t>
      </w:r>
    </w:p>
    <w:p>
      <w:pPr>
        <w:snapToGrid w:val="0"/>
        <w:spacing w:line="312" w:lineRule="auto"/>
        <w:ind w:firstLine="480" w:firstLineChars="200"/>
        <w:rPr>
          <w:color w:val="000000" w:themeColor="text1"/>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5、付款条件：单个项目完成验收入库后结算，按实际整治项目面积和协议价格进行核算和支付货款。</w:t>
      </w:r>
    </w:p>
    <w:p>
      <w:pPr>
        <w:pStyle w:val="100"/>
        <w:ind w:firstLine="480"/>
        <w:rPr>
          <w:rFonts w:ascii="宋体" w:hAnsi="宋体" w:eastAsia="宋体" w:cs="Arial"/>
          <w:bCs/>
          <w:color w:val="000000" w:themeColor="text1"/>
          <w:kern w:val="2"/>
          <w:sz w:val="24"/>
          <w:szCs w:val="24"/>
          <w:lang w:eastAsia="zh-CN"/>
          <w14:textFill>
            <w14:solidFill>
              <w14:schemeClr w14:val="tx1"/>
            </w14:solidFill>
          </w14:textFill>
        </w:rPr>
      </w:pPr>
      <w:r>
        <w:rPr>
          <w:rFonts w:hint="eastAsia" w:ascii="宋体" w:hAnsi="宋体" w:eastAsia="宋体" w:cs="Arial"/>
          <w:bCs/>
          <w:color w:val="000000" w:themeColor="text1"/>
          <w:kern w:val="2"/>
          <w:sz w:val="24"/>
          <w:szCs w:val="24"/>
          <w:lang w:eastAsia="zh-CN"/>
          <w14:textFill>
            <w14:solidFill>
              <w14:schemeClr w14:val="tx1"/>
            </w14:solidFill>
          </w14:textFill>
        </w:rPr>
        <w:t>单个项目按照面积和单价计算费用：</w:t>
      </w:r>
    </w:p>
    <w:p>
      <w:pPr>
        <w:pStyle w:val="100"/>
        <w:numPr>
          <w:ilvl w:val="0"/>
          <w:numId w:val="11"/>
        </w:numPr>
        <w:ind w:firstLine="480"/>
        <w:rPr>
          <w:rFonts w:ascii="宋体" w:hAnsi="宋体" w:eastAsia="宋体" w:cs="Arial"/>
          <w:bCs/>
          <w:color w:val="000000" w:themeColor="text1"/>
          <w:kern w:val="2"/>
          <w:sz w:val="24"/>
          <w:szCs w:val="24"/>
          <w:lang w:eastAsia="zh-CN"/>
          <w14:textFill>
            <w14:solidFill>
              <w14:schemeClr w14:val="tx1"/>
            </w14:solidFill>
          </w14:textFill>
        </w:rPr>
      </w:pPr>
      <w:r>
        <w:rPr>
          <w:rFonts w:hint="eastAsia" w:ascii="宋体" w:hAnsi="宋体" w:eastAsia="宋体" w:cs="Arial"/>
          <w:bCs/>
          <w:color w:val="000000" w:themeColor="text1"/>
          <w:kern w:val="2"/>
          <w:sz w:val="24"/>
          <w:szCs w:val="24"/>
          <w:lang w:eastAsia="zh-CN"/>
          <w14:textFill>
            <w14:solidFill>
              <w14:schemeClr w14:val="tx1"/>
            </w14:solidFill>
          </w14:textFill>
        </w:rPr>
        <w:t>项目面积在50亩以内的（包含50亩），按照900元每亩。计全域土地整治项目勘察、测量、设计经费在4.5万元以内（价格低于2.5万的按2.5万结算），具体以立项文件面积为准。</w:t>
      </w:r>
    </w:p>
    <w:p>
      <w:pPr>
        <w:pStyle w:val="100"/>
        <w:numPr>
          <w:ilvl w:val="0"/>
          <w:numId w:val="11"/>
        </w:numPr>
        <w:ind w:firstLine="480"/>
        <w:rPr>
          <w:rFonts w:ascii="宋体" w:hAnsi="宋体" w:eastAsia="宋体" w:cs="Arial"/>
          <w:bCs/>
          <w:color w:val="000000" w:themeColor="text1"/>
          <w:kern w:val="2"/>
          <w:sz w:val="24"/>
          <w:szCs w:val="24"/>
          <w:lang w:eastAsia="zh-CN"/>
          <w14:textFill>
            <w14:solidFill>
              <w14:schemeClr w14:val="tx1"/>
            </w14:solidFill>
          </w14:textFill>
        </w:rPr>
      </w:pPr>
      <w:r>
        <w:rPr>
          <w:rFonts w:hint="eastAsia" w:ascii="宋体" w:hAnsi="宋体" w:eastAsia="宋体" w:cs="Arial"/>
          <w:bCs/>
          <w:color w:val="000000" w:themeColor="text1"/>
          <w:kern w:val="2"/>
          <w:sz w:val="24"/>
          <w:szCs w:val="24"/>
          <w:lang w:eastAsia="zh-CN"/>
          <w14:textFill>
            <w14:solidFill>
              <w14:schemeClr w14:val="tx1"/>
            </w14:solidFill>
          </w14:textFill>
        </w:rPr>
        <w:t>项目面积在50亩以上100亩以内的（包含100亩），按照800元每亩。计全域土地整治项目勘察、测量、设计在8万元以内（价格低于4.5万的按4.5万结算），具体以立项文件面积为准。</w:t>
      </w:r>
    </w:p>
    <w:p>
      <w:pPr>
        <w:pStyle w:val="100"/>
        <w:numPr>
          <w:ilvl w:val="0"/>
          <w:numId w:val="11"/>
        </w:numPr>
        <w:ind w:firstLine="480"/>
        <w:rPr>
          <w:rFonts w:ascii="宋体" w:hAnsi="宋体" w:eastAsia="宋体" w:cs="Arial"/>
          <w:bCs/>
          <w:color w:val="000000" w:themeColor="text1"/>
          <w:kern w:val="2"/>
          <w:sz w:val="24"/>
          <w:szCs w:val="24"/>
          <w:lang w:eastAsia="zh-CN"/>
          <w14:textFill>
            <w14:solidFill>
              <w14:schemeClr w14:val="tx1"/>
            </w14:solidFill>
          </w14:textFill>
        </w:rPr>
      </w:pPr>
      <w:r>
        <w:rPr>
          <w:rFonts w:hint="eastAsia" w:ascii="宋体" w:hAnsi="宋体" w:eastAsia="宋体" w:cs="Arial"/>
          <w:bCs/>
          <w:color w:val="000000" w:themeColor="text1"/>
          <w:kern w:val="2"/>
          <w:sz w:val="24"/>
          <w:szCs w:val="24"/>
          <w:lang w:eastAsia="zh-CN"/>
          <w14:textFill>
            <w14:solidFill>
              <w14:schemeClr w14:val="tx1"/>
            </w14:solidFill>
          </w14:textFill>
        </w:rPr>
        <w:t>项目面积在100亩以上200亩以内的（包含200亩），按照700元每亩。计全域土地整治项目勘察、测量、设计在14万元以内（价格低于8万的按8万结算），具体以立项文件面积为准。</w:t>
      </w:r>
    </w:p>
    <w:p>
      <w:pPr>
        <w:pStyle w:val="100"/>
        <w:numPr>
          <w:ilvl w:val="0"/>
          <w:numId w:val="11"/>
        </w:numPr>
        <w:ind w:firstLine="480"/>
        <w:rPr>
          <w:rFonts w:ascii="宋体" w:hAnsi="宋体" w:eastAsia="宋体" w:cs="Arial"/>
          <w:bCs/>
          <w:color w:val="000000" w:themeColor="text1"/>
          <w:kern w:val="2"/>
          <w:sz w:val="24"/>
          <w:szCs w:val="24"/>
          <w:lang w:eastAsia="zh-CN"/>
          <w14:textFill>
            <w14:solidFill>
              <w14:schemeClr w14:val="tx1"/>
            </w14:solidFill>
          </w14:textFill>
        </w:rPr>
      </w:pPr>
      <w:r>
        <w:rPr>
          <w:rFonts w:hint="eastAsia" w:ascii="宋体" w:hAnsi="宋体" w:eastAsia="宋体" w:cs="Arial"/>
          <w:bCs/>
          <w:color w:val="000000" w:themeColor="text1"/>
          <w:kern w:val="2"/>
          <w:sz w:val="24"/>
          <w:szCs w:val="24"/>
          <w:lang w:eastAsia="zh-CN"/>
          <w14:textFill>
            <w14:solidFill>
              <w14:schemeClr w14:val="tx1"/>
            </w14:solidFill>
          </w14:textFill>
        </w:rPr>
        <w:t>项目面积在200亩以上500亩以内的（不包含500亩），按照600元每亩（价格低于14万的按14万结算），具体以立项文件面积为准。</w:t>
      </w:r>
    </w:p>
    <w:p>
      <w:pPr>
        <w:pStyle w:val="100"/>
        <w:numPr>
          <w:ilvl w:val="0"/>
          <w:numId w:val="11"/>
        </w:numPr>
        <w:ind w:firstLine="480"/>
        <w:rPr>
          <w:rFonts w:ascii="宋体" w:hAnsi="宋体" w:eastAsia="宋体" w:cs="Arial"/>
          <w:bCs/>
          <w:kern w:val="2"/>
          <w:sz w:val="24"/>
          <w:szCs w:val="24"/>
          <w:lang w:eastAsia="zh-CN"/>
        </w:rPr>
      </w:pPr>
      <w:r>
        <w:rPr>
          <w:rFonts w:hint="eastAsia" w:ascii="宋体" w:hAnsi="宋体" w:eastAsia="宋体" w:cs="Arial"/>
          <w:bCs/>
          <w:color w:val="000000" w:themeColor="text1"/>
          <w:kern w:val="2"/>
          <w:sz w:val="24"/>
          <w:szCs w:val="24"/>
          <w:lang w:eastAsia="zh-CN"/>
          <w14:textFill>
            <w14:solidFill>
              <w14:schemeClr w14:val="tx1"/>
            </w14:solidFill>
          </w14:textFill>
        </w:rPr>
        <w:t>项目面积在500亩以上的（不包含500亩），按照500元每亩（价格低于30万的按30万结算，最高不超过100万）具体以立项文件面积为准。</w:t>
      </w:r>
    </w:p>
    <w:p>
      <w:pPr>
        <w:pStyle w:val="100"/>
        <w:ind w:firstLine="0" w:firstLineChars="0"/>
        <w:rPr>
          <w:lang w:eastAsia="zh-CN"/>
        </w:rPr>
      </w:pPr>
    </w:p>
    <w:p>
      <w:pPr>
        <w:pStyle w:val="100"/>
        <w:ind w:firstLine="0" w:firstLineChars="0"/>
        <w:rPr>
          <w:lang w:eastAsia="zh-CN"/>
        </w:rPr>
      </w:pPr>
    </w:p>
    <w:p>
      <w:pPr>
        <w:pStyle w:val="100"/>
        <w:ind w:firstLine="0" w:firstLineChars="0"/>
        <w:rPr>
          <w:lang w:eastAsia="zh-CN"/>
        </w:rPr>
      </w:pPr>
    </w:p>
    <w:p>
      <w:pPr>
        <w:pStyle w:val="15"/>
        <w:ind w:firstLine="480" w:firstLineChars="200"/>
        <w:rPr>
          <w:rFonts w:hAnsi="宋体" w:cs="宋体"/>
          <w:color w:val="000000" w:themeColor="text1"/>
          <w:sz w:val="24"/>
          <w:szCs w:val="24"/>
          <w14:textFill>
            <w14:solidFill>
              <w14:schemeClr w14:val="tx1"/>
            </w14:solidFill>
          </w14:textFill>
        </w:rPr>
      </w:pPr>
    </w:p>
    <w:p>
      <w:pPr>
        <w:pStyle w:val="37"/>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pStyle w:val="37"/>
      </w:pPr>
    </w:p>
    <w:p>
      <w:pPr>
        <w:spacing w:line="360" w:lineRule="auto"/>
        <w:ind w:firstLine="1807" w:firstLineChars="500"/>
        <w:rPr>
          <w:rFonts w:ascii="宋体"/>
          <w:b/>
          <w:sz w:val="36"/>
          <w:szCs w:val="36"/>
        </w:rPr>
      </w:pPr>
      <w:r>
        <w:rPr>
          <w:rFonts w:hint="eastAsia" w:ascii="宋体" w:hAnsi="宋体"/>
          <w:b/>
          <w:sz w:val="36"/>
          <w:szCs w:val="36"/>
        </w:rPr>
        <w:t>第五章 政府采购合同主要条款指引</w:t>
      </w:r>
    </w:p>
    <w:p>
      <w:pPr>
        <w:widowControl/>
        <w:shd w:val="clear" w:color="auto" w:fill="FFFFFF"/>
        <w:spacing w:after="150" w:line="375" w:lineRule="atLeast"/>
        <w:ind w:firstLine="480"/>
        <w:jc w:val="left"/>
        <w:rPr>
          <w:rFonts w:ascii="宋体"/>
          <w:sz w:val="24"/>
        </w:rPr>
      </w:pPr>
      <w:r>
        <w:rPr>
          <w:rFonts w:hint="eastAsia" w:ascii="宋体" w:hAnsi="宋体"/>
          <w:sz w:val="24"/>
        </w:rPr>
        <w:t>以下为成交后签定本项目合同的通用条款，成交供应商不得提出实质性的修改，关于专用条款将由采购人与成交供应商结合本项目具体情况协商后签订。</w:t>
      </w:r>
    </w:p>
    <w:p>
      <w:pPr>
        <w:pStyle w:val="15"/>
        <w:snapToGrid w:val="0"/>
        <w:spacing w:before="120" w:after="120" w:line="360" w:lineRule="auto"/>
        <w:rPr>
          <w:rFonts w:hAnsi="宋体"/>
          <w:sz w:val="24"/>
        </w:rPr>
      </w:pPr>
      <w:r>
        <w:rPr>
          <w:rFonts w:hint="eastAsia" w:hAnsi="宋体"/>
          <w:sz w:val="24"/>
        </w:rPr>
        <w:t>项目名称：</w:t>
      </w:r>
      <w:r>
        <w:rPr>
          <w:rFonts w:hAnsi="宋体"/>
          <w:sz w:val="24"/>
        </w:rPr>
        <w:t xml:space="preserve">                                    </w:t>
      </w:r>
      <w:r>
        <w:rPr>
          <w:rFonts w:hint="eastAsia" w:hAnsi="宋体"/>
          <w:sz w:val="24"/>
        </w:rPr>
        <w:t>项目编号：</w:t>
      </w:r>
    </w:p>
    <w:p>
      <w:pPr>
        <w:pStyle w:val="15"/>
        <w:snapToGrid w:val="0"/>
        <w:spacing w:before="120" w:after="120" w:line="360" w:lineRule="auto"/>
        <w:rPr>
          <w:rFonts w:hAnsi="宋体"/>
          <w:color w:val="000000"/>
          <w:sz w:val="24"/>
        </w:rPr>
      </w:pPr>
      <w:r>
        <w:rPr>
          <w:rFonts w:hint="eastAsia" w:hAnsi="宋体"/>
          <w:color w:val="000000"/>
          <w:sz w:val="24"/>
        </w:rPr>
        <w:t>甲方：（采购单位）</w:t>
      </w:r>
      <w:r>
        <w:rPr>
          <w:rFonts w:hAnsi="宋体"/>
          <w:color w:val="000000"/>
          <w:sz w:val="24"/>
        </w:rPr>
        <w:t xml:space="preserve">                            </w:t>
      </w:r>
      <w:r>
        <w:rPr>
          <w:rFonts w:hint="eastAsia" w:hAnsi="宋体"/>
          <w:color w:val="000000"/>
          <w:sz w:val="24"/>
        </w:rPr>
        <w:t>所在地：</w:t>
      </w:r>
      <w:r>
        <w:rPr>
          <w:rFonts w:hAnsi="宋体"/>
          <w:color w:val="000000"/>
          <w:sz w:val="24"/>
        </w:rPr>
        <w:t xml:space="preserve">                              </w:t>
      </w:r>
    </w:p>
    <w:p>
      <w:pPr>
        <w:pStyle w:val="15"/>
        <w:snapToGrid w:val="0"/>
        <w:spacing w:before="120" w:after="120" w:line="360" w:lineRule="auto"/>
        <w:rPr>
          <w:rFonts w:hAnsi="宋体"/>
          <w:color w:val="000000"/>
          <w:sz w:val="24"/>
        </w:rPr>
      </w:pPr>
      <w:r>
        <w:rPr>
          <w:rFonts w:hint="eastAsia" w:hAnsi="宋体"/>
          <w:color w:val="000000"/>
          <w:sz w:val="24"/>
        </w:rPr>
        <w:t>乙方：（中标供应商）</w:t>
      </w:r>
      <w:r>
        <w:rPr>
          <w:rFonts w:hAnsi="宋体"/>
          <w:color w:val="000000"/>
          <w:sz w:val="24"/>
        </w:rPr>
        <w:t xml:space="preserve">                          </w:t>
      </w:r>
      <w:r>
        <w:rPr>
          <w:rFonts w:hint="eastAsia" w:hAnsi="宋体"/>
          <w:color w:val="000000"/>
          <w:sz w:val="24"/>
        </w:rPr>
        <w:t>所在地：</w:t>
      </w:r>
    </w:p>
    <w:p>
      <w:pPr>
        <w:autoSpaceDE w:val="0"/>
        <w:autoSpaceDN w:val="0"/>
        <w:adjustRightInd w:val="0"/>
        <w:spacing w:line="360" w:lineRule="auto"/>
        <w:jc w:val="left"/>
        <w:rPr>
          <w:rFonts w:ascii="宋体"/>
          <w:sz w:val="24"/>
        </w:rPr>
      </w:pPr>
      <w:r>
        <w:rPr>
          <w:rFonts w:hint="eastAsia" w:ascii="宋体" w:hAnsi="宋体"/>
          <w:sz w:val="24"/>
        </w:rPr>
        <w:t>甲、乙双方根据台州市中恒企业管理咨询有限公司关于</w:t>
      </w:r>
      <w:r>
        <w:rPr>
          <w:rFonts w:hint="eastAsia" w:ascii="宋体" w:hAnsi="宋体"/>
          <w:sz w:val="24"/>
          <w:u w:val="single"/>
        </w:rPr>
        <w:t xml:space="preserve">              </w:t>
      </w:r>
      <w:r>
        <w:rPr>
          <w:rFonts w:hint="eastAsia" w:ascii="宋体" w:hAnsi="宋体"/>
          <w:sz w:val="24"/>
        </w:rPr>
        <w:t>项目公开招标的结果，签署本合同。</w:t>
      </w:r>
    </w:p>
    <w:p>
      <w:pPr>
        <w:spacing w:line="360" w:lineRule="auto"/>
        <w:rPr>
          <w:rFonts w:ascii="宋体"/>
          <w:color w:val="000000"/>
          <w:sz w:val="24"/>
          <w:lang w:val="zh-CN"/>
        </w:rPr>
      </w:pPr>
      <w:r>
        <w:rPr>
          <w:rFonts w:hint="eastAsia" w:ascii="宋体"/>
          <w:color w:val="000000"/>
          <w:sz w:val="24"/>
          <w:lang w:val="zh-CN"/>
        </w:rPr>
        <w:t>一、合同文件：</w:t>
      </w:r>
      <w:r>
        <w:rPr>
          <w:rFonts w:ascii="宋体"/>
          <w:color w:val="000000"/>
          <w:sz w:val="24"/>
          <w:lang w:val="zh-CN"/>
        </w:rPr>
        <w:t xml:space="preserve"> </w:t>
      </w:r>
    </w:p>
    <w:p>
      <w:pPr>
        <w:spacing w:line="360" w:lineRule="auto"/>
        <w:ind w:firstLine="480" w:firstLineChars="200"/>
        <w:rPr>
          <w:rFonts w:ascii="宋体"/>
          <w:color w:val="000000"/>
          <w:sz w:val="24"/>
          <w:lang w:val="zh-CN"/>
        </w:rPr>
      </w:pPr>
      <w:r>
        <w:rPr>
          <w:rFonts w:ascii="宋体"/>
          <w:color w:val="000000"/>
          <w:sz w:val="24"/>
          <w:lang w:val="zh-CN"/>
        </w:rPr>
        <w:t>1.</w:t>
      </w:r>
      <w:r>
        <w:rPr>
          <w:rFonts w:hint="eastAsia" w:ascii="宋体"/>
          <w:color w:val="000000"/>
          <w:sz w:val="24"/>
          <w:lang w:val="zh-CN"/>
        </w:rPr>
        <w:t>合同条款。</w:t>
      </w:r>
    </w:p>
    <w:p>
      <w:pPr>
        <w:spacing w:line="360" w:lineRule="auto"/>
        <w:ind w:firstLine="480" w:firstLineChars="200"/>
        <w:rPr>
          <w:rFonts w:ascii="宋体"/>
          <w:color w:val="000000"/>
          <w:sz w:val="24"/>
          <w:lang w:val="zh-CN"/>
        </w:rPr>
      </w:pPr>
      <w:r>
        <w:rPr>
          <w:rFonts w:ascii="宋体"/>
          <w:color w:val="000000"/>
          <w:sz w:val="24"/>
          <w:lang w:val="zh-CN"/>
        </w:rPr>
        <w:t>2.</w:t>
      </w:r>
      <w:r>
        <w:rPr>
          <w:rFonts w:hint="eastAsia" w:ascii="宋体"/>
          <w:color w:val="000000"/>
          <w:sz w:val="24"/>
          <w:lang w:val="zh-CN"/>
        </w:rPr>
        <w:t>中标通知书。</w:t>
      </w:r>
    </w:p>
    <w:p>
      <w:pPr>
        <w:spacing w:line="360" w:lineRule="auto"/>
        <w:ind w:firstLine="480" w:firstLineChars="200"/>
        <w:rPr>
          <w:rFonts w:ascii="宋体"/>
          <w:color w:val="000000"/>
          <w:sz w:val="24"/>
          <w:lang w:val="zh-CN"/>
        </w:rPr>
      </w:pPr>
      <w:r>
        <w:rPr>
          <w:rFonts w:ascii="宋体"/>
          <w:color w:val="000000"/>
          <w:sz w:val="24"/>
          <w:lang w:val="zh-CN"/>
        </w:rPr>
        <w:t>3.</w:t>
      </w:r>
      <w:r>
        <w:rPr>
          <w:rFonts w:hint="eastAsia" w:ascii="宋体"/>
          <w:color w:val="000000"/>
          <w:sz w:val="24"/>
          <w:lang w:val="zh-CN"/>
        </w:rPr>
        <w:t>更正补充文件。</w:t>
      </w:r>
    </w:p>
    <w:p>
      <w:pPr>
        <w:spacing w:line="360" w:lineRule="auto"/>
        <w:ind w:firstLine="480" w:firstLineChars="200"/>
        <w:rPr>
          <w:rFonts w:ascii="宋体"/>
          <w:color w:val="000000"/>
          <w:sz w:val="24"/>
          <w:lang w:val="zh-CN"/>
        </w:rPr>
      </w:pPr>
      <w:r>
        <w:rPr>
          <w:rFonts w:ascii="宋体"/>
          <w:color w:val="000000"/>
          <w:sz w:val="24"/>
          <w:lang w:val="zh-CN"/>
        </w:rPr>
        <w:t>4.</w:t>
      </w:r>
      <w:r>
        <w:rPr>
          <w:rFonts w:hint="eastAsia" w:ascii="宋体"/>
          <w:color w:val="000000"/>
          <w:sz w:val="24"/>
          <w:lang w:val="zh-CN"/>
        </w:rPr>
        <w:t>招标文件。</w:t>
      </w:r>
    </w:p>
    <w:p>
      <w:pPr>
        <w:spacing w:line="360" w:lineRule="auto"/>
        <w:ind w:firstLine="480" w:firstLineChars="200"/>
        <w:rPr>
          <w:rFonts w:ascii="宋体"/>
          <w:color w:val="000000"/>
          <w:sz w:val="24"/>
          <w:lang w:val="zh-CN"/>
        </w:rPr>
      </w:pPr>
      <w:r>
        <w:rPr>
          <w:rFonts w:ascii="宋体"/>
          <w:color w:val="000000"/>
          <w:sz w:val="24"/>
          <w:lang w:val="zh-CN"/>
        </w:rPr>
        <w:t>5.</w:t>
      </w:r>
      <w:r>
        <w:rPr>
          <w:rFonts w:hint="eastAsia" w:ascii="宋体"/>
          <w:color w:val="000000"/>
          <w:sz w:val="24"/>
          <w:lang w:val="zh-CN"/>
        </w:rPr>
        <w:t>中标供应商投标文件。</w:t>
      </w:r>
    </w:p>
    <w:p>
      <w:pPr>
        <w:spacing w:line="360" w:lineRule="auto"/>
        <w:ind w:firstLine="480" w:firstLineChars="200"/>
        <w:rPr>
          <w:rFonts w:ascii="宋体"/>
          <w:color w:val="000000"/>
          <w:sz w:val="24"/>
          <w:lang w:val="zh-CN"/>
        </w:rPr>
      </w:pPr>
      <w:r>
        <w:rPr>
          <w:rFonts w:ascii="宋体"/>
          <w:color w:val="000000"/>
          <w:sz w:val="24"/>
          <w:lang w:val="zh-CN"/>
        </w:rPr>
        <w:t>6.</w:t>
      </w:r>
      <w:r>
        <w:rPr>
          <w:rFonts w:hint="eastAsia" w:ascii="宋体"/>
          <w:color w:val="000000"/>
          <w:sz w:val="24"/>
          <w:lang w:val="zh-CN"/>
        </w:rPr>
        <w:t>其他。</w:t>
      </w:r>
    </w:p>
    <w:p>
      <w:pPr>
        <w:pStyle w:val="15"/>
        <w:snapToGrid w:val="0"/>
        <w:spacing w:line="360" w:lineRule="auto"/>
        <w:ind w:firstLine="480" w:firstLineChars="200"/>
        <w:rPr>
          <w:b/>
          <w:sz w:val="24"/>
        </w:rPr>
      </w:pPr>
      <w:r>
        <w:rPr>
          <w:rFonts w:hint="eastAsia"/>
          <w:color w:val="000000"/>
          <w:sz w:val="24"/>
          <w:lang w:val="zh-CN"/>
        </w:rPr>
        <w:t>上述所指合同文件应认为是互相补充和解释的，但是有模棱两可或互相矛盾之处，以</w:t>
      </w:r>
      <w:r>
        <w:rPr>
          <w:rFonts w:hint="eastAsia"/>
          <w:color w:val="000000"/>
          <w:sz w:val="24"/>
        </w:rPr>
        <w:t>顺序在先内容</w:t>
      </w:r>
      <w:r>
        <w:rPr>
          <w:rFonts w:hint="eastAsia"/>
          <w:color w:val="000000"/>
          <w:sz w:val="24"/>
          <w:lang w:val="zh-CN"/>
        </w:rPr>
        <w:t>为准。</w:t>
      </w:r>
    </w:p>
    <w:p>
      <w:pPr>
        <w:widowControl/>
        <w:shd w:val="clear" w:color="auto" w:fill="FFFFFF"/>
        <w:spacing w:after="150" w:line="375" w:lineRule="atLeast"/>
        <w:jc w:val="left"/>
        <w:rPr>
          <w:rFonts w:ascii="宋体" w:cs="Arial"/>
          <w:b/>
          <w:color w:val="000000"/>
          <w:kern w:val="0"/>
          <w:sz w:val="24"/>
        </w:rPr>
      </w:pPr>
      <w:r>
        <w:rPr>
          <w:rFonts w:hint="eastAsia" w:ascii="宋体" w:hAnsi="宋体"/>
          <w:b/>
          <w:color w:val="000000"/>
          <w:sz w:val="24"/>
        </w:rPr>
        <w:t>二、</w:t>
      </w:r>
      <w:r>
        <w:rPr>
          <w:rFonts w:hint="eastAsia" w:ascii="宋体" w:hAnsi="宋体" w:cs="Arial"/>
          <w:b/>
          <w:color w:val="000000"/>
          <w:kern w:val="0"/>
          <w:sz w:val="24"/>
        </w:rPr>
        <w:t>合同内容及数量</w:t>
      </w:r>
    </w:p>
    <w:p>
      <w:pPr>
        <w:tabs>
          <w:tab w:val="left" w:pos="966"/>
        </w:tabs>
        <w:spacing w:line="360" w:lineRule="auto"/>
        <w:ind w:firstLine="436" w:firstLineChars="182"/>
        <w:outlineLvl w:val="0"/>
        <w:rPr>
          <w:rFonts w:ascii="宋体" w:hAnsi="Courier New"/>
          <w:color w:val="000000"/>
          <w:sz w:val="24"/>
          <w:lang w:val="zh-CN"/>
        </w:rPr>
      </w:pPr>
      <w:r>
        <w:rPr>
          <w:rFonts w:hint="eastAsia" w:ascii="宋体" w:hAnsi="Courier New"/>
          <w:color w:val="000000"/>
          <w:sz w:val="24"/>
          <w:lang w:val="zh-CN"/>
        </w:rPr>
        <w:t>委托具体内容、数量及单价：</w:t>
      </w:r>
      <w:r>
        <w:rPr>
          <w:rFonts w:ascii="宋体" w:hAnsi="Courier New"/>
          <w:color w:val="000000"/>
          <w:sz w:val="24"/>
          <w:lang w:val="zh-CN"/>
        </w:rPr>
        <w:t xml:space="preserve"> </w:t>
      </w:r>
    </w:p>
    <w:p>
      <w:pPr>
        <w:pStyle w:val="15"/>
        <w:snapToGrid w:val="0"/>
        <w:spacing w:before="120" w:after="120" w:line="360" w:lineRule="auto"/>
        <w:rPr>
          <w:rFonts w:hAnsi="宋体"/>
          <w:b/>
          <w:color w:val="000000"/>
          <w:sz w:val="24"/>
        </w:rPr>
      </w:pPr>
      <w:r>
        <w:rPr>
          <w:rFonts w:hint="eastAsia" w:hAnsi="宋体"/>
          <w:b/>
          <w:color w:val="000000"/>
          <w:sz w:val="24"/>
        </w:rPr>
        <w:t>三、合同金额</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1</w:t>
      </w:r>
      <w:r>
        <w:rPr>
          <w:rFonts w:hint="eastAsia" w:ascii="宋体" w:hAnsi="Courier New"/>
          <w:color w:val="000000"/>
          <w:sz w:val="24"/>
          <w:lang w:val="zh-CN"/>
        </w:rPr>
        <w:t>、合同金额：</w:t>
      </w:r>
      <w:r>
        <w:rPr>
          <w:rFonts w:hint="eastAsia" w:ascii="宋体" w:hAnsi="Courier New"/>
          <w:color w:val="000000"/>
          <w:sz w:val="24"/>
        </w:rPr>
        <w:t>折扣率</w:t>
      </w:r>
      <w:r>
        <w:rPr>
          <w:color w:val="000000"/>
          <w:u w:val="single"/>
        </w:rPr>
        <w:t xml:space="preserve">     </w:t>
      </w:r>
      <w:r>
        <w:rPr>
          <w:rFonts w:hint="eastAsia" w:ascii="宋体" w:hAnsi="Courier New"/>
          <w:color w:val="000000"/>
          <w:sz w:val="24"/>
          <w:lang w:val="zh-CN"/>
        </w:rPr>
        <w:t>（</w:t>
      </w:r>
      <w:r>
        <w:rPr>
          <w:rFonts w:hint="eastAsia" w:ascii="宋体" w:hAnsi="Courier New"/>
          <w:color w:val="000000"/>
          <w:sz w:val="24"/>
        </w:rPr>
        <w:t>%</w:t>
      </w:r>
      <w:r>
        <w:rPr>
          <w:rFonts w:hint="eastAsia" w:ascii="宋体" w:hAnsi="Courier New"/>
          <w:color w:val="000000"/>
          <w:sz w:val="24"/>
          <w:lang w:val="zh-CN"/>
        </w:rPr>
        <w:t>），包括完成本项目服务可能发生的费用以及招标文件规定的全部费用。</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2</w:t>
      </w:r>
      <w:r>
        <w:rPr>
          <w:rFonts w:hint="eastAsia" w:ascii="宋体" w:hAnsi="Courier New"/>
          <w:color w:val="000000"/>
          <w:sz w:val="24"/>
          <w:lang w:val="zh-CN"/>
        </w:rPr>
        <w:t>、本合同中甲乙双方之间所发生的一切费用以人民币进行结算。</w:t>
      </w:r>
    </w:p>
    <w:p>
      <w:pPr>
        <w:widowControl/>
        <w:shd w:val="clear" w:color="auto" w:fill="FFFFFF"/>
        <w:spacing w:after="150" w:line="375" w:lineRule="atLeast"/>
        <w:jc w:val="left"/>
        <w:rPr>
          <w:rFonts w:ascii="宋体" w:cs="Arial"/>
          <w:b/>
          <w:color w:val="000000"/>
          <w:kern w:val="0"/>
          <w:sz w:val="24"/>
        </w:rPr>
      </w:pPr>
      <w:r>
        <w:rPr>
          <w:rFonts w:hint="eastAsia" w:ascii="宋体" w:hAnsi="宋体" w:cs="Arial"/>
          <w:b/>
          <w:color w:val="000000"/>
          <w:kern w:val="0"/>
          <w:sz w:val="24"/>
        </w:rPr>
        <w:t>四、甲乙双方责任</w:t>
      </w:r>
    </w:p>
    <w:p>
      <w:pPr>
        <w:pStyle w:val="24"/>
        <w:shd w:val="clear" w:color="auto" w:fill="FFFFFF"/>
        <w:spacing w:before="0" w:beforeAutospacing="0" w:after="150" w:afterAutospacing="0" w:line="375" w:lineRule="atLeast"/>
        <w:ind w:firstLine="480"/>
        <w:rPr>
          <w:rFonts w:cs="Arial"/>
          <w:color w:val="000000"/>
        </w:rPr>
      </w:pPr>
      <w:r>
        <w:rPr>
          <w:rFonts w:hint="eastAsia" w:cs="Arial"/>
          <w:color w:val="000000"/>
        </w:rPr>
        <w:t>（一）甲方责任</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1</w:t>
      </w:r>
      <w:r>
        <w:rPr>
          <w:rFonts w:hint="eastAsia" w:ascii="宋体" w:hAnsi="Courier New"/>
          <w:color w:val="000000"/>
          <w:sz w:val="24"/>
          <w:lang w:val="zh-CN"/>
        </w:rPr>
        <w:t>、对乙方工作质量进行检查；</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2</w:t>
      </w:r>
      <w:r>
        <w:rPr>
          <w:rFonts w:hint="eastAsia" w:ascii="宋体" w:hAnsi="Courier New"/>
          <w:color w:val="000000"/>
          <w:sz w:val="24"/>
          <w:lang w:val="zh-CN"/>
        </w:rPr>
        <w:t>、对</w:t>
      </w:r>
      <w:r>
        <w:rPr>
          <w:rFonts w:hint="eastAsia" w:ascii="宋体" w:hAnsi="Courier New"/>
          <w:color w:val="000000"/>
          <w:sz w:val="24"/>
        </w:rPr>
        <w:t>项目成果</w:t>
      </w:r>
      <w:r>
        <w:rPr>
          <w:rFonts w:hint="eastAsia" w:ascii="宋体" w:hAnsi="Courier New"/>
          <w:color w:val="000000"/>
          <w:sz w:val="24"/>
          <w:lang w:val="zh-CN"/>
        </w:rPr>
        <w:t>进行审核；</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3</w:t>
      </w:r>
      <w:r>
        <w:rPr>
          <w:rFonts w:hint="eastAsia" w:ascii="宋体" w:hAnsi="Courier New"/>
          <w:color w:val="000000"/>
          <w:sz w:val="24"/>
          <w:lang w:val="zh-CN"/>
        </w:rPr>
        <w:t>、按合同约定支付费用。</w:t>
      </w:r>
    </w:p>
    <w:p>
      <w:pPr>
        <w:pStyle w:val="24"/>
        <w:shd w:val="clear" w:color="auto" w:fill="FFFFFF"/>
        <w:spacing w:before="0" w:beforeAutospacing="0" w:after="150" w:afterAutospacing="0" w:line="375" w:lineRule="atLeast"/>
        <w:ind w:firstLine="480"/>
        <w:rPr>
          <w:rFonts w:cs="Arial"/>
          <w:color w:val="000000"/>
        </w:rPr>
      </w:pPr>
      <w:r>
        <w:rPr>
          <w:rFonts w:hint="eastAsia" w:cs="Arial"/>
          <w:color w:val="000000"/>
        </w:rPr>
        <w:t>（二）乙方责任</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1</w:t>
      </w:r>
      <w:r>
        <w:rPr>
          <w:rFonts w:hint="eastAsia" w:ascii="宋体" w:hAnsi="Courier New"/>
          <w:color w:val="000000"/>
          <w:sz w:val="24"/>
          <w:lang w:val="zh-CN"/>
        </w:rPr>
        <w:t>、严格按照</w:t>
      </w:r>
      <w:r>
        <w:rPr>
          <w:rFonts w:hint="eastAsia" w:ascii="宋体" w:hAnsi="Courier New"/>
          <w:color w:val="000000"/>
          <w:sz w:val="24"/>
        </w:rPr>
        <w:t>招标文件</w:t>
      </w:r>
      <w:r>
        <w:rPr>
          <w:rFonts w:hint="eastAsia" w:ascii="宋体" w:hAnsi="Courier New"/>
          <w:color w:val="000000"/>
          <w:sz w:val="24"/>
          <w:lang w:val="zh-CN"/>
        </w:rPr>
        <w:t>的有关规定独立、客观、公正</w:t>
      </w:r>
      <w:r>
        <w:rPr>
          <w:rFonts w:hint="eastAsia" w:ascii="宋体" w:hAnsi="Courier New"/>
          <w:color w:val="000000"/>
          <w:sz w:val="24"/>
        </w:rPr>
        <w:t>的实施项目</w:t>
      </w:r>
      <w:r>
        <w:rPr>
          <w:rFonts w:hint="eastAsia" w:ascii="宋体" w:hAnsi="Courier New"/>
          <w:color w:val="000000"/>
          <w:sz w:val="24"/>
          <w:lang w:val="zh-CN"/>
        </w:rPr>
        <w:t>；</w:t>
      </w:r>
    </w:p>
    <w:p>
      <w:pPr>
        <w:tabs>
          <w:tab w:val="left" w:pos="966"/>
        </w:tabs>
        <w:spacing w:line="360" w:lineRule="auto"/>
        <w:ind w:firstLine="480" w:firstLineChars="200"/>
        <w:outlineLvl w:val="0"/>
        <w:rPr>
          <w:rFonts w:ascii="宋体" w:hAnsi="Courier New"/>
          <w:color w:val="000000"/>
          <w:sz w:val="24"/>
          <w:lang w:val="zh-CN"/>
        </w:rPr>
      </w:pPr>
      <w:r>
        <w:rPr>
          <w:rFonts w:ascii="宋体" w:hAnsi="Courier New"/>
          <w:color w:val="000000"/>
          <w:sz w:val="24"/>
          <w:lang w:val="zh-CN"/>
        </w:rPr>
        <w:t>2</w:t>
      </w:r>
      <w:r>
        <w:rPr>
          <w:rFonts w:hint="eastAsia" w:ascii="宋体" w:hAnsi="Courier New"/>
          <w:color w:val="000000"/>
          <w:sz w:val="24"/>
          <w:lang w:val="zh-CN"/>
        </w:rPr>
        <w:t>、对</w:t>
      </w:r>
      <w:r>
        <w:rPr>
          <w:rFonts w:hint="eastAsia" w:ascii="宋体" w:hAnsi="Courier New"/>
          <w:color w:val="000000"/>
          <w:sz w:val="24"/>
        </w:rPr>
        <w:t>项目</w:t>
      </w:r>
      <w:r>
        <w:rPr>
          <w:rFonts w:hint="eastAsia" w:ascii="宋体" w:hAnsi="Courier New"/>
          <w:color w:val="000000"/>
          <w:sz w:val="24"/>
          <w:lang w:val="zh-CN"/>
        </w:rPr>
        <w:t>成果的客观性、准确性、真实性负责；</w:t>
      </w:r>
    </w:p>
    <w:p>
      <w:pPr>
        <w:tabs>
          <w:tab w:val="left" w:pos="966"/>
        </w:tabs>
        <w:spacing w:line="360" w:lineRule="auto"/>
        <w:ind w:firstLine="480" w:firstLineChars="200"/>
        <w:outlineLvl w:val="0"/>
        <w:rPr>
          <w:rFonts w:ascii="宋体"/>
          <w:color w:val="000000"/>
          <w:szCs w:val="21"/>
        </w:rPr>
      </w:pPr>
      <w:r>
        <w:rPr>
          <w:rFonts w:ascii="宋体" w:hAnsi="Courier New"/>
          <w:color w:val="000000"/>
          <w:sz w:val="24"/>
          <w:lang w:val="zh-CN"/>
        </w:rPr>
        <w:t>3</w:t>
      </w:r>
      <w:r>
        <w:rPr>
          <w:rFonts w:hint="eastAsia" w:ascii="宋体" w:hAnsi="Courier New"/>
          <w:color w:val="000000"/>
          <w:sz w:val="24"/>
          <w:lang w:val="zh-CN"/>
        </w:rPr>
        <w:t>、按合同约定收取费用。</w:t>
      </w:r>
    </w:p>
    <w:p>
      <w:pPr>
        <w:pStyle w:val="15"/>
        <w:snapToGrid w:val="0"/>
        <w:spacing w:before="120" w:after="120" w:line="360" w:lineRule="auto"/>
        <w:rPr>
          <w:rFonts w:hAnsi="宋体"/>
          <w:b/>
          <w:color w:val="000000"/>
          <w:sz w:val="24"/>
        </w:rPr>
      </w:pPr>
      <w:r>
        <w:rPr>
          <w:rFonts w:hint="eastAsia" w:hAnsi="宋体"/>
          <w:b/>
          <w:color w:val="000000"/>
          <w:sz w:val="24"/>
        </w:rPr>
        <w:t>五、技术资料</w:t>
      </w:r>
    </w:p>
    <w:p>
      <w:pPr>
        <w:pStyle w:val="15"/>
        <w:snapToGrid w:val="0"/>
        <w:spacing w:before="120" w:after="120" w:line="360" w:lineRule="auto"/>
        <w:ind w:left="410" w:hanging="410" w:hangingChars="171"/>
        <w:rPr>
          <w:rFonts w:hAnsi="宋体"/>
          <w:color w:val="000000"/>
          <w:sz w:val="24"/>
        </w:rPr>
      </w:pPr>
      <w:r>
        <w:rPr>
          <w:rFonts w:hAnsi="宋体"/>
          <w:color w:val="000000"/>
          <w:sz w:val="24"/>
        </w:rPr>
        <w:t>1.</w:t>
      </w:r>
      <w:r>
        <w:rPr>
          <w:rFonts w:hint="eastAsia" w:hAnsi="宋体"/>
          <w:color w:val="000000"/>
          <w:sz w:val="24"/>
        </w:rPr>
        <w:t>乙方应按招标文件规定的时间向甲方提供有关技术资料。</w:t>
      </w:r>
    </w:p>
    <w:p>
      <w:pPr>
        <w:widowControl/>
        <w:spacing w:line="360" w:lineRule="auto"/>
        <w:rPr>
          <w:rFonts w:hAnsi="宋体"/>
          <w:color w:val="000000"/>
          <w:sz w:val="24"/>
        </w:rPr>
      </w:pPr>
      <w:r>
        <w:rPr>
          <w:rFonts w:hAnsi="宋体"/>
          <w:color w:val="000000"/>
          <w:sz w:val="24"/>
        </w:rPr>
        <w:t xml:space="preserve">2. </w:t>
      </w:r>
      <w:r>
        <w:rPr>
          <w:rFonts w:hint="eastAsia" w:hAnsi="宋体"/>
          <w:color w:val="000000"/>
          <w:sz w:val="24"/>
        </w:rPr>
        <w:t>没有甲方事先书面同意，乙方不得将由甲方提供的有关合同或任何合同条文、规格、计划、图纸、样品或资料提供给与履行本合同无关的任何其他人（包括没有必要授权的任何雇员），或用于除本合同履行之外的其他目的。不得引用、公布、泄露监测检测结果及相关信息。即使向履行本合同有关的人员提供，也应注意保密并限于履行合同的必需范围。保密义务不因本合同的解除或终止而</w:t>
      </w:r>
      <w:r>
        <w:rPr>
          <w:rFonts w:hint="eastAsia" w:hAnsi="宋体"/>
          <w:color w:val="000000"/>
          <w:sz w:val="24"/>
          <w:lang w:eastAsia="zh-Hans"/>
        </w:rPr>
        <w:t>免除</w:t>
      </w:r>
      <w:r>
        <w:rPr>
          <w:rFonts w:hint="eastAsia" w:hAnsi="宋体"/>
          <w:color w:val="000000"/>
          <w:sz w:val="24"/>
        </w:rPr>
        <w:t xml:space="preserve">。  </w:t>
      </w:r>
    </w:p>
    <w:p>
      <w:pPr>
        <w:pStyle w:val="15"/>
        <w:snapToGrid w:val="0"/>
        <w:spacing w:before="120" w:after="120" w:line="360" w:lineRule="auto"/>
        <w:ind w:left="412" w:hanging="412" w:hangingChars="171"/>
        <w:rPr>
          <w:rFonts w:hAnsi="宋体"/>
          <w:b/>
          <w:color w:val="000000"/>
          <w:sz w:val="24"/>
        </w:rPr>
      </w:pPr>
      <w:r>
        <w:rPr>
          <w:rFonts w:hint="eastAsia" w:hAnsi="宋体"/>
          <w:b/>
          <w:color w:val="000000"/>
          <w:sz w:val="24"/>
        </w:rPr>
        <w:t>六、知识产权</w:t>
      </w:r>
    </w:p>
    <w:p>
      <w:pPr>
        <w:pStyle w:val="15"/>
        <w:snapToGrid w:val="0"/>
        <w:spacing w:before="120" w:after="120" w:line="360" w:lineRule="auto"/>
        <w:rPr>
          <w:color w:val="000000"/>
          <w:sz w:val="24"/>
          <w:lang w:val="zh-CN"/>
        </w:rPr>
      </w:pPr>
      <w:r>
        <w:rPr>
          <w:rFonts w:hint="eastAsia" w:hAnsi="宋体"/>
          <w:color w:val="000000"/>
          <w:sz w:val="24"/>
        </w:rPr>
        <w:t>1、乙方应保证提供服务过程中不会侵犯任何第三方的知识产权，因此造成他人损失的，由乙方负责赔偿</w:t>
      </w:r>
      <w:r>
        <w:rPr>
          <w:rFonts w:hint="eastAsia"/>
          <w:color w:val="000000"/>
          <w:sz w:val="24"/>
          <w:lang w:val="zh-CN"/>
        </w:rPr>
        <w:t>。</w:t>
      </w:r>
    </w:p>
    <w:p>
      <w:pPr>
        <w:pStyle w:val="15"/>
        <w:snapToGrid w:val="0"/>
        <w:spacing w:before="120" w:after="120" w:line="360" w:lineRule="auto"/>
        <w:rPr>
          <w:rFonts w:hAnsi="宋体"/>
          <w:color w:val="000000"/>
          <w:sz w:val="24"/>
          <w:lang w:val="zh-CN"/>
        </w:rPr>
      </w:pPr>
      <w:r>
        <w:rPr>
          <w:rFonts w:hint="eastAsia" w:hAnsi="宋体"/>
          <w:color w:val="000000"/>
          <w:sz w:val="24"/>
        </w:rPr>
        <w:t>2</w:t>
      </w:r>
      <w:r>
        <w:rPr>
          <w:rFonts w:hAnsi="宋体"/>
          <w:color w:val="000000"/>
          <w:sz w:val="24"/>
          <w:lang w:eastAsia="zh-Hans"/>
        </w:rPr>
        <w:t>.</w:t>
      </w:r>
      <w:r>
        <w:rPr>
          <w:rFonts w:hint="eastAsia" w:hAnsi="宋体"/>
          <w:color w:val="000000"/>
          <w:sz w:val="24"/>
          <w:lang w:eastAsia="zh-Hans"/>
        </w:rPr>
        <w:t>如因乙方提供的</w:t>
      </w:r>
      <w:r>
        <w:rPr>
          <w:rFonts w:hint="eastAsia" w:hAnsi="宋体"/>
          <w:color w:val="000000"/>
          <w:sz w:val="24"/>
          <w:lang w:val="en-US" w:eastAsia="zh-CN"/>
        </w:rPr>
        <w:t>服务</w:t>
      </w:r>
      <w:r>
        <w:rPr>
          <w:rFonts w:hint="eastAsia" w:hAnsi="宋体"/>
          <w:color w:val="000000"/>
          <w:sz w:val="24"/>
          <w:lang w:eastAsia="zh-Hans"/>
        </w:rPr>
        <w:t>发生知识产权</w:t>
      </w:r>
      <w:r>
        <w:rPr>
          <w:rFonts w:hAnsi="宋体"/>
          <w:color w:val="000000"/>
          <w:sz w:val="24"/>
          <w:lang w:eastAsia="zh-Hans"/>
        </w:rPr>
        <w:t>、</w:t>
      </w:r>
      <w:r>
        <w:rPr>
          <w:rFonts w:hint="eastAsia" w:hAnsi="宋体"/>
          <w:color w:val="000000"/>
          <w:sz w:val="24"/>
          <w:lang w:eastAsia="zh-Hans"/>
        </w:rPr>
        <w:t>权利瑕疵等纠纷或违反保密义务的</w:t>
      </w:r>
      <w:r>
        <w:rPr>
          <w:rFonts w:hAnsi="宋体"/>
          <w:color w:val="000000"/>
          <w:sz w:val="24"/>
          <w:lang w:eastAsia="zh-Hans"/>
        </w:rPr>
        <w:t>，</w:t>
      </w:r>
      <w:r>
        <w:rPr>
          <w:rFonts w:hint="eastAsia" w:hAnsi="宋体"/>
          <w:color w:val="000000"/>
          <w:sz w:val="24"/>
          <w:lang w:eastAsia="zh-Hans"/>
        </w:rPr>
        <w:t>在甲方通知的期限内无法解决的</w:t>
      </w:r>
      <w:r>
        <w:rPr>
          <w:rFonts w:hAnsi="宋体"/>
          <w:color w:val="000000"/>
          <w:sz w:val="24"/>
          <w:lang w:eastAsia="zh-Hans"/>
        </w:rPr>
        <w:t>，</w:t>
      </w:r>
      <w:r>
        <w:rPr>
          <w:rFonts w:hint="eastAsia" w:hAnsi="宋体"/>
          <w:color w:val="000000"/>
          <w:sz w:val="24"/>
          <w:lang w:eastAsia="zh-Hans"/>
        </w:rPr>
        <w:t>甲方有权解除合同</w:t>
      </w:r>
      <w:r>
        <w:rPr>
          <w:rFonts w:hAnsi="宋体"/>
          <w:color w:val="000000"/>
          <w:sz w:val="24"/>
          <w:lang w:eastAsia="zh-Hans"/>
        </w:rPr>
        <w:t>，</w:t>
      </w:r>
      <w:r>
        <w:rPr>
          <w:rFonts w:hint="eastAsia" w:hAnsi="宋体"/>
          <w:color w:val="000000"/>
          <w:sz w:val="24"/>
        </w:rPr>
        <w:t>并由</w:t>
      </w:r>
      <w:r>
        <w:rPr>
          <w:rFonts w:hint="eastAsia" w:hAnsi="宋体"/>
          <w:color w:val="000000"/>
          <w:sz w:val="24"/>
          <w:lang w:eastAsia="zh-Hans"/>
        </w:rPr>
        <w:t>乙方</w:t>
      </w:r>
      <w:r>
        <w:rPr>
          <w:rFonts w:hint="eastAsia" w:hAnsi="宋体"/>
          <w:color w:val="000000"/>
          <w:sz w:val="24"/>
        </w:rPr>
        <w:t>承担</w:t>
      </w:r>
      <w:r>
        <w:rPr>
          <w:rFonts w:hint="eastAsia" w:hAnsi="宋体"/>
          <w:color w:val="000000"/>
          <w:sz w:val="24"/>
          <w:lang w:eastAsia="zh-Hans"/>
        </w:rPr>
        <w:t>合同总价</w:t>
      </w:r>
      <w:r>
        <w:rPr>
          <w:rFonts w:hAnsi="宋体"/>
          <w:color w:val="000000"/>
          <w:sz w:val="24"/>
          <w:lang w:eastAsia="zh-Hans"/>
        </w:rPr>
        <w:t>5%</w:t>
      </w:r>
      <w:r>
        <w:rPr>
          <w:rFonts w:hint="eastAsia" w:hAnsi="宋体"/>
          <w:color w:val="000000"/>
          <w:sz w:val="24"/>
          <w:lang w:eastAsia="zh-Hans"/>
        </w:rPr>
        <w:t>的违约</w:t>
      </w:r>
      <w:r>
        <w:rPr>
          <w:rFonts w:hint="eastAsia" w:hAnsi="宋体"/>
          <w:color w:val="000000"/>
          <w:sz w:val="24"/>
        </w:rPr>
        <w:t>金</w:t>
      </w:r>
      <w:r>
        <w:rPr>
          <w:rFonts w:hAnsi="宋体"/>
          <w:color w:val="000000"/>
          <w:sz w:val="24"/>
          <w:lang w:eastAsia="zh-Hans"/>
        </w:rPr>
        <w:t>。</w:t>
      </w:r>
    </w:p>
    <w:p>
      <w:pPr>
        <w:pStyle w:val="15"/>
        <w:snapToGrid w:val="0"/>
        <w:spacing w:before="120" w:after="120" w:line="360" w:lineRule="auto"/>
        <w:ind w:left="412" w:hanging="412" w:hangingChars="171"/>
        <w:rPr>
          <w:rFonts w:hAnsi="宋体"/>
          <w:b/>
          <w:color w:val="000000"/>
          <w:sz w:val="24"/>
        </w:rPr>
      </w:pPr>
      <w:r>
        <w:rPr>
          <w:rFonts w:hint="eastAsia" w:hAnsi="宋体"/>
          <w:b/>
          <w:color w:val="000000"/>
          <w:sz w:val="24"/>
        </w:rPr>
        <w:t>七、履约保证金</w:t>
      </w:r>
    </w:p>
    <w:p>
      <w:pPr>
        <w:pStyle w:val="15"/>
        <w:snapToGrid w:val="0"/>
        <w:spacing w:before="120" w:after="120" w:line="360" w:lineRule="auto"/>
        <w:ind w:left="360"/>
        <w:rPr>
          <w:rFonts w:hAnsi="宋体"/>
          <w:bCs/>
          <w:color w:val="000000"/>
          <w:sz w:val="24"/>
        </w:rPr>
      </w:pPr>
      <w:r>
        <w:rPr>
          <w:rFonts w:hint="eastAsia" w:hAnsi="宋体"/>
          <w:bCs/>
          <w:color w:val="000000"/>
          <w:sz w:val="24"/>
        </w:rPr>
        <w:t>无</w:t>
      </w:r>
    </w:p>
    <w:p>
      <w:pPr>
        <w:snapToGrid w:val="0"/>
        <w:spacing w:before="156" w:beforeLines="50" w:after="156" w:afterLines="50" w:line="360" w:lineRule="auto"/>
        <w:rPr>
          <w:rFonts w:ascii="宋体"/>
          <w:b/>
          <w:color w:val="000000"/>
          <w:sz w:val="24"/>
        </w:rPr>
      </w:pPr>
      <w:r>
        <w:rPr>
          <w:rFonts w:hint="eastAsia" w:ascii="宋体" w:hAnsi="宋体"/>
          <w:b/>
          <w:color w:val="000000"/>
          <w:sz w:val="24"/>
        </w:rPr>
        <w:t>八、转包或分包</w:t>
      </w:r>
    </w:p>
    <w:p>
      <w:pPr>
        <w:snapToGrid w:val="0"/>
        <w:spacing w:before="156" w:beforeLines="50" w:after="156" w:afterLines="50" w:line="360" w:lineRule="auto"/>
        <w:rPr>
          <w:rFonts w:ascii="宋体"/>
          <w:color w:val="000000"/>
          <w:sz w:val="24"/>
        </w:rPr>
      </w:pPr>
      <w:r>
        <w:rPr>
          <w:rFonts w:ascii="宋体" w:hAnsi="宋体"/>
          <w:color w:val="000000"/>
          <w:sz w:val="24"/>
        </w:rPr>
        <w:t>1</w:t>
      </w:r>
      <w:r>
        <w:rPr>
          <w:rFonts w:ascii="宋体"/>
          <w:color w:val="000000"/>
          <w:sz w:val="24"/>
        </w:rPr>
        <w:t>.</w:t>
      </w:r>
      <w:r>
        <w:rPr>
          <w:rFonts w:hint="eastAsia" w:ascii="宋体" w:hAnsi="宋体"/>
          <w:color w:val="000000"/>
          <w:sz w:val="24"/>
        </w:rPr>
        <w:t>本合同范围的服务，应由乙方直接供应，不得转让他人供应；</w:t>
      </w:r>
    </w:p>
    <w:p>
      <w:pPr>
        <w:snapToGrid w:val="0"/>
        <w:spacing w:before="156" w:beforeLines="50" w:after="156" w:afterLines="50" w:line="360" w:lineRule="auto"/>
        <w:rPr>
          <w:rFonts w:hint="eastAsia" w:ascii="宋体" w:hAnsi="宋体" w:eastAsia="宋体" w:cs="Times New Roman"/>
          <w:color w:val="000000"/>
          <w:sz w:val="24"/>
        </w:rPr>
      </w:pPr>
      <w:r>
        <w:rPr>
          <w:rFonts w:hint="eastAsia" w:ascii="宋体" w:hAnsi="宋体" w:eastAsia="宋体" w:cs="Times New Roman"/>
          <w:color w:val="000000"/>
          <w:sz w:val="24"/>
        </w:rPr>
        <w:t>2. 本项目须经采购人书面同意后，耕地质量等级评定报告和土壤监测报告可由中标方委托有资质的第三方出具，其它不得分包</w:t>
      </w:r>
      <w:r>
        <w:rPr>
          <w:rFonts w:hint="eastAsia" w:ascii="宋体" w:hAnsi="宋体"/>
          <w:color w:val="000000"/>
          <w:sz w:val="24"/>
        </w:rPr>
        <w:t>；</w:t>
      </w:r>
    </w:p>
    <w:p>
      <w:pPr>
        <w:snapToGrid w:val="0"/>
        <w:spacing w:before="156" w:beforeLines="50" w:after="156" w:afterLines="50" w:line="360" w:lineRule="auto"/>
        <w:rPr>
          <w:rFonts w:ascii="宋体"/>
          <w:color w:val="000000"/>
          <w:sz w:val="24"/>
        </w:rPr>
      </w:pPr>
      <w:r>
        <w:rPr>
          <w:rFonts w:ascii="宋体" w:hAnsi="宋体"/>
          <w:color w:val="000000"/>
          <w:sz w:val="24"/>
        </w:rPr>
        <w:t>3</w:t>
      </w:r>
      <w:r>
        <w:rPr>
          <w:rFonts w:ascii="宋体"/>
          <w:color w:val="000000"/>
          <w:sz w:val="24"/>
        </w:rPr>
        <w:t>.</w:t>
      </w:r>
      <w:r>
        <w:rPr>
          <w:rFonts w:hint="eastAsia" w:ascii="宋体" w:hAnsi="宋体"/>
          <w:color w:val="000000"/>
          <w:sz w:val="24"/>
        </w:rPr>
        <w:t>如有转让和未经甲方同意的分包行为，甲方有权解除合同，并追究乙方的违约责任。</w:t>
      </w:r>
    </w:p>
    <w:p>
      <w:pPr>
        <w:pStyle w:val="15"/>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九、合同履行时间、履行方式</w:t>
      </w:r>
    </w:p>
    <w:p>
      <w:pPr>
        <w:pStyle w:val="16"/>
        <w:ind w:left="5250"/>
      </w:pPr>
    </w:p>
    <w:p>
      <w:pPr>
        <w:pStyle w:val="15"/>
        <w:numPr>
          <w:ilvl w:val="0"/>
          <w:numId w:val="12"/>
        </w:numPr>
        <w:snapToGrid w:val="0"/>
        <w:spacing w:before="120" w:after="120" w:line="360" w:lineRule="auto"/>
        <w:rPr>
          <w:rFonts w:hAnsi="宋体"/>
          <w:b/>
          <w:color w:val="000000"/>
          <w:sz w:val="24"/>
        </w:rPr>
      </w:pPr>
      <w:r>
        <w:rPr>
          <w:rFonts w:hint="eastAsia" w:hAnsi="宋体"/>
          <w:b/>
          <w:color w:val="000000"/>
          <w:sz w:val="24"/>
        </w:rPr>
        <w:t>款项支付</w:t>
      </w:r>
    </w:p>
    <w:p>
      <w:pPr>
        <w:snapToGrid w:val="0"/>
        <w:spacing w:before="156" w:beforeLines="50" w:after="156" w:afterLines="50" w:line="360" w:lineRule="auto"/>
        <w:rPr>
          <w:rFonts w:ascii="宋体" w:hAnsi="宋体"/>
          <w:color w:val="000000"/>
          <w:sz w:val="24"/>
        </w:rPr>
      </w:pPr>
      <w:r>
        <w:rPr>
          <w:rFonts w:hint="eastAsia" w:ascii="宋体" w:hAnsi="宋体"/>
          <w:color w:val="000000"/>
          <w:sz w:val="24"/>
        </w:rPr>
        <w:t>单个项目完成验收入库后结算，按实际整治项目面积和协议价格进行核算和支付货款。</w:t>
      </w:r>
    </w:p>
    <w:p>
      <w:pPr>
        <w:snapToGrid w:val="0"/>
        <w:spacing w:before="156" w:beforeLines="50" w:after="156" w:afterLines="50" w:line="360" w:lineRule="auto"/>
        <w:rPr>
          <w:rFonts w:ascii="宋体"/>
          <w:b/>
          <w:color w:val="000000"/>
          <w:sz w:val="24"/>
        </w:rPr>
      </w:pPr>
      <w:r>
        <w:rPr>
          <w:rFonts w:hint="eastAsia" w:ascii="宋体" w:hAnsi="宋体"/>
          <w:color w:val="000000"/>
        </w:rPr>
        <w:t xml:space="preserve"> </w:t>
      </w:r>
      <w:r>
        <w:rPr>
          <w:rFonts w:hint="eastAsia" w:ascii="宋体" w:hAnsi="宋体"/>
          <w:b/>
          <w:color w:val="000000"/>
          <w:sz w:val="24"/>
        </w:rPr>
        <w:t>十一、税费</w:t>
      </w:r>
    </w:p>
    <w:p>
      <w:pPr>
        <w:snapToGrid w:val="0"/>
        <w:spacing w:before="156" w:beforeLines="50" w:after="156" w:afterLines="50" w:line="360" w:lineRule="auto"/>
        <w:rPr>
          <w:rFonts w:hAnsi="宋体"/>
          <w:color w:val="000000"/>
          <w:sz w:val="24"/>
        </w:rPr>
      </w:pPr>
      <w:r>
        <w:rPr>
          <w:rFonts w:hint="eastAsia" w:ascii="宋体" w:hAnsi="宋体"/>
          <w:color w:val="000000"/>
          <w:sz w:val="24"/>
        </w:rPr>
        <w:t>本合同执行中相关的一切税费均由乙方负担。</w:t>
      </w:r>
      <w:r>
        <w:rPr>
          <w:rFonts w:hAnsi="宋体"/>
          <w:color w:val="000000"/>
          <w:sz w:val="24"/>
        </w:rPr>
        <w:t xml:space="preserve"> </w:t>
      </w:r>
    </w:p>
    <w:p>
      <w:pPr>
        <w:pStyle w:val="15"/>
        <w:snapToGrid w:val="0"/>
        <w:spacing w:before="120" w:after="120" w:line="360" w:lineRule="auto"/>
        <w:rPr>
          <w:rFonts w:hAnsi="宋体"/>
          <w:b/>
          <w:color w:val="000000"/>
          <w:sz w:val="24"/>
        </w:rPr>
      </w:pPr>
      <w:r>
        <w:rPr>
          <w:rFonts w:hint="eastAsia" w:hAnsi="宋体"/>
          <w:b/>
          <w:color w:val="000000"/>
          <w:sz w:val="24"/>
        </w:rPr>
        <w:t>十二、违约责任</w:t>
      </w:r>
    </w:p>
    <w:p>
      <w:pPr>
        <w:pStyle w:val="15"/>
        <w:snapToGrid w:val="0"/>
        <w:spacing w:before="120" w:after="120" w:line="360" w:lineRule="auto"/>
        <w:ind w:left="410" w:hanging="410" w:hangingChars="171"/>
        <w:rPr>
          <w:rFonts w:hAnsi="宋体"/>
          <w:color w:val="000000"/>
          <w:sz w:val="24"/>
        </w:rPr>
      </w:pPr>
      <w:r>
        <w:rPr>
          <w:rFonts w:hAnsi="宋体"/>
          <w:color w:val="000000"/>
          <w:sz w:val="24"/>
        </w:rPr>
        <w:t>1</w:t>
      </w:r>
      <w:r>
        <w:rPr>
          <w:rFonts w:hint="eastAsia" w:hAnsi="宋体"/>
          <w:color w:val="000000"/>
          <w:sz w:val="24"/>
        </w:rPr>
        <w:t>．甲方无正当理由拒</w:t>
      </w:r>
      <w:r>
        <w:rPr>
          <w:rFonts w:hint="eastAsia" w:hAnsi="宋体"/>
          <w:sz w:val="24"/>
        </w:rPr>
        <w:t>收</w:t>
      </w:r>
      <w:r>
        <w:rPr>
          <w:rFonts w:hint="eastAsia" w:hAnsi="宋体"/>
          <w:color w:val="000000"/>
          <w:sz w:val="24"/>
        </w:rPr>
        <w:t>接受服务的，甲方向乙方偿付合同款项</w:t>
      </w:r>
      <w:r>
        <w:rPr>
          <w:rFonts w:hint="eastAsia" w:hAnsi="宋体"/>
          <w:color w:val="000000"/>
          <w:sz w:val="24"/>
          <w:u w:val="single"/>
        </w:rPr>
        <w:t>百分之五</w:t>
      </w:r>
      <w:r>
        <w:rPr>
          <w:rFonts w:hint="eastAsia" w:hAnsi="宋体"/>
          <w:color w:val="000000"/>
          <w:sz w:val="24"/>
        </w:rPr>
        <w:t>作为违约金。</w:t>
      </w:r>
    </w:p>
    <w:p>
      <w:pPr>
        <w:pStyle w:val="15"/>
        <w:snapToGrid w:val="0"/>
        <w:spacing w:before="120" w:after="120" w:line="360" w:lineRule="auto"/>
        <w:ind w:left="410" w:hanging="410" w:hangingChars="171"/>
        <w:rPr>
          <w:rFonts w:hAnsi="宋体"/>
          <w:color w:val="000000"/>
          <w:sz w:val="24"/>
          <w:u w:val="single"/>
        </w:rPr>
      </w:pPr>
      <w:r>
        <w:rPr>
          <w:rFonts w:hAnsi="宋体"/>
          <w:color w:val="000000"/>
          <w:sz w:val="24"/>
        </w:rPr>
        <w:t>2</w:t>
      </w:r>
      <w:r>
        <w:rPr>
          <w:rFonts w:hint="eastAsia" w:hAnsi="宋体"/>
          <w:color w:val="000000"/>
          <w:sz w:val="24"/>
        </w:rPr>
        <w:t>．甲方无故逾期验收和办理款项支付手续的</w:t>
      </w:r>
      <w:r>
        <w:rPr>
          <w:rFonts w:hAnsi="宋体"/>
          <w:color w:val="000000"/>
          <w:sz w:val="24"/>
        </w:rPr>
        <w:t>,</w:t>
      </w:r>
      <w:r>
        <w:rPr>
          <w:rFonts w:hint="eastAsia" w:hAnsi="宋体"/>
          <w:color w:val="000000"/>
          <w:sz w:val="24"/>
        </w:rPr>
        <w:t>甲方应按逾期付款总额</w:t>
      </w:r>
      <w:r>
        <w:rPr>
          <w:rFonts w:hint="eastAsia" w:hAnsi="宋体"/>
          <w:color w:val="000000"/>
          <w:sz w:val="24"/>
          <w:u w:val="single"/>
        </w:rPr>
        <w:t>每日万分之</w:t>
      </w:r>
    </w:p>
    <w:p>
      <w:pPr>
        <w:pStyle w:val="15"/>
        <w:snapToGrid w:val="0"/>
        <w:spacing w:before="120" w:after="120" w:line="360" w:lineRule="auto"/>
        <w:ind w:left="407" w:leftChars="114" w:hanging="168" w:hangingChars="70"/>
        <w:rPr>
          <w:rFonts w:hAnsi="宋体"/>
          <w:color w:val="000000"/>
          <w:sz w:val="24"/>
        </w:rPr>
      </w:pPr>
      <w:r>
        <w:rPr>
          <w:rFonts w:hint="eastAsia" w:hAnsi="宋体"/>
          <w:color w:val="000000"/>
          <w:sz w:val="24"/>
          <w:u w:val="single"/>
        </w:rPr>
        <w:t>五</w:t>
      </w:r>
      <w:r>
        <w:rPr>
          <w:rFonts w:hint="eastAsia" w:hAnsi="宋体"/>
          <w:color w:val="000000"/>
          <w:sz w:val="24"/>
        </w:rPr>
        <w:t>向乙方支付违约金。</w:t>
      </w:r>
    </w:p>
    <w:p>
      <w:pPr>
        <w:pStyle w:val="15"/>
        <w:numPr>
          <w:ilvl w:val="0"/>
          <w:numId w:val="13"/>
        </w:numPr>
        <w:snapToGrid w:val="0"/>
        <w:spacing w:before="120" w:after="120" w:line="360" w:lineRule="auto"/>
        <w:ind w:left="410" w:hanging="410" w:hangingChars="171"/>
        <w:rPr>
          <w:rFonts w:hAnsi="宋体"/>
          <w:color w:val="000000"/>
          <w:sz w:val="24"/>
        </w:rPr>
      </w:pPr>
      <w:r>
        <w:rPr>
          <w:rFonts w:hint="eastAsia" w:hAnsi="宋体"/>
          <w:color w:val="000000"/>
          <w:sz w:val="24"/>
        </w:rPr>
        <w:t>乙方未能如期提供服务的，每日向甲方支付合同款项的</w:t>
      </w:r>
      <w:r>
        <w:rPr>
          <w:rFonts w:hint="eastAsia" w:hAnsi="宋体"/>
          <w:color w:val="000000"/>
          <w:sz w:val="24"/>
          <w:u w:val="single"/>
        </w:rPr>
        <w:t>千分之六</w:t>
      </w:r>
      <w:r>
        <w:rPr>
          <w:rFonts w:hint="eastAsia" w:hAnsi="宋体"/>
          <w:color w:val="000000"/>
          <w:sz w:val="24"/>
        </w:rPr>
        <w:t>作为违约金。乙方超过约定日期</w:t>
      </w:r>
      <w:r>
        <w:rPr>
          <w:rFonts w:hAnsi="宋体"/>
          <w:color w:val="000000"/>
          <w:sz w:val="24"/>
        </w:rPr>
        <w:t>10</w:t>
      </w:r>
      <w:r>
        <w:rPr>
          <w:rFonts w:hint="eastAsia" w:hAnsi="宋体"/>
          <w:color w:val="000000"/>
          <w:sz w:val="24"/>
        </w:rPr>
        <w:t>个工作日仍不能提供服务的，甲方可解除本合同。乙方因未能如期提供服务或因其他违约行为导致甲方解除合同的，乙方应向甲方支付合同总值</w:t>
      </w:r>
      <w:r>
        <w:rPr>
          <w:rFonts w:hAnsi="宋体"/>
          <w:color w:val="000000"/>
          <w:sz w:val="24"/>
          <w:u w:val="single"/>
        </w:rPr>
        <w:t>5%</w:t>
      </w:r>
      <w:r>
        <w:rPr>
          <w:rFonts w:hint="eastAsia" w:hAnsi="宋体"/>
          <w:color w:val="000000"/>
          <w:sz w:val="24"/>
        </w:rPr>
        <w:t xml:space="preserve">的违约金，如造成甲方损失超过违约金的，超出部分由乙方继续承担赔偿责任直至填平损失。 </w:t>
      </w:r>
    </w:p>
    <w:p>
      <w:pPr>
        <w:pStyle w:val="15"/>
        <w:snapToGrid w:val="0"/>
        <w:spacing w:before="120" w:after="120" w:line="360" w:lineRule="auto"/>
        <w:rPr>
          <w:rFonts w:hAnsi="宋体"/>
          <w:b/>
          <w:color w:val="000000"/>
          <w:sz w:val="24"/>
        </w:rPr>
      </w:pPr>
      <w:r>
        <w:rPr>
          <w:rFonts w:hint="eastAsia" w:hAnsi="宋体"/>
          <w:b/>
          <w:color w:val="000000"/>
          <w:sz w:val="24"/>
        </w:rPr>
        <w:t>十三、不可抗力事件处理</w:t>
      </w:r>
    </w:p>
    <w:p>
      <w:pPr>
        <w:pStyle w:val="15"/>
        <w:snapToGrid w:val="0"/>
        <w:spacing w:before="120" w:after="120" w:line="360" w:lineRule="auto"/>
        <w:ind w:left="480" w:hanging="480" w:hangingChars="200"/>
        <w:rPr>
          <w:rFonts w:hAnsi="宋体"/>
          <w:color w:val="000000"/>
          <w:sz w:val="24"/>
        </w:rPr>
      </w:pPr>
      <w:r>
        <w:rPr>
          <w:rFonts w:hAnsi="宋体"/>
          <w:color w:val="000000"/>
          <w:sz w:val="24"/>
        </w:rPr>
        <w:t>1</w:t>
      </w:r>
      <w:r>
        <w:rPr>
          <w:rFonts w:hint="eastAsia" w:hAnsi="宋体"/>
          <w:color w:val="000000"/>
          <w:sz w:val="24"/>
        </w:rPr>
        <w:t>．在合同有效期内，任何一方因不可抗力事件导致不能履行合同，则合同履行</w:t>
      </w:r>
    </w:p>
    <w:p>
      <w:pPr>
        <w:pStyle w:val="15"/>
        <w:snapToGrid w:val="0"/>
        <w:spacing w:before="120" w:after="120" w:line="360" w:lineRule="auto"/>
        <w:ind w:firstLine="360" w:firstLineChars="150"/>
        <w:rPr>
          <w:rFonts w:hAnsi="宋体"/>
          <w:color w:val="000000"/>
          <w:sz w:val="24"/>
        </w:rPr>
      </w:pPr>
      <w:r>
        <w:rPr>
          <w:rFonts w:hint="eastAsia" w:hAnsi="宋体"/>
          <w:color w:val="000000"/>
          <w:sz w:val="24"/>
        </w:rPr>
        <w:t>期可延长，其延长期与不可抗力影响期相同。</w:t>
      </w:r>
    </w:p>
    <w:p>
      <w:pPr>
        <w:pStyle w:val="15"/>
        <w:snapToGrid w:val="0"/>
        <w:spacing w:before="120" w:after="120" w:line="360" w:lineRule="auto"/>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p>
    <w:p>
      <w:pPr>
        <w:pStyle w:val="15"/>
        <w:snapToGrid w:val="0"/>
        <w:spacing w:before="120" w:after="120" w:line="360" w:lineRule="auto"/>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120</w:t>
      </w:r>
      <w:r>
        <w:rPr>
          <w:rFonts w:hint="eastAsia" w:hAnsi="宋体"/>
          <w:color w:val="000000"/>
          <w:sz w:val="24"/>
        </w:rPr>
        <w:t>天以上，双方应通过友好协商，确定是否继续履行合</w:t>
      </w:r>
    </w:p>
    <w:p>
      <w:pPr>
        <w:pStyle w:val="15"/>
        <w:snapToGrid w:val="0"/>
        <w:spacing w:before="120" w:after="120" w:line="360" w:lineRule="auto"/>
        <w:ind w:firstLine="360" w:firstLineChars="150"/>
        <w:rPr>
          <w:rFonts w:hAnsi="宋体"/>
          <w:color w:val="000000"/>
          <w:sz w:val="24"/>
        </w:rPr>
      </w:pPr>
      <w:r>
        <w:rPr>
          <w:rFonts w:hint="eastAsia" w:hAnsi="宋体"/>
          <w:color w:val="000000"/>
          <w:sz w:val="24"/>
        </w:rPr>
        <w:t>同。</w:t>
      </w:r>
    </w:p>
    <w:p>
      <w:pPr>
        <w:pStyle w:val="15"/>
        <w:snapToGrid w:val="0"/>
        <w:spacing w:before="120" w:after="120" w:line="360" w:lineRule="auto"/>
        <w:rPr>
          <w:rFonts w:hAnsi="宋体"/>
          <w:b/>
          <w:color w:val="000000"/>
          <w:sz w:val="24"/>
        </w:rPr>
      </w:pPr>
      <w:r>
        <w:rPr>
          <w:rFonts w:hint="eastAsia" w:hAnsi="宋体"/>
          <w:b/>
          <w:color w:val="000000"/>
          <w:sz w:val="24"/>
        </w:rPr>
        <w:t>十四、解决争议的方法</w:t>
      </w:r>
    </w:p>
    <w:p>
      <w:pPr>
        <w:pStyle w:val="13"/>
        <w:rPr>
          <w:rFonts w:hAnsi="宋体" w:cs="宋体"/>
          <w:color w:val="000000"/>
          <w:kern w:val="0"/>
        </w:rPr>
      </w:pPr>
      <w:r>
        <w:rPr>
          <w:rFonts w:hAnsi="宋体" w:cs="宋体"/>
          <w:color w:val="000000"/>
          <w:kern w:val="0"/>
        </w:rPr>
        <w:t xml:space="preserve">1. </w:t>
      </w:r>
      <w:r>
        <w:rPr>
          <w:rFonts w:hint="eastAsia" w:hAnsi="宋体" w:cs="宋体"/>
          <w:color w:val="000000"/>
          <w:kern w:val="0"/>
        </w:rPr>
        <w:t>如双方在履行合同时发生纠纷，应协商解决；协商不成时，可提请政府采购管理部门调解；调解不成的通过</w:t>
      </w:r>
      <w:r>
        <w:rPr>
          <w:rFonts w:hint="eastAsia"/>
          <w:color w:val="000000"/>
        </w:rPr>
        <w:t>以下</w:t>
      </w:r>
      <w:r>
        <w:rPr>
          <w:color w:val="000000"/>
          <w:u w:val="single"/>
        </w:rPr>
        <w:t xml:space="preserve"> </w:t>
      </w:r>
      <w:r>
        <w:rPr>
          <w:rFonts w:hint="eastAsia"/>
          <w:color w:val="000000"/>
          <w:u w:val="single"/>
        </w:rPr>
        <w:t>（</w:t>
      </w:r>
      <w:r>
        <w:rPr>
          <w:color w:val="000000"/>
          <w:u w:val="single"/>
        </w:rPr>
        <w:t>1</w:t>
      </w:r>
      <w:r>
        <w:rPr>
          <w:rFonts w:hint="eastAsia"/>
          <w:color w:val="000000"/>
          <w:u w:val="single"/>
        </w:rPr>
        <w:t>）</w:t>
      </w:r>
      <w:r>
        <w:rPr>
          <w:color w:val="000000"/>
          <w:u w:val="single"/>
        </w:rPr>
        <w:t xml:space="preserve"> </w:t>
      </w:r>
      <w:r>
        <w:rPr>
          <w:rFonts w:hint="eastAsia"/>
          <w:color w:val="000000"/>
        </w:rPr>
        <w:t>方式</w:t>
      </w:r>
      <w:r>
        <w:rPr>
          <w:rFonts w:hint="eastAsia" w:hAnsi="宋体" w:cs="宋体"/>
          <w:color w:val="000000"/>
          <w:kern w:val="0"/>
        </w:rPr>
        <w:t>解决（两种解决方式只能择其一）：</w:t>
      </w:r>
    </w:p>
    <w:p>
      <w:pPr>
        <w:pStyle w:val="13"/>
        <w:rPr>
          <w:rFonts w:hAnsi="宋体" w:cs="宋体"/>
          <w:color w:val="000000"/>
          <w:kern w:val="0"/>
        </w:rPr>
      </w:pPr>
      <w:r>
        <w:rPr>
          <w:rFonts w:hint="eastAsia" w:hAnsi="宋体" w:cs="宋体"/>
          <w:color w:val="000000"/>
          <w:kern w:val="0"/>
        </w:rPr>
        <w:t>（</w:t>
      </w:r>
      <w:r>
        <w:rPr>
          <w:rFonts w:hAnsi="宋体" w:cs="宋体"/>
          <w:color w:val="000000"/>
          <w:kern w:val="0"/>
        </w:rPr>
        <w:t>1</w:t>
      </w:r>
      <w:r>
        <w:rPr>
          <w:rFonts w:hint="eastAsia" w:hAnsi="宋体" w:cs="宋体"/>
          <w:color w:val="000000"/>
          <w:kern w:val="0"/>
        </w:rPr>
        <w:t>）</w:t>
      </w:r>
      <w:r>
        <w:rPr>
          <w:rFonts w:hAnsi="宋体" w:cs="宋体"/>
          <w:color w:val="000000"/>
          <w:kern w:val="0"/>
        </w:rPr>
        <w:t xml:space="preserve"> </w:t>
      </w:r>
      <w:r>
        <w:rPr>
          <w:rFonts w:hint="eastAsia" w:hAnsi="宋体" w:cs="宋体"/>
          <w:color w:val="000000"/>
          <w:kern w:val="0"/>
        </w:rPr>
        <w:t>提交</w:t>
      </w:r>
      <w:r>
        <w:rPr>
          <w:rFonts w:hint="eastAsia" w:hAnsi="宋体"/>
          <w:color w:val="000000"/>
          <w:u w:val="single"/>
        </w:rPr>
        <w:t>台州</w:t>
      </w:r>
      <w:r>
        <w:rPr>
          <w:rFonts w:hint="eastAsia" w:hAnsi="宋体" w:cs="宋体"/>
          <w:color w:val="000000"/>
          <w:kern w:val="0"/>
        </w:rPr>
        <w:t>仲裁委员会仲裁。</w:t>
      </w:r>
    </w:p>
    <w:p>
      <w:pPr>
        <w:pStyle w:val="13"/>
        <w:rPr>
          <w:rFonts w:hAnsi="宋体" w:cs="宋体"/>
          <w:color w:val="000000"/>
          <w:kern w:val="0"/>
        </w:rPr>
      </w:pPr>
      <w:r>
        <w:rPr>
          <w:rFonts w:hint="eastAsia" w:hAnsi="宋体" w:cs="宋体"/>
          <w:color w:val="000000"/>
          <w:kern w:val="0"/>
        </w:rPr>
        <w:t>（</w:t>
      </w:r>
      <w:r>
        <w:rPr>
          <w:rFonts w:hAnsi="宋体" w:cs="宋体"/>
          <w:color w:val="000000"/>
          <w:kern w:val="0"/>
        </w:rPr>
        <w:t>2</w:t>
      </w:r>
      <w:r>
        <w:rPr>
          <w:rFonts w:hint="eastAsia" w:hAnsi="宋体" w:cs="宋体"/>
          <w:color w:val="000000"/>
          <w:kern w:val="0"/>
        </w:rPr>
        <w:t>）</w:t>
      </w:r>
      <w:r>
        <w:rPr>
          <w:rFonts w:hAnsi="宋体" w:cs="宋体"/>
          <w:color w:val="000000"/>
          <w:kern w:val="0"/>
        </w:rPr>
        <w:t xml:space="preserve"> </w:t>
      </w:r>
      <w:r>
        <w:rPr>
          <w:rFonts w:hint="eastAsia" w:hAnsi="宋体" w:cs="宋体"/>
          <w:color w:val="000000"/>
          <w:kern w:val="0"/>
        </w:rPr>
        <w:t>依法向人民法院提起诉讼。</w:t>
      </w:r>
    </w:p>
    <w:p>
      <w:pPr>
        <w:pStyle w:val="15"/>
        <w:snapToGrid w:val="0"/>
        <w:spacing w:before="120" w:after="120" w:line="360" w:lineRule="auto"/>
        <w:rPr>
          <w:rFonts w:hAnsi="宋体"/>
          <w:b/>
          <w:color w:val="000000"/>
          <w:sz w:val="24"/>
        </w:rPr>
      </w:pPr>
      <w:r>
        <w:rPr>
          <w:rFonts w:hint="eastAsia" w:hAnsi="宋体"/>
          <w:b/>
          <w:color w:val="000000"/>
          <w:sz w:val="24"/>
        </w:rPr>
        <w:t>十五、合同生效及其它</w:t>
      </w:r>
    </w:p>
    <w:p>
      <w:pPr>
        <w:pStyle w:val="15"/>
        <w:snapToGrid w:val="0"/>
        <w:spacing w:before="120" w:after="120" w:line="360" w:lineRule="auto"/>
        <w:rPr>
          <w:rFonts w:hAnsi="宋体"/>
          <w:color w:val="000000"/>
          <w:sz w:val="24"/>
        </w:rPr>
      </w:pPr>
      <w:r>
        <w:rPr>
          <w:rFonts w:hAnsi="宋体"/>
          <w:color w:val="000000"/>
          <w:sz w:val="24"/>
        </w:rPr>
        <w:t xml:space="preserve">1. </w:t>
      </w:r>
      <w:r>
        <w:rPr>
          <w:rFonts w:hint="eastAsia" w:hAnsi="宋体"/>
          <w:color w:val="000000"/>
          <w:sz w:val="24"/>
        </w:rPr>
        <w:t>合同经双方法定代表人或授权代表签字并加盖单位公章后生效。</w:t>
      </w:r>
    </w:p>
    <w:p>
      <w:pPr>
        <w:pStyle w:val="15"/>
        <w:snapToGrid w:val="0"/>
        <w:spacing w:before="120" w:after="120" w:line="360" w:lineRule="auto"/>
        <w:ind w:left="480" w:hanging="480" w:hangingChars="200"/>
        <w:rPr>
          <w:rFonts w:hAnsi="宋体"/>
          <w:color w:val="000000"/>
          <w:sz w:val="24"/>
        </w:rPr>
      </w:pPr>
      <w:r>
        <w:rPr>
          <w:rFonts w:hAnsi="宋体"/>
          <w:color w:val="000000"/>
          <w:sz w:val="24"/>
        </w:rPr>
        <w:t xml:space="preserve">2. </w:t>
      </w:r>
      <w:r>
        <w:rPr>
          <w:rFonts w:hint="eastAsia" w:hAnsi="宋体"/>
          <w:color w:val="000000"/>
          <w:sz w:val="24"/>
        </w:rPr>
        <w:t>本合同未尽事宜，遵照《民法典》有关条文执行。</w:t>
      </w:r>
    </w:p>
    <w:p>
      <w:pPr>
        <w:widowControl/>
        <w:spacing w:line="360" w:lineRule="auto"/>
        <w:rPr>
          <w:rFonts w:ascii="宋体" w:hAnsi="宋体"/>
          <w:color w:val="000000"/>
          <w:sz w:val="24"/>
        </w:rPr>
      </w:pPr>
      <w:r>
        <w:rPr>
          <w:rFonts w:ascii="宋体" w:hAnsi="宋体"/>
          <w:color w:val="000000"/>
          <w:sz w:val="24"/>
        </w:rPr>
        <w:t xml:space="preserve">3. </w:t>
      </w:r>
      <w:r>
        <w:rPr>
          <w:rFonts w:hint="eastAsia" w:ascii="宋体" w:hAnsi="宋体"/>
          <w:color w:val="000000"/>
          <w:sz w:val="24"/>
        </w:rPr>
        <w:t>本合同一式四份。甲、乙双方各执一份，采购组织机构及同级人民政府财政部门各执一份。本项目未尽事宜以招标文件、投标文件及澄清文件等为准。</w:t>
      </w:r>
    </w:p>
    <w:p>
      <w:pPr>
        <w:pStyle w:val="55"/>
      </w:pPr>
    </w:p>
    <w:p>
      <w:pPr>
        <w:spacing w:line="360" w:lineRule="auto"/>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pacing w:line="360" w:lineRule="auto"/>
        <w:rPr>
          <w:rFonts w:asci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法定代表人：</w:t>
      </w:r>
    </w:p>
    <w:p>
      <w:pPr>
        <w:spacing w:line="360" w:lineRule="auto"/>
        <w:rPr>
          <w:rFonts w:ascii="宋体"/>
          <w:sz w:val="24"/>
        </w:rPr>
      </w:pPr>
      <w:r>
        <w:rPr>
          <w:rFonts w:hint="eastAsia" w:ascii="宋体" w:hAnsi="宋体"/>
          <w:sz w:val="24"/>
        </w:rPr>
        <w:t>委托代理人：</w:t>
      </w:r>
      <w:r>
        <w:rPr>
          <w:rFonts w:ascii="宋体" w:hAnsi="宋体"/>
          <w:sz w:val="24"/>
        </w:rPr>
        <w:t xml:space="preserve">                                     </w:t>
      </w:r>
      <w:r>
        <w:rPr>
          <w:rFonts w:hint="eastAsia" w:ascii="宋体" w:hAnsi="宋体"/>
          <w:sz w:val="24"/>
        </w:rPr>
        <w:t>委托代理人：</w:t>
      </w:r>
    </w:p>
    <w:p>
      <w:pPr>
        <w:spacing w:line="360" w:lineRule="auto"/>
        <w:rPr>
          <w:rFonts w:ascii="宋体"/>
          <w:sz w:val="24"/>
        </w:rPr>
      </w:pPr>
      <w:r>
        <w:rPr>
          <w:rFonts w:hint="eastAsia" w:ascii="宋体" w:hAnsi="宋体"/>
          <w:sz w:val="24"/>
        </w:rPr>
        <w:t>联系电话：</w:t>
      </w:r>
      <w:r>
        <w:rPr>
          <w:rFonts w:ascii="宋体" w:hAnsi="宋体"/>
          <w:sz w:val="24"/>
        </w:rPr>
        <w:t xml:space="preserve">                                       </w:t>
      </w:r>
      <w:r>
        <w:rPr>
          <w:rFonts w:hint="eastAsia" w:ascii="宋体" w:hAnsi="宋体"/>
          <w:sz w:val="24"/>
        </w:rPr>
        <w:t>联系电话：</w:t>
      </w:r>
    </w:p>
    <w:p>
      <w:pPr>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360" w:lineRule="auto"/>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pacing w:line="360" w:lineRule="auto"/>
        <w:rPr>
          <w:rFonts w:ascii="宋体" w:hAnsi="宋体"/>
          <w:sz w:val="24"/>
        </w:rPr>
      </w:pPr>
      <w:r>
        <w:rPr>
          <w:rFonts w:hint="eastAsia" w:ascii="宋体" w:hAnsi="宋体"/>
          <w:sz w:val="24"/>
        </w:rPr>
        <w:t>地址及邮编：</w:t>
      </w:r>
      <w:r>
        <w:rPr>
          <w:rFonts w:ascii="宋体" w:hAnsi="宋体"/>
          <w:sz w:val="24"/>
        </w:rPr>
        <w:t xml:space="preserve">                                     </w:t>
      </w:r>
      <w:r>
        <w:rPr>
          <w:rFonts w:hint="eastAsia" w:ascii="宋体" w:hAnsi="宋体"/>
          <w:sz w:val="24"/>
        </w:rPr>
        <w:t>地址及邮编：</w:t>
      </w:r>
    </w:p>
    <w:p>
      <w:pPr>
        <w:pStyle w:val="55"/>
      </w:pPr>
    </w:p>
    <w:p>
      <w:pPr>
        <w:spacing w:line="360" w:lineRule="auto"/>
        <w:ind w:firstLine="4920" w:firstLineChars="2050"/>
      </w:pPr>
      <w:r>
        <w:rPr>
          <w:rFonts w:hint="eastAsia" w:ascii="宋体" w:hAnsi="宋体"/>
          <w:sz w:val="24"/>
        </w:rPr>
        <w:t>签订时间：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12"/>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
      <w:pPr>
        <w:pStyle w:val="5"/>
      </w:pPr>
    </w:p>
    <w:p>
      <w:pPr>
        <w:spacing w:line="360" w:lineRule="auto"/>
        <w:jc w:val="center"/>
        <w:rPr>
          <w:rFonts w:ascii="宋体"/>
          <w:b/>
          <w:sz w:val="36"/>
          <w:szCs w:val="36"/>
        </w:rPr>
      </w:pPr>
      <w:r>
        <w:rPr>
          <w:rFonts w:hint="eastAsia" w:ascii="宋体" w:hAnsi="宋体"/>
          <w:b/>
          <w:sz w:val="36"/>
          <w:szCs w:val="36"/>
        </w:rPr>
        <w:t>第六章</w:t>
      </w:r>
      <w:r>
        <w:rPr>
          <w:rFonts w:hint="eastAsia" w:ascii="宋体" w:hAnsi="宋体"/>
          <w:b/>
          <w:sz w:val="36"/>
          <w:szCs w:val="36"/>
          <w:lang w:val="en-US" w:eastAsia="zh-CN"/>
        </w:rPr>
        <w:t xml:space="preserve">  </w:t>
      </w:r>
      <w:r>
        <w:rPr>
          <w:rFonts w:hint="eastAsia" w:ascii="宋体" w:hAnsi="宋体"/>
          <w:b/>
          <w:sz w:val="36"/>
          <w:szCs w:val="36"/>
        </w:rPr>
        <w:t>投标文件格式附件</w:t>
      </w:r>
    </w:p>
    <w:p>
      <w:pPr>
        <w:rPr>
          <w:rFonts w:ascii="宋体"/>
          <w:b/>
          <w:kern w:val="0"/>
          <w:sz w:val="28"/>
          <w:szCs w:val="28"/>
        </w:rPr>
      </w:pPr>
      <w:r>
        <w:rPr>
          <w:rFonts w:hint="eastAsia" w:ascii="宋体" w:hAnsi="宋体"/>
          <w:b/>
          <w:kern w:val="0"/>
          <w:sz w:val="28"/>
          <w:szCs w:val="28"/>
        </w:rPr>
        <w:t>附件</w:t>
      </w:r>
      <w:r>
        <w:rPr>
          <w:rFonts w:ascii="宋体" w:hAnsi="宋体"/>
          <w:b/>
          <w:kern w:val="0"/>
          <w:sz w:val="28"/>
          <w:szCs w:val="28"/>
        </w:rPr>
        <w:t>1</w:t>
      </w:r>
      <w:r>
        <w:rPr>
          <w:rFonts w:hint="eastAsia" w:ascii="宋体" w:hAnsi="宋体"/>
          <w:sz w:val="30"/>
          <w:szCs w:val="30"/>
        </w:rPr>
        <w:t>　　　</w:t>
      </w:r>
    </w:p>
    <w:p>
      <w:pPr>
        <w:spacing w:line="360" w:lineRule="auto"/>
        <w:rPr>
          <w:rFonts w:ascii="宋体"/>
          <w:b/>
          <w:sz w:val="30"/>
          <w:szCs w:val="30"/>
        </w:rPr>
      </w:pPr>
    </w:p>
    <w:p>
      <w:pPr>
        <w:spacing w:line="360" w:lineRule="auto"/>
        <w:ind w:right="-110"/>
        <w:jc w:val="center"/>
        <w:rPr>
          <w:rFonts w:asci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cs="宋体"/>
          <w:sz w:val="84"/>
          <w:szCs w:val="84"/>
          <w:lang w:val="zh-CN"/>
        </w:rPr>
      </w:pPr>
    </w:p>
    <w:p>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sz w:val="36"/>
          <w:szCs w:val="36"/>
        </w:rPr>
      </w:pPr>
      <w:r>
        <w:rPr>
          <w:rFonts w:hint="eastAsia" w:ascii="宋体" w:hAnsi="宋体"/>
          <w:sz w:val="36"/>
          <w:szCs w:val="36"/>
        </w:rPr>
        <w:t>投标人全称（公章）：</w:t>
      </w:r>
    </w:p>
    <w:p>
      <w:pPr>
        <w:spacing w:line="360" w:lineRule="auto"/>
        <w:ind w:right="532" w:firstLine="720" w:firstLineChars="200"/>
        <w:rPr>
          <w:rFonts w:ascii="宋体"/>
          <w:sz w:val="36"/>
          <w:szCs w:val="36"/>
        </w:rPr>
      </w:pPr>
      <w:r>
        <w:rPr>
          <w:rFonts w:hint="eastAsia" w:ascii="宋体" w:hAnsi="宋体"/>
          <w:sz w:val="36"/>
          <w:szCs w:val="36"/>
        </w:rPr>
        <w:t>地址：</w:t>
      </w:r>
    </w:p>
    <w:p>
      <w:pPr>
        <w:spacing w:line="360" w:lineRule="auto"/>
        <w:ind w:right="532" w:firstLine="720" w:firstLineChars="200"/>
        <w:rPr>
          <w:rFonts w:ascii="宋体"/>
          <w:sz w:val="36"/>
          <w:szCs w:val="36"/>
        </w:rPr>
      </w:pPr>
      <w:r>
        <w:rPr>
          <w:rFonts w:hint="eastAsia" w:ascii="宋体" w:hAnsi="宋体"/>
          <w:sz w:val="36"/>
          <w:szCs w:val="36"/>
        </w:rPr>
        <w:t>时间：</w:t>
      </w:r>
    </w:p>
    <w:p>
      <w:pPr>
        <w:snapToGrid w:val="0"/>
        <w:spacing w:before="50" w:after="50" w:line="360" w:lineRule="auto"/>
        <w:rPr>
          <w:rFonts w:ascii="仿宋_GB2312" w:hAnsi="宋体" w:eastAsia="仿宋_GB2312"/>
          <w:b/>
          <w:sz w:val="36"/>
          <w:szCs w:val="36"/>
        </w:rPr>
      </w:pPr>
    </w:p>
    <w:p>
      <w:pPr>
        <w:pStyle w:val="25"/>
        <w:jc w:val="both"/>
      </w:pPr>
    </w:p>
    <w:p>
      <w:pPr>
        <w:snapToGrid w:val="0"/>
        <w:spacing w:before="50" w:after="50" w:line="360" w:lineRule="auto"/>
        <w:jc w:val="center"/>
        <w:rPr>
          <w:rFonts w:ascii="宋体"/>
          <w:b/>
          <w:bCs/>
          <w:sz w:val="36"/>
          <w:szCs w:val="36"/>
        </w:rPr>
      </w:pPr>
      <w:r>
        <w:rPr>
          <w:rFonts w:hint="eastAsia" w:ascii="宋体" w:hAnsi="宋体"/>
          <w:b/>
          <w:bCs/>
          <w:sz w:val="36"/>
          <w:szCs w:val="36"/>
        </w:rPr>
        <w:t>资格证明文件目录</w:t>
      </w:r>
    </w:p>
    <w:p>
      <w:pPr>
        <w:numPr>
          <w:ilvl w:val="0"/>
          <w:numId w:val="14"/>
        </w:numPr>
        <w:snapToGrid w:val="0"/>
        <w:spacing w:line="360" w:lineRule="auto"/>
        <w:ind w:left="703" w:hanging="506"/>
        <w:rPr>
          <w:rFonts w:hint="eastAsia"/>
          <w:sz w:val="28"/>
          <w:szCs w:val="28"/>
        </w:rPr>
      </w:pPr>
      <w:r>
        <w:rPr>
          <w:rFonts w:hint="eastAsia"/>
          <w:sz w:val="28"/>
          <w:szCs w:val="28"/>
        </w:rPr>
        <w:t>声明书（附件2）</w:t>
      </w:r>
    </w:p>
    <w:p>
      <w:pPr>
        <w:numPr>
          <w:ilvl w:val="0"/>
          <w:numId w:val="14"/>
        </w:numPr>
        <w:snapToGrid w:val="0"/>
        <w:spacing w:line="360" w:lineRule="auto"/>
        <w:ind w:left="703" w:hanging="506"/>
        <w:rPr>
          <w:rFonts w:hint="eastAsia"/>
          <w:sz w:val="28"/>
          <w:szCs w:val="28"/>
        </w:rPr>
      </w:pPr>
      <w:r>
        <w:rPr>
          <w:rFonts w:hint="eastAsia"/>
          <w:sz w:val="28"/>
          <w:szCs w:val="28"/>
        </w:rPr>
        <w:t>授权委托书（法定代表人亲自办理投标事宜的，则无需提交)（附件3）</w:t>
      </w:r>
    </w:p>
    <w:p>
      <w:pPr>
        <w:numPr>
          <w:ilvl w:val="0"/>
          <w:numId w:val="14"/>
        </w:numPr>
        <w:snapToGrid w:val="0"/>
        <w:spacing w:line="360" w:lineRule="auto"/>
        <w:ind w:left="703" w:hanging="506"/>
        <w:rPr>
          <w:rFonts w:ascii="宋体"/>
          <w:kern w:val="0"/>
          <w:sz w:val="28"/>
          <w:szCs w:val="28"/>
        </w:rPr>
      </w:pPr>
      <w:r>
        <w:rPr>
          <w:rFonts w:hint="eastAsia"/>
          <w:sz w:val="28"/>
          <w:szCs w:val="28"/>
        </w:rPr>
        <w:t>法人或者其他组织的营业执照等证明文件，自然人的身份证明</w:t>
      </w:r>
    </w:p>
    <w:p>
      <w:pPr>
        <w:numPr>
          <w:ilvl w:val="0"/>
          <w:numId w:val="14"/>
        </w:numPr>
        <w:snapToGrid w:val="0"/>
        <w:spacing w:line="360" w:lineRule="auto"/>
        <w:ind w:firstLine="548"/>
        <w:rPr>
          <w:rFonts w:ascii="宋体" w:hAnsi="宋体"/>
          <w:sz w:val="28"/>
          <w:szCs w:val="28"/>
        </w:rPr>
      </w:pPr>
      <w:r>
        <w:rPr>
          <w:rFonts w:hint="eastAsia" w:ascii="宋体" w:hAnsi="宋体"/>
          <w:sz w:val="28"/>
          <w:szCs w:val="28"/>
        </w:rPr>
        <w:t>提供关于供应商财务状况和依法缴纳税收及社会保障资金的书面承诺（格式见附件4）</w:t>
      </w:r>
    </w:p>
    <w:p>
      <w:pPr>
        <w:numPr>
          <w:ilvl w:val="0"/>
          <w:numId w:val="14"/>
        </w:numPr>
        <w:snapToGrid w:val="0"/>
        <w:spacing w:line="360" w:lineRule="auto"/>
        <w:ind w:firstLine="548"/>
        <w:rPr>
          <w:bCs/>
          <w:color w:val="000000"/>
          <w:sz w:val="28"/>
          <w:szCs w:val="28"/>
        </w:rPr>
      </w:pPr>
      <w:r>
        <w:rPr>
          <w:rFonts w:hint="eastAsia" w:ascii="宋体" w:hAnsi="宋体"/>
          <w:sz w:val="28"/>
          <w:szCs w:val="28"/>
        </w:rPr>
        <w:t>未被“信用中国”（www.creditchina.gov.cn）、中国政府采购网（www.ccgp.gov.cn）列入失信被执行人、重大税收违法案件当事人名</w:t>
      </w:r>
      <w:r>
        <w:rPr>
          <w:rFonts w:hint="eastAsia"/>
          <w:bCs/>
          <w:color w:val="000000"/>
          <w:sz w:val="28"/>
          <w:szCs w:val="28"/>
        </w:rPr>
        <w:t>单、政府采购严重违法失信行为记录名单证明</w:t>
      </w:r>
    </w:p>
    <w:p>
      <w:pPr>
        <w:numPr>
          <w:ilvl w:val="0"/>
          <w:numId w:val="14"/>
        </w:numPr>
        <w:snapToGrid w:val="0"/>
        <w:spacing w:line="360" w:lineRule="auto"/>
        <w:ind w:firstLine="548"/>
        <w:rPr>
          <w:bCs/>
          <w:color w:val="000000"/>
          <w:sz w:val="28"/>
          <w:szCs w:val="28"/>
        </w:rPr>
      </w:pPr>
      <w:r>
        <w:rPr>
          <w:rFonts w:hint="eastAsia"/>
          <w:bCs/>
          <w:color w:val="000000"/>
          <w:sz w:val="28"/>
          <w:szCs w:val="28"/>
        </w:rPr>
        <w:t>具备履行合同所必需的设备和专业技术能力的承诺函(附件5)</w:t>
      </w:r>
    </w:p>
    <w:p>
      <w:pPr>
        <w:numPr>
          <w:ilvl w:val="0"/>
          <w:numId w:val="14"/>
        </w:numPr>
        <w:snapToGrid w:val="0"/>
        <w:spacing w:line="360" w:lineRule="auto"/>
        <w:ind w:firstLine="548"/>
        <w:rPr>
          <w:bCs/>
          <w:color w:val="000000"/>
          <w:sz w:val="28"/>
          <w:szCs w:val="28"/>
        </w:rPr>
      </w:pPr>
      <w:r>
        <w:rPr>
          <w:rFonts w:hint="eastAsia"/>
          <w:bCs/>
          <w:color w:val="000000"/>
          <w:sz w:val="28"/>
          <w:szCs w:val="28"/>
        </w:rPr>
        <w:t>中小微企业等声明函（附件6）</w:t>
      </w:r>
    </w:p>
    <w:p>
      <w:pPr>
        <w:numPr>
          <w:ilvl w:val="0"/>
          <w:numId w:val="14"/>
        </w:numPr>
        <w:snapToGrid w:val="0"/>
        <w:spacing w:line="360" w:lineRule="auto"/>
        <w:ind w:firstLine="548"/>
        <w:rPr>
          <w:rFonts w:hint="eastAsia" w:ascii="Times New Roman" w:hAnsi="Times New Roman" w:eastAsia="宋体" w:cs="Times New Roman"/>
          <w:bCs/>
          <w:color w:val="000000"/>
          <w:sz w:val="28"/>
          <w:szCs w:val="28"/>
        </w:rPr>
      </w:pPr>
      <w:r>
        <w:rPr>
          <w:rFonts w:hint="eastAsia" w:ascii="Times New Roman" w:hAnsi="Times New Roman" w:eastAsia="宋体" w:cs="Times New Roman"/>
          <w:bCs/>
          <w:color w:val="000000"/>
          <w:sz w:val="28"/>
          <w:szCs w:val="28"/>
        </w:rPr>
        <w:t>针对采购政策要求提供的说明（附件7）</w:t>
      </w:r>
    </w:p>
    <w:p>
      <w:pPr>
        <w:widowControl/>
        <w:numPr>
          <w:ilvl w:val="0"/>
          <w:numId w:val="14"/>
        </w:numPr>
        <w:snapToGrid w:val="0"/>
        <w:spacing w:line="360" w:lineRule="auto"/>
        <w:ind w:firstLine="548"/>
        <w:jc w:val="left"/>
        <w:rPr>
          <w:rFonts w:hint="eastAsia" w:ascii="Times New Roman" w:hAnsi="Times New Roman" w:eastAsia="宋体" w:cs="Times New Roman"/>
          <w:bCs/>
          <w:color w:val="000000"/>
          <w:sz w:val="28"/>
          <w:szCs w:val="28"/>
        </w:rPr>
      </w:pPr>
      <w:r>
        <w:rPr>
          <w:rFonts w:hint="eastAsia" w:ascii="Times New Roman" w:hAnsi="Times New Roman" w:eastAsia="宋体" w:cs="Times New Roman"/>
          <w:bCs/>
          <w:color w:val="000000"/>
          <w:sz w:val="28"/>
          <w:szCs w:val="28"/>
        </w:rPr>
        <w:t>本项目特地资格要求证明</w:t>
      </w:r>
      <w:r>
        <w:rPr>
          <w:rFonts w:hint="eastAsia" w:ascii="Times New Roman" w:hAnsi="Times New Roman" w:eastAsia="宋体" w:cs="Times New Roman"/>
          <w:bCs/>
          <w:color w:val="000000"/>
          <w:kern w:val="2"/>
          <w:sz w:val="28"/>
          <w:szCs w:val="28"/>
          <w:lang w:eastAsia="zh-CN"/>
        </w:rPr>
        <w:t>（</w:t>
      </w:r>
      <w:r>
        <w:rPr>
          <w:rFonts w:hint="eastAsia" w:ascii="Times New Roman" w:hAnsi="Times New Roman" w:eastAsia="宋体" w:cs="Times New Roman"/>
          <w:bCs/>
          <w:color w:val="000000"/>
          <w:kern w:val="2"/>
          <w:sz w:val="28"/>
          <w:szCs w:val="28"/>
        </w:rPr>
        <w:t>同时具备省土地学会颁发的土地规划乙级（含准乙级）及以上资质证书和测绘乙级及以上资质证书</w:t>
      </w:r>
      <w:r>
        <w:rPr>
          <w:rFonts w:hint="eastAsia" w:ascii="Times New Roman" w:hAnsi="Times New Roman" w:eastAsia="宋体" w:cs="Times New Roman"/>
          <w:bCs/>
          <w:color w:val="000000"/>
          <w:kern w:val="2"/>
          <w:sz w:val="28"/>
          <w:szCs w:val="28"/>
          <w:lang w:eastAsia="zh-CN"/>
        </w:rPr>
        <w:t>）</w:t>
      </w:r>
    </w:p>
    <w:p>
      <w:pPr>
        <w:numPr>
          <w:ilvl w:val="0"/>
          <w:numId w:val="14"/>
        </w:numPr>
        <w:snapToGrid w:val="0"/>
        <w:spacing w:line="360" w:lineRule="auto"/>
        <w:ind w:firstLine="548"/>
        <w:rPr>
          <w:rFonts w:hint="eastAsia" w:ascii="Times New Roman" w:hAnsi="Times New Roman" w:eastAsia="宋体" w:cs="Times New Roman"/>
          <w:bCs/>
          <w:color w:val="000000"/>
          <w:sz w:val="28"/>
          <w:szCs w:val="28"/>
        </w:rPr>
      </w:pPr>
      <w:r>
        <w:rPr>
          <w:rFonts w:hint="eastAsia" w:ascii="Times New Roman" w:hAnsi="Times New Roman" w:eastAsia="宋体" w:cs="Times New Roman"/>
          <w:bCs/>
          <w:color w:val="000000"/>
          <w:sz w:val="28"/>
          <w:szCs w:val="28"/>
        </w:rPr>
        <w:t>非联合体投标申明（附件8）</w:t>
      </w:r>
    </w:p>
    <w:p>
      <w:pPr>
        <w:pStyle w:val="27"/>
        <w:ind w:firstLine="404"/>
      </w:pPr>
    </w:p>
    <w:p>
      <w:pPr>
        <w:spacing w:line="360" w:lineRule="auto"/>
        <w:rPr>
          <w:rFonts w:ascii="宋体"/>
          <w:b/>
          <w:sz w:val="28"/>
        </w:rPr>
      </w:pPr>
    </w:p>
    <w:p>
      <w:pPr>
        <w:spacing w:line="360" w:lineRule="auto"/>
        <w:rPr>
          <w:rFonts w:ascii="宋体"/>
          <w:b/>
          <w:sz w:val="28"/>
        </w:rPr>
      </w:pPr>
    </w:p>
    <w:p>
      <w:pPr>
        <w:spacing w:line="360" w:lineRule="auto"/>
        <w:ind w:left="420"/>
        <w:rPr>
          <w:rFonts w:ascii="宋体"/>
          <w:b/>
          <w:sz w:val="28"/>
        </w:rPr>
      </w:pPr>
    </w:p>
    <w:p>
      <w:pPr>
        <w:spacing w:line="360" w:lineRule="auto"/>
        <w:ind w:left="420"/>
        <w:rPr>
          <w:rFonts w:ascii="宋体"/>
          <w:b/>
          <w:sz w:val="28"/>
        </w:rPr>
      </w:pPr>
    </w:p>
    <w:p>
      <w:pPr>
        <w:pStyle w:val="25"/>
        <w:rPr>
          <w:rFonts w:ascii="宋体"/>
        </w:rPr>
      </w:pPr>
    </w:p>
    <w:p>
      <w:pPr>
        <w:rPr>
          <w:rFonts w:ascii="宋体"/>
          <w:b/>
          <w:sz w:val="28"/>
        </w:rPr>
      </w:pPr>
    </w:p>
    <w:p/>
    <w:p>
      <w:pPr>
        <w:spacing w:line="360" w:lineRule="auto"/>
        <w:ind w:left="420"/>
        <w:rPr>
          <w:rFonts w:ascii="方正小标宋_GBK" w:hAnsi="仿宋" w:eastAsia="方正小标宋_GBK"/>
          <w:b/>
          <w:color w:val="000000"/>
          <w:sz w:val="44"/>
          <w:szCs w:val="44"/>
        </w:rPr>
      </w:pPr>
      <w:r>
        <w:rPr>
          <w:rFonts w:hint="eastAsia" w:ascii="宋体" w:hAnsi="宋体"/>
          <w:b/>
          <w:sz w:val="28"/>
        </w:rPr>
        <w:t>附件</w:t>
      </w:r>
      <w:r>
        <w:rPr>
          <w:rFonts w:ascii="宋体" w:hAnsi="宋体"/>
          <w:b/>
          <w:sz w:val="28"/>
        </w:rPr>
        <w:t xml:space="preserve">1        </w:t>
      </w:r>
      <w:r>
        <w:rPr>
          <w:rFonts w:hint="eastAsia"/>
          <w:b/>
          <w:color w:val="000000"/>
          <w:sz w:val="32"/>
          <w:szCs w:val="32"/>
        </w:rPr>
        <w:t>政府采购活动现场确认声明书</w:t>
      </w:r>
    </w:p>
    <w:p>
      <w:pPr>
        <w:pStyle w:val="76"/>
        <w:widowControl w:val="0"/>
        <w:snapToGrid w:val="0"/>
        <w:spacing w:line="500" w:lineRule="exact"/>
        <w:jc w:val="both"/>
        <w:rPr>
          <w:rFonts w:ascii="仿宋" w:eastAsia="仿宋"/>
          <w:b/>
          <w:color w:val="000000"/>
          <w:szCs w:val="21"/>
        </w:rPr>
      </w:pPr>
      <w:r>
        <w:rPr>
          <w:rFonts w:hint="eastAsia" w:ascii="仿宋" w:hAnsi="仿宋"/>
          <w:color w:val="000000"/>
          <w:kern w:val="0"/>
          <w:szCs w:val="21"/>
          <w:u w:val="single"/>
        </w:rPr>
        <w:t>台州市中恒企业管理咨询有限公司</w:t>
      </w:r>
      <w:r>
        <w:rPr>
          <w:rFonts w:hint="eastAsia" w:ascii="仿宋" w:hAnsi="仿宋"/>
          <w:color w:val="000000"/>
          <w:kern w:val="0"/>
          <w:szCs w:val="21"/>
        </w:rPr>
        <w:t>：</w:t>
      </w:r>
    </w:p>
    <w:p>
      <w:pPr>
        <w:autoSpaceDE w:val="0"/>
        <w:autoSpaceDN w:val="0"/>
        <w:adjustRightInd w:val="0"/>
        <w:spacing w:line="360" w:lineRule="auto"/>
        <w:jc w:val="left"/>
        <w:rPr>
          <w:rFonts w:ascii="仿宋" w:eastAsia="仿宋"/>
          <w:color w:val="000000"/>
          <w:spacing w:val="6"/>
          <w:szCs w:val="21"/>
        </w:rPr>
      </w:pPr>
      <w:r>
        <w:rPr>
          <w:rFonts w:hint="eastAsia" w:ascii="仿宋" w:hAnsi="仿宋"/>
          <w:color w:val="000000"/>
          <w:spacing w:val="6"/>
          <w:szCs w:val="21"/>
        </w:rPr>
        <w:t>本人经由</w:t>
      </w:r>
      <w:r>
        <w:rPr>
          <w:rFonts w:hint="eastAsia" w:ascii="仿宋" w:hAnsi="仿宋"/>
          <w:color w:val="000000"/>
          <w:spacing w:val="6"/>
          <w:szCs w:val="21"/>
          <w:u w:val="single"/>
        </w:rPr>
        <w:t>（单位）</w:t>
      </w:r>
      <w:r>
        <w:rPr>
          <w:rFonts w:hint="eastAsia" w:ascii="仿宋" w:hAnsi="仿宋"/>
          <w:color w:val="000000"/>
          <w:spacing w:val="6"/>
          <w:szCs w:val="21"/>
        </w:rPr>
        <w:t>负责人</w:t>
      </w:r>
      <w:r>
        <w:rPr>
          <w:rFonts w:hint="eastAsia" w:ascii="仿宋" w:hAnsi="仿宋"/>
          <w:color w:val="000000"/>
          <w:spacing w:val="6"/>
          <w:szCs w:val="21"/>
          <w:u w:val="single"/>
        </w:rPr>
        <w:t>（法人）</w:t>
      </w:r>
      <w:r>
        <w:rPr>
          <w:rFonts w:hint="eastAsia" w:ascii="仿宋" w:hAnsi="仿宋"/>
          <w:color w:val="000000"/>
          <w:spacing w:val="6"/>
          <w:szCs w:val="21"/>
        </w:rPr>
        <w:t xml:space="preserve">合法授权参加 </w:t>
      </w:r>
      <w:r>
        <w:rPr>
          <w:rFonts w:hint="eastAsia" w:ascii="仿宋" w:hAnsi="仿宋"/>
          <w:color w:val="000000"/>
          <w:spacing w:val="6"/>
          <w:szCs w:val="21"/>
          <w:lang w:eastAsia="zh-CN"/>
        </w:rPr>
        <w:t>椒江区土地整治(垦造耕地、建设用地复垦、永久基本农田连片整治等项目)服务采购</w:t>
      </w:r>
      <w:r>
        <w:rPr>
          <w:rFonts w:hint="eastAsia" w:ascii="仿宋" w:hAnsi="仿宋"/>
          <w:color w:val="000000"/>
          <w:spacing w:val="6"/>
          <w:szCs w:val="21"/>
        </w:rPr>
        <w:t>（编号TZZH2024-jjgtj16）政府采购活动，经与本单位法人代表（负责人）联系确认，现就有关公平竞争事项郑重声明如下：</w:t>
      </w:r>
    </w:p>
    <w:p>
      <w:pPr>
        <w:pStyle w:val="77"/>
        <w:widowControl/>
        <w:numPr>
          <w:ilvl w:val="0"/>
          <w:numId w:val="15"/>
        </w:numPr>
        <w:snapToGrid w:val="0"/>
        <w:spacing w:line="500" w:lineRule="exact"/>
        <w:ind w:firstLine="396" w:firstLineChars="189"/>
        <w:rPr>
          <w:rFonts w:ascii="仿宋" w:eastAsia="仿宋"/>
          <w:color w:val="000000"/>
          <w:kern w:val="0"/>
          <w:szCs w:val="21"/>
        </w:rPr>
      </w:pPr>
      <w:r>
        <w:rPr>
          <w:rFonts w:hint="eastAsia" w:ascii="仿宋" w:hAnsi="仿宋"/>
          <w:color w:val="000000"/>
          <w:kern w:val="0"/>
          <w:szCs w:val="21"/>
        </w:rPr>
        <w:t>本单位与采购人之间</w:t>
      </w:r>
      <w:r>
        <w:rPr>
          <w:rFonts w:hint="eastAsia" w:ascii="宋体" w:hAnsi="宋体" w:cs="宋体"/>
          <w:color w:val="000000"/>
          <w:kern w:val="0"/>
          <w:szCs w:val="21"/>
        </w:rPr>
        <w:t>□</w:t>
      </w:r>
      <w:r>
        <w:rPr>
          <w:rFonts w:hint="eastAsia" w:ascii="仿宋" w:hAnsi="仿宋"/>
          <w:color w:val="000000"/>
          <w:kern w:val="0"/>
          <w:szCs w:val="21"/>
        </w:rPr>
        <w:t>不存在利害关系</w:t>
      </w:r>
      <w:r>
        <w:rPr>
          <w:rFonts w:hint="eastAsia" w:ascii="宋体" w:hAnsi="宋体" w:cs="宋体"/>
          <w:color w:val="000000"/>
          <w:kern w:val="0"/>
          <w:szCs w:val="21"/>
        </w:rPr>
        <w:t>□</w:t>
      </w:r>
      <w:r>
        <w:rPr>
          <w:rFonts w:hint="eastAsia" w:ascii="仿宋" w:hAnsi="仿宋"/>
          <w:color w:val="000000"/>
          <w:kern w:val="0"/>
          <w:szCs w:val="21"/>
        </w:rPr>
        <w:t>存在下列利害关系：</w:t>
      </w:r>
    </w:p>
    <w:p>
      <w:pPr>
        <w:pStyle w:val="77"/>
        <w:widowControl/>
        <w:snapToGrid w:val="0"/>
        <w:spacing w:line="500" w:lineRule="exact"/>
        <w:rPr>
          <w:rFonts w:ascii="仿宋" w:eastAsia="仿宋"/>
          <w:color w:val="000000"/>
          <w:kern w:val="0"/>
          <w:szCs w:val="21"/>
        </w:rPr>
      </w:pPr>
      <w:r>
        <w:rPr>
          <w:rFonts w:ascii="仿宋" w:hAnsi="仿宋"/>
          <w:color w:val="000000"/>
          <w:kern w:val="0"/>
          <w:szCs w:val="21"/>
        </w:rPr>
        <w:t xml:space="preserve">  A.</w:t>
      </w:r>
      <w:r>
        <w:rPr>
          <w:rFonts w:hint="eastAsia" w:ascii="仿宋" w:hAnsi="仿宋"/>
          <w:color w:val="000000"/>
          <w:kern w:val="0"/>
          <w:szCs w:val="21"/>
        </w:rPr>
        <w:t>投资关系</w:t>
      </w:r>
      <w:r>
        <w:rPr>
          <w:rFonts w:ascii="仿宋" w:hAnsi="仿宋"/>
          <w:color w:val="000000"/>
          <w:kern w:val="0"/>
          <w:szCs w:val="21"/>
        </w:rPr>
        <w:t xml:space="preserve">    B.</w:t>
      </w:r>
      <w:r>
        <w:rPr>
          <w:rFonts w:hint="eastAsia" w:ascii="仿宋" w:hAnsi="仿宋"/>
          <w:color w:val="000000"/>
          <w:kern w:val="0"/>
          <w:szCs w:val="21"/>
        </w:rPr>
        <w:t>行政隶属关系</w:t>
      </w:r>
      <w:r>
        <w:rPr>
          <w:rFonts w:ascii="仿宋" w:hAnsi="仿宋"/>
          <w:color w:val="000000"/>
          <w:kern w:val="0"/>
          <w:szCs w:val="21"/>
        </w:rPr>
        <w:t xml:space="preserve">    C.</w:t>
      </w:r>
      <w:r>
        <w:rPr>
          <w:rFonts w:hint="eastAsia" w:ascii="仿宋" w:hAnsi="仿宋"/>
          <w:color w:val="000000"/>
          <w:kern w:val="0"/>
          <w:szCs w:val="21"/>
        </w:rPr>
        <w:t>业务指导关系</w:t>
      </w:r>
    </w:p>
    <w:p>
      <w:pPr>
        <w:pStyle w:val="77"/>
        <w:widowControl/>
        <w:snapToGrid w:val="0"/>
        <w:spacing w:line="500" w:lineRule="exact"/>
        <w:rPr>
          <w:rFonts w:ascii="仿宋" w:eastAsia="仿宋"/>
          <w:color w:val="000000"/>
          <w:kern w:val="0"/>
          <w:szCs w:val="21"/>
        </w:rPr>
      </w:pPr>
      <w:r>
        <w:rPr>
          <w:rFonts w:ascii="仿宋" w:hAnsi="仿宋"/>
          <w:color w:val="000000"/>
          <w:kern w:val="0"/>
          <w:szCs w:val="21"/>
        </w:rPr>
        <w:t xml:space="preserve">  D.</w:t>
      </w:r>
      <w:r>
        <w:rPr>
          <w:rFonts w:hint="eastAsia" w:ascii="仿宋" w:hAnsi="仿宋"/>
          <w:color w:val="000000"/>
          <w:kern w:val="0"/>
          <w:szCs w:val="21"/>
        </w:rPr>
        <w:t>其他可能</w:t>
      </w:r>
      <w:r>
        <w:rPr>
          <w:rFonts w:hint="eastAsia" w:ascii="仿宋" w:hAnsi="仿宋"/>
          <w:color w:val="000000"/>
          <w:szCs w:val="21"/>
        </w:rPr>
        <w:t>影响采购公正的</w:t>
      </w:r>
      <w:r>
        <w:rPr>
          <w:rFonts w:hint="eastAsia" w:ascii="仿宋" w:hAnsi="仿宋"/>
          <w:color w:val="000000"/>
          <w:kern w:val="0"/>
          <w:szCs w:val="21"/>
        </w:rPr>
        <w:t>利害关系</w:t>
      </w:r>
      <w:r>
        <w:rPr>
          <w:rFonts w:hint="eastAsia" w:ascii="仿宋" w:hAnsi="仿宋"/>
          <w:color w:val="000000"/>
          <w:kern w:val="0"/>
          <w:szCs w:val="21"/>
          <w:u w:val="single"/>
        </w:rPr>
        <w:t>（如有，请如实说明）</w:t>
      </w:r>
      <w:r>
        <w:rPr>
          <w:rFonts w:hint="eastAsia" w:ascii="仿宋" w:hAnsi="仿宋"/>
          <w:color w:val="000000"/>
          <w:kern w:val="0"/>
          <w:szCs w:val="21"/>
        </w:rPr>
        <w:t>。</w:t>
      </w:r>
    </w:p>
    <w:p>
      <w:pPr>
        <w:pStyle w:val="77"/>
        <w:widowControl/>
        <w:snapToGrid w:val="0"/>
        <w:spacing w:line="500" w:lineRule="exact"/>
        <w:rPr>
          <w:rFonts w:ascii="仿宋" w:eastAsia="仿宋"/>
          <w:color w:val="000000"/>
          <w:kern w:val="0"/>
          <w:szCs w:val="21"/>
        </w:rPr>
      </w:pPr>
      <w:r>
        <w:rPr>
          <w:rFonts w:hint="eastAsia" w:ascii="仿宋" w:hAnsi="仿宋"/>
          <w:color w:val="000000"/>
          <w:spacing w:val="6"/>
          <w:szCs w:val="21"/>
        </w:rPr>
        <w:t>二、</w:t>
      </w:r>
      <w:r>
        <w:rPr>
          <w:rFonts w:hint="eastAsia" w:ascii="仿宋" w:hAnsi="仿宋"/>
          <w:color w:val="000000"/>
          <w:kern w:val="0"/>
          <w:szCs w:val="21"/>
        </w:rPr>
        <w:t>现已清楚知道参加本项目采购活动的其他所有供应商名称，本单位</w:t>
      </w:r>
      <w:r>
        <w:rPr>
          <w:rFonts w:hint="eastAsia" w:ascii="宋体" w:hAnsi="宋体" w:cs="宋体"/>
          <w:color w:val="000000"/>
          <w:kern w:val="0"/>
          <w:szCs w:val="21"/>
        </w:rPr>
        <w:t>□与其他所有供应商之间均</w:t>
      </w:r>
      <w:r>
        <w:rPr>
          <w:rFonts w:hint="eastAsia" w:ascii="仿宋" w:hAnsi="仿宋"/>
          <w:color w:val="000000"/>
          <w:kern w:val="0"/>
          <w:szCs w:val="21"/>
        </w:rPr>
        <w:t>不存在利害关系</w:t>
      </w:r>
      <w:r>
        <w:rPr>
          <w:rFonts w:hint="eastAsia" w:ascii="宋体" w:hAnsi="宋体" w:cs="宋体"/>
          <w:color w:val="000000"/>
          <w:kern w:val="0"/>
          <w:szCs w:val="21"/>
        </w:rPr>
        <w:t>□与</w:t>
      </w:r>
      <w:r>
        <w:rPr>
          <w:rFonts w:hint="eastAsia" w:ascii="宋体" w:hAnsi="宋体" w:cs="宋体"/>
          <w:color w:val="000000"/>
          <w:kern w:val="0"/>
          <w:szCs w:val="21"/>
          <w:u w:val="single"/>
        </w:rPr>
        <w:t>（供应商名称）</w:t>
      </w:r>
      <w:r>
        <w:rPr>
          <w:rFonts w:hint="eastAsia" w:ascii="宋体" w:hAnsi="宋体" w:cs="宋体"/>
          <w:color w:val="000000"/>
          <w:kern w:val="0"/>
          <w:szCs w:val="21"/>
        </w:rPr>
        <w:t>之间</w:t>
      </w:r>
      <w:r>
        <w:rPr>
          <w:rFonts w:hint="eastAsia" w:ascii="仿宋" w:hAnsi="仿宋"/>
          <w:color w:val="000000"/>
          <w:kern w:val="0"/>
          <w:szCs w:val="21"/>
        </w:rPr>
        <w:t>存在下列利害关系：</w:t>
      </w:r>
    </w:p>
    <w:p>
      <w:pPr>
        <w:pStyle w:val="76"/>
        <w:widowControl w:val="0"/>
        <w:snapToGrid w:val="0"/>
        <w:spacing w:line="500" w:lineRule="exact"/>
        <w:jc w:val="both"/>
        <w:rPr>
          <w:rFonts w:ascii="仿宋" w:eastAsia="仿宋"/>
          <w:color w:val="000000"/>
          <w:kern w:val="0"/>
          <w:szCs w:val="21"/>
        </w:rPr>
      </w:pPr>
      <w:r>
        <w:rPr>
          <w:rFonts w:ascii="仿宋" w:hAnsi="仿宋"/>
          <w:color w:val="000000"/>
          <w:kern w:val="0"/>
          <w:szCs w:val="21"/>
        </w:rPr>
        <w:t xml:space="preserve">  A.</w:t>
      </w:r>
      <w:r>
        <w:rPr>
          <w:rFonts w:hint="eastAsia" w:ascii="仿宋" w:hAnsi="仿宋"/>
          <w:color w:val="000000"/>
          <w:kern w:val="0"/>
          <w:szCs w:val="21"/>
        </w:rPr>
        <w:t>法定代表人或负责人或实际控制人是同一人</w:t>
      </w:r>
    </w:p>
    <w:p>
      <w:pPr>
        <w:pStyle w:val="76"/>
        <w:widowControl w:val="0"/>
        <w:snapToGrid w:val="0"/>
        <w:spacing w:line="500" w:lineRule="exact"/>
        <w:jc w:val="both"/>
        <w:rPr>
          <w:rFonts w:ascii="仿宋" w:eastAsia="仿宋"/>
          <w:color w:val="000000"/>
          <w:spacing w:val="6"/>
          <w:szCs w:val="21"/>
        </w:rPr>
      </w:pPr>
      <w:r>
        <w:rPr>
          <w:rFonts w:ascii="仿宋" w:hAnsi="仿宋"/>
          <w:color w:val="000000"/>
          <w:kern w:val="0"/>
          <w:szCs w:val="21"/>
        </w:rPr>
        <w:t xml:space="preserve">  B.</w:t>
      </w:r>
      <w:r>
        <w:rPr>
          <w:rFonts w:hint="eastAsia" w:ascii="仿宋" w:hAnsi="仿宋"/>
          <w:color w:val="000000"/>
          <w:kern w:val="0"/>
          <w:szCs w:val="21"/>
        </w:rPr>
        <w:t>法定代表人或负责人或实际控制人是夫妻关系</w:t>
      </w:r>
    </w:p>
    <w:p>
      <w:pPr>
        <w:pStyle w:val="76"/>
        <w:widowControl w:val="0"/>
        <w:snapToGrid w:val="0"/>
        <w:spacing w:line="500" w:lineRule="exact"/>
        <w:jc w:val="both"/>
        <w:rPr>
          <w:rFonts w:ascii="仿宋" w:eastAsia="仿宋"/>
          <w:color w:val="000000"/>
          <w:spacing w:val="6"/>
          <w:szCs w:val="21"/>
        </w:rPr>
      </w:pPr>
      <w:r>
        <w:rPr>
          <w:rFonts w:ascii="仿宋" w:hAnsi="仿宋"/>
          <w:color w:val="000000"/>
          <w:kern w:val="0"/>
          <w:szCs w:val="21"/>
        </w:rPr>
        <w:t xml:space="preserve">  C.</w:t>
      </w:r>
      <w:r>
        <w:rPr>
          <w:rFonts w:hint="eastAsia" w:ascii="仿宋" w:hAnsi="仿宋"/>
          <w:color w:val="000000"/>
          <w:kern w:val="0"/>
          <w:szCs w:val="21"/>
        </w:rPr>
        <w:t>法定代表人或负责人或实际控制人是直系血亲关系</w:t>
      </w:r>
    </w:p>
    <w:p>
      <w:pPr>
        <w:pStyle w:val="76"/>
        <w:widowControl w:val="0"/>
        <w:snapToGrid w:val="0"/>
        <w:spacing w:line="500" w:lineRule="exact"/>
        <w:jc w:val="both"/>
        <w:rPr>
          <w:rFonts w:ascii="仿宋" w:eastAsia="仿宋"/>
          <w:color w:val="000000"/>
          <w:spacing w:val="6"/>
          <w:szCs w:val="21"/>
        </w:rPr>
      </w:pPr>
      <w:r>
        <w:rPr>
          <w:rFonts w:ascii="仿宋" w:hAnsi="仿宋"/>
          <w:color w:val="000000"/>
          <w:kern w:val="0"/>
          <w:szCs w:val="21"/>
        </w:rPr>
        <w:t xml:space="preserve">  D.</w:t>
      </w:r>
      <w:r>
        <w:rPr>
          <w:rFonts w:hint="eastAsia" w:ascii="仿宋" w:hAnsi="仿宋"/>
          <w:color w:val="000000"/>
          <w:kern w:val="0"/>
          <w:szCs w:val="21"/>
        </w:rPr>
        <w:t>法定代表人或负责人或实际控制人存在三代以内旁系血亲关系</w:t>
      </w:r>
    </w:p>
    <w:p>
      <w:pPr>
        <w:pStyle w:val="76"/>
        <w:widowControl w:val="0"/>
        <w:snapToGrid w:val="0"/>
        <w:spacing w:line="500" w:lineRule="exact"/>
        <w:jc w:val="both"/>
        <w:rPr>
          <w:rFonts w:ascii="仿宋" w:eastAsia="仿宋"/>
          <w:color w:val="000000"/>
          <w:kern w:val="0"/>
          <w:szCs w:val="21"/>
        </w:rPr>
      </w:pPr>
      <w:r>
        <w:rPr>
          <w:rFonts w:ascii="仿宋" w:hAnsi="仿宋"/>
          <w:color w:val="000000"/>
          <w:kern w:val="0"/>
          <w:szCs w:val="21"/>
        </w:rPr>
        <w:t xml:space="preserve">  E.</w:t>
      </w:r>
      <w:r>
        <w:rPr>
          <w:rFonts w:hint="eastAsia" w:ascii="仿宋" w:hAnsi="仿宋"/>
          <w:color w:val="000000"/>
          <w:kern w:val="0"/>
          <w:szCs w:val="21"/>
        </w:rPr>
        <w:t>法定代表人或负责人或实际控制人存在近姻亲关系</w:t>
      </w:r>
    </w:p>
    <w:p>
      <w:pPr>
        <w:pStyle w:val="76"/>
        <w:widowControl w:val="0"/>
        <w:snapToGrid w:val="0"/>
        <w:spacing w:line="500" w:lineRule="exact"/>
        <w:jc w:val="both"/>
        <w:rPr>
          <w:rFonts w:ascii="仿宋" w:eastAsia="仿宋"/>
          <w:color w:val="000000"/>
          <w:kern w:val="0"/>
          <w:szCs w:val="21"/>
        </w:rPr>
      </w:pPr>
      <w:r>
        <w:rPr>
          <w:rFonts w:ascii="仿宋" w:hAnsi="仿宋"/>
          <w:color w:val="000000"/>
          <w:kern w:val="0"/>
          <w:szCs w:val="21"/>
        </w:rPr>
        <w:t xml:space="preserve">  F.</w:t>
      </w:r>
      <w:r>
        <w:rPr>
          <w:rFonts w:hint="eastAsia" w:ascii="仿宋" w:hAnsi="仿宋"/>
          <w:color w:val="000000"/>
          <w:kern w:val="0"/>
          <w:szCs w:val="21"/>
        </w:rPr>
        <w:t>法定代表人或负责人或实际控制人存在股份控制或实际控制关系</w:t>
      </w:r>
    </w:p>
    <w:p>
      <w:pPr>
        <w:pStyle w:val="76"/>
        <w:widowControl w:val="0"/>
        <w:snapToGrid w:val="0"/>
        <w:spacing w:line="500" w:lineRule="exact"/>
        <w:jc w:val="both"/>
        <w:outlineLvl w:val="0"/>
        <w:rPr>
          <w:rFonts w:ascii="仿宋" w:eastAsia="仿宋"/>
          <w:color w:val="000000"/>
          <w:kern w:val="0"/>
          <w:szCs w:val="21"/>
        </w:rPr>
      </w:pPr>
      <w:r>
        <w:rPr>
          <w:rFonts w:ascii="仿宋" w:hAnsi="仿宋"/>
          <w:color w:val="000000"/>
          <w:kern w:val="0"/>
          <w:szCs w:val="21"/>
        </w:rPr>
        <w:t xml:space="preserve">  G.</w:t>
      </w:r>
      <w:r>
        <w:rPr>
          <w:rFonts w:hint="eastAsia" w:ascii="仿宋" w:hAnsi="仿宋"/>
          <w:color w:val="000000"/>
          <w:kern w:val="0"/>
          <w:szCs w:val="21"/>
        </w:rPr>
        <w:t>存在共同直接或间接投资设立子公司、联营企业和合营企业情况</w:t>
      </w:r>
    </w:p>
    <w:p>
      <w:pPr>
        <w:pStyle w:val="76"/>
        <w:widowControl w:val="0"/>
        <w:snapToGrid w:val="0"/>
        <w:spacing w:line="500" w:lineRule="exact"/>
        <w:jc w:val="both"/>
        <w:rPr>
          <w:rFonts w:ascii="仿宋" w:eastAsia="仿宋"/>
          <w:color w:val="000000"/>
          <w:szCs w:val="21"/>
        </w:rPr>
      </w:pPr>
      <w:r>
        <w:rPr>
          <w:rFonts w:ascii="仿宋" w:hAnsi="仿宋"/>
          <w:color w:val="000000"/>
          <w:kern w:val="0"/>
          <w:szCs w:val="21"/>
        </w:rPr>
        <w:t xml:space="preserve">  H.</w:t>
      </w:r>
      <w:r>
        <w:rPr>
          <w:rFonts w:hint="eastAsia" w:ascii="仿宋" w:hAnsi="仿宋"/>
          <w:color w:val="000000"/>
          <w:kern w:val="0"/>
          <w:szCs w:val="21"/>
        </w:rPr>
        <w:t>存在分级代理或代销关系、同一生产制造商关系、</w:t>
      </w:r>
      <w:r>
        <w:rPr>
          <w:rFonts w:hint="eastAsia" w:ascii="仿宋" w:hAnsi="仿宋"/>
          <w:color w:val="000000"/>
          <w:szCs w:val="21"/>
        </w:rPr>
        <w:t>管理关系、重要业务（占主营业务收入</w:t>
      </w:r>
      <w:r>
        <w:rPr>
          <w:rFonts w:ascii="仿宋" w:hAnsi="仿宋"/>
          <w:color w:val="000000"/>
          <w:szCs w:val="21"/>
        </w:rPr>
        <w:t>50%</w:t>
      </w:r>
      <w:r>
        <w:rPr>
          <w:rFonts w:hint="eastAsia" w:ascii="仿宋" w:hAnsi="仿宋"/>
          <w:color w:val="000000"/>
          <w:szCs w:val="21"/>
        </w:rPr>
        <w:t>以上）或重要财务往来关系（如融资）等其他实质性控制关系</w:t>
      </w:r>
    </w:p>
    <w:p>
      <w:pPr>
        <w:pStyle w:val="76"/>
        <w:widowControl w:val="0"/>
        <w:snapToGrid w:val="0"/>
        <w:spacing w:line="500" w:lineRule="exact"/>
        <w:jc w:val="both"/>
        <w:rPr>
          <w:rFonts w:ascii="仿宋" w:eastAsia="仿宋"/>
          <w:color w:val="000000"/>
          <w:spacing w:val="6"/>
          <w:szCs w:val="21"/>
        </w:rPr>
      </w:pPr>
      <w:r>
        <w:rPr>
          <w:rFonts w:ascii="仿宋" w:hAnsi="仿宋"/>
          <w:color w:val="000000"/>
          <w:szCs w:val="21"/>
        </w:rPr>
        <w:t xml:space="preserve">    I</w:t>
      </w:r>
      <w:r>
        <w:rPr>
          <w:rFonts w:ascii="仿宋" w:eastAsia="仿宋"/>
          <w:color w:val="000000"/>
          <w:kern w:val="0"/>
          <w:szCs w:val="21"/>
        </w:rPr>
        <w:t>.</w:t>
      </w:r>
      <w:r>
        <w:rPr>
          <w:rFonts w:hint="eastAsia" w:ascii="仿宋" w:hAnsi="仿宋"/>
          <w:color w:val="000000"/>
          <w:szCs w:val="21"/>
        </w:rPr>
        <w:t>其他利害关系情况</w:t>
      </w:r>
      <w:r>
        <w:rPr>
          <w:rFonts w:hint="eastAsia" w:ascii="仿宋" w:hAnsi="仿宋"/>
          <w:color w:val="000000"/>
          <w:kern w:val="0"/>
          <w:szCs w:val="21"/>
        </w:rPr>
        <w:t>。</w:t>
      </w:r>
    </w:p>
    <w:p>
      <w:pPr>
        <w:pStyle w:val="77"/>
        <w:widowControl/>
        <w:numPr>
          <w:ilvl w:val="0"/>
          <w:numId w:val="16"/>
        </w:numPr>
        <w:snapToGrid w:val="0"/>
        <w:spacing w:line="500" w:lineRule="exact"/>
        <w:ind w:firstLine="396" w:firstLineChars="189"/>
        <w:rPr>
          <w:rFonts w:ascii="仿宋" w:eastAsia="仿宋"/>
          <w:color w:val="000000"/>
          <w:kern w:val="0"/>
          <w:szCs w:val="21"/>
        </w:rPr>
      </w:pPr>
      <w:r>
        <w:rPr>
          <w:rFonts w:hint="eastAsia" w:ascii="仿宋" w:hAnsi="仿宋"/>
          <w:color w:val="000000"/>
          <w:szCs w:val="21"/>
        </w:rPr>
        <w:t>现已清楚知道并</w:t>
      </w:r>
      <w:r>
        <w:rPr>
          <w:rFonts w:hint="eastAsia" w:ascii="仿宋" w:hAnsi="仿宋"/>
          <w:color w:val="000000"/>
          <w:kern w:val="0"/>
          <w:szCs w:val="21"/>
        </w:rPr>
        <w:t>严格遵守政府采购法律法规和现场纪律。</w:t>
      </w:r>
    </w:p>
    <w:p>
      <w:pPr>
        <w:pStyle w:val="77"/>
        <w:widowControl/>
        <w:numPr>
          <w:ilvl w:val="0"/>
          <w:numId w:val="16"/>
        </w:numPr>
        <w:snapToGrid w:val="0"/>
        <w:spacing w:line="500" w:lineRule="exact"/>
        <w:ind w:firstLine="396" w:firstLineChars="189"/>
        <w:rPr>
          <w:rFonts w:ascii="仿宋" w:eastAsia="仿宋"/>
          <w:color w:val="000000"/>
          <w:kern w:val="0"/>
          <w:szCs w:val="21"/>
        </w:rPr>
      </w:pPr>
      <w:r>
        <w:rPr>
          <w:rFonts w:hint="eastAsia" w:ascii="仿宋" w:hAnsi="仿宋"/>
          <w:color w:val="000000"/>
          <w:kern w:val="0"/>
          <w:szCs w:val="21"/>
        </w:rPr>
        <w:t>我发现供应商之间存在或可能存在上述第二条第项利害关系。</w:t>
      </w:r>
    </w:p>
    <w:p>
      <w:pPr>
        <w:pStyle w:val="76"/>
        <w:widowControl w:val="0"/>
        <w:snapToGrid w:val="0"/>
        <w:spacing w:line="500" w:lineRule="exact"/>
        <w:ind w:firstLine="420" w:firstLineChars="200"/>
        <w:jc w:val="both"/>
        <w:rPr>
          <w:rFonts w:ascii="仿宋" w:eastAsia="仿宋"/>
          <w:color w:val="000000"/>
          <w:szCs w:val="21"/>
        </w:rPr>
      </w:pPr>
      <w:r>
        <w:rPr>
          <w:rFonts w:hint="eastAsia" w:ascii="仿宋" w:hAnsi="仿宋"/>
          <w:color w:val="000000"/>
          <w:szCs w:val="21"/>
        </w:rPr>
        <w:t>（供应商代表签名）</w:t>
      </w:r>
      <w:r>
        <w:rPr>
          <w:rFonts w:ascii="仿宋" w:hAnsi="仿宋"/>
          <w:color w:val="000000"/>
          <w:szCs w:val="21"/>
        </w:rPr>
        <w:t>:</w:t>
      </w:r>
    </w:p>
    <w:p>
      <w:pPr>
        <w:pStyle w:val="76"/>
        <w:widowControl w:val="0"/>
        <w:snapToGrid w:val="0"/>
        <w:spacing w:line="500" w:lineRule="exact"/>
        <w:ind w:firstLine="6930" w:firstLineChars="3300"/>
        <w:jc w:val="both"/>
        <w:rPr>
          <w:rFonts w:ascii="仿宋" w:hAnsi="仿宋"/>
          <w:color w:val="000000"/>
          <w:szCs w:val="21"/>
        </w:rPr>
      </w:pPr>
      <w:r>
        <w:rPr>
          <w:rFonts w:hint="eastAsia" w:ascii="仿宋" w:hAnsi="仿宋"/>
          <w:color w:val="000000"/>
          <w:szCs w:val="21"/>
        </w:rPr>
        <w:t>年 月  日</w:t>
      </w:r>
    </w:p>
    <w:p>
      <w:pPr>
        <w:pStyle w:val="15"/>
        <w:adjustRightInd w:val="0"/>
        <w:snapToGrid w:val="0"/>
        <w:spacing w:line="430" w:lineRule="atLeast"/>
        <w:ind w:firstLine="482" w:firstLineChars="200"/>
        <w:rPr>
          <w:rFonts w:hAnsi="宋体"/>
          <w:b/>
          <w:bCs/>
          <w:color w:val="000000"/>
          <w:sz w:val="24"/>
        </w:rPr>
      </w:pPr>
      <w:r>
        <w:rPr>
          <w:rFonts w:hint="eastAsia" w:hAnsi="宋体"/>
          <w:b/>
          <w:bCs/>
          <w:color w:val="000000"/>
          <w:sz w:val="24"/>
        </w:rPr>
        <w:t>投标文件解密结束，各投标人签署《政府采购活动现场确认声明书》后将扫描件发送至采购代理机构邮箱：</w:t>
      </w:r>
      <w:r>
        <w:fldChar w:fldCharType="begin"/>
      </w:r>
      <w:r>
        <w:instrText xml:space="preserve"> HYPERLINK "mailto:37694060@qq.com" </w:instrText>
      </w:r>
      <w:r>
        <w:fldChar w:fldCharType="separate"/>
      </w:r>
      <w:r>
        <w:rPr>
          <w:rFonts w:hAnsi="宋体"/>
          <w:b/>
          <w:bCs/>
          <w:color w:val="000000"/>
          <w:sz w:val="24"/>
        </w:rPr>
        <w:t>37694060@qq.com</w:t>
      </w:r>
      <w:r>
        <w:rPr>
          <w:rFonts w:hAnsi="宋体"/>
          <w:b/>
          <w:bCs/>
          <w:color w:val="000000"/>
          <w:sz w:val="24"/>
        </w:rPr>
        <w:fldChar w:fldCharType="end"/>
      </w:r>
    </w:p>
    <w:p>
      <w:pPr>
        <w:pStyle w:val="76"/>
        <w:widowControl w:val="0"/>
        <w:snapToGrid w:val="0"/>
        <w:spacing w:line="500" w:lineRule="exact"/>
        <w:ind w:firstLine="420" w:firstLineChars="200"/>
        <w:jc w:val="both"/>
        <w:rPr>
          <w:rFonts w:ascii="仿宋" w:hAnsi="仿宋"/>
          <w:color w:val="000000"/>
          <w:szCs w:val="21"/>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1675"/>
        </w:sectPr>
      </w:pPr>
    </w:p>
    <w:p>
      <w:pPr>
        <w:spacing w:line="360" w:lineRule="auto"/>
        <w:rPr>
          <w:rFonts w:ascii="宋体"/>
          <w:b/>
          <w:sz w:val="28"/>
        </w:rPr>
      </w:pPr>
      <w:r>
        <w:rPr>
          <w:rFonts w:hint="eastAsia" w:ascii="宋体" w:hAnsi="宋体"/>
          <w:b/>
          <w:sz w:val="28"/>
        </w:rPr>
        <w:t>附件</w:t>
      </w:r>
      <w:r>
        <w:rPr>
          <w:rFonts w:ascii="宋体" w:hAnsi="宋体"/>
          <w:b/>
          <w:sz w:val="28"/>
        </w:rPr>
        <w:t>2</w:t>
      </w:r>
    </w:p>
    <w:p>
      <w:pPr>
        <w:adjustRightInd w:val="0"/>
        <w:snapToGrid w:val="0"/>
        <w:spacing w:line="360" w:lineRule="auto"/>
        <w:ind w:right="480"/>
        <w:jc w:val="center"/>
        <w:rPr>
          <w:rFonts w:ascii="宋体"/>
          <w:b/>
          <w:kern w:val="0"/>
          <w:sz w:val="32"/>
          <w:szCs w:val="32"/>
          <w:lang w:val="zh-CN"/>
        </w:rPr>
      </w:pPr>
      <w:r>
        <w:rPr>
          <w:rFonts w:hint="eastAsia" w:ascii="宋体" w:hAnsi="宋体"/>
          <w:b/>
          <w:kern w:val="0"/>
          <w:sz w:val="32"/>
          <w:szCs w:val="32"/>
          <w:lang w:val="zh-CN"/>
        </w:rPr>
        <w:t>投标声明书</w:t>
      </w:r>
    </w:p>
    <w:p>
      <w:pPr>
        <w:snapToGrid w:val="0"/>
        <w:spacing w:before="120" w:beforeLines="50" w:after="50" w:line="360" w:lineRule="auto"/>
        <w:ind w:firstLine="480" w:firstLineChars="200"/>
        <w:rPr>
          <w:rFonts w:ascii="宋体" w:cs="宋体"/>
          <w:color w:val="000000"/>
          <w:kern w:val="0"/>
          <w:sz w:val="24"/>
        </w:rPr>
      </w:pPr>
      <w:r>
        <w:rPr>
          <w:rFonts w:ascii="宋体" w:hAnsi="宋体"/>
          <w:color w:val="000000"/>
          <w:sz w:val="24"/>
          <w:u w:val="single"/>
        </w:rPr>
        <w:t xml:space="preserve"> </w:t>
      </w:r>
      <w:r>
        <w:rPr>
          <w:rFonts w:hint="eastAsia" w:ascii="宋体" w:hAnsi="宋体"/>
          <w:color w:val="000000"/>
          <w:sz w:val="24"/>
          <w:u w:val="single"/>
        </w:rPr>
        <w:t>台州市中恒企业管理咨询有限公司</w:t>
      </w:r>
      <w:r>
        <w:rPr>
          <w:rFonts w:hint="eastAsia" w:ascii="宋体" w:hAnsi="宋体" w:cs="宋体"/>
          <w:color w:val="000000"/>
          <w:kern w:val="0"/>
          <w:sz w:val="24"/>
        </w:rPr>
        <w:t>：</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（投标人名称）系中华人民共和国合法企业，经营地址。</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我（ 姓名 ）系（ 投标人名称 ）的法定代表人，我公司自愿参加贵方组织的（招标项目名称）（编号为）的投标，为此，我公司就本次投标有关事项郑重声明如下：</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3、我</w:t>
      </w:r>
      <w:r>
        <w:rPr>
          <w:rFonts w:hint="eastAsia" w:ascii="仿宋" w:hAnsi="仿宋"/>
          <w:color w:val="000000"/>
          <w:spacing w:val="6"/>
          <w:szCs w:val="21"/>
          <w:lang w:val="zh-CN"/>
        </w:rPr>
        <w:t>公司</w:t>
      </w:r>
      <w:r>
        <w:rPr>
          <w:rFonts w:hint="eastAsia" w:ascii="仿宋" w:hAnsi="仿宋"/>
          <w:color w:val="000000"/>
          <w:spacing w:val="6"/>
          <w:szCs w:val="21"/>
        </w:rPr>
        <w:t>不是采购人的附属机构；在获知本项目采购信息后，与采购人聘请的为此项目提供咨询服务的公司及其附属机构没有任何联系。</w:t>
      </w:r>
    </w:p>
    <w:p>
      <w:pPr>
        <w:pStyle w:val="77"/>
        <w:widowControl/>
        <w:snapToGrid w:val="0"/>
        <w:spacing w:line="500" w:lineRule="exact"/>
        <w:ind w:firstLine="444" w:firstLineChars="200"/>
        <w:rPr>
          <w:rFonts w:ascii="仿宋" w:hAnsi="仿宋"/>
          <w:color w:val="000000"/>
          <w:spacing w:val="6"/>
          <w:szCs w:val="21"/>
          <w:lang w:val="af-ZA"/>
        </w:rPr>
      </w:pPr>
      <w:r>
        <w:rPr>
          <w:rFonts w:hint="eastAsia" w:ascii="仿宋" w:hAnsi="仿宋"/>
          <w:color w:val="000000"/>
          <w:spacing w:val="6"/>
          <w:szCs w:val="21"/>
        </w:rPr>
        <w:t>4、我</w:t>
      </w:r>
      <w:r>
        <w:rPr>
          <w:rFonts w:hint="eastAsia" w:ascii="仿宋" w:hAnsi="仿宋"/>
          <w:color w:val="000000"/>
          <w:spacing w:val="6"/>
          <w:szCs w:val="21"/>
          <w:lang w:val="zh-CN"/>
        </w:rPr>
        <w:t>公司</w:t>
      </w:r>
      <w:r>
        <w:rPr>
          <w:rFonts w:hint="eastAsia" w:ascii="仿宋" w:hAnsi="仿宋"/>
          <w:color w:val="000000"/>
          <w:spacing w:val="6"/>
          <w:szCs w:val="21"/>
        </w:rPr>
        <w:t>保证，</w:t>
      </w:r>
      <w:r>
        <w:rPr>
          <w:rFonts w:hint="eastAsia" w:ascii="仿宋" w:hAnsi="仿宋"/>
          <w:color w:val="000000"/>
          <w:spacing w:val="6"/>
          <w:szCs w:val="21"/>
          <w:lang w:val="af-ZA"/>
        </w:rPr>
        <w:t>采购人在中华人民共和国境内使用</w:t>
      </w:r>
      <w:r>
        <w:rPr>
          <w:rFonts w:hint="eastAsia" w:ascii="仿宋" w:hAnsi="仿宋"/>
          <w:color w:val="000000"/>
          <w:spacing w:val="6"/>
          <w:szCs w:val="21"/>
        </w:rPr>
        <w:t>我</w:t>
      </w:r>
      <w:r>
        <w:rPr>
          <w:rFonts w:hint="eastAsia" w:ascii="仿宋" w:hAnsi="仿宋"/>
          <w:color w:val="000000"/>
          <w:spacing w:val="6"/>
          <w:szCs w:val="21"/>
          <w:lang w:val="zh-CN"/>
        </w:rPr>
        <w:t>公司</w:t>
      </w:r>
      <w:r>
        <w:rPr>
          <w:rFonts w:hint="eastAsia" w:ascii="仿宋" w:hAnsi="仿宋"/>
          <w:color w:val="000000"/>
          <w:spacing w:val="6"/>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lang w:val="af-ZA"/>
        </w:rPr>
        <w:t>5、我</w:t>
      </w:r>
      <w:r>
        <w:rPr>
          <w:rFonts w:hint="eastAsia" w:ascii="仿宋" w:hAnsi="仿宋"/>
          <w:color w:val="000000"/>
          <w:spacing w:val="6"/>
          <w:szCs w:val="21"/>
          <w:lang w:val="zh-CN"/>
        </w:rPr>
        <w:t>公司</w:t>
      </w:r>
      <w:r>
        <w:rPr>
          <w:rFonts w:hint="eastAsia" w:ascii="仿宋" w:hAnsi="仿宋"/>
          <w:color w:val="000000"/>
          <w:spacing w:val="6"/>
          <w:szCs w:val="21"/>
          <w:lang w:val="af-ZA"/>
        </w:rPr>
        <w:t>严格履行政府采购合同，不降低合同约定的产品质量和服务，不擅自变更、中止、终止合同，或拒绝履行合同义务；</w:t>
      </w:r>
    </w:p>
    <w:p>
      <w:pPr>
        <w:pStyle w:val="77"/>
        <w:widowControl/>
        <w:snapToGrid w:val="0"/>
        <w:spacing w:line="500" w:lineRule="exact"/>
        <w:ind w:firstLine="444" w:firstLineChars="200"/>
        <w:rPr>
          <w:rFonts w:ascii="仿宋" w:hAnsi="仿宋"/>
          <w:color w:val="000000"/>
          <w:spacing w:val="6"/>
          <w:szCs w:val="21"/>
        </w:rPr>
      </w:pPr>
      <w:r>
        <w:rPr>
          <w:rFonts w:hint="eastAsia" w:ascii="仿宋" w:hAnsi="仿宋"/>
          <w:color w:val="000000"/>
          <w:spacing w:val="6"/>
          <w:szCs w:val="21"/>
        </w:rPr>
        <w:t>6、以上事项如有虚假或隐瞒，我</w:t>
      </w:r>
      <w:r>
        <w:rPr>
          <w:rFonts w:hint="eastAsia" w:ascii="仿宋" w:hAnsi="仿宋"/>
          <w:color w:val="000000"/>
          <w:spacing w:val="6"/>
          <w:szCs w:val="21"/>
          <w:lang w:val="zh-CN"/>
        </w:rPr>
        <w:t>公司</w:t>
      </w:r>
      <w:r>
        <w:rPr>
          <w:rFonts w:hint="eastAsia" w:ascii="仿宋" w:hAnsi="仿宋"/>
          <w:color w:val="000000"/>
          <w:spacing w:val="6"/>
          <w:szCs w:val="21"/>
        </w:rPr>
        <w:t>愿意承担一切后果，并不再寻求任何旨在减轻或免除法律责任的辩解。</w:t>
      </w:r>
    </w:p>
    <w:p>
      <w:pPr>
        <w:pStyle w:val="77"/>
        <w:widowControl/>
        <w:snapToGrid w:val="0"/>
        <w:spacing w:line="500" w:lineRule="exact"/>
        <w:ind w:firstLine="444" w:firstLineChars="200"/>
        <w:rPr>
          <w:rFonts w:ascii="仿宋" w:hAnsi="仿宋"/>
          <w:color w:val="000000"/>
          <w:spacing w:val="6"/>
          <w:szCs w:val="21"/>
        </w:rPr>
      </w:pPr>
    </w:p>
    <w:p>
      <w:pPr>
        <w:pStyle w:val="77"/>
        <w:widowControl/>
        <w:snapToGrid w:val="0"/>
        <w:spacing w:line="500" w:lineRule="exact"/>
        <w:ind w:firstLine="444" w:firstLineChars="200"/>
        <w:rPr>
          <w:rFonts w:ascii="仿宋" w:hAnsi="仿宋"/>
          <w:color w:val="000000"/>
          <w:spacing w:val="6"/>
          <w:szCs w:val="21"/>
          <w:lang w:val="zh-CN"/>
        </w:rPr>
      </w:pPr>
      <w:r>
        <w:rPr>
          <w:rFonts w:hint="eastAsia" w:ascii="仿宋" w:hAnsi="仿宋"/>
          <w:color w:val="000000"/>
          <w:spacing w:val="6"/>
          <w:szCs w:val="21"/>
          <w:lang w:val="zh-CN"/>
        </w:rPr>
        <w:t xml:space="preserve">    </w:t>
      </w:r>
      <w:r>
        <w:rPr>
          <w:rFonts w:hint="eastAsia" w:ascii="仿宋" w:hAnsi="仿宋"/>
          <w:color w:val="000000"/>
          <w:spacing w:val="6"/>
          <w:szCs w:val="21"/>
        </w:rPr>
        <w:t xml:space="preserve">                                   </w:t>
      </w:r>
      <w:r>
        <w:rPr>
          <w:rFonts w:hint="eastAsia" w:ascii="仿宋" w:hAnsi="仿宋"/>
          <w:color w:val="000000"/>
          <w:spacing w:val="6"/>
          <w:szCs w:val="21"/>
          <w:lang w:val="zh-CN"/>
        </w:rPr>
        <w:t>投标人名称(电子印章)：</w:t>
      </w:r>
    </w:p>
    <w:p>
      <w:pPr>
        <w:pStyle w:val="77"/>
        <w:widowControl/>
        <w:snapToGrid w:val="0"/>
        <w:spacing w:line="500" w:lineRule="exact"/>
        <w:ind w:firstLine="444" w:firstLineChars="200"/>
        <w:rPr>
          <w:rFonts w:ascii="仿宋" w:hAnsi="仿宋"/>
          <w:color w:val="000000"/>
          <w:spacing w:val="6"/>
          <w:szCs w:val="21"/>
          <w:lang w:val="zh-CN"/>
        </w:rPr>
      </w:pPr>
      <w:r>
        <w:rPr>
          <w:rFonts w:hint="eastAsia" w:ascii="仿宋" w:hAnsi="仿宋"/>
          <w:color w:val="000000"/>
          <w:spacing w:val="6"/>
          <w:szCs w:val="21"/>
          <w:lang w:val="zh-CN"/>
        </w:rPr>
        <w:t xml:space="preserve">                                       法定代表人或授权委托人(签字)：</w:t>
      </w:r>
    </w:p>
    <w:p>
      <w:pPr>
        <w:pStyle w:val="77"/>
        <w:widowControl/>
        <w:snapToGrid w:val="0"/>
        <w:spacing w:line="500" w:lineRule="exact"/>
        <w:ind w:firstLine="444" w:firstLineChars="200"/>
        <w:rPr>
          <w:rFonts w:ascii="宋体"/>
          <w:b/>
          <w:sz w:val="28"/>
        </w:rPr>
      </w:pPr>
      <w:r>
        <w:rPr>
          <w:rFonts w:hint="eastAsia" w:ascii="仿宋" w:hAnsi="仿宋"/>
          <w:color w:val="000000"/>
          <w:spacing w:val="6"/>
          <w:szCs w:val="21"/>
          <w:lang w:val="zh-CN"/>
        </w:rPr>
        <w:t xml:space="preserve">                                 </w:t>
      </w:r>
      <w:r>
        <w:rPr>
          <w:rFonts w:hint="eastAsia" w:ascii="仿宋" w:hAnsi="仿宋"/>
          <w:color w:val="000000"/>
          <w:spacing w:val="6"/>
          <w:szCs w:val="21"/>
        </w:rPr>
        <w:t xml:space="preserve">     </w:t>
      </w:r>
      <w:r>
        <w:rPr>
          <w:rFonts w:hint="eastAsia" w:ascii="仿宋" w:hAnsi="仿宋"/>
          <w:color w:val="000000"/>
          <w:spacing w:val="6"/>
          <w:szCs w:val="21"/>
          <w:lang w:val="zh-CN"/>
        </w:rPr>
        <w:t xml:space="preserve"> 日期：</w:t>
      </w:r>
      <w:r>
        <w:rPr>
          <w:rFonts w:hint="eastAsia" w:ascii="仿宋" w:hAnsi="仿宋"/>
          <w:color w:val="000000"/>
          <w:spacing w:val="6"/>
          <w:szCs w:val="21"/>
        </w:rPr>
        <w:t>××</w:t>
      </w:r>
      <w:r>
        <w:rPr>
          <w:rFonts w:hint="eastAsia" w:ascii="仿宋" w:hAnsi="仿宋"/>
          <w:color w:val="000000"/>
          <w:spacing w:val="6"/>
          <w:szCs w:val="21"/>
          <w:lang w:val="zh-CN"/>
        </w:rPr>
        <w:t xml:space="preserve">年 </w:t>
      </w:r>
      <w:r>
        <w:rPr>
          <w:rFonts w:hint="eastAsia" w:ascii="仿宋" w:hAnsi="仿宋"/>
          <w:color w:val="000000"/>
          <w:spacing w:val="6"/>
          <w:szCs w:val="21"/>
        </w:rPr>
        <w:t>××</w:t>
      </w:r>
      <w:r>
        <w:rPr>
          <w:rFonts w:hint="eastAsia" w:ascii="仿宋" w:hAnsi="仿宋"/>
          <w:color w:val="000000"/>
          <w:spacing w:val="6"/>
          <w:szCs w:val="21"/>
          <w:lang w:val="zh-CN"/>
        </w:rPr>
        <w:t xml:space="preserve"> 月 </w:t>
      </w:r>
      <w:r>
        <w:rPr>
          <w:rFonts w:hint="eastAsia" w:ascii="仿宋" w:hAnsi="仿宋"/>
          <w:color w:val="000000"/>
          <w:spacing w:val="6"/>
          <w:szCs w:val="21"/>
        </w:rPr>
        <w:t>××</w:t>
      </w:r>
      <w:r>
        <w:rPr>
          <w:rFonts w:hint="eastAsia" w:ascii="仿宋" w:hAnsi="仿宋"/>
          <w:color w:val="000000"/>
          <w:spacing w:val="6"/>
          <w:szCs w:val="21"/>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w:t>
      </w:r>
      <w:r>
        <w:rPr>
          <w:rFonts w:ascii="宋体" w:hAnsi="宋体"/>
          <w:b/>
          <w:sz w:val="28"/>
        </w:rPr>
        <w:t>3</w:t>
      </w:r>
    </w:p>
    <w:p>
      <w:pPr>
        <w:spacing w:line="360" w:lineRule="auto"/>
        <w:ind w:firstLine="321" w:firstLineChars="100"/>
        <w:jc w:val="center"/>
        <w:rPr>
          <w:rFonts w:hAnsi="宋体"/>
          <w:b/>
          <w:sz w:val="32"/>
          <w:szCs w:val="32"/>
          <w:u w:val="single"/>
        </w:rPr>
      </w:pPr>
      <w:r>
        <w:rPr>
          <w:rFonts w:hint="eastAsia"/>
          <w:b/>
          <w:color w:val="000000"/>
          <w:sz w:val="32"/>
          <w:szCs w:val="32"/>
        </w:rPr>
        <w:t>授权委托书</w:t>
      </w:r>
    </w:p>
    <w:p>
      <w:pPr>
        <w:snapToGrid w:val="0"/>
        <w:spacing w:before="120" w:beforeLines="50" w:after="50" w:line="360" w:lineRule="auto"/>
        <w:ind w:firstLine="480" w:firstLineChars="200"/>
        <w:rPr>
          <w:rFonts w:ascii="宋体" w:cs="宋体"/>
          <w:kern w:val="0"/>
          <w:sz w:val="24"/>
        </w:rPr>
      </w:pPr>
      <w:r>
        <w:rPr>
          <w:rFonts w:hint="eastAsia" w:ascii="宋体" w:hAnsi="宋体"/>
          <w:color w:val="000000"/>
          <w:sz w:val="24"/>
          <w:u w:val="single"/>
        </w:rPr>
        <w:t>台州市中恒企业管理咨询有限公司</w:t>
      </w:r>
      <w:r>
        <w:rPr>
          <w:rFonts w:hint="eastAsia" w:ascii="宋体" w:hAnsi="宋体" w:cs="宋体"/>
          <w:kern w:val="0"/>
          <w:sz w:val="24"/>
        </w:rPr>
        <w:t>：</w:t>
      </w:r>
    </w:p>
    <w:p>
      <w:pPr>
        <w:pStyle w:val="15"/>
        <w:spacing w:line="500" w:lineRule="exact"/>
        <w:ind w:left="240" w:hanging="240" w:hangingChars="100"/>
        <w:rPr>
          <w:rFonts w:hAnsi="宋体"/>
          <w:sz w:val="24"/>
        </w:rPr>
      </w:pPr>
      <w:r>
        <w:rPr>
          <w:rFonts w:hint="eastAsia" w:hAnsi="宋体"/>
          <w:sz w:val="24"/>
          <w:u w:val="single"/>
        </w:rPr>
        <w:t>（投标人全称）</w:t>
      </w:r>
      <w:r>
        <w:rPr>
          <w:rFonts w:hint="eastAsia"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（法定代表人</w:t>
      </w:r>
      <w:r>
        <w:rPr>
          <w:rFonts w:hint="eastAsia" w:ascii="Arial" w:hAnsi="Arial" w:cs="Arial"/>
          <w:sz w:val="24"/>
          <w:u w:val="single"/>
        </w:rPr>
        <w:t>或营业执照中单位负责人</w:t>
      </w:r>
      <w:r>
        <w:rPr>
          <w:rFonts w:hint="eastAsia" w:hAnsi="宋体"/>
          <w:sz w:val="24"/>
          <w:u w:val="single"/>
        </w:rPr>
        <w:t>姓名）</w:t>
      </w:r>
      <w:r>
        <w:rPr>
          <w:rFonts w:hint="eastAsia" w:hAnsi="宋体"/>
          <w:sz w:val="24"/>
        </w:rPr>
        <w:t>授权</w:t>
      </w:r>
      <w:r>
        <w:rPr>
          <w:rFonts w:hint="eastAsia" w:hAnsi="宋体"/>
          <w:sz w:val="24"/>
          <w:u w:val="single"/>
        </w:rPr>
        <w:t>（全权代表姓名）</w:t>
      </w:r>
      <w:r>
        <w:rPr>
          <w:rFonts w:hint="eastAsia" w:hAnsi="宋体"/>
          <w:sz w:val="24"/>
        </w:rPr>
        <w:t>为全权代表，参加贵单位组织的</w:t>
      </w:r>
      <w:r>
        <w:rPr>
          <w:rFonts w:hAnsi="宋体"/>
          <w:sz w:val="24"/>
          <w:u w:val="single"/>
        </w:rPr>
        <w:tab/>
      </w:r>
      <w:r>
        <w:rPr>
          <w:rFonts w:hint="eastAsia" w:hAnsi="宋体"/>
          <w:sz w:val="24"/>
        </w:rPr>
        <w:t>项目的采购活动，并代表我方全权办理针对上述项目的投标、开标、评标、签约等具体事务和签署相关文件。我方对全权代表的签字事项负全部责任。</w:t>
      </w:r>
    </w:p>
    <w:p>
      <w:pPr>
        <w:pStyle w:val="15"/>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投标人全称（</w:t>
      </w:r>
      <w:r>
        <w:rPr>
          <w:rFonts w:hint="eastAsia" w:ascii="宋体" w:hAnsi="宋体"/>
          <w:sz w:val="24"/>
        </w:rPr>
        <w:t>电子印章</w:t>
      </w:r>
      <w:r>
        <w:rPr>
          <w:rFonts w:hint="eastAsia" w:ascii="宋体"/>
          <w:sz w:val="24"/>
        </w:rPr>
        <w:t>）：                 日期：</w:t>
      </w:r>
    </w:p>
    <w:p>
      <w:pPr>
        <w:spacing w:line="360" w:lineRule="auto"/>
        <w:rPr>
          <w:b/>
          <w:sz w:val="24"/>
        </w:rPr>
      </w:pPr>
      <w:r>
        <w:rPr>
          <w:rFonts w:hint="eastAsia" w:ascii="宋体"/>
          <w:b/>
          <w:sz w:val="24"/>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法定代表人姓名：</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全权代表姓名：</w:t>
      </w:r>
    </w:p>
    <w:p>
      <w:pPr>
        <w:spacing w:line="360" w:lineRule="auto"/>
        <w:rPr>
          <w:sz w:val="24"/>
        </w:rPr>
      </w:pPr>
      <w:r>
        <w:rPr>
          <w:rFonts w:hint="eastAsia" w:ascii="宋体"/>
          <w:sz w:val="24"/>
        </w:rPr>
        <w:t>职务：</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
      <w:pPr>
        <w:spacing w:after="240" w:afterLines="100"/>
        <w:jc w:val="center"/>
        <w:rPr>
          <w:b/>
          <w:sz w:val="28"/>
        </w:rPr>
      </w:pPr>
    </w:p>
    <w:p>
      <w:pPr>
        <w:spacing w:after="240" w:afterLines="100"/>
        <w:jc w:val="center"/>
        <w:rPr>
          <w:rFonts w:ascii="宋体" w:hAnsi="宋体" w:cs="仿宋_GB2312"/>
          <w:b/>
          <w:bCs/>
          <w:kern w:val="0"/>
          <w:sz w:val="24"/>
          <w:lang w:val="zh-CN"/>
        </w:rPr>
      </w:pPr>
      <w:r>
        <w:rPr>
          <w:rFonts w:hint="eastAsia"/>
          <w:b/>
          <w:sz w:val="28"/>
        </w:rPr>
        <w:t xml:space="preserve">附件4  </w:t>
      </w:r>
      <w:r>
        <w:rPr>
          <w:rFonts w:hint="eastAsia" w:ascii="宋体" w:hAnsi="宋体" w:cs="仿宋_GB2312"/>
          <w:b/>
          <w:bCs/>
          <w:kern w:val="0"/>
          <w:sz w:val="24"/>
          <w:lang w:val="zh-CN"/>
        </w:rPr>
        <w:t>供应商财务状况和依法缴纳税收及社会保障资金的书面承诺</w:t>
      </w:r>
    </w:p>
    <w:p>
      <w:pPr>
        <w:spacing w:after="240" w:afterLines="100" w:line="360" w:lineRule="auto"/>
        <w:jc w:val="left"/>
        <w:rPr>
          <w:rFonts w:ascii="宋体" w:hAnsi="宋体" w:cs="仿宋_GB2312"/>
          <w:bCs/>
          <w:kern w:val="0"/>
          <w:sz w:val="24"/>
          <w:lang w:val="zh-CN"/>
        </w:rPr>
      </w:pPr>
    </w:p>
    <w:p>
      <w:pPr>
        <w:spacing w:after="240"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宋体"/>
          <w:sz w:val="24"/>
          <w:u w:val="single"/>
        </w:rPr>
        <w:t xml:space="preserve">                         </w:t>
      </w:r>
      <w:r>
        <w:rPr>
          <w:rFonts w:hint="eastAsia" w:ascii="宋体" w:hAnsi="宋体" w:cs="仿宋_GB2312"/>
          <w:bCs/>
          <w:kern w:val="0"/>
          <w:sz w:val="24"/>
          <w:lang w:val="zh-CN"/>
        </w:rPr>
        <w:t>（采购人）</w:t>
      </w:r>
    </w:p>
    <w:p>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sz w:val="24"/>
          <w:u w:val="single"/>
        </w:rPr>
        <w:t xml:space="preserve">                  </w:t>
      </w:r>
      <w:r>
        <w:rPr>
          <w:rFonts w:hint="eastAsia" w:ascii="宋体" w:hAnsi="宋体" w:cs="宋体"/>
          <w:sz w:val="24"/>
        </w:rPr>
        <w:t>（项目名称）采购活动，根据采购文件要求，现郑重承诺：</w:t>
      </w:r>
    </w:p>
    <w:p>
      <w:pPr>
        <w:snapToGrid w:val="0"/>
        <w:spacing w:line="480" w:lineRule="auto"/>
        <w:ind w:firstLine="480" w:firstLineChars="200"/>
        <w:jc w:val="left"/>
        <w:rPr>
          <w:rFonts w:ascii="宋体" w:hAnsi="宋体" w:cs="宋体"/>
          <w:sz w:val="24"/>
        </w:rPr>
      </w:pPr>
      <w:r>
        <w:rPr>
          <w:rFonts w:hint="eastAsia" w:ascii="宋体" w:hAnsi="宋体" w:cs="宋体"/>
          <w:sz w:val="24"/>
        </w:rPr>
        <w:t>我公司符合参与政府采购活动的资格条件，不存在税收缴纳、社会保障等方面的失信记录。</w:t>
      </w:r>
    </w:p>
    <w:p>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如本公司对以上条款提供虚假承诺，采购组织机构可取消我方任何资格（投标/中标/签订合同），我方对此无任何异议。</w:t>
      </w:r>
    </w:p>
    <w:p>
      <w:pPr>
        <w:snapToGrid w:val="0"/>
        <w:spacing w:line="480" w:lineRule="auto"/>
        <w:jc w:val="left"/>
        <w:rPr>
          <w:rFonts w:ascii="宋体" w:hAnsi="宋体" w:cs="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spacing w:line="360" w:lineRule="auto"/>
        <w:rPr>
          <w:rFonts w:ascii="宋体" w:hAnsi="宋体"/>
          <w:sz w:val="24"/>
        </w:rPr>
      </w:pPr>
    </w:p>
    <w:p>
      <w:pPr>
        <w:pStyle w:val="62"/>
        <w:shd w:val="clear" w:color="auto" w:fill="FFFFFF"/>
        <w:spacing w:before="0" w:beforeAutospacing="0" w:after="0" w:afterAutospacing="0" w:line="360" w:lineRule="auto"/>
        <w:ind w:firstLine="424" w:firstLineChars="177"/>
        <w:rPr>
          <w:b/>
          <w:bCs/>
          <w:spacing w:val="11"/>
        </w:rPr>
      </w:pPr>
      <w:r>
        <w:rPr>
          <w:rFonts w:hint="eastAsia"/>
        </w:rPr>
        <w:t>日        期：</w:t>
      </w:r>
    </w:p>
    <w:p>
      <w:pPr>
        <w:widowControl/>
        <w:jc w:val="left"/>
        <w:rPr>
          <w:b/>
          <w:bCs/>
          <w:sz w:val="32"/>
          <w:szCs w:val="32"/>
          <w:lang w:val="zh-CN"/>
        </w:rPr>
      </w:pPr>
    </w:p>
    <w:p>
      <w:pPr>
        <w:adjustRightInd w:val="0"/>
        <w:snapToGrid w:val="0"/>
        <w:spacing w:line="360" w:lineRule="auto"/>
        <w:ind w:right="480"/>
        <w:outlineLvl w:val="0"/>
        <w:rPr>
          <w:rFonts w:ascii="宋体" w:hAnsi="宋体"/>
          <w:b/>
          <w:sz w:val="28"/>
        </w:rPr>
      </w:pPr>
    </w:p>
    <w:p>
      <w:pPr>
        <w:pStyle w:val="19"/>
        <w:rPr>
          <w:rFonts w:ascii="宋体" w:hAnsi="宋体"/>
          <w:b/>
          <w:sz w:val="28"/>
        </w:rPr>
      </w:pPr>
    </w:p>
    <w:p>
      <w:pPr>
        <w:pStyle w:val="19"/>
        <w:rPr>
          <w:rFonts w:ascii="宋体" w:hAnsi="宋体"/>
          <w:b/>
          <w:sz w:val="28"/>
        </w:rPr>
      </w:pPr>
    </w:p>
    <w:p>
      <w:pPr>
        <w:pStyle w:val="62"/>
        <w:shd w:val="clear" w:color="auto" w:fill="FFFFFF"/>
        <w:spacing w:before="0" w:beforeAutospacing="0" w:after="0" w:afterAutospacing="0" w:line="360" w:lineRule="auto"/>
        <w:rPr>
          <w:spacing w:val="40"/>
          <w:sz w:val="52"/>
          <w:szCs w:val="52"/>
        </w:rPr>
      </w:pPr>
    </w:p>
    <w:p>
      <w:pPr>
        <w:pStyle w:val="62"/>
        <w:shd w:val="clear" w:color="auto" w:fill="FFFFFF"/>
        <w:spacing w:before="0" w:beforeAutospacing="0" w:after="0" w:afterAutospacing="0" w:line="360" w:lineRule="auto"/>
        <w:rPr>
          <w:spacing w:val="40"/>
          <w:sz w:val="52"/>
          <w:szCs w:val="52"/>
        </w:rPr>
      </w:pPr>
    </w:p>
    <w:p>
      <w:pPr>
        <w:spacing w:line="360" w:lineRule="auto"/>
        <w:rPr>
          <w:rFonts w:ascii="宋体" w:hAnsi="宋体"/>
          <w:b/>
          <w:sz w:val="28"/>
        </w:rPr>
      </w:pPr>
    </w:p>
    <w:p>
      <w:pPr>
        <w:spacing w:line="360" w:lineRule="auto"/>
        <w:rPr>
          <w:rFonts w:ascii="宋体" w:hAnsi="宋体"/>
        </w:rPr>
      </w:pPr>
      <w:r>
        <w:rPr>
          <w:rFonts w:hint="eastAsia" w:ascii="宋体" w:hAnsi="宋体"/>
          <w:b/>
          <w:sz w:val="28"/>
        </w:rPr>
        <w:t>附件5</w:t>
      </w:r>
    </w:p>
    <w:p>
      <w:pPr>
        <w:spacing w:after="240" w:afterLines="100"/>
        <w:jc w:val="center"/>
        <w:rPr>
          <w:rFonts w:ascii="宋体" w:hAnsi="宋体" w:cs="仿宋_GB2312"/>
          <w:b/>
          <w:bCs/>
          <w:kern w:val="0"/>
          <w:sz w:val="24"/>
          <w:lang w:val="zh-CN"/>
        </w:rPr>
      </w:pPr>
      <w:r>
        <w:rPr>
          <w:rFonts w:hint="eastAsia" w:ascii="宋体" w:hAnsi="宋体" w:cs="仿宋_GB2312"/>
          <w:b/>
          <w:bCs/>
          <w:kern w:val="0"/>
          <w:sz w:val="24"/>
          <w:lang w:val="zh-CN"/>
        </w:rPr>
        <w:t>具有履行合同所必须的设备和专业技术能力的承诺函</w:t>
      </w:r>
    </w:p>
    <w:p>
      <w:pPr>
        <w:spacing w:after="240"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宋体"/>
          <w:sz w:val="24"/>
          <w:u w:val="single"/>
        </w:rPr>
        <w:t xml:space="preserve">                         </w:t>
      </w:r>
      <w:r>
        <w:rPr>
          <w:rFonts w:hint="eastAsia" w:ascii="宋体" w:hAnsi="宋体" w:cs="仿宋_GB2312"/>
          <w:bCs/>
          <w:kern w:val="0"/>
          <w:sz w:val="24"/>
          <w:lang w:val="zh-CN"/>
        </w:rPr>
        <w:t>（采购人）</w:t>
      </w:r>
    </w:p>
    <w:p>
      <w:pPr>
        <w:spacing w:line="360" w:lineRule="auto"/>
        <w:ind w:firstLine="424" w:firstLineChars="177"/>
        <w:rPr>
          <w:rFonts w:ascii="宋体" w:hAnsi="宋体"/>
          <w:sz w:val="24"/>
        </w:rPr>
      </w:pPr>
      <w:r>
        <w:rPr>
          <w:rFonts w:hint="eastAsia" w:ascii="宋体" w:hAnsi="宋体" w:cs="仿宋_GB2312"/>
          <w:bCs/>
          <w:kern w:val="0"/>
          <w:sz w:val="24"/>
          <w:lang w:val="zh-CN"/>
        </w:rPr>
        <w:t>在贵方组织的</w:t>
      </w:r>
      <w:r>
        <w:rPr>
          <w:rFonts w:hint="eastAsia" w:ascii="宋体" w:hAnsi="宋体" w:cs="宋体"/>
          <w:sz w:val="24"/>
          <w:u w:val="single"/>
        </w:rPr>
        <w:t xml:space="preserve">             </w:t>
      </w:r>
      <w:r>
        <w:rPr>
          <w:rFonts w:hint="eastAsia" w:ascii="宋体" w:hAnsi="宋体" w:cs="仿宋_GB2312"/>
          <w:bCs/>
          <w:kern w:val="0"/>
          <w:sz w:val="24"/>
          <w:lang w:val="zh-CN"/>
        </w:rPr>
        <w:t>（项目编号：</w:t>
      </w:r>
      <w:r>
        <w:rPr>
          <w:rFonts w:hint="eastAsia" w:ascii="宋体" w:hAnsi="宋体" w:cs="宋体"/>
          <w:sz w:val="24"/>
          <w:u w:val="single"/>
        </w:rPr>
        <w:t xml:space="preserve">             </w:t>
      </w:r>
      <w:r>
        <w:rPr>
          <w:rFonts w:hint="eastAsia" w:ascii="宋体" w:hAnsi="宋体" w:cs="仿宋_GB2312"/>
          <w:bCs/>
          <w:kern w:val="0"/>
          <w:sz w:val="24"/>
          <w:lang w:val="zh-CN"/>
        </w:rPr>
        <w:t>）公开招标，我方在完全理解本项目采购的技术要求、商务条款及其他内容后，决定参与该项目</w:t>
      </w:r>
      <w:r>
        <w:rPr>
          <w:rFonts w:hint="eastAsia" w:ascii="宋体" w:hAnsi="宋体"/>
          <w:sz w:val="24"/>
        </w:rPr>
        <w:t>的投标活动。并承诺，如中标，我方将提供足够的设备和专业技术能力保证本合同履行。</w:t>
      </w:r>
    </w:p>
    <w:p>
      <w:pPr>
        <w:spacing w:line="360" w:lineRule="auto"/>
        <w:ind w:firstLine="424" w:firstLineChars="177"/>
        <w:rPr>
          <w:rFonts w:ascii="宋体" w:hAnsi="宋体"/>
          <w:sz w:val="24"/>
        </w:rPr>
      </w:pPr>
      <w:r>
        <w:rPr>
          <w:rFonts w:hint="eastAsia" w:ascii="宋体" w:hAnsi="宋体"/>
          <w:sz w:val="24"/>
        </w:rPr>
        <w:t>我方对上述承诺的真实性负责。如有虚假，我方同意按我方合同违约处理，并依法承担相应法律责任。</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spacing w:line="360" w:lineRule="auto"/>
        <w:rPr>
          <w:rFonts w:ascii="宋体" w:hAnsi="宋体"/>
          <w:sz w:val="24"/>
        </w:rPr>
      </w:pPr>
    </w:p>
    <w:p>
      <w:pPr>
        <w:pStyle w:val="62"/>
        <w:shd w:val="clear" w:color="auto" w:fill="FFFFFF"/>
        <w:spacing w:before="0" w:beforeAutospacing="0" w:after="0" w:afterAutospacing="0" w:line="360" w:lineRule="auto"/>
        <w:ind w:firstLine="424" w:firstLineChars="177"/>
        <w:rPr>
          <w:b/>
          <w:bCs/>
          <w:spacing w:val="11"/>
        </w:rPr>
      </w:pPr>
      <w:r>
        <w:rPr>
          <w:rFonts w:hint="eastAsia"/>
        </w:rPr>
        <w:t>日        期：：</w:t>
      </w:r>
    </w:p>
    <w:p>
      <w:pPr>
        <w:widowControl/>
        <w:jc w:val="left"/>
        <w:rPr>
          <w:b/>
          <w:bCs/>
          <w:sz w:val="32"/>
          <w:szCs w:val="32"/>
          <w:lang w:val="zh-CN"/>
        </w:rPr>
      </w:pPr>
    </w:p>
    <w:p>
      <w:pPr>
        <w:pStyle w:val="27"/>
        <w:ind w:left="0" w:leftChars="0" w:firstLine="0" w:firstLineChars="0"/>
        <w:rPr>
          <w:rFonts w:hAnsi="宋体" w:eastAsia="宋体"/>
          <w:spacing w:val="40"/>
          <w:sz w:val="52"/>
          <w:szCs w:val="52"/>
        </w:rPr>
      </w:pPr>
    </w:p>
    <w:p>
      <w:pPr>
        <w:rPr>
          <w:rFonts w:ascii="宋体" w:hAnsi="宋体"/>
          <w:spacing w:val="40"/>
          <w:sz w:val="52"/>
          <w:szCs w:val="52"/>
        </w:rPr>
      </w:pPr>
    </w:p>
    <w:p>
      <w:pPr>
        <w:pStyle w:val="5"/>
        <w:rPr>
          <w:spacing w:val="40"/>
          <w:sz w:val="52"/>
          <w:szCs w:val="52"/>
        </w:rPr>
      </w:pPr>
    </w:p>
    <w:p>
      <w:pPr>
        <w:spacing w:line="360" w:lineRule="auto"/>
        <w:rPr>
          <w:rFonts w:ascii="宋体" w:hAnsi="宋体"/>
          <w:b/>
          <w:sz w:val="28"/>
        </w:rPr>
      </w:pPr>
    </w:p>
    <w:p>
      <w:pPr>
        <w:pStyle w:val="27"/>
        <w:ind w:firstLine="546"/>
        <w:rPr>
          <w:rFonts w:hAnsi="宋体"/>
          <w:b/>
          <w:sz w:val="28"/>
        </w:rPr>
      </w:pPr>
    </w:p>
    <w:p>
      <w:pPr>
        <w:pStyle w:val="27"/>
        <w:ind w:firstLine="546"/>
        <w:rPr>
          <w:rFonts w:hAnsi="宋体"/>
          <w:b/>
          <w:sz w:val="28"/>
        </w:rPr>
      </w:pPr>
    </w:p>
    <w:p>
      <w:pPr>
        <w:pStyle w:val="27"/>
        <w:ind w:firstLine="546"/>
        <w:rPr>
          <w:rFonts w:hAnsi="宋体"/>
          <w:b/>
          <w:sz w:val="28"/>
        </w:rPr>
      </w:pPr>
    </w:p>
    <w:p>
      <w:pPr>
        <w:pStyle w:val="27"/>
        <w:ind w:left="0" w:leftChars="0" w:firstLine="0" w:firstLineChars="0"/>
        <w:rPr>
          <w:rFonts w:hAnsi="宋体"/>
          <w:b/>
          <w:sz w:val="28"/>
        </w:rPr>
      </w:pPr>
    </w:p>
    <w:p>
      <w:pPr>
        <w:adjustRightInd w:val="0"/>
        <w:snapToGrid w:val="0"/>
        <w:spacing w:line="360" w:lineRule="auto"/>
        <w:ind w:right="480"/>
        <w:rPr>
          <w:rFonts w:ascii="宋体" w:hAnsi="宋体"/>
          <w:b/>
          <w:sz w:val="28"/>
        </w:rPr>
      </w:pPr>
      <w:r>
        <w:rPr>
          <w:rFonts w:hint="eastAsia" w:ascii="宋体" w:hAnsi="宋体"/>
          <w:b/>
          <w:sz w:val="28"/>
        </w:rPr>
        <w:t>附件6：</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u w:val="single"/>
          <w14:textFill>
            <w14:solidFill>
              <w14:schemeClr w14:val="tx1"/>
            </w14:solidFill>
          </w14:textFill>
        </w:rPr>
        <w:t>（单位名称）</w:t>
      </w:r>
      <w:r>
        <w:rPr>
          <w:rFonts w:hint="eastAsia" w:ascii="宋体" w:hAnsi="宋体" w:cs="宋体"/>
          <w:bCs/>
          <w:color w:val="000000" w:themeColor="text1"/>
          <w:sz w:val="24"/>
          <w14:textFill>
            <w14:solidFill>
              <w14:schemeClr w14:val="tx1"/>
            </w14:solidFill>
          </w14:textFill>
        </w:rPr>
        <w:t>的</w:t>
      </w:r>
      <w:r>
        <w:rPr>
          <w:rFonts w:hint="eastAsia" w:ascii="宋体" w:hAnsi="宋体" w:cs="宋体"/>
          <w:bCs/>
          <w:color w:val="000000" w:themeColor="text1"/>
          <w:sz w:val="24"/>
          <w:u w:val="single"/>
          <w14:textFill>
            <w14:solidFill>
              <w14:schemeClr w14:val="tx1"/>
            </w14:solidFill>
          </w14:textFill>
        </w:rPr>
        <w:t>（项目名称）</w:t>
      </w:r>
      <w:r>
        <w:rPr>
          <w:rFonts w:hint="eastAsia" w:ascii="宋体" w:hAnsi="宋体" w:cs="宋体"/>
          <w:bCs/>
          <w:color w:val="000000" w:themeColor="text1"/>
          <w:sz w:val="24"/>
          <w14:textFill>
            <w14:solidFill>
              <w14:schemeClr w14:val="tx1"/>
            </w14:solidFill>
          </w14:textFill>
        </w:rPr>
        <w:t>采购活动，工程的施工单位全部为符合政策要求的中小企业（或者：服务全部由符合政策要求的中小企业承接）。相关企业的具体情况如下：</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；承建（承接）企业为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 xml:space="preserve">，从业人员 </w:t>
      </w:r>
      <w:r>
        <w:rPr>
          <w:rFonts w:hAnsi="宋体"/>
          <w:sz w:val="24"/>
          <w:u w:val="single"/>
        </w:rPr>
        <w:tab/>
      </w:r>
      <w:r>
        <w:rPr>
          <w:rFonts w:hint="eastAsia" w:ascii="宋体" w:hAnsi="宋体" w:cs="宋体"/>
          <w:bCs/>
          <w:color w:val="000000" w:themeColor="text1"/>
          <w:sz w:val="24"/>
          <w14:textFill>
            <w14:solidFill>
              <w14:schemeClr w14:val="tx1"/>
            </w14:solidFill>
          </w14:textFill>
        </w:rPr>
        <w:t>人，营业收入为</w:t>
      </w:r>
      <w:r>
        <w:rPr>
          <w:rFonts w:hAnsi="宋体"/>
          <w:sz w:val="24"/>
          <w:u w:val="single"/>
        </w:rPr>
        <w:tab/>
      </w:r>
      <w:r>
        <w:rPr>
          <w:rFonts w:hint="eastAsia" w:ascii="宋体" w:hAnsi="宋体" w:cs="宋体"/>
          <w:bCs/>
          <w:color w:val="000000" w:themeColor="text1"/>
          <w:sz w:val="24"/>
          <w14:textFill>
            <w14:solidFill>
              <w14:schemeClr w14:val="tx1"/>
            </w14:solidFill>
          </w14:textFill>
        </w:rPr>
        <w:t>万元，资产总额为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w:t>
      </w:r>
      <w:r>
        <w:rPr>
          <w:rStyle w:val="36"/>
          <w:rFonts w:hint="eastAsia" w:ascii="宋体" w:hAnsi="宋体" w:cs="宋体"/>
          <w:bCs/>
          <w:color w:val="000000" w:themeColor="text1"/>
          <w:sz w:val="24"/>
          <w14:textFill>
            <w14:solidFill>
              <w14:schemeClr w14:val="tx1"/>
            </w14:solidFill>
          </w14:textFill>
        </w:rPr>
        <w:footnoteReference w:id="0"/>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；承建（承接）企业为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，从业人员</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人，营业收入为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万元，资产总额为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本企业对上述声明内容的真实性负责。如有虚假，将依法承担相应责任。 </w:t>
      </w:r>
    </w:p>
    <w:p>
      <w:pPr>
        <w:spacing w:line="360" w:lineRule="auto"/>
        <w:rPr>
          <w:rFonts w:ascii="宋体" w:hAnsi="宋体" w:cs="宋体"/>
          <w:bCs/>
          <w:color w:val="000000" w:themeColor="text1"/>
          <w:sz w:val="24"/>
          <w14:textFill>
            <w14:solidFill>
              <w14:schemeClr w14:val="tx1"/>
            </w14:solidFill>
          </w14:textFill>
        </w:rPr>
      </w:pPr>
    </w:p>
    <w:p>
      <w:pPr>
        <w:spacing w:line="360" w:lineRule="auto"/>
        <w:ind w:firstLine="4800" w:firstLineChars="20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企业名称（盖章）：</w:t>
      </w:r>
    </w:p>
    <w:p>
      <w:pPr>
        <w:spacing w:line="360" w:lineRule="auto"/>
        <w:ind w:firstLine="4800" w:firstLineChars="20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w:t>
      </w:r>
    </w:p>
    <w:p>
      <w:pPr>
        <w:spacing w:line="360" w:lineRule="auto"/>
        <w:rPr>
          <w:rFonts w:ascii="宋体" w:hAnsi="宋体" w:cs="宋体"/>
          <w:bCs/>
          <w:color w:val="000000" w:themeColor="text1"/>
          <w:sz w:val="24"/>
          <w14:textFill>
            <w14:solidFill>
              <w14:schemeClr w14:val="tx1"/>
            </w14:solidFill>
          </w14:textFill>
        </w:rPr>
      </w:pPr>
    </w:p>
    <w:p>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pPr>
        <w:pStyle w:val="14"/>
      </w:pPr>
    </w:p>
    <w:p>
      <w:pPr>
        <w:adjustRightInd w:val="0"/>
        <w:snapToGrid w:val="0"/>
        <w:spacing w:line="360" w:lineRule="auto"/>
        <w:ind w:right="480"/>
        <w:rPr>
          <w:rFonts w:ascii="宋体" w:hAnsi="宋体"/>
          <w:b/>
          <w:sz w:val="28"/>
        </w:rPr>
      </w:pPr>
      <w:r>
        <w:rPr>
          <w:rFonts w:hint="eastAsia" w:ascii="宋体" w:hAnsi="宋体"/>
          <w:b/>
          <w:sz w:val="28"/>
        </w:rPr>
        <w:t>附件7：</w:t>
      </w:r>
    </w:p>
    <w:p>
      <w:pPr>
        <w:adjustRightInd w:val="0"/>
        <w:snapToGrid w:val="0"/>
        <w:spacing w:line="360" w:lineRule="auto"/>
        <w:ind w:right="480"/>
        <w:jc w:val="center"/>
        <w:rPr>
          <w:rFonts w:ascii="宋体" w:hAnsi="宋体"/>
          <w:b/>
          <w:sz w:val="28"/>
        </w:rPr>
      </w:pPr>
      <w:r>
        <w:rPr>
          <w:rFonts w:hint="eastAsia" w:ascii="宋体" w:hAnsi="宋体"/>
          <w:b/>
          <w:sz w:val="28"/>
        </w:rPr>
        <w:t>针对采购政策要求提供的说明</w:t>
      </w:r>
    </w:p>
    <w:p>
      <w:pPr>
        <w:spacing w:after="240" w:afterLines="100" w:line="360" w:lineRule="auto"/>
        <w:jc w:val="left"/>
        <w:rPr>
          <w:rFonts w:ascii="宋体" w:hAnsi="宋体" w:cs="宋体"/>
          <w:sz w:val="24"/>
        </w:rPr>
      </w:pPr>
      <w:r>
        <w:rPr>
          <w:rFonts w:hint="eastAsia" w:ascii="宋体" w:hAnsi="宋体" w:cs="宋体"/>
          <w:sz w:val="24"/>
        </w:rPr>
        <w:t>（采购人、招标人）：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我公司作为本次采购项目的供应商，参加（项目名称）采购活动，根据采购文件要求，现郑重说明：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我公司参加本次投标满足招标文件</w:t>
      </w:r>
      <w:r>
        <w:rPr>
          <w:rFonts w:hint="eastAsia" w:ascii="宋体" w:hAnsi="宋体" w:cs="宋体"/>
          <w:color w:val="000000" w:themeColor="text1"/>
          <w:sz w:val="24"/>
          <w14:textFill>
            <w14:solidFill>
              <w14:schemeClr w14:val="tx1"/>
            </w14:solidFill>
          </w14:textFill>
        </w:rPr>
        <w:t>落实政府采购政策需满足的资格要求：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pPr>
      <w:r>
        <w:rPr>
          <w:rFonts w:hint="eastAsia" w:ascii="宋体" w:hAnsi="宋体"/>
          <w:color w:val="000000"/>
          <w:sz w:val="24"/>
        </w:rPr>
        <w:t>1、根据《政府采购促进中小企业发展管理办法》财库〔2020〕46号文件的规定，本项目为专门面向中小企业采购的项目，供应商应为中小企业（监狱企业及残疾人福利性单位视同小型、微型企业） </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sz w:val="24"/>
        </w:rPr>
      </w:pPr>
      <w:r>
        <w:rPr>
          <w:rFonts w:hint="eastAsia" w:ascii="宋体" w:hAnsi="宋体"/>
          <w:color w:val="000000"/>
          <w:sz w:val="24"/>
        </w:rPr>
        <w:t>2、法律、行政法规规定的其他条件：单位负责人为同一个人或者存在直接控股、管理关系的不同供应商，不得同时参加本项目投标；为本项目提供整体设计、咨询等服务的供应商，不得参与本项目投标。</w:t>
      </w:r>
    </w:p>
    <w:p>
      <w:pPr>
        <w:pStyle w:val="37"/>
        <w:ind w:firstLine="480" w:firstLineChars="200"/>
        <w:rPr>
          <w:rFonts w:ascii="宋体" w:hAnsi="宋体"/>
          <w:kern w:val="2"/>
        </w:rPr>
      </w:pPr>
      <w:r>
        <w:rPr>
          <w:rFonts w:hint="eastAsia" w:ascii="宋体" w:hAnsi="宋体"/>
          <w:kern w:val="2"/>
        </w:rPr>
        <w:t>3、公益一类事业单位不属于政府购买服务的承接主体，不得参与承接政府购买服务。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如有虚假，招标人可取消我方任何资格（投标/中标/签订合同），我方对此无任何异议。</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特此申</w:t>
      </w:r>
      <w:r>
        <w:rPr>
          <w:rFonts w:hint="eastAsia" w:ascii="宋体" w:hAnsi="宋体" w:cs="宋体"/>
          <w:sz w:val="24"/>
          <w:lang w:val="en-US" w:eastAsia="zh-CN"/>
        </w:rPr>
        <w:t>明</w:t>
      </w:r>
      <w:r>
        <w:rPr>
          <w:rFonts w:hint="eastAsia" w:ascii="宋体" w:hAnsi="宋体" w:cs="宋体"/>
          <w:sz w:val="24"/>
        </w:rPr>
        <w:t>！</w:t>
      </w:r>
    </w:p>
    <w:p>
      <w:pPr>
        <w:pStyle w:val="27"/>
        <w:ind w:firstLine="464"/>
        <w:rPr>
          <w:rFonts w:hAnsi="宋体" w:cs="宋体"/>
          <w:sz w:val="24"/>
        </w:rPr>
      </w:pPr>
    </w:p>
    <w:p>
      <w:pPr>
        <w:pStyle w:val="27"/>
        <w:ind w:firstLine="464"/>
        <w:rPr>
          <w:rFonts w:hAnsi="宋体" w:cs="宋体"/>
          <w:sz w:val="24"/>
        </w:rPr>
      </w:pPr>
    </w:p>
    <w:p>
      <w:pPr>
        <w:adjustRightInd w:val="0"/>
        <w:snapToGrid w:val="0"/>
        <w:spacing w:line="360" w:lineRule="auto"/>
        <w:ind w:firstLine="480" w:firstLineChars="200"/>
        <w:rPr>
          <w:rFonts w:ascii="宋体" w:hAnsi="宋体" w:cs="宋体"/>
          <w:sz w:val="24"/>
        </w:rPr>
      </w:pPr>
    </w:p>
    <w:p>
      <w:pPr>
        <w:pStyle w:val="27"/>
        <w:ind w:left="0" w:leftChars="0" w:firstLine="464"/>
        <w:rPr>
          <w:rFonts w:hAnsi="宋体" w:cs="宋体"/>
          <w:sz w:val="24"/>
        </w:rPr>
      </w:pPr>
    </w:p>
    <w:p>
      <w:pPr>
        <w:pStyle w:val="27"/>
        <w:ind w:firstLine="464"/>
        <w:rPr>
          <w:rFonts w:hAnsi="宋体" w:cs="宋体"/>
          <w:sz w:val="24"/>
        </w:rPr>
      </w:pPr>
    </w:p>
    <w:p>
      <w:pPr>
        <w:spacing w:line="360" w:lineRule="auto"/>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adjustRightInd w:val="0"/>
        <w:snapToGrid w:val="0"/>
        <w:spacing w:line="360" w:lineRule="auto"/>
        <w:ind w:firstLine="4320" w:firstLineChars="18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日期：  年  月  </w:t>
      </w:r>
    </w:p>
    <w:p>
      <w:pPr>
        <w:spacing w:line="360" w:lineRule="auto"/>
        <w:rPr>
          <w:rFonts w:ascii="宋体" w:hAnsi="宋体"/>
          <w:b/>
          <w:sz w:val="28"/>
        </w:rPr>
      </w:pPr>
      <w:r>
        <w:rPr>
          <w:rFonts w:hint="eastAsia" w:ascii="宋体" w:hAnsi="宋体"/>
          <w:b/>
          <w:sz w:val="28"/>
        </w:rPr>
        <w:t>附件8：</w:t>
      </w:r>
    </w:p>
    <w:p>
      <w:pPr>
        <w:adjustRightInd w:val="0"/>
        <w:snapToGrid w:val="0"/>
        <w:spacing w:line="360" w:lineRule="auto"/>
        <w:ind w:right="480"/>
        <w:jc w:val="center"/>
        <w:rPr>
          <w:rFonts w:ascii="宋体" w:hAnsi="宋体"/>
          <w:b/>
          <w:sz w:val="28"/>
        </w:rPr>
      </w:pPr>
    </w:p>
    <w:p>
      <w:pPr>
        <w:adjustRightInd w:val="0"/>
        <w:snapToGrid w:val="0"/>
        <w:spacing w:line="360" w:lineRule="auto"/>
        <w:ind w:right="480"/>
        <w:jc w:val="center"/>
        <w:rPr>
          <w:rFonts w:ascii="宋体" w:hAnsi="宋体"/>
          <w:b/>
          <w:sz w:val="28"/>
        </w:rPr>
      </w:pPr>
      <w:r>
        <w:rPr>
          <w:rFonts w:hint="eastAsia" w:ascii="宋体" w:hAnsi="宋体"/>
          <w:b/>
          <w:sz w:val="28"/>
        </w:rPr>
        <w:t>非联合体投标申明</w:t>
      </w:r>
    </w:p>
    <w:p>
      <w:pPr>
        <w:adjustRightInd w:val="0"/>
        <w:snapToGrid w:val="0"/>
        <w:rPr>
          <w:rFonts w:ascii="宋体" w:hAnsi="宋体" w:cs="宋体"/>
        </w:rPr>
      </w:pPr>
    </w:p>
    <w:p>
      <w:pPr>
        <w:adjustRightInd w:val="0"/>
        <w:snapToGrid w:val="0"/>
        <w:spacing w:line="360" w:lineRule="auto"/>
        <w:rPr>
          <w:rFonts w:ascii="宋体" w:hAnsi="宋体" w:cs="宋体"/>
          <w:sz w:val="24"/>
          <w:u w:val="single"/>
        </w:rPr>
      </w:pPr>
    </w:p>
    <w:p>
      <w:pPr>
        <w:spacing w:after="240" w:afterLines="100" w:line="360" w:lineRule="auto"/>
        <w:jc w:val="left"/>
        <w:rPr>
          <w:rFonts w:ascii="宋体" w:hAnsi="宋体" w:cs="宋体"/>
          <w:sz w:val="24"/>
        </w:rPr>
      </w:pPr>
      <w:r>
        <w:rPr>
          <w:rFonts w:hint="eastAsia" w:ascii="宋体" w:hAnsi="宋体" w:cs="宋体"/>
          <w:sz w:val="24"/>
        </w:rPr>
        <w:t>（采购人、招标人）：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我公司作为本次采购项目的供应商，参加（项目名称）采购活动，根据采购文件要求，现郑重申请：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我公司参加本次投标为非联合体，如有虚假，招标人可取消我方任何资格（投标/中标/签订合同），我方对此无任何异议。</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特此申</w:t>
      </w:r>
      <w:r>
        <w:rPr>
          <w:rFonts w:hint="eastAsia" w:ascii="宋体" w:hAnsi="宋体" w:cs="宋体"/>
          <w:sz w:val="24"/>
          <w:lang w:val="en-US" w:eastAsia="zh-CN"/>
        </w:rPr>
        <w:t>明</w:t>
      </w:r>
      <w:r>
        <w:rPr>
          <w:rFonts w:hint="eastAsia" w:ascii="宋体" w:hAnsi="宋体" w:cs="宋体"/>
          <w:sz w:val="24"/>
        </w:rPr>
        <w:t>！</w:t>
      </w:r>
    </w:p>
    <w:p>
      <w:pPr>
        <w:pStyle w:val="27"/>
        <w:ind w:firstLine="464"/>
        <w:rPr>
          <w:rFonts w:hAnsi="宋体" w:cs="宋体"/>
          <w:sz w:val="24"/>
        </w:rPr>
      </w:pPr>
    </w:p>
    <w:p>
      <w:pPr>
        <w:pStyle w:val="27"/>
        <w:ind w:firstLine="464"/>
        <w:rPr>
          <w:rFonts w:hAnsi="宋体" w:cs="宋体"/>
          <w:sz w:val="24"/>
        </w:rPr>
      </w:pPr>
    </w:p>
    <w:p>
      <w:pPr>
        <w:adjustRightInd w:val="0"/>
        <w:snapToGrid w:val="0"/>
        <w:spacing w:line="360" w:lineRule="auto"/>
        <w:ind w:firstLine="480" w:firstLineChars="200"/>
        <w:rPr>
          <w:rFonts w:ascii="宋体" w:hAnsi="宋体" w:cs="宋体"/>
          <w:sz w:val="24"/>
        </w:rPr>
      </w:pPr>
    </w:p>
    <w:p>
      <w:pPr>
        <w:pStyle w:val="27"/>
        <w:ind w:left="0" w:leftChars="0" w:firstLine="464"/>
        <w:rPr>
          <w:rFonts w:hAnsi="宋体" w:cs="宋体"/>
          <w:sz w:val="24"/>
        </w:rPr>
      </w:pPr>
    </w:p>
    <w:p>
      <w:pPr>
        <w:pStyle w:val="27"/>
        <w:ind w:firstLine="464"/>
        <w:rPr>
          <w:rFonts w:hAnsi="宋体" w:cs="宋体"/>
          <w:sz w:val="24"/>
        </w:rPr>
      </w:pPr>
    </w:p>
    <w:p>
      <w:pPr>
        <w:spacing w:line="360" w:lineRule="auto"/>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pPr>
        <w:adjustRightInd w:val="0"/>
        <w:snapToGrid w:val="0"/>
        <w:spacing w:line="360" w:lineRule="auto"/>
        <w:ind w:firstLine="4320" w:firstLineChars="1800"/>
        <w:rPr>
          <w:rFonts w:ascii="宋体" w:hAnsi="宋体" w:cs="宋体"/>
          <w:sz w:val="24"/>
        </w:rPr>
      </w:pPr>
    </w:p>
    <w:p>
      <w:pPr>
        <w:adjustRightInd w:val="0"/>
        <w:snapToGrid w:val="0"/>
        <w:spacing w:line="360" w:lineRule="auto"/>
        <w:sectPr>
          <w:footerReference r:id="rId6" w:type="default"/>
          <w:pgSz w:w="11906" w:h="16838"/>
          <w:pgMar w:top="1474" w:right="1448" w:bottom="1474" w:left="1418" w:header="851" w:footer="851" w:gutter="0"/>
          <w:cols w:space="720" w:num="1"/>
          <w:docGrid w:linePitch="312" w:charSpace="0"/>
        </w:sectPr>
      </w:pPr>
      <w:r>
        <w:rPr>
          <w:rFonts w:hint="eastAsia" w:ascii="宋体" w:hAnsi="宋体" w:cs="宋体"/>
          <w:sz w:val="24"/>
        </w:rPr>
        <w:t>日期：  年  月</w:t>
      </w:r>
    </w:p>
    <w:p/>
    <w:p>
      <w:pPr>
        <w:spacing w:line="360" w:lineRule="auto"/>
        <w:ind w:right="-110"/>
        <w:jc w:val="center"/>
        <w:rPr>
          <w:rFonts w:asci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cs="宋体"/>
          <w:sz w:val="84"/>
          <w:szCs w:val="84"/>
          <w:lang w:val="zh-CN"/>
        </w:rPr>
      </w:pPr>
    </w:p>
    <w:p>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hAnsi="宋体" w:cs="宋体"/>
          <w:color w:val="000000"/>
          <w:sz w:val="28"/>
          <w:szCs w:val="28"/>
          <w:lang w:val="zh-CN"/>
        </w:rPr>
        <w:t>（</w:t>
      </w:r>
      <w:r>
        <w:rPr>
          <w:rFonts w:hint="eastAsia" w:ascii="宋体" w:hAnsi="宋体"/>
          <w:bCs/>
          <w:color w:val="000000"/>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sz w:val="36"/>
          <w:szCs w:val="36"/>
        </w:rPr>
      </w:pPr>
      <w:r>
        <w:rPr>
          <w:rFonts w:hint="eastAsia" w:ascii="宋体" w:hAnsi="宋体"/>
          <w:sz w:val="36"/>
          <w:szCs w:val="36"/>
        </w:rPr>
        <w:t>投标人全称（公章）：</w:t>
      </w:r>
    </w:p>
    <w:p>
      <w:pPr>
        <w:spacing w:line="360" w:lineRule="auto"/>
        <w:ind w:right="532" w:firstLine="720" w:firstLineChars="200"/>
        <w:rPr>
          <w:rFonts w:ascii="宋体"/>
          <w:sz w:val="36"/>
          <w:szCs w:val="36"/>
        </w:rPr>
      </w:pPr>
      <w:r>
        <w:rPr>
          <w:rFonts w:hint="eastAsia" w:ascii="宋体" w:hAnsi="宋体"/>
          <w:sz w:val="36"/>
          <w:szCs w:val="36"/>
        </w:rPr>
        <w:t>地址：</w:t>
      </w:r>
    </w:p>
    <w:p>
      <w:pPr>
        <w:spacing w:line="360" w:lineRule="auto"/>
        <w:ind w:right="532" w:firstLine="720" w:firstLineChars="200"/>
        <w:rPr>
          <w:rFonts w:ascii="宋体"/>
          <w:sz w:val="36"/>
          <w:szCs w:val="36"/>
        </w:rPr>
      </w:pPr>
      <w:r>
        <w:rPr>
          <w:rFonts w:hint="eastAsia" w:ascii="宋体" w:hAnsi="宋体"/>
          <w:sz w:val="36"/>
          <w:szCs w:val="36"/>
        </w:rPr>
        <w:t>时间：</w:t>
      </w:r>
    </w:p>
    <w:p>
      <w:pPr>
        <w:spacing w:line="360" w:lineRule="auto"/>
        <w:ind w:right="532" w:firstLine="720" w:firstLineChars="200"/>
        <w:rPr>
          <w:rFonts w:ascii="宋体"/>
          <w:sz w:val="36"/>
          <w:szCs w:val="36"/>
        </w:rPr>
      </w:pPr>
    </w:p>
    <w:p>
      <w:pPr>
        <w:snapToGrid w:val="0"/>
        <w:spacing w:before="50" w:after="50" w:line="360" w:lineRule="auto"/>
        <w:rPr>
          <w:rFonts w:ascii="仿宋_GB2312" w:hAnsi="宋体" w:eastAsia="仿宋_GB2312"/>
          <w:b/>
          <w:sz w:val="36"/>
          <w:szCs w:val="36"/>
        </w:rPr>
      </w:pPr>
    </w:p>
    <w:p>
      <w:pPr>
        <w:pStyle w:val="25"/>
        <w:rPr>
          <w:rFonts w:ascii="仿宋_GB2312" w:hAnsi="宋体" w:eastAsia="仿宋_GB2312"/>
          <w:sz w:val="36"/>
          <w:szCs w:val="36"/>
        </w:rPr>
      </w:pPr>
    </w:p>
    <w:p/>
    <w:p/>
    <w:p>
      <w:pPr>
        <w:snapToGrid w:val="0"/>
        <w:spacing w:before="50" w:after="50" w:line="360" w:lineRule="auto"/>
        <w:jc w:val="center"/>
        <w:rPr>
          <w:rFonts w:ascii="宋体"/>
          <w:b/>
          <w:bCs/>
          <w:color w:val="000000"/>
          <w:sz w:val="32"/>
          <w:szCs w:val="32"/>
        </w:rPr>
      </w:pPr>
      <w:r>
        <w:rPr>
          <w:rFonts w:hint="eastAsia" w:ascii="宋体" w:hAnsi="宋体"/>
          <w:b/>
          <w:bCs/>
          <w:color w:val="000000"/>
          <w:sz w:val="32"/>
          <w:szCs w:val="32"/>
          <w:lang w:val="zh-CN"/>
        </w:rPr>
        <w:t>商务与技术文件</w:t>
      </w:r>
      <w:r>
        <w:rPr>
          <w:rFonts w:hint="eastAsia" w:ascii="宋体" w:hAnsi="宋体"/>
          <w:b/>
          <w:bCs/>
          <w:color w:val="000000"/>
          <w:sz w:val="32"/>
          <w:szCs w:val="32"/>
        </w:rPr>
        <w:t>目录</w:t>
      </w:r>
    </w:p>
    <w:p>
      <w:pPr>
        <w:snapToGrid w:val="0"/>
        <w:spacing w:line="360" w:lineRule="auto"/>
        <w:rPr>
          <w:rFonts w:ascii="宋体"/>
          <w:sz w:val="24"/>
        </w:rPr>
      </w:pP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投标人情况介绍</w:t>
      </w:r>
      <w:r>
        <w:rPr>
          <w:rFonts w:hint="eastAsia" w:ascii="宋体" w:hAnsi="宋体"/>
          <w:color w:val="000000" w:themeColor="text1"/>
          <w:sz w:val="28"/>
          <w:szCs w:val="28"/>
          <w14:textFill>
            <w14:solidFill>
              <w14:schemeClr w14:val="tx1"/>
            </w14:solidFill>
          </w14:textFill>
        </w:rPr>
        <w:t>（附件9）</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投标人类似业绩情况</w:t>
      </w:r>
      <w:r>
        <w:rPr>
          <w:rFonts w:hint="eastAsia" w:ascii="宋体" w:hAnsi="宋体"/>
          <w:color w:val="000000" w:themeColor="text1"/>
          <w:sz w:val="28"/>
          <w:szCs w:val="28"/>
          <w14:textFill>
            <w14:solidFill>
              <w14:schemeClr w14:val="tx1"/>
            </w14:solidFill>
          </w14:textFill>
        </w:rPr>
        <w:t>（附件14）</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投标人企业实力情况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项目实施人员安排情况</w:t>
      </w:r>
      <w:r>
        <w:rPr>
          <w:rFonts w:hint="eastAsia" w:ascii="宋体" w:hAnsi="宋体"/>
          <w:color w:val="000000" w:themeColor="text1"/>
          <w:sz w:val="28"/>
          <w:szCs w:val="28"/>
          <w14:textFill>
            <w14:solidFill>
              <w14:schemeClr w14:val="tx1"/>
            </w14:solidFill>
          </w14:textFill>
        </w:rPr>
        <w:t>（附件10、11、13）</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项目理解情况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项目重难点分析及解决方案情况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项目具体工作内容及实施计划安排情况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投标人服务能力情况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投标人保密措施情况</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投标人售后服务情况</w:t>
      </w:r>
      <w:r>
        <w:rPr>
          <w:rFonts w:hint="eastAsia" w:ascii="宋体" w:hAnsi="宋体"/>
          <w:color w:val="000000" w:themeColor="text1"/>
          <w:sz w:val="28"/>
          <w:szCs w:val="28"/>
          <w14:textFill>
            <w14:solidFill>
              <w14:schemeClr w14:val="tx1"/>
            </w14:solidFill>
          </w14:textFill>
        </w:rPr>
        <w:t>（附件16）</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项目的响应情况</w:t>
      </w:r>
      <w:r>
        <w:rPr>
          <w:rFonts w:hint="eastAsia" w:ascii="宋体" w:hAnsi="宋体"/>
          <w:color w:val="000000" w:themeColor="text1"/>
          <w:sz w:val="28"/>
          <w:szCs w:val="28"/>
          <w14:textFill>
            <w14:solidFill>
              <w14:schemeClr w14:val="tx1"/>
            </w14:solidFill>
          </w14:textFill>
        </w:rPr>
        <w:t>（附件12、15）</w:t>
      </w:r>
    </w:p>
    <w:p>
      <w:pPr>
        <w:pStyle w:val="11"/>
        <w:widowControl/>
        <w:numPr>
          <w:ilvl w:val="0"/>
          <w:numId w:val="17"/>
        </w:numPr>
        <w:adjustRightInd w:val="0"/>
        <w:snapToGrid w:val="0"/>
        <w:spacing w:line="360" w:lineRule="auto"/>
        <w:ind w:firstLine="480"/>
        <w:rPr>
          <w:rFonts w:ascii="宋体" w:hAnsi="宋体"/>
          <w:color w:val="000000"/>
          <w:kern w:val="0"/>
          <w:sz w:val="24"/>
        </w:rPr>
      </w:pPr>
      <w:r>
        <w:rPr>
          <w:rFonts w:hint="eastAsia" w:ascii="宋体" w:hAnsi="宋体"/>
          <w:color w:val="000000"/>
          <w:kern w:val="0"/>
          <w:sz w:val="24"/>
        </w:rPr>
        <w:t>投标人需要说明的其他内容。（如有）</w:t>
      </w:r>
    </w:p>
    <w:p>
      <w:pPr>
        <w:snapToGrid w:val="0"/>
        <w:spacing w:line="360" w:lineRule="auto"/>
        <w:rPr>
          <w:rFonts w:ascii="宋体" w:hAnsi="宋体" w:cs="宋体"/>
          <w:color w:val="000000" w:themeColor="text1"/>
          <w:sz w:val="28"/>
          <w:szCs w:val="28"/>
          <w14:textFill>
            <w14:solidFill>
              <w14:schemeClr w14:val="tx1"/>
            </w14:solidFill>
          </w14:textFill>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p>
    <w:p>
      <w:pPr>
        <w:pStyle w:val="62"/>
        <w:shd w:val="clear" w:color="auto" w:fill="FFFFFF"/>
        <w:spacing w:before="0" w:beforeAutospacing="0" w:after="0" w:afterAutospacing="0" w:line="360" w:lineRule="auto"/>
        <w:rPr>
          <w:b/>
          <w:sz w:val="28"/>
        </w:rPr>
      </w:pPr>
      <w:r>
        <w:rPr>
          <w:rFonts w:hint="eastAsia"/>
          <w:b/>
          <w:sz w:val="28"/>
        </w:rPr>
        <w:t>附件9</w:t>
      </w:r>
    </w:p>
    <w:p>
      <w:pPr>
        <w:pStyle w:val="62"/>
        <w:shd w:val="clear" w:color="auto" w:fill="FFFFFF"/>
        <w:spacing w:before="0" w:beforeAutospacing="0" w:after="0" w:afterAutospacing="0" w:line="360" w:lineRule="auto"/>
        <w:jc w:val="center"/>
        <w:rPr>
          <w:b/>
          <w:bCs/>
          <w:color w:val="000000"/>
          <w:spacing w:val="21"/>
          <w:sz w:val="32"/>
          <w:szCs w:val="32"/>
        </w:rPr>
      </w:pPr>
      <w:r>
        <w:rPr>
          <w:rFonts w:hint="eastAsia"/>
          <w:b/>
          <w:sz w:val="32"/>
          <w:szCs w:val="32"/>
        </w:rPr>
        <w:t>投标</w:t>
      </w:r>
      <w:r>
        <w:rPr>
          <w:rFonts w:hint="eastAsia"/>
          <w:b/>
          <w:bCs/>
          <w:spacing w:val="21"/>
          <w:sz w:val="32"/>
          <w:szCs w:val="32"/>
        </w:rPr>
        <w:t>人基本</w:t>
      </w:r>
      <w:r>
        <w:rPr>
          <w:rFonts w:hint="eastAsia"/>
          <w:b/>
          <w:bCs/>
          <w:color w:val="000000"/>
          <w:spacing w:val="21"/>
          <w:sz w:val="32"/>
          <w:szCs w:val="32"/>
        </w:rPr>
        <w:t>情况表</w:t>
      </w:r>
    </w:p>
    <w:p>
      <w:pPr>
        <w:pStyle w:val="62"/>
        <w:shd w:val="clear" w:color="auto" w:fill="FFFFFF"/>
        <w:spacing w:before="0" w:beforeAutospacing="0" w:after="0" w:afterAutospacing="0" w:line="360" w:lineRule="auto"/>
        <w:jc w:val="center"/>
        <w:rPr>
          <w:rFonts w:eastAsia="微软雅黑"/>
          <w:color w:val="000000"/>
          <w:sz w:val="36"/>
          <w:szCs w:val="36"/>
        </w:rPr>
      </w:pP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62"/>
              <w:shd w:val="clear" w:color="auto" w:fill="FFFFFF"/>
              <w:spacing w:line="360" w:lineRule="auto"/>
              <w:rPr>
                <w:bCs/>
                <w:color w:val="000000"/>
              </w:rPr>
            </w:pPr>
            <w:r>
              <w:rPr>
                <w:rFonts w:hint="eastAsia"/>
                <w:bCs/>
                <w:color w:val="000000"/>
                <w:spacing w:val="27"/>
              </w:rPr>
              <w:t>企业名称</w:t>
            </w:r>
          </w:p>
        </w:tc>
        <w:tc>
          <w:tcPr>
            <w:tcW w:w="3979" w:type="dxa"/>
            <w:gridSpan w:val="6"/>
          </w:tcPr>
          <w:p>
            <w:pPr>
              <w:pStyle w:val="62"/>
              <w:shd w:val="clear" w:color="auto" w:fill="FFFFFF"/>
              <w:spacing w:line="360" w:lineRule="auto"/>
              <w:rPr>
                <w:bCs/>
                <w:color w:val="000000"/>
              </w:rPr>
            </w:pPr>
          </w:p>
        </w:tc>
        <w:tc>
          <w:tcPr>
            <w:tcW w:w="2001" w:type="dxa"/>
            <w:gridSpan w:val="3"/>
          </w:tcPr>
          <w:p>
            <w:pPr>
              <w:pStyle w:val="62"/>
              <w:shd w:val="clear" w:color="auto" w:fill="FFFFFF"/>
              <w:spacing w:line="360" w:lineRule="auto"/>
              <w:rPr>
                <w:bCs/>
                <w:color w:val="000000"/>
              </w:rPr>
            </w:pPr>
            <w:r>
              <w:rPr>
                <w:rFonts w:hint="eastAsia"/>
                <w:bCs/>
                <w:color w:val="000000"/>
                <w:spacing w:val="16"/>
              </w:rPr>
              <w:t>法人代表</w:t>
            </w:r>
          </w:p>
        </w:tc>
        <w:tc>
          <w:tcPr>
            <w:tcW w:w="2151" w:type="dxa"/>
            <w:gridSpan w:val="2"/>
          </w:tcPr>
          <w:p>
            <w:pPr>
              <w:pStyle w:val="62"/>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62"/>
              <w:shd w:val="clear" w:color="auto" w:fill="FFFFFF"/>
              <w:spacing w:line="360" w:lineRule="auto"/>
              <w:rPr>
                <w:bCs/>
                <w:color w:val="000000"/>
                <w:spacing w:val="16"/>
              </w:rPr>
            </w:pPr>
            <w:r>
              <w:rPr>
                <w:rFonts w:hint="eastAsia"/>
                <w:bCs/>
                <w:color w:val="000000"/>
                <w:spacing w:val="27"/>
              </w:rPr>
              <w:t>地址</w:t>
            </w:r>
          </w:p>
        </w:tc>
        <w:tc>
          <w:tcPr>
            <w:tcW w:w="3979" w:type="dxa"/>
            <w:gridSpan w:val="6"/>
          </w:tcPr>
          <w:p>
            <w:pPr>
              <w:pStyle w:val="62"/>
              <w:shd w:val="clear" w:color="auto" w:fill="FFFFFF"/>
              <w:spacing w:line="360" w:lineRule="auto"/>
              <w:rPr>
                <w:bCs/>
                <w:color w:val="000000"/>
                <w:spacing w:val="16"/>
              </w:rPr>
            </w:pPr>
          </w:p>
        </w:tc>
        <w:tc>
          <w:tcPr>
            <w:tcW w:w="2001" w:type="dxa"/>
            <w:gridSpan w:val="3"/>
          </w:tcPr>
          <w:p>
            <w:pPr>
              <w:pStyle w:val="62"/>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pPr>
              <w:pStyle w:val="6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Pr>
          <w:p>
            <w:pPr>
              <w:pStyle w:val="62"/>
              <w:shd w:val="clear" w:color="auto" w:fill="FFFFFF"/>
              <w:spacing w:line="360" w:lineRule="auto"/>
              <w:rPr>
                <w:bCs/>
                <w:color w:val="000000"/>
                <w:spacing w:val="16"/>
              </w:rPr>
            </w:pPr>
            <w:r>
              <w:rPr>
                <w:rFonts w:hint="eastAsia"/>
                <w:bCs/>
                <w:color w:val="000000"/>
                <w:spacing w:val="27"/>
              </w:rPr>
              <w:t>股东姓名</w:t>
            </w:r>
          </w:p>
        </w:tc>
        <w:tc>
          <w:tcPr>
            <w:tcW w:w="701" w:type="dxa"/>
          </w:tcPr>
          <w:p>
            <w:pPr>
              <w:pStyle w:val="62"/>
              <w:shd w:val="clear" w:color="auto" w:fill="FFFFFF"/>
              <w:spacing w:before="0" w:beforeAutospacing="0" w:after="0" w:afterAutospacing="0" w:line="360" w:lineRule="auto"/>
              <w:rPr>
                <w:bCs/>
                <w:color w:val="000000"/>
                <w:spacing w:val="16"/>
              </w:rPr>
            </w:pPr>
          </w:p>
        </w:tc>
        <w:tc>
          <w:tcPr>
            <w:tcW w:w="910" w:type="dxa"/>
            <w:gridSpan w:val="2"/>
          </w:tcPr>
          <w:p>
            <w:pPr>
              <w:pStyle w:val="62"/>
              <w:shd w:val="clear" w:color="auto" w:fill="FFFFFF"/>
              <w:spacing w:line="360" w:lineRule="auto"/>
              <w:rPr>
                <w:bCs/>
                <w:color w:val="000000"/>
                <w:spacing w:val="16"/>
              </w:rPr>
            </w:pPr>
            <w:r>
              <w:rPr>
                <w:rFonts w:hint="eastAsia"/>
                <w:bCs/>
                <w:color w:val="000000"/>
                <w:spacing w:val="16"/>
              </w:rPr>
              <w:t>股权结构（</w:t>
            </w:r>
            <w:r>
              <w:rPr>
                <w:bCs/>
                <w:color w:val="000000"/>
                <w:spacing w:val="16"/>
              </w:rPr>
              <w:t>%</w:t>
            </w:r>
            <w:r>
              <w:rPr>
                <w:rFonts w:hint="eastAsia"/>
                <w:bCs/>
                <w:color w:val="000000"/>
                <w:spacing w:val="16"/>
              </w:rPr>
              <w:t>）</w:t>
            </w:r>
          </w:p>
        </w:tc>
        <w:tc>
          <w:tcPr>
            <w:tcW w:w="2368" w:type="dxa"/>
            <w:gridSpan w:val="3"/>
          </w:tcPr>
          <w:p>
            <w:pPr>
              <w:widowControl/>
              <w:spacing w:line="360" w:lineRule="auto"/>
              <w:jc w:val="left"/>
              <w:rPr>
                <w:rFonts w:ascii="宋体" w:cs="宋体"/>
                <w:bCs/>
                <w:color w:val="000000"/>
                <w:spacing w:val="16"/>
                <w:kern w:val="0"/>
                <w:sz w:val="24"/>
              </w:rPr>
            </w:pPr>
          </w:p>
          <w:p>
            <w:pPr>
              <w:pStyle w:val="62"/>
              <w:shd w:val="clear" w:color="auto" w:fill="FFFFFF"/>
              <w:spacing w:line="360" w:lineRule="auto"/>
              <w:rPr>
                <w:bCs/>
                <w:color w:val="000000"/>
                <w:spacing w:val="16"/>
              </w:rPr>
            </w:pPr>
          </w:p>
        </w:tc>
        <w:tc>
          <w:tcPr>
            <w:tcW w:w="2001" w:type="dxa"/>
            <w:gridSpan w:val="3"/>
          </w:tcPr>
          <w:p>
            <w:pPr>
              <w:pStyle w:val="62"/>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pPr>
              <w:pStyle w:val="62"/>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62"/>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pPr>
              <w:pStyle w:val="62"/>
              <w:shd w:val="clear" w:color="auto" w:fill="FFFFFF"/>
              <w:spacing w:line="360" w:lineRule="auto"/>
              <w:rPr>
                <w:bCs/>
                <w:color w:val="000000"/>
                <w:spacing w:val="16"/>
              </w:rPr>
            </w:pPr>
          </w:p>
        </w:tc>
        <w:tc>
          <w:tcPr>
            <w:tcW w:w="910" w:type="dxa"/>
            <w:gridSpan w:val="2"/>
            <w:tcBorders>
              <w:top w:val="nil"/>
            </w:tcBorders>
          </w:tcPr>
          <w:p>
            <w:pPr>
              <w:pStyle w:val="62"/>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tcBorders>
          </w:tcPr>
          <w:p>
            <w:pPr>
              <w:widowControl/>
              <w:spacing w:line="360" w:lineRule="auto"/>
              <w:jc w:val="left"/>
              <w:rPr>
                <w:rFonts w:ascii="宋体" w:cs="宋体"/>
                <w:bCs/>
                <w:color w:val="000000"/>
                <w:spacing w:val="16"/>
                <w:kern w:val="0"/>
                <w:sz w:val="24"/>
              </w:rPr>
            </w:pPr>
          </w:p>
          <w:p>
            <w:pPr>
              <w:pStyle w:val="62"/>
              <w:shd w:val="clear" w:color="auto" w:fill="FFFFFF"/>
              <w:spacing w:line="360" w:lineRule="auto"/>
              <w:rPr>
                <w:bCs/>
                <w:color w:val="000000"/>
                <w:spacing w:val="16"/>
              </w:rPr>
            </w:pPr>
          </w:p>
        </w:tc>
        <w:tc>
          <w:tcPr>
            <w:tcW w:w="2001" w:type="dxa"/>
            <w:gridSpan w:val="3"/>
            <w:vMerge w:val="restart"/>
          </w:tcPr>
          <w:p>
            <w:pPr>
              <w:pStyle w:val="62"/>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pPr>
              <w:pStyle w:val="6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Pr>
          <w:p>
            <w:pPr>
              <w:pStyle w:val="62"/>
              <w:shd w:val="clear" w:color="auto" w:fill="FFFFFF"/>
              <w:spacing w:line="360" w:lineRule="auto"/>
              <w:ind w:left="107"/>
              <w:rPr>
                <w:bCs/>
                <w:color w:val="000000"/>
              </w:rPr>
            </w:pPr>
          </w:p>
        </w:tc>
        <w:tc>
          <w:tcPr>
            <w:tcW w:w="701" w:type="dxa"/>
            <w:vMerge w:val="continue"/>
          </w:tcPr>
          <w:p>
            <w:pPr>
              <w:pStyle w:val="62"/>
              <w:shd w:val="clear" w:color="auto" w:fill="FFFFFF"/>
              <w:spacing w:line="360" w:lineRule="auto"/>
              <w:rPr>
                <w:bCs/>
                <w:color w:val="000000"/>
                <w:spacing w:val="16"/>
              </w:rPr>
            </w:pPr>
          </w:p>
        </w:tc>
        <w:tc>
          <w:tcPr>
            <w:tcW w:w="910" w:type="dxa"/>
            <w:gridSpan w:val="2"/>
          </w:tcPr>
          <w:p>
            <w:pPr>
              <w:pStyle w:val="62"/>
              <w:shd w:val="clear" w:color="auto" w:fill="FFFFFF"/>
              <w:spacing w:line="360" w:lineRule="auto"/>
              <w:rPr>
                <w:bCs/>
                <w:color w:val="000000"/>
                <w:spacing w:val="16"/>
              </w:rPr>
            </w:pPr>
            <w:r>
              <w:rPr>
                <w:rFonts w:hint="eastAsia"/>
                <w:bCs/>
                <w:color w:val="000000"/>
                <w:spacing w:val="27"/>
              </w:rPr>
              <w:t>手机</w:t>
            </w:r>
          </w:p>
        </w:tc>
        <w:tc>
          <w:tcPr>
            <w:tcW w:w="2368" w:type="dxa"/>
            <w:gridSpan w:val="3"/>
          </w:tcPr>
          <w:p>
            <w:pPr>
              <w:pStyle w:val="62"/>
              <w:shd w:val="clear" w:color="auto" w:fill="FFFFFF"/>
              <w:spacing w:line="360" w:lineRule="auto"/>
              <w:rPr>
                <w:bCs/>
                <w:color w:val="000000"/>
                <w:spacing w:val="16"/>
              </w:rPr>
            </w:pPr>
          </w:p>
        </w:tc>
        <w:tc>
          <w:tcPr>
            <w:tcW w:w="2001" w:type="dxa"/>
            <w:gridSpan w:val="3"/>
            <w:vMerge w:val="continue"/>
          </w:tcPr>
          <w:p>
            <w:pPr>
              <w:pStyle w:val="62"/>
              <w:shd w:val="clear" w:color="auto" w:fill="FFFFFF"/>
              <w:spacing w:line="360" w:lineRule="auto"/>
              <w:rPr>
                <w:bCs/>
                <w:color w:val="000000"/>
                <w:spacing w:val="16"/>
              </w:rPr>
            </w:pPr>
          </w:p>
        </w:tc>
        <w:tc>
          <w:tcPr>
            <w:tcW w:w="2151" w:type="dxa"/>
            <w:gridSpan w:val="2"/>
            <w:vMerge w:val="continue"/>
          </w:tcPr>
          <w:p>
            <w:pPr>
              <w:pStyle w:val="6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62"/>
              <w:shd w:val="clear" w:color="auto" w:fill="FFFFFF"/>
              <w:spacing w:line="360" w:lineRule="auto"/>
              <w:ind w:left="107"/>
              <w:rPr>
                <w:bCs/>
                <w:color w:val="000000"/>
              </w:rPr>
            </w:pPr>
            <w:r>
              <w:rPr>
                <w:bCs/>
                <w:color w:val="000000"/>
              </w:rPr>
              <w:t>1.</w:t>
            </w:r>
          </w:p>
          <w:p>
            <w:pPr>
              <w:pStyle w:val="62"/>
              <w:shd w:val="clear" w:color="auto" w:fill="FFFFFF"/>
              <w:spacing w:line="360" w:lineRule="auto"/>
              <w:ind w:left="107"/>
              <w:rPr>
                <w:bCs/>
                <w:color w:val="000000"/>
              </w:rPr>
            </w:pPr>
            <w:r>
              <w:rPr>
                <w:rFonts w:hint="eastAsia"/>
                <w:bCs/>
                <w:color w:val="000000"/>
              </w:rPr>
              <w:t>企</w:t>
            </w:r>
          </w:p>
          <w:p>
            <w:pPr>
              <w:pStyle w:val="62"/>
              <w:shd w:val="clear" w:color="auto" w:fill="FFFFFF"/>
              <w:spacing w:line="360" w:lineRule="auto"/>
              <w:ind w:left="107"/>
              <w:rPr>
                <w:bCs/>
                <w:color w:val="000000"/>
              </w:rPr>
            </w:pPr>
            <w:r>
              <w:rPr>
                <w:rFonts w:hint="eastAsia"/>
                <w:bCs/>
                <w:color w:val="000000"/>
              </w:rPr>
              <w:t>业</w:t>
            </w:r>
          </w:p>
          <w:p>
            <w:pPr>
              <w:pStyle w:val="62"/>
              <w:shd w:val="clear" w:color="auto" w:fill="FFFFFF"/>
              <w:spacing w:line="360" w:lineRule="auto"/>
              <w:ind w:left="107"/>
              <w:rPr>
                <w:bCs/>
                <w:color w:val="000000"/>
                <w:spacing w:val="27"/>
              </w:rPr>
            </w:pPr>
            <w:r>
              <w:rPr>
                <w:rFonts w:hint="eastAsia"/>
                <w:bCs/>
                <w:color w:val="000000"/>
                <w:spacing w:val="27"/>
              </w:rPr>
              <w:t>概</w:t>
            </w:r>
          </w:p>
          <w:p>
            <w:pPr>
              <w:pStyle w:val="62"/>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pPr>
              <w:pStyle w:val="62"/>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pPr>
              <w:pStyle w:val="62"/>
              <w:shd w:val="clear" w:color="auto" w:fill="FFFFFF"/>
              <w:spacing w:line="360" w:lineRule="auto"/>
              <w:rPr>
                <w:bCs/>
                <w:color w:val="000000"/>
                <w:spacing w:val="16"/>
              </w:rPr>
            </w:pPr>
          </w:p>
        </w:tc>
        <w:tc>
          <w:tcPr>
            <w:tcW w:w="1163" w:type="dxa"/>
            <w:tcBorders>
              <w:top w:val="nil"/>
            </w:tcBorders>
          </w:tcPr>
          <w:p>
            <w:pPr>
              <w:pStyle w:val="62"/>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pPr>
              <w:widowControl/>
              <w:spacing w:line="360" w:lineRule="auto"/>
              <w:jc w:val="left"/>
              <w:rPr>
                <w:rFonts w:ascii="宋体" w:cs="宋体"/>
                <w:bCs/>
                <w:color w:val="000000"/>
                <w:spacing w:val="16"/>
                <w:kern w:val="0"/>
                <w:sz w:val="24"/>
              </w:rPr>
            </w:pPr>
          </w:p>
          <w:p>
            <w:pPr>
              <w:widowControl/>
              <w:spacing w:line="360" w:lineRule="auto"/>
              <w:jc w:val="left"/>
              <w:rPr>
                <w:rFonts w:ascii="宋体" w:cs="宋体"/>
                <w:bCs/>
                <w:color w:val="000000"/>
                <w:spacing w:val="16"/>
                <w:kern w:val="0"/>
                <w:sz w:val="24"/>
              </w:rPr>
            </w:pPr>
          </w:p>
          <w:p>
            <w:pPr>
              <w:pStyle w:val="62"/>
              <w:shd w:val="clear" w:color="auto" w:fill="FFFFFF"/>
              <w:spacing w:line="360" w:lineRule="auto"/>
              <w:rPr>
                <w:bCs/>
                <w:color w:val="000000"/>
                <w:spacing w:val="16"/>
              </w:rPr>
            </w:pPr>
          </w:p>
        </w:tc>
        <w:tc>
          <w:tcPr>
            <w:tcW w:w="2001" w:type="dxa"/>
            <w:gridSpan w:val="3"/>
          </w:tcPr>
          <w:p>
            <w:pPr>
              <w:pStyle w:val="62"/>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pPr>
              <w:widowControl/>
              <w:spacing w:line="360" w:lineRule="auto"/>
              <w:jc w:val="left"/>
              <w:rPr>
                <w:rFonts w:ascii="宋体" w:cs="宋体"/>
                <w:bCs/>
                <w:color w:val="000000"/>
                <w:spacing w:val="16"/>
                <w:kern w:val="0"/>
                <w:sz w:val="24"/>
              </w:rPr>
            </w:pPr>
          </w:p>
          <w:p>
            <w:pPr>
              <w:pStyle w:val="6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62"/>
              <w:shd w:val="clear" w:color="auto" w:fill="FFFFFF"/>
              <w:spacing w:line="360" w:lineRule="auto"/>
              <w:ind w:left="107"/>
              <w:rPr>
                <w:bCs/>
                <w:color w:val="000000"/>
              </w:rPr>
            </w:pPr>
          </w:p>
        </w:tc>
        <w:tc>
          <w:tcPr>
            <w:tcW w:w="701" w:type="dxa"/>
          </w:tcPr>
          <w:p>
            <w:pPr>
              <w:pStyle w:val="62"/>
              <w:shd w:val="clear" w:color="auto" w:fill="FFFFFF"/>
              <w:spacing w:line="360" w:lineRule="auto"/>
              <w:rPr>
                <w:bCs/>
                <w:color w:val="000000"/>
              </w:rPr>
            </w:pPr>
            <w:r>
              <w:rPr>
                <w:rFonts w:hint="eastAsia"/>
                <w:bCs/>
                <w:color w:val="000000"/>
                <w:spacing w:val="16"/>
              </w:rPr>
              <w:t>占地面积</w:t>
            </w:r>
          </w:p>
        </w:tc>
        <w:tc>
          <w:tcPr>
            <w:tcW w:w="910" w:type="dxa"/>
            <w:gridSpan w:val="2"/>
          </w:tcPr>
          <w:p>
            <w:pPr>
              <w:pStyle w:val="62"/>
              <w:shd w:val="clear" w:color="auto" w:fill="FFFFFF"/>
              <w:spacing w:line="360" w:lineRule="auto"/>
              <w:rPr>
                <w:bCs/>
                <w:color w:val="000000"/>
              </w:rPr>
            </w:pPr>
          </w:p>
        </w:tc>
        <w:tc>
          <w:tcPr>
            <w:tcW w:w="1163" w:type="dxa"/>
          </w:tcPr>
          <w:p>
            <w:pPr>
              <w:pStyle w:val="62"/>
              <w:shd w:val="clear" w:color="auto" w:fill="FFFFFF"/>
              <w:spacing w:line="360" w:lineRule="auto"/>
              <w:rPr>
                <w:bCs/>
                <w:color w:val="000000"/>
              </w:rPr>
            </w:pPr>
            <w:r>
              <w:rPr>
                <w:rFonts w:hint="eastAsia"/>
                <w:bCs/>
                <w:color w:val="000000"/>
                <w:spacing w:val="16"/>
              </w:rPr>
              <w:t>建筑面积</w:t>
            </w:r>
          </w:p>
        </w:tc>
        <w:tc>
          <w:tcPr>
            <w:tcW w:w="1205" w:type="dxa"/>
            <w:gridSpan w:val="2"/>
          </w:tcPr>
          <w:p>
            <w:pPr>
              <w:pStyle w:val="62"/>
              <w:shd w:val="clear" w:color="auto" w:fill="FFFFFF"/>
              <w:spacing w:line="360" w:lineRule="auto"/>
              <w:ind w:firstLine="480" w:firstLineChars="200"/>
              <w:rPr>
                <w:bCs/>
                <w:color w:val="000000"/>
              </w:rPr>
            </w:pPr>
            <w:r>
              <w:rPr>
                <w:rFonts w:hint="eastAsia"/>
                <w:bCs/>
                <w:color w:val="000000"/>
              </w:rPr>
              <w:t>平方米</w:t>
            </w:r>
          </w:p>
          <w:p>
            <w:pPr>
              <w:pStyle w:val="62"/>
              <w:shd w:val="clear" w:color="auto" w:fill="FFFFFF"/>
              <w:spacing w:line="360" w:lineRule="auto"/>
              <w:rPr>
                <w:bCs/>
                <w:color w:val="000000"/>
              </w:rPr>
            </w:pPr>
            <w:r>
              <w:rPr>
                <w:rFonts w:hint="eastAsia"/>
                <w:bCs/>
                <w:color w:val="000000"/>
                <w:spacing w:val="16"/>
              </w:rPr>
              <w:t>□自有□租賃</w:t>
            </w:r>
          </w:p>
        </w:tc>
        <w:tc>
          <w:tcPr>
            <w:tcW w:w="2001" w:type="dxa"/>
            <w:gridSpan w:val="3"/>
          </w:tcPr>
          <w:p>
            <w:pPr>
              <w:pStyle w:val="62"/>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pPr>
              <w:pStyle w:val="62"/>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62"/>
              <w:shd w:val="clear" w:color="auto" w:fill="FFFFFF"/>
              <w:spacing w:line="360" w:lineRule="auto"/>
              <w:ind w:left="107"/>
              <w:rPr>
                <w:bCs/>
                <w:color w:val="000000"/>
              </w:rPr>
            </w:pPr>
          </w:p>
        </w:tc>
        <w:tc>
          <w:tcPr>
            <w:tcW w:w="701" w:type="dxa"/>
          </w:tcPr>
          <w:p>
            <w:pPr>
              <w:pStyle w:val="62"/>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pPr>
              <w:pStyle w:val="62"/>
              <w:shd w:val="clear" w:color="auto" w:fill="FFFFFF"/>
              <w:spacing w:line="360" w:lineRule="auto"/>
              <w:ind w:left="2"/>
              <w:rPr>
                <w:bCs/>
                <w:color w:val="000000"/>
              </w:rPr>
            </w:pPr>
          </w:p>
        </w:tc>
        <w:tc>
          <w:tcPr>
            <w:tcW w:w="1163" w:type="dxa"/>
          </w:tcPr>
          <w:p>
            <w:pPr>
              <w:pStyle w:val="62"/>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pPr>
              <w:widowControl/>
              <w:spacing w:line="360" w:lineRule="auto"/>
              <w:jc w:val="left"/>
              <w:rPr>
                <w:rFonts w:ascii="宋体" w:cs="宋体"/>
                <w:bCs/>
                <w:color w:val="000000"/>
                <w:kern w:val="0"/>
                <w:sz w:val="24"/>
              </w:rPr>
            </w:pPr>
          </w:p>
          <w:p>
            <w:pPr>
              <w:pStyle w:val="62"/>
              <w:shd w:val="clear" w:color="auto" w:fill="FFFFFF"/>
              <w:spacing w:line="360" w:lineRule="auto"/>
              <w:ind w:left="107"/>
              <w:rPr>
                <w:bCs/>
                <w:color w:val="000000"/>
              </w:rPr>
            </w:pPr>
          </w:p>
        </w:tc>
        <w:tc>
          <w:tcPr>
            <w:tcW w:w="1218" w:type="dxa"/>
          </w:tcPr>
          <w:p>
            <w:pPr>
              <w:pStyle w:val="62"/>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pPr>
              <w:pStyle w:val="62"/>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62"/>
              <w:shd w:val="clear" w:color="auto" w:fill="FFFFFF"/>
              <w:spacing w:line="360" w:lineRule="auto"/>
              <w:ind w:left="107"/>
              <w:rPr>
                <w:bCs/>
                <w:color w:val="000000"/>
              </w:rPr>
            </w:pPr>
          </w:p>
        </w:tc>
        <w:tc>
          <w:tcPr>
            <w:tcW w:w="701" w:type="dxa"/>
          </w:tcPr>
          <w:p>
            <w:pPr>
              <w:pStyle w:val="62"/>
              <w:shd w:val="clear" w:color="auto" w:fill="FFFFFF"/>
              <w:spacing w:line="360" w:lineRule="auto"/>
              <w:ind w:left="2"/>
              <w:rPr>
                <w:bCs/>
                <w:color w:val="000000"/>
              </w:rPr>
            </w:pPr>
            <w:r>
              <w:rPr>
                <w:rFonts w:hint="eastAsia"/>
                <w:bCs/>
                <w:color w:val="000000"/>
              </w:rPr>
              <w:t>核准经营范围</w:t>
            </w:r>
          </w:p>
        </w:tc>
        <w:tc>
          <w:tcPr>
            <w:tcW w:w="7430" w:type="dxa"/>
            <w:gridSpan w:val="10"/>
          </w:tcPr>
          <w:p>
            <w:pPr>
              <w:pStyle w:val="62"/>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62"/>
              <w:shd w:val="clear" w:color="auto" w:fill="FFFFFF"/>
              <w:spacing w:line="360" w:lineRule="auto"/>
              <w:ind w:left="107"/>
              <w:rPr>
                <w:bCs/>
                <w:color w:val="000000"/>
              </w:rPr>
            </w:pPr>
          </w:p>
        </w:tc>
        <w:tc>
          <w:tcPr>
            <w:tcW w:w="8131" w:type="dxa"/>
            <w:gridSpan w:val="11"/>
          </w:tcPr>
          <w:p>
            <w:pPr>
              <w:pStyle w:val="62"/>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62"/>
              <w:shd w:val="clear" w:color="auto" w:fill="FFFFFF"/>
              <w:spacing w:line="360" w:lineRule="auto"/>
              <w:ind w:left="107"/>
              <w:rPr>
                <w:bCs/>
                <w:color w:val="000000"/>
              </w:rPr>
            </w:pPr>
            <w:r>
              <w:rPr>
                <w:bCs/>
                <w:color w:val="000000"/>
              </w:rPr>
              <w:t>2</w:t>
            </w:r>
            <w:r>
              <w:rPr>
                <w:rFonts w:hint="eastAsia"/>
                <w:bCs/>
                <w:color w:val="000000"/>
              </w:rPr>
              <w:t>．</w:t>
            </w:r>
          </w:p>
          <w:p>
            <w:pPr>
              <w:pStyle w:val="62"/>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pPr>
              <w:pStyle w:val="62"/>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pPr>
              <w:pStyle w:val="62"/>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62"/>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pPr>
              <w:pStyle w:val="62"/>
              <w:shd w:val="clear" w:color="auto" w:fill="FFFFFF"/>
              <w:spacing w:line="360" w:lineRule="auto"/>
              <w:jc w:val="center"/>
              <w:rPr>
                <w:bCs/>
                <w:color w:val="000000"/>
              </w:rPr>
            </w:pPr>
            <w:r>
              <w:rPr>
                <w:rFonts w:hint="eastAsia"/>
                <w:bCs/>
                <w:color w:val="000000"/>
                <w:spacing w:val="27"/>
              </w:rPr>
              <w:t>编号</w:t>
            </w:r>
          </w:p>
        </w:tc>
        <w:tc>
          <w:tcPr>
            <w:tcW w:w="1618" w:type="dxa"/>
            <w:gridSpan w:val="2"/>
          </w:tcPr>
          <w:p>
            <w:pPr>
              <w:pStyle w:val="62"/>
              <w:shd w:val="clear" w:color="auto" w:fill="FFFFFF"/>
              <w:spacing w:line="360" w:lineRule="auto"/>
              <w:jc w:val="center"/>
              <w:rPr>
                <w:bCs/>
                <w:color w:val="000000"/>
              </w:rPr>
            </w:pPr>
            <w:r>
              <w:rPr>
                <w:rFonts w:hint="eastAsia"/>
                <w:bCs/>
                <w:color w:val="000000"/>
                <w:spacing w:val="16"/>
              </w:rPr>
              <w:t>发证时间</w:t>
            </w:r>
          </w:p>
        </w:tc>
        <w:tc>
          <w:tcPr>
            <w:tcW w:w="933" w:type="dxa"/>
          </w:tcPr>
          <w:p>
            <w:pPr>
              <w:pStyle w:val="62"/>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62"/>
              <w:shd w:val="clear" w:color="auto" w:fill="FFFFFF"/>
              <w:spacing w:line="360" w:lineRule="auto"/>
              <w:ind w:left="107"/>
              <w:rPr>
                <w:bCs/>
                <w:color w:val="000000"/>
              </w:rPr>
            </w:pPr>
          </w:p>
        </w:tc>
        <w:tc>
          <w:tcPr>
            <w:tcW w:w="1553" w:type="dxa"/>
            <w:gridSpan w:val="2"/>
            <w:vMerge w:val="continue"/>
          </w:tcPr>
          <w:p>
            <w:pPr>
              <w:pStyle w:val="62"/>
              <w:shd w:val="clear" w:color="auto" w:fill="FFFFFF"/>
              <w:spacing w:line="360" w:lineRule="auto"/>
              <w:rPr>
                <w:bCs/>
                <w:color w:val="000000"/>
              </w:rPr>
            </w:pPr>
          </w:p>
        </w:tc>
        <w:tc>
          <w:tcPr>
            <w:tcW w:w="1333" w:type="dxa"/>
            <w:gridSpan w:val="3"/>
          </w:tcPr>
          <w:p>
            <w:pPr>
              <w:pStyle w:val="62"/>
              <w:shd w:val="clear" w:color="auto" w:fill="FFFFFF"/>
              <w:spacing w:line="360" w:lineRule="auto"/>
              <w:rPr>
                <w:bCs/>
                <w:color w:val="000000"/>
              </w:rPr>
            </w:pPr>
          </w:p>
        </w:tc>
        <w:tc>
          <w:tcPr>
            <w:tcW w:w="1418" w:type="dxa"/>
            <w:gridSpan w:val="2"/>
          </w:tcPr>
          <w:p>
            <w:pPr>
              <w:pStyle w:val="62"/>
              <w:shd w:val="clear" w:color="auto" w:fill="FFFFFF"/>
              <w:spacing w:line="360" w:lineRule="auto"/>
              <w:rPr>
                <w:bCs/>
                <w:color w:val="000000"/>
              </w:rPr>
            </w:pPr>
          </w:p>
        </w:tc>
        <w:tc>
          <w:tcPr>
            <w:tcW w:w="1276" w:type="dxa"/>
          </w:tcPr>
          <w:p>
            <w:pPr>
              <w:pStyle w:val="62"/>
              <w:shd w:val="clear" w:color="auto" w:fill="FFFFFF"/>
              <w:spacing w:line="360" w:lineRule="auto"/>
              <w:rPr>
                <w:bCs/>
                <w:color w:val="000000"/>
              </w:rPr>
            </w:pPr>
          </w:p>
        </w:tc>
        <w:tc>
          <w:tcPr>
            <w:tcW w:w="2551" w:type="dxa"/>
            <w:gridSpan w:val="3"/>
          </w:tcPr>
          <w:p>
            <w:pPr>
              <w:pStyle w:val="62"/>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62"/>
              <w:shd w:val="clear" w:color="auto" w:fill="FFFFFF"/>
              <w:spacing w:line="360" w:lineRule="auto"/>
              <w:ind w:left="107"/>
              <w:rPr>
                <w:bCs/>
                <w:color w:val="000000"/>
                <w:spacing w:val="16"/>
              </w:rPr>
            </w:pPr>
          </w:p>
        </w:tc>
        <w:tc>
          <w:tcPr>
            <w:tcW w:w="1553" w:type="dxa"/>
            <w:gridSpan w:val="2"/>
          </w:tcPr>
          <w:p>
            <w:pPr>
              <w:pStyle w:val="62"/>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62"/>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62"/>
              <w:shd w:val="clear" w:color="auto" w:fill="FFFFFF"/>
              <w:spacing w:line="360" w:lineRule="auto"/>
              <w:ind w:left="107"/>
              <w:rPr>
                <w:bCs/>
                <w:color w:val="000000"/>
                <w:spacing w:val="27"/>
              </w:rPr>
            </w:pPr>
          </w:p>
        </w:tc>
        <w:tc>
          <w:tcPr>
            <w:tcW w:w="1553" w:type="dxa"/>
            <w:gridSpan w:val="2"/>
          </w:tcPr>
          <w:p>
            <w:pPr>
              <w:pStyle w:val="62"/>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62"/>
              <w:shd w:val="clear" w:color="auto" w:fill="FFFFFF"/>
              <w:spacing w:line="360" w:lineRule="auto"/>
              <w:rPr>
                <w:bCs/>
                <w:color w:val="000000"/>
                <w:spacing w:val="16"/>
              </w:rPr>
            </w:pPr>
          </w:p>
        </w:tc>
      </w:tr>
    </w:tbl>
    <w:p>
      <w:pPr>
        <w:pStyle w:val="62"/>
        <w:shd w:val="clear" w:color="auto" w:fill="FFFFFF"/>
        <w:spacing w:before="0" w:beforeAutospacing="0" w:after="0" w:afterAutospacing="0" w:line="360" w:lineRule="auto"/>
        <w:rPr>
          <w:rFonts w:ascii="仿宋_GB2312" w:eastAsia="仿宋_GB2312"/>
        </w:rPr>
      </w:pPr>
    </w:p>
    <w:p>
      <w:pPr>
        <w:pStyle w:val="62"/>
        <w:shd w:val="clear" w:color="auto" w:fill="FFFFFF"/>
        <w:spacing w:before="0" w:beforeAutospacing="0" w:after="0" w:afterAutospacing="0" w:line="360" w:lineRule="auto"/>
        <w:rPr>
          <w:b/>
          <w:sz w:val="21"/>
          <w:szCs w:val="21"/>
        </w:rPr>
      </w:pPr>
      <w:r>
        <w:rPr>
          <w:rFonts w:hint="eastAsia"/>
          <w:b/>
          <w:sz w:val="21"/>
          <w:szCs w:val="21"/>
        </w:rPr>
        <w:t>要求：</w:t>
      </w:r>
    </w:p>
    <w:p>
      <w:pPr>
        <w:pStyle w:val="62"/>
        <w:shd w:val="clear" w:color="auto" w:fill="FFFFFF"/>
        <w:spacing w:before="0" w:beforeAutospacing="0" w:after="0" w:afterAutospacing="0" w:line="360" w:lineRule="auto"/>
        <w:ind w:firstLine="424" w:firstLineChars="202"/>
      </w:pPr>
      <w:r>
        <w:rPr>
          <w:rFonts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ind w:firstLine="424" w:firstLineChars="177"/>
        <w:rPr>
          <w:rFonts w:ascii="宋体"/>
          <w:sz w:val="24"/>
        </w:rPr>
      </w:pPr>
      <w:r>
        <w:rPr>
          <w:rFonts w:hint="eastAsia" w:ascii="宋体" w:hAnsi="宋体"/>
          <w:sz w:val="24"/>
        </w:rPr>
        <w:t>投标人名称（电子印章）：</w:t>
      </w:r>
    </w:p>
    <w:p>
      <w:pPr>
        <w:spacing w:line="360" w:lineRule="auto"/>
        <w:ind w:firstLine="424" w:firstLineChars="177"/>
        <w:rPr>
          <w:rFonts w:ascii="宋体"/>
          <w:sz w:val="24"/>
        </w:rPr>
      </w:pPr>
      <w:r>
        <w:rPr>
          <w:rFonts w:hint="eastAsia" w:ascii="宋体" w:hAnsi="宋体"/>
          <w:sz w:val="24"/>
        </w:rPr>
        <w:t>投标人代表签字或盖章：</w:t>
      </w:r>
    </w:p>
    <w:p>
      <w:pPr>
        <w:pStyle w:val="62"/>
        <w:shd w:val="clear" w:color="auto" w:fill="FFFFFF"/>
        <w:spacing w:before="0" w:beforeAutospacing="0" w:after="0" w:afterAutospacing="0" w:line="360" w:lineRule="auto"/>
        <w:ind w:firstLine="424" w:firstLineChars="177"/>
        <w:rPr>
          <w:b/>
        </w:rPr>
      </w:pPr>
      <w:r>
        <w:rPr>
          <w:rFonts w:hint="eastAsia"/>
        </w:rPr>
        <w:t>日期：</w:t>
      </w:r>
    </w:p>
    <w:p>
      <w:pPr>
        <w:spacing w:line="360" w:lineRule="auto"/>
        <w:ind w:firstLine="435"/>
        <w:rPr>
          <w:rFonts w:ascii="宋体" w:hAnsi="宋体"/>
          <w:b/>
          <w:sz w:val="28"/>
        </w:rPr>
      </w:pPr>
    </w:p>
    <w:p>
      <w:pPr>
        <w:pStyle w:val="2"/>
      </w:pPr>
    </w:p>
    <w:p>
      <w:pPr>
        <w:spacing w:line="360" w:lineRule="auto"/>
        <w:ind w:firstLine="435"/>
        <w:rPr>
          <w:rFonts w:ascii="宋体"/>
          <w:sz w:val="24"/>
        </w:rPr>
      </w:pPr>
      <w:r>
        <w:rPr>
          <w:rFonts w:hint="eastAsia" w:ascii="宋体" w:hAnsi="宋体"/>
          <w:b/>
          <w:sz w:val="28"/>
        </w:rPr>
        <w:t>附件10</w:t>
      </w:r>
    </w:p>
    <w:p>
      <w:pPr>
        <w:snapToGrid w:val="0"/>
        <w:spacing w:before="156" w:beforeLines="50" w:after="50" w:line="360" w:lineRule="auto"/>
        <w:jc w:val="center"/>
        <w:rPr>
          <w:rFonts w:ascii="宋体"/>
          <w:b/>
          <w:sz w:val="36"/>
          <w:szCs w:val="36"/>
        </w:rPr>
      </w:pPr>
      <w:r>
        <w:rPr>
          <w:rFonts w:hint="eastAsia" w:ascii="宋体" w:hAnsi="宋体"/>
          <w:b/>
          <w:sz w:val="32"/>
          <w:szCs w:val="32"/>
        </w:rPr>
        <w:t>项目实施人员一览表</w:t>
      </w:r>
    </w:p>
    <w:p>
      <w:pPr>
        <w:snapToGrid w:val="0"/>
        <w:spacing w:before="156" w:beforeLines="50" w:after="50" w:line="360" w:lineRule="auto"/>
        <w:ind w:firstLine="2400" w:firstLineChars="1000"/>
        <w:rPr>
          <w:rFonts w:ascii="宋体"/>
          <w:sz w:val="24"/>
        </w:rPr>
      </w:pPr>
      <w:r>
        <w:rPr>
          <w:rFonts w:hint="eastAsia" w:ascii="宋体" w:hAnsi="宋体"/>
          <w:sz w:val="24"/>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156" w:beforeLines="50" w:after="50" w:line="360" w:lineRule="auto"/>
              <w:ind w:left="5250"/>
              <w:rPr>
                <w:rFonts w:ascii="宋体"/>
                <w:b/>
                <w:kern w:val="44"/>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156" w:beforeLines="50" w:after="50" w:line="360" w:lineRule="auto"/>
              <w:ind w:left="5250"/>
              <w:rPr>
                <w:rFonts w:ascii="宋体"/>
                <w:b/>
                <w:kern w:val="44"/>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ascii="宋体" w:hAnsi="Calibri"/>
                <w:kern w:val="2"/>
                <w:szCs w:val="22"/>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 w:val="24"/>
                <w:szCs w:val="20"/>
              </w:rPr>
            </w:pPr>
          </w:p>
        </w:tc>
      </w:tr>
    </w:tbl>
    <w:p>
      <w:pPr>
        <w:spacing w:line="360" w:lineRule="auto"/>
        <w:rPr>
          <w:rFonts w:ascii="宋体"/>
          <w:b/>
          <w:szCs w:val="21"/>
        </w:rPr>
      </w:pPr>
      <w:r>
        <w:rPr>
          <w:rFonts w:hint="eastAsia" w:ascii="宋体" w:hAnsi="宋体"/>
          <w:b/>
          <w:szCs w:val="21"/>
        </w:rPr>
        <w:t>要求：</w:t>
      </w:r>
    </w:p>
    <w:p>
      <w:pPr>
        <w:spacing w:line="360" w:lineRule="auto"/>
        <w:ind w:left="437"/>
        <w:rPr>
          <w:rFonts w:ascii="宋体"/>
          <w:szCs w:val="21"/>
        </w:rPr>
      </w:pPr>
      <w:r>
        <w:rPr>
          <w:rFonts w:ascii="宋体" w:hAnsi="宋体"/>
          <w:b/>
          <w:szCs w:val="21"/>
        </w:rPr>
        <w:t>1.</w:t>
      </w:r>
      <w:r>
        <w:rPr>
          <w:rFonts w:hint="eastAsia" w:ascii="宋体" w:hAnsi="宋体"/>
          <w:szCs w:val="21"/>
        </w:rPr>
        <w:t>在填写时，如本表格不适合投标单位的实际情况，可根据本表格式自行划表填写。</w:t>
      </w:r>
    </w:p>
    <w:p>
      <w:pPr>
        <w:pStyle w:val="63"/>
        <w:spacing w:line="360" w:lineRule="auto"/>
        <w:ind w:left="424" w:leftChars="202"/>
        <w:rPr>
          <w:rFonts w:ascii="宋体"/>
          <w:szCs w:val="21"/>
        </w:rPr>
      </w:pPr>
      <w:r>
        <w:rPr>
          <w:rFonts w:ascii="宋体" w:hAnsi="宋体"/>
          <w:szCs w:val="21"/>
        </w:rPr>
        <w:t>2.</w:t>
      </w:r>
      <w:r>
        <w:rPr>
          <w:rFonts w:hint="eastAsia" w:ascii="宋体" w:hAnsi="宋体"/>
          <w:szCs w:val="21"/>
        </w:rPr>
        <w:t>附人员证书扫描件；</w:t>
      </w:r>
    </w:p>
    <w:p>
      <w:pPr>
        <w:pStyle w:val="63"/>
        <w:spacing w:line="360" w:lineRule="auto"/>
        <w:ind w:left="424" w:hanging="424" w:hangingChars="202"/>
        <w:rPr>
          <w:rFonts w:ascii="宋体" w:hAnsi="宋体"/>
          <w:szCs w:val="21"/>
        </w:rPr>
      </w:pPr>
      <w:r>
        <w:rPr>
          <w:rFonts w:hint="eastAsia" w:ascii="宋体" w:hAnsi="宋体"/>
          <w:szCs w:val="21"/>
        </w:rPr>
        <w:t>　　</w:t>
      </w:r>
    </w:p>
    <w:p>
      <w:pPr>
        <w:pStyle w:val="63"/>
        <w:spacing w:line="360" w:lineRule="auto"/>
        <w:ind w:left="424" w:hanging="424" w:hangingChars="202"/>
        <w:rPr>
          <w:rFonts w:ascii="宋体" w:hAnsi="宋体"/>
          <w:szCs w:val="21"/>
        </w:rPr>
      </w:pPr>
    </w:p>
    <w:p>
      <w:pPr>
        <w:spacing w:line="360" w:lineRule="auto"/>
        <w:ind w:left="420"/>
        <w:rPr>
          <w:rFonts w:ascii="宋体"/>
          <w:sz w:val="24"/>
        </w:rPr>
      </w:pPr>
      <w:r>
        <w:rPr>
          <w:rFonts w:hint="eastAsia" w:ascii="宋体" w:hAnsi="宋体"/>
          <w:sz w:val="24"/>
        </w:rPr>
        <w:t>投标人名称（电子印章）：</w:t>
      </w:r>
    </w:p>
    <w:p>
      <w:pPr>
        <w:spacing w:line="360" w:lineRule="auto"/>
        <w:ind w:firstLine="435"/>
        <w:rPr>
          <w:rFonts w:ascii="宋体"/>
          <w:sz w:val="24"/>
        </w:rPr>
      </w:pPr>
      <w:r>
        <w:rPr>
          <w:rFonts w:hint="eastAsia" w:ascii="宋体" w:hAnsi="宋体"/>
          <w:sz w:val="24"/>
        </w:rPr>
        <w:t>投标人代表签字或盖章：</w:t>
      </w:r>
    </w:p>
    <w:p>
      <w:pPr>
        <w:spacing w:line="360" w:lineRule="auto"/>
        <w:ind w:firstLine="435"/>
        <w:rPr>
          <w:rFonts w:ascii="宋体" w:hAnsi="宋体"/>
          <w:b/>
          <w:sz w:val="28"/>
        </w:rPr>
      </w:pPr>
      <w:r>
        <w:rPr>
          <w:rFonts w:hint="eastAsia" w:ascii="宋体" w:hAnsi="宋体"/>
          <w:sz w:val="24"/>
        </w:rPr>
        <w:t>日期：</w:t>
      </w:r>
    </w:p>
    <w:p>
      <w:pPr>
        <w:spacing w:line="360" w:lineRule="auto"/>
        <w:ind w:firstLine="435"/>
        <w:rPr>
          <w:rFonts w:ascii="宋体"/>
        </w:rPr>
      </w:pPr>
      <w:r>
        <w:rPr>
          <w:rFonts w:hint="eastAsia" w:ascii="宋体" w:hAnsi="宋体"/>
          <w:b/>
          <w:sz w:val="28"/>
        </w:rPr>
        <w:t>附件11</w:t>
      </w:r>
    </w:p>
    <w:p>
      <w:pPr>
        <w:spacing w:before="156" w:beforeLines="50" w:after="156" w:afterLines="50" w:line="360" w:lineRule="auto"/>
        <w:ind w:right="-10"/>
        <w:jc w:val="center"/>
        <w:rPr>
          <w:rFonts w:ascii="宋体"/>
          <w:b/>
          <w:bCs/>
          <w:sz w:val="32"/>
          <w:szCs w:val="32"/>
        </w:rPr>
      </w:pPr>
      <w:r>
        <w:rPr>
          <w:rFonts w:hint="eastAsia" w:ascii="宋体" w:hAnsi="宋体"/>
          <w:b/>
          <w:bCs/>
          <w:sz w:val="32"/>
          <w:szCs w:val="32"/>
        </w:rPr>
        <w:t>项目负责人资格情况表</w:t>
      </w:r>
    </w:p>
    <w:p>
      <w:pPr>
        <w:spacing w:line="360" w:lineRule="auto"/>
        <w:rPr>
          <w:rFonts w:ascii="宋体"/>
        </w:rPr>
      </w:pPr>
      <w:r>
        <w:rPr>
          <w:rFonts w:hint="eastAsia" w:ascii="宋体" w:hAnsi="宋体"/>
        </w:rPr>
        <w:t>采购项目：采购编号：</w:t>
      </w:r>
    </w:p>
    <w:tbl>
      <w:tblPr>
        <w:tblStyle w:val="2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性别</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年龄</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职称</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毕业时间</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学校专业</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联系电话</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rPr>
              <w:t>最近一年工作状况</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lang w:val="zh-CN"/>
              </w:rPr>
            </w:pPr>
          </w:p>
        </w:tc>
      </w:tr>
    </w:tbl>
    <w:p>
      <w:pPr>
        <w:spacing w:line="360" w:lineRule="auto"/>
        <w:ind w:left="420"/>
        <w:rPr>
          <w:rFonts w:ascii="宋体"/>
          <w:sz w:val="24"/>
        </w:rPr>
      </w:pPr>
    </w:p>
    <w:p>
      <w:pPr>
        <w:spacing w:line="360" w:lineRule="auto"/>
        <w:ind w:firstLine="480" w:firstLineChars="20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rPr>
          <w:rFonts w:ascii="宋体"/>
          <w:sz w:val="24"/>
        </w:rPr>
      </w:pPr>
    </w:p>
    <w:p>
      <w:pPr>
        <w:spacing w:line="360" w:lineRule="auto"/>
        <w:ind w:firstLine="435"/>
        <w:rPr>
          <w:rFonts w:ascii="宋体"/>
          <w:sz w:val="24"/>
        </w:rPr>
      </w:pPr>
      <w:r>
        <w:rPr>
          <w:rFonts w:hint="eastAsia" w:ascii="宋体" w:hAnsi="宋体"/>
          <w:sz w:val="24"/>
        </w:rPr>
        <w:t>日期：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p>
    <w:p>
      <w:pPr>
        <w:snapToGrid w:val="0"/>
        <w:spacing w:before="50" w:after="50" w:line="360" w:lineRule="auto"/>
        <w:rPr>
          <w:rFonts w:ascii="宋体"/>
          <w:b/>
          <w:sz w:val="28"/>
        </w:rPr>
      </w:pPr>
      <w:r>
        <w:rPr>
          <w:rFonts w:hint="eastAsia" w:ascii="宋体" w:hAnsi="宋体"/>
          <w:b/>
          <w:sz w:val="28"/>
        </w:rPr>
        <w:t>附件12</w:t>
      </w:r>
    </w:p>
    <w:p>
      <w:pPr>
        <w:spacing w:line="360" w:lineRule="auto"/>
        <w:ind w:left="480"/>
        <w:jc w:val="center"/>
        <w:rPr>
          <w:rFonts w:ascii="宋体"/>
          <w:b/>
          <w:color w:val="33CCCC"/>
          <w:sz w:val="32"/>
          <w:szCs w:val="32"/>
        </w:rPr>
      </w:pPr>
      <w:r>
        <w:rPr>
          <w:rFonts w:hint="eastAsia" w:ascii="宋体" w:hAnsi="宋体"/>
          <w:kern w:val="0"/>
          <w:sz w:val="32"/>
          <w:szCs w:val="32"/>
        </w:rPr>
        <w:t>技术需求响应表</w:t>
      </w:r>
    </w:p>
    <w:p>
      <w:pPr>
        <w:spacing w:line="360" w:lineRule="auto"/>
        <w:rPr>
          <w:rFonts w:ascii="宋体"/>
          <w:sz w:val="24"/>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b/>
                <w:sz w:val="24"/>
              </w:rPr>
            </w:pPr>
            <w:r>
              <w:rPr>
                <w:rFonts w:hint="eastAsia" w:ascii="宋体" w:hAnsi="宋体"/>
                <w:b/>
                <w:sz w:val="24"/>
              </w:rPr>
              <w:t>名称</w:t>
            </w:r>
          </w:p>
        </w:tc>
        <w:tc>
          <w:tcPr>
            <w:tcW w:w="1449" w:type="dxa"/>
            <w:vAlign w:val="center"/>
          </w:tcPr>
          <w:p>
            <w:pPr>
              <w:spacing w:line="360" w:lineRule="auto"/>
              <w:ind w:left="52"/>
              <w:rPr>
                <w:rFonts w:ascii="宋体"/>
                <w:b/>
                <w:sz w:val="24"/>
              </w:rPr>
            </w:pPr>
          </w:p>
        </w:tc>
        <w:tc>
          <w:tcPr>
            <w:tcW w:w="1560" w:type="dxa"/>
            <w:vAlign w:val="center"/>
          </w:tcPr>
          <w:p>
            <w:pPr>
              <w:spacing w:line="360" w:lineRule="auto"/>
              <w:ind w:left="152"/>
              <w:rPr>
                <w:rFonts w:ascii="宋体"/>
                <w:b/>
                <w:sz w:val="24"/>
              </w:rPr>
            </w:pPr>
          </w:p>
        </w:tc>
        <w:tc>
          <w:tcPr>
            <w:tcW w:w="1401" w:type="dxa"/>
            <w:vAlign w:val="center"/>
          </w:tcPr>
          <w:p>
            <w:pPr>
              <w:spacing w:line="360" w:lineRule="auto"/>
              <w:rPr>
                <w:rFonts w:ascii="宋体"/>
                <w:b/>
                <w:sz w:val="24"/>
              </w:rPr>
            </w:pPr>
          </w:p>
        </w:tc>
        <w:tc>
          <w:tcPr>
            <w:tcW w:w="1365" w:type="dxa"/>
            <w:vAlign w:val="center"/>
          </w:tcPr>
          <w:p>
            <w:pPr>
              <w:spacing w:line="360" w:lineRule="auto"/>
              <w:rPr>
                <w:rFonts w:asci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bl>
    <w:p>
      <w:pPr>
        <w:pStyle w:val="64"/>
        <w:tabs>
          <w:tab w:val="left" w:pos="360"/>
        </w:tabs>
        <w:spacing w:line="360" w:lineRule="auto"/>
        <w:ind w:right="84" w:rightChars="40"/>
        <w:rPr>
          <w:rFonts w:ascii="宋体"/>
          <w:b/>
          <w:szCs w:val="21"/>
        </w:rPr>
      </w:pPr>
      <w:r>
        <w:rPr>
          <w:rFonts w:hint="eastAsia" w:ascii="宋体"/>
          <w:b/>
          <w:szCs w:val="21"/>
        </w:rPr>
        <w:t>要求：</w:t>
      </w:r>
    </w:p>
    <w:p>
      <w:pPr>
        <w:pStyle w:val="64"/>
        <w:spacing w:line="360" w:lineRule="auto"/>
        <w:ind w:right="84" w:rightChars="40" w:firstLine="420" w:firstLineChars="200"/>
        <w:rPr>
          <w:rFonts w:ascii="宋体"/>
          <w:szCs w:val="21"/>
        </w:rPr>
      </w:pPr>
      <w:r>
        <w:rPr>
          <w:rFonts w:hint="eastAsia" w:ascii="宋体"/>
          <w:szCs w:val="21"/>
        </w:rPr>
        <w:t>1</w:t>
      </w:r>
      <w:r>
        <w:rPr>
          <w:rFonts w:ascii="宋体"/>
          <w:szCs w:val="21"/>
        </w:rPr>
        <w:t>.</w:t>
      </w:r>
      <w:r>
        <w:rPr>
          <w:rFonts w:hint="eastAsia" w:ascii="宋体"/>
          <w:szCs w:val="21"/>
        </w:rPr>
        <w:t>本表参照本招标文件第四部分“公开招标需求”填制，投标人应根据投标设备的性能指标、服务指标，对照招标文件要求在“偏离情况”栏注明“正偏离”、“负偏离”或“无偏离”。</w:t>
      </w:r>
    </w:p>
    <w:p>
      <w:pPr>
        <w:pStyle w:val="64"/>
        <w:spacing w:line="360" w:lineRule="auto"/>
        <w:ind w:right="84" w:rightChars="40" w:firstLine="420" w:firstLineChars="200"/>
        <w:rPr>
          <w:rFonts w:ascii="宋体"/>
          <w:szCs w:val="21"/>
        </w:rPr>
      </w:pPr>
      <w:r>
        <w:rPr>
          <w:rFonts w:hint="eastAsia" w:ascii="宋体"/>
          <w:szCs w:val="21"/>
        </w:rPr>
        <w:t>2</w:t>
      </w:r>
      <w:r>
        <w:rPr>
          <w:rFonts w:ascii="宋体"/>
          <w:szCs w:val="21"/>
        </w:rPr>
        <w:t>.</w:t>
      </w:r>
      <w:r>
        <w:rPr>
          <w:rFonts w:hint="eastAsia" w:ascii="宋体"/>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sz w:val="24"/>
        </w:rPr>
      </w:pPr>
    </w:p>
    <w:p>
      <w:pPr>
        <w:spacing w:line="360" w:lineRule="auto"/>
        <w:ind w:left="42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rPr>
          <w:rFonts w:ascii="宋体"/>
          <w:sz w:val="24"/>
        </w:rPr>
      </w:pPr>
    </w:p>
    <w:p>
      <w:pPr>
        <w:spacing w:line="360" w:lineRule="auto"/>
        <w:ind w:firstLine="435"/>
        <w:rPr>
          <w:rFonts w:ascii="宋体" w:hAnsi="宋体"/>
          <w:b/>
          <w:sz w:val="28"/>
        </w:rPr>
      </w:pPr>
      <w:r>
        <w:rPr>
          <w:rFonts w:hint="eastAsia" w:ascii="宋体" w:hAnsi="宋体"/>
          <w:sz w:val="24"/>
        </w:rPr>
        <w:t>日期：</w:t>
      </w:r>
    </w:p>
    <w:p>
      <w:pPr>
        <w:pStyle w:val="65"/>
        <w:spacing w:line="360" w:lineRule="auto"/>
        <w:jc w:val="left"/>
        <w:rPr>
          <w:rFonts w:ascii="宋体" w:hAnsi="宋体"/>
          <w:b/>
          <w:sz w:val="28"/>
        </w:rPr>
      </w:pPr>
    </w:p>
    <w:p>
      <w:pPr>
        <w:pStyle w:val="65"/>
        <w:spacing w:line="360" w:lineRule="auto"/>
        <w:jc w:val="left"/>
        <w:rPr>
          <w:rFonts w:ascii="宋体" w:hAnsi="宋体"/>
          <w:b/>
          <w:sz w:val="28"/>
        </w:rPr>
      </w:pPr>
    </w:p>
    <w:p>
      <w:pPr>
        <w:pStyle w:val="65"/>
        <w:spacing w:line="360" w:lineRule="auto"/>
        <w:jc w:val="left"/>
        <w:rPr>
          <w:rFonts w:ascii="宋体"/>
          <w:b/>
          <w:sz w:val="28"/>
        </w:rPr>
      </w:pPr>
      <w:r>
        <w:rPr>
          <w:rFonts w:hint="eastAsia" w:ascii="宋体" w:hAnsi="宋体"/>
          <w:b/>
          <w:sz w:val="28"/>
        </w:rPr>
        <w:t>附件</w:t>
      </w:r>
      <w:r>
        <w:rPr>
          <w:rFonts w:ascii="宋体" w:hAnsi="宋体"/>
          <w:b/>
          <w:sz w:val="28"/>
        </w:rPr>
        <w:t>1</w:t>
      </w:r>
      <w:r>
        <w:rPr>
          <w:rFonts w:hint="eastAsia" w:ascii="宋体" w:hAnsi="宋体"/>
          <w:b/>
          <w:sz w:val="28"/>
        </w:rPr>
        <w:t>3</w:t>
      </w:r>
    </w:p>
    <w:p>
      <w:pPr>
        <w:pStyle w:val="66"/>
        <w:spacing w:line="360" w:lineRule="auto"/>
        <w:jc w:val="center"/>
        <w:rPr>
          <w:rFonts w:ascii="宋体"/>
          <w:b/>
          <w:sz w:val="32"/>
          <w:szCs w:val="32"/>
        </w:rPr>
      </w:pPr>
      <w:r>
        <w:rPr>
          <w:rFonts w:hint="eastAsia" w:ascii="宋体" w:hAnsi="宋体"/>
          <w:b/>
          <w:sz w:val="32"/>
          <w:szCs w:val="32"/>
        </w:rPr>
        <w:t>证书一览表</w:t>
      </w:r>
    </w:p>
    <w:p>
      <w:pPr>
        <w:pStyle w:val="66"/>
        <w:spacing w:line="360" w:lineRule="auto"/>
        <w:jc w:val="center"/>
        <w:rPr>
          <w:rFonts w:ascii="宋体" w:cs="Arial"/>
          <w:sz w:val="28"/>
          <w:szCs w:val="28"/>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6"/>
              <w:spacing w:line="360" w:lineRule="auto"/>
              <w:jc w:val="center"/>
              <w:rPr>
                <w:rFonts w:ascii="宋体" w:cs="Arial"/>
                <w:b/>
                <w:bCs/>
                <w:sz w:val="24"/>
              </w:rPr>
            </w:pPr>
            <w:r>
              <w:rPr>
                <w:rFonts w:hint="eastAsia" w:ascii="宋体" w:hAnsi="宋体" w:cs="Arial"/>
                <w:b/>
                <w:bCs/>
                <w:sz w:val="24"/>
              </w:rPr>
              <w:t>证书名称</w:t>
            </w:r>
          </w:p>
        </w:tc>
        <w:tc>
          <w:tcPr>
            <w:tcW w:w="2258" w:type="dxa"/>
            <w:tcBorders>
              <w:top w:val="double" w:color="auto" w:sz="4" w:space="0"/>
            </w:tcBorders>
          </w:tcPr>
          <w:p>
            <w:pPr>
              <w:pStyle w:val="66"/>
              <w:spacing w:line="360" w:lineRule="auto"/>
              <w:jc w:val="center"/>
              <w:rPr>
                <w:rFonts w:ascii="宋体" w:cs="Arial"/>
                <w:b/>
                <w:bCs/>
                <w:sz w:val="24"/>
              </w:rPr>
            </w:pPr>
            <w:r>
              <w:rPr>
                <w:rFonts w:hint="eastAsia" w:ascii="宋体" w:hAnsi="宋体" w:cs="Arial"/>
                <w:b/>
                <w:bCs/>
                <w:sz w:val="24"/>
              </w:rPr>
              <w:t>发证单位</w:t>
            </w:r>
          </w:p>
        </w:tc>
        <w:tc>
          <w:tcPr>
            <w:tcW w:w="2260" w:type="dxa"/>
            <w:tcBorders>
              <w:top w:val="double" w:color="auto" w:sz="4" w:space="0"/>
            </w:tcBorders>
          </w:tcPr>
          <w:p>
            <w:pPr>
              <w:pStyle w:val="66"/>
              <w:spacing w:line="360" w:lineRule="auto"/>
              <w:jc w:val="center"/>
              <w:rPr>
                <w:rFonts w:ascii="宋体" w:cs="Arial"/>
                <w:b/>
                <w:bCs/>
                <w:sz w:val="24"/>
              </w:rPr>
            </w:pPr>
            <w:r>
              <w:rPr>
                <w:rFonts w:hint="eastAsia" w:ascii="宋体" w:hAnsi="宋体" w:cs="Arial"/>
                <w:b/>
                <w:bCs/>
                <w:sz w:val="24"/>
              </w:rPr>
              <w:t>证书等级</w:t>
            </w:r>
          </w:p>
        </w:tc>
        <w:tc>
          <w:tcPr>
            <w:tcW w:w="2047" w:type="dxa"/>
            <w:tcBorders>
              <w:top w:val="double" w:color="auto" w:sz="4" w:space="0"/>
              <w:right w:val="single" w:color="auto" w:sz="4" w:space="0"/>
            </w:tcBorders>
          </w:tcPr>
          <w:p>
            <w:pPr>
              <w:pStyle w:val="66"/>
              <w:spacing w:line="360" w:lineRule="auto"/>
              <w:jc w:val="center"/>
              <w:rPr>
                <w:rFonts w:asci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6"/>
              <w:spacing w:line="360" w:lineRule="auto"/>
              <w:jc w:val="center"/>
              <w:rPr>
                <w:rFonts w:ascii="宋体" w:cs="Arial"/>
                <w:szCs w:val="21"/>
              </w:rPr>
            </w:pPr>
          </w:p>
        </w:tc>
        <w:tc>
          <w:tcPr>
            <w:tcW w:w="2258" w:type="dxa"/>
          </w:tcPr>
          <w:p>
            <w:pPr>
              <w:pStyle w:val="66"/>
              <w:spacing w:line="360" w:lineRule="auto"/>
              <w:jc w:val="center"/>
              <w:rPr>
                <w:rFonts w:ascii="宋体" w:cs="Arial"/>
                <w:szCs w:val="21"/>
              </w:rPr>
            </w:pPr>
          </w:p>
        </w:tc>
        <w:tc>
          <w:tcPr>
            <w:tcW w:w="2260" w:type="dxa"/>
          </w:tcPr>
          <w:p>
            <w:pPr>
              <w:pStyle w:val="66"/>
              <w:spacing w:line="360" w:lineRule="auto"/>
              <w:jc w:val="center"/>
              <w:rPr>
                <w:rFonts w:ascii="宋体" w:cs="Arial"/>
                <w:szCs w:val="21"/>
              </w:rPr>
            </w:pPr>
          </w:p>
        </w:tc>
        <w:tc>
          <w:tcPr>
            <w:tcW w:w="2047" w:type="dxa"/>
            <w:tcBorders>
              <w:right w:val="single" w:color="auto" w:sz="4" w:space="0"/>
            </w:tcBorders>
          </w:tcPr>
          <w:p>
            <w:pPr>
              <w:pStyle w:val="66"/>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6"/>
              <w:spacing w:line="360" w:lineRule="auto"/>
              <w:jc w:val="center"/>
              <w:rPr>
                <w:rFonts w:ascii="宋体" w:cs="Arial"/>
                <w:szCs w:val="21"/>
              </w:rPr>
            </w:pPr>
          </w:p>
        </w:tc>
        <w:tc>
          <w:tcPr>
            <w:tcW w:w="2258" w:type="dxa"/>
            <w:tcBorders>
              <w:bottom w:val="double" w:color="auto" w:sz="4" w:space="0"/>
            </w:tcBorders>
          </w:tcPr>
          <w:p>
            <w:pPr>
              <w:pStyle w:val="66"/>
              <w:spacing w:line="360" w:lineRule="auto"/>
              <w:jc w:val="center"/>
              <w:rPr>
                <w:rFonts w:ascii="宋体" w:cs="Arial"/>
                <w:szCs w:val="21"/>
              </w:rPr>
            </w:pPr>
          </w:p>
        </w:tc>
        <w:tc>
          <w:tcPr>
            <w:tcW w:w="2260" w:type="dxa"/>
            <w:tcBorders>
              <w:bottom w:val="double" w:color="auto" w:sz="4" w:space="0"/>
            </w:tcBorders>
          </w:tcPr>
          <w:p>
            <w:pPr>
              <w:pStyle w:val="66"/>
              <w:spacing w:line="360" w:lineRule="auto"/>
              <w:jc w:val="center"/>
              <w:rPr>
                <w:rFonts w:ascii="宋体" w:cs="Arial"/>
                <w:szCs w:val="21"/>
              </w:rPr>
            </w:pPr>
          </w:p>
        </w:tc>
        <w:tc>
          <w:tcPr>
            <w:tcW w:w="2047" w:type="dxa"/>
            <w:tcBorders>
              <w:bottom w:val="double" w:color="auto" w:sz="4" w:space="0"/>
              <w:right w:val="single" w:color="auto" w:sz="4" w:space="0"/>
            </w:tcBorders>
          </w:tcPr>
          <w:p>
            <w:pPr>
              <w:pStyle w:val="66"/>
              <w:spacing w:line="360" w:lineRule="auto"/>
              <w:jc w:val="center"/>
              <w:rPr>
                <w:rFonts w:ascii="宋体" w:cs="Arial"/>
                <w:szCs w:val="21"/>
              </w:rPr>
            </w:pPr>
          </w:p>
        </w:tc>
      </w:tr>
    </w:tbl>
    <w:p>
      <w:pPr>
        <w:pStyle w:val="66"/>
        <w:tabs>
          <w:tab w:val="left" w:pos="1050"/>
        </w:tabs>
        <w:spacing w:line="360" w:lineRule="auto"/>
        <w:rPr>
          <w:rFonts w:ascii="仿宋_GB2312" w:hAnsi="宋体" w:eastAsia="仿宋_GB2312"/>
          <w:sz w:val="24"/>
        </w:rPr>
      </w:pPr>
    </w:p>
    <w:p>
      <w:pPr>
        <w:pStyle w:val="66"/>
        <w:tabs>
          <w:tab w:val="left" w:pos="1050"/>
        </w:tabs>
        <w:spacing w:line="360" w:lineRule="auto"/>
        <w:rPr>
          <w:rFonts w:ascii="宋体"/>
          <w:szCs w:val="21"/>
        </w:rPr>
      </w:pPr>
      <w:r>
        <w:rPr>
          <w:rFonts w:hint="eastAsia" w:ascii="宋体" w:hAnsi="宋体"/>
          <w:b/>
          <w:szCs w:val="21"/>
        </w:rPr>
        <w:t>要求：</w:t>
      </w:r>
    </w:p>
    <w:p>
      <w:pPr>
        <w:pStyle w:val="66"/>
        <w:tabs>
          <w:tab w:val="left" w:pos="1050"/>
        </w:tabs>
        <w:spacing w:line="360" w:lineRule="auto"/>
        <w:ind w:firstLine="424" w:firstLineChars="202"/>
        <w:rPr>
          <w:rFonts w:ascii="宋体"/>
          <w:color w:val="008000"/>
          <w:szCs w:val="21"/>
        </w:rPr>
      </w:pPr>
      <w:r>
        <w:rPr>
          <w:rFonts w:ascii="宋体" w:hAnsi="宋体"/>
          <w:szCs w:val="21"/>
        </w:rPr>
        <w:t>1.</w:t>
      </w:r>
      <w:r>
        <w:rPr>
          <w:rFonts w:hint="eastAsia" w:ascii="宋体" w:hAnsi="宋体"/>
          <w:szCs w:val="21"/>
        </w:rPr>
        <w:t>填写投标人获得资质、认证或企业信誉证书；</w:t>
      </w:r>
    </w:p>
    <w:p>
      <w:pPr>
        <w:pStyle w:val="66"/>
        <w:tabs>
          <w:tab w:val="left" w:pos="1050"/>
        </w:tabs>
        <w:spacing w:line="360" w:lineRule="auto"/>
        <w:ind w:firstLine="424" w:firstLineChars="202"/>
        <w:rPr>
          <w:rFonts w:ascii="宋体"/>
          <w:szCs w:val="21"/>
        </w:rPr>
      </w:pPr>
      <w:r>
        <w:rPr>
          <w:rFonts w:ascii="宋体" w:hAnsi="宋体"/>
          <w:szCs w:val="21"/>
        </w:rPr>
        <w:t>2.</w:t>
      </w:r>
      <w:r>
        <w:rPr>
          <w:rFonts w:hint="eastAsia" w:ascii="宋体" w:hAnsi="宋体"/>
          <w:szCs w:val="21"/>
        </w:rPr>
        <w:t>附所列证书扫描件或其他证明材料。</w:t>
      </w:r>
    </w:p>
    <w:p>
      <w:pPr>
        <w:pStyle w:val="66"/>
        <w:tabs>
          <w:tab w:val="left" w:pos="1050"/>
        </w:tabs>
        <w:spacing w:line="360" w:lineRule="auto"/>
        <w:ind w:firstLine="720" w:firstLineChars="300"/>
        <w:rPr>
          <w:rFonts w:ascii="仿宋_GB2312" w:hAnsi="宋体" w:eastAsia="仿宋_GB2312"/>
          <w:sz w:val="24"/>
        </w:rPr>
      </w:pPr>
    </w:p>
    <w:p>
      <w:pPr>
        <w:pStyle w:val="66"/>
        <w:tabs>
          <w:tab w:val="left" w:pos="1050"/>
        </w:tabs>
        <w:spacing w:line="360" w:lineRule="auto"/>
        <w:ind w:firstLine="720" w:firstLineChars="300"/>
        <w:rPr>
          <w:rFonts w:ascii="仿宋_GB2312" w:hAnsi="宋体" w:eastAsia="仿宋_GB2312"/>
          <w:sz w:val="24"/>
        </w:rPr>
      </w:pPr>
    </w:p>
    <w:p>
      <w:pPr>
        <w:pStyle w:val="6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24" w:firstLineChars="177"/>
        <w:rPr>
          <w:rFonts w:ascii="宋体"/>
          <w:sz w:val="24"/>
        </w:rPr>
      </w:pPr>
      <w:r>
        <w:rPr>
          <w:rFonts w:hint="eastAsia" w:ascii="宋体" w:hAnsi="宋体"/>
          <w:sz w:val="24"/>
        </w:rPr>
        <w:t>投标人代表签字或盖章：</w:t>
      </w:r>
    </w:p>
    <w:p>
      <w:pPr>
        <w:spacing w:line="360" w:lineRule="auto"/>
        <w:rPr>
          <w:rFonts w:ascii="宋体"/>
          <w:sz w:val="24"/>
        </w:rPr>
      </w:pPr>
    </w:p>
    <w:p>
      <w:pPr>
        <w:pStyle w:val="62"/>
        <w:shd w:val="clear" w:color="auto" w:fill="FFFFFF"/>
        <w:spacing w:before="0" w:beforeAutospacing="0" w:after="0" w:afterAutospacing="0" w:line="360" w:lineRule="auto"/>
        <w:ind w:firstLine="424" w:firstLineChars="177"/>
        <w:rPr>
          <w:b/>
          <w:bCs/>
          <w:color w:val="000000"/>
          <w:spacing w:val="11"/>
        </w:rPr>
      </w:pPr>
      <w:r>
        <w:rPr>
          <w:rFonts w:hint="eastAsia"/>
        </w:rPr>
        <w:t>日期：</w:t>
      </w:r>
      <w:r>
        <w:rPr>
          <w:rFonts w:hint="eastAsia"/>
          <w:color w:val="000000"/>
        </w:rPr>
        <w:t>：</w:t>
      </w:r>
    </w:p>
    <w:p>
      <w:pPr>
        <w:spacing w:line="360" w:lineRule="auto"/>
        <w:rPr>
          <w:rFonts w:ascii="宋体" w:hAnsi="宋体"/>
          <w:b/>
          <w:sz w:val="28"/>
        </w:rPr>
      </w:pPr>
    </w:p>
    <w:p>
      <w:pPr>
        <w:pStyle w:val="2"/>
        <w:rPr>
          <w:rFonts w:ascii="宋体" w:hAnsi="宋体"/>
          <w:b/>
          <w:sz w:val="28"/>
        </w:rPr>
      </w:pPr>
    </w:p>
    <w:p>
      <w:pPr>
        <w:pStyle w:val="3"/>
        <w:ind w:firstLine="281"/>
        <w:rPr>
          <w:rFonts w:ascii="宋体" w:hAnsi="宋体"/>
          <w:b/>
          <w:sz w:val="28"/>
        </w:rPr>
      </w:pPr>
    </w:p>
    <w:p>
      <w:pPr>
        <w:pStyle w:val="4"/>
      </w:pPr>
    </w:p>
    <w:p>
      <w:pPr>
        <w:spacing w:line="360" w:lineRule="auto"/>
        <w:rPr>
          <w:rFonts w:ascii="宋体" w:hAnsi="宋体"/>
          <w:b/>
          <w:sz w:val="28"/>
        </w:rPr>
      </w:pPr>
    </w:p>
    <w:p>
      <w:pPr>
        <w:spacing w:line="360" w:lineRule="auto"/>
        <w:rPr>
          <w:rFonts w:ascii="宋体"/>
          <w:b/>
          <w:sz w:val="28"/>
        </w:rPr>
      </w:pPr>
      <w:r>
        <w:rPr>
          <w:rFonts w:hint="eastAsia" w:ascii="宋体" w:hAnsi="宋体"/>
          <w:b/>
          <w:sz w:val="28"/>
        </w:rPr>
        <w:t>附件</w:t>
      </w:r>
      <w:r>
        <w:rPr>
          <w:rFonts w:ascii="宋体" w:hAnsi="宋体"/>
          <w:b/>
          <w:sz w:val="28"/>
        </w:rPr>
        <w:t>1</w:t>
      </w:r>
      <w:r>
        <w:rPr>
          <w:rFonts w:hint="eastAsia" w:ascii="宋体" w:hAnsi="宋体"/>
          <w:b/>
          <w:sz w:val="28"/>
        </w:rPr>
        <w:t>4</w:t>
      </w:r>
    </w:p>
    <w:p>
      <w:pPr>
        <w:pStyle w:val="65"/>
        <w:spacing w:line="360" w:lineRule="auto"/>
        <w:jc w:val="center"/>
        <w:rPr>
          <w:rFonts w:ascii="宋体"/>
          <w:b/>
          <w:sz w:val="32"/>
          <w:szCs w:val="32"/>
        </w:rPr>
      </w:pPr>
      <w:r>
        <w:rPr>
          <w:rFonts w:hint="eastAsia" w:ascii="宋体" w:hAnsi="宋体"/>
          <w:b/>
          <w:sz w:val="32"/>
          <w:szCs w:val="32"/>
        </w:rPr>
        <w:t>投标人类似项目实施情况一览表</w:t>
      </w:r>
    </w:p>
    <w:p>
      <w:pPr>
        <w:pStyle w:val="65"/>
        <w:spacing w:line="360" w:lineRule="auto"/>
        <w:jc w:val="center"/>
        <w:rPr>
          <w:rFonts w:ascii="仿宋_GB2312" w:eastAsia="仿宋_GB2312"/>
          <w:b/>
          <w:sz w:val="28"/>
          <w:szCs w:val="28"/>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cs="Arial"/>
                <w:sz w:val="24"/>
              </w:rPr>
            </w:pPr>
          </w:p>
        </w:tc>
      </w:tr>
    </w:tbl>
    <w:p>
      <w:pPr>
        <w:autoSpaceDE w:val="0"/>
        <w:autoSpaceDN w:val="0"/>
        <w:adjustRightInd w:val="0"/>
        <w:spacing w:before="156" w:beforeLines="50" w:line="360" w:lineRule="auto"/>
        <w:rPr>
          <w:rFonts w:ascii="宋体" w:cs="Arial"/>
          <w:b/>
          <w:szCs w:val="21"/>
        </w:rPr>
      </w:pPr>
      <w:r>
        <w:rPr>
          <w:rFonts w:hint="eastAsia" w:ascii="宋体" w:hAnsi="宋体" w:cs="Arial"/>
          <w:b/>
          <w:szCs w:val="21"/>
        </w:rPr>
        <w:t>要求：</w:t>
      </w:r>
    </w:p>
    <w:p>
      <w:pPr>
        <w:autoSpaceDE w:val="0"/>
        <w:autoSpaceDN w:val="0"/>
        <w:adjustRightInd w:val="0"/>
        <w:spacing w:before="156" w:beforeLines="50" w:line="360" w:lineRule="auto"/>
        <w:ind w:firstLine="424" w:firstLineChars="202"/>
        <w:rPr>
          <w:rFonts w:ascii="宋体" w:cs="Arial"/>
          <w:b/>
          <w:szCs w:val="21"/>
        </w:rPr>
      </w:pPr>
      <w:r>
        <w:rPr>
          <w:rFonts w:ascii="宋体" w:hAnsi="宋体" w:cs="Arial"/>
          <w:szCs w:val="21"/>
        </w:rPr>
        <w:t>1</w:t>
      </w:r>
      <w:r>
        <w:rPr>
          <w:rFonts w:ascii="宋体" w:cs="Arial"/>
          <w:szCs w:val="21"/>
        </w:rPr>
        <w:t>.</w:t>
      </w:r>
      <w:r>
        <w:rPr>
          <w:rFonts w:hint="eastAsia" w:ascii="宋体" w:hAnsi="宋体" w:cs="Arial"/>
          <w:szCs w:val="21"/>
        </w:rPr>
        <w:t>业绩证明应提供证明材料（</w:t>
      </w:r>
      <w:r>
        <w:rPr>
          <w:rFonts w:hint="eastAsia"/>
          <w:color w:val="000000"/>
          <w:szCs w:val="21"/>
        </w:rPr>
        <w:t>合同扫描件加盖公章</w:t>
      </w:r>
      <w:r>
        <w:rPr>
          <w:rFonts w:hint="eastAsia" w:ascii="宋体" w:hAnsi="宋体" w:cs="Arial"/>
          <w:szCs w:val="21"/>
        </w:rPr>
        <w:t>）；</w:t>
      </w:r>
    </w:p>
    <w:p>
      <w:pPr>
        <w:spacing w:line="360" w:lineRule="auto"/>
        <w:ind w:firstLine="424" w:firstLineChars="202"/>
        <w:jc w:val="left"/>
        <w:rPr>
          <w:rFonts w:ascii="宋体" w:cs="Arial"/>
          <w:szCs w:val="21"/>
        </w:rPr>
      </w:pPr>
      <w:r>
        <w:rPr>
          <w:rFonts w:ascii="宋体" w:hAnsi="宋体" w:cs="Arial"/>
          <w:szCs w:val="21"/>
        </w:rPr>
        <w:t>2</w:t>
      </w:r>
      <w:r>
        <w:rPr>
          <w:rFonts w:ascii="宋体" w:cs="Arial"/>
          <w:szCs w:val="21"/>
        </w:rPr>
        <w:t>.</w:t>
      </w:r>
      <w:r>
        <w:rPr>
          <w:rFonts w:hint="eastAsia" w:ascii="宋体" w:hAnsi="宋体" w:cs="Arial"/>
          <w:szCs w:val="21"/>
        </w:rPr>
        <w:t>供应商可按此表格式复制。</w:t>
      </w:r>
    </w:p>
    <w:p>
      <w:pPr>
        <w:spacing w:line="360" w:lineRule="auto"/>
        <w:rPr>
          <w:rFonts w:ascii="宋体"/>
          <w:sz w:val="22"/>
          <w:szCs w:val="22"/>
        </w:rPr>
      </w:pPr>
    </w:p>
    <w:p>
      <w:pPr>
        <w:spacing w:line="360" w:lineRule="auto"/>
        <w:rPr>
          <w:rFonts w:ascii="宋体"/>
          <w:sz w:val="22"/>
          <w:szCs w:val="22"/>
        </w:rPr>
      </w:pPr>
    </w:p>
    <w:p>
      <w:pPr>
        <w:spacing w:line="360" w:lineRule="auto"/>
        <w:ind w:left="42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rPr>
          <w:rFonts w:ascii="宋体"/>
          <w:sz w:val="24"/>
        </w:rPr>
      </w:pPr>
    </w:p>
    <w:p>
      <w:pPr>
        <w:spacing w:line="360" w:lineRule="auto"/>
        <w:ind w:firstLine="435"/>
        <w:rPr>
          <w:rFonts w:ascii="宋体"/>
          <w:sz w:val="24"/>
        </w:rPr>
      </w:pPr>
      <w:r>
        <w:rPr>
          <w:rFonts w:hint="eastAsia" w:ascii="宋体" w:hAnsi="宋体"/>
          <w:sz w:val="24"/>
        </w:rPr>
        <w:t>日期：</w:t>
      </w:r>
    </w:p>
    <w:p>
      <w:pPr>
        <w:pStyle w:val="5"/>
      </w:pPr>
    </w:p>
    <w:p>
      <w:pPr>
        <w:pStyle w:val="66"/>
        <w:tabs>
          <w:tab w:val="left" w:pos="1050"/>
        </w:tabs>
        <w:spacing w:line="360" w:lineRule="auto"/>
        <w:rPr>
          <w:rFonts w:ascii="宋体" w:hAnsi="宋体"/>
          <w:b/>
          <w:sz w:val="28"/>
        </w:rPr>
      </w:pPr>
    </w:p>
    <w:p>
      <w:pPr>
        <w:pStyle w:val="66"/>
        <w:tabs>
          <w:tab w:val="left" w:pos="1050"/>
        </w:tabs>
        <w:spacing w:line="360" w:lineRule="auto"/>
        <w:rPr>
          <w:rFonts w:ascii="仿宋_GB2312" w:hAnsi="宋体"/>
          <w:sz w:val="24"/>
        </w:rPr>
      </w:pPr>
      <w:r>
        <w:rPr>
          <w:rFonts w:hint="eastAsia" w:ascii="宋体" w:hAnsi="宋体"/>
          <w:b/>
          <w:sz w:val="28"/>
        </w:rPr>
        <w:t>附件</w:t>
      </w:r>
      <w:r>
        <w:rPr>
          <w:rFonts w:ascii="宋体" w:hAnsi="宋体"/>
          <w:b/>
          <w:sz w:val="28"/>
        </w:rPr>
        <w:t>1</w:t>
      </w:r>
      <w:r>
        <w:rPr>
          <w:rFonts w:hint="eastAsia" w:ascii="宋体" w:hAnsi="宋体"/>
          <w:b/>
          <w:sz w:val="28"/>
        </w:rPr>
        <w:t>5</w:t>
      </w:r>
    </w:p>
    <w:p>
      <w:pPr>
        <w:spacing w:line="360" w:lineRule="auto"/>
        <w:ind w:left="549" w:hanging="549" w:hangingChars="171"/>
        <w:jc w:val="center"/>
        <w:rPr>
          <w:rFonts w:ascii="宋体"/>
          <w:b/>
          <w:sz w:val="32"/>
          <w:szCs w:val="32"/>
        </w:rPr>
      </w:pPr>
      <w:r>
        <w:rPr>
          <w:rFonts w:hint="eastAsia" w:ascii="宋体" w:hAnsi="宋体"/>
          <w:b/>
          <w:sz w:val="32"/>
          <w:szCs w:val="32"/>
        </w:rPr>
        <w:t>资信及商务需求响应表</w:t>
      </w:r>
    </w:p>
    <w:p>
      <w:pPr>
        <w:spacing w:line="360" w:lineRule="auto"/>
        <w:ind w:left="481" w:leftChars="229" w:firstLine="813" w:firstLineChars="450"/>
        <w:rPr>
          <w:rFonts w:ascii="宋体"/>
          <w:b/>
          <w:sz w:val="18"/>
          <w:szCs w:val="18"/>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sz w:val="24"/>
              </w:rPr>
            </w:pPr>
            <w:r>
              <w:rPr>
                <w:rFonts w:hint="eastAsia" w:ascii="宋体" w:hAnsi="宋体"/>
                <w:b/>
                <w:sz w:val="24"/>
              </w:rPr>
              <w:t>序号</w:t>
            </w:r>
          </w:p>
        </w:tc>
        <w:tc>
          <w:tcPr>
            <w:tcW w:w="1785" w:type="dxa"/>
            <w:vAlign w:val="center"/>
          </w:tcPr>
          <w:p>
            <w:pPr>
              <w:jc w:val="center"/>
              <w:rPr>
                <w:rFonts w:ascii="宋体"/>
                <w:b/>
                <w:sz w:val="24"/>
              </w:rPr>
            </w:pPr>
            <w:r>
              <w:rPr>
                <w:rFonts w:hint="eastAsia" w:ascii="宋体" w:hAnsi="宋体"/>
                <w:b/>
                <w:sz w:val="24"/>
              </w:rPr>
              <w:t>内容</w:t>
            </w:r>
          </w:p>
        </w:tc>
        <w:tc>
          <w:tcPr>
            <w:tcW w:w="1785" w:type="dxa"/>
            <w:vAlign w:val="center"/>
          </w:tcPr>
          <w:p>
            <w:pPr>
              <w:ind w:left="53" w:leftChars="25" w:firstLine="241" w:firstLineChars="100"/>
              <w:rPr>
                <w:rFonts w:ascii="宋体"/>
                <w:b/>
                <w:sz w:val="24"/>
              </w:rPr>
            </w:pPr>
            <w:r>
              <w:rPr>
                <w:rFonts w:hint="eastAsia" w:ascii="宋体" w:hAnsi="宋体"/>
                <w:b/>
                <w:sz w:val="24"/>
              </w:rPr>
              <w:t>招标需求</w:t>
            </w:r>
          </w:p>
        </w:tc>
        <w:tc>
          <w:tcPr>
            <w:tcW w:w="1365" w:type="dxa"/>
            <w:vAlign w:val="center"/>
          </w:tcPr>
          <w:p>
            <w:pPr>
              <w:ind w:left="152"/>
              <w:rPr>
                <w:rFonts w:ascii="宋体"/>
                <w:b/>
                <w:sz w:val="24"/>
              </w:rPr>
            </w:pPr>
            <w:r>
              <w:rPr>
                <w:rFonts w:hint="eastAsia" w:ascii="宋体" w:hAnsi="宋体"/>
                <w:b/>
                <w:sz w:val="24"/>
              </w:rPr>
              <w:t>是否响应</w:t>
            </w:r>
          </w:p>
        </w:tc>
        <w:tc>
          <w:tcPr>
            <w:tcW w:w="2625" w:type="dxa"/>
            <w:vAlign w:val="center"/>
          </w:tcPr>
          <w:p>
            <w:pPr>
              <w:jc w:val="center"/>
              <w:rPr>
                <w:rFonts w:asci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bl>
    <w:p>
      <w:pPr>
        <w:spacing w:line="360" w:lineRule="auto"/>
        <w:rPr>
          <w:rFonts w:ascii="宋体"/>
          <w:sz w:val="24"/>
        </w:rPr>
      </w:pPr>
    </w:p>
    <w:p>
      <w:pPr>
        <w:spacing w:line="360" w:lineRule="auto"/>
        <w:ind w:left="42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rPr>
          <w:rFonts w:ascii="宋体"/>
          <w:sz w:val="24"/>
        </w:rPr>
      </w:pPr>
    </w:p>
    <w:p>
      <w:pPr>
        <w:spacing w:line="360" w:lineRule="auto"/>
        <w:ind w:firstLine="435"/>
        <w:rPr>
          <w:rFonts w:ascii="宋体"/>
          <w:sz w:val="24"/>
          <w:u w:val="single"/>
        </w:rPr>
      </w:pPr>
      <w:r>
        <w:rPr>
          <w:rFonts w:hint="eastAsia" w:ascii="宋体" w:hAnsi="宋体"/>
          <w:sz w:val="24"/>
        </w:rPr>
        <w:t>日期：</w:t>
      </w:r>
    </w:p>
    <w:p>
      <w:pPr>
        <w:tabs>
          <w:tab w:val="left" w:pos="2460"/>
        </w:tabs>
        <w:spacing w:line="360" w:lineRule="auto"/>
        <w:ind w:firstLine="435"/>
        <w:rPr>
          <w:rFonts w:ascii="宋体"/>
          <w:b/>
          <w:sz w:val="28"/>
        </w:rPr>
      </w:pPr>
    </w:p>
    <w:p>
      <w:pPr>
        <w:tabs>
          <w:tab w:val="left" w:pos="2460"/>
        </w:tabs>
        <w:spacing w:line="360" w:lineRule="auto"/>
        <w:ind w:firstLine="435"/>
        <w:rPr>
          <w:rFonts w:ascii="宋体"/>
          <w:b/>
          <w:sz w:val="28"/>
        </w:rPr>
      </w:pPr>
    </w:p>
    <w:p>
      <w:pPr>
        <w:tabs>
          <w:tab w:val="left" w:pos="2460"/>
        </w:tabs>
        <w:spacing w:line="360" w:lineRule="auto"/>
        <w:ind w:firstLine="435"/>
        <w:rPr>
          <w:rFonts w:ascii="宋体"/>
          <w:b/>
          <w:sz w:val="28"/>
        </w:rPr>
      </w:pPr>
    </w:p>
    <w:p>
      <w:pPr>
        <w:pStyle w:val="2"/>
        <w:rPr>
          <w:rFonts w:ascii="宋体"/>
          <w:b/>
          <w:sz w:val="28"/>
        </w:rPr>
      </w:pPr>
    </w:p>
    <w:p>
      <w:pPr>
        <w:pStyle w:val="3"/>
        <w:ind w:firstLine="281"/>
        <w:rPr>
          <w:rFonts w:ascii="宋体"/>
          <w:b/>
          <w:sz w:val="28"/>
        </w:rPr>
      </w:pPr>
    </w:p>
    <w:p>
      <w:pPr>
        <w:pStyle w:val="4"/>
      </w:pPr>
    </w:p>
    <w:p>
      <w:pPr>
        <w:pStyle w:val="11"/>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b/>
          <w:sz w:val="28"/>
        </w:rPr>
      </w:pPr>
      <w:r>
        <w:rPr>
          <w:rFonts w:hint="eastAsia" w:ascii="宋体" w:hAnsi="宋体"/>
          <w:b/>
          <w:sz w:val="28"/>
        </w:rPr>
        <w:t>附件</w:t>
      </w:r>
      <w:r>
        <w:rPr>
          <w:rFonts w:ascii="宋体" w:hAnsi="宋体"/>
          <w:b/>
          <w:sz w:val="28"/>
        </w:rPr>
        <w:t>1</w:t>
      </w:r>
      <w:r>
        <w:rPr>
          <w:rFonts w:hint="eastAsia" w:ascii="宋体" w:hAnsi="宋体"/>
          <w:b/>
          <w:sz w:val="28"/>
        </w:rPr>
        <w:t>6</w:t>
      </w:r>
      <w:r>
        <w:rPr>
          <w:rFonts w:ascii="宋体"/>
          <w:b/>
          <w:sz w:val="28"/>
        </w:rPr>
        <w:tab/>
      </w:r>
    </w:p>
    <w:p>
      <w:pPr>
        <w:spacing w:line="360" w:lineRule="auto"/>
        <w:ind w:firstLine="435"/>
        <w:jc w:val="center"/>
        <w:rPr>
          <w:rFonts w:ascii="宋体"/>
          <w:b/>
          <w:sz w:val="32"/>
          <w:szCs w:val="32"/>
        </w:rPr>
      </w:pPr>
      <w:r>
        <w:rPr>
          <w:rFonts w:hint="eastAsia" w:ascii="宋体" w:hAnsi="宋体"/>
          <w:b/>
          <w:sz w:val="32"/>
          <w:szCs w:val="32"/>
        </w:rPr>
        <w:t>售后服务情况表</w:t>
      </w:r>
    </w:p>
    <w:p>
      <w:pPr>
        <w:spacing w:line="360" w:lineRule="auto"/>
        <w:ind w:firstLine="435"/>
        <w:jc w:val="center"/>
        <w:rPr>
          <w:rFonts w:ascii="宋体"/>
          <w:b/>
          <w:sz w:val="36"/>
          <w:szCs w:val="36"/>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7"/>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67"/>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67"/>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67"/>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739" w:type="dxa"/>
            <w:vAlign w:val="center"/>
          </w:tcPr>
          <w:p>
            <w:pPr>
              <w:pStyle w:val="67"/>
              <w:spacing w:line="360" w:lineRule="auto"/>
              <w:jc w:val="center"/>
              <w:rPr>
                <w:rFonts w:ascii="宋体" w:cs="Arial"/>
                <w:bCs/>
                <w:sz w:val="24"/>
              </w:rPr>
            </w:pPr>
            <w:r>
              <w:rPr>
                <w:rFonts w:ascii="宋体" w:hAnsi="宋体" w:cs="Arial"/>
                <w:bCs/>
                <w:sz w:val="24"/>
              </w:rPr>
              <w:t>1</w:t>
            </w:r>
          </w:p>
        </w:tc>
        <w:tc>
          <w:tcPr>
            <w:tcW w:w="2355" w:type="dxa"/>
            <w:vAlign w:val="center"/>
          </w:tcPr>
          <w:p>
            <w:pPr>
              <w:pStyle w:val="67"/>
              <w:widowControl/>
              <w:spacing w:line="360" w:lineRule="auto"/>
              <w:jc w:val="left"/>
              <w:rPr>
                <w:rFonts w:ascii="宋体" w:cs="Arial"/>
                <w:bCs/>
                <w:sz w:val="24"/>
              </w:rPr>
            </w:pPr>
          </w:p>
        </w:tc>
        <w:tc>
          <w:tcPr>
            <w:tcW w:w="4061" w:type="dxa"/>
          </w:tcPr>
          <w:p>
            <w:pPr>
              <w:pStyle w:val="67"/>
              <w:spacing w:line="360" w:lineRule="auto"/>
              <w:rPr>
                <w:rFonts w:ascii="宋体" w:cs="Arial"/>
                <w:bCs/>
                <w:sz w:val="24"/>
              </w:rPr>
            </w:pPr>
          </w:p>
        </w:tc>
        <w:tc>
          <w:tcPr>
            <w:tcW w:w="1373" w:type="dxa"/>
          </w:tcPr>
          <w:p>
            <w:pPr>
              <w:pStyle w:val="67"/>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4" w:hRule="exact"/>
          <w:jc w:val="center"/>
        </w:trPr>
        <w:tc>
          <w:tcPr>
            <w:tcW w:w="739" w:type="dxa"/>
            <w:vAlign w:val="center"/>
          </w:tcPr>
          <w:p>
            <w:pPr>
              <w:pStyle w:val="67"/>
              <w:spacing w:line="360" w:lineRule="auto"/>
              <w:jc w:val="center"/>
              <w:rPr>
                <w:rFonts w:ascii="宋体" w:cs="Arial"/>
                <w:bCs/>
                <w:sz w:val="24"/>
              </w:rPr>
            </w:pPr>
            <w:r>
              <w:rPr>
                <w:rFonts w:ascii="宋体" w:hAnsi="宋体" w:cs="Arial"/>
                <w:bCs/>
                <w:sz w:val="24"/>
              </w:rPr>
              <w:t>2</w:t>
            </w:r>
          </w:p>
        </w:tc>
        <w:tc>
          <w:tcPr>
            <w:tcW w:w="2355" w:type="dxa"/>
            <w:vAlign w:val="center"/>
          </w:tcPr>
          <w:p>
            <w:pPr>
              <w:pStyle w:val="67"/>
              <w:spacing w:line="360" w:lineRule="auto"/>
              <w:rPr>
                <w:rFonts w:ascii="宋体" w:cs="Arial"/>
                <w:bCs/>
                <w:sz w:val="24"/>
              </w:rPr>
            </w:pPr>
          </w:p>
        </w:tc>
        <w:tc>
          <w:tcPr>
            <w:tcW w:w="4061" w:type="dxa"/>
          </w:tcPr>
          <w:p>
            <w:pPr>
              <w:pStyle w:val="67"/>
              <w:widowControl/>
              <w:spacing w:line="360" w:lineRule="auto"/>
              <w:jc w:val="left"/>
              <w:rPr>
                <w:rFonts w:ascii="宋体" w:cs="Arial"/>
                <w:bCs/>
                <w:sz w:val="24"/>
              </w:rPr>
            </w:pPr>
          </w:p>
          <w:p>
            <w:pPr>
              <w:pStyle w:val="67"/>
              <w:widowControl/>
              <w:spacing w:line="360" w:lineRule="auto"/>
              <w:jc w:val="left"/>
              <w:rPr>
                <w:rFonts w:ascii="宋体" w:cs="Arial"/>
                <w:bCs/>
                <w:sz w:val="24"/>
              </w:rPr>
            </w:pPr>
          </w:p>
          <w:p>
            <w:pPr>
              <w:pStyle w:val="67"/>
              <w:spacing w:line="360" w:lineRule="auto"/>
              <w:rPr>
                <w:rFonts w:ascii="宋体" w:cs="Arial"/>
                <w:bCs/>
                <w:sz w:val="24"/>
              </w:rPr>
            </w:pPr>
          </w:p>
        </w:tc>
        <w:tc>
          <w:tcPr>
            <w:tcW w:w="1373" w:type="dxa"/>
          </w:tcPr>
          <w:p>
            <w:pPr>
              <w:pStyle w:val="67"/>
              <w:widowControl/>
              <w:spacing w:line="360" w:lineRule="auto"/>
              <w:jc w:val="left"/>
              <w:rPr>
                <w:rFonts w:ascii="宋体" w:cs="Arial"/>
                <w:bCs/>
                <w:sz w:val="24"/>
              </w:rPr>
            </w:pPr>
          </w:p>
          <w:p>
            <w:pPr>
              <w:pStyle w:val="67"/>
              <w:widowControl/>
              <w:spacing w:line="360" w:lineRule="auto"/>
              <w:jc w:val="left"/>
              <w:rPr>
                <w:rFonts w:ascii="宋体" w:cs="Arial"/>
                <w:bCs/>
                <w:sz w:val="24"/>
              </w:rPr>
            </w:pPr>
          </w:p>
          <w:p>
            <w:pPr>
              <w:pStyle w:val="67"/>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exact"/>
          <w:jc w:val="center"/>
        </w:trPr>
        <w:tc>
          <w:tcPr>
            <w:tcW w:w="739" w:type="dxa"/>
            <w:vAlign w:val="center"/>
          </w:tcPr>
          <w:p>
            <w:pPr>
              <w:pStyle w:val="67"/>
              <w:spacing w:line="360" w:lineRule="auto"/>
              <w:jc w:val="center"/>
              <w:rPr>
                <w:rFonts w:ascii="宋体" w:hAnsi="宋体" w:cs="Arial"/>
                <w:bCs/>
                <w:sz w:val="24"/>
              </w:rPr>
            </w:pPr>
            <w:r>
              <w:rPr>
                <w:rFonts w:hint="eastAsia" w:ascii="宋体" w:hAnsi="宋体" w:cs="Arial"/>
                <w:bCs/>
                <w:sz w:val="24"/>
              </w:rPr>
              <w:t>3</w:t>
            </w:r>
          </w:p>
        </w:tc>
        <w:tc>
          <w:tcPr>
            <w:tcW w:w="2355" w:type="dxa"/>
            <w:vAlign w:val="center"/>
          </w:tcPr>
          <w:p>
            <w:pPr>
              <w:pStyle w:val="67"/>
              <w:widowControl/>
              <w:spacing w:line="360" w:lineRule="auto"/>
              <w:jc w:val="left"/>
              <w:rPr>
                <w:rFonts w:ascii="宋体" w:cs="Arial"/>
                <w:bCs/>
                <w:sz w:val="24"/>
              </w:rPr>
            </w:pPr>
          </w:p>
        </w:tc>
        <w:tc>
          <w:tcPr>
            <w:tcW w:w="4061" w:type="dxa"/>
          </w:tcPr>
          <w:p>
            <w:pPr>
              <w:pStyle w:val="67"/>
              <w:widowControl/>
              <w:spacing w:line="360" w:lineRule="auto"/>
              <w:jc w:val="left"/>
              <w:rPr>
                <w:rFonts w:ascii="宋体" w:cs="Arial"/>
                <w:bCs/>
                <w:i/>
                <w:sz w:val="24"/>
              </w:rPr>
            </w:pPr>
          </w:p>
          <w:p>
            <w:pPr>
              <w:pStyle w:val="67"/>
              <w:widowControl/>
              <w:spacing w:line="360" w:lineRule="auto"/>
              <w:jc w:val="left"/>
              <w:rPr>
                <w:rFonts w:ascii="宋体" w:cs="Arial"/>
                <w:bCs/>
                <w:i/>
                <w:sz w:val="24"/>
              </w:rPr>
            </w:pPr>
          </w:p>
        </w:tc>
        <w:tc>
          <w:tcPr>
            <w:tcW w:w="1373" w:type="dxa"/>
          </w:tcPr>
          <w:p>
            <w:pPr>
              <w:pStyle w:val="67"/>
              <w:widowControl/>
              <w:spacing w:line="360" w:lineRule="auto"/>
              <w:jc w:val="left"/>
              <w:rPr>
                <w:rFonts w:ascii="宋体" w:cs="Arial"/>
                <w:bCs/>
                <w:i/>
                <w:sz w:val="24"/>
              </w:rPr>
            </w:pPr>
          </w:p>
          <w:p>
            <w:pPr>
              <w:pStyle w:val="67"/>
              <w:widowControl/>
              <w:spacing w:line="360" w:lineRule="auto"/>
              <w:jc w:val="left"/>
              <w:rPr>
                <w:rFonts w:ascii="宋体" w:cs="Arial"/>
                <w:bCs/>
                <w:i/>
                <w:sz w:val="24"/>
              </w:rPr>
            </w:pPr>
          </w:p>
          <w:p>
            <w:pPr>
              <w:pStyle w:val="67"/>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exact"/>
          <w:jc w:val="center"/>
        </w:trPr>
        <w:tc>
          <w:tcPr>
            <w:tcW w:w="739" w:type="dxa"/>
            <w:vAlign w:val="center"/>
          </w:tcPr>
          <w:p>
            <w:pPr>
              <w:pStyle w:val="67"/>
              <w:spacing w:line="360" w:lineRule="auto"/>
              <w:jc w:val="center"/>
              <w:rPr>
                <w:rFonts w:ascii="宋体" w:hAnsi="宋体" w:cs="Arial"/>
                <w:bCs/>
                <w:sz w:val="24"/>
              </w:rPr>
            </w:pPr>
            <w:r>
              <w:rPr>
                <w:rFonts w:hint="eastAsia" w:ascii="宋体" w:hAnsi="宋体" w:cs="Arial"/>
                <w:bCs/>
                <w:sz w:val="24"/>
              </w:rPr>
              <w:t>4</w:t>
            </w:r>
          </w:p>
        </w:tc>
        <w:tc>
          <w:tcPr>
            <w:tcW w:w="2355" w:type="dxa"/>
            <w:vAlign w:val="center"/>
          </w:tcPr>
          <w:p>
            <w:pPr>
              <w:pStyle w:val="67"/>
              <w:widowControl/>
              <w:spacing w:line="360" w:lineRule="auto"/>
              <w:jc w:val="left"/>
              <w:rPr>
                <w:rFonts w:ascii="宋体" w:cs="Arial"/>
                <w:bCs/>
                <w:sz w:val="24"/>
              </w:rPr>
            </w:pPr>
          </w:p>
        </w:tc>
        <w:tc>
          <w:tcPr>
            <w:tcW w:w="4061" w:type="dxa"/>
          </w:tcPr>
          <w:p>
            <w:pPr>
              <w:pStyle w:val="67"/>
              <w:widowControl/>
              <w:spacing w:line="360" w:lineRule="auto"/>
              <w:jc w:val="left"/>
              <w:rPr>
                <w:rFonts w:ascii="宋体" w:cs="Arial"/>
                <w:bCs/>
                <w:i/>
                <w:sz w:val="24"/>
              </w:rPr>
            </w:pPr>
          </w:p>
        </w:tc>
        <w:tc>
          <w:tcPr>
            <w:tcW w:w="1373" w:type="dxa"/>
          </w:tcPr>
          <w:p>
            <w:pPr>
              <w:pStyle w:val="67"/>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exact"/>
          <w:jc w:val="center"/>
        </w:trPr>
        <w:tc>
          <w:tcPr>
            <w:tcW w:w="739" w:type="dxa"/>
            <w:vAlign w:val="center"/>
          </w:tcPr>
          <w:p>
            <w:pPr>
              <w:pStyle w:val="67"/>
              <w:spacing w:line="360" w:lineRule="auto"/>
              <w:jc w:val="center"/>
              <w:rPr>
                <w:rFonts w:ascii="宋体" w:hAnsi="宋体" w:cs="Arial"/>
                <w:bCs/>
                <w:sz w:val="24"/>
              </w:rPr>
            </w:pPr>
            <w:r>
              <w:rPr>
                <w:rFonts w:hint="eastAsia" w:ascii="宋体" w:hAnsi="宋体" w:cs="Arial"/>
                <w:bCs/>
                <w:sz w:val="24"/>
              </w:rPr>
              <w:t>5</w:t>
            </w:r>
          </w:p>
        </w:tc>
        <w:tc>
          <w:tcPr>
            <w:tcW w:w="2355" w:type="dxa"/>
            <w:vAlign w:val="center"/>
          </w:tcPr>
          <w:p>
            <w:pPr>
              <w:pStyle w:val="67"/>
              <w:widowControl/>
              <w:spacing w:line="360" w:lineRule="auto"/>
              <w:jc w:val="left"/>
              <w:rPr>
                <w:rFonts w:ascii="宋体" w:cs="Arial"/>
                <w:bCs/>
                <w:sz w:val="24"/>
              </w:rPr>
            </w:pPr>
          </w:p>
        </w:tc>
        <w:tc>
          <w:tcPr>
            <w:tcW w:w="4061" w:type="dxa"/>
          </w:tcPr>
          <w:p>
            <w:pPr>
              <w:pStyle w:val="67"/>
              <w:widowControl/>
              <w:spacing w:line="360" w:lineRule="auto"/>
              <w:jc w:val="left"/>
              <w:rPr>
                <w:rFonts w:ascii="宋体" w:cs="Arial"/>
                <w:bCs/>
                <w:i/>
                <w:sz w:val="24"/>
              </w:rPr>
            </w:pPr>
          </w:p>
        </w:tc>
        <w:tc>
          <w:tcPr>
            <w:tcW w:w="1373" w:type="dxa"/>
          </w:tcPr>
          <w:p>
            <w:pPr>
              <w:pStyle w:val="67"/>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7"/>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67"/>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67"/>
              <w:widowControl/>
              <w:spacing w:line="360" w:lineRule="auto"/>
              <w:jc w:val="left"/>
              <w:rPr>
                <w:rFonts w:ascii="宋体" w:cs="Arial"/>
                <w:bCs/>
                <w:sz w:val="24"/>
              </w:rPr>
            </w:pPr>
          </w:p>
        </w:tc>
        <w:tc>
          <w:tcPr>
            <w:tcW w:w="1373" w:type="dxa"/>
            <w:tcBorders>
              <w:bottom w:val="single" w:color="auto" w:sz="4" w:space="0"/>
            </w:tcBorders>
          </w:tcPr>
          <w:p>
            <w:pPr>
              <w:pStyle w:val="67"/>
              <w:widowControl/>
              <w:spacing w:line="360" w:lineRule="auto"/>
              <w:jc w:val="left"/>
              <w:rPr>
                <w:rFonts w:ascii="宋体" w:cs="Arial"/>
                <w:bCs/>
                <w:sz w:val="24"/>
              </w:rPr>
            </w:pPr>
          </w:p>
        </w:tc>
      </w:tr>
    </w:tbl>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rPr>
          <w:rFonts w:ascii="宋体"/>
          <w:sz w:val="24"/>
        </w:rPr>
      </w:pPr>
    </w:p>
    <w:p>
      <w:pPr>
        <w:spacing w:line="360" w:lineRule="auto"/>
        <w:ind w:firstLine="435"/>
        <w:rPr>
          <w:rFonts w:ascii="宋体" w:hAnsi="宋体"/>
          <w:sz w:val="24"/>
        </w:rPr>
      </w:pPr>
      <w:r>
        <w:rPr>
          <w:rFonts w:hint="eastAsia" w:ascii="宋体" w:hAnsi="宋体"/>
          <w:sz w:val="24"/>
        </w:rPr>
        <w:t>日期：</w:t>
      </w:r>
    </w:p>
    <w:p>
      <w:pPr>
        <w:pStyle w:val="25"/>
      </w:pPr>
    </w:p>
    <w:p/>
    <w:p>
      <w:pPr>
        <w:pStyle w:val="2"/>
      </w:pPr>
    </w:p>
    <w:p>
      <w:pPr>
        <w:spacing w:line="360" w:lineRule="auto"/>
        <w:ind w:right="-110"/>
        <w:jc w:val="center"/>
        <w:rPr>
          <w:rFonts w:ascii="宋体" w:hAnsi="宋体"/>
          <w:spacing w:val="40"/>
          <w:sz w:val="52"/>
          <w:szCs w:val="52"/>
        </w:rPr>
      </w:pPr>
    </w:p>
    <w:p>
      <w:pPr>
        <w:spacing w:line="360" w:lineRule="auto"/>
        <w:ind w:right="-110"/>
        <w:jc w:val="center"/>
        <w:rPr>
          <w:rFonts w:asci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b/>
          <w:spacing w:val="40"/>
          <w:sz w:val="84"/>
          <w:szCs w:val="84"/>
        </w:rPr>
      </w:pP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pPr>
        <w:spacing w:line="360" w:lineRule="auto"/>
        <w:ind w:right="532"/>
        <w:jc w:val="center"/>
        <w:rPr>
          <w:rFonts w:ascii="宋体"/>
          <w:sz w:val="36"/>
          <w:szCs w:val="36"/>
        </w:rPr>
      </w:pPr>
    </w:p>
    <w:p>
      <w:pPr>
        <w:spacing w:line="360" w:lineRule="auto"/>
        <w:ind w:right="532"/>
        <w:rPr>
          <w:rFonts w:ascii="宋体"/>
          <w:sz w:val="36"/>
          <w:szCs w:val="36"/>
        </w:rPr>
      </w:pPr>
    </w:p>
    <w:p>
      <w:pPr>
        <w:spacing w:line="360" w:lineRule="auto"/>
        <w:ind w:right="532"/>
        <w:jc w:val="center"/>
        <w:rPr>
          <w:rFonts w:ascii="宋体"/>
          <w:sz w:val="36"/>
          <w:szCs w:val="36"/>
        </w:rPr>
      </w:pPr>
    </w:p>
    <w:p>
      <w:pPr>
        <w:spacing w:line="360" w:lineRule="auto"/>
        <w:ind w:right="532" w:firstLine="720" w:firstLineChars="200"/>
        <w:rPr>
          <w:rFonts w:ascii="宋体"/>
          <w:sz w:val="36"/>
          <w:szCs w:val="36"/>
        </w:rPr>
      </w:pPr>
      <w:r>
        <w:rPr>
          <w:rFonts w:hint="eastAsia" w:ascii="宋体" w:hAnsi="宋体"/>
          <w:sz w:val="36"/>
          <w:szCs w:val="36"/>
        </w:rPr>
        <w:t>供应商全称（公章）：</w:t>
      </w:r>
    </w:p>
    <w:p>
      <w:pPr>
        <w:spacing w:line="360" w:lineRule="auto"/>
        <w:ind w:right="-108" w:firstLine="720" w:firstLineChars="200"/>
        <w:rPr>
          <w:rFonts w:ascii="宋体"/>
          <w:sz w:val="36"/>
          <w:szCs w:val="36"/>
        </w:rPr>
      </w:pPr>
      <w:r>
        <w:rPr>
          <w:rFonts w:hint="eastAsia" w:ascii="宋体" w:hAnsi="宋体"/>
          <w:sz w:val="36"/>
          <w:szCs w:val="36"/>
        </w:rPr>
        <w:t>地址：</w:t>
      </w:r>
    </w:p>
    <w:p>
      <w:pPr>
        <w:spacing w:line="360" w:lineRule="auto"/>
        <w:ind w:right="-108" w:firstLine="720" w:firstLineChars="200"/>
        <w:rPr>
          <w:rFonts w:ascii="宋体"/>
          <w:sz w:val="36"/>
          <w:szCs w:val="36"/>
        </w:rPr>
      </w:pPr>
      <w:r>
        <w:rPr>
          <w:rFonts w:hint="eastAsia" w:ascii="宋体" w:hAnsi="宋体"/>
          <w:sz w:val="36"/>
          <w:szCs w:val="36"/>
        </w:rPr>
        <w:t>时间：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sz w:val="24"/>
        </w:rPr>
      </w:pPr>
    </w:p>
    <w:p>
      <w:pPr>
        <w:snapToGrid w:val="0"/>
        <w:spacing w:line="360" w:lineRule="auto"/>
        <w:jc w:val="left"/>
        <w:rPr>
          <w:rFonts w:ascii="宋体"/>
          <w:sz w:val="24"/>
        </w:rPr>
      </w:pPr>
      <w:r>
        <w:rPr>
          <w:rFonts w:ascii="宋体" w:hAnsi="宋体"/>
          <w:sz w:val="24"/>
        </w:rPr>
        <w:t>1</w:t>
      </w:r>
      <w:r>
        <w:rPr>
          <w:rFonts w:hint="eastAsia" w:ascii="宋体" w:hAnsi="宋体"/>
          <w:sz w:val="24"/>
        </w:rPr>
        <w:t>、开标一览表（附件</w:t>
      </w:r>
      <w:r>
        <w:rPr>
          <w:rFonts w:ascii="宋体" w:hAnsi="宋体"/>
          <w:sz w:val="24"/>
        </w:rPr>
        <w:t>1</w:t>
      </w:r>
      <w:r>
        <w:rPr>
          <w:rFonts w:hint="eastAsia" w:ascii="宋体" w:hAnsi="宋体"/>
          <w:sz w:val="24"/>
        </w:rPr>
        <w:t>7）；</w:t>
      </w:r>
    </w:p>
    <w:p>
      <w:pPr>
        <w:snapToGrid w:val="0"/>
        <w:spacing w:line="360" w:lineRule="auto"/>
        <w:jc w:val="left"/>
        <w:rPr>
          <w:rFonts w:ascii="宋体" w:hAnsi="宋体"/>
          <w:sz w:val="24"/>
        </w:rPr>
      </w:pPr>
      <w:r>
        <w:rPr>
          <w:rFonts w:hint="eastAsia" w:ascii="宋体" w:hAnsi="宋体"/>
          <w:sz w:val="24"/>
        </w:rPr>
        <w:t>2、针对报价投标人认为其他需要说明的；（如有）</w:t>
      </w: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pStyle w:val="25"/>
        <w:rPr>
          <w:rFonts w:ascii="宋体"/>
        </w:rPr>
      </w:pPr>
    </w:p>
    <w:p>
      <w:pPr>
        <w:spacing w:line="360" w:lineRule="auto"/>
        <w:rPr>
          <w:rFonts w:ascii="宋体"/>
          <w:b/>
          <w:sz w:val="28"/>
        </w:rPr>
      </w:pPr>
    </w:p>
    <w:p>
      <w:pPr>
        <w:pStyle w:val="25"/>
      </w:pPr>
    </w:p>
    <w:p>
      <w:pPr>
        <w:spacing w:line="360" w:lineRule="auto"/>
        <w:rPr>
          <w:rFonts w:ascii="宋体" w:hAnsi="宋体"/>
          <w:b/>
          <w:sz w:val="28"/>
        </w:rPr>
      </w:pPr>
    </w:p>
    <w:p>
      <w:pPr>
        <w:pStyle w:val="25"/>
      </w:pPr>
    </w:p>
    <w:p>
      <w:pPr>
        <w:pStyle w:val="14"/>
      </w:pPr>
    </w:p>
    <w:p>
      <w:pPr>
        <w:spacing w:line="360" w:lineRule="auto"/>
        <w:rPr>
          <w:rFonts w:ascii="宋体"/>
          <w:b/>
          <w:sz w:val="28"/>
        </w:rPr>
      </w:pPr>
      <w:r>
        <w:rPr>
          <w:rFonts w:hint="eastAsia" w:ascii="宋体" w:hAnsi="宋体"/>
          <w:b/>
          <w:sz w:val="28"/>
        </w:rPr>
        <w:t>附件</w:t>
      </w:r>
      <w:r>
        <w:rPr>
          <w:rFonts w:ascii="宋体" w:hAnsi="宋体"/>
          <w:b/>
          <w:sz w:val="28"/>
        </w:rPr>
        <w:t>1</w:t>
      </w:r>
      <w:r>
        <w:rPr>
          <w:rFonts w:hint="eastAsia" w:ascii="宋体" w:hAnsi="宋体"/>
          <w:b/>
          <w:sz w:val="28"/>
        </w:rPr>
        <w:t>7</w:t>
      </w:r>
    </w:p>
    <w:p>
      <w:pPr>
        <w:spacing w:line="360" w:lineRule="auto"/>
        <w:ind w:left="-2" w:hanging="2"/>
        <w:jc w:val="center"/>
        <w:rPr>
          <w:rFonts w:ascii="宋体"/>
          <w:b/>
          <w:color w:val="33CCCC"/>
          <w:sz w:val="32"/>
          <w:szCs w:val="32"/>
        </w:rPr>
      </w:pPr>
      <w:r>
        <w:rPr>
          <w:rFonts w:hint="eastAsia" w:ascii="宋体" w:hAnsi="宋体"/>
          <w:b/>
          <w:sz w:val="32"/>
          <w:szCs w:val="32"/>
        </w:rPr>
        <w:t>开标一览表</w:t>
      </w:r>
    </w:p>
    <w:p>
      <w:pPr>
        <w:pStyle w:val="15"/>
        <w:spacing w:line="320" w:lineRule="exact"/>
        <w:rPr>
          <w:rFonts w:hAnsi="宋体"/>
          <w:b/>
          <w:color w:val="000000"/>
          <w:sz w:val="24"/>
        </w:rPr>
      </w:pPr>
      <w:r>
        <w:rPr>
          <w:rFonts w:hint="eastAsia" w:hAnsi="宋体"/>
          <w:b/>
          <w:color w:val="000000"/>
          <w:sz w:val="24"/>
        </w:rPr>
        <w:t>项目编号：</w:t>
      </w:r>
    </w:p>
    <w:p>
      <w:pPr>
        <w:pStyle w:val="71"/>
        <w:spacing w:line="360" w:lineRule="auto"/>
        <w:ind w:right="480"/>
        <w:jc w:val="left"/>
        <w:rPr>
          <w:rFonts w:hAnsi="宋体"/>
          <w:color w:val="000000"/>
          <w:sz w:val="24"/>
        </w:rPr>
      </w:pPr>
      <w:r>
        <w:rPr>
          <w:rFonts w:hint="eastAsia" w:hAnsi="宋体"/>
          <w:b/>
          <w:color w:val="000000"/>
          <w:sz w:val="24"/>
        </w:rPr>
        <w:t>项目名称：</w:t>
      </w:r>
      <w:r>
        <w:rPr>
          <w:rFonts w:ascii="宋体" w:hAnsi="宋体"/>
          <w:sz w:val="24"/>
        </w:rPr>
        <w:t xml:space="preserve">                                    </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450" w:lineRule="exact"/>
              <w:jc w:val="center"/>
              <w:textAlignment w:val="bottom"/>
            </w:pPr>
            <w:r>
              <w:rPr>
                <w:rFonts w:hint="eastAsia" w:ascii="宋体" w:hAnsi="宋体"/>
                <w:color w:val="000000"/>
                <w:sz w:val="24"/>
              </w:rPr>
              <w:t>投标折扣率</w:t>
            </w:r>
            <w:r>
              <w:rPr>
                <w:rFonts w:ascii="宋体" w:hAnsi="宋体"/>
                <w:color w:val="000000"/>
                <w:sz w:val="24"/>
              </w:rPr>
              <w:t>(</w:t>
            </w:r>
            <w:r>
              <w:rPr>
                <w:rFonts w:hint="eastAsia" w:ascii="宋体" w:hAnsi="宋体"/>
                <w:color w:val="000000"/>
                <w:sz w:val="24"/>
              </w:rPr>
              <w:t>%</w:t>
            </w:r>
            <w:r>
              <w:rPr>
                <w:rFonts w:ascii="宋体" w:hAnsi="宋体"/>
                <w:color w:val="000000"/>
                <w:sz w:val="24"/>
              </w:rPr>
              <w:t>)</w:t>
            </w:r>
          </w:p>
          <w:p>
            <w:pPr>
              <w:autoSpaceDE w:val="0"/>
              <w:autoSpaceDN w:val="0"/>
              <w:spacing w:line="450" w:lineRule="exact"/>
              <w:jc w:val="center"/>
              <w:textAlignment w:val="bottom"/>
              <w:rPr>
                <w:rFonts w:hint="default" w:eastAsia="宋体"/>
                <w:lang w:val="en-US" w:eastAsia="zh-CN"/>
              </w:rPr>
            </w:pP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保留小数点后两位）</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450" w:lineRule="exact"/>
              <w:jc w:val="center"/>
              <w:textAlignment w:val="bottom"/>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rPr>
                <w:rFonts w:asci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450" w:lineRule="exact"/>
              <w:jc w:val="center"/>
              <w:textAlignment w:val="bottom"/>
              <w:rPr>
                <w:rFonts w:ascii="宋体"/>
                <w:color w:val="000000"/>
                <w:sz w:val="24"/>
              </w:rPr>
            </w:pPr>
          </w:p>
        </w:tc>
      </w:tr>
    </w:tbl>
    <w:p>
      <w:pPr>
        <w:spacing w:line="360" w:lineRule="auto"/>
        <w:ind w:left="480"/>
        <w:rPr>
          <w:rFonts w:ascii="宋体"/>
          <w:b/>
          <w:sz w:val="30"/>
        </w:rPr>
      </w:pPr>
    </w:p>
    <w:p>
      <w:pPr>
        <w:spacing w:line="360" w:lineRule="auto"/>
        <w:rPr>
          <w:rFonts w:ascii="宋体"/>
          <w:sz w:val="24"/>
        </w:rPr>
      </w:pPr>
      <w:r>
        <w:rPr>
          <w:rFonts w:hint="eastAsia" w:ascii="宋体" w:hAnsi="宋体"/>
          <w:b/>
          <w:szCs w:val="21"/>
        </w:rPr>
        <w:t>填报要求：</w:t>
      </w:r>
    </w:p>
    <w:p>
      <w:pPr>
        <w:numPr>
          <w:ilvl w:val="0"/>
          <w:numId w:val="18"/>
        </w:numPr>
        <w:spacing w:line="360" w:lineRule="auto"/>
        <w:ind w:firstLine="420" w:firstLineChars="200"/>
        <w:rPr>
          <w:rFonts w:hint="eastAsia" w:ascii="宋体" w:hAnsi="宋体" w:eastAsia="宋体" w:cs="Times New Roman"/>
          <w:kern w:val="0"/>
          <w:szCs w:val="21"/>
        </w:rPr>
      </w:pPr>
      <w:r>
        <w:rPr>
          <w:rFonts w:hint="eastAsia" w:ascii="宋体" w:hAnsi="宋体"/>
          <w:kern w:val="0"/>
          <w:szCs w:val="21"/>
        </w:rPr>
        <w:t>投标报价包括</w:t>
      </w:r>
      <w:r>
        <w:rPr>
          <w:rFonts w:hint="eastAsia" w:ascii="宋体" w:hAnsi="宋体" w:eastAsia="宋体" w:cs="Times New Roman"/>
          <w:kern w:val="0"/>
          <w:sz w:val="21"/>
          <w:szCs w:val="21"/>
        </w:rPr>
        <w:t>包括完成项目内容所需的一切人员工资（聘用人员的工资、津贴、奖金、社保缴费等）、含税金、方案和成果设计阶段的制作、印刷、邮寄、差旅、</w:t>
      </w:r>
      <w:r>
        <w:rPr>
          <w:rFonts w:hint="eastAsia" w:ascii="宋体" w:hAnsi="宋体" w:eastAsia="宋体" w:cs="Times New Roman"/>
          <w:kern w:val="0"/>
          <w:sz w:val="21"/>
          <w:szCs w:val="21"/>
          <w:lang w:val="en-US" w:eastAsia="zh-CN"/>
        </w:rPr>
        <w:t>代理服务费</w:t>
      </w:r>
      <w:r>
        <w:rPr>
          <w:rFonts w:hint="eastAsia" w:ascii="宋体" w:hAnsi="宋体" w:eastAsia="宋体" w:cs="Times New Roman"/>
          <w:kern w:val="0"/>
          <w:sz w:val="21"/>
          <w:szCs w:val="21"/>
        </w:rPr>
        <w:t>、会务费、知识产权、税费、利润等完成合同所需的一切本身和不可或缺的所有工作开支、政策性文件规定及合同包含的所有风险、责任等各项全部费用并承担一切风险责任。</w:t>
      </w:r>
    </w:p>
    <w:p>
      <w:pPr>
        <w:numPr>
          <w:ilvl w:val="0"/>
          <w:numId w:val="18"/>
        </w:numPr>
        <w:spacing w:line="360" w:lineRule="auto"/>
        <w:ind w:firstLine="420" w:firstLineChars="200"/>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报价一经涂改，应在涂改处加盖单位公章，或者由法定代表人或全权代表签字或盖章，否则其投标作无效标处理。</w:t>
      </w:r>
    </w:p>
    <w:p>
      <w:pPr>
        <w:spacing w:line="360" w:lineRule="auto"/>
        <w:ind w:left="420"/>
        <w:rPr>
          <w:rFonts w:ascii="宋体"/>
          <w:sz w:val="24"/>
        </w:rPr>
      </w:pPr>
    </w:p>
    <w:p>
      <w:pPr>
        <w:spacing w:line="360" w:lineRule="auto"/>
        <w:rPr>
          <w:rFonts w:ascii="宋体"/>
          <w:sz w:val="24"/>
        </w:rPr>
      </w:pPr>
    </w:p>
    <w:p>
      <w:pPr>
        <w:spacing w:line="360" w:lineRule="auto"/>
        <w:ind w:left="420"/>
        <w:rPr>
          <w:rFonts w:ascii="宋体"/>
          <w:sz w:val="24"/>
          <w:u w:val="single"/>
        </w:rPr>
      </w:pPr>
      <w:r>
        <w:rPr>
          <w:rFonts w:hint="eastAsia" w:ascii="宋体" w:hAnsi="宋体"/>
          <w:sz w:val="24"/>
        </w:rPr>
        <w:t>投标人名称（电子印章）：</w:t>
      </w:r>
    </w:p>
    <w:p>
      <w:pPr>
        <w:spacing w:line="360" w:lineRule="auto"/>
        <w:ind w:left="420"/>
        <w:rPr>
          <w:rFonts w:ascii="宋体"/>
          <w:sz w:val="24"/>
        </w:rPr>
      </w:pPr>
    </w:p>
    <w:p>
      <w:pPr>
        <w:spacing w:line="360" w:lineRule="auto"/>
        <w:ind w:firstLine="435"/>
        <w:rPr>
          <w:rFonts w:ascii="宋体"/>
          <w:sz w:val="24"/>
        </w:rPr>
      </w:pPr>
      <w:r>
        <w:rPr>
          <w:rFonts w:hint="eastAsia" w:ascii="宋体" w:hAnsi="宋体"/>
          <w:sz w:val="24"/>
        </w:rPr>
        <w:t>投标人代表签字或盖章：</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职务：</w:t>
      </w:r>
    </w:p>
    <w:p>
      <w:pPr>
        <w:spacing w:line="360" w:lineRule="auto"/>
        <w:rPr>
          <w:rFonts w:ascii="宋体"/>
          <w:sz w:val="24"/>
        </w:rPr>
      </w:pPr>
    </w:p>
    <w:p>
      <w:pPr>
        <w:pStyle w:val="3"/>
        <w:ind w:firstLine="480" w:firstLineChars="200"/>
      </w:pPr>
      <w:r>
        <w:rPr>
          <w:rFonts w:hint="eastAsia" w:ascii="宋体" w:hAnsi="宋体"/>
          <w:sz w:val="24"/>
        </w:rPr>
        <w:t>日期：</w:t>
      </w: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akuyoxingshu7000">
    <w:altName w:val="宋体"/>
    <w:panose1 w:val="00000000000000000000"/>
    <w:charset w:val="86"/>
    <w:family w:val="auto"/>
    <w:pitch w:val="default"/>
    <w:sig w:usb0="00000000" w:usb1="00000000" w:usb2="0000003F" w:usb3="00000000" w:csb0="603F00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114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114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wp:posOffset>
              </wp:positionV>
              <wp:extent cx="114935" cy="153035"/>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3" o:spid="_x0000_s1026" o:spt="202" type="#_x0000_t202" style="position:absolute;left:0pt;margin-top:0.05pt;height:12.05pt;width:9.05pt;mso-position-horizontal:outside;mso-position-horizontal-relative:margin;mso-wrap-style:none;z-index:251660288;mso-width-relative:page;mso-height-relative:page;" filled="f" stroked="f" coordsize="21600,21600" o:gfxdata="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JSH9tAAAAADAQAADwAAAAAAAAABACAAAAAiAAAAZHJzL2Rvd25y&#10;ZXYueG1sUEsBAhQAFAAAAAgAh07iQOGdC7bNAQAAmAMAAA4AAAAAAAAAAQAgAAAAHwEAAGRycy9l&#10;Mm9Eb2MueG1sUEsFBgAAAAAGAAYAWQEAAF4FAAAAAA==&#10;">
              <v:fill on="f" focussize="0,0"/>
              <v:stroke on="f"/>
              <v:imagedata o:title=""/>
              <o:lock v:ext="edit" aspectratio="f"/>
              <v:textbox inset="0mm,0mm,0mm,0mm" style="mso-fit-shape-to-text:t;">
                <w:txbxContent>
                  <w:p/>
                </w:txbxContent>
              </v:textbox>
            </v:shape>
          </w:pict>
        </mc:Fallback>
      </mc:AlternateContent>
    </w:r>
  </w:p>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ind w:firstLine="360"/>
        <w:rPr>
          <w:rFonts w:ascii="宋体" w:hAnsi="宋体"/>
          <w:bCs/>
          <w:sz w:val="24"/>
          <w:szCs w:val="24"/>
        </w:rPr>
      </w:pPr>
      <w:r>
        <w:rPr>
          <w:rStyle w:val="36"/>
        </w:rPr>
        <w:footnoteRef/>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rPr>
        <w:i/>
        <w:iCs/>
      </w:rPr>
    </w:pPr>
    <w:r>
      <w:rPr>
        <w:rFonts w:hint="eastAsia"/>
        <w:i/>
        <w:iCs/>
      </w:rPr>
      <w:t>台州市中恒企业管理咨询有限公司招标文件</w:t>
    </w:r>
  </w:p>
  <w:p>
    <w:pPr>
      <w:pStyle w:val="20"/>
      <w:pBdr>
        <w:top w:val="none" w:color="auto" w:sz="0" w:space="0"/>
        <w:left w:val="none" w:color="auto" w:sz="0" w:space="0"/>
        <w:bottom w:val="none" w:color="auto" w:sz="0" w:space="0"/>
        <w:right w:val="none" w:color="auto" w:sz="0" w:space="0"/>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rPr>
        <w:i/>
        <w:iCs/>
      </w:rPr>
    </w:pPr>
    <w:r>
      <w:rPr>
        <w:rFonts w:hint="eastAsia"/>
        <w:i/>
        <w:iCs/>
      </w:rPr>
      <w:t>台州市中恒企业管理咨询有限公司招标文件</w:t>
    </w:r>
  </w:p>
  <w:p>
    <w:pPr>
      <w:pStyle w:val="20"/>
      <w:pBdr>
        <w:top w:val="none" w:color="auto" w:sz="0" w:space="0"/>
        <w:left w:val="none" w:color="auto" w:sz="0" w:space="0"/>
        <w:bottom w:val="none" w:color="auto" w:sz="0" w:space="0"/>
        <w:right w:val="none" w:color="auto" w:sz="0" w:space="0"/>
      </w:pBdr>
    </w:pPr>
    <w:r>
      <w:t>——————————————————————————————————————————————</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347"/>
      </w:pPr>
      <w:rPr>
        <w:rFonts w:cs="Times New Roman"/>
      </w:rPr>
    </w:lvl>
  </w:abstractNum>
  <w:abstractNum w:abstractNumId="1">
    <w:nsid w:val="8F0E70E8"/>
    <w:multiLevelType w:val="multilevel"/>
    <w:tmpl w:val="8F0E70E8"/>
    <w:lvl w:ilvl="0" w:tentative="0">
      <w:start w:val="1"/>
      <w:numFmt w:val="chineseCounting"/>
      <w:pStyle w:val="9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default" w:ascii="仿宋" w:hAnsi="仿宋" w:eastAsia="仿宋" w:cs="仿宋"/>
      </w:rPr>
    </w:lvl>
    <w:lvl w:ilvl="2" w:tentative="0">
      <w:start w:val="1"/>
      <w:numFmt w:val="decimal"/>
      <w:isLgl/>
      <w:lvlText w:val="%1.%2.%3."/>
      <w:lvlJc w:val="left"/>
      <w:pPr>
        <w:ind w:left="720" w:hanging="720"/>
      </w:pPr>
      <w:rPr>
        <w:rFonts w:hint="default" w:ascii="仿宋" w:hAnsi="仿宋" w:eastAsia="仿宋" w:cs="仿宋"/>
        <w:color w:val="auto"/>
      </w:rPr>
    </w:lvl>
    <w:lvl w:ilvl="3" w:tentative="0">
      <w:start w:val="1"/>
      <w:numFmt w:val="decimal"/>
      <w:pStyle w:val="96"/>
      <w:isLgl/>
      <w:lvlText w:val="%1.%2.%3.%4."/>
      <w:lvlJc w:val="left"/>
      <w:pPr>
        <w:ind w:left="1148" w:hanging="864"/>
      </w:pPr>
      <w:rPr>
        <w:rFonts w:hint="default" w:ascii="仿宋" w:hAnsi="仿宋" w:eastAsia="仿宋" w:cs="仿宋"/>
        <w:color w:val="000000" w:themeColor="text1"/>
        <w14:textFill>
          <w14:solidFill>
            <w14:schemeClr w14:val="tx1"/>
          </w14:solidFill>
        </w14:textFill>
      </w:rPr>
    </w:lvl>
    <w:lvl w:ilvl="4" w:tentative="0">
      <w:start w:val="1"/>
      <w:numFmt w:val="decimal"/>
      <w:pStyle w:val="97"/>
      <w:isLgl/>
      <w:lvlText w:val="%1.%2.%3.%4.%5."/>
      <w:lvlJc w:val="left"/>
      <w:pPr>
        <w:ind w:left="1008" w:hanging="1008"/>
      </w:pPr>
      <w:rPr>
        <w:rFonts w:hint="default" w:ascii="仿宋" w:hAnsi="仿宋" w:eastAsia="仿宋" w:cs="仿宋"/>
        <w:color w:val="auto"/>
      </w:rPr>
    </w:lvl>
    <w:lvl w:ilvl="5" w:tentative="0">
      <w:start w:val="1"/>
      <w:numFmt w:val="decimal"/>
      <w:isLgl/>
      <w:lvlText w:val="%1.%2.%3.%4.%5.%6."/>
      <w:lvlJc w:val="left"/>
      <w:pPr>
        <w:ind w:left="1151" w:hanging="1151"/>
      </w:pPr>
      <w:rPr>
        <w:rFonts w:hint="eastAsia" w:ascii="仿宋" w:hAnsi="仿宋" w:eastAsia="仿宋"/>
      </w:rPr>
    </w:lvl>
    <w:lvl w:ilvl="6" w:tentative="0">
      <w:start w:val="1"/>
      <w:numFmt w:val="decimal"/>
      <w:isLgl/>
      <w:lvlText w:val="%1.%2.%3.%4.%5.%6.%7."/>
      <w:lvlJc w:val="left"/>
      <w:pPr>
        <w:ind w:left="1296" w:hanging="1296"/>
      </w:pPr>
      <w:rPr>
        <w:rFonts w:ascii="仿宋"/>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7" w:tentative="0">
      <w:start w:val="1"/>
      <w:numFmt w:val="decimal"/>
      <w:isLgl/>
      <w:lvlText w:val="%1.%2.%3.%4.%5.%6.%7.%8."/>
      <w:lvlJc w:val="left"/>
      <w:pPr>
        <w:ind w:left="1440" w:hanging="1440"/>
      </w:pPr>
      <w:rPr>
        <w:rFonts w:hint="eastAsia" w:ascii="仿宋" w:hAnsi="仿宋" w:eastAsia="仿宋"/>
      </w:rPr>
    </w:lvl>
    <w:lvl w:ilvl="8" w:tentative="0">
      <w:start w:val="1"/>
      <w:numFmt w:val="decimal"/>
      <w:isLgl/>
      <w:lvlText w:val="%1.%2.%3.%4.%5.%6.%7.%8.%9."/>
      <w:lvlJc w:val="left"/>
      <w:pPr>
        <w:ind w:left="1583" w:hanging="1583"/>
      </w:pPr>
      <w:rPr>
        <w:rFonts w:hint="eastAsia"/>
      </w:rPr>
    </w:lvl>
  </w:abstractNum>
  <w:abstractNum w:abstractNumId="2">
    <w:nsid w:val="9D725C6C"/>
    <w:multiLevelType w:val="singleLevel"/>
    <w:tmpl w:val="9D725C6C"/>
    <w:lvl w:ilvl="0" w:tentative="0">
      <w:start w:val="1"/>
      <w:numFmt w:val="decimal"/>
      <w:suff w:val="nothing"/>
      <w:lvlText w:val="%1、"/>
      <w:lvlJc w:val="left"/>
    </w:lvl>
  </w:abstractNum>
  <w:abstractNum w:abstractNumId="3">
    <w:nsid w:val="A3180DFC"/>
    <w:multiLevelType w:val="singleLevel"/>
    <w:tmpl w:val="A3180DFC"/>
    <w:lvl w:ilvl="0" w:tentative="0">
      <w:start w:val="1"/>
      <w:numFmt w:val="decimal"/>
      <w:suff w:val="nothing"/>
      <w:lvlText w:val="%1、"/>
      <w:lvlJc w:val="left"/>
      <w:rPr>
        <w:rFonts w:cs="Times New Roman"/>
      </w:rPr>
    </w:lvl>
  </w:abstractNum>
  <w:abstractNum w:abstractNumId="4">
    <w:nsid w:val="A4D31499"/>
    <w:multiLevelType w:val="singleLevel"/>
    <w:tmpl w:val="A4D31499"/>
    <w:lvl w:ilvl="0" w:tentative="0">
      <w:start w:val="3"/>
      <w:numFmt w:val="decimal"/>
      <w:suff w:val="space"/>
      <w:lvlText w:val="%1．"/>
      <w:lvlJc w:val="left"/>
    </w:lvl>
  </w:abstractNum>
  <w:abstractNum w:abstractNumId="5">
    <w:nsid w:val="AE2D8F7B"/>
    <w:multiLevelType w:val="singleLevel"/>
    <w:tmpl w:val="AE2D8F7B"/>
    <w:lvl w:ilvl="0" w:tentative="0">
      <w:start w:val="1"/>
      <w:numFmt w:val="decimal"/>
      <w:pStyle w:val="10"/>
      <w:lvlText w:val="%1."/>
      <w:lvlJc w:val="left"/>
      <w:pPr>
        <w:tabs>
          <w:tab w:val="left" w:pos="360"/>
        </w:tabs>
        <w:ind w:left="360" w:hanging="360"/>
      </w:pPr>
      <w:rPr>
        <w:rFonts w:cs="Times New Roman"/>
      </w:rPr>
    </w:lvl>
  </w:abstractNum>
  <w:abstractNum w:abstractNumId="6">
    <w:nsid w:val="DF19334E"/>
    <w:multiLevelType w:val="singleLevel"/>
    <w:tmpl w:val="DF19334E"/>
    <w:lvl w:ilvl="0" w:tentative="0">
      <w:start w:val="1"/>
      <w:numFmt w:val="decimal"/>
      <w:lvlText w:val="%1."/>
      <w:lvlJc w:val="left"/>
      <w:pPr>
        <w:tabs>
          <w:tab w:val="left" w:pos="312"/>
        </w:tabs>
      </w:pPr>
    </w:lvl>
  </w:abstractNum>
  <w:abstractNum w:abstractNumId="7">
    <w:nsid w:val="F4BFCC03"/>
    <w:multiLevelType w:val="singleLevel"/>
    <w:tmpl w:val="F4BFCC03"/>
    <w:lvl w:ilvl="0" w:tentative="0">
      <w:start w:val="12"/>
      <w:numFmt w:val="chineseCounting"/>
      <w:suff w:val="nothing"/>
      <w:lvlText w:val="%1、"/>
      <w:lvlJc w:val="left"/>
      <w:rPr>
        <w:rFonts w:hint="eastAsia"/>
      </w:rPr>
    </w:lvl>
  </w:abstractNum>
  <w:abstractNum w:abstractNumId="8">
    <w:nsid w:val="04BAAC3C"/>
    <w:multiLevelType w:val="singleLevel"/>
    <w:tmpl w:val="04BAAC3C"/>
    <w:lvl w:ilvl="0" w:tentative="0">
      <w:start w:val="3"/>
      <w:numFmt w:val="chineseCounting"/>
      <w:suff w:val="nothing"/>
      <w:lvlText w:val="（%1）"/>
      <w:lvlJc w:val="left"/>
      <w:rPr>
        <w:rFonts w:hint="eastAsia"/>
      </w:rPr>
    </w:lvl>
  </w:abstractNum>
  <w:abstractNum w:abstractNumId="9">
    <w:nsid w:val="078EDBFD"/>
    <w:multiLevelType w:val="multilevel"/>
    <w:tmpl w:val="078EDBFD"/>
    <w:lvl w:ilvl="0" w:tentative="0">
      <w:start w:val="1"/>
      <w:numFmt w:val="chineseCounting"/>
      <w:suff w:val="space"/>
      <w:lvlText w:val="第%1章 "/>
      <w:lvlJc w:val="left"/>
      <w:pPr>
        <w:tabs>
          <w:tab w:val="left" w:pos="420"/>
        </w:tabs>
        <w:ind w:left="0" w:firstLine="0"/>
      </w:pPr>
      <w:rPr>
        <w:rFonts w:hint="eastAsia" w:ascii="宋体" w:hAnsi="宋体" w:eastAsia="宋体" w:cs="宋体"/>
      </w:rPr>
    </w:lvl>
    <w:lvl w:ilvl="1" w:tentative="0">
      <w:start w:val="1"/>
      <w:numFmt w:val="decimal"/>
      <w:isLgl/>
      <w:suff w:val="space"/>
      <w:lvlText w:val="%1.%2."/>
      <w:lvlJc w:val="left"/>
      <w:pPr>
        <w:tabs>
          <w:tab w:val="left" w:pos="420"/>
        </w:tabs>
        <w:ind w:left="0" w:firstLine="0"/>
      </w:pPr>
      <w:rPr>
        <w:rFonts w:hint="eastAsia" w:ascii="宋体" w:hAnsi="宋体" w:eastAsia="宋体" w:cs="宋体"/>
      </w:rPr>
    </w:lvl>
    <w:lvl w:ilvl="2" w:tentative="0">
      <w:start w:val="1"/>
      <w:numFmt w:val="decimal"/>
      <w:isLgl/>
      <w:suff w:val="space"/>
      <w:lvlText w:val="%1.%2.%3."/>
      <w:lvlJc w:val="left"/>
      <w:pPr>
        <w:tabs>
          <w:tab w:val="left" w:pos="420"/>
        </w:tabs>
        <w:ind w:left="0" w:firstLine="0"/>
      </w:pPr>
      <w:rPr>
        <w:rFonts w:hint="eastAsia" w:ascii="宋体" w:hAnsi="宋体" w:eastAsia="宋体" w:cs="宋体"/>
      </w:rPr>
    </w:lvl>
    <w:lvl w:ilvl="3" w:tentative="0">
      <w:start w:val="1"/>
      <w:numFmt w:val="decimal"/>
      <w:pStyle w:val="8"/>
      <w:isLgl/>
      <w:suff w:val="space"/>
      <w:lvlText w:val="%1.%2.%3.%4."/>
      <w:lvlJc w:val="left"/>
      <w:pPr>
        <w:tabs>
          <w:tab w:val="left" w:pos="420"/>
        </w:tabs>
        <w:ind w:left="0" w:firstLine="0"/>
      </w:pPr>
      <w:rPr>
        <w:rFonts w:hint="eastAsia" w:ascii="宋体" w:hAnsi="宋体" w:eastAsia="宋体" w:cs="宋体"/>
      </w:rPr>
    </w:lvl>
    <w:lvl w:ilvl="4" w:tentative="0">
      <w:start w:val="1"/>
      <w:numFmt w:val="decimal"/>
      <w:pStyle w:val="9"/>
      <w:isLgl/>
      <w:suff w:val="space"/>
      <w:lvlText w:val="%1.%2.%3.%4.%5."/>
      <w:lvlJc w:val="left"/>
      <w:pPr>
        <w:tabs>
          <w:tab w:val="left" w:pos="420"/>
        </w:tabs>
        <w:ind w:left="0" w:firstLine="0"/>
      </w:pPr>
      <w:rPr>
        <w:rFonts w:hint="eastAsia" w:ascii="宋体" w:hAnsi="宋体" w:eastAsia="宋体" w:cs="宋体"/>
      </w:rPr>
    </w:lvl>
    <w:lvl w:ilvl="5" w:tentative="0">
      <w:start w:val="1"/>
      <w:numFmt w:val="decimal"/>
      <w:isLgl/>
      <w:suff w:val="space"/>
      <w:lvlText w:val="%1.%2.%3.%4.%5.%6."/>
      <w:lvlJc w:val="left"/>
      <w:pPr>
        <w:tabs>
          <w:tab w:val="left" w:pos="420"/>
        </w:tabs>
        <w:ind w:left="0" w:firstLine="0"/>
      </w:pPr>
      <w:rPr>
        <w:rFonts w:hint="eastAsia" w:ascii="宋体" w:hAnsi="宋体" w:eastAsia="宋体" w:cs="宋体"/>
      </w:rPr>
    </w:lvl>
    <w:lvl w:ilvl="6" w:tentative="0">
      <w:start w:val="1"/>
      <w:numFmt w:val="decimal"/>
      <w:isLgl/>
      <w:suff w:val="space"/>
      <w:lvlText w:val="%1.%2.%3.%4.%5.%6.%7."/>
      <w:lvlJc w:val="left"/>
      <w:pPr>
        <w:tabs>
          <w:tab w:val="left" w:pos="420"/>
        </w:tabs>
        <w:ind w:left="0" w:firstLine="0"/>
      </w:pPr>
      <w:rPr>
        <w:rFonts w:hint="eastAsia" w:ascii="宋体" w:hAnsi="宋体" w:eastAsia="宋体" w:cs="宋体"/>
      </w:rPr>
    </w:lvl>
    <w:lvl w:ilvl="7" w:tentative="0">
      <w:start w:val="1"/>
      <w:numFmt w:val="decimal"/>
      <w:isLgl/>
      <w:suff w:val="space"/>
      <w:lvlText w:val="%1.%2.%3.%4.%5.%6.%7.%8."/>
      <w:lvlJc w:val="left"/>
      <w:pPr>
        <w:tabs>
          <w:tab w:val="left" w:pos="420"/>
        </w:tabs>
        <w:ind w:left="0" w:firstLine="0"/>
      </w:pPr>
      <w:rPr>
        <w:rFonts w:hint="eastAsia" w:ascii="宋体" w:hAnsi="宋体" w:eastAsia="宋体" w:cs="宋体"/>
      </w:rPr>
    </w:lvl>
    <w:lvl w:ilvl="8" w:tentative="0">
      <w:start w:val="1"/>
      <w:numFmt w:val="decimal"/>
      <w:isLgl/>
      <w:lvlText w:val="%1.%2.%3.%4.%5.%6.%7.%8.%9."/>
      <w:lvlJc w:val="left"/>
      <w:pPr>
        <w:ind w:left="1558" w:hanging="1558"/>
      </w:pPr>
      <w:rPr>
        <w:rFonts w:hint="eastAsia"/>
      </w:rPr>
    </w:lvl>
  </w:abstractNum>
  <w:abstractNum w:abstractNumId="10">
    <w:nsid w:val="1141AE10"/>
    <w:multiLevelType w:val="singleLevel"/>
    <w:tmpl w:val="1141AE10"/>
    <w:lvl w:ilvl="0" w:tentative="0">
      <w:start w:val="10"/>
      <w:numFmt w:val="chineseCounting"/>
      <w:suff w:val="nothing"/>
      <w:lvlText w:val="%1、"/>
      <w:lvlJc w:val="left"/>
      <w:pPr>
        <w:ind w:left="105" w:firstLine="0"/>
      </w:pPr>
      <w:rPr>
        <w:rFonts w:hint="eastAsia"/>
      </w:rPr>
    </w:lvl>
  </w:abstractNum>
  <w:abstractNum w:abstractNumId="11">
    <w:nsid w:val="439DFA09"/>
    <w:multiLevelType w:val="singleLevel"/>
    <w:tmpl w:val="439DFA09"/>
    <w:lvl w:ilvl="0" w:tentative="0">
      <w:start w:val="1"/>
      <w:numFmt w:val="decimal"/>
      <w:suff w:val="nothing"/>
      <w:lvlText w:val="（%1）"/>
      <w:lvlJc w:val="left"/>
      <w:pPr>
        <w:ind w:left="-78"/>
      </w:pPr>
    </w:lvl>
  </w:abstractNum>
  <w:abstractNum w:abstractNumId="12">
    <w:nsid w:val="461E5E94"/>
    <w:multiLevelType w:val="singleLevel"/>
    <w:tmpl w:val="461E5E94"/>
    <w:lvl w:ilvl="0" w:tentative="0">
      <w:start w:val="2"/>
      <w:numFmt w:val="chineseCounting"/>
      <w:suff w:val="space"/>
      <w:lvlText w:val="第%1章"/>
      <w:lvlJc w:val="left"/>
      <w:pPr>
        <w:ind w:left="1206"/>
      </w:pPr>
      <w:rPr>
        <w:rFonts w:hint="eastAsia" w:cs="Times New Roman"/>
      </w:rPr>
    </w:lvl>
  </w:abstractNum>
  <w:abstractNum w:abstractNumId="13">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4">
    <w:nsid w:val="54F403B5"/>
    <w:multiLevelType w:val="singleLevel"/>
    <w:tmpl w:val="54F403B5"/>
    <w:lvl w:ilvl="0" w:tentative="0">
      <w:start w:val="1"/>
      <w:numFmt w:val="chineseCounting"/>
      <w:suff w:val="nothing"/>
      <w:lvlText w:val="%1、"/>
      <w:lvlJc w:val="left"/>
      <w:rPr>
        <w:rFonts w:cs="Times New Roman"/>
      </w:rPr>
    </w:lvl>
  </w:abstractNum>
  <w:abstractNum w:abstractNumId="15">
    <w:nsid w:val="557FD3DA"/>
    <w:multiLevelType w:val="singleLevel"/>
    <w:tmpl w:val="557FD3DA"/>
    <w:lvl w:ilvl="0" w:tentative="0">
      <w:start w:val="3"/>
      <w:numFmt w:val="chineseCounting"/>
      <w:suff w:val="nothing"/>
      <w:lvlText w:val="%1、"/>
      <w:lvlJc w:val="left"/>
      <w:rPr>
        <w:rFonts w:cs="Times New Roman"/>
      </w:rPr>
    </w:lvl>
  </w:abstractNum>
  <w:abstractNum w:abstractNumId="16">
    <w:nsid w:val="6C4172CF"/>
    <w:multiLevelType w:val="singleLevel"/>
    <w:tmpl w:val="6C4172CF"/>
    <w:lvl w:ilvl="0" w:tentative="0">
      <w:start w:val="1"/>
      <w:numFmt w:val="decimal"/>
      <w:suff w:val="nothing"/>
      <w:lvlText w:val="（%1）"/>
      <w:lvlJc w:val="left"/>
      <w:pPr>
        <w:ind w:left="-78"/>
      </w:pPr>
    </w:lvl>
  </w:abstractNum>
  <w:abstractNum w:abstractNumId="17">
    <w:nsid w:val="77E3ECE0"/>
    <w:multiLevelType w:val="singleLevel"/>
    <w:tmpl w:val="77E3ECE0"/>
    <w:lvl w:ilvl="0" w:tentative="0">
      <w:start w:val="5"/>
      <w:numFmt w:val="decimal"/>
      <w:suff w:val="nothing"/>
      <w:lvlText w:val="%1、"/>
      <w:lvlJc w:val="left"/>
      <w:rPr>
        <w:rFonts w:cs="Times New Roman"/>
      </w:rPr>
    </w:lvl>
  </w:abstractNum>
  <w:num w:numId="1">
    <w:abstractNumId w:val="9"/>
  </w:num>
  <w:num w:numId="2">
    <w:abstractNumId w:val="5"/>
  </w:num>
  <w:num w:numId="3">
    <w:abstractNumId w:val="1"/>
  </w:num>
  <w:num w:numId="4">
    <w:abstractNumId w:val="13"/>
  </w:num>
  <w:num w:numId="5">
    <w:abstractNumId w:val="7"/>
  </w:num>
  <w:num w:numId="6">
    <w:abstractNumId w:val="12"/>
  </w:num>
  <w:num w:numId="7">
    <w:abstractNumId w:val="11"/>
  </w:num>
  <w:num w:numId="8">
    <w:abstractNumId w:val="3"/>
  </w:num>
  <w:num w:numId="9">
    <w:abstractNumId w:val="17"/>
  </w:num>
  <w:num w:numId="10">
    <w:abstractNumId w:val="8"/>
  </w:num>
  <w:num w:numId="11">
    <w:abstractNumId w:val="2"/>
  </w:num>
  <w:num w:numId="12">
    <w:abstractNumId w:val="10"/>
  </w:num>
  <w:num w:numId="13">
    <w:abstractNumId w:val="4"/>
  </w:num>
  <w:num w:numId="14">
    <w:abstractNumId w:val="0"/>
  </w:num>
  <w:num w:numId="15">
    <w:abstractNumId w:val="14"/>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YTI1NDYyM2U5ZDVhZGM0ZGViZWUyOTMwNTMzN2EifQ=="/>
    <w:docVar w:name="KSO_WPS_MARK_KEY" w:val="a3464d08-8cfe-473d-95af-d5b2bce20f29"/>
  </w:docVars>
  <w:rsids>
    <w:rsidRoot w:val="0E970358"/>
    <w:rsid w:val="0006294D"/>
    <w:rsid w:val="00062AB3"/>
    <w:rsid w:val="00082DB2"/>
    <w:rsid w:val="00094F74"/>
    <w:rsid w:val="000B32FA"/>
    <w:rsid w:val="000F538D"/>
    <w:rsid w:val="00106CC3"/>
    <w:rsid w:val="00107BF6"/>
    <w:rsid w:val="00122C9E"/>
    <w:rsid w:val="00137451"/>
    <w:rsid w:val="00165F2A"/>
    <w:rsid w:val="00170B8D"/>
    <w:rsid w:val="00187A57"/>
    <w:rsid w:val="001C686C"/>
    <w:rsid w:val="001F40A2"/>
    <w:rsid w:val="001F6220"/>
    <w:rsid w:val="00201D62"/>
    <w:rsid w:val="0020761A"/>
    <w:rsid w:val="0021318F"/>
    <w:rsid w:val="0026287F"/>
    <w:rsid w:val="00281F25"/>
    <w:rsid w:val="002940FC"/>
    <w:rsid w:val="002A1620"/>
    <w:rsid w:val="003102FB"/>
    <w:rsid w:val="00330002"/>
    <w:rsid w:val="00332E30"/>
    <w:rsid w:val="003557BC"/>
    <w:rsid w:val="00375E2E"/>
    <w:rsid w:val="003B3CB2"/>
    <w:rsid w:val="003C3A5E"/>
    <w:rsid w:val="003C5E00"/>
    <w:rsid w:val="003F595C"/>
    <w:rsid w:val="003F78E0"/>
    <w:rsid w:val="00401FA7"/>
    <w:rsid w:val="00435B8C"/>
    <w:rsid w:val="00441FAE"/>
    <w:rsid w:val="00446CEF"/>
    <w:rsid w:val="00471DFE"/>
    <w:rsid w:val="00486C9C"/>
    <w:rsid w:val="00491BDF"/>
    <w:rsid w:val="00493761"/>
    <w:rsid w:val="004B4165"/>
    <w:rsid w:val="004D3BF2"/>
    <w:rsid w:val="004D64C6"/>
    <w:rsid w:val="004E3F60"/>
    <w:rsid w:val="004F76ED"/>
    <w:rsid w:val="0055221F"/>
    <w:rsid w:val="005F0A22"/>
    <w:rsid w:val="006130E0"/>
    <w:rsid w:val="00616E31"/>
    <w:rsid w:val="00625389"/>
    <w:rsid w:val="00655E3C"/>
    <w:rsid w:val="006703AC"/>
    <w:rsid w:val="00674C42"/>
    <w:rsid w:val="006B1C73"/>
    <w:rsid w:val="006E0EED"/>
    <w:rsid w:val="006E2170"/>
    <w:rsid w:val="006F4DFE"/>
    <w:rsid w:val="00742435"/>
    <w:rsid w:val="00781653"/>
    <w:rsid w:val="007A2629"/>
    <w:rsid w:val="007C1005"/>
    <w:rsid w:val="007D6E38"/>
    <w:rsid w:val="007E61B8"/>
    <w:rsid w:val="00802325"/>
    <w:rsid w:val="00827828"/>
    <w:rsid w:val="00844E60"/>
    <w:rsid w:val="00847BE5"/>
    <w:rsid w:val="0088066B"/>
    <w:rsid w:val="008B343B"/>
    <w:rsid w:val="008B60DF"/>
    <w:rsid w:val="008D0772"/>
    <w:rsid w:val="00912983"/>
    <w:rsid w:val="009903A5"/>
    <w:rsid w:val="00990DED"/>
    <w:rsid w:val="009A5932"/>
    <w:rsid w:val="009B3E22"/>
    <w:rsid w:val="009E0C97"/>
    <w:rsid w:val="009F0B40"/>
    <w:rsid w:val="009F1CC6"/>
    <w:rsid w:val="009F3459"/>
    <w:rsid w:val="00A1664F"/>
    <w:rsid w:val="00A30B75"/>
    <w:rsid w:val="00A463AF"/>
    <w:rsid w:val="00A53E51"/>
    <w:rsid w:val="00A730CA"/>
    <w:rsid w:val="00A850DD"/>
    <w:rsid w:val="00A85A62"/>
    <w:rsid w:val="00A91F2E"/>
    <w:rsid w:val="00AA263E"/>
    <w:rsid w:val="00AC76F1"/>
    <w:rsid w:val="00B2373B"/>
    <w:rsid w:val="00B257F3"/>
    <w:rsid w:val="00B77206"/>
    <w:rsid w:val="00B82442"/>
    <w:rsid w:val="00B83859"/>
    <w:rsid w:val="00BB1312"/>
    <w:rsid w:val="00BE44CB"/>
    <w:rsid w:val="00BE6381"/>
    <w:rsid w:val="00C077A5"/>
    <w:rsid w:val="00C20E9D"/>
    <w:rsid w:val="00C52E14"/>
    <w:rsid w:val="00C73CF6"/>
    <w:rsid w:val="00C767D4"/>
    <w:rsid w:val="00CC232E"/>
    <w:rsid w:val="00CC26AE"/>
    <w:rsid w:val="00CC2C73"/>
    <w:rsid w:val="00CD1804"/>
    <w:rsid w:val="00CE41F2"/>
    <w:rsid w:val="00CF7FB6"/>
    <w:rsid w:val="00D56ED2"/>
    <w:rsid w:val="00D77089"/>
    <w:rsid w:val="00DA0EAE"/>
    <w:rsid w:val="00E319E7"/>
    <w:rsid w:val="00E80E4E"/>
    <w:rsid w:val="00EF15C6"/>
    <w:rsid w:val="00EF2797"/>
    <w:rsid w:val="00F127FF"/>
    <w:rsid w:val="00F64695"/>
    <w:rsid w:val="00FC0200"/>
    <w:rsid w:val="00FD3136"/>
    <w:rsid w:val="00FF4003"/>
    <w:rsid w:val="011E4586"/>
    <w:rsid w:val="01207B0A"/>
    <w:rsid w:val="01935887"/>
    <w:rsid w:val="01AA3AD1"/>
    <w:rsid w:val="02331E1E"/>
    <w:rsid w:val="02497534"/>
    <w:rsid w:val="02F456F2"/>
    <w:rsid w:val="036B18CF"/>
    <w:rsid w:val="03D551B1"/>
    <w:rsid w:val="04107783"/>
    <w:rsid w:val="041113F7"/>
    <w:rsid w:val="0428456D"/>
    <w:rsid w:val="04542770"/>
    <w:rsid w:val="04CC341D"/>
    <w:rsid w:val="04EF27FF"/>
    <w:rsid w:val="050C4FE9"/>
    <w:rsid w:val="05137CD7"/>
    <w:rsid w:val="05B60049"/>
    <w:rsid w:val="05D1471C"/>
    <w:rsid w:val="060B26E0"/>
    <w:rsid w:val="07337B3F"/>
    <w:rsid w:val="07555BE9"/>
    <w:rsid w:val="07B902EE"/>
    <w:rsid w:val="07C77660"/>
    <w:rsid w:val="07E823CF"/>
    <w:rsid w:val="07EA31B3"/>
    <w:rsid w:val="080D74C6"/>
    <w:rsid w:val="08816B15"/>
    <w:rsid w:val="08BB5770"/>
    <w:rsid w:val="08C17232"/>
    <w:rsid w:val="09A50034"/>
    <w:rsid w:val="09FD33D3"/>
    <w:rsid w:val="0A1E2208"/>
    <w:rsid w:val="0AB37DFA"/>
    <w:rsid w:val="0B053E40"/>
    <w:rsid w:val="0B317ADC"/>
    <w:rsid w:val="0BB6718F"/>
    <w:rsid w:val="0BDF4154"/>
    <w:rsid w:val="0BF71DAF"/>
    <w:rsid w:val="0C006EB6"/>
    <w:rsid w:val="0C085118"/>
    <w:rsid w:val="0C1E2BA0"/>
    <w:rsid w:val="0C765CB2"/>
    <w:rsid w:val="0CE15FFE"/>
    <w:rsid w:val="0D395574"/>
    <w:rsid w:val="0DEC66B8"/>
    <w:rsid w:val="0E00545B"/>
    <w:rsid w:val="0E042561"/>
    <w:rsid w:val="0E715C40"/>
    <w:rsid w:val="0E970358"/>
    <w:rsid w:val="0F403A70"/>
    <w:rsid w:val="0FBE525E"/>
    <w:rsid w:val="101C156C"/>
    <w:rsid w:val="10310FF7"/>
    <w:rsid w:val="10392EAE"/>
    <w:rsid w:val="105E7029"/>
    <w:rsid w:val="10706EC2"/>
    <w:rsid w:val="10FF40F2"/>
    <w:rsid w:val="11494E5B"/>
    <w:rsid w:val="12730A42"/>
    <w:rsid w:val="12807280"/>
    <w:rsid w:val="12EC527C"/>
    <w:rsid w:val="12F92D92"/>
    <w:rsid w:val="132B1355"/>
    <w:rsid w:val="13765F57"/>
    <w:rsid w:val="13E744B7"/>
    <w:rsid w:val="148463E6"/>
    <w:rsid w:val="149A2B24"/>
    <w:rsid w:val="14BB1D1B"/>
    <w:rsid w:val="14D20D9B"/>
    <w:rsid w:val="15031127"/>
    <w:rsid w:val="15171676"/>
    <w:rsid w:val="15703047"/>
    <w:rsid w:val="15A72BED"/>
    <w:rsid w:val="1621170E"/>
    <w:rsid w:val="166B2183"/>
    <w:rsid w:val="16A8267B"/>
    <w:rsid w:val="17017F86"/>
    <w:rsid w:val="17594D4D"/>
    <w:rsid w:val="18111AA8"/>
    <w:rsid w:val="181772D6"/>
    <w:rsid w:val="189774EB"/>
    <w:rsid w:val="18B91D2B"/>
    <w:rsid w:val="18C40414"/>
    <w:rsid w:val="18D10F03"/>
    <w:rsid w:val="19CA465F"/>
    <w:rsid w:val="1A26291A"/>
    <w:rsid w:val="1A6A6D44"/>
    <w:rsid w:val="1A817123"/>
    <w:rsid w:val="1B574A23"/>
    <w:rsid w:val="1B9777A3"/>
    <w:rsid w:val="1C093ECB"/>
    <w:rsid w:val="1C5B52B8"/>
    <w:rsid w:val="1CE4433A"/>
    <w:rsid w:val="1D817B18"/>
    <w:rsid w:val="1E193233"/>
    <w:rsid w:val="1ECD2E62"/>
    <w:rsid w:val="1EE84AA8"/>
    <w:rsid w:val="1F63430D"/>
    <w:rsid w:val="1F9D5DFB"/>
    <w:rsid w:val="208A1307"/>
    <w:rsid w:val="20C2484C"/>
    <w:rsid w:val="21617332"/>
    <w:rsid w:val="222F4433"/>
    <w:rsid w:val="224D503D"/>
    <w:rsid w:val="228447E5"/>
    <w:rsid w:val="22FF456A"/>
    <w:rsid w:val="23424F53"/>
    <w:rsid w:val="236E14E2"/>
    <w:rsid w:val="23AA37F1"/>
    <w:rsid w:val="23D8210D"/>
    <w:rsid w:val="243C51B7"/>
    <w:rsid w:val="24984C7E"/>
    <w:rsid w:val="249B48C4"/>
    <w:rsid w:val="24DE7553"/>
    <w:rsid w:val="262C206C"/>
    <w:rsid w:val="26A94517"/>
    <w:rsid w:val="27283795"/>
    <w:rsid w:val="276266BB"/>
    <w:rsid w:val="27B51B4D"/>
    <w:rsid w:val="27F92367"/>
    <w:rsid w:val="28044D5B"/>
    <w:rsid w:val="28845678"/>
    <w:rsid w:val="28A41963"/>
    <w:rsid w:val="28C42105"/>
    <w:rsid w:val="2923194A"/>
    <w:rsid w:val="294C149E"/>
    <w:rsid w:val="2996438A"/>
    <w:rsid w:val="29D148D0"/>
    <w:rsid w:val="2A757C60"/>
    <w:rsid w:val="2AC803DC"/>
    <w:rsid w:val="2B6F04A9"/>
    <w:rsid w:val="2C5174D8"/>
    <w:rsid w:val="2C7E2392"/>
    <w:rsid w:val="2D4634C6"/>
    <w:rsid w:val="30143D85"/>
    <w:rsid w:val="302F52B6"/>
    <w:rsid w:val="305F70B7"/>
    <w:rsid w:val="30B33C47"/>
    <w:rsid w:val="31313DC1"/>
    <w:rsid w:val="31752B09"/>
    <w:rsid w:val="31DB75AF"/>
    <w:rsid w:val="32E427DE"/>
    <w:rsid w:val="3309248B"/>
    <w:rsid w:val="331B0688"/>
    <w:rsid w:val="3337485C"/>
    <w:rsid w:val="33DA6AF7"/>
    <w:rsid w:val="341548E3"/>
    <w:rsid w:val="353B6E71"/>
    <w:rsid w:val="35CA3BFC"/>
    <w:rsid w:val="35D008F5"/>
    <w:rsid w:val="35D22FF1"/>
    <w:rsid w:val="36472F8F"/>
    <w:rsid w:val="36BF5F18"/>
    <w:rsid w:val="37712A39"/>
    <w:rsid w:val="37A926AF"/>
    <w:rsid w:val="37C91FA2"/>
    <w:rsid w:val="38185CCA"/>
    <w:rsid w:val="3962620A"/>
    <w:rsid w:val="396A3EB4"/>
    <w:rsid w:val="3A67520F"/>
    <w:rsid w:val="3ACD01A9"/>
    <w:rsid w:val="3AE50133"/>
    <w:rsid w:val="3B125A2B"/>
    <w:rsid w:val="3B345EA5"/>
    <w:rsid w:val="3C1E6A1A"/>
    <w:rsid w:val="3D147270"/>
    <w:rsid w:val="3DA82F0F"/>
    <w:rsid w:val="3DB531EC"/>
    <w:rsid w:val="3DD37B0E"/>
    <w:rsid w:val="3E930198"/>
    <w:rsid w:val="3EEC78B9"/>
    <w:rsid w:val="3FB5591E"/>
    <w:rsid w:val="3FFD0223"/>
    <w:rsid w:val="402A6934"/>
    <w:rsid w:val="40F20284"/>
    <w:rsid w:val="411249BA"/>
    <w:rsid w:val="411424E0"/>
    <w:rsid w:val="41391599"/>
    <w:rsid w:val="414117A8"/>
    <w:rsid w:val="4174562E"/>
    <w:rsid w:val="41E973AB"/>
    <w:rsid w:val="42C75853"/>
    <w:rsid w:val="43036342"/>
    <w:rsid w:val="43FB7067"/>
    <w:rsid w:val="44081D72"/>
    <w:rsid w:val="44795DBA"/>
    <w:rsid w:val="447F036E"/>
    <w:rsid w:val="44C41653"/>
    <w:rsid w:val="45634FEE"/>
    <w:rsid w:val="4563730C"/>
    <w:rsid w:val="469445EC"/>
    <w:rsid w:val="46D15B34"/>
    <w:rsid w:val="46E56F83"/>
    <w:rsid w:val="475905E3"/>
    <w:rsid w:val="48694FA0"/>
    <w:rsid w:val="488E768B"/>
    <w:rsid w:val="48BB71F1"/>
    <w:rsid w:val="49020B0D"/>
    <w:rsid w:val="49976D8C"/>
    <w:rsid w:val="49F41D5E"/>
    <w:rsid w:val="4B1E31F7"/>
    <w:rsid w:val="4B37628C"/>
    <w:rsid w:val="4B5F580E"/>
    <w:rsid w:val="4B6E5F80"/>
    <w:rsid w:val="4B8755B8"/>
    <w:rsid w:val="4BAF035B"/>
    <w:rsid w:val="4BCB3573"/>
    <w:rsid w:val="4CE75373"/>
    <w:rsid w:val="4EEA36B8"/>
    <w:rsid w:val="4F455E2A"/>
    <w:rsid w:val="4F486772"/>
    <w:rsid w:val="4FCD677C"/>
    <w:rsid w:val="51C0632B"/>
    <w:rsid w:val="51E06C62"/>
    <w:rsid w:val="51F95CCF"/>
    <w:rsid w:val="525769A6"/>
    <w:rsid w:val="52855D7F"/>
    <w:rsid w:val="532514A7"/>
    <w:rsid w:val="538E769E"/>
    <w:rsid w:val="53FF3AB1"/>
    <w:rsid w:val="543A7341"/>
    <w:rsid w:val="55887D13"/>
    <w:rsid w:val="55AB5BA4"/>
    <w:rsid w:val="56470607"/>
    <w:rsid w:val="566D4B95"/>
    <w:rsid w:val="56A90A33"/>
    <w:rsid w:val="572656D4"/>
    <w:rsid w:val="589E265F"/>
    <w:rsid w:val="59105E9B"/>
    <w:rsid w:val="5920480C"/>
    <w:rsid w:val="59605BEA"/>
    <w:rsid w:val="59AD06A4"/>
    <w:rsid w:val="5A00557E"/>
    <w:rsid w:val="5A040EEC"/>
    <w:rsid w:val="5A3658D2"/>
    <w:rsid w:val="5A4D586D"/>
    <w:rsid w:val="5A5A07C9"/>
    <w:rsid w:val="5A5D1B55"/>
    <w:rsid w:val="5A6249B0"/>
    <w:rsid w:val="5B4238DA"/>
    <w:rsid w:val="5B4C465D"/>
    <w:rsid w:val="5C00031F"/>
    <w:rsid w:val="5CCC5117"/>
    <w:rsid w:val="5D773816"/>
    <w:rsid w:val="5EDA3A64"/>
    <w:rsid w:val="5EE84C68"/>
    <w:rsid w:val="5F836026"/>
    <w:rsid w:val="5FA3154F"/>
    <w:rsid w:val="6065645C"/>
    <w:rsid w:val="607719E8"/>
    <w:rsid w:val="60D83E2D"/>
    <w:rsid w:val="621023F8"/>
    <w:rsid w:val="621D5BA4"/>
    <w:rsid w:val="624710F1"/>
    <w:rsid w:val="6274455F"/>
    <w:rsid w:val="629C37C4"/>
    <w:rsid w:val="63012E32"/>
    <w:rsid w:val="6329106F"/>
    <w:rsid w:val="632C4996"/>
    <w:rsid w:val="635B6748"/>
    <w:rsid w:val="63947A95"/>
    <w:rsid w:val="640A0FFF"/>
    <w:rsid w:val="65172DF1"/>
    <w:rsid w:val="655267A6"/>
    <w:rsid w:val="65974FC4"/>
    <w:rsid w:val="65BF4191"/>
    <w:rsid w:val="661F49A4"/>
    <w:rsid w:val="66AC3678"/>
    <w:rsid w:val="673867FC"/>
    <w:rsid w:val="67B167D1"/>
    <w:rsid w:val="685F1C50"/>
    <w:rsid w:val="692218F8"/>
    <w:rsid w:val="69323014"/>
    <w:rsid w:val="69622F16"/>
    <w:rsid w:val="699022E9"/>
    <w:rsid w:val="6A382BFE"/>
    <w:rsid w:val="6A60366F"/>
    <w:rsid w:val="6A714498"/>
    <w:rsid w:val="6A9B0765"/>
    <w:rsid w:val="6AD136D4"/>
    <w:rsid w:val="6C1F1BB5"/>
    <w:rsid w:val="6C331A13"/>
    <w:rsid w:val="6C5B2D58"/>
    <w:rsid w:val="6CA067AF"/>
    <w:rsid w:val="6CB7427B"/>
    <w:rsid w:val="6CCA0FE6"/>
    <w:rsid w:val="6CDD07B2"/>
    <w:rsid w:val="6D3B63E1"/>
    <w:rsid w:val="6DA22A9E"/>
    <w:rsid w:val="6E606702"/>
    <w:rsid w:val="6F0D75EF"/>
    <w:rsid w:val="6F4268AB"/>
    <w:rsid w:val="6F7377E2"/>
    <w:rsid w:val="6F8305F4"/>
    <w:rsid w:val="701A2FB5"/>
    <w:rsid w:val="70885E78"/>
    <w:rsid w:val="711E068D"/>
    <w:rsid w:val="716F4295"/>
    <w:rsid w:val="71D56B69"/>
    <w:rsid w:val="722072D4"/>
    <w:rsid w:val="724806EC"/>
    <w:rsid w:val="72797661"/>
    <w:rsid w:val="734B14DB"/>
    <w:rsid w:val="73675042"/>
    <w:rsid w:val="745919C6"/>
    <w:rsid w:val="74702A9A"/>
    <w:rsid w:val="761C2BBB"/>
    <w:rsid w:val="76FE3D2B"/>
    <w:rsid w:val="776A1DE8"/>
    <w:rsid w:val="77A92C7B"/>
    <w:rsid w:val="77D32191"/>
    <w:rsid w:val="782578C0"/>
    <w:rsid w:val="785D00CA"/>
    <w:rsid w:val="789631FF"/>
    <w:rsid w:val="78A212C9"/>
    <w:rsid w:val="78BF7635"/>
    <w:rsid w:val="78C7160B"/>
    <w:rsid w:val="797707D4"/>
    <w:rsid w:val="79D331F8"/>
    <w:rsid w:val="7A2D5463"/>
    <w:rsid w:val="7A4004A5"/>
    <w:rsid w:val="7AEB71DD"/>
    <w:rsid w:val="7B106A0D"/>
    <w:rsid w:val="7B235D7A"/>
    <w:rsid w:val="7B25341A"/>
    <w:rsid w:val="7B331AE2"/>
    <w:rsid w:val="7C6A7894"/>
    <w:rsid w:val="7C6F7A74"/>
    <w:rsid w:val="7C904452"/>
    <w:rsid w:val="7C9A05B2"/>
    <w:rsid w:val="7CEC4772"/>
    <w:rsid w:val="7D336F41"/>
    <w:rsid w:val="7D494CE4"/>
    <w:rsid w:val="7DD07A67"/>
    <w:rsid w:val="7DDD6CEA"/>
    <w:rsid w:val="7E526530"/>
    <w:rsid w:val="7E636E14"/>
    <w:rsid w:val="7EAD4517"/>
    <w:rsid w:val="7FA37E8F"/>
    <w:rsid w:val="7FF95062"/>
    <w:rsid w:val="EE9F27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ocked="1"/>
    <w:lsdException w:qFormat="1" w:unhideWhenUsed="0" w:uiPriority="99" w:semiHidden="0" w:name="heading 3"/>
    <w:lsdException w:qFormat="1" w:uiPriority="0" w:name="heading 4" w:locked="1"/>
    <w:lsdException w:qFormat="1" w:uiPriority="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autoRedefine/>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autoRedefine/>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9"/>
    <w:autoRedefine/>
    <w:qFormat/>
    <w:uiPriority w:val="99"/>
    <w:pPr>
      <w:keepNext/>
      <w:keepLines/>
      <w:spacing w:before="260" w:after="260" w:line="416" w:lineRule="auto"/>
      <w:outlineLvl w:val="2"/>
    </w:pPr>
    <w:rPr>
      <w:b/>
      <w:bCs/>
      <w:kern w:val="0"/>
      <w:sz w:val="32"/>
      <w:szCs w:val="32"/>
    </w:rPr>
  </w:style>
  <w:style w:type="paragraph" w:styleId="8">
    <w:name w:val="heading 4"/>
    <w:basedOn w:val="1"/>
    <w:next w:val="1"/>
    <w:autoRedefine/>
    <w:semiHidden/>
    <w:unhideWhenUsed/>
    <w:qFormat/>
    <w:locked/>
    <w:uiPriority w:val="0"/>
    <w:pPr>
      <w:numPr>
        <w:ilvl w:val="3"/>
        <w:numId w:val="1"/>
      </w:numPr>
      <w:snapToGrid w:val="0"/>
      <w:spacing w:before="50" w:beforeLines="50" w:after="50" w:afterLines="50" w:line="360" w:lineRule="auto"/>
      <w:jc w:val="left"/>
      <w:outlineLvl w:val="3"/>
    </w:pPr>
    <w:rPr>
      <w:rFonts w:hint="eastAsia" w:eastAsia="黑体"/>
      <w:b/>
      <w:bCs/>
      <w:kern w:val="0"/>
      <w:sz w:val="28"/>
    </w:rPr>
  </w:style>
  <w:style w:type="paragraph" w:styleId="9">
    <w:name w:val="heading 5"/>
    <w:basedOn w:val="1"/>
    <w:next w:val="1"/>
    <w:autoRedefine/>
    <w:semiHidden/>
    <w:unhideWhenUsed/>
    <w:qFormat/>
    <w:locked/>
    <w:uiPriority w:val="0"/>
    <w:pPr>
      <w:keepNext/>
      <w:keepLines/>
      <w:numPr>
        <w:ilvl w:val="4"/>
        <w:numId w:val="1"/>
      </w:numPr>
      <w:spacing w:before="25" w:beforeLines="25" w:after="25" w:afterLines="25" w:line="360" w:lineRule="auto"/>
      <w:outlineLvl w:val="4"/>
    </w:pPr>
    <w:rPr>
      <w:rFonts w:eastAsia="黑体"/>
      <w:b/>
      <w:sz w:val="24"/>
      <w:szCs w:val="2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
    <w:autoRedefine/>
    <w:qFormat/>
    <w:uiPriority w:val="99"/>
    <w:pPr>
      <w:spacing w:line="360" w:lineRule="exact"/>
    </w:pPr>
    <w:rPr>
      <w:kern w:val="0"/>
      <w:sz w:val="24"/>
    </w:rPr>
  </w:style>
  <w:style w:type="paragraph" w:styleId="3">
    <w:name w:val="Body Text First Indent"/>
    <w:basedOn w:val="2"/>
    <w:next w:val="4"/>
    <w:link w:val="43"/>
    <w:autoRedefine/>
    <w:qFormat/>
    <w:uiPriority w:val="99"/>
    <w:pPr>
      <w:autoSpaceDE w:val="0"/>
      <w:autoSpaceDN w:val="0"/>
      <w:adjustRightInd w:val="0"/>
      <w:ind w:firstLine="420" w:firstLineChars="100"/>
      <w:jc w:val="left"/>
    </w:pPr>
    <w:rPr>
      <w:sz w:val="20"/>
      <w:szCs w:val="20"/>
    </w:rPr>
  </w:style>
  <w:style w:type="paragraph" w:styleId="4">
    <w:name w:val="toc 6"/>
    <w:basedOn w:val="1"/>
    <w:next w:val="1"/>
    <w:autoRedefine/>
    <w:qFormat/>
    <w:uiPriority w:val="39"/>
    <w:pPr>
      <w:widowControl/>
      <w:ind w:left="1000"/>
      <w:jc w:val="left"/>
    </w:pPr>
    <w:rPr>
      <w:kern w:val="0"/>
      <w:sz w:val="18"/>
      <w:szCs w:val="20"/>
    </w:rPr>
  </w:style>
  <w:style w:type="paragraph" w:styleId="10">
    <w:name w:val="List Number"/>
    <w:basedOn w:val="1"/>
    <w:autoRedefine/>
    <w:qFormat/>
    <w:uiPriority w:val="99"/>
    <w:pPr>
      <w:numPr>
        <w:ilvl w:val="0"/>
        <w:numId w:val="2"/>
      </w:numPr>
    </w:pPr>
  </w:style>
  <w:style w:type="paragraph" w:styleId="11">
    <w:name w:val="Normal Indent"/>
    <w:basedOn w:val="1"/>
    <w:next w:val="12"/>
    <w:autoRedefine/>
    <w:qFormat/>
    <w:uiPriority w:val="99"/>
    <w:pPr>
      <w:ind w:firstLine="420"/>
    </w:pPr>
    <w:rPr>
      <w:szCs w:val="20"/>
    </w:rPr>
  </w:style>
  <w:style w:type="paragraph" w:styleId="12">
    <w:name w:val="toc 4"/>
    <w:basedOn w:val="1"/>
    <w:next w:val="1"/>
    <w:autoRedefine/>
    <w:qFormat/>
    <w:uiPriority w:val="99"/>
    <w:pPr>
      <w:ind w:left="630"/>
      <w:jc w:val="left"/>
    </w:pPr>
    <w:rPr>
      <w:rFonts w:ascii="Calibri" w:hAnsi="Calibri"/>
      <w:sz w:val="18"/>
      <w:szCs w:val="18"/>
    </w:rPr>
  </w:style>
  <w:style w:type="paragraph" w:styleId="13">
    <w:name w:val="annotation text"/>
    <w:basedOn w:val="1"/>
    <w:link w:val="41"/>
    <w:autoRedefine/>
    <w:qFormat/>
    <w:uiPriority w:val="99"/>
    <w:pPr>
      <w:jc w:val="left"/>
    </w:pPr>
    <w:rPr>
      <w:sz w:val="24"/>
    </w:rPr>
  </w:style>
  <w:style w:type="paragraph" w:styleId="14">
    <w:name w:val="Body Text Indent"/>
    <w:basedOn w:val="1"/>
    <w:link w:val="44"/>
    <w:autoRedefine/>
    <w:qFormat/>
    <w:uiPriority w:val="99"/>
    <w:pPr>
      <w:spacing w:after="120"/>
      <w:ind w:left="420" w:leftChars="200"/>
    </w:pPr>
  </w:style>
  <w:style w:type="paragraph" w:styleId="15">
    <w:name w:val="Plain Text"/>
    <w:basedOn w:val="1"/>
    <w:next w:val="16"/>
    <w:link w:val="45"/>
    <w:autoRedefine/>
    <w:qFormat/>
    <w:uiPriority w:val="99"/>
    <w:rPr>
      <w:rFonts w:ascii="宋体" w:hAnsi="Courier New"/>
      <w:kern w:val="0"/>
      <w:szCs w:val="21"/>
    </w:rPr>
  </w:style>
  <w:style w:type="paragraph" w:styleId="16">
    <w:name w:val="Date"/>
    <w:basedOn w:val="1"/>
    <w:next w:val="1"/>
    <w:link w:val="46"/>
    <w:autoRedefine/>
    <w:qFormat/>
    <w:uiPriority w:val="99"/>
    <w:pPr>
      <w:ind w:left="2500" w:leftChars="2500"/>
    </w:pPr>
    <w:rPr>
      <w:kern w:val="0"/>
      <w:sz w:val="24"/>
    </w:rPr>
  </w:style>
  <w:style w:type="paragraph" w:styleId="17">
    <w:name w:val="Body Text Indent 2"/>
    <w:basedOn w:val="1"/>
    <w:link w:val="47"/>
    <w:autoRedefine/>
    <w:qFormat/>
    <w:uiPriority w:val="99"/>
    <w:pPr>
      <w:widowControl/>
      <w:spacing w:line="480" w:lineRule="atLeast"/>
      <w:ind w:firstLine="480"/>
    </w:pPr>
    <w:rPr>
      <w:kern w:val="0"/>
      <w:sz w:val="24"/>
    </w:rPr>
  </w:style>
  <w:style w:type="paragraph" w:styleId="18">
    <w:name w:val="Balloon Text"/>
    <w:basedOn w:val="1"/>
    <w:link w:val="48"/>
    <w:autoRedefine/>
    <w:qFormat/>
    <w:uiPriority w:val="99"/>
    <w:rPr>
      <w:sz w:val="18"/>
      <w:szCs w:val="18"/>
    </w:rPr>
  </w:style>
  <w:style w:type="paragraph" w:styleId="19">
    <w:name w:val="footer"/>
    <w:basedOn w:val="1"/>
    <w:link w:val="49"/>
    <w:autoRedefine/>
    <w:qFormat/>
    <w:uiPriority w:val="99"/>
    <w:pPr>
      <w:tabs>
        <w:tab w:val="center" w:pos="4153"/>
        <w:tab w:val="right" w:pos="8306"/>
      </w:tabs>
      <w:snapToGrid w:val="0"/>
      <w:jc w:val="left"/>
    </w:pPr>
    <w:rPr>
      <w:kern w:val="0"/>
      <w:sz w:val="18"/>
      <w:szCs w:val="18"/>
    </w:rPr>
  </w:style>
  <w:style w:type="paragraph" w:styleId="20">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1">
    <w:name w:val="footnote text"/>
    <w:basedOn w:val="1"/>
    <w:autoRedefine/>
    <w:semiHidden/>
    <w:qFormat/>
    <w:uiPriority w:val="99"/>
    <w:pPr>
      <w:snapToGrid w:val="0"/>
      <w:jc w:val="left"/>
    </w:pPr>
    <w:rPr>
      <w:sz w:val="18"/>
      <w:szCs w:val="18"/>
    </w:rPr>
  </w:style>
  <w:style w:type="paragraph" w:styleId="22">
    <w:name w:val="Body Text Indent 3"/>
    <w:basedOn w:val="1"/>
    <w:link w:val="51"/>
    <w:autoRedefine/>
    <w:qFormat/>
    <w:uiPriority w:val="99"/>
    <w:pPr>
      <w:autoSpaceDE w:val="0"/>
      <w:autoSpaceDN w:val="0"/>
      <w:spacing w:line="400" w:lineRule="atLeast"/>
      <w:ind w:firstLine="443" w:firstLineChars="200"/>
      <w:textAlignment w:val="bottom"/>
    </w:pPr>
    <w:rPr>
      <w:kern w:val="0"/>
      <w:sz w:val="16"/>
      <w:szCs w:val="16"/>
    </w:rPr>
  </w:style>
  <w:style w:type="paragraph" w:styleId="23">
    <w:name w:val="toc 2"/>
    <w:basedOn w:val="1"/>
    <w:next w:val="1"/>
    <w:autoRedefine/>
    <w:qFormat/>
    <w:uiPriority w:val="99"/>
    <w:pPr>
      <w:ind w:left="420" w:leftChars="200"/>
    </w:p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link w:val="40"/>
    <w:autoRedefine/>
    <w:qFormat/>
    <w:locked/>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6">
    <w:name w:val="annotation subject"/>
    <w:basedOn w:val="13"/>
    <w:next w:val="13"/>
    <w:link w:val="52"/>
    <w:autoRedefine/>
    <w:qFormat/>
    <w:uiPriority w:val="99"/>
    <w:rPr>
      <w:b/>
      <w:bCs/>
    </w:rPr>
  </w:style>
  <w:style w:type="paragraph" w:styleId="27">
    <w:name w:val="Body Text First Indent 2"/>
    <w:basedOn w:val="14"/>
    <w:autoRedefine/>
    <w:qFormat/>
    <w:uiPriority w:val="0"/>
    <w:pPr>
      <w:ind w:firstLine="420" w:firstLineChars="200"/>
    </w:pPr>
    <w:rPr>
      <w:rFonts w:ascii="宋体" w:hAnsi="Courier New" w:eastAsiaTheme="minorEastAsia" w:cstheme="minorBidi"/>
      <w:spacing w:val="-4"/>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autoRedefine/>
    <w:qFormat/>
    <w:uiPriority w:val="99"/>
    <w:rPr>
      <w:rFonts w:cs="Times New Roman"/>
    </w:rPr>
  </w:style>
  <w:style w:type="character" w:styleId="32">
    <w:name w:val="FollowedHyperlink"/>
    <w:basedOn w:val="30"/>
    <w:autoRedefine/>
    <w:qFormat/>
    <w:uiPriority w:val="0"/>
    <w:rPr>
      <w:color w:val="800080"/>
      <w:u w:val="single"/>
    </w:rPr>
  </w:style>
  <w:style w:type="character" w:styleId="33">
    <w:name w:val="Emphasis"/>
    <w:basedOn w:val="30"/>
    <w:autoRedefine/>
    <w:qFormat/>
    <w:locked/>
    <w:uiPriority w:val="20"/>
    <w:rPr>
      <w:i/>
    </w:rPr>
  </w:style>
  <w:style w:type="character" w:styleId="34">
    <w:name w:val="Hyperlink"/>
    <w:basedOn w:val="30"/>
    <w:autoRedefine/>
    <w:qFormat/>
    <w:uiPriority w:val="99"/>
    <w:rPr>
      <w:rFonts w:cs="Times New Roman"/>
      <w:color w:val="0000FF"/>
      <w:u w:val="single"/>
    </w:rPr>
  </w:style>
  <w:style w:type="character" w:styleId="35">
    <w:name w:val="annotation reference"/>
    <w:basedOn w:val="30"/>
    <w:autoRedefine/>
    <w:qFormat/>
    <w:uiPriority w:val="99"/>
    <w:rPr>
      <w:rFonts w:cs="Times New Roman"/>
      <w:sz w:val="21"/>
    </w:rPr>
  </w:style>
  <w:style w:type="character" w:styleId="36">
    <w:name w:val="footnote reference"/>
    <w:basedOn w:val="30"/>
    <w:autoRedefine/>
    <w:semiHidden/>
    <w:qFormat/>
    <w:uiPriority w:val="99"/>
    <w:rPr>
      <w:vertAlign w:val="superscript"/>
    </w:rPr>
  </w:style>
  <w:style w:type="paragraph" w:customStyle="1" w:styleId="37">
    <w:name w:val="Default"/>
    <w:autoRedefine/>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字符"/>
    <w:basedOn w:val="30"/>
    <w:link w:val="5"/>
    <w:autoRedefine/>
    <w:qFormat/>
    <w:uiPriority w:val="9"/>
    <w:rPr>
      <w:b/>
      <w:bCs/>
      <w:kern w:val="44"/>
      <w:sz w:val="44"/>
      <w:szCs w:val="44"/>
    </w:rPr>
  </w:style>
  <w:style w:type="character" w:customStyle="1" w:styleId="39">
    <w:name w:val="标题 3 字符"/>
    <w:basedOn w:val="30"/>
    <w:link w:val="7"/>
    <w:autoRedefine/>
    <w:semiHidden/>
    <w:qFormat/>
    <w:locked/>
    <w:uiPriority w:val="99"/>
    <w:rPr>
      <w:b/>
      <w:sz w:val="32"/>
    </w:rPr>
  </w:style>
  <w:style w:type="character" w:customStyle="1" w:styleId="40">
    <w:name w:val="标题 字符"/>
    <w:basedOn w:val="30"/>
    <w:link w:val="25"/>
    <w:autoRedefine/>
    <w:qFormat/>
    <w:uiPriority w:val="10"/>
    <w:rPr>
      <w:rFonts w:ascii="Cambria" w:hAnsi="Cambria" w:cs="Times New Roman"/>
      <w:b/>
      <w:bCs/>
      <w:sz w:val="32"/>
      <w:szCs w:val="32"/>
    </w:rPr>
  </w:style>
  <w:style w:type="character" w:customStyle="1" w:styleId="41">
    <w:name w:val="批注文字 字符"/>
    <w:basedOn w:val="30"/>
    <w:link w:val="13"/>
    <w:autoRedefine/>
    <w:qFormat/>
    <w:locked/>
    <w:uiPriority w:val="99"/>
    <w:rPr>
      <w:rFonts w:ascii="Times New Roman" w:hAnsi="Times New Roman" w:eastAsia="宋体"/>
      <w:kern w:val="2"/>
      <w:sz w:val="24"/>
    </w:rPr>
  </w:style>
  <w:style w:type="character" w:customStyle="1" w:styleId="42">
    <w:name w:val="正文文本 字符"/>
    <w:basedOn w:val="30"/>
    <w:link w:val="2"/>
    <w:autoRedefine/>
    <w:semiHidden/>
    <w:qFormat/>
    <w:locked/>
    <w:uiPriority w:val="99"/>
    <w:rPr>
      <w:sz w:val="24"/>
    </w:rPr>
  </w:style>
  <w:style w:type="character" w:customStyle="1" w:styleId="43">
    <w:name w:val="正文文本首行缩进 字符"/>
    <w:basedOn w:val="42"/>
    <w:link w:val="3"/>
    <w:autoRedefine/>
    <w:semiHidden/>
    <w:qFormat/>
    <w:uiPriority w:val="99"/>
    <w:rPr>
      <w:sz w:val="24"/>
      <w:szCs w:val="24"/>
    </w:rPr>
  </w:style>
  <w:style w:type="character" w:customStyle="1" w:styleId="44">
    <w:name w:val="正文文本缩进 字符"/>
    <w:basedOn w:val="30"/>
    <w:link w:val="14"/>
    <w:autoRedefine/>
    <w:semiHidden/>
    <w:qFormat/>
    <w:uiPriority w:val="99"/>
    <w:rPr>
      <w:szCs w:val="24"/>
    </w:rPr>
  </w:style>
  <w:style w:type="character" w:customStyle="1" w:styleId="45">
    <w:name w:val="纯文本 字符"/>
    <w:basedOn w:val="30"/>
    <w:link w:val="15"/>
    <w:autoRedefine/>
    <w:semiHidden/>
    <w:qFormat/>
    <w:locked/>
    <w:uiPriority w:val="99"/>
    <w:rPr>
      <w:rFonts w:ascii="宋体" w:hAnsi="Courier New"/>
      <w:sz w:val="21"/>
    </w:rPr>
  </w:style>
  <w:style w:type="character" w:customStyle="1" w:styleId="46">
    <w:name w:val="日期 字符"/>
    <w:basedOn w:val="30"/>
    <w:link w:val="16"/>
    <w:autoRedefine/>
    <w:semiHidden/>
    <w:qFormat/>
    <w:locked/>
    <w:uiPriority w:val="99"/>
    <w:rPr>
      <w:sz w:val="24"/>
    </w:rPr>
  </w:style>
  <w:style w:type="character" w:customStyle="1" w:styleId="47">
    <w:name w:val="正文文本缩进 2 字符"/>
    <w:basedOn w:val="30"/>
    <w:link w:val="17"/>
    <w:autoRedefine/>
    <w:semiHidden/>
    <w:qFormat/>
    <w:locked/>
    <w:uiPriority w:val="99"/>
    <w:rPr>
      <w:sz w:val="24"/>
    </w:rPr>
  </w:style>
  <w:style w:type="character" w:customStyle="1" w:styleId="48">
    <w:name w:val="批注框文本 字符"/>
    <w:basedOn w:val="30"/>
    <w:link w:val="18"/>
    <w:autoRedefine/>
    <w:qFormat/>
    <w:locked/>
    <w:uiPriority w:val="99"/>
    <w:rPr>
      <w:rFonts w:ascii="Times New Roman" w:hAnsi="Times New Roman" w:eastAsia="宋体"/>
      <w:kern w:val="2"/>
      <w:sz w:val="18"/>
    </w:rPr>
  </w:style>
  <w:style w:type="character" w:customStyle="1" w:styleId="49">
    <w:name w:val="页脚 字符"/>
    <w:basedOn w:val="30"/>
    <w:link w:val="19"/>
    <w:autoRedefine/>
    <w:semiHidden/>
    <w:qFormat/>
    <w:locked/>
    <w:uiPriority w:val="99"/>
    <w:rPr>
      <w:sz w:val="18"/>
    </w:rPr>
  </w:style>
  <w:style w:type="character" w:customStyle="1" w:styleId="50">
    <w:name w:val="页眉 字符"/>
    <w:basedOn w:val="30"/>
    <w:link w:val="20"/>
    <w:autoRedefine/>
    <w:semiHidden/>
    <w:qFormat/>
    <w:locked/>
    <w:uiPriority w:val="99"/>
    <w:rPr>
      <w:sz w:val="18"/>
    </w:rPr>
  </w:style>
  <w:style w:type="character" w:customStyle="1" w:styleId="51">
    <w:name w:val="正文文本缩进 3 字符"/>
    <w:basedOn w:val="30"/>
    <w:link w:val="22"/>
    <w:autoRedefine/>
    <w:semiHidden/>
    <w:qFormat/>
    <w:locked/>
    <w:uiPriority w:val="99"/>
    <w:rPr>
      <w:sz w:val="16"/>
    </w:rPr>
  </w:style>
  <w:style w:type="character" w:customStyle="1" w:styleId="52">
    <w:name w:val="批注主题 字符"/>
    <w:basedOn w:val="41"/>
    <w:link w:val="26"/>
    <w:autoRedefine/>
    <w:qFormat/>
    <w:locked/>
    <w:uiPriority w:val="99"/>
    <w:rPr>
      <w:rFonts w:ascii="Times New Roman" w:hAnsi="Times New Roman" w:eastAsia="宋体"/>
      <w:b/>
      <w:kern w:val="2"/>
      <w:sz w:val="24"/>
    </w:rPr>
  </w:style>
  <w:style w:type="paragraph" w:customStyle="1" w:styleId="53">
    <w:name w:val="正文首行缩进 21"/>
    <w:basedOn w:val="54"/>
    <w:autoRedefine/>
    <w:qFormat/>
    <w:uiPriority w:val="99"/>
    <w:pPr>
      <w:ind w:firstLine="420"/>
    </w:pPr>
    <w:rPr>
      <w:rFonts w:cs="宋体"/>
    </w:rPr>
  </w:style>
  <w:style w:type="paragraph" w:customStyle="1" w:styleId="54">
    <w:name w:val="Body Text Indent1"/>
    <w:basedOn w:val="1"/>
    <w:next w:val="1"/>
    <w:autoRedefine/>
    <w:qFormat/>
    <w:uiPriority w:val="99"/>
    <w:pPr>
      <w:spacing w:after="120"/>
      <w:ind w:left="420" w:leftChars="200"/>
    </w:pPr>
    <w:rPr>
      <w:color w:val="000000"/>
      <w:szCs w:val="21"/>
    </w:rPr>
  </w:style>
  <w:style w:type="paragraph" w:customStyle="1" w:styleId="55">
    <w:name w:val="表格文字"/>
    <w:basedOn w:val="1"/>
    <w:next w:val="2"/>
    <w:autoRedefine/>
    <w:qFormat/>
    <w:uiPriority w:val="99"/>
    <w:pPr>
      <w:adjustRightInd w:val="0"/>
      <w:spacing w:line="420" w:lineRule="atLeast"/>
      <w:jc w:val="left"/>
      <w:textAlignment w:val="baseline"/>
    </w:pPr>
    <w:rPr>
      <w:kern w:val="0"/>
    </w:rPr>
  </w:style>
  <w:style w:type="character" w:customStyle="1" w:styleId="56">
    <w:name w:val="正文文本缩进 Char"/>
    <w:autoRedefine/>
    <w:qFormat/>
    <w:locked/>
    <w:uiPriority w:val="99"/>
    <w:rPr>
      <w:kern w:val="2"/>
      <w:sz w:val="24"/>
    </w:rPr>
  </w:style>
  <w:style w:type="paragraph" w:customStyle="1" w:styleId="57">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58">
    <w:name w:val="List Paragraph"/>
    <w:basedOn w:val="1"/>
    <w:autoRedefine/>
    <w:qFormat/>
    <w:uiPriority w:val="99"/>
    <w:pPr>
      <w:ind w:firstLine="420" w:firstLineChars="200"/>
    </w:pPr>
    <w:rPr>
      <w:rFonts w:ascii="Calibri" w:hAnsi="Calibri"/>
      <w:szCs w:val="22"/>
    </w:rPr>
  </w:style>
  <w:style w:type="paragraph" w:customStyle="1" w:styleId="59">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0">
    <w:name w:val="列出段落1"/>
    <w:basedOn w:val="1"/>
    <w:autoRedefine/>
    <w:qFormat/>
    <w:uiPriority w:val="99"/>
    <w:pPr>
      <w:ind w:firstLine="420" w:firstLineChars="200"/>
    </w:pPr>
    <w:rPr>
      <w:rFonts w:ascii="Calibri" w:hAnsi="Calibri"/>
      <w:kern w:val="0"/>
      <w:szCs w:val="20"/>
    </w:rPr>
  </w:style>
  <w:style w:type="paragraph" w:customStyle="1" w:styleId="61">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
    <w:autoRedefine/>
    <w:qFormat/>
    <w:uiPriority w:val="99"/>
    <w:rPr>
      <w:rFonts w:ascii="Times New Roman" w:hAnsi="Times New Roman" w:eastAsia="宋体" w:cs="Times New Roman"/>
      <w:sz w:val="21"/>
      <w:szCs w:val="22"/>
      <w:lang w:val="en-US" w:eastAsia="zh-CN" w:bidi="ar-SA"/>
    </w:rPr>
  </w:style>
  <w:style w:type="paragraph" w:customStyle="1" w:styleId="6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纯文本_3"/>
    <w:basedOn w:val="67"/>
    <w:autoRedefine/>
    <w:qFormat/>
    <w:uiPriority w:val="99"/>
    <w:pPr>
      <w:widowControl/>
      <w:jc w:val="left"/>
    </w:pPr>
    <w:rPr>
      <w:rFonts w:ascii="宋体" w:hAnsi="Courier New"/>
      <w:szCs w:val="21"/>
    </w:rPr>
  </w:style>
  <w:style w:type="paragraph" w:customStyle="1" w:styleId="69">
    <w:name w:val="纯文本_0_1"/>
    <w:basedOn w:val="1"/>
    <w:autoRedefine/>
    <w:qFormat/>
    <w:uiPriority w:val="99"/>
    <w:pPr>
      <w:widowControl/>
      <w:jc w:val="left"/>
    </w:pPr>
    <w:rPr>
      <w:rFonts w:ascii="宋体" w:hAnsi="Courier New"/>
      <w:szCs w:val="21"/>
    </w:rPr>
  </w:style>
  <w:style w:type="paragraph" w:customStyle="1" w:styleId="7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
    <w:name w:val="List Paragraph1"/>
    <w:basedOn w:val="1"/>
    <w:autoRedefine/>
    <w:qFormat/>
    <w:uiPriority w:val="99"/>
    <w:pPr>
      <w:ind w:firstLine="420" w:firstLineChars="200"/>
    </w:pPr>
  </w:style>
  <w:style w:type="paragraph" w:customStyle="1" w:styleId="75">
    <w:name w:val="[Normal]"/>
    <w:autoRedefine/>
    <w:qFormat/>
    <w:uiPriority w:val="99"/>
    <w:rPr>
      <w:rFonts w:ascii="宋体" w:hAnsi="宋体" w:eastAsia="宋体" w:cs="Times New Roman"/>
      <w:sz w:val="24"/>
      <w:szCs w:val="22"/>
      <w:lang w:val="zh-CN" w:eastAsia="zh-CN" w:bidi="ar-SA"/>
    </w:rPr>
  </w:style>
  <w:style w:type="paragraph" w:customStyle="1" w:styleId="76">
    <w:name w:val="纯文本1"/>
    <w:basedOn w:val="77"/>
    <w:autoRedefine/>
    <w:qFormat/>
    <w:uiPriority w:val="99"/>
    <w:pPr>
      <w:widowControl/>
      <w:jc w:val="left"/>
    </w:pPr>
    <w:rPr>
      <w:rFonts w:ascii="宋体" w:hAnsi="Courier New"/>
    </w:rPr>
  </w:style>
  <w:style w:type="paragraph" w:customStyle="1" w:styleId="77">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8">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79">
    <w:name w:val="正文文本缩进 31"/>
    <w:basedOn w:val="1"/>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customStyle="1" w:styleId="80">
    <w:name w:val="正文文本缩进 21"/>
    <w:basedOn w:val="1"/>
    <w:autoRedefine/>
    <w:qFormat/>
    <w:uiPriority w:val="99"/>
    <w:pPr>
      <w:widowControl/>
      <w:spacing w:line="480" w:lineRule="atLeast"/>
      <w:ind w:firstLine="480"/>
    </w:pPr>
    <w:rPr>
      <w:rFonts w:ascii="宋体"/>
      <w:kern w:val="0"/>
      <w:sz w:val="24"/>
      <w:szCs w:val="20"/>
    </w:rPr>
  </w:style>
  <w:style w:type="character" w:customStyle="1" w:styleId="81">
    <w:name w:val="font81"/>
    <w:basedOn w:val="30"/>
    <w:autoRedefine/>
    <w:qFormat/>
    <w:uiPriority w:val="99"/>
    <w:rPr>
      <w:rFonts w:ascii="宋体" w:hAnsi="宋体" w:eastAsia="宋体" w:cs="宋体"/>
      <w:color w:val="000000"/>
      <w:sz w:val="20"/>
      <w:szCs w:val="20"/>
      <w:u w:val="none"/>
    </w:rPr>
  </w:style>
  <w:style w:type="character" w:customStyle="1" w:styleId="82">
    <w:name w:val="font01"/>
    <w:basedOn w:val="30"/>
    <w:autoRedefine/>
    <w:qFormat/>
    <w:uiPriority w:val="99"/>
    <w:rPr>
      <w:rFonts w:ascii="宋体" w:hAnsi="宋体" w:eastAsia="宋体" w:cs="宋体"/>
      <w:b/>
      <w:bCs/>
      <w:color w:val="000000"/>
      <w:sz w:val="20"/>
      <w:szCs w:val="20"/>
      <w:u w:val="none"/>
    </w:rPr>
  </w:style>
  <w:style w:type="character" w:customStyle="1" w:styleId="83">
    <w:name w:val="font51"/>
    <w:basedOn w:val="30"/>
    <w:autoRedefine/>
    <w:qFormat/>
    <w:uiPriority w:val="99"/>
    <w:rPr>
      <w:rFonts w:ascii="宋体" w:hAnsi="宋体" w:eastAsia="宋体" w:cs="宋体"/>
      <w:color w:val="000000"/>
      <w:sz w:val="22"/>
      <w:szCs w:val="22"/>
      <w:u w:val="none"/>
    </w:rPr>
  </w:style>
  <w:style w:type="character" w:customStyle="1" w:styleId="84">
    <w:name w:val="font121"/>
    <w:basedOn w:val="30"/>
    <w:autoRedefine/>
    <w:qFormat/>
    <w:uiPriority w:val="99"/>
    <w:rPr>
      <w:rFonts w:ascii="Times New Roman" w:hAnsi="Times New Roman" w:cs="Times New Roman"/>
      <w:color w:val="000000"/>
      <w:sz w:val="20"/>
      <w:szCs w:val="20"/>
      <w:u w:val="none"/>
    </w:rPr>
  </w:style>
  <w:style w:type="character" w:customStyle="1" w:styleId="85">
    <w:name w:val="font61"/>
    <w:basedOn w:val="30"/>
    <w:autoRedefine/>
    <w:qFormat/>
    <w:uiPriority w:val="0"/>
    <w:rPr>
      <w:rFonts w:hint="default" w:ascii="Times New Roman" w:hAnsi="Times New Roman" w:cs="Times New Roman"/>
      <w:color w:val="000000"/>
      <w:sz w:val="20"/>
      <w:szCs w:val="20"/>
      <w:u w:val="none"/>
    </w:rPr>
  </w:style>
  <w:style w:type="character" w:customStyle="1" w:styleId="86">
    <w:name w:val="font71"/>
    <w:basedOn w:val="30"/>
    <w:autoRedefine/>
    <w:qFormat/>
    <w:uiPriority w:val="0"/>
    <w:rPr>
      <w:rFonts w:hint="eastAsia" w:ascii="宋体" w:hAnsi="宋体" w:eastAsia="宋体" w:cs="宋体"/>
      <w:color w:val="000000"/>
      <w:sz w:val="20"/>
      <w:szCs w:val="20"/>
      <w:u w:val="none"/>
    </w:rPr>
  </w:style>
  <w:style w:type="character" w:customStyle="1" w:styleId="87">
    <w:name w:val="font91"/>
    <w:basedOn w:val="30"/>
    <w:autoRedefine/>
    <w:qFormat/>
    <w:uiPriority w:val="0"/>
    <w:rPr>
      <w:rFonts w:hint="default" w:ascii="Times New Roman" w:hAnsi="Times New Roman" w:cs="Times New Roman"/>
      <w:color w:val="000000"/>
      <w:sz w:val="20"/>
      <w:szCs w:val="20"/>
      <w:u w:val="none"/>
      <w:vertAlign w:val="subscript"/>
    </w:rPr>
  </w:style>
  <w:style w:type="character" w:customStyle="1" w:styleId="88">
    <w:name w:val="font21"/>
    <w:basedOn w:val="30"/>
    <w:autoRedefine/>
    <w:qFormat/>
    <w:uiPriority w:val="0"/>
    <w:rPr>
      <w:rFonts w:ascii="微软雅黑" w:hAnsi="微软雅黑" w:eastAsia="微软雅黑" w:cs="微软雅黑"/>
      <w:color w:val="000000"/>
      <w:sz w:val="20"/>
      <w:szCs w:val="20"/>
      <w:u w:val="none"/>
    </w:rPr>
  </w:style>
  <w:style w:type="character" w:customStyle="1" w:styleId="89">
    <w:name w:val="font101"/>
    <w:basedOn w:val="30"/>
    <w:autoRedefine/>
    <w:qFormat/>
    <w:uiPriority w:val="0"/>
    <w:rPr>
      <w:rFonts w:ascii="hakuyoxingshu7000" w:hAnsi="hakuyoxingshu7000" w:eastAsia="hakuyoxingshu7000" w:cs="hakuyoxingshu7000"/>
      <w:color w:val="000000"/>
      <w:sz w:val="20"/>
      <w:szCs w:val="20"/>
      <w:u w:val="none"/>
    </w:rPr>
  </w:style>
  <w:style w:type="character" w:customStyle="1" w:styleId="90">
    <w:name w:val="font41"/>
    <w:basedOn w:val="30"/>
    <w:autoRedefine/>
    <w:qFormat/>
    <w:uiPriority w:val="0"/>
    <w:rPr>
      <w:rFonts w:hint="eastAsia" w:ascii="宋体" w:hAnsi="宋体" w:eastAsia="宋体" w:cs="宋体"/>
      <w:b/>
      <w:bCs/>
      <w:color w:val="000000"/>
      <w:sz w:val="20"/>
      <w:szCs w:val="20"/>
      <w:u w:val="none"/>
    </w:rPr>
  </w:style>
  <w:style w:type="character" w:customStyle="1" w:styleId="91">
    <w:name w:val="font161"/>
    <w:basedOn w:val="30"/>
    <w:autoRedefine/>
    <w:qFormat/>
    <w:uiPriority w:val="0"/>
    <w:rPr>
      <w:rFonts w:hint="eastAsia" w:ascii="等线" w:hAnsi="等线" w:eastAsia="等线" w:cs="等线"/>
      <w:b/>
      <w:bCs/>
      <w:color w:val="000000"/>
      <w:sz w:val="20"/>
      <w:szCs w:val="20"/>
      <w:u w:val="none"/>
    </w:rPr>
  </w:style>
  <w:style w:type="paragraph" w:customStyle="1" w:styleId="92">
    <w:name w:val="!正文"/>
    <w:basedOn w:val="1"/>
    <w:autoRedefine/>
    <w:qFormat/>
    <w:uiPriority w:val="0"/>
    <w:pPr>
      <w:spacing w:line="360" w:lineRule="auto"/>
      <w:ind w:firstLine="480" w:firstLineChars="200"/>
    </w:pPr>
    <w:rPr>
      <w:rFonts w:ascii="仿宋" w:hAnsi="仿宋" w:eastAsia="仿宋"/>
      <w:sz w:val="24"/>
      <w:szCs w:val="21"/>
    </w:rPr>
  </w:style>
  <w:style w:type="paragraph" w:customStyle="1" w:styleId="93">
    <w:name w:val="正文小四"/>
    <w:basedOn w:val="1"/>
    <w:autoRedefine/>
    <w:qFormat/>
    <w:uiPriority w:val="0"/>
    <w:pPr>
      <w:widowControl/>
      <w:spacing w:line="360" w:lineRule="auto"/>
      <w:ind w:firstLine="200" w:firstLineChars="200"/>
      <w:jc w:val="left"/>
    </w:pPr>
    <w:rPr>
      <w:rFonts w:ascii="等线" w:hAnsi="等线" w:eastAsia="等线"/>
      <w:sz w:val="24"/>
      <w:szCs w:val="21"/>
    </w:rPr>
  </w:style>
  <w:style w:type="character" w:customStyle="1" w:styleId="94">
    <w:name w:val="font11"/>
    <w:basedOn w:val="30"/>
    <w:autoRedefine/>
    <w:qFormat/>
    <w:uiPriority w:val="0"/>
    <w:rPr>
      <w:rFonts w:hint="eastAsia" w:ascii="宋体" w:hAnsi="宋体" w:eastAsia="宋体" w:cs="宋体"/>
      <w:b/>
      <w:bCs/>
      <w:color w:val="000000"/>
      <w:sz w:val="18"/>
      <w:szCs w:val="18"/>
      <w:u w:val="none"/>
    </w:rPr>
  </w:style>
  <w:style w:type="paragraph" w:customStyle="1" w:styleId="95">
    <w:name w:val="!标题3"/>
    <w:basedOn w:val="7"/>
    <w:next w:val="92"/>
    <w:autoRedefine/>
    <w:qFormat/>
    <w:uiPriority w:val="0"/>
    <w:pPr>
      <w:tabs>
        <w:tab w:val="left" w:pos="420"/>
      </w:tabs>
    </w:pPr>
    <w:rPr>
      <w:szCs w:val="30"/>
    </w:rPr>
  </w:style>
  <w:style w:type="paragraph" w:customStyle="1" w:styleId="96">
    <w:name w:val="!标题4"/>
    <w:basedOn w:val="8"/>
    <w:next w:val="92"/>
    <w:autoRedefine/>
    <w:qFormat/>
    <w:uiPriority w:val="0"/>
    <w:pPr>
      <w:numPr>
        <w:numId w:val="3"/>
      </w:numPr>
      <w:spacing w:before="0" w:after="0"/>
      <w:ind w:left="0" w:firstLine="0"/>
    </w:pPr>
  </w:style>
  <w:style w:type="paragraph" w:customStyle="1" w:styleId="97">
    <w:name w:val="!标题5"/>
    <w:basedOn w:val="9"/>
    <w:next w:val="92"/>
    <w:autoRedefine/>
    <w:qFormat/>
    <w:uiPriority w:val="0"/>
    <w:pPr>
      <w:numPr>
        <w:numId w:val="3"/>
      </w:numPr>
      <w:spacing w:before="0" w:after="0"/>
    </w:pPr>
  </w:style>
  <w:style w:type="paragraph" w:customStyle="1" w:styleId="98">
    <w:name w:val="!标题2"/>
    <w:basedOn w:val="6"/>
    <w:next w:val="92"/>
    <w:autoRedefine/>
    <w:qFormat/>
    <w:uiPriority w:val="0"/>
    <w:pPr>
      <w:numPr>
        <w:ilvl w:val="0"/>
        <w:numId w:val="3"/>
      </w:numPr>
      <w:tabs>
        <w:tab w:val="left" w:pos="420"/>
      </w:tabs>
      <w:spacing w:before="0" w:after="0" w:line="360" w:lineRule="auto"/>
      <w:ind w:left="0" w:firstLine="0"/>
    </w:pPr>
  </w:style>
  <w:style w:type="paragraph" w:customStyle="1" w:styleId="99">
    <w:name w:val="表格"/>
    <w:basedOn w:val="1"/>
    <w:autoRedefine/>
    <w:qFormat/>
    <w:uiPriority w:val="0"/>
    <w:pPr>
      <w:jc w:val="center"/>
    </w:pPr>
    <w:rPr>
      <w:rFonts w:ascii="仿宋" w:hAnsi="仿宋" w:eastAsia="仿宋"/>
    </w:rPr>
  </w:style>
  <w:style w:type="paragraph" w:customStyle="1" w:styleId="100">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01">
    <w:name w:val="文档正文"/>
    <w:basedOn w:val="1"/>
    <w:autoRedefine/>
    <w:qFormat/>
    <w:uiPriority w:val="0"/>
    <w:pPr>
      <w:adjustRightInd w:val="0"/>
      <w:spacing w:before="60" w:after="60" w:line="360" w:lineRule="auto"/>
      <w:ind w:firstLine="200" w:firstLineChars="200"/>
      <w:textAlignment w:val="baseline"/>
    </w:pPr>
    <w:rPr>
      <w:kern w:val="0"/>
      <w:sz w:val="24"/>
      <w:szCs w:val="20"/>
    </w:rPr>
  </w:style>
  <w:style w:type="paragraph" w:customStyle="1" w:styleId="102">
    <w:name w:val="正文ok"/>
    <w:basedOn w:val="1"/>
    <w:autoRedefine/>
    <w:qFormat/>
    <w:uiPriority w:val="0"/>
    <w:pPr>
      <w:widowControl/>
      <w:spacing w:line="360" w:lineRule="auto"/>
      <w:ind w:firstLine="200" w:firstLineChars="200"/>
      <w:jc w:val="left"/>
    </w:pPr>
    <w:rPr>
      <w:rFonts w:hint="eastAsia"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26238</Words>
  <Characters>27688</Characters>
  <Lines>213</Lines>
  <Paragraphs>60</Paragraphs>
  <TotalTime>1</TotalTime>
  <ScaleCrop>false</ScaleCrop>
  <LinksUpToDate>false</LinksUpToDate>
  <CharactersWithSpaces>28585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2024-04-28T10:48:00Z</dcterms:created>
  <dc:creator>S-mile</dc:creator>
  <cp:lastModifiedBy>WPS_1636712955</cp:lastModifiedBy>
  <cp:lastPrinted>2023-10-26T01:27:00Z</cp:lastPrinted>
  <dcterms:modified xsi:type="dcterms:W3CDTF">2024-05-29T00:55:08Z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08EDE95B4386431F810997E1BC37BED3_13</vt:lpwstr>
  </property>
</Properties>
</file>