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04974136">
      <w:pPr>
        <w:rPr>
          <w:rFonts w:hint="eastAsia" w:ascii="宋体" w:hAnsi="宋体" w:eastAsia="宋体" w:cs="宋体"/>
        </w:rPr>
      </w:pPr>
    </w:p>
    <w:p w14:paraId="296A5316">
      <w:pPr>
        <w:pStyle w:val="7"/>
        <w:jc w:val="center"/>
        <w:rPr>
          <w:rFonts w:hint="eastAsia" w:ascii="宋体" w:hAnsi="宋体" w:eastAsia="宋体" w:cs="宋体"/>
        </w:rPr>
      </w:pPr>
      <w:r>
        <w:rPr>
          <w:rFonts w:hint="eastAsia" w:ascii="宋体" w:hAnsi="宋体" w:eastAsia="宋体" w:cs="宋体"/>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8" cstate="print"/>
                    <a:stretch>
                      <a:fillRect/>
                    </a:stretch>
                  </pic:blipFill>
                  <pic:spPr>
                    <a:xfrm>
                      <a:off x="0" y="0"/>
                      <a:ext cx="5488940" cy="2279015"/>
                    </a:xfrm>
                    <a:prstGeom prst="rect">
                      <a:avLst/>
                    </a:prstGeom>
                  </pic:spPr>
                </pic:pic>
              </a:graphicData>
            </a:graphic>
          </wp:anchor>
        </w:drawing>
      </w:r>
    </w:p>
    <w:p w14:paraId="4A5A1C53">
      <w:pPr>
        <w:pStyle w:val="7"/>
        <w:jc w:val="center"/>
        <w:rPr>
          <w:rFonts w:hint="eastAsia" w:ascii="宋体" w:hAnsi="宋体" w:eastAsia="宋体" w:cs="宋体"/>
        </w:rPr>
      </w:pPr>
    </w:p>
    <w:p w14:paraId="198FD8F4">
      <w:pPr>
        <w:pStyle w:val="7"/>
        <w:jc w:val="center"/>
        <w:rPr>
          <w:rFonts w:hint="eastAsia" w:ascii="宋体" w:hAnsi="宋体" w:eastAsia="宋体" w:cs="宋体"/>
        </w:rPr>
      </w:pPr>
    </w:p>
    <w:p w14:paraId="2629F0B2">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84"/>
          <w:szCs w:val="84"/>
          <w:lang w:val="en-US" w:eastAsia="zh-CN"/>
        </w:rPr>
      </w:pPr>
      <w:r>
        <w:rPr>
          <w:rFonts w:hint="eastAsia" w:ascii="宋体" w:hAnsi="宋体" w:eastAsia="宋体" w:cs="宋体"/>
          <w:b/>
          <w:kern w:val="0"/>
          <w:sz w:val="84"/>
          <w:szCs w:val="84"/>
          <w:lang w:val="en-US" w:eastAsia="zh-CN"/>
        </w:rPr>
        <w:t xml:space="preserve"> </w:t>
      </w:r>
    </w:p>
    <w:p w14:paraId="00FE1289">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72"/>
          <w:szCs w:val="72"/>
        </w:rPr>
      </w:pPr>
    </w:p>
    <w:p w14:paraId="0EC629AD">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kern w:val="0"/>
          <w:sz w:val="72"/>
          <w:szCs w:val="72"/>
          <w:lang w:val="en-US" w:eastAsia="zh-CN"/>
        </w:rPr>
        <w:t xml:space="preserve">   </w:t>
      </w:r>
      <w:r>
        <w:rPr>
          <w:rFonts w:hint="eastAsia" w:ascii="宋体" w:hAnsi="宋体" w:eastAsia="宋体" w:cs="宋体"/>
          <w:b/>
          <w:kern w:val="0"/>
          <w:sz w:val="72"/>
          <w:szCs w:val="72"/>
        </w:rPr>
        <w:t>政府采购</w:t>
      </w:r>
    </w:p>
    <w:p w14:paraId="6DC6E162">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竞争性磋商</w:t>
      </w:r>
      <w:r>
        <w:rPr>
          <w:rFonts w:hint="eastAsia" w:ascii="宋体" w:hAnsi="宋体" w:eastAsia="宋体" w:cs="宋体"/>
          <w:b/>
          <w:color w:val="auto"/>
          <w:kern w:val="0"/>
          <w:sz w:val="72"/>
          <w:szCs w:val="72"/>
          <w:highlight w:val="none"/>
          <w:lang w:eastAsia="zh-CN"/>
        </w:rPr>
        <w:t>文件</w:t>
      </w:r>
    </w:p>
    <w:p w14:paraId="36EABA5B">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w:t>
      </w:r>
      <w:r>
        <w:rPr>
          <w:rFonts w:hint="eastAsia" w:ascii="宋体" w:hAnsi="宋体" w:eastAsia="宋体" w:cs="宋体"/>
          <w:b/>
          <w:bCs/>
          <w:color w:val="auto"/>
          <w:kern w:val="0"/>
          <w:sz w:val="32"/>
          <w:szCs w:val="32"/>
          <w:highlight w:val="none"/>
          <w:lang w:val="en-US" w:eastAsia="zh-CN"/>
        </w:rPr>
        <w:t>投标</w:t>
      </w:r>
      <w:r>
        <w:rPr>
          <w:rFonts w:hint="eastAsia" w:ascii="宋体" w:hAnsi="宋体" w:eastAsia="宋体" w:cs="宋体"/>
          <w:b/>
          <w:bCs/>
          <w:color w:val="auto"/>
          <w:kern w:val="0"/>
          <w:sz w:val="32"/>
          <w:szCs w:val="32"/>
          <w:highlight w:val="none"/>
        </w:rPr>
        <w:t>方式）</w:t>
      </w:r>
    </w:p>
    <w:p w14:paraId="3D2AD88D">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tzya2025-tz32</w:t>
      </w:r>
      <w:r>
        <w:rPr>
          <w:rFonts w:hint="eastAsia" w:ascii="宋体" w:hAnsi="宋体" w:eastAsia="宋体" w:cs="宋体"/>
          <w:color w:val="auto"/>
          <w:kern w:val="0"/>
          <w:sz w:val="28"/>
          <w:szCs w:val="28"/>
          <w:highlight w:val="none"/>
          <w:u w:val="single"/>
          <w:lang w:val="en-US" w:eastAsia="zh-CN"/>
        </w:rPr>
        <w:t xml:space="preserve"> </w:t>
      </w:r>
    </w:p>
    <w:p w14:paraId="4C79A2E0">
      <w:pPr>
        <w:pStyle w:val="7"/>
        <w:jc w:val="center"/>
        <w:rPr>
          <w:rFonts w:hint="eastAsia" w:ascii="宋体" w:hAnsi="宋体" w:eastAsia="宋体" w:cs="宋体"/>
          <w:color w:val="auto"/>
          <w:highlight w:val="none"/>
        </w:rPr>
      </w:pPr>
    </w:p>
    <w:p w14:paraId="19FFEE1C">
      <w:pPr>
        <w:pStyle w:val="7"/>
        <w:jc w:val="both"/>
        <w:rPr>
          <w:rFonts w:hint="eastAsia" w:ascii="宋体" w:hAnsi="宋体" w:eastAsia="宋体" w:cs="宋体"/>
          <w:color w:val="auto"/>
          <w:highlight w:val="none"/>
        </w:rPr>
      </w:pPr>
    </w:p>
    <w:p w14:paraId="63E9256F">
      <w:pPr>
        <w:pStyle w:val="7"/>
        <w:jc w:val="center"/>
        <w:rPr>
          <w:rFonts w:hint="eastAsia" w:ascii="宋体" w:hAnsi="宋体" w:eastAsia="宋体" w:cs="宋体"/>
          <w:color w:val="auto"/>
          <w:highlight w:val="none"/>
        </w:rPr>
      </w:pPr>
    </w:p>
    <w:p w14:paraId="08F0069E">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台州湾新区智慧城管信息采集服务项目</w:t>
      </w:r>
    </w:p>
    <w:p w14:paraId="65DC70D8">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台州市综合行政执法局</w:t>
      </w:r>
    </w:p>
    <w:p w14:paraId="13CF5CDA">
      <w:pPr>
        <w:pStyle w:val="7"/>
        <w:rPr>
          <w:rFonts w:hint="eastAsia" w:ascii="宋体" w:hAnsi="宋体" w:eastAsia="宋体" w:cs="宋体"/>
          <w:color w:val="auto"/>
          <w:highlight w:val="none"/>
        </w:rPr>
      </w:pPr>
    </w:p>
    <w:p w14:paraId="718A660D">
      <w:pPr>
        <w:pStyle w:val="7"/>
        <w:rPr>
          <w:rFonts w:hint="eastAsia" w:ascii="宋体" w:hAnsi="宋体" w:eastAsia="宋体" w:cs="宋体"/>
          <w:color w:val="auto"/>
          <w:highlight w:val="none"/>
        </w:rPr>
      </w:pPr>
    </w:p>
    <w:p w14:paraId="1EC31D67">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7FD3FF3C">
      <w:pPr>
        <w:pStyle w:val="7"/>
        <w:rPr>
          <w:rFonts w:hint="eastAsia" w:ascii="宋体" w:hAnsi="宋体" w:eastAsia="宋体" w:cs="宋体"/>
          <w:color w:val="auto"/>
          <w:highlight w:val="none"/>
        </w:rPr>
      </w:pPr>
    </w:p>
    <w:p w14:paraId="615153BE">
      <w:pPr>
        <w:pStyle w:val="7"/>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二○二五年七月</w:t>
      </w:r>
    </w:p>
    <w:p w14:paraId="773977AF">
      <w:pPr>
        <w:pStyle w:val="7"/>
        <w:jc w:val="center"/>
        <w:rPr>
          <w:rFonts w:hint="eastAsia" w:ascii="宋体" w:hAnsi="宋体" w:eastAsia="宋体" w:cs="宋体"/>
          <w:color w:val="auto"/>
          <w:kern w:val="0"/>
          <w:szCs w:val="21"/>
          <w:highlight w:val="none"/>
        </w:rPr>
      </w:pPr>
    </w:p>
    <w:p w14:paraId="4659CD67">
      <w:pPr>
        <w:pStyle w:val="7"/>
        <w:jc w:val="both"/>
        <w:rPr>
          <w:rFonts w:hint="eastAsia" w:ascii="宋体" w:hAnsi="宋体" w:eastAsia="宋体" w:cs="宋体"/>
          <w:color w:val="auto"/>
          <w:highlight w:val="none"/>
        </w:rPr>
      </w:pPr>
    </w:p>
    <w:p w14:paraId="1A9F60DA">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1D51668B">
      <w:pPr>
        <w:spacing w:line="360" w:lineRule="auto"/>
        <w:rPr>
          <w:rFonts w:hint="eastAsia" w:ascii="宋体" w:hAnsi="宋体" w:eastAsia="宋体" w:cs="宋体"/>
          <w:color w:val="auto"/>
          <w:sz w:val="28"/>
          <w:szCs w:val="28"/>
          <w:highlight w:val="none"/>
        </w:rPr>
      </w:pPr>
    </w:p>
    <w:p w14:paraId="3E7ECF38">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6A0D40BD">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2EA4A61E">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70D66A8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7A4B3404">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1BE064C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06CEA1AA">
      <w:pPr>
        <w:pStyle w:val="7"/>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235D79FB">
      <w:pPr>
        <w:pStyle w:val="7"/>
        <w:jc w:val="center"/>
        <w:rPr>
          <w:rFonts w:hint="eastAsia" w:ascii="宋体" w:hAnsi="宋体" w:eastAsia="宋体" w:cs="宋体"/>
          <w:color w:val="auto"/>
          <w:highlight w:val="none"/>
        </w:rPr>
      </w:pPr>
    </w:p>
    <w:p w14:paraId="63CD992D">
      <w:pPr>
        <w:pStyle w:val="7"/>
        <w:jc w:val="center"/>
        <w:rPr>
          <w:rFonts w:hint="eastAsia" w:ascii="宋体" w:hAnsi="宋体" w:eastAsia="宋体" w:cs="宋体"/>
          <w:color w:val="auto"/>
          <w:highlight w:val="none"/>
        </w:rPr>
      </w:pPr>
    </w:p>
    <w:p w14:paraId="77EA3900">
      <w:pPr>
        <w:pStyle w:val="7"/>
        <w:jc w:val="center"/>
        <w:rPr>
          <w:rFonts w:hint="eastAsia" w:ascii="宋体" w:hAnsi="宋体" w:eastAsia="宋体" w:cs="宋体"/>
          <w:color w:val="auto"/>
          <w:highlight w:val="none"/>
        </w:rPr>
      </w:pPr>
    </w:p>
    <w:p w14:paraId="5633AA03">
      <w:pPr>
        <w:pStyle w:val="7"/>
        <w:jc w:val="center"/>
        <w:rPr>
          <w:rFonts w:hint="eastAsia" w:ascii="宋体" w:hAnsi="宋体" w:eastAsia="宋体" w:cs="宋体"/>
          <w:color w:val="auto"/>
          <w:highlight w:val="none"/>
        </w:rPr>
      </w:pPr>
    </w:p>
    <w:p w14:paraId="13921B08">
      <w:pPr>
        <w:pStyle w:val="7"/>
        <w:jc w:val="center"/>
        <w:rPr>
          <w:rFonts w:hint="eastAsia" w:ascii="宋体" w:hAnsi="宋体" w:eastAsia="宋体" w:cs="宋体"/>
          <w:color w:val="auto"/>
          <w:highlight w:val="none"/>
        </w:rPr>
      </w:pPr>
    </w:p>
    <w:p w14:paraId="5E8305D5">
      <w:pPr>
        <w:pStyle w:val="7"/>
        <w:jc w:val="center"/>
        <w:rPr>
          <w:rFonts w:hint="eastAsia" w:ascii="宋体" w:hAnsi="宋体" w:eastAsia="宋体" w:cs="宋体"/>
          <w:color w:val="auto"/>
          <w:highlight w:val="none"/>
        </w:rPr>
      </w:pPr>
    </w:p>
    <w:p w14:paraId="60B543E7">
      <w:pPr>
        <w:pStyle w:val="7"/>
        <w:jc w:val="center"/>
        <w:rPr>
          <w:rFonts w:hint="eastAsia" w:ascii="宋体" w:hAnsi="宋体" w:eastAsia="宋体" w:cs="宋体"/>
          <w:color w:val="auto"/>
          <w:highlight w:val="none"/>
        </w:rPr>
      </w:pPr>
    </w:p>
    <w:p w14:paraId="61FD8B9B">
      <w:pPr>
        <w:pStyle w:val="7"/>
        <w:jc w:val="center"/>
        <w:rPr>
          <w:rFonts w:hint="eastAsia" w:ascii="宋体" w:hAnsi="宋体" w:eastAsia="宋体" w:cs="宋体"/>
          <w:color w:val="auto"/>
          <w:highlight w:val="none"/>
        </w:rPr>
      </w:pPr>
    </w:p>
    <w:p w14:paraId="3EEC259C">
      <w:pPr>
        <w:pStyle w:val="7"/>
        <w:jc w:val="center"/>
        <w:rPr>
          <w:rFonts w:hint="eastAsia" w:ascii="宋体" w:hAnsi="宋体" w:eastAsia="宋体" w:cs="宋体"/>
          <w:color w:val="auto"/>
          <w:highlight w:val="none"/>
        </w:rPr>
      </w:pPr>
    </w:p>
    <w:p w14:paraId="248F8C2D">
      <w:pPr>
        <w:pStyle w:val="7"/>
        <w:jc w:val="center"/>
        <w:rPr>
          <w:rFonts w:hint="eastAsia" w:ascii="宋体" w:hAnsi="宋体" w:eastAsia="宋体" w:cs="宋体"/>
          <w:color w:val="auto"/>
          <w:highlight w:val="none"/>
        </w:rPr>
      </w:pPr>
    </w:p>
    <w:p w14:paraId="7F70BF16">
      <w:pPr>
        <w:pStyle w:val="7"/>
        <w:jc w:val="center"/>
        <w:rPr>
          <w:rFonts w:hint="eastAsia" w:ascii="宋体" w:hAnsi="宋体" w:eastAsia="宋体" w:cs="宋体"/>
          <w:color w:val="auto"/>
          <w:highlight w:val="none"/>
        </w:rPr>
      </w:pPr>
    </w:p>
    <w:p w14:paraId="3057866D">
      <w:pPr>
        <w:pStyle w:val="7"/>
        <w:jc w:val="center"/>
        <w:rPr>
          <w:rFonts w:hint="eastAsia" w:ascii="宋体" w:hAnsi="宋体" w:eastAsia="宋体" w:cs="宋体"/>
          <w:color w:val="auto"/>
          <w:highlight w:val="none"/>
        </w:rPr>
      </w:pPr>
    </w:p>
    <w:p w14:paraId="08E3D320">
      <w:pPr>
        <w:pStyle w:val="8"/>
        <w:rPr>
          <w:rFonts w:hint="eastAsia" w:ascii="宋体" w:hAnsi="宋体" w:eastAsia="宋体" w:cs="宋体"/>
          <w:color w:val="auto"/>
          <w:highlight w:val="none"/>
        </w:rPr>
      </w:pPr>
    </w:p>
    <w:p w14:paraId="1B6D1780">
      <w:pPr>
        <w:pStyle w:val="8"/>
        <w:rPr>
          <w:rFonts w:hint="eastAsia" w:ascii="宋体" w:hAnsi="宋体" w:eastAsia="宋体" w:cs="宋体"/>
          <w:color w:val="auto"/>
          <w:highlight w:val="none"/>
        </w:rPr>
      </w:pPr>
    </w:p>
    <w:p w14:paraId="48558ACE">
      <w:pPr>
        <w:pStyle w:val="7"/>
        <w:jc w:val="center"/>
        <w:rPr>
          <w:rFonts w:hint="eastAsia" w:ascii="宋体" w:hAnsi="宋体" w:eastAsia="宋体" w:cs="宋体"/>
          <w:color w:val="auto"/>
          <w:highlight w:val="none"/>
        </w:rPr>
      </w:pPr>
    </w:p>
    <w:p w14:paraId="43722B78">
      <w:pPr>
        <w:pStyle w:val="8"/>
        <w:rPr>
          <w:rFonts w:hint="eastAsia" w:ascii="宋体" w:hAnsi="宋体" w:eastAsia="宋体" w:cs="宋体"/>
          <w:color w:val="auto"/>
          <w:highlight w:val="none"/>
        </w:rPr>
      </w:pPr>
    </w:p>
    <w:p w14:paraId="014E0878">
      <w:pPr>
        <w:pStyle w:val="7"/>
        <w:jc w:val="center"/>
        <w:rPr>
          <w:rFonts w:hint="eastAsia" w:ascii="宋体" w:hAnsi="宋体" w:eastAsia="宋体" w:cs="宋体"/>
          <w:color w:val="auto"/>
          <w:highlight w:val="none"/>
        </w:rPr>
      </w:pPr>
    </w:p>
    <w:p w14:paraId="5B94FD40">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02EE240F">
      <w:pPr>
        <w:keepNext w:val="0"/>
        <w:keepLines w:val="0"/>
        <w:pageBreakBefore w:val="0"/>
        <w:kinsoku/>
        <w:topLinePunct w:val="0"/>
        <w:bidi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 受</w:t>
      </w:r>
      <w:r>
        <w:rPr>
          <w:rFonts w:hint="eastAsia" w:ascii="宋体" w:hAnsi="宋体" w:cs="宋体"/>
          <w:b/>
          <w:bCs/>
          <w:color w:val="auto"/>
          <w:sz w:val="21"/>
          <w:szCs w:val="21"/>
          <w:highlight w:val="none"/>
          <w:lang w:eastAsia="zh-CN"/>
        </w:rPr>
        <w:t>台州市综合行政执法局</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台州湾新区智慧城管信息采集服务项目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53E9FB25">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tzya2025-tz32</w:t>
      </w:r>
    </w:p>
    <w:p w14:paraId="4AA9F4A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812"/>
        <w:gridCol w:w="975"/>
        <w:gridCol w:w="840"/>
        <w:gridCol w:w="1155"/>
        <w:gridCol w:w="849"/>
      </w:tblGrid>
      <w:tr w14:paraId="7FB4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65" w:type="dxa"/>
            <w:noWrap w:val="0"/>
            <w:vAlign w:val="center"/>
          </w:tcPr>
          <w:p w14:paraId="70DA19FE">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2141" w:type="dxa"/>
            <w:noWrap w:val="0"/>
            <w:vAlign w:val="center"/>
          </w:tcPr>
          <w:p w14:paraId="2A20534A">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812" w:type="dxa"/>
            <w:noWrap w:val="0"/>
            <w:vAlign w:val="center"/>
          </w:tcPr>
          <w:p w14:paraId="72B9DA3A">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975" w:type="dxa"/>
            <w:noWrap w:val="0"/>
            <w:vAlign w:val="center"/>
          </w:tcPr>
          <w:p w14:paraId="1A47D9B6">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840" w:type="dxa"/>
            <w:noWrap w:val="0"/>
            <w:vAlign w:val="center"/>
          </w:tcPr>
          <w:p w14:paraId="49E10DF2">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155" w:type="dxa"/>
            <w:noWrap w:val="0"/>
            <w:vAlign w:val="center"/>
          </w:tcPr>
          <w:p w14:paraId="3A95D6C3">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7236C16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849" w:type="dxa"/>
            <w:noWrap w:val="0"/>
            <w:vAlign w:val="center"/>
          </w:tcPr>
          <w:p w14:paraId="07D9BD8C">
            <w:pPr>
              <w:tabs>
                <w:tab w:val="left" w:pos="8280"/>
              </w:tabs>
              <w:autoSpaceDE w:val="0"/>
              <w:autoSpaceDN w:val="0"/>
              <w:adjustRightInd w:val="0"/>
              <w:spacing w:line="360" w:lineRule="auto"/>
              <w:ind w:right="25" w:rightChars="0"/>
              <w:jc w:val="center"/>
              <w:rPr>
                <w:rFonts w:hint="eastAsia" w:ascii="宋体" w:hAnsi="宋体" w:eastAsia="宋体" w:cs="宋体"/>
                <w:b/>
                <w:color w:val="auto"/>
                <w:sz w:val="21"/>
                <w:szCs w:val="21"/>
                <w:highlight w:val="none"/>
              </w:rPr>
            </w:pPr>
            <w:r>
              <w:rPr>
                <w:rFonts w:hint="eastAsia" w:ascii="宋体" w:hAnsi="宋体"/>
                <w:b/>
                <w:color w:val="auto"/>
                <w:szCs w:val="21"/>
                <w:highlight w:val="none"/>
              </w:rPr>
              <w:t>备注</w:t>
            </w:r>
          </w:p>
        </w:tc>
      </w:tr>
      <w:tr w14:paraId="43FB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65" w:type="dxa"/>
            <w:noWrap w:val="0"/>
            <w:vAlign w:val="center"/>
          </w:tcPr>
          <w:p w14:paraId="4C981BB9">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41" w:type="dxa"/>
            <w:noWrap w:val="0"/>
            <w:vAlign w:val="center"/>
          </w:tcPr>
          <w:p w14:paraId="3B0B4C2F">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台州湾新区智慧城管信息采集服务项目</w:t>
            </w:r>
          </w:p>
        </w:tc>
        <w:tc>
          <w:tcPr>
            <w:tcW w:w="1812" w:type="dxa"/>
            <w:noWrap w:val="0"/>
            <w:vAlign w:val="center"/>
          </w:tcPr>
          <w:p w14:paraId="2B371112">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975" w:type="dxa"/>
            <w:noWrap w:val="0"/>
            <w:vAlign w:val="center"/>
          </w:tcPr>
          <w:p w14:paraId="606917F8">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40" w:type="dxa"/>
            <w:noWrap w:val="0"/>
            <w:vAlign w:val="center"/>
          </w:tcPr>
          <w:p w14:paraId="0A5F088E">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155" w:type="dxa"/>
            <w:noWrap w:val="0"/>
            <w:vAlign w:val="center"/>
          </w:tcPr>
          <w:p w14:paraId="396C281B">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85</w:t>
            </w:r>
          </w:p>
        </w:tc>
        <w:tc>
          <w:tcPr>
            <w:tcW w:w="849" w:type="dxa"/>
            <w:noWrap w:val="0"/>
            <w:vAlign w:val="center"/>
          </w:tcPr>
          <w:p w14:paraId="5FB1CDE6">
            <w:pPr>
              <w:tabs>
                <w:tab w:val="left" w:pos="8280"/>
              </w:tabs>
              <w:autoSpaceDE w:val="0"/>
              <w:autoSpaceDN w:val="0"/>
              <w:adjustRightInd w:val="0"/>
              <w:spacing w:line="360" w:lineRule="auto"/>
              <w:ind w:right="25" w:rightChars="0"/>
              <w:jc w:val="center"/>
              <w:rPr>
                <w:rFonts w:hint="eastAsia" w:ascii="宋体" w:hAnsi="宋体" w:eastAsia="宋体" w:cs="宋体"/>
                <w:color w:val="auto"/>
                <w:sz w:val="21"/>
                <w:szCs w:val="21"/>
                <w:highlight w:val="none"/>
                <w:lang w:eastAsia="zh-CN"/>
              </w:rPr>
            </w:pPr>
          </w:p>
        </w:tc>
      </w:tr>
    </w:tbl>
    <w:p w14:paraId="36C06E25">
      <w:pPr>
        <w:pStyle w:val="10"/>
        <w:adjustRightInd w:val="0"/>
        <w:snapToGrid w:val="0"/>
        <w:spacing w:line="360" w:lineRule="auto"/>
        <w:rPr>
          <w:rFonts w:hint="eastAsia" w:ascii="宋体" w:hAnsi="宋体" w:eastAsia="宋体" w:cs="宋体"/>
          <w:b/>
          <w:bCs/>
          <w:color w:val="auto"/>
          <w:szCs w:val="21"/>
          <w:highlight w:val="none"/>
        </w:rPr>
      </w:pPr>
    </w:p>
    <w:bookmarkEnd w:id="0"/>
    <w:p w14:paraId="100320CE">
      <w:pPr>
        <w:keepNext w:val="0"/>
        <w:keepLines w:val="0"/>
        <w:pageBreakBefore w:val="0"/>
        <w:widowControl w:val="0"/>
        <w:tabs>
          <w:tab w:val="left" w:pos="0"/>
        </w:tabs>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提供备份磋商响应文件），请各供应商按照要求进行。</w:t>
      </w:r>
    </w:p>
    <w:p w14:paraId="295E00DE">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5F108F84">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4FFCE41D">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1679940A">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25FC6B56">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112040CA">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361E26C8">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获取的方式、时间:</w:t>
      </w:r>
    </w:p>
    <w:p w14:paraId="54D051DD">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5"/>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纸质版。供应商获取</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6B33B34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Style w:val="25"/>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5"/>
          <w:rFonts w:hint="eastAsia" w:ascii="宋体" w:hAnsi="宋体" w:eastAsia="宋体" w:cs="宋体"/>
          <w:i w:val="0"/>
          <w:caps w:val="0"/>
          <w:color w:val="auto"/>
          <w:spacing w:val="0"/>
          <w:sz w:val="21"/>
          <w:szCs w:val="21"/>
          <w:highlight w:val="none"/>
        </w:rPr>
        <w:t>方式：潜在供应商</w:t>
      </w:r>
      <w:r>
        <w:rPr>
          <w:rStyle w:val="25"/>
          <w:rFonts w:hint="eastAsia" w:ascii="宋体" w:hAnsi="宋体" w:cs="宋体"/>
          <w:i w:val="0"/>
          <w:caps w:val="0"/>
          <w:color w:val="auto"/>
          <w:spacing w:val="0"/>
          <w:sz w:val="21"/>
          <w:szCs w:val="21"/>
          <w:highlight w:val="none"/>
          <w:lang w:val="en-US" w:eastAsia="zh-CN"/>
        </w:rPr>
        <w:t>登录</w:t>
      </w:r>
      <w:r>
        <w:rPr>
          <w:rStyle w:val="25"/>
          <w:rFonts w:hint="eastAsia" w:ascii="宋体" w:hAnsi="宋体" w:eastAsia="宋体" w:cs="宋体"/>
          <w:i w:val="0"/>
          <w:caps w:val="0"/>
          <w:color w:val="auto"/>
          <w:spacing w:val="0"/>
          <w:sz w:val="21"/>
          <w:szCs w:val="21"/>
          <w:highlight w:val="none"/>
          <w:lang w:val="en-US" w:eastAsia="zh-CN"/>
        </w:rPr>
        <w:t>政府采购</w:t>
      </w:r>
      <w:r>
        <w:rPr>
          <w:rStyle w:val="25"/>
          <w:rFonts w:hint="eastAsia" w:ascii="宋体" w:hAnsi="宋体" w:eastAsia="宋体" w:cs="宋体"/>
          <w:i w:val="0"/>
          <w:caps w:val="0"/>
          <w:color w:val="auto"/>
          <w:spacing w:val="0"/>
          <w:sz w:val="21"/>
          <w:szCs w:val="21"/>
          <w:highlight w:val="none"/>
        </w:rPr>
        <w:t>云平台，在线申请获取</w:t>
      </w:r>
      <w:r>
        <w:rPr>
          <w:rStyle w:val="25"/>
          <w:rFonts w:hint="eastAsia" w:ascii="宋体" w:hAnsi="宋体" w:cs="宋体"/>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（进入“项目采购”应用，在获取</w:t>
      </w:r>
      <w:r>
        <w:rPr>
          <w:rStyle w:val="25"/>
          <w:rFonts w:hint="eastAsia" w:ascii="宋体" w:hAnsi="宋体" w:cs="宋体"/>
          <w:b w:val="0"/>
          <w:bCs/>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菜单中选择项目，申请获取</w:t>
      </w:r>
      <w:r>
        <w:rPr>
          <w:rStyle w:val="25"/>
          <w:rFonts w:hint="eastAsia" w:ascii="宋体" w:hAnsi="宋体" w:cs="宋体"/>
          <w:b w:val="0"/>
          <w:bCs/>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，本项目</w:t>
      </w:r>
      <w:r>
        <w:rPr>
          <w:rStyle w:val="25"/>
          <w:rFonts w:hint="eastAsia" w:ascii="宋体" w:hAnsi="宋体" w:cs="宋体"/>
          <w:b w:val="0"/>
          <w:bCs/>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不收取工本费；</w:t>
      </w:r>
      <w:r>
        <w:rPr>
          <w:rStyle w:val="25"/>
          <w:rFonts w:hint="eastAsia" w:ascii="宋体" w:hAnsi="宋体" w:eastAsia="宋体" w:cs="宋体"/>
          <w:b w:val="0"/>
          <w:bCs/>
          <w:i w:val="0"/>
          <w:caps w:val="0"/>
          <w:color w:val="auto"/>
          <w:spacing w:val="0"/>
          <w:sz w:val="21"/>
          <w:szCs w:val="21"/>
          <w:highlight w:val="none"/>
          <w:u w:val="single"/>
        </w:rPr>
        <w:t>仅需浏览</w:t>
      </w:r>
      <w:r>
        <w:rPr>
          <w:rStyle w:val="25"/>
          <w:rFonts w:hint="eastAsia" w:ascii="宋体" w:hAnsi="宋体" w:cs="宋体"/>
          <w:b w:val="0"/>
          <w:bCs/>
          <w:i w:val="0"/>
          <w:caps w:val="0"/>
          <w:color w:val="auto"/>
          <w:spacing w:val="0"/>
          <w:sz w:val="21"/>
          <w:szCs w:val="21"/>
          <w:highlight w:val="none"/>
          <w:u w:val="single"/>
          <w:lang w:eastAsia="zh-CN"/>
        </w:rPr>
        <w:t>采购文件</w:t>
      </w:r>
      <w:r>
        <w:rPr>
          <w:rStyle w:val="25"/>
          <w:rFonts w:hint="eastAsia" w:ascii="宋体" w:hAnsi="宋体" w:eastAsia="宋体" w:cs="宋体"/>
          <w:b w:val="0"/>
          <w:bCs/>
          <w:i w:val="0"/>
          <w:caps w:val="0"/>
          <w:color w:val="auto"/>
          <w:spacing w:val="0"/>
          <w:sz w:val="21"/>
          <w:szCs w:val="21"/>
          <w:highlight w:val="none"/>
          <w:u w:val="single"/>
        </w:rPr>
        <w:t>的供应商可点击“游客，浏览</w:t>
      </w:r>
      <w:r>
        <w:rPr>
          <w:rStyle w:val="25"/>
          <w:rFonts w:hint="eastAsia" w:ascii="宋体" w:hAnsi="宋体" w:cs="宋体"/>
          <w:b w:val="0"/>
          <w:bCs/>
          <w:i w:val="0"/>
          <w:caps w:val="0"/>
          <w:color w:val="auto"/>
          <w:spacing w:val="0"/>
          <w:sz w:val="21"/>
          <w:szCs w:val="21"/>
          <w:highlight w:val="none"/>
          <w:u w:val="single"/>
          <w:lang w:eastAsia="zh-CN"/>
        </w:rPr>
        <w:t>采购文件</w:t>
      </w:r>
      <w:r>
        <w:rPr>
          <w:rStyle w:val="25"/>
          <w:rFonts w:hint="eastAsia" w:ascii="宋体" w:hAnsi="宋体" w:eastAsia="宋体" w:cs="宋体"/>
          <w:b w:val="0"/>
          <w:bCs/>
          <w:i w:val="0"/>
          <w:caps w:val="0"/>
          <w:color w:val="auto"/>
          <w:spacing w:val="0"/>
          <w:sz w:val="21"/>
          <w:szCs w:val="21"/>
          <w:highlight w:val="none"/>
          <w:u w:val="single"/>
        </w:rPr>
        <w:t>”直接下载</w:t>
      </w:r>
      <w:r>
        <w:rPr>
          <w:rStyle w:val="25"/>
          <w:rFonts w:hint="eastAsia" w:ascii="宋体" w:hAnsi="宋体" w:cs="宋体"/>
          <w:b w:val="0"/>
          <w:bCs/>
          <w:i w:val="0"/>
          <w:caps w:val="0"/>
          <w:color w:val="auto"/>
          <w:spacing w:val="0"/>
          <w:sz w:val="21"/>
          <w:szCs w:val="21"/>
          <w:highlight w:val="none"/>
          <w:u w:val="single"/>
          <w:lang w:eastAsia="zh-CN"/>
        </w:rPr>
        <w:t>采购文件</w:t>
      </w:r>
      <w:r>
        <w:rPr>
          <w:rStyle w:val="25"/>
          <w:rFonts w:hint="eastAsia" w:ascii="宋体" w:hAnsi="宋体" w:eastAsia="宋体" w:cs="宋体"/>
          <w:b w:val="0"/>
          <w:bCs/>
          <w:i w:val="0"/>
          <w:caps w:val="0"/>
          <w:color w:val="auto"/>
          <w:spacing w:val="0"/>
          <w:sz w:val="21"/>
          <w:szCs w:val="21"/>
          <w:highlight w:val="none"/>
          <w:u w:val="single"/>
        </w:rPr>
        <w:t>浏览</w:t>
      </w:r>
      <w:r>
        <w:rPr>
          <w:rStyle w:val="25"/>
          <w:rFonts w:hint="eastAsia" w:ascii="宋体" w:hAnsi="宋体" w:eastAsia="宋体" w:cs="宋体"/>
          <w:b w:val="0"/>
          <w:bCs/>
          <w:i w:val="0"/>
          <w:caps w:val="0"/>
          <w:color w:val="auto"/>
          <w:spacing w:val="0"/>
          <w:sz w:val="21"/>
          <w:szCs w:val="21"/>
          <w:highlight w:val="none"/>
        </w:rPr>
        <w:t>）；</w:t>
      </w:r>
    </w:p>
    <w:p w14:paraId="725F80B3">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eastAsia="zh-CN"/>
        </w:rPr>
      </w:pPr>
      <w:r>
        <w:rPr>
          <w:rStyle w:val="25"/>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392FEE51">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5"/>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19E7A74B">
      <w:pPr>
        <w:pStyle w:val="19"/>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宋体" w:hAnsi="宋体" w:eastAsia="宋体" w:cs="宋体"/>
          <w:b w:val="0"/>
          <w:bCs w:val="0"/>
          <w:i w:val="0"/>
          <w:caps w:val="0"/>
          <w:color w:val="auto"/>
          <w:spacing w:val="0"/>
          <w:sz w:val="21"/>
          <w:szCs w:val="21"/>
          <w:highlight w:val="none"/>
        </w:rPr>
      </w:pPr>
      <w:r>
        <w:rPr>
          <w:rStyle w:val="25"/>
          <w:rFonts w:hint="eastAsia" w:ascii="宋体" w:hAnsi="宋体" w:eastAsia="宋体" w:cs="宋体"/>
          <w:b w:val="0"/>
          <w:bCs w:val="0"/>
          <w:i w:val="0"/>
          <w:caps w:val="0"/>
          <w:color w:val="auto"/>
          <w:spacing w:val="0"/>
          <w:sz w:val="21"/>
          <w:szCs w:val="21"/>
          <w:highlight w:val="none"/>
          <w:lang w:val="en-US" w:eastAsia="zh-CN"/>
        </w:rPr>
        <w:t>5</w:t>
      </w:r>
      <w:r>
        <w:rPr>
          <w:rStyle w:val="25"/>
          <w:rFonts w:hint="eastAsia" w:ascii="宋体" w:hAnsi="宋体" w:eastAsia="宋体" w:cs="宋体"/>
          <w:b w:val="0"/>
          <w:bCs w:val="0"/>
          <w:i w:val="0"/>
          <w:caps w:val="0"/>
          <w:color w:val="auto"/>
          <w:spacing w:val="0"/>
          <w:sz w:val="21"/>
          <w:szCs w:val="21"/>
          <w:highlight w:val="none"/>
        </w:rPr>
        <w:t>、供应商获取</w:t>
      </w:r>
      <w:r>
        <w:rPr>
          <w:rStyle w:val="25"/>
          <w:rFonts w:hint="eastAsia" w:cs="宋体"/>
          <w:b w:val="0"/>
          <w:bCs w:val="0"/>
          <w:i w:val="0"/>
          <w:caps w:val="0"/>
          <w:color w:val="auto"/>
          <w:spacing w:val="0"/>
          <w:sz w:val="21"/>
          <w:szCs w:val="21"/>
          <w:highlight w:val="none"/>
          <w:lang w:eastAsia="zh-CN"/>
        </w:rPr>
        <w:t>采购文件</w:t>
      </w:r>
      <w:r>
        <w:rPr>
          <w:rStyle w:val="25"/>
          <w:rFonts w:hint="eastAsia" w:ascii="宋体" w:hAnsi="宋体" w:eastAsia="宋体" w:cs="宋体"/>
          <w:b w:val="0"/>
          <w:bCs w:val="0"/>
          <w:i w:val="0"/>
          <w:caps w:val="0"/>
          <w:color w:val="auto"/>
          <w:spacing w:val="0"/>
          <w:sz w:val="21"/>
          <w:szCs w:val="21"/>
          <w:highlight w:val="none"/>
        </w:rPr>
        <w:t>时须提交的文件资料：无；</w:t>
      </w:r>
    </w:p>
    <w:p w14:paraId="4A3A9E11">
      <w:pPr>
        <w:pStyle w:val="19"/>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宋体" w:hAnsi="宋体" w:eastAsia="宋体" w:cs="宋体"/>
          <w:b w:val="0"/>
          <w:i w:val="0"/>
          <w:caps w:val="0"/>
          <w:color w:val="auto"/>
          <w:spacing w:val="0"/>
          <w:sz w:val="21"/>
          <w:szCs w:val="21"/>
          <w:highlight w:val="none"/>
        </w:rPr>
      </w:pPr>
      <w:r>
        <w:rPr>
          <w:rStyle w:val="25"/>
          <w:rFonts w:hint="eastAsia" w:ascii="宋体" w:hAnsi="宋体" w:eastAsia="宋体" w:cs="宋体"/>
          <w:i w:val="0"/>
          <w:caps w:val="0"/>
          <w:color w:val="auto"/>
          <w:spacing w:val="0"/>
          <w:sz w:val="21"/>
          <w:szCs w:val="21"/>
          <w:highlight w:val="none"/>
          <w:lang w:val="en-US" w:eastAsia="zh-CN"/>
        </w:rPr>
        <w:t>6</w:t>
      </w:r>
      <w:r>
        <w:rPr>
          <w:rStyle w:val="25"/>
          <w:rFonts w:hint="eastAsia" w:ascii="宋体" w:hAnsi="宋体" w:eastAsia="宋体" w:cs="宋体"/>
          <w:i w:val="0"/>
          <w:caps w:val="0"/>
          <w:color w:val="auto"/>
          <w:spacing w:val="0"/>
          <w:sz w:val="21"/>
          <w:szCs w:val="21"/>
          <w:highlight w:val="none"/>
        </w:rPr>
        <w:t>、提示：</w:t>
      </w:r>
      <w:r>
        <w:rPr>
          <w:rStyle w:val="25"/>
          <w:rFonts w:hint="eastAsia" w:ascii="宋体" w:hAnsi="宋体" w:eastAsia="宋体" w:cs="宋体"/>
          <w:i w:val="0"/>
          <w:caps w:val="0"/>
          <w:color w:val="auto"/>
          <w:spacing w:val="0"/>
          <w:sz w:val="21"/>
          <w:szCs w:val="21"/>
          <w:highlight w:val="none"/>
          <w:lang w:eastAsia="zh-CN"/>
        </w:rPr>
        <w:t>竞争性磋商公告</w:t>
      </w:r>
      <w:r>
        <w:rPr>
          <w:rStyle w:val="25"/>
          <w:rFonts w:hint="eastAsia" w:ascii="宋体" w:hAnsi="宋体" w:eastAsia="宋体" w:cs="宋体"/>
          <w:i w:val="0"/>
          <w:caps w:val="0"/>
          <w:color w:val="auto"/>
          <w:spacing w:val="0"/>
          <w:sz w:val="21"/>
          <w:szCs w:val="21"/>
          <w:highlight w:val="none"/>
        </w:rPr>
        <w:t>附件内的</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（或采购需求）仅供阅览使用，供应商只有在“政府采购云平台”完成获取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申请并下载了</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后才视作依法获取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（法律法规所指的供应商获取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时间以供应商完成获取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申请后下载</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的时间为准）。</w:t>
      </w:r>
    </w:p>
    <w:p w14:paraId="07D626E9">
      <w:pPr>
        <w:pStyle w:val="19"/>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firstLine="422" w:firstLineChars="200"/>
        <w:textAlignment w:val="auto"/>
        <w:rPr>
          <w:rStyle w:val="25"/>
          <w:rFonts w:hint="eastAsia" w:ascii="宋体" w:hAnsi="宋体" w:eastAsia="宋体" w:cs="宋体"/>
          <w:i w:val="0"/>
          <w:caps w:val="0"/>
          <w:color w:val="auto"/>
          <w:spacing w:val="0"/>
          <w:sz w:val="21"/>
          <w:szCs w:val="21"/>
          <w:highlight w:val="none"/>
        </w:rPr>
      </w:pPr>
      <w:r>
        <w:rPr>
          <w:rStyle w:val="25"/>
          <w:rFonts w:hint="eastAsia" w:ascii="宋体" w:hAnsi="宋体" w:eastAsia="宋体" w:cs="宋体"/>
          <w:i w:val="0"/>
          <w:caps w:val="0"/>
          <w:color w:val="auto"/>
          <w:spacing w:val="0"/>
          <w:sz w:val="21"/>
          <w:szCs w:val="21"/>
          <w:highlight w:val="none"/>
        </w:rPr>
        <w:t>注：请供应商按上述要求获取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，如未在“</w:t>
      </w:r>
      <w:r>
        <w:rPr>
          <w:rStyle w:val="25"/>
          <w:rFonts w:hint="eastAsia" w:ascii="宋体" w:hAnsi="宋体" w:eastAsia="宋体" w:cs="宋体"/>
          <w:i w:val="0"/>
          <w:caps w:val="0"/>
          <w:color w:val="auto"/>
          <w:spacing w:val="0"/>
          <w:sz w:val="21"/>
          <w:szCs w:val="21"/>
          <w:highlight w:val="none"/>
          <w:lang w:val="en-US" w:eastAsia="zh-CN"/>
        </w:rPr>
        <w:t>政府采购云平台</w:t>
      </w:r>
      <w:r>
        <w:rPr>
          <w:rStyle w:val="25"/>
          <w:rFonts w:hint="eastAsia" w:ascii="宋体" w:hAnsi="宋体" w:eastAsia="宋体" w:cs="宋体"/>
          <w:i w:val="0"/>
          <w:caps w:val="0"/>
          <w:color w:val="auto"/>
          <w:spacing w:val="0"/>
          <w:sz w:val="21"/>
          <w:szCs w:val="21"/>
          <w:highlight w:val="none"/>
        </w:rPr>
        <w:t>”系统内完成相关流程，引起的</w:t>
      </w:r>
      <w:r>
        <w:rPr>
          <w:rStyle w:val="25"/>
          <w:rFonts w:hint="eastAsia" w:ascii="宋体" w:hAnsi="宋体" w:eastAsia="宋体" w:cs="宋体"/>
          <w:i w:val="0"/>
          <w:caps w:val="0"/>
          <w:color w:val="auto"/>
          <w:spacing w:val="0"/>
          <w:sz w:val="21"/>
          <w:szCs w:val="21"/>
          <w:highlight w:val="none"/>
          <w:lang w:val="en-US" w:eastAsia="zh-CN"/>
        </w:rPr>
        <w:t>投标</w:t>
      </w:r>
      <w:r>
        <w:rPr>
          <w:rStyle w:val="25"/>
          <w:rFonts w:hint="eastAsia" w:ascii="宋体" w:hAnsi="宋体" w:eastAsia="宋体" w:cs="宋体"/>
          <w:i w:val="0"/>
          <w:caps w:val="0"/>
          <w:color w:val="auto"/>
          <w:spacing w:val="0"/>
          <w:sz w:val="21"/>
          <w:szCs w:val="21"/>
          <w:highlight w:val="none"/>
        </w:rPr>
        <w:t>无效责任自负。</w:t>
      </w:r>
    </w:p>
    <w:p w14:paraId="7BFD6DF3">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555060E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52195875">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w:t>
      </w:r>
      <w:r>
        <w:rPr>
          <w:rFonts w:hint="eastAsia" w:ascii="宋体" w:hAnsi="宋体" w:eastAsia="宋体" w:cs="宋体"/>
          <w:b/>
          <w:bCs/>
          <w:color w:val="auto"/>
          <w:sz w:val="21"/>
          <w:szCs w:val="21"/>
          <w:highlight w:val="none"/>
          <w:lang w:eastAsia="zh-CN"/>
        </w:rPr>
        <w:t>响应文件递交</w:t>
      </w:r>
      <w:r>
        <w:rPr>
          <w:rFonts w:hint="eastAsia" w:ascii="宋体" w:hAnsi="宋体" w:eastAsia="宋体" w:cs="宋体"/>
          <w:b/>
          <w:bCs/>
          <w:color w:val="auto"/>
          <w:sz w:val="21"/>
          <w:szCs w:val="21"/>
          <w:highlight w:val="none"/>
        </w:rPr>
        <w:t>截止</w:t>
      </w: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rPr>
        <w:t>及</w:t>
      </w:r>
      <w:r>
        <w:rPr>
          <w:rFonts w:hint="eastAsia" w:ascii="宋体" w:hAnsi="宋体" w:eastAsia="宋体" w:cs="宋体"/>
          <w:b/>
          <w:bCs/>
          <w:color w:val="auto"/>
          <w:sz w:val="21"/>
          <w:szCs w:val="21"/>
          <w:highlight w:val="none"/>
          <w:lang w:eastAsia="zh-CN"/>
        </w:rPr>
        <w:t>磋商开始</w:t>
      </w:r>
      <w:r>
        <w:rPr>
          <w:rFonts w:hint="eastAsia" w:ascii="宋体" w:hAnsi="宋体" w:eastAsia="宋体" w:cs="宋体"/>
          <w:b/>
          <w:bCs/>
          <w:color w:val="auto"/>
          <w:sz w:val="21"/>
          <w:szCs w:val="21"/>
          <w:highlight w:val="none"/>
        </w:rPr>
        <w:t>时间、地点：</w:t>
      </w:r>
    </w:p>
    <w:p w14:paraId="22000948">
      <w:pPr>
        <w:pStyle w:val="53"/>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递交</w:t>
      </w:r>
      <w:r>
        <w:rPr>
          <w:rFonts w:hint="eastAsia" w:ascii="宋体" w:hAnsi="宋体" w:eastAsia="宋体" w:cs="宋体"/>
          <w:b/>
          <w:bCs/>
          <w:color w:val="auto"/>
          <w:sz w:val="21"/>
          <w:szCs w:val="21"/>
          <w:highlight w:val="none"/>
          <w:lang w:val="en-US" w:eastAsia="zh-CN"/>
        </w:rPr>
        <w:t>磋商</w:t>
      </w:r>
      <w:r>
        <w:rPr>
          <w:rFonts w:hint="eastAsia" w:ascii="宋体" w:hAnsi="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2025年7月28日上午9:00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5571A2F2">
      <w:pPr>
        <w:pStyle w:val="53"/>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2025年7月28日上午9:00</w:t>
      </w:r>
      <w:r>
        <w:rPr>
          <w:rFonts w:hint="eastAsia" w:ascii="宋体" w:hAnsi="宋体" w:eastAsia="宋体" w:cs="宋体"/>
          <w:color w:val="auto"/>
          <w:sz w:val="21"/>
          <w:szCs w:val="21"/>
          <w:highlight w:val="none"/>
          <w:lang w:eastAsia="zh-CN"/>
        </w:rPr>
        <w:t>整，地点：通过“政府采购云平台（www.zcygov.cn）”实行在线投标响应</w:t>
      </w:r>
    </w:p>
    <w:p w14:paraId="31C9B0B6">
      <w:pPr>
        <w:pStyle w:val="53"/>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2025年7月28日上午9:30</w:t>
      </w:r>
      <w:r>
        <w:rPr>
          <w:rFonts w:hint="eastAsia" w:ascii="宋体" w:hAnsi="宋体" w:eastAsia="宋体" w:cs="宋体"/>
          <w:color w:val="auto"/>
          <w:sz w:val="21"/>
          <w:szCs w:val="21"/>
          <w:highlight w:val="none"/>
          <w:lang w:eastAsia="zh-CN"/>
        </w:rPr>
        <w:t>整</w:t>
      </w:r>
    </w:p>
    <w:p w14:paraId="53D09A9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5A0CC1A5">
      <w:pPr>
        <w:pStyle w:val="10"/>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w:t>
      </w:r>
      <w:r>
        <w:rPr>
          <w:rFonts w:hint="eastAsia" w:hAnsi="宋体" w:cs="宋体"/>
          <w:b/>
          <w:bCs/>
          <w:color w:val="auto"/>
          <w:kern w:val="0"/>
          <w:sz w:val="21"/>
          <w:szCs w:val="21"/>
          <w:highlight w:val="none"/>
          <w:lang w:val="en-US" w:eastAsia="zh-CN" w:bidi="ar-SA"/>
        </w:rPr>
        <w:t>采购文件</w:t>
      </w:r>
      <w:r>
        <w:rPr>
          <w:rFonts w:hint="eastAsia" w:ascii="宋体" w:hAnsi="宋体" w:eastAsia="宋体" w:cs="宋体"/>
          <w:b/>
          <w:bCs/>
          <w:color w:val="auto"/>
          <w:kern w:val="0"/>
          <w:sz w:val="21"/>
          <w:szCs w:val="21"/>
          <w:highlight w:val="none"/>
          <w:lang w:val="en-US" w:eastAsia="zh-CN" w:bidi="ar-SA"/>
        </w:rPr>
        <w:t>和“政府采购云平台”的要求，通过“政采云电子投标客户端”编制并加密磋商响应文件。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供应商未按规定加密的磋商响应文件，“政府采购云平台”将予以拒收。</w:t>
      </w:r>
    </w:p>
    <w:p w14:paraId="54AD3AF0">
      <w:pPr>
        <w:pStyle w:val="10"/>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567E23EE">
      <w:pPr>
        <w:pStyle w:val="53"/>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磋商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3899772A">
      <w:pPr>
        <w:pStyle w:val="10"/>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供应商通过政府采购云平台电子投标工具制作磋商响应文件，电子投标工具请供应商自行前往浙江省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lNdQ8Na?keyword=%E6%8A%95%E6%A0%87。</w:t>
      </w:r>
    </w:p>
    <w:p w14:paraId="572D107A">
      <w:pPr>
        <w:pStyle w:val="10"/>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磋商截止时间前，将生成的“电子加密磋商响应文件”上传递交至“政府采购云平台”。磋商截止时间前可以补充、修改或者撤回电子磋商响应文件。补充或者修改电子磋商响应文件的，应当先行撤回原文件，补充、修改后重新传输递交。磋商截止时间前未完成传输的，视为撤回磋商响应文件。</w:t>
      </w:r>
    </w:p>
    <w:p w14:paraId="4B21A245">
      <w:pPr>
        <w:pStyle w:val="10"/>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磋商响应文件（不强制要求，未递交备份磋商响应文件的风险由供应商自行承担）。备份磋商响应文件应当在磋商截止时间前送达并按要求密封</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highlight w:val="none"/>
          <w:lang w:val="en-US" w:eastAsia="zh-CN"/>
        </w:rPr>
        <w:t>备份</w:t>
      </w:r>
      <w:r>
        <w:rPr>
          <w:rFonts w:hint="eastAsia" w:ascii="宋体" w:hAnsi="宋体" w:eastAsia="宋体" w:cs="宋体"/>
          <w:b/>
          <w:bCs/>
          <w:color w:val="auto"/>
          <w:kern w:val="0"/>
          <w:highlight w:val="none"/>
        </w:rPr>
        <w:t>磋商响应文件”、“磋商时启封”字样</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sz w:val="21"/>
          <w:szCs w:val="21"/>
          <w:highlight w:val="none"/>
          <w:lang w:val="en-US" w:eastAsia="zh-CN" w:bidi="ar-SA"/>
        </w:rPr>
        <w:t>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116D3D9C">
      <w:pPr>
        <w:pStyle w:val="10"/>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w:t>
      </w:r>
      <w:r>
        <w:rPr>
          <w:rFonts w:hint="eastAsia" w:ascii="宋体" w:hAnsi="宋体" w:eastAsia="宋体" w:cs="宋体"/>
          <w:color w:val="auto"/>
          <w:szCs w:val="21"/>
          <w:highlight w:val="none"/>
        </w:rPr>
        <w:t>▲</w:t>
      </w:r>
      <w:r>
        <w:rPr>
          <w:rFonts w:hint="eastAsia" w:ascii="宋体" w:hAnsi="宋体" w:eastAsia="宋体" w:cs="宋体"/>
          <w:b/>
          <w:bCs/>
          <w:color w:val="auto"/>
          <w:kern w:val="0"/>
          <w:sz w:val="21"/>
          <w:szCs w:val="21"/>
          <w:highlight w:val="none"/>
          <w:lang w:val="en-US" w:eastAsia="zh-CN" w:bidi="ar-SA"/>
        </w:rPr>
        <w:t>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磋商供应商仅递交备份磋商响应文件的，投标无效。</w:t>
      </w:r>
    </w:p>
    <w:p w14:paraId="0BDD720E">
      <w:pPr>
        <w:pStyle w:val="10"/>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5816575C">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信用信息查询渠道及截止时点、信用信息查询记录和证据留存的具体方式、信用信息的使用规则：</w:t>
      </w:r>
    </w:p>
    <w:p w14:paraId="5D0A006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7DE4CC3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5EC2ECE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735D3E5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1675A738">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7196149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1F523E1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5607993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w:t>
      </w:r>
      <w:r>
        <w:rPr>
          <w:rFonts w:hint="eastAsia" w:ascii="宋体" w:hAnsi="宋体" w:eastAsia="宋体" w:cs="宋体"/>
          <w:color w:val="auto"/>
          <w:szCs w:val="21"/>
          <w:highlight w:val="none"/>
        </w:rPr>
        <w:t>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FC33D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61EA561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3A049BE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48CC5D3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202D2DA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2E22AB8D">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466F8D7E">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0DB4ECD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2AA857F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联系人：林女士</w:t>
      </w:r>
    </w:p>
    <w:p w14:paraId="77060E3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联系电话：0576-88882270,15757696186</w:t>
      </w:r>
    </w:p>
    <w:p w14:paraId="60A488A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28DA122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5CC0364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00C1127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0A6FB6FC">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0818CC7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台州市综合行政执法局</w:t>
      </w:r>
    </w:p>
    <w:p w14:paraId="4FDA43F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询问联系人：</w:t>
      </w:r>
      <w:r>
        <w:rPr>
          <w:rFonts w:hint="eastAsia" w:ascii="宋体" w:hAnsi="宋体" w:cs="宋体"/>
          <w:color w:val="auto"/>
          <w:szCs w:val="21"/>
          <w:highlight w:val="none"/>
          <w:lang w:val="en-US" w:eastAsia="zh-CN"/>
        </w:rPr>
        <w:t>陈</w:t>
      </w:r>
      <w:r>
        <w:rPr>
          <w:rFonts w:hint="eastAsia" w:ascii="宋体" w:hAnsi="宋体" w:eastAsia="宋体" w:cs="宋体"/>
          <w:color w:val="auto"/>
          <w:szCs w:val="21"/>
          <w:highlight w:val="none"/>
          <w:lang w:val="en-US" w:eastAsia="zh-CN"/>
        </w:rPr>
        <w:t>女士</w:t>
      </w:r>
      <w:r>
        <w:rPr>
          <w:rFonts w:hint="eastAsia" w:ascii="宋体" w:hAnsi="宋体" w:eastAsia="宋体" w:cs="宋体"/>
          <w:color w:val="auto"/>
          <w:szCs w:val="21"/>
          <w:highlight w:val="none"/>
        </w:rPr>
        <w:t xml:space="preserve">      询问联系电话：</w:t>
      </w:r>
      <w:r>
        <w:rPr>
          <w:rFonts w:hint="eastAsia" w:ascii="宋体" w:hAnsi="宋体" w:eastAsia="宋体" w:cs="宋体"/>
          <w:color w:val="auto"/>
          <w:szCs w:val="21"/>
          <w:highlight w:val="none"/>
          <w:lang w:eastAsia="zh-CN"/>
        </w:rPr>
        <w:t>0576-</w:t>
      </w:r>
      <w:r>
        <w:rPr>
          <w:rFonts w:hint="eastAsia" w:ascii="宋体" w:hAnsi="宋体" w:eastAsia="宋体" w:cs="宋体"/>
          <w:color w:val="auto"/>
          <w:szCs w:val="21"/>
          <w:highlight w:val="none"/>
          <w:lang w:val="en-US" w:eastAsia="zh-CN"/>
        </w:rPr>
        <w:t>8851</w:t>
      </w:r>
      <w:r>
        <w:rPr>
          <w:rFonts w:hint="eastAsia" w:ascii="宋体" w:hAnsi="宋体" w:cs="宋体"/>
          <w:color w:val="auto"/>
          <w:szCs w:val="21"/>
          <w:highlight w:val="none"/>
          <w:lang w:val="en-US" w:eastAsia="zh-CN"/>
        </w:rPr>
        <w:t>1860</w:t>
      </w:r>
    </w:p>
    <w:p w14:paraId="13CA1A5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质疑联系人：赵老师      质疑联系电话：0576-88511813</w:t>
      </w:r>
    </w:p>
    <w:p w14:paraId="1A5EDAF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cs="宋体"/>
          <w:color w:val="auto"/>
          <w:sz w:val="21"/>
          <w:szCs w:val="21"/>
          <w:highlight w:val="none"/>
          <w:lang w:val="en-US" w:eastAsia="zh-CN"/>
        </w:rPr>
        <w:t>台州市椒江区星云路218号</w:t>
      </w:r>
    </w:p>
    <w:p w14:paraId="5CE004FD">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0254B7F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同级政府采购监督管理部门名称：台州市财政局政府采购监管处</w:t>
      </w:r>
    </w:p>
    <w:p w14:paraId="5FE341C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联系人：陈老师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李老师</w:t>
      </w:r>
    </w:p>
    <w:p w14:paraId="138A4AA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监督投诉电话：0576-88206705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0576-88206731</w:t>
      </w:r>
    </w:p>
    <w:p w14:paraId="5074071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地址：台州市椒江区纬一路66号</w:t>
      </w:r>
    </w:p>
    <w:p w14:paraId="7324FC33">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240988F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合同履</w:t>
      </w:r>
      <w:r>
        <w:rPr>
          <w:rFonts w:hint="eastAsia" w:ascii="宋体" w:hAnsi="宋体" w:eastAsia="宋体" w:cs="宋体"/>
          <w:b w:val="0"/>
          <w:bCs w:val="0"/>
          <w:color w:val="auto"/>
          <w:sz w:val="21"/>
          <w:szCs w:val="21"/>
          <w:highlight w:val="none"/>
        </w:rPr>
        <w:t>约保函联系方式</w:t>
      </w:r>
    </w:p>
    <w:tbl>
      <w:tblPr>
        <w:tblStyle w:val="23"/>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66FB8F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1300449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7CE070E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0CCCA90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3865E6D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2D1DC4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3D454F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3CA6B74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6BF475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176AFB3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6F8BA3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B75ED6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0C6C486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060C15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709B1D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78FEA0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EFC6E9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5506B16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72EF31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518D95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6BB8C5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A7470A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334DFC0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3F4E81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13AD68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4628BA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7DAAE2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50CEC85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3ED49B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4BEC12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59DF36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415F0E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12E7C83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0805EE7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7F9F8B0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66C2D8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9F087B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1258DEF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40F5CA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699068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6C5A2E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F3DE1F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1C276E53">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751DE9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206165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3E0E2E36">
      <w:pPr>
        <w:jc w:val="both"/>
        <w:rPr>
          <w:rFonts w:hint="eastAsia" w:ascii="宋体" w:hAnsi="宋体" w:eastAsia="宋体" w:cs="宋体"/>
          <w:b/>
          <w:bCs/>
          <w:color w:val="auto"/>
          <w:sz w:val="21"/>
          <w:szCs w:val="21"/>
          <w:highlight w:val="none"/>
        </w:rPr>
      </w:pPr>
    </w:p>
    <w:p w14:paraId="013EB86A">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预付款保函联系方式</w:t>
      </w:r>
    </w:p>
    <w:tbl>
      <w:tblPr>
        <w:tblStyle w:val="23"/>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3E7261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52C93FA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1C8D4B5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1E8A5EE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32C9CB4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33C882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10FF03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10596D2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42F1ED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79F0F8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32BA36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43E17D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26BF297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0A20068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0252D03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A08F4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3235E9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03343A3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75081B4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4724C03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0FD636E8">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14:paraId="59F7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4F907A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334" w:type="dxa"/>
            <w:vAlign w:val="center"/>
          </w:tcPr>
          <w:p w14:paraId="5C8F5C0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688" w:type="dxa"/>
            <w:vAlign w:val="center"/>
          </w:tcPr>
          <w:p w14:paraId="5075C46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131" w:type="dxa"/>
            <w:vAlign w:val="center"/>
          </w:tcPr>
          <w:p w14:paraId="02E5881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6000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7A3246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334" w:type="dxa"/>
            <w:vAlign w:val="center"/>
          </w:tcPr>
          <w:p w14:paraId="426A22C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72FDEA2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131" w:type="dxa"/>
            <w:vAlign w:val="center"/>
          </w:tcPr>
          <w:p w14:paraId="6588E5C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5811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49D22E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334" w:type="dxa"/>
            <w:vAlign w:val="center"/>
          </w:tcPr>
          <w:p w14:paraId="1390E07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4EDE69E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131" w:type="dxa"/>
            <w:vAlign w:val="center"/>
          </w:tcPr>
          <w:p w14:paraId="3D9F303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1D4BA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2D7C8D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334" w:type="dxa"/>
            <w:vAlign w:val="center"/>
          </w:tcPr>
          <w:p w14:paraId="1491BFF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1D1F7A6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131" w:type="dxa"/>
            <w:vAlign w:val="center"/>
          </w:tcPr>
          <w:p w14:paraId="3B78B42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47E5205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3064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E26857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334" w:type="dxa"/>
            <w:vAlign w:val="center"/>
          </w:tcPr>
          <w:p w14:paraId="2B0C93E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688" w:type="dxa"/>
            <w:vAlign w:val="center"/>
          </w:tcPr>
          <w:p w14:paraId="654198F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131" w:type="dxa"/>
            <w:vAlign w:val="center"/>
          </w:tcPr>
          <w:p w14:paraId="562DC93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0B27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95CE7C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334" w:type="dxa"/>
            <w:vAlign w:val="center"/>
          </w:tcPr>
          <w:p w14:paraId="31138CE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71AD5D9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131" w:type="dxa"/>
            <w:vAlign w:val="center"/>
          </w:tcPr>
          <w:p w14:paraId="26A000E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7B69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DE90E8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334" w:type="dxa"/>
            <w:vAlign w:val="center"/>
          </w:tcPr>
          <w:p w14:paraId="33CE292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73920EB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131" w:type="dxa"/>
            <w:vAlign w:val="center"/>
          </w:tcPr>
          <w:p w14:paraId="06B66B4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79D0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32A19E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334" w:type="dxa"/>
            <w:vAlign w:val="center"/>
          </w:tcPr>
          <w:p w14:paraId="27C743C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688" w:type="dxa"/>
            <w:vAlign w:val="center"/>
          </w:tcPr>
          <w:p w14:paraId="1F42125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131" w:type="dxa"/>
            <w:vAlign w:val="center"/>
          </w:tcPr>
          <w:p w14:paraId="0FB54FB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4E22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65F36E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334" w:type="dxa"/>
            <w:vAlign w:val="center"/>
          </w:tcPr>
          <w:p w14:paraId="7F593F3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688" w:type="dxa"/>
            <w:vAlign w:val="center"/>
          </w:tcPr>
          <w:p w14:paraId="4B4823C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131" w:type="dxa"/>
            <w:vAlign w:val="center"/>
          </w:tcPr>
          <w:p w14:paraId="11E4E36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273C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8263F4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334" w:type="dxa"/>
            <w:vAlign w:val="center"/>
          </w:tcPr>
          <w:p w14:paraId="7A1225C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688" w:type="dxa"/>
            <w:vAlign w:val="center"/>
          </w:tcPr>
          <w:p w14:paraId="6875BE7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131" w:type="dxa"/>
            <w:vAlign w:val="center"/>
          </w:tcPr>
          <w:p w14:paraId="7F423B0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753BC2C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3C2E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F0B3CC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334" w:type="dxa"/>
            <w:vAlign w:val="center"/>
          </w:tcPr>
          <w:p w14:paraId="14001AD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688" w:type="dxa"/>
            <w:vAlign w:val="center"/>
          </w:tcPr>
          <w:p w14:paraId="5530E39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131" w:type="dxa"/>
            <w:vAlign w:val="center"/>
          </w:tcPr>
          <w:p w14:paraId="3CB982A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48BC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A5F958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334" w:type="dxa"/>
            <w:vAlign w:val="center"/>
          </w:tcPr>
          <w:p w14:paraId="19CA464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688" w:type="dxa"/>
            <w:vAlign w:val="center"/>
          </w:tcPr>
          <w:p w14:paraId="1699FD9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131" w:type="dxa"/>
            <w:vAlign w:val="center"/>
          </w:tcPr>
          <w:p w14:paraId="34079BB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675C785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52FC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FC89A9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334" w:type="dxa"/>
            <w:vAlign w:val="center"/>
          </w:tcPr>
          <w:p w14:paraId="49EE50E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34084DE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131" w:type="dxa"/>
            <w:vAlign w:val="center"/>
          </w:tcPr>
          <w:p w14:paraId="585ADC0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4D1E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27EEC6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334" w:type="dxa"/>
            <w:vAlign w:val="center"/>
          </w:tcPr>
          <w:p w14:paraId="7220542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688" w:type="dxa"/>
            <w:vAlign w:val="center"/>
          </w:tcPr>
          <w:p w14:paraId="7B666A3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131" w:type="dxa"/>
            <w:vAlign w:val="center"/>
          </w:tcPr>
          <w:p w14:paraId="3E237BC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4E9B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B31108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334" w:type="dxa"/>
            <w:vAlign w:val="center"/>
          </w:tcPr>
          <w:p w14:paraId="038BA47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688" w:type="dxa"/>
            <w:vAlign w:val="center"/>
          </w:tcPr>
          <w:p w14:paraId="1A70E5B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131" w:type="dxa"/>
            <w:vAlign w:val="center"/>
          </w:tcPr>
          <w:p w14:paraId="6D805D1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1731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A93BF3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334" w:type="dxa"/>
            <w:vAlign w:val="center"/>
          </w:tcPr>
          <w:p w14:paraId="3941048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688" w:type="dxa"/>
            <w:vAlign w:val="center"/>
          </w:tcPr>
          <w:p w14:paraId="7F7B3E2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131" w:type="dxa"/>
            <w:vAlign w:val="center"/>
          </w:tcPr>
          <w:p w14:paraId="646CAAF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088E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4F6827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334" w:type="dxa"/>
            <w:vAlign w:val="center"/>
          </w:tcPr>
          <w:p w14:paraId="5ECFAE0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688" w:type="dxa"/>
            <w:vAlign w:val="center"/>
          </w:tcPr>
          <w:p w14:paraId="4395BD4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131" w:type="dxa"/>
            <w:vAlign w:val="center"/>
          </w:tcPr>
          <w:p w14:paraId="56EFD13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2E9DC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591822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334" w:type="dxa"/>
            <w:vAlign w:val="center"/>
          </w:tcPr>
          <w:p w14:paraId="763D4B4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688" w:type="dxa"/>
            <w:vAlign w:val="center"/>
          </w:tcPr>
          <w:p w14:paraId="028D356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131" w:type="dxa"/>
            <w:vAlign w:val="center"/>
          </w:tcPr>
          <w:p w14:paraId="717DCCD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1166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3AB2D4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334" w:type="dxa"/>
            <w:vAlign w:val="center"/>
          </w:tcPr>
          <w:p w14:paraId="75379FF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0540BA9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131" w:type="dxa"/>
            <w:vAlign w:val="center"/>
          </w:tcPr>
          <w:p w14:paraId="6A0EA19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181EBE3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269F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AA3CA6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334" w:type="dxa"/>
            <w:vAlign w:val="center"/>
          </w:tcPr>
          <w:p w14:paraId="63A5AE6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21703A3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131" w:type="dxa"/>
            <w:vAlign w:val="center"/>
          </w:tcPr>
          <w:p w14:paraId="630CDFC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0588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74DF43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334" w:type="dxa"/>
            <w:vAlign w:val="center"/>
          </w:tcPr>
          <w:p w14:paraId="56B32AD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688" w:type="dxa"/>
            <w:vAlign w:val="center"/>
          </w:tcPr>
          <w:p w14:paraId="456BB8A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131" w:type="dxa"/>
            <w:vAlign w:val="center"/>
          </w:tcPr>
          <w:p w14:paraId="092753C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6957D22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31FFD22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7"/>
          <w:rFonts w:hint="eastAsia" w:ascii="宋体" w:hAnsi="宋体" w:eastAsia="宋体" w:cs="宋体"/>
          <w:color w:val="auto"/>
          <w:szCs w:val="21"/>
          <w:highlight w:val="none"/>
        </w:rPr>
        <w:t>http://zfcg.czt.zj.gov.cn</w:t>
      </w:r>
      <w:r>
        <w:rPr>
          <w:rStyle w:val="27"/>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0FA907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w:t>
      </w: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w:t>
      </w:r>
    </w:p>
    <w:p w14:paraId="3C6426C6">
      <w:pPr>
        <w:spacing w:line="240" w:lineRule="auto"/>
        <w:ind w:firstLine="420" w:firstLineChars="200"/>
        <w:jc w:val="left"/>
        <w:rPr>
          <w:rFonts w:hint="eastAsia" w:ascii="宋体" w:hAnsi="宋体" w:eastAsia="宋体" w:cs="宋体"/>
          <w:color w:val="auto"/>
          <w:sz w:val="21"/>
          <w:szCs w:val="21"/>
          <w:highlight w:val="none"/>
        </w:rPr>
      </w:pPr>
    </w:p>
    <w:p w14:paraId="7871D429">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5F1A44F4">
      <w:pPr>
        <w:pStyle w:val="7"/>
        <w:jc w:val="right"/>
        <w:rPr>
          <w:rFonts w:hint="eastAsia" w:ascii="宋体" w:hAnsi="宋体" w:eastAsia="宋体" w:cs="宋体"/>
          <w:b/>
          <w:color w:val="auto"/>
          <w:sz w:val="36"/>
          <w:szCs w:val="36"/>
          <w:highlight w:val="none"/>
          <w:lang w:val="en-US" w:eastAsia="zh-CN"/>
        </w:rPr>
      </w:pPr>
      <w:r>
        <w:rPr>
          <w:rFonts w:hint="eastAsia" w:ascii="宋体" w:hAnsi="宋体" w:cs="宋体"/>
          <w:color w:val="auto"/>
          <w:sz w:val="21"/>
          <w:szCs w:val="21"/>
          <w:highlight w:val="none"/>
          <w:lang w:eastAsia="zh-CN"/>
        </w:rPr>
        <w:t>二○二五年七月</w:t>
      </w:r>
      <w:r>
        <w:rPr>
          <w:rFonts w:hint="eastAsia" w:ascii="宋体" w:hAnsi="宋体" w:eastAsia="宋体" w:cs="宋体"/>
          <w:b/>
          <w:color w:val="auto"/>
          <w:sz w:val="36"/>
          <w:szCs w:val="36"/>
          <w:highlight w:val="none"/>
          <w:lang w:val="en-US" w:eastAsia="zh-CN"/>
        </w:rPr>
        <w:br w:type="page"/>
      </w:r>
    </w:p>
    <w:p w14:paraId="6785DE6E">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54AAA3EC">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2"/>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992"/>
        <w:gridCol w:w="6775"/>
      </w:tblGrid>
      <w:tr w14:paraId="2767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5A65F52B">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92" w:type="dxa"/>
            <w:vAlign w:val="center"/>
          </w:tcPr>
          <w:p w14:paraId="3181DCD2">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775" w:type="dxa"/>
            <w:vAlign w:val="center"/>
          </w:tcPr>
          <w:p w14:paraId="0DAB6D3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1BC28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0719E20">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1992" w:type="dxa"/>
            <w:vAlign w:val="center"/>
          </w:tcPr>
          <w:p w14:paraId="6308D0A6">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775" w:type="dxa"/>
            <w:vAlign w:val="center"/>
          </w:tcPr>
          <w:p w14:paraId="132EC7E6">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37274ABB">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w:t>
            </w:r>
            <w:r>
              <w:rPr>
                <w:rFonts w:hint="eastAsia" w:ascii="宋体" w:hAnsi="宋体" w:eastAsia="宋体" w:cs="宋体"/>
                <w:color w:val="auto"/>
                <w:sz w:val="21"/>
                <w:szCs w:val="21"/>
                <w:highlight w:val="none"/>
                <w:lang w:eastAsia="zh-CN"/>
              </w:rPr>
              <w:t>（十二）软件和信息技术服务业</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（十五）租赁和商务服务业</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rPr>
              <w:t>（十六）其他未列明行业。</w:t>
            </w:r>
          </w:p>
        </w:tc>
      </w:tr>
      <w:tr w14:paraId="36A3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A5367F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992" w:type="dxa"/>
            <w:vAlign w:val="center"/>
          </w:tcPr>
          <w:p w14:paraId="68D1F10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775" w:type="dxa"/>
            <w:vAlign w:val="center"/>
          </w:tcPr>
          <w:p w14:paraId="147772EB">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1C11B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6174CA9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992" w:type="dxa"/>
            <w:vAlign w:val="center"/>
          </w:tcPr>
          <w:p w14:paraId="240D9F7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775" w:type="dxa"/>
            <w:vAlign w:val="center"/>
          </w:tcPr>
          <w:p w14:paraId="290F60F9">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2D46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66B86C4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992" w:type="dxa"/>
            <w:vAlign w:val="center"/>
          </w:tcPr>
          <w:p w14:paraId="1C72248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775" w:type="dxa"/>
            <w:vAlign w:val="center"/>
          </w:tcPr>
          <w:p w14:paraId="73342340">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46E2CB6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203DE23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4E546CD0">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3F63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549D9E3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992" w:type="dxa"/>
            <w:vAlign w:val="center"/>
          </w:tcPr>
          <w:p w14:paraId="686168A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有效期</w:t>
            </w:r>
          </w:p>
        </w:tc>
        <w:tc>
          <w:tcPr>
            <w:tcW w:w="6775" w:type="dxa"/>
            <w:vAlign w:val="center"/>
          </w:tcPr>
          <w:p w14:paraId="2B311C6B">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有效期为90天，</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有效期从提交</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的截止之日起算。</w:t>
            </w:r>
          </w:p>
        </w:tc>
      </w:tr>
      <w:tr w14:paraId="2732B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568C2DC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992" w:type="dxa"/>
            <w:vAlign w:val="center"/>
          </w:tcPr>
          <w:p w14:paraId="62253592">
            <w:pPr>
              <w:pStyle w:val="7"/>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电子磋商响应文件的传输递交</w:t>
            </w:r>
          </w:p>
        </w:tc>
        <w:tc>
          <w:tcPr>
            <w:tcW w:w="6775" w:type="dxa"/>
            <w:vAlign w:val="center"/>
          </w:tcPr>
          <w:p w14:paraId="4E3FA282">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2025年7月28日上午9:00</w:t>
            </w:r>
            <w:r>
              <w:rPr>
                <w:rFonts w:hint="eastAsia" w:ascii="宋体" w:hAnsi="宋体" w:eastAsia="宋体" w:cs="宋体"/>
                <w:b/>
                <w:bCs/>
                <w:color w:val="auto"/>
                <w:kern w:val="2"/>
                <w:sz w:val="21"/>
                <w:szCs w:val="21"/>
                <w:highlight w:val="none"/>
                <w:u w:val="single"/>
                <w:lang w:val="en-US" w:eastAsia="zh-CN" w:bidi="ar-SA"/>
              </w:rPr>
              <w:t>整</w:t>
            </w:r>
          </w:p>
          <w:p w14:paraId="6BC9955B">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7C00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5005ACF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992" w:type="dxa"/>
            <w:vAlign w:val="center"/>
          </w:tcPr>
          <w:p w14:paraId="0E52587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备份磋商响应文件的递交</w:t>
            </w:r>
          </w:p>
        </w:tc>
        <w:tc>
          <w:tcPr>
            <w:tcW w:w="6775" w:type="dxa"/>
            <w:vAlign w:val="center"/>
          </w:tcPr>
          <w:p w14:paraId="05124F42">
            <w:pPr>
              <w:pStyle w:val="53"/>
              <w:keepNext w:val="0"/>
              <w:keepLines w:val="0"/>
              <w:pageBreakBefore w:val="0"/>
              <w:kinsoku/>
              <w:wordWrap/>
              <w:overflowPunct/>
              <w:topLinePunct w:val="0"/>
              <w:bidi w:val="0"/>
              <w:snapToGrid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w:t>
            </w:r>
            <w:r>
              <w:rPr>
                <w:rFonts w:hint="eastAsia" w:ascii="宋体" w:hAnsi="宋体" w:eastAsia="宋体" w:cs="宋体"/>
                <w:color w:val="auto"/>
                <w:kern w:val="2"/>
                <w:highlight w:val="none"/>
              </w:rPr>
              <w:t>；联系电话：15757696186，逾期寄达、到付或未按要求密封将被拒收。</w:t>
            </w:r>
            <w:r>
              <w:rPr>
                <w:rFonts w:hint="eastAsia" w:ascii="宋体" w:hAnsi="宋体" w:eastAsia="宋体" w:cs="宋体"/>
                <w:color w:val="auto"/>
                <w:kern w:val="2"/>
                <w:sz w:val="21"/>
                <w:szCs w:val="21"/>
                <w:highlight w:val="none"/>
                <w:lang w:val="en-US" w:eastAsia="zh-CN" w:bidi="ar-SA"/>
              </w:rPr>
              <w:t>▲如供应商未在磋商截止时间前完成电子磋商响应文件的传输递交，其备份磋商响应文件也将为无效磋商响应文件。</w:t>
            </w:r>
          </w:p>
          <w:p w14:paraId="6B85DEB1">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2025年7月28日上午9:00</w:t>
            </w:r>
            <w:r>
              <w:rPr>
                <w:rFonts w:hint="eastAsia" w:ascii="宋体" w:hAnsi="宋体" w:eastAsia="宋体" w:cs="宋体"/>
                <w:b/>
                <w:bCs/>
                <w:color w:val="auto"/>
                <w:kern w:val="2"/>
                <w:sz w:val="21"/>
                <w:szCs w:val="21"/>
                <w:highlight w:val="none"/>
                <w:u w:val="single"/>
                <w:lang w:val="en-US" w:eastAsia="zh-CN" w:bidi="ar-SA"/>
              </w:rPr>
              <w:t>整</w:t>
            </w:r>
          </w:p>
        </w:tc>
      </w:tr>
      <w:tr w14:paraId="6CD8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47B26D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992" w:type="dxa"/>
            <w:vAlign w:val="center"/>
          </w:tcPr>
          <w:p w14:paraId="1B94E4A1">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775" w:type="dxa"/>
            <w:vAlign w:val="center"/>
          </w:tcPr>
          <w:p w14:paraId="3278DC58">
            <w:pPr>
              <w:pStyle w:val="19"/>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5E6DA799">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7DD396C3">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44D0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03D97E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992" w:type="dxa"/>
            <w:vAlign w:val="center"/>
          </w:tcPr>
          <w:p w14:paraId="0870C16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解密时间</w:t>
            </w:r>
            <w:r>
              <w:rPr>
                <w:rFonts w:hint="eastAsia" w:ascii="宋体" w:hAnsi="宋体" w:eastAsia="宋体" w:cs="宋体"/>
                <w:color w:val="auto"/>
                <w:sz w:val="21"/>
                <w:szCs w:val="21"/>
                <w:highlight w:val="none"/>
                <w:lang w:val="en-US" w:eastAsia="zh-CN"/>
              </w:rPr>
              <w:t>及地点</w:t>
            </w:r>
          </w:p>
        </w:tc>
        <w:tc>
          <w:tcPr>
            <w:tcW w:w="6775" w:type="dxa"/>
            <w:vAlign w:val="center"/>
          </w:tcPr>
          <w:p w14:paraId="47DB4F96">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2025年7月28日上午9:00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上午9:30</w:t>
            </w:r>
            <w:r>
              <w:rPr>
                <w:rFonts w:hint="eastAsia" w:ascii="宋体" w:hAnsi="宋体" w:eastAsia="宋体" w:cs="宋体"/>
                <w:color w:val="auto"/>
                <w:sz w:val="21"/>
                <w:szCs w:val="21"/>
                <w:highlight w:val="none"/>
              </w:rPr>
              <w:t>（北京时间）</w:t>
            </w:r>
          </w:p>
          <w:p w14:paraId="4DDB6FB8">
            <w:pPr>
              <w:pStyle w:val="52"/>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4C46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8597DB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992" w:type="dxa"/>
            <w:vAlign w:val="center"/>
          </w:tcPr>
          <w:p w14:paraId="5212E1B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775" w:type="dxa"/>
            <w:vAlign w:val="center"/>
          </w:tcPr>
          <w:p w14:paraId="0377D6AB">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须作出实质性响应</w:t>
            </w:r>
            <w:r>
              <w:rPr>
                <w:rFonts w:hint="eastAsia" w:ascii="宋体" w:hAnsi="宋体" w:eastAsia="宋体" w:cs="宋体"/>
                <w:color w:val="auto"/>
                <w:sz w:val="21"/>
                <w:szCs w:val="21"/>
                <w:highlight w:val="none"/>
                <w:lang w:eastAsia="zh-CN"/>
              </w:rPr>
              <w:t>，否则终止磋商。</w:t>
            </w:r>
          </w:p>
        </w:tc>
      </w:tr>
      <w:tr w14:paraId="060F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6081DB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11</w:t>
            </w:r>
          </w:p>
        </w:tc>
        <w:tc>
          <w:tcPr>
            <w:tcW w:w="1992" w:type="dxa"/>
            <w:vAlign w:val="center"/>
          </w:tcPr>
          <w:p w14:paraId="49094BC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775" w:type="dxa"/>
            <w:vAlign w:val="center"/>
          </w:tcPr>
          <w:p w14:paraId="26CCABA4">
            <w:pPr>
              <w:keepNext w:val="0"/>
              <w:keepLines w:val="0"/>
              <w:pageBreakBefore w:val="0"/>
              <w:kinsoku/>
              <w:wordWrap/>
              <w:overflowPunct/>
              <w:topLinePunct w:val="0"/>
              <w:bidi w:val="0"/>
              <w:spacing w:line="240" w:lineRule="auto"/>
              <w:jc w:val="left"/>
              <w:outlineLvl w:val="9"/>
              <w:rPr>
                <w:rFonts w:hint="eastAsia" w:ascii="宋体" w:hAnsi="宋体" w:eastAsia="宋体" w:cs="宋体"/>
                <w:color w:val="auto"/>
                <w:szCs w:val="21"/>
                <w:highlight w:val="none"/>
              </w:rPr>
            </w:pPr>
            <w:r>
              <w:rPr>
                <w:rFonts w:hint="eastAsia" w:ascii="宋体" w:hAnsi="宋体" w:eastAsia="宋体" w:cs="宋体"/>
                <w:color w:val="auto"/>
                <w:highlight w:val="none"/>
              </w:rPr>
              <w:t>1、踏勘现场时间及地点：不组织，各投标单位根据自己需要，自行前往勘察现场和周围环境，所产生的费用由投标单位自理。</w:t>
            </w:r>
            <w:r>
              <w:rPr>
                <w:rFonts w:hint="eastAsia" w:ascii="宋体" w:hAnsi="宋体" w:eastAsia="宋体" w:cs="宋体"/>
                <w:color w:val="auto"/>
                <w:szCs w:val="21"/>
                <w:highlight w:val="none"/>
              </w:rPr>
              <w:t>2、节能产品、环保产品：无要求；3、样品：无要求；4、现场演示：无要求。</w:t>
            </w:r>
          </w:p>
        </w:tc>
      </w:tr>
      <w:tr w14:paraId="299E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9C4DCF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992" w:type="dxa"/>
            <w:vAlign w:val="center"/>
          </w:tcPr>
          <w:p w14:paraId="7FD0C94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775" w:type="dxa"/>
            <w:vAlign w:val="center"/>
          </w:tcPr>
          <w:p w14:paraId="5277A798">
            <w:pPr>
              <w:pStyle w:val="52"/>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4D4F2BF8">
            <w:pPr>
              <w:pStyle w:val="52"/>
              <w:keepNext w:val="0"/>
              <w:keepLines w:val="0"/>
              <w:pageBreakBefore w:val="0"/>
              <w:numPr>
                <w:ilvl w:val="0"/>
                <w:numId w:val="0"/>
              </w:numPr>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4803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692" w:type="dxa"/>
            <w:vAlign w:val="center"/>
          </w:tcPr>
          <w:p w14:paraId="78E8DCE9">
            <w:pPr>
              <w:keepNext w:val="0"/>
              <w:keepLines w:val="0"/>
              <w:pageBreakBefore w:val="0"/>
              <w:kinsoku/>
              <w:wordWrap/>
              <w:overflowPunct/>
              <w:topLinePunct w:val="0"/>
              <w:bidi w:val="0"/>
              <w:spacing w:line="240" w:lineRule="auto"/>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1992" w:type="dxa"/>
            <w:shd w:val="clear" w:color="auto" w:fill="auto"/>
            <w:vAlign w:val="center"/>
          </w:tcPr>
          <w:p w14:paraId="789FABE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6775" w:type="dxa"/>
            <w:shd w:val="clear" w:color="auto" w:fill="auto"/>
            <w:vAlign w:val="center"/>
          </w:tcPr>
          <w:p w14:paraId="587A54A9">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5577F116">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7CC17E80">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2D61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2" w:type="dxa"/>
            <w:vAlign w:val="center"/>
          </w:tcPr>
          <w:p w14:paraId="6F0AF8F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p>
        </w:tc>
        <w:tc>
          <w:tcPr>
            <w:tcW w:w="1992" w:type="dxa"/>
            <w:vAlign w:val="center"/>
          </w:tcPr>
          <w:p w14:paraId="6EF34AC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解释权</w:t>
            </w:r>
          </w:p>
        </w:tc>
        <w:tc>
          <w:tcPr>
            <w:tcW w:w="6775" w:type="dxa"/>
            <w:vAlign w:val="center"/>
          </w:tcPr>
          <w:p w14:paraId="4A838579">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30BF6E4B">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7890FDB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37C9248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07613B3B">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200BBB13">
      <w:pPr>
        <w:keepNext w:val="0"/>
        <w:keepLines w:val="0"/>
        <w:pageBreakBefore w:val="0"/>
        <w:widowControl w:val="0"/>
        <w:tabs>
          <w:tab w:val="left" w:pos="0"/>
          <w:tab w:val="left" w:pos="851"/>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0C80B81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4933B7D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28491D8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31E69D9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03A2C2F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032D6B0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161FBBD7">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726746C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44FB0BD3">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7D0976A7">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1、供应商磋商所使用的资格、信誉、荣誉、业绩与企业认证必须为本法人所拥有。供应商磋商所使用的采购项目实施人员必须为本法人员工。▲其中涉及资格条件的如非本法人所拥有，则投标无效。</w:t>
      </w:r>
    </w:p>
    <w:p w14:paraId="7B12DCB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63613ECD">
      <w:pPr>
        <w:pStyle w:val="54"/>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7ED72FD">
      <w:pPr>
        <w:pStyle w:val="54"/>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6CBC57F0">
      <w:pPr>
        <w:pStyle w:val="54"/>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646BF5D2">
      <w:pPr>
        <w:pStyle w:val="54"/>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0D78F8A9">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7、单位负责人为同一人或者存在直接控股、管理关系的不同供应商，不得参加同一合同项下的政府采购活动。</w:t>
      </w:r>
      <w:r>
        <w:rPr>
          <w:rFonts w:hint="eastAsia" w:ascii="宋体" w:hAnsi="宋体" w:eastAsia="宋体" w:cs="宋体"/>
          <w:b w:val="0"/>
          <w:bCs w:val="0"/>
          <w:color w:val="auto"/>
          <w:sz w:val="21"/>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6070E030">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3BEA3029">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9、</w:t>
      </w:r>
      <w:r>
        <w:rPr>
          <w:rFonts w:hint="eastAsia" w:ascii="宋体" w:hAnsi="宋体" w:eastAsia="宋体" w:cs="宋体"/>
          <w:b w:val="0"/>
          <w:bCs w:val="0"/>
          <w:color w:val="auto"/>
          <w:kern w:val="2"/>
          <w:sz w:val="21"/>
          <w:szCs w:val="21"/>
          <w:highlight w:val="none"/>
          <w:lang w:val="en-US" w:eastAsia="zh-CN" w:bidi="ar-SA"/>
        </w:rPr>
        <w:t>本项目不允许转包、分包。</w:t>
      </w:r>
    </w:p>
    <w:p w14:paraId="114E1D9C">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4345402F">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color w:val="auto"/>
          <w:sz w:val="21"/>
          <w:szCs w:val="21"/>
          <w:highlight w:val="none"/>
          <w:lang w:val="en-US" w:eastAsia="zh-CN"/>
        </w:rPr>
        <w:t>响应文件的形式和效力</w:t>
      </w:r>
    </w:p>
    <w:p w14:paraId="2ACB9BF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40F2A31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 w:val="21"/>
          <w:szCs w:val="21"/>
          <w:highlight w:val="none"/>
          <w:lang w:val="zh-CN"/>
        </w:rPr>
        <w:t>电子磋商响应文件按</w:t>
      </w:r>
      <w:r>
        <w:rPr>
          <w:rFonts w:hint="eastAsia" w:ascii="宋体" w:hAnsi="宋体" w:eastAsia="宋体" w:cs="宋体"/>
          <w:color w:val="auto"/>
          <w:sz w:val="21"/>
          <w:szCs w:val="21"/>
          <w:highlight w:val="none"/>
          <w:lang w:val="en-US" w:eastAsia="zh-CN"/>
        </w:rPr>
        <w:t>政府采购</w:t>
      </w:r>
      <w:r>
        <w:rPr>
          <w:rFonts w:hint="eastAsia" w:ascii="宋体" w:hAnsi="宋体" w:eastAsia="宋体" w:cs="宋体"/>
          <w:color w:val="auto"/>
          <w:sz w:val="21"/>
          <w:szCs w:val="21"/>
          <w:highlight w:val="none"/>
          <w:lang w:val="zh-CN"/>
        </w:rPr>
        <w:t>云平台供应商项目采购-电子招</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4ADF686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备份磋商响应文件是指“电子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文件”同时生成的数据电文形式的电子文件（备份标书），以U盘形式提供。</w:t>
      </w:r>
    </w:p>
    <w:p w14:paraId="390EB19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661CFBE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71DE934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）磋商响应文件的组成</w:t>
      </w:r>
    </w:p>
    <w:p w14:paraId="7240173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文件的所有内容，按</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文件的要求，详细编制磋商响应文件（包含</w:t>
      </w: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备份磋商响应文件</w:t>
      </w:r>
      <w:r>
        <w:rPr>
          <w:rFonts w:hint="eastAsia" w:ascii="宋体" w:hAnsi="宋体" w:eastAsia="宋体" w:cs="宋体"/>
          <w:color w:val="auto"/>
          <w:sz w:val="21"/>
          <w:szCs w:val="21"/>
          <w:highlight w:val="none"/>
        </w:rPr>
        <w:t>）。【特别提示：如有要求提供资料原件的，原件另行包装，并与磋商响应文件一起提交，磋商响应截止时间后所有原件不予接收。资料原件也可以用与原件相符的公证原件替代】</w:t>
      </w:r>
    </w:p>
    <w:p w14:paraId="429C558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▲1、资格证明内容的组成：</w:t>
      </w:r>
    </w:p>
    <w:p w14:paraId="6052BF9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磋商声明书</w:t>
      </w:r>
      <w:r>
        <w:rPr>
          <w:rFonts w:hint="eastAsia" w:ascii="宋体" w:hAnsi="宋体" w:eastAsia="宋体" w:cs="宋体"/>
          <w:color w:val="auto"/>
          <w:sz w:val="21"/>
          <w:szCs w:val="21"/>
          <w:highlight w:val="none"/>
        </w:rPr>
        <w:t>；</w:t>
      </w:r>
    </w:p>
    <w:p w14:paraId="46BAF4B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（2）授权委托书（法定代表人亲自办理投标事宜的，则无需提交)；</w:t>
      </w:r>
    </w:p>
    <w:p w14:paraId="24AA4B4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（3）法人或者其他组织的营业执照等证明文件，法定代表人</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授权代表的身份证明；</w:t>
      </w:r>
    </w:p>
    <w:p w14:paraId="5FF5EB9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34A2CB2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 w:val="21"/>
          <w:szCs w:val="21"/>
          <w:highlight w:val="none"/>
        </w:rPr>
        <w:t>供应商认为需要说明的其他材料；</w:t>
      </w:r>
    </w:p>
    <w:p w14:paraId="05DBDF92">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2、商务与技术内容的组成：</w:t>
      </w:r>
    </w:p>
    <w:p w14:paraId="0B7A373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13F459D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6518596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2617333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773CC03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48EB575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5CA1828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（4）供应商通过的本项目相关的认证证书或文件；</w:t>
      </w:r>
    </w:p>
    <w:p w14:paraId="61DE461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（5）类似项目的成功案例（供应商类似项目实施情况一览表、合同复印件等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338D532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76326E6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4A2805A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1BE5E3B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674E93BC">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注：若</w:t>
      </w:r>
      <w:r>
        <w:rPr>
          <w:rFonts w:hint="eastAsia" w:ascii="宋体" w:hAnsi="宋体" w:eastAsia="宋体" w:cs="宋体"/>
          <w:b/>
          <w:color w:val="auto"/>
          <w:sz w:val="21"/>
          <w:szCs w:val="21"/>
          <w:highlight w:val="none"/>
          <w:u w:val="single"/>
          <w:lang w:eastAsia="zh-CN"/>
        </w:rPr>
        <w:t>磋商文件</w:t>
      </w:r>
      <w:r>
        <w:rPr>
          <w:rFonts w:hint="eastAsia" w:ascii="宋体" w:hAnsi="宋体" w:eastAsia="宋体" w:cs="宋体"/>
          <w:b/>
          <w:color w:val="auto"/>
          <w:sz w:val="21"/>
          <w:szCs w:val="21"/>
          <w:highlight w:val="none"/>
          <w:u w:val="single"/>
        </w:rPr>
        <w:t>中有专门标注的某关联点，并要求</w:t>
      </w:r>
      <w:r>
        <w:rPr>
          <w:rFonts w:hint="eastAsia" w:ascii="宋体" w:hAnsi="宋体" w:eastAsia="宋体" w:cs="宋体"/>
          <w:b/>
          <w:color w:val="auto"/>
          <w:sz w:val="21"/>
          <w:szCs w:val="21"/>
          <w:highlight w:val="none"/>
          <w:u w:val="single"/>
          <w:lang w:eastAsia="zh-CN"/>
        </w:rPr>
        <w:t>供应商</w:t>
      </w:r>
      <w:r>
        <w:rPr>
          <w:rFonts w:hint="eastAsia" w:ascii="宋体" w:hAnsi="宋体" w:eastAsia="宋体" w:cs="宋体"/>
          <w:b/>
          <w:color w:val="auto"/>
          <w:sz w:val="21"/>
          <w:szCs w:val="21"/>
          <w:highlight w:val="none"/>
          <w:u w:val="single"/>
        </w:rPr>
        <w:t>在</w:t>
      </w:r>
      <w:r>
        <w:rPr>
          <w:rFonts w:hint="eastAsia" w:ascii="宋体" w:hAnsi="宋体" w:eastAsia="宋体" w:cs="宋体"/>
          <w:b/>
          <w:color w:val="auto"/>
          <w:sz w:val="21"/>
          <w:szCs w:val="21"/>
          <w:highlight w:val="none"/>
          <w:u w:val="single"/>
          <w:lang w:eastAsia="zh-CN"/>
        </w:rPr>
        <w:t>电子投标</w:t>
      </w:r>
      <w:r>
        <w:rPr>
          <w:rFonts w:hint="eastAsia" w:ascii="宋体" w:hAnsi="宋体" w:eastAsia="宋体" w:cs="宋体"/>
          <w:b/>
          <w:color w:val="auto"/>
          <w:sz w:val="21"/>
          <w:szCs w:val="21"/>
          <w:highlight w:val="none"/>
          <w:u w:val="single"/>
        </w:rPr>
        <w:t>系统中作出</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响应的，如</w:t>
      </w:r>
      <w:r>
        <w:rPr>
          <w:rFonts w:hint="eastAsia" w:ascii="宋体" w:hAnsi="宋体" w:eastAsia="宋体" w:cs="宋体"/>
          <w:b/>
          <w:color w:val="auto"/>
          <w:sz w:val="21"/>
          <w:szCs w:val="21"/>
          <w:highlight w:val="none"/>
          <w:u w:val="single"/>
          <w:lang w:eastAsia="zh-CN"/>
        </w:rPr>
        <w:t>供应商</w:t>
      </w:r>
      <w:r>
        <w:rPr>
          <w:rFonts w:hint="eastAsia" w:ascii="宋体" w:hAnsi="宋体" w:eastAsia="宋体" w:cs="宋体"/>
          <w:b/>
          <w:color w:val="auto"/>
          <w:sz w:val="21"/>
          <w:szCs w:val="21"/>
          <w:highlight w:val="none"/>
          <w:u w:val="single"/>
        </w:rPr>
        <w:t>未对关联点进行响应或者在</w:t>
      </w:r>
      <w:r>
        <w:rPr>
          <w:rFonts w:hint="eastAsia" w:ascii="宋体" w:hAnsi="宋体" w:eastAsia="宋体" w:cs="宋体"/>
          <w:b/>
          <w:color w:val="auto"/>
          <w:sz w:val="21"/>
          <w:szCs w:val="21"/>
          <w:highlight w:val="none"/>
          <w:u w:val="single"/>
          <w:lang w:eastAsia="zh-CN"/>
        </w:rPr>
        <w:t>响应文件</w:t>
      </w:r>
      <w:r>
        <w:rPr>
          <w:rFonts w:hint="eastAsia" w:ascii="宋体" w:hAnsi="宋体" w:eastAsia="宋体" w:cs="宋体"/>
          <w:b/>
          <w:color w:val="auto"/>
          <w:sz w:val="21"/>
          <w:szCs w:val="21"/>
          <w:highlight w:val="none"/>
          <w:u w:val="single"/>
        </w:rPr>
        <w:t>其它内容进行描述，造成电子评审不能查询的责任由</w:t>
      </w:r>
      <w:r>
        <w:rPr>
          <w:rFonts w:hint="eastAsia" w:ascii="宋体" w:hAnsi="宋体" w:eastAsia="宋体" w:cs="宋体"/>
          <w:b/>
          <w:color w:val="auto"/>
          <w:sz w:val="21"/>
          <w:szCs w:val="21"/>
          <w:highlight w:val="none"/>
          <w:u w:val="single"/>
          <w:lang w:eastAsia="zh-CN"/>
        </w:rPr>
        <w:t>供应商</w:t>
      </w:r>
      <w:r>
        <w:rPr>
          <w:rFonts w:hint="eastAsia" w:ascii="宋体" w:hAnsi="宋体" w:eastAsia="宋体" w:cs="宋体"/>
          <w:b/>
          <w:color w:val="auto"/>
          <w:sz w:val="21"/>
          <w:szCs w:val="21"/>
          <w:highlight w:val="none"/>
          <w:u w:val="single"/>
        </w:rPr>
        <w:t>自行承担。</w:t>
      </w:r>
    </w:p>
    <w:p w14:paraId="707299D3">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3、报价内容的组成</w:t>
      </w:r>
    </w:p>
    <w:p w14:paraId="5CEC499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（1）报价内容由</w:t>
      </w:r>
      <w:r>
        <w:rPr>
          <w:rFonts w:hint="eastAsia" w:ascii="宋体" w:hAnsi="宋体" w:eastAsia="宋体" w:cs="宋体"/>
          <w:b/>
          <w:bCs/>
          <w:color w:val="auto"/>
          <w:sz w:val="21"/>
          <w:szCs w:val="21"/>
          <w:highlight w:val="none"/>
          <w:lang w:val="en-US" w:eastAsia="zh-CN"/>
        </w:rPr>
        <w:t>开标</w:t>
      </w:r>
      <w:r>
        <w:rPr>
          <w:rFonts w:hint="eastAsia" w:ascii="宋体" w:hAnsi="宋体" w:eastAsia="宋体" w:cs="宋体"/>
          <w:b/>
          <w:bCs/>
          <w:color w:val="auto"/>
          <w:sz w:val="21"/>
          <w:szCs w:val="21"/>
          <w:highlight w:val="none"/>
        </w:rPr>
        <w:t>一览表、报价明细表，以及供应商认为其他需要说明的内容组成。</w:t>
      </w:r>
    </w:p>
    <w:p w14:paraId="6701A2F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（2）此报价为供应商针对本项目报出的唯一的首次报价，包含其它一切所要涉及到的费用，有选择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r>
        <w:rPr>
          <w:rFonts w:hint="eastAsia" w:ascii="宋体" w:hAnsi="宋体" w:eastAsia="宋体" w:cs="宋体"/>
          <w:color w:val="auto"/>
          <w:sz w:val="21"/>
          <w:szCs w:val="21"/>
          <w:highlight w:val="none"/>
          <w:lang w:eastAsia="zh-CN"/>
        </w:rPr>
        <w:t>。</w:t>
      </w:r>
    </w:p>
    <w:p w14:paraId="1DB35A7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w:t>
      </w:r>
      <w:r>
        <w:rPr>
          <w:rFonts w:hint="eastAsia" w:ascii="宋体" w:hAnsi="宋体" w:eastAsia="宋体" w:cs="宋体"/>
          <w:bCs/>
          <w:color w:val="auto"/>
          <w:sz w:val="21"/>
          <w:szCs w:val="21"/>
          <w:highlight w:val="none"/>
          <w:lang w:val="en-US" w:eastAsia="zh-CN"/>
        </w:rPr>
        <w:t>包括</w:t>
      </w:r>
      <w:r>
        <w:rPr>
          <w:rFonts w:hint="eastAsia" w:ascii="宋体" w:hAnsi="宋体" w:eastAsia="宋体" w:cs="宋体"/>
          <w:bCs/>
          <w:color w:val="auto"/>
          <w:sz w:val="21"/>
          <w:szCs w:val="21"/>
          <w:highlight w:val="none"/>
        </w:rPr>
        <w:t>利润、税收、管理费、</w:t>
      </w:r>
      <w:r>
        <w:rPr>
          <w:rFonts w:hint="eastAsia" w:ascii="宋体" w:hAnsi="宋体" w:eastAsia="宋体" w:cs="宋体"/>
          <w:bCs/>
          <w:color w:val="auto"/>
          <w:sz w:val="21"/>
          <w:szCs w:val="21"/>
          <w:highlight w:val="none"/>
          <w:lang w:eastAsia="zh-CN"/>
        </w:rPr>
        <w:t>信息采集费用、</w:t>
      </w:r>
      <w:r>
        <w:rPr>
          <w:rFonts w:hint="eastAsia" w:ascii="宋体" w:hAnsi="宋体" w:eastAsia="宋体" w:cs="宋体"/>
          <w:bCs/>
          <w:color w:val="auto"/>
          <w:sz w:val="21"/>
          <w:szCs w:val="21"/>
          <w:highlight w:val="none"/>
        </w:rPr>
        <w:t>设备购置维修费、方案计划评审费、不可预见费、招标代理服务费及处理一切伤亡事故等完成合同所需的一切本身和不可或缺的所有工作开支、政策性文件规定及合同包含的所有风险、责任等各项全部费用</w:t>
      </w:r>
      <w:r>
        <w:rPr>
          <w:rFonts w:hint="eastAsia" w:ascii="宋体" w:hAnsi="宋体" w:eastAsia="宋体" w:cs="宋体"/>
          <w:color w:val="auto"/>
          <w:sz w:val="21"/>
          <w:szCs w:val="21"/>
          <w:highlight w:val="none"/>
          <w:lang w:val="en-US" w:eastAsia="zh-CN"/>
        </w:rPr>
        <w:t>，全部费用已包含在投标报价中。</w:t>
      </w:r>
    </w:p>
    <w:p w14:paraId="24E0B76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（4）相关报价表需打印或用不</w:t>
      </w:r>
      <w:r>
        <w:rPr>
          <w:rFonts w:hint="eastAsia" w:ascii="宋体" w:hAnsi="宋体" w:eastAsia="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未由</w:t>
      </w:r>
      <w:r>
        <w:rPr>
          <w:rFonts w:hint="eastAsia" w:ascii="宋体" w:hAnsi="宋体" w:eastAsia="宋体" w:cs="宋体"/>
          <w:color w:val="auto"/>
          <w:sz w:val="21"/>
          <w:szCs w:val="21"/>
          <w:highlight w:val="none"/>
        </w:rPr>
        <w:t>同一签署人签字或盖章</w:t>
      </w:r>
      <w:r>
        <w:rPr>
          <w:rFonts w:hint="eastAsia" w:ascii="宋体" w:hAnsi="宋体" w:eastAsia="宋体" w:cs="宋体"/>
          <w:color w:val="auto"/>
          <w:sz w:val="21"/>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6B83D0B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）报价有关表格应按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56F11E34">
      <w:pPr>
        <w:pStyle w:val="3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（6）最后的磋商报价低于首次报价，除磋商内容发生实质性变更，其报价明细表（如有）中各项报价需另行明确以外，各项报价均按比例下调。</w:t>
      </w:r>
    </w:p>
    <w:p w14:paraId="27EA404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）磋商响应文件的制作、封装及递交要求</w:t>
      </w:r>
    </w:p>
    <w:p w14:paraId="246E23C0">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4A862B2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6AA1A79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736F8D6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474073F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5C12E8BF">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、磋商响应文件的制作要求</w:t>
      </w:r>
    </w:p>
    <w:p w14:paraId="3ECF7D4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684FC3E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zh-CN"/>
        </w:rPr>
        <w:t>响应文件（包含电子磋商响应文件和备份磋商响应文件）</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其中电子磋商响应文件中所须加盖公章部分均采用CA签章。备份磋商响应文件</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val="en-US" w:eastAsia="zh-CN"/>
        </w:rPr>
        <w:t>要求密封</w:t>
      </w:r>
      <w:r>
        <w:rPr>
          <w:rFonts w:hint="eastAsia" w:ascii="宋体" w:hAnsi="宋体" w:eastAsia="宋体" w:cs="宋体"/>
          <w:color w:val="auto"/>
          <w:sz w:val="21"/>
          <w:szCs w:val="21"/>
          <w:highlight w:val="none"/>
        </w:rPr>
        <w:t>，否则其响应文件将可能被拒绝。</w:t>
      </w:r>
    </w:p>
    <w:p w14:paraId="63B6431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39ACF55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除签字、盖章、专用名称等特殊情形外，以中文汉语以外的文字表述的磋商响应文件视同未提供，如该文件未提供将影响投标有效性的，则视为投标无效。</w:t>
      </w:r>
    </w:p>
    <w:p w14:paraId="1E19285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5CA6F9C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499ACF4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59E50818">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、磋商响应文件的封装要求</w:t>
      </w:r>
    </w:p>
    <w:p w14:paraId="249ECA18">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7320F0B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08267DF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4F4CDB8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3C09310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18AC67E7">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、磋商响应文件的递交要求</w:t>
      </w:r>
    </w:p>
    <w:p w14:paraId="7F5EC2C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sz w:val="21"/>
          <w:szCs w:val="21"/>
          <w:highlight w:val="none"/>
        </w:rPr>
        <w:t>台州市椒江区中环世纪6幢801室（交通银行台州分行楼上）收件人：俞雅琪；联系电话：15757696186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备份磋商响应文件在截止时间后提交、到付或未按要求密封</w:t>
      </w:r>
      <w:r>
        <w:rPr>
          <w:rFonts w:hint="eastAsia" w:ascii="宋体" w:hAnsi="宋体" w:eastAsia="宋体" w:cs="宋体"/>
          <w:color w:val="auto"/>
          <w:sz w:val="21"/>
          <w:szCs w:val="21"/>
          <w:highlight w:val="none"/>
          <w:lang w:eastAsia="zh-Hans"/>
        </w:rPr>
        <w:t>的</w:t>
      </w:r>
      <w:r>
        <w:rPr>
          <w:rFonts w:hint="eastAsia" w:ascii="宋体" w:hAnsi="宋体" w:eastAsia="宋体" w:cs="宋体"/>
          <w:color w:val="auto"/>
          <w:sz w:val="21"/>
          <w:szCs w:val="21"/>
          <w:highlight w:val="none"/>
        </w:rPr>
        <w:t>，采购代理机构将拒绝接收。▲如供应商未在磋商截止时间前完成电子磋商响应文件的传输递交，其备份磋商响应文件也将为无效</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磋商响应文件。</w:t>
      </w:r>
    </w:p>
    <w:p w14:paraId="4492752F">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电子磋商响应文件的相关说明</w:t>
      </w:r>
    </w:p>
    <w:p w14:paraId="1BDDCCC5">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055D2AA5">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04E8ABDC">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09BCAB49">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40DDF65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53EEA49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、磋商响应文件的补充、修改和撤回。</w:t>
      </w:r>
    </w:p>
    <w:p w14:paraId="470DC9C7">
      <w:pPr>
        <w:pStyle w:val="5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应当在投标截止时间前完成电子</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文件的上传、递交，并可以补充、修改或者撤回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文件。补充或者修改</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文件。投标截止时间后递交的</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文件，“政府采购云平台”将予以拒收。</w:t>
      </w:r>
    </w:p>
    <w:p w14:paraId="3A7F5DE8">
      <w:pPr>
        <w:pStyle w:val="5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）投标截止时间后，供应商不得撤回、修改</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66CC7FC4">
      <w:pPr>
        <w:pStyle w:val="57"/>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不能撤销</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48DA4301">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）磋商响应文件的有效期</w:t>
      </w:r>
    </w:p>
    <w:p w14:paraId="7DF2B71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22723D2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2、在符合相关法律法规规定的情况下，采购人可与磋商供应商协商延长磋商响应文件的有效期，这种要求和答复均以书面形式进行。</w:t>
      </w:r>
    </w:p>
    <w:p w14:paraId="21D6A2B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3、磋商供应商可拒绝接受延期要求。同意延长有效期的磋商供应商不能修改磋商响应文件。 </w:t>
      </w:r>
    </w:p>
    <w:p w14:paraId="6A212D7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成交供应商的磋商响应文件自磋商之日起至合同履行完毕均应保持有效。</w:t>
      </w:r>
    </w:p>
    <w:p w14:paraId="3F7F95CE">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58F846A4">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bCs/>
          <w:color w:val="auto"/>
          <w:kern w:val="2"/>
          <w:sz w:val="21"/>
          <w:szCs w:val="21"/>
          <w:highlight w:val="none"/>
          <w:lang w:val="en-US" w:eastAsia="zh-CN" w:bidi="ar-SA"/>
        </w:rPr>
        <w:t>事项：</w:t>
      </w:r>
    </w:p>
    <w:p w14:paraId="5D5C4578">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07C5BD60">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eastAsia="宋体" w:cs="宋体"/>
          <w:b/>
          <w:bCs/>
          <w:color w:val="auto"/>
          <w:sz w:val="21"/>
          <w:szCs w:val="21"/>
          <w:highlight w:val="none"/>
        </w:rPr>
        <w:t>给予供应商在线解密的时间为截止</w:t>
      </w:r>
      <w:r>
        <w:rPr>
          <w:rFonts w:hint="eastAsia" w:ascii="宋体" w:hAnsi="宋体" w:eastAsia="宋体" w:cs="宋体"/>
          <w:b/>
          <w:bCs/>
          <w:color w:val="auto"/>
          <w:sz w:val="21"/>
          <w:szCs w:val="21"/>
          <w:highlight w:val="none"/>
          <w:lang w:val="en-US" w:eastAsia="zh-CN"/>
        </w:rPr>
        <w:t>提交</w:t>
      </w:r>
      <w:r>
        <w:rPr>
          <w:rFonts w:hint="eastAsia" w:ascii="宋体" w:hAnsi="宋体" w:eastAsia="宋体" w:cs="宋体"/>
          <w:b/>
          <w:bCs/>
          <w:color w:val="auto"/>
          <w:sz w:val="21"/>
          <w:szCs w:val="21"/>
          <w:highlight w:val="none"/>
        </w:rPr>
        <w:t>磋商</w:t>
      </w:r>
      <w:r>
        <w:rPr>
          <w:rFonts w:hint="eastAsia" w:ascii="宋体" w:hAnsi="宋体" w:eastAsia="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后30分钟。</w:t>
      </w:r>
    </w:p>
    <w:p w14:paraId="2A057AC3">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64129FF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磋商委员会或磋商小组</w:t>
      </w:r>
    </w:p>
    <w:p w14:paraId="19A1C5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磋商委员会或磋商小组（以下简称磋商委员会）成员由政府采购管理部门负责组织，对具备实质性响应的</w:t>
      </w:r>
      <w:r>
        <w:rPr>
          <w:rFonts w:hint="eastAsia" w:ascii="宋体" w:hAnsi="宋体" w:eastAsia="宋体" w:cs="宋体"/>
          <w:b w:val="0"/>
          <w:bCs/>
          <w:color w:val="auto"/>
          <w:sz w:val="21"/>
          <w:szCs w:val="21"/>
          <w:highlight w:val="none"/>
          <w:lang w:val="en-US" w:eastAsia="zh-CN"/>
        </w:rPr>
        <w:t>磋商响应</w:t>
      </w:r>
      <w:r>
        <w:rPr>
          <w:rFonts w:hint="eastAsia" w:ascii="宋体" w:hAnsi="宋体" w:eastAsia="宋体" w:cs="宋体"/>
          <w:b w:val="0"/>
          <w:bCs/>
          <w:color w:val="auto"/>
          <w:sz w:val="21"/>
          <w:szCs w:val="21"/>
          <w:highlight w:val="none"/>
        </w:rPr>
        <w:t>文件进行评估和比较。</w:t>
      </w:r>
      <w:r>
        <w:rPr>
          <w:rFonts w:hint="eastAsia" w:ascii="宋体" w:hAnsi="宋体" w:eastAsia="宋体" w:cs="宋体"/>
          <w:b w:val="0"/>
          <w:bCs/>
          <w:color w:val="auto"/>
          <w:sz w:val="21"/>
          <w:szCs w:val="21"/>
          <w:highlight w:val="none"/>
          <w:lang w:eastAsia="zh-CN"/>
        </w:rPr>
        <w:t>磋商委员会</w:t>
      </w:r>
      <w:r>
        <w:rPr>
          <w:rFonts w:hint="eastAsia" w:ascii="宋体" w:hAnsi="宋体" w:eastAsia="宋体" w:cs="宋体"/>
          <w:b w:val="0"/>
          <w:bCs/>
          <w:color w:val="auto"/>
          <w:sz w:val="21"/>
          <w:szCs w:val="21"/>
          <w:highlight w:val="none"/>
        </w:rPr>
        <w:t xml:space="preserve">由招标人的代表、专家和其他有关方面的代表组成。 </w:t>
      </w:r>
    </w:p>
    <w:p w14:paraId="5155CB3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7E70555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59B9510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6D270096">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4060511A">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0050349F">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3214571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636990A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6CA795C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对响应文件的初审</w:t>
      </w:r>
    </w:p>
    <w:p w14:paraId="19CAF7C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资格性检查：依据法律法规和磋商文件的规定，对响应文件中的资格条件进行审查，以确定磋商供应商是否具备投标资格。</w:t>
      </w:r>
    </w:p>
    <w:p w14:paraId="6D97E5BF">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rPr>
        <w:t>符合性检查：详细评标之前，磋商小组依据磋商文件的规定，对响应文件是否满足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的实质性要求进行审查，以确定响应文件是否有效。</w:t>
      </w:r>
    </w:p>
    <w:p w14:paraId="478D320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、初审合格的供应商进入下一步的磋商活动</w:t>
      </w:r>
      <w:r>
        <w:rPr>
          <w:rFonts w:hint="eastAsia" w:ascii="宋体" w:hAnsi="宋体" w:eastAsia="宋体" w:cs="宋体"/>
          <w:color w:val="auto"/>
          <w:sz w:val="21"/>
          <w:szCs w:val="21"/>
          <w:highlight w:val="none"/>
          <w:lang w:eastAsia="zh-CN"/>
        </w:rPr>
        <w:t>。</w:t>
      </w:r>
    </w:p>
    <w:p w14:paraId="35B9D32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73C82AA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0CE284F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最后报价是供应商响应文件的有效组成部分。</w:t>
      </w:r>
    </w:p>
    <w:p w14:paraId="760B3E8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33B7CC00">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68749719">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35760B76">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 xml:space="preserve">报价、报价得分及总得分），磋商采购会议结束。   </w:t>
      </w:r>
      <w:r>
        <w:rPr>
          <w:rFonts w:hint="eastAsia" w:ascii="宋体" w:hAnsi="宋体" w:eastAsia="宋体" w:cs="宋体"/>
          <w:color w:val="auto"/>
          <w:sz w:val="21"/>
          <w:szCs w:val="21"/>
          <w:highlight w:val="none"/>
          <w:lang w:val="en-US" w:eastAsia="zh-CN"/>
        </w:rPr>
        <w:t xml:space="preserve"> </w:t>
      </w:r>
    </w:p>
    <w:p w14:paraId="5EAE9060">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）澄清问题的形式</w:t>
      </w:r>
    </w:p>
    <w:p w14:paraId="6FC39D2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w:t>
      </w:r>
      <w:r>
        <w:rPr>
          <w:rFonts w:hint="eastAsia" w:ascii="宋体" w:hAnsi="宋体" w:eastAsia="宋体" w:cs="宋体"/>
          <w:b w:val="0"/>
          <w:bCs w:val="0"/>
          <w:color w:val="auto"/>
          <w:sz w:val="21"/>
          <w:szCs w:val="21"/>
          <w:highlight w:val="none"/>
          <w:lang w:eastAsia="zh-CN"/>
        </w:rPr>
        <w:t>法定代表人或授权委托代理人签字</w:t>
      </w:r>
      <w:r>
        <w:rPr>
          <w:rFonts w:hint="eastAsia" w:ascii="宋体" w:hAnsi="宋体" w:eastAsia="宋体" w:cs="宋体"/>
          <w:b w:val="0"/>
          <w:bCs w:val="0"/>
          <w:color w:val="auto"/>
          <w:sz w:val="21"/>
          <w:szCs w:val="21"/>
          <w:highlight w:val="none"/>
        </w:rPr>
        <w:t>，并不得超出磋商响应文件的范围或者改变磋商响应文件的实质性内容。</w:t>
      </w:r>
    </w:p>
    <w:p w14:paraId="4ABA7918">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）错误修正</w:t>
      </w:r>
    </w:p>
    <w:p w14:paraId="67CFBD7D">
      <w:pPr>
        <w:pStyle w:val="1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5D7C16E1">
      <w:pPr>
        <w:pStyle w:val="1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6740DD12">
      <w:pPr>
        <w:pStyle w:val="1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07BE0065">
      <w:pPr>
        <w:pStyle w:val="1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5524A8AB">
      <w:pPr>
        <w:pStyle w:val="1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7A7E7357">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ascii="宋体" w:hAnsi="宋体" w:eastAsia="宋体"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0C469E38">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4ECBF90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、磋商响应文件中的报价</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的供应</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出现重大偏差的；</w:t>
      </w:r>
    </w:p>
    <w:p w14:paraId="3F8999B4">
      <w:pPr>
        <w:pStyle w:val="19"/>
        <w:keepNext w:val="0"/>
        <w:keepLines w:val="0"/>
        <w:pageBreakBefore w:val="0"/>
        <w:widowControl w:val="0"/>
        <w:tabs>
          <w:tab w:val="left" w:pos="7380"/>
        </w:tabs>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66F898A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、磋商响应文件含有采购人不能接受的附加条件的。</w:t>
      </w:r>
    </w:p>
    <w:p w14:paraId="22B6859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r>
        <w:rPr>
          <w:rFonts w:hint="eastAsia" w:ascii="宋体" w:hAnsi="宋体" w:eastAsia="宋体" w:cs="宋体"/>
          <w:b w:val="0"/>
          <w:bCs w:val="0"/>
          <w:color w:val="auto"/>
          <w:kern w:val="2"/>
          <w:sz w:val="21"/>
          <w:szCs w:val="21"/>
          <w:highlight w:val="none"/>
          <w:lang w:val="en-US" w:eastAsia="zh-CN" w:bidi="ar-SA"/>
        </w:rPr>
        <w:t>（受疫情期间影响供应商代表人无需现场参加磋商会议）</w:t>
      </w:r>
      <w:r>
        <w:rPr>
          <w:rFonts w:hint="eastAsia" w:ascii="宋体" w:hAnsi="宋体" w:eastAsia="宋体" w:cs="宋体"/>
          <w:color w:val="auto"/>
          <w:sz w:val="21"/>
          <w:szCs w:val="21"/>
          <w:highlight w:val="none"/>
        </w:rPr>
        <w:t>；</w:t>
      </w:r>
    </w:p>
    <w:p w14:paraId="1176627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1083F073">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价。</w:t>
      </w:r>
    </w:p>
    <w:p w14:paraId="229A78CD">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参数的。</w:t>
      </w:r>
    </w:p>
    <w:p w14:paraId="69B6EE47">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4C7AC42A">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不同供应商的磋商响应文件由同一单位或者个人编制；</w:t>
      </w:r>
    </w:p>
    <w:p w14:paraId="34638FD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228D4CCF">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66BC33EC">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646544B4">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2F22E19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、不符合法律、法规和</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中规定的其他实质性要求的（</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中打“▲”内容及被拒绝的条款）。</w:t>
      </w:r>
    </w:p>
    <w:p w14:paraId="67AC03C6">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15、投标人的电子响应文件无法按时解密且本项目未达到启动备份文件条件的。</w:t>
      </w:r>
    </w:p>
    <w:p w14:paraId="268586E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16、电子磋商响应文件解密失败的，且未在规定时间内提交备份磋商响应文件的；</w:t>
      </w:r>
    </w:p>
    <w:p w14:paraId="49D67C3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不同供应商的电子投标（响应）文件上传计算机的网卡MAC地址或硬盘序列号等硬件信息相同且无法合理解释的；</w:t>
      </w:r>
    </w:p>
    <w:p w14:paraId="5653B26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上传的电子投标（响应）文件若出现使用本项目其他投标（响应）供应商的数字证书加密的，或者加盖本项目其他投标（响应）供应商的电子印章的；</w:t>
      </w:r>
    </w:p>
    <w:p w14:paraId="20EA460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不同供应商的投标（响应）文件的内容存在3处（含）以上错误一致的；</w:t>
      </w:r>
    </w:p>
    <w:p w14:paraId="0A2059C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不同供应商联系人为同一人或不同联系人的联系电话一致的。</w:t>
      </w:r>
    </w:p>
    <w:p w14:paraId="65AC6DE0">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电子磋商响应文件未按规定要求提供电子签章的。</w:t>
      </w:r>
    </w:p>
    <w:p w14:paraId="118C9B5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）有下列情况之一的，本次磋商终止</w:t>
      </w:r>
    </w:p>
    <w:p w14:paraId="1F124615">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7114FDA1">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28CC4C80">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2439141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29D51CA5">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）磋商原则和方法</w:t>
      </w:r>
    </w:p>
    <w:p w14:paraId="1517388F">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5B904137">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ascii="宋体" w:hAnsi="宋体" w:eastAsia="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71172038">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）评审过程的监控</w:t>
      </w:r>
    </w:p>
    <w:p w14:paraId="1E2E8E16">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5F07E7E0">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（十）</w:t>
      </w:r>
      <w:r>
        <w:rPr>
          <w:rFonts w:hint="eastAsia" w:ascii="宋体" w:hAnsi="宋体" w:eastAsia="宋体" w:cs="宋体"/>
          <w:b/>
          <w:bCs w:val="0"/>
          <w:color w:val="auto"/>
          <w:sz w:val="21"/>
          <w:szCs w:val="21"/>
          <w:highlight w:val="none"/>
        </w:rPr>
        <w:t>电子交易异常情形处理</w:t>
      </w:r>
    </w:p>
    <w:p w14:paraId="087BA33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采购过程中出现以下情形，导致电子交易平台无法正常运行，或者无法保证电子交易的公平、公正和安全时，采购组织机构可中止电子交易活动：</w:t>
      </w:r>
    </w:p>
    <w:p w14:paraId="456BBD6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电子交易平台发生故障而无法登录访问的；</w:t>
      </w:r>
    </w:p>
    <w:p w14:paraId="359DE99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电子交易平台应用或数据库出现错误，不能进行正常操作的；</w:t>
      </w:r>
    </w:p>
    <w:p w14:paraId="4D70B67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电子交易平台发现严重安全漏洞，有潜在泄密危险的；</w:t>
      </w:r>
    </w:p>
    <w:p w14:paraId="6EF3CC0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病毒发作导致不能进行正常操作的；</w:t>
      </w:r>
    </w:p>
    <w:p w14:paraId="73A3D73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其他无法保证电子交易的公平、公正和安全的情况。</w:t>
      </w:r>
    </w:p>
    <w:p w14:paraId="674310F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出现</w:t>
      </w:r>
      <w:r>
        <w:rPr>
          <w:rFonts w:hint="eastAsia" w:ascii="宋体" w:hAnsi="宋体" w:eastAsia="宋体" w:cs="宋体"/>
          <w:b w:val="0"/>
          <w:bCs/>
          <w:color w:val="auto"/>
          <w:sz w:val="21"/>
          <w:szCs w:val="21"/>
          <w:highlight w:val="none"/>
          <w:lang w:eastAsia="zh-CN"/>
        </w:rPr>
        <w:t>以上</w:t>
      </w:r>
      <w:r>
        <w:rPr>
          <w:rFonts w:hint="eastAsia" w:ascii="宋体" w:hAnsi="宋体" w:eastAsia="宋体" w:cs="宋体"/>
          <w:b w:val="0"/>
          <w:bCs/>
          <w:color w:val="auto"/>
          <w:sz w:val="21"/>
          <w:szCs w:val="21"/>
          <w:highlight w:val="none"/>
        </w:rPr>
        <w:t>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b w:val="0"/>
          <w:bCs/>
          <w:color w:val="auto"/>
          <w:sz w:val="21"/>
          <w:szCs w:val="21"/>
          <w:highlight w:val="none"/>
          <w:lang w:eastAsia="zh-CN"/>
        </w:rPr>
        <w:t>。</w:t>
      </w:r>
    </w:p>
    <w:p w14:paraId="4320B3D4">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、磋商结果确定</w:t>
      </w:r>
    </w:p>
    <w:p w14:paraId="2474C63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26F8AB2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570EA43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63C9509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0503CED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招标代理费：按照中标通知书确定的中标金额，</w:t>
      </w:r>
      <w:r>
        <w:rPr>
          <w:rFonts w:hint="eastAsia" w:ascii="宋体" w:hAnsi="宋体" w:eastAsia="宋体" w:cs="宋体"/>
          <w:color w:val="auto"/>
          <w:sz w:val="21"/>
          <w:szCs w:val="21"/>
          <w:highlight w:val="none"/>
          <w:lang w:val="en-US" w:eastAsia="zh-CN"/>
        </w:rPr>
        <w:t>按下附表收费标准，采用差额累进算法</w:t>
      </w:r>
      <w:r>
        <w:rPr>
          <w:rFonts w:hint="eastAsia" w:ascii="宋体" w:hAnsi="宋体" w:eastAsia="宋体" w:cs="宋体"/>
          <w:color w:val="auto"/>
          <w:sz w:val="21"/>
          <w:szCs w:val="21"/>
          <w:highlight w:val="none"/>
        </w:rPr>
        <w:t>向中标单位收取代理服务费。代理服务费结算不足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782030DD">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0448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27DCFCBF">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40005</wp:posOffset>
                      </wp:positionV>
                      <wp:extent cx="1612265" cy="762000"/>
                      <wp:effectExtent l="1905" t="4445" r="5080" b="14605"/>
                      <wp:wrapNone/>
                      <wp:docPr id="6" name="直接连接符 6"/>
                      <wp:cNvGraphicFramePr/>
                      <a:graphic xmlns:a="http://schemas.openxmlformats.org/drawingml/2006/main">
                        <a:graphicData uri="http://schemas.microsoft.com/office/word/2010/wordprocessingShape">
                          <wps:wsp>
                            <wps:cNvCnPr/>
                            <wps:spPr>
                              <a:xfrm flipH="1" flipV="1">
                                <a:off x="999490" y="935355"/>
                                <a:ext cx="161226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7pt;margin-top:3.15pt;height:60pt;width:126.95pt;z-index:251664384;mso-width-relative:page;mso-height-relative:page;" filled="f" stroked="t" coordsize="21600,21600" o:gfxdata="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ugDUAAAACAEAAA8AAAAAAAAAAQAgAAAAIgAA&#10;AGRycy9kb3ducmV2LnhtbFBLAQIUABQAAAAIAIdO4kAcV3xrDAIAAPYDAAAOAAAAAAAAAAEAIAAA&#10;ACMBAABkcnMvZTJvRG9jLnhtbFBLBQYAAAAABgAGAFkBAAChBQ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890905" cy="810260"/>
                      <wp:effectExtent l="3175" t="3810" r="20320" b="5080"/>
                      <wp:wrapNone/>
                      <wp:docPr id="4" name="直接连接符 4"/>
                      <wp:cNvGraphicFramePr/>
                      <a:graphic xmlns:a="http://schemas.openxmlformats.org/drawingml/2006/main">
                        <a:graphicData uri="http://schemas.microsoft.com/office/word/2010/wordprocessingShape">
                          <wps:wsp>
                            <wps:cNvCnPr/>
                            <wps:spPr>
                              <a:xfrm>
                                <a:off x="1812925" y="964565"/>
                                <a:ext cx="890905"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63.8pt;width:70.15pt;z-index:251663360;mso-width-relative:page;mso-height-relative:page;" filled="f" stroked="t" coordsize="21600,21600" o:gfxdata="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oEdUAAAAIAQAADwAAAAAAAAABACAAAAAiAAAAZHJzL2Rvd25y&#10;ZXYueG1sUEsBAhQAFAAAAAgAh07iQH+nxrs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564B553B">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4725C17A">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07262F63">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597A8740">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5C03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301A5A2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2BDEAAA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656C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BEA4EB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0C954B8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1498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3E79B8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66C751B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7149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350FE65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5C89DDB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27AF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BD864C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7C4BF13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1384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CC8938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24A3AAE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1FF7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6B1A3F3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058E2C6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4EBC84D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、合同签订及公告</w:t>
      </w:r>
    </w:p>
    <w:p w14:paraId="5309C69B">
      <w:pPr>
        <w:pStyle w:val="9"/>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（一）签订合同</w:t>
      </w:r>
    </w:p>
    <w:p w14:paraId="4E1B00EC">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708DBBC9">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5F0377BE">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77BACA3E">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5416BCE4">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47CAA3E8">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1CAC6D7F">
      <w:pPr>
        <w:pStyle w:val="7"/>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35C91ECE">
      <w:pPr>
        <w:pStyle w:val="7"/>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7BB804B1">
      <w:pPr>
        <w:spacing w:line="360" w:lineRule="auto"/>
        <w:jc w:val="both"/>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30425168">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6A23D8B2">
      <w:pPr>
        <w:autoSpaceDE w:val="0"/>
        <w:autoSpaceDN w:val="0"/>
        <w:spacing w:line="360" w:lineRule="auto"/>
        <w:ind w:firstLine="420" w:firstLineChars="200"/>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0F21C64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cs="宋体"/>
          <w:color w:val="auto"/>
          <w:sz w:val="21"/>
          <w:szCs w:val="21"/>
          <w:highlight w:val="none"/>
          <w:lang w:val="en-US" w:eastAsia="zh-CN"/>
        </w:rPr>
        <w:t>85</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5861B251">
      <w:pPr>
        <w:autoSpaceDE w:val="0"/>
        <w:autoSpaceDN w:val="0"/>
        <w:adjustRightInd w:val="0"/>
        <w:spacing w:line="360" w:lineRule="auto"/>
        <w:ind w:right="84" w:firstLine="472"/>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58263D32">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51B45D9B">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6B6CC64B">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51E50295">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×100。</w:t>
      </w:r>
    </w:p>
    <w:p w14:paraId="521A5FB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2080AE0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10DCB2F9">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36B0CD54">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460C5536">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中标候选人放弃中标、拒绝与采购人签订合同、因不可抗力提出不能履行合同的，采购人可以按照评审报告推荐的中标或者成交候选人名单排序，确定下一候选人为中标或者成交供应商，也可以重新开展政府采购活动。评标办法的解释权归招标人。</w:t>
      </w:r>
    </w:p>
    <w:p w14:paraId="62BF8AB9">
      <w:pPr>
        <w:autoSpaceDE w:val="0"/>
        <w:autoSpaceDN w:val="0"/>
        <w:adjustRightInd w:val="0"/>
        <w:spacing w:line="360" w:lineRule="auto"/>
        <w:ind w:firstLine="315" w:firstLineChars="150"/>
        <w:jc w:val="left"/>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lang w:val="en-US" w:eastAsia="zh-CN"/>
        </w:rPr>
        <w:t>七</w:t>
      </w:r>
      <w:r>
        <w:rPr>
          <w:rFonts w:hint="eastAsia" w:ascii="宋体" w:hAnsi="宋体" w:eastAsia="宋体" w:cs="宋体"/>
          <w:color w:val="auto"/>
          <w:kern w:val="0"/>
          <w:sz w:val="21"/>
          <w:szCs w:val="21"/>
          <w:highlight w:val="none"/>
        </w:rPr>
        <w:t>、本次评分具体分值细化条款如下表：</w:t>
      </w:r>
    </w:p>
    <w:p w14:paraId="7B33F37E">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2"/>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132"/>
        <w:gridCol w:w="7291"/>
        <w:gridCol w:w="650"/>
      </w:tblGrid>
      <w:tr w14:paraId="76B7201D">
        <w:tblPrEx>
          <w:tblCellMar>
            <w:top w:w="0" w:type="dxa"/>
            <w:left w:w="108" w:type="dxa"/>
            <w:bottom w:w="0" w:type="dxa"/>
            <w:right w:w="108" w:type="dxa"/>
          </w:tblCellMar>
        </w:tblPrEx>
        <w:trPr>
          <w:trHeight w:val="23" w:hRule="atLeast"/>
          <w:jc w:val="center"/>
        </w:trPr>
        <w:tc>
          <w:tcPr>
            <w:tcW w:w="2139" w:type="dxa"/>
            <w:gridSpan w:val="2"/>
            <w:tcBorders>
              <w:top w:val="single" w:color="auto" w:sz="4" w:space="0"/>
              <w:left w:val="single" w:color="auto" w:sz="4" w:space="0"/>
              <w:bottom w:val="single" w:color="auto" w:sz="4" w:space="0"/>
              <w:right w:val="single" w:color="auto" w:sz="6" w:space="0"/>
            </w:tcBorders>
            <w:vAlign w:val="center"/>
          </w:tcPr>
          <w:p w14:paraId="25D93608">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评标因素</w:t>
            </w:r>
          </w:p>
        </w:tc>
        <w:tc>
          <w:tcPr>
            <w:tcW w:w="7291" w:type="dxa"/>
            <w:tcBorders>
              <w:top w:val="single" w:color="auto" w:sz="4" w:space="0"/>
              <w:left w:val="single" w:color="auto" w:sz="4" w:space="0"/>
              <w:bottom w:val="single" w:color="auto" w:sz="6" w:space="0"/>
              <w:right w:val="single" w:color="auto" w:sz="6" w:space="0"/>
            </w:tcBorders>
            <w:vAlign w:val="center"/>
          </w:tcPr>
          <w:p w14:paraId="198C9BAF">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650" w:type="dxa"/>
            <w:tcBorders>
              <w:top w:val="single" w:color="auto" w:sz="4" w:space="0"/>
              <w:left w:val="single" w:color="auto" w:sz="6" w:space="0"/>
              <w:bottom w:val="single" w:color="auto" w:sz="6" w:space="0"/>
              <w:right w:val="single" w:color="auto" w:sz="6" w:space="0"/>
            </w:tcBorders>
            <w:vAlign w:val="center"/>
          </w:tcPr>
          <w:p w14:paraId="799023A7">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r>
      <w:tr w14:paraId="025A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restart"/>
            <w:tcBorders>
              <w:left w:val="single" w:color="auto" w:sz="4" w:space="0"/>
              <w:right w:val="single" w:color="auto" w:sz="4" w:space="0"/>
            </w:tcBorders>
            <w:vAlign w:val="center"/>
          </w:tcPr>
          <w:p w14:paraId="55801E62">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商务分</w:t>
            </w:r>
          </w:p>
          <w:p w14:paraId="379F4F8A">
            <w:pPr>
              <w:pStyle w:val="7"/>
              <w:keepNext w:val="0"/>
              <w:keepLines w:val="0"/>
              <w:pageBreakBefore w:val="0"/>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rPr>
              <w:t>分）</w:t>
            </w:r>
          </w:p>
        </w:tc>
        <w:tc>
          <w:tcPr>
            <w:tcW w:w="1132" w:type="dxa"/>
            <w:tcBorders>
              <w:left w:val="single" w:color="auto" w:sz="4" w:space="0"/>
              <w:right w:val="single" w:color="auto" w:sz="6" w:space="0"/>
            </w:tcBorders>
            <w:vAlign w:val="center"/>
          </w:tcPr>
          <w:p w14:paraId="674A35F1">
            <w:pPr>
              <w:keepNext w:val="0"/>
              <w:keepLines w:val="0"/>
              <w:pageBreakBefore w:val="0"/>
              <w:widowControl/>
              <w:kinsoku/>
              <w:wordWrap/>
              <w:overflowPunct/>
              <w:topLinePunct w:val="0"/>
              <w:autoSpaceDE w:val="0"/>
              <w:autoSpaceDN w:val="0"/>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企业情况</w:t>
            </w:r>
          </w:p>
        </w:tc>
        <w:tc>
          <w:tcPr>
            <w:tcW w:w="7291" w:type="dxa"/>
            <w:tcBorders>
              <w:top w:val="single" w:color="auto" w:sz="4" w:space="0"/>
              <w:left w:val="single" w:color="auto" w:sz="4" w:space="0"/>
              <w:right w:val="single" w:color="auto" w:sz="6" w:space="0"/>
            </w:tcBorders>
            <w:vAlign w:val="center"/>
          </w:tcPr>
          <w:p w14:paraId="225CF369">
            <w:pPr>
              <w:keepNext w:val="0"/>
              <w:keepLines w:val="0"/>
              <w:pageBreakBefore w:val="0"/>
              <w:widowControl/>
              <w:kinsoku/>
              <w:wordWrap/>
              <w:overflowPunct/>
              <w:topLinePunct w:val="0"/>
              <w:autoSpaceDE w:val="0"/>
              <w:autoSpaceDN w:val="0"/>
              <w:bidi w:val="0"/>
              <w:adjustRightInd/>
              <w:snapToGrid/>
              <w:spacing w:line="240" w:lineRule="auto"/>
              <w:ind w:left="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投标人具有</w:t>
            </w:r>
            <w:r>
              <w:rPr>
                <w:rFonts w:hint="eastAsia" w:asciiTheme="minorEastAsia" w:hAnsiTheme="minorEastAsia" w:eastAsiaTheme="minorEastAsia" w:cstheme="minorEastAsia"/>
                <w:color w:val="auto"/>
                <w:kern w:val="0"/>
                <w:sz w:val="21"/>
                <w:szCs w:val="21"/>
                <w:highlight w:val="none"/>
                <w:lang w:val="en-US" w:eastAsia="zh-CN"/>
              </w:rPr>
              <w:t>有效期内的</w:t>
            </w:r>
            <w:r>
              <w:rPr>
                <w:rFonts w:hint="eastAsia" w:asciiTheme="minorEastAsia" w:hAnsiTheme="minorEastAsia" w:eastAsiaTheme="minorEastAsia" w:cstheme="minorEastAsia"/>
                <w:color w:val="auto"/>
                <w:kern w:val="0"/>
                <w:sz w:val="21"/>
                <w:szCs w:val="21"/>
                <w:highlight w:val="none"/>
              </w:rPr>
              <w:t>信息采集相关</w:t>
            </w:r>
            <w:r>
              <w:rPr>
                <w:rFonts w:hint="eastAsia" w:asciiTheme="minorEastAsia" w:hAnsiTheme="minorEastAsia" w:eastAsiaTheme="minorEastAsia" w:cstheme="minorEastAsia"/>
                <w:color w:val="auto"/>
                <w:kern w:val="0"/>
                <w:sz w:val="21"/>
                <w:szCs w:val="21"/>
                <w:highlight w:val="none"/>
                <w:lang w:val="en-US" w:eastAsia="zh-CN"/>
              </w:rPr>
              <w:t>的</w:t>
            </w:r>
            <w:r>
              <w:rPr>
                <w:rFonts w:hint="eastAsia" w:asciiTheme="minorEastAsia" w:hAnsiTheme="minorEastAsia" w:eastAsiaTheme="minorEastAsia" w:cstheme="minorEastAsia"/>
                <w:color w:val="auto"/>
                <w:kern w:val="0"/>
                <w:sz w:val="21"/>
                <w:szCs w:val="21"/>
                <w:highlight w:val="none"/>
              </w:rPr>
              <w:t>质量管理体系认证证书</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职业健康安全管理体系认证证书</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环境管理体系认证证书的，</w:t>
            </w:r>
            <w:r>
              <w:rPr>
                <w:rFonts w:hint="eastAsia" w:asciiTheme="minorEastAsia" w:hAnsiTheme="minorEastAsia" w:eastAsiaTheme="minorEastAsia" w:cstheme="minorEastAsia"/>
                <w:color w:val="auto"/>
                <w:sz w:val="21"/>
                <w:szCs w:val="21"/>
                <w:highlight w:val="none"/>
              </w:rPr>
              <w:t>每具有一个认证证书得2分，</w:t>
            </w:r>
            <w:r>
              <w:rPr>
                <w:rFonts w:hint="eastAsia" w:asciiTheme="minorEastAsia" w:hAnsiTheme="minorEastAsia" w:eastAsiaTheme="minorEastAsia" w:cstheme="minorEastAsia"/>
                <w:color w:val="auto"/>
                <w:sz w:val="21"/>
                <w:szCs w:val="21"/>
                <w:highlight w:val="none"/>
                <w:lang w:val="en-US" w:eastAsia="zh-CN"/>
              </w:rPr>
              <w:t>本项</w:t>
            </w:r>
            <w:r>
              <w:rPr>
                <w:rFonts w:hint="eastAsia" w:asciiTheme="minorEastAsia" w:hAnsiTheme="minorEastAsia" w:eastAsiaTheme="minorEastAsia" w:cstheme="minorEastAsia"/>
                <w:color w:val="auto"/>
                <w:sz w:val="21"/>
                <w:szCs w:val="21"/>
                <w:highlight w:val="none"/>
              </w:rPr>
              <w:t>最高得6分。</w:t>
            </w:r>
          </w:p>
          <w:p w14:paraId="591761C6">
            <w:pPr>
              <w:keepNext w:val="0"/>
              <w:keepLines w:val="0"/>
              <w:pageBreakBefore w:val="0"/>
              <w:widowControl/>
              <w:kinsoku/>
              <w:wordWrap/>
              <w:overflowPunct/>
              <w:topLinePunct w:val="0"/>
              <w:autoSpaceDE w:val="0"/>
              <w:autoSpaceDN w:val="0"/>
              <w:bidi w:val="0"/>
              <w:adjustRightInd/>
              <w:snapToGrid/>
              <w:spacing w:line="240" w:lineRule="auto"/>
              <w:ind w:left="0"/>
              <w:jc w:val="left"/>
              <w:textAlignment w:val="auto"/>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注：</w:t>
            </w:r>
            <w:r>
              <w:rPr>
                <w:rFonts w:hint="eastAsia" w:asciiTheme="minorEastAsia" w:hAnsiTheme="minorEastAsia" w:eastAsiaTheme="minorEastAsia" w:cstheme="minorEastAsia"/>
                <w:b/>
                <w:bCs/>
                <w:color w:val="auto"/>
                <w:kern w:val="0"/>
                <w:sz w:val="21"/>
                <w:szCs w:val="21"/>
                <w:highlight w:val="none"/>
              </w:rPr>
              <w:t>认证范围含信息采集服务</w:t>
            </w:r>
            <w:r>
              <w:rPr>
                <w:rFonts w:hint="eastAsia" w:asciiTheme="minorEastAsia" w:hAnsiTheme="minorEastAsia" w:eastAsiaTheme="minorEastAsia" w:cstheme="minorEastAsia"/>
                <w:b/>
                <w:bCs/>
                <w:color w:val="auto"/>
                <w:kern w:val="0"/>
                <w:sz w:val="21"/>
                <w:szCs w:val="21"/>
                <w:highlight w:val="none"/>
                <w:lang w:eastAsia="zh-CN"/>
              </w:rPr>
              <w:t>，</w:t>
            </w:r>
            <w:r>
              <w:rPr>
                <w:rFonts w:hint="eastAsia" w:asciiTheme="minorEastAsia" w:hAnsiTheme="minorEastAsia" w:eastAsiaTheme="minorEastAsia" w:cstheme="minorEastAsia"/>
                <w:b/>
                <w:bCs/>
                <w:color w:val="auto"/>
                <w:kern w:val="0"/>
                <w:sz w:val="21"/>
                <w:szCs w:val="21"/>
                <w:highlight w:val="none"/>
                <w:lang w:val="en-US" w:eastAsia="zh-CN"/>
              </w:rPr>
              <w:t>其他不得分。</w:t>
            </w:r>
          </w:p>
          <w:p w14:paraId="694D5618">
            <w:pPr>
              <w:keepNext w:val="0"/>
              <w:keepLines w:val="0"/>
              <w:pageBreakBefore w:val="0"/>
              <w:widowControl/>
              <w:kinsoku/>
              <w:wordWrap/>
              <w:overflowPunct/>
              <w:topLinePunct w:val="0"/>
              <w:autoSpaceDE w:val="0"/>
              <w:autoSpaceDN w:val="0"/>
              <w:bidi w:val="0"/>
              <w:adjustRightInd/>
              <w:snapToGrid/>
              <w:spacing w:line="240" w:lineRule="auto"/>
              <w:ind w:left="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宋体" w:hAnsi="宋体" w:cs="宋体"/>
                <w:b/>
                <w:bCs/>
                <w:color w:val="auto"/>
                <w:szCs w:val="21"/>
                <w:highlight w:val="none"/>
              </w:rPr>
              <w:t>（上述证书应由具备有效资质的认证机构出具并应当在有效期内，须提供相关证书扫描件</w:t>
            </w:r>
            <w:r>
              <w:rPr>
                <w:rFonts w:hint="eastAsia" w:ascii="宋体" w:hAnsi="宋体" w:eastAsia="宋体" w:cs="宋体"/>
                <w:b/>
                <w:bCs/>
                <w:color w:val="auto"/>
                <w:sz w:val="21"/>
                <w:szCs w:val="21"/>
                <w:highlight w:val="none"/>
                <w:lang w:val="en-US" w:eastAsia="zh-CN"/>
              </w:rPr>
              <w:t>及</w:t>
            </w:r>
            <w:r>
              <w:rPr>
                <w:rFonts w:hint="eastAsia" w:ascii="宋体" w:hAnsi="宋体" w:eastAsia="宋体" w:cs="宋体"/>
                <w:b/>
                <w:bCs/>
                <w:color w:val="auto"/>
                <w:sz w:val="21"/>
                <w:szCs w:val="21"/>
                <w:highlight w:val="none"/>
              </w:rPr>
              <w:t>全国认证认可信息公共服务平台网站查询截图</w:t>
            </w:r>
            <w:r>
              <w:rPr>
                <w:rFonts w:hint="eastAsia" w:ascii="宋体" w:hAnsi="宋体" w:cs="宋体"/>
                <w:b/>
                <w:bCs/>
                <w:color w:val="auto"/>
                <w:szCs w:val="21"/>
                <w:highlight w:val="none"/>
              </w:rPr>
              <w:t>并加盖投标人公章编入投标文件中，未提供的不得分）</w:t>
            </w:r>
          </w:p>
        </w:tc>
        <w:tc>
          <w:tcPr>
            <w:tcW w:w="650" w:type="dxa"/>
            <w:tcBorders>
              <w:top w:val="single" w:color="auto" w:sz="4" w:space="0"/>
              <w:left w:val="single" w:color="auto" w:sz="6" w:space="0"/>
              <w:bottom w:val="single" w:color="auto" w:sz="6" w:space="0"/>
              <w:right w:val="single" w:color="auto" w:sz="6" w:space="0"/>
            </w:tcBorders>
            <w:vAlign w:val="center"/>
          </w:tcPr>
          <w:p w14:paraId="40A7D203">
            <w:pPr>
              <w:keepNext w:val="0"/>
              <w:keepLines w:val="0"/>
              <w:pageBreakBefore w:val="0"/>
              <w:widowControl/>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Cs/>
                <w:color w:val="auto"/>
                <w:kern w:val="0"/>
                <w:sz w:val="21"/>
                <w:szCs w:val="21"/>
                <w:highlight w:val="none"/>
              </w:rPr>
              <w:t>6</w:t>
            </w:r>
          </w:p>
        </w:tc>
      </w:tr>
      <w:tr w14:paraId="6E81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tcBorders>
              <w:left w:val="single" w:color="auto" w:sz="4" w:space="0"/>
              <w:right w:val="single" w:color="auto" w:sz="4" w:space="0"/>
            </w:tcBorders>
            <w:vAlign w:val="center"/>
          </w:tcPr>
          <w:p w14:paraId="250E7DC4">
            <w:pPr>
              <w:keepNext w:val="0"/>
              <w:keepLines w:val="0"/>
              <w:pageBreakBefore w:val="0"/>
              <w:kinsoku/>
              <w:wordWrap/>
              <w:overflowPunct/>
              <w:topLinePunct w:val="0"/>
              <w:bidi w:val="0"/>
              <w:adjustRightInd/>
              <w:snapToGrid/>
              <w:spacing w:line="240" w:lineRule="auto"/>
              <w:ind w:left="0"/>
              <w:jc w:val="both"/>
              <w:textAlignment w:val="auto"/>
              <w:rPr>
                <w:rFonts w:hint="eastAsia" w:asciiTheme="minorEastAsia" w:hAnsiTheme="minorEastAsia" w:eastAsiaTheme="minorEastAsia" w:cstheme="minorEastAsia"/>
                <w:bCs/>
                <w:color w:val="auto"/>
                <w:sz w:val="21"/>
                <w:szCs w:val="21"/>
                <w:highlight w:val="none"/>
              </w:rPr>
            </w:pPr>
          </w:p>
        </w:tc>
        <w:tc>
          <w:tcPr>
            <w:tcW w:w="1132" w:type="dxa"/>
            <w:vAlign w:val="center"/>
          </w:tcPr>
          <w:p w14:paraId="15329223">
            <w:pPr>
              <w:keepNext w:val="0"/>
              <w:keepLines w:val="0"/>
              <w:pageBreakBefore w:val="0"/>
              <w:widowControl/>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项目</w:t>
            </w:r>
            <w:r>
              <w:rPr>
                <w:rFonts w:hint="eastAsia" w:asciiTheme="minorEastAsia" w:hAnsiTheme="minorEastAsia" w:eastAsiaTheme="minorEastAsia" w:cstheme="minorEastAsia"/>
                <w:color w:val="auto"/>
                <w:kern w:val="0"/>
                <w:sz w:val="21"/>
                <w:szCs w:val="21"/>
                <w:highlight w:val="none"/>
                <w:lang w:val="en-US" w:eastAsia="zh-CN"/>
              </w:rPr>
              <w:t>经理</w:t>
            </w:r>
          </w:p>
        </w:tc>
        <w:tc>
          <w:tcPr>
            <w:tcW w:w="7291" w:type="dxa"/>
            <w:vAlign w:val="center"/>
          </w:tcPr>
          <w:p w14:paraId="0D3CB673">
            <w:pPr>
              <w:keepNext w:val="0"/>
              <w:keepLines w:val="0"/>
              <w:pageBreakBefore w:val="0"/>
              <w:widowControl/>
              <w:kinsoku/>
              <w:wordWrap/>
              <w:overflowPunct/>
              <w:topLinePunct w:val="0"/>
              <w:bidi w:val="0"/>
              <w:adjustRightInd/>
              <w:snapToGrid/>
              <w:spacing w:line="240" w:lineRule="auto"/>
              <w:ind w:left="0"/>
              <w:jc w:val="left"/>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拟投入本项目</w:t>
            </w:r>
            <w:r>
              <w:rPr>
                <w:rFonts w:hint="eastAsia" w:asciiTheme="minorEastAsia" w:hAnsiTheme="minorEastAsia" w:eastAsiaTheme="minorEastAsia" w:cstheme="minorEastAsia"/>
                <w:color w:val="auto"/>
                <w:kern w:val="0"/>
                <w:sz w:val="21"/>
                <w:szCs w:val="21"/>
                <w:highlight w:val="none"/>
              </w:rPr>
              <w:t>的项目经理</w:t>
            </w:r>
            <w:r>
              <w:rPr>
                <w:rFonts w:hint="eastAsia" w:asciiTheme="minorEastAsia" w:hAnsiTheme="minorEastAsia" w:eastAsiaTheme="minorEastAsia" w:cstheme="minorEastAsia"/>
                <w:color w:val="auto"/>
                <w:kern w:val="0"/>
                <w:sz w:val="21"/>
                <w:szCs w:val="21"/>
                <w:highlight w:val="none"/>
                <w:lang w:eastAsia="zh-CN"/>
              </w:rPr>
              <w:t>：</w:t>
            </w:r>
          </w:p>
          <w:p w14:paraId="10D2ADDF">
            <w:pPr>
              <w:keepNext w:val="0"/>
              <w:keepLines w:val="0"/>
              <w:pageBreakBefore w:val="0"/>
              <w:widowControl/>
              <w:kinsoku/>
              <w:wordWrap/>
              <w:overflowPunct/>
              <w:topLinePunct w:val="0"/>
              <w:bidi w:val="0"/>
              <w:adjustRightInd/>
              <w:snapToGrid/>
              <w:spacing w:line="240" w:lineRule="auto"/>
              <w:ind w:left="0"/>
              <w:jc w:val="left"/>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具有信息采集服务及相关类似</w:t>
            </w:r>
            <w:r>
              <w:rPr>
                <w:rFonts w:hint="eastAsia" w:asciiTheme="minorEastAsia" w:hAnsiTheme="minorEastAsia" w:eastAsiaTheme="minorEastAsia" w:cstheme="minorEastAsia"/>
                <w:color w:val="auto"/>
                <w:kern w:val="0"/>
                <w:sz w:val="21"/>
                <w:szCs w:val="21"/>
                <w:highlight w:val="none"/>
                <w:lang w:val="en-US" w:eastAsia="zh-CN"/>
              </w:rPr>
              <w:t>项目实际管理</w:t>
            </w:r>
            <w:r>
              <w:rPr>
                <w:rFonts w:hint="eastAsia" w:asciiTheme="minorEastAsia" w:hAnsiTheme="minorEastAsia" w:eastAsiaTheme="minorEastAsia" w:cstheme="minorEastAsia"/>
                <w:color w:val="auto"/>
                <w:kern w:val="0"/>
                <w:sz w:val="21"/>
                <w:szCs w:val="21"/>
                <w:highlight w:val="none"/>
              </w:rPr>
              <w:t>经验的，凭业主单位出具的证明</w:t>
            </w:r>
            <w:r>
              <w:rPr>
                <w:rFonts w:hint="eastAsia" w:asciiTheme="minorEastAsia" w:hAnsiTheme="minorEastAsia" w:eastAsiaTheme="minorEastAsia" w:cstheme="minorEastAsia"/>
                <w:color w:val="auto"/>
                <w:kern w:val="0"/>
                <w:sz w:val="21"/>
                <w:szCs w:val="21"/>
                <w:highlight w:val="none"/>
                <w:lang w:val="en-US" w:eastAsia="zh-CN"/>
              </w:rPr>
              <w:t>等</w:t>
            </w:r>
            <w:r>
              <w:rPr>
                <w:rFonts w:hint="eastAsia" w:asciiTheme="minorEastAsia" w:hAnsiTheme="minorEastAsia" w:eastAsiaTheme="minorEastAsia" w:cstheme="minorEastAsia"/>
                <w:color w:val="auto"/>
                <w:kern w:val="0"/>
                <w:sz w:val="21"/>
                <w:szCs w:val="21"/>
                <w:highlight w:val="none"/>
              </w:rPr>
              <w:t>得3分</w:t>
            </w:r>
            <w:r>
              <w:rPr>
                <w:rFonts w:hint="eastAsia" w:asciiTheme="minorEastAsia" w:hAnsiTheme="minorEastAsia" w:eastAsiaTheme="minorEastAsia" w:cstheme="minorEastAsia"/>
                <w:color w:val="auto"/>
                <w:kern w:val="0"/>
                <w:sz w:val="21"/>
                <w:szCs w:val="21"/>
                <w:highlight w:val="none"/>
                <w:lang w:eastAsia="zh-CN"/>
              </w:rPr>
              <w:t>；</w:t>
            </w:r>
          </w:p>
          <w:p w14:paraId="5FE09AB4">
            <w:pPr>
              <w:keepNext w:val="0"/>
              <w:keepLines w:val="0"/>
              <w:pageBreakBefore w:val="0"/>
              <w:widowControl/>
              <w:kinsoku/>
              <w:wordWrap/>
              <w:overflowPunct/>
              <w:topLinePunct w:val="0"/>
              <w:bidi w:val="0"/>
              <w:adjustRightInd/>
              <w:snapToGrid/>
              <w:spacing w:line="240" w:lineRule="auto"/>
              <w:ind w:left="0"/>
              <w:jc w:val="left"/>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仅有管理考评成功经验的，凭业主单位出具的证明</w:t>
            </w:r>
            <w:r>
              <w:rPr>
                <w:rFonts w:hint="eastAsia" w:asciiTheme="minorEastAsia" w:hAnsiTheme="minorEastAsia" w:eastAsiaTheme="minorEastAsia" w:cstheme="minorEastAsia"/>
                <w:color w:val="auto"/>
                <w:kern w:val="0"/>
                <w:sz w:val="21"/>
                <w:szCs w:val="21"/>
                <w:highlight w:val="none"/>
                <w:lang w:val="en-US" w:eastAsia="zh-CN"/>
              </w:rPr>
              <w:t>等</w:t>
            </w:r>
            <w:r>
              <w:rPr>
                <w:rFonts w:hint="eastAsia" w:asciiTheme="minorEastAsia" w:hAnsiTheme="minorEastAsia" w:eastAsiaTheme="minorEastAsia" w:cstheme="minorEastAsia"/>
                <w:color w:val="auto"/>
                <w:kern w:val="0"/>
                <w:sz w:val="21"/>
                <w:szCs w:val="21"/>
                <w:highlight w:val="none"/>
              </w:rPr>
              <w:t>得1分</w:t>
            </w:r>
            <w:r>
              <w:rPr>
                <w:rFonts w:hint="eastAsia" w:asciiTheme="minorEastAsia" w:hAnsiTheme="minorEastAsia" w:eastAsiaTheme="minorEastAsia" w:cstheme="minorEastAsia"/>
                <w:color w:val="auto"/>
                <w:kern w:val="0"/>
                <w:sz w:val="21"/>
                <w:szCs w:val="21"/>
                <w:highlight w:val="none"/>
                <w:lang w:eastAsia="zh-CN"/>
              </w:rPr>
              <w:t>。</w:t>
            </w:r>
          </w:p>
          <w:p w14:paraId="306ACA17">
            <w:pPr>
              <w:keepNext w:val="0"/>
              <w:keepLines w:val="0"/>
              <w:pageBreakBefore w:val="0"/>
              <w:widowControl/>
              <w:kinsoku/>
              <w:wordWrap/>
              <w:overflowPunct/>
              <w:topLinePunct w:val="0"/>
              <w:bidi w:val="0"/>
              <w:adjustRightInd/>
              <w:snapToGrid/>
              <w:spacing w:line="240" w:lineRule="auto"/>
              <w:ind w:left="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其他</w:t>
            </w:r>
            <w:r>
              <w:rPr>
                <w:rFonts w:hint="eastAsia" w:asciiTheme="minorEastAsia" w:hAnsiTheme="minorEastAsia" w:eastAsiaTheme="minorEastAsia" w:cstheme="minorEastAsia"/>
                <w:color w:val="auto"/>
                <w:kern w:val="0"/>
                <w:sz w:val="21"/>
                <w:szCs w:val="21"/>
                <w:highlight w:val="none"/>
              </w:rPr>
              <w:t>不得分。</w:t>
            </w:r>
          </w:p>
          <w:p w14:paraId="1193AB9A">
            <w:pPr>
              <w:keepNext w:val="0"/>
              <w:keepLines w:val="0"/>
              <w:pageBreakBefore w:val="0"/>
              <w:widowControl/>
              <w:kinsoku/>
              <w:wordWrap/>
              <w:overflowPunct/>
              <w:topLinePunct w:val="0"/>
              <w:bidi w:val="0"/>
              <w:adjustRightInd/>
              <w:snapToGrid/>
              <w:spacing w:line="240" w:lineRule="auto"/>
              <w:ind w:left="0"/>
              <w:jc w:val="left"/>
              <w:textAlignment w:val="auto"/>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w:t>
            </w:r>
            <w:r>
              <w:rPr>
                <w:rFonts w:hint="eastAsia" w:asciiTheme="minorEastAsia" w:hAnsiTheme="minorEastAsia" w:eastAsiaTheme="minorEastAsia" w:cstheme="minorEastAsia"/>
                <w:b/>
                <w:bCs/>
                <w:color w:val="auto"/>
                <w:kern w:val="0"/>
                <w:sz w:val="21"/>
                <w:szCs w:val="21"/>
                <w:highlight w:val="none"/>
                <w:lang w:val="en-US" w:eastAsia="zh-CN"/>
              </w:rPr>
              <w:t>须</w:t>
            </w:r>
            <w:r>
              <w:rPr>
                <w:rFonts w:hint="eastAsia" w:asciiTheme="minorEastAsia" w:hAnsiTheme="minorEastAsia" w:eastAsiaTheme="minorEastAsia" w:cstheme="minorEastAsia"/>
                <w:b/>
                <w:bCs/>
                <w:color w:val="auto"/>
                <w:kern w:val="0"/>
                <w:sz w:val="21"/>
                <w:szCs w:val="21"/>
                <w:highlight w:val="none"/>
              </w:rPr>
              <w:t>提供项目合同、项目</w:t>
            </w:r>
            <w:r>
              <w:rPr>
                <w:rFonts w:hint="eastAsia" w:asciiTheme="minorEastAsia" w:hAnsiTheme="minorEastAsia" w:eastAsiaTheme="minorEastAsia" w:cstheme="minorEastAsia"/>
                <w:b/>
                <w:bCs/>
                <w:color w:val="auto"/>
                <w:kern w:val="0"/>
                <w:sz w:val="21"/>
                <w:szCs w:val="21"/>
                <w:highlight w:val="none"/>
                <w:lang w:val="en-US" w:eastAsia="zh-CN"/>
              </w:rPr>
              <w:t>经理</w:t>
            </w:r>
            <w:r>
              <w:rPr>
                <w:rFonts w:hint="eastAsia" w:asciiTheme="minorEastAsia" w:hAnsiTheme="minorEastAsia" w:eastAsiaTheme="minorEastAsia" w:cstheme="minorEastAsia"/>
                <w:b/>
                <w:bCs/>
                <w:color w:val="auto"/>
                <w:kern w:val="0"/>
                <w:sz w:val="21"/>
                <w:szCs w:val="21"/>
                <w:highlight w:val="none"/>
              </w:rPr>
              <w:t>所服务的业主方证明文件、项目</w:t>
            </w:r>
            <w:r>
              <w:rPr>
                <w:rFonts w:hint="eastAsia" w:asciiTheme="minorEastAsia" w:hAnsiTheme="minorEastAsia" w:eastAsiaTheme="minorEastAsia" w:cstheme="minorEastAsia"/>
                <w:b/>
                <w:bCs/>
                <w:color w:val="auto"/>
                <w:kern w:val="0"/>
                <w:sz w:val="21"/>
                <w:szCs w:val="21"/>
                <w:highlight w:val="none"/>
                <w:lang w:val="en-US" w:eastAsia="zh-CN"/>
              </w:rPr>
              <w:t>经理</w:t>
            </w:r>
            <w:r>
              <w:rPr>
                <w:rFonts w:hint="eastAsia" w:asciiTheme="minorEastAsia" w:hAnsiTheme="minorEastAsia" w:eastAsiaTheme="minorEastAsia" w:cstheme="minorEastAsia"/>
                <w:b/>
                <w:bCs/>
                <w:color w:val="auto"/>
                <w:kern w:val="0"/>
                <w:sz w:val="21"/>
                <w:szCs w:val="21"/>
                <w:highlight w:val="none"/>
              </w:rPr>
              <w:t>与</w:t>
            </w:r>
            <w:r>
              <w:rPr>
                <w:rFonts w:hint="eastAsia" w:asciiTheme="minorEastAsia" w:hAnsiTheme="minorEastAsia" w:eastAsiaTheme="minorEastAsia" w:cstheme="minorEastAsia"/>
                <w:b/>
                <w:bCs/>
                <w:color w:val="auto"/>
                <w:kern w:val="0"/>
                <w:sz w:val="21"/>
                <w:szCs w:val="21"/>
                <w:highlight w:val="none"/>
                <w:lang w:val="en-US" w:eastAsia="zh-CN"/>
              </w:rPr>
              <w:t>投标人</w:t>
            </w:r>
            <w:r>
              <w:rPr>
                <w:rFonts w:hint="eastAsia" w:asciiTheme="minorEastAsia" w:hAnsiTheme="minorEastAsia" w:eastAsiaTheme="minorEastAsia" w:cstheme="minorEastAsia"/>
                <w:b/>
                <w:bCs/>
                <w:color w:val="auto"/>
                <w:kern w:val="0"/>
                <w:sz w:val="21"/>
                <w:szCs w:val="21"/>
                <w:highlight w:val="none"/>
              </w:rPr>
              <w:t>的</w:t>
            </w:r>
            <w:r>
              <w:rPr>
                <w:rFonts w:hint="eastAsia" w:asciiTheme="minorEastAsia" w:hAnsiTheme="minorEastAsia" w:eastAsiaTheme="minorEastAsia" w:cstheme="minorEastAsia"/>
                <w:b/>
                <w:bCs/>
                <w:color w:val="auto"/>
                <w:kern w:val="0"/>
                <w:sz w:val="21"/>
                <w:szCs w:val="21"/>
                <w:highlight w:val="none"/>
                <w:lang w:val="en-US" w:eastAsia="zh-CN"/>
              </w:rPr>
              <w:t>用工</w:t>
            </w:r>
            <w:r>
              <w:rPr>
                <w:rFonts w:hint="eastAsia" w:asciiTheme="minorEastAsia" w:hAnsiTheme="minorEastAsia" w:eastAsiaTheme="minorEastAsia" w:cstheme="minorEastAsia"/>
                <w:b/>
                <w:bCs/>
                <w:color w:val="auto"/>
                <w:kern w:val="0"/>
                <w:sz w:val="21"/>
                <w:szCs w:val="21"/>
                <w:highlight w:val="none"/>
              </w:rPr>
              <w:t>合同</w:t>
            </w:r>
            <w:r>
              <w:rPr>
                <w:rFonts w:hint="eastAsia" w:asciiTheme="minorEastAsia" w:hAnsiTheme="minorEastAsia" w:eastAsiaTheme="minorEastAsia" w:cstheme="minorEastAsia"/>
                <w:b/>
                <w:bCs/>
                <w:color w:val="auto"/>
                <w:kern w:val="0"/>
                <w:sz w:val="21"/>
                <w:szCs w:val="21"/>
                <w:highlight w:val="none"/>
                <w:lang w:val="en-US" w:eastAsia="zh-CN"/>
              </w:rPr>
              <w:t>或投标人为其缴纳的社保证明扫描件</w:t>
            </w:r>
            <w:r>
              <w:rPr>
                <w:rFonts w:hint="eastAsia" w:asciiTheme="minorEastAsia" w:hAnsiTheme="minorEastAsia" w:eastAsiaTheme="minorEastAsia" w:cstheme="minorEastAsia"/>
                <w:b/>
                <w:bCs/>
                <w:color w:val="auto"/>
                <w:sz w:val="21"/>
                <w:szCs w:val="21"/>
                <w:highlight w:val="none"/>
              </w:rPr>
              <w:t>并加盖投标人公章编入投标文件中</w:t>
            </w:r>
            <w:r>
              <w:rPr>
                <w:rFonts w:hint="eastAsia" w:asciiTheme="minorEastAsia" w:hAnsiTheme="minorEastAsia" w:eastAsiaTheme="minorEastAsia" w:cstheme="minorEastAsia"/>
                <w:b/>
                <w:bCs/>
                <w:color w:val="auto"/>
                <w:kern w:val="0"/>
                <w:sz w:val="21"/>
                <w:szCs w:val="21"/>
                <w:highlight w:val="none"/>
              </w:rPr>
              <w:t>，且三份文件为同一时间段，</w:t>
            </w:r>
            <w:r>
              <w:rPr>
                <w:rFonts w:hint="eastAsia" w:asciiTheme="minorEastAsia" w:hAnsiTheme="minorEastAsia" w:eastAsiaTheme="minorEastAsia" w:cstheme="minorEastAsia"/>
                <w:b/>
                <w:bCs/>
                <w:color w:val="auto"/>
                <w:sz w:val="21"/>
                <w:szCs w:val="21"/>
                <w:highlight w:val="none"/>
              </w:rPr>
              <w:t>未提供</w:t>
            </w:r>
            <w:r>
              <w:rPr>
                <w:rFonts w:hint="eastAsia" w:asciiTheme="minorEastAsia" w:hAnsiTheme="minorEastAsia" w:eastAsiaTheme="minorEastAsia" w:cstheme="minorEastAsia"/>
                <w:b/>
                <w:bCs/>
                <w:color w:val="auto"/>
                <w:sz w:val="21"/>
                <w:szCs w:val="21"/>
                <w:highlight w:val="none"/>
                <w:lang w:val="en-US" w:eastAsia="zh-CN"/>
              </w:rPr>
              <w:t>或提供不全</w:t>
            </w:r>
            <w:r>
              <w:rPr>
                <w:rFonts w:hint="eastAsia" w:asciiTheme="minorEastAsia" w:hAnsiTheme="minorEastAsia" w:eastAsiaTheme="minorEastAsia" w:cstheme="minorEastAsia"/>
                <w:b/>
                <w:bCs/>
                <w:color w:val="auto"/>
                <w:sz w:val="21"/>
                <w:szCs w:val="21"/>
                <w:highlight w:val="none"/>
              </w:rPr>
              <w:t>的不得分</w:t>
            </w:r>
            <w:r>
              <w:rPr>
                <w:rFonts w:hint="eastAsia" w:asciiTheme="minorEastAsia" w:hAnsiTheme="minorEastAsia" w:eastAsiaTheme="minorEastAsia" w:cstheme="minorEastAsia"/>
                <w:b/>
                <w:bCs/>
                <w:color w:val="auto"/>
                <w:kern w:val="0"/>
                <w:sz w:val="21"/>
                <w:szCs w:val="21"/>
                <w:highlight w:val="none"/>
              </w:rPr>
              <w:t>）</w:t>
            </w:r>
          </w:p>
        </w:tc>
        <w:tc>
          <w:tcPr>
            <w:tcW w:w="650" w:type="dxa"/>
            <w:vAlign w:val="center"/>
          </w:tcPr>
          <w:p w14:paraId="4A5CB788">
            <w:pPr>
              <w:keepNext w:val="0"/>
              <w:keepLines w:val="0"/>
              <w:pageBreakBefore w:val="0"/>
              <w:widowControl/>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3</w:t>
            </w:r>
          </w:p>
        </w:tc>
      </w:tr>
      <w:tr w14:paraId="5F0D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tcBorders>
              <w:left w:val="single" w:color="auto" w:sz="4" w:space="0"/>
              <w:right w:val="single" w:color="auto" w:sz="4" w:space="0"/>
            </w:tcBorders>
            <w:vAlign w:val="center"/>
          </w:tcPr>
          <w:p w14:paraId="3BD0A0C8">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Align w:val="center"/>
          </w:tcPr>
          <w:p w14:paraId="0FF70E5E">
            <w:pPr>
              <w:keepNext w:val="0"/>
              <w:keepLines w:val="0"/>
              <w:pageBreakBefore w:val="0"/>
              <w:widowControl/>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承接经验</w:t>
            </w:r>
          </w:p>
        </w:tc>
        <w:tc>
          <w:tcPr>
            <w:tcW w:w="7291" w:type="dxa"/>
            <w:vAlign w:val="center"/>
          </w:tcPr>
          <w:p w14:paraId="1D64EC54">
            <w:pPr>
              <w:keepNext w:val="0"/>
              <w:keepLines w:val="0"/>
              <w:pageBreakBefore w:val="0"/>
              <w:widowControl/>
              <w:kinsoku/>
              <w:wordWrap/>
              <w:overflowPunct/>
              <w:topLinePunct w:val="0"/>
              <w:bidi w:val="0"/>
              <w:adjustRightInd/>
              <w:snapToGrid/>
              <w:spacing w:line="240" w:lineRule="auto"/>
              <w:ind w:left="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投标人自2022年1月1日以来（以合同签订时间为准），完成过城市信息采集服务类似案例的，每个得0.5分，最高得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lang w:val="en-US" w:eastAsia="zh-CN"/>
              </w:rPr>
              <w:t>分。</w:t>
            </w:r>
          </w:p>
          <w:p w14:paraId="63B881F7">
            <w:pPr>
              <w:keepNext w:val="0"/>
              <w:keepLines w:val="0"/>
              <w:pageBreakBefore w:val="0"/>
              <w:widowControl/>
              <w:kinsoku/>
              <w:wordWrap/>
              <w:overflowPunct/>
              <w:topLinePunct w:val="0"/>
              <w:bidi w:val="0"/>
              <w:adjustRightInd/>
              <w:snapToGrid/>
              <w:spacing w:line="240" w:lineRule="auto"/>
              <w:ind w:left="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Cs w:val="21"/>
                <w:highlight w:val="none"/>
                <w:lang w:val="zh-CN"/>
              </w:rPr>
              <w:t>（</w:t>
            </w:r>
            <w:r>
              <w:rPr>
                <w:rFonts w:hint="eastAsia" w:asciiTheme="minorEastAsia" w:hAnsiTheme="minorEastAsia" w:eastAsiaTheme="minorEastAsia" w:cstheme="minorEastAsia"/>
                <w:b/>
                <w:bCs/>
                <w:color w:val="auto"/>
                <w:szCs w:val="21"/>
                <w:highlight w:val="none"/>
              </w:rPr>
              <w:t>须</w:t>
            </w:r>
            <w:r>
              <w:rPr>
                <w:rFonts w:hint="eastAsia" w:asciiTheme="minorEastAsia" w:hAnsiTheme="minorEastAsia" w:eastAsiaTheme="minorEastAsia" w:cstheme="minorEastAsia"/>
                <w:b/>
                <w:bCs/>
                <w:color w:val="auto"/>
                <w:szCs w:val="21"/>
                <w:highlight w:val="none"/>
                <w:lang w:val="zh-CN"/>
              </w:rPr>
              <w:t>提供合同</w:t>
            </w:r>
            <w:r>
              <w:rPr>
                <w:rFonts w:hint="eastAsia" w:asciiTheme="minorEastAsia" w:hAnsiTheme="minorEastAsia" w:eastAsiaTheme="minorEastAsia" w:cstheme="minorEastAsia"/>
                <w:b/>
                <w:bCs/>
                <w:color w:val="auto"/>
                <w:szCs w:val="21"/>
                <w:highlight w:val="none"/>
              </w:rPr>
              <w:t>扫描</w:t>
            </w:r>
            <w:r>
              <w:rPr>
                <w:rFonts w:hint="eastAsia" w:asciiTheme="minorEastAsia" w:hAnsiTheme="minorEastAsia" w:eastAsiaTheme="minorEastAsia" w:cstheme="minorEastAsia"/>
                <w:b/>
                <w:bCs/>
                <w:color w:val="auto"/>
                <w:szCs w:val="21"/>
                <w:highlight w:val="none"/>
                <w:lang w:val="zh-CN"/>
              </w:rPr>
              <w:t>件</w:t>
            </w:r>
            <w:r>
              <w:rPr>
                <w:rFonts w:hint="eastAsia" w:asciiTheme="minorEastAsia" w:hAnsiTheme="minorEastAsia" w:eastAsiaTheme="minorEastAsia" w:cstheme="minorEastAsia"/>
                <w:b/>
                <w:bCs/>
                <w:color w:val="auto"/>
                <w:szCs w:val="21"/>
                <w:highlight w:val="none"/>
              </w:rPr>
              <w:t>并</w:t>
            </w:r>
            <w:r>
              <w:rPr>
                <w:rFonts w:hint="eastAsia" w:asciiTheme="minorEastAsia" w:hAnsiTheme="minorEastAsia" w:eastAsiaTheme="minorEastAsia" w:cstheme="minorEastAsia"/>
                <w:b/>
                <w:bCs/>
                <w:color w:val="auto"/>
                <w:szCs w:val="21"/>
                <w:highlight w:val="none"/>
                <w:lang w:val="zh-CN"/>
              </w:rPr>
              <w:t>加盖</w:t>
            </w:r>
            <w:r>
              <w:rPr>
                <w:rFonts w:hint="eastAsia" w:asciiTheme="minorEastAsia" w:hAnsiTheme="minorEastAsia" w:eastAsiaTheme="minorEastAsia" w:cstheme="minorEastAsia"/>
                <w:b/>
                <w:bCs/>
                <w:color w:val="auto"/>
                <w:szCs w:val="21"/>
                <w:highlight w:val="none"/>
              </w:rPr>
              <w:t>投标人</w:t>
            </w:r>
            <w:r>
              <w:rPr>
                <w:rFonts w:hint="eastAsia" w:asciiTheme="minorEastAsia" w:hAnsiTheme="minorEastAsia" w:eastAsiaTheme="minorEastAsia" w:cstheme="minorEastAsia"/>
                <w:b/>
                <w:bCs/>
                <w:color w:val="auto"/>
                <w:szCs w:val="21"/>
                <w:highlight w:val="none"/>
                <w:lang w:val="zh-CN"/>
              </w:rPr>
              <w:t>公章</w:t>
            </w:r>
            <w:r>
              <w:rPr>
                <w:rFonts w:hint="eastAsia" w:asciiTheme="minorEastAsia" w:hAnsiTheme="minorEastAsia" w:eastAsiaTheme="minorEastAsia" w:cstheme="minorEastAsia"/>
                <w:b/>
                <w:bCs/>
                <w:color w:val="auto"/>
                <w:szCs w:val="21"/>
                <w:highlight w:val="none"/>
              </w:rPr>
              <w:t>编入投标文件中，未提供的不得分</w:t>
            </w:r>
            <w:r>
              <w:rPr>
                <w:rFonts w:hint="eastAsia" w:asciiTheme="minorEastAsia" w:hAnsiTheme="minorEastAsia" w:eastAsiaTheme="minorEastAsia" w:cstheme="minorEastAsia"/>
                <w:b/>
                <w:bCs/>
                <w:color w:val="auto"/>
                <w:szCs w:val="21"/>
                <w:highlight w:val="none"/>
                <w:lang w:val="zh-CN"/>
              </w:rPr>
              <w:t>）</w:t>
            </w:r>
          </w:p>
        </w:tc>
        <w:tc>
          <w:tcPr>
            <w:tcW w:w="650" w:type="dxa"/>
            <w:vAlign w:val="center"/>
          </w:tcPr>
          <w:p w14:paraId="0ABB561B">
            <w:pPr>
              <w:keepNext w:val="0"/>
              <w:keepLines w:val="0"/>
              <w:pageBreakBefore w:val="0"/>
              <w:widowControl/>
              <w:kinsoku/>
              <w:wordWrap/>
              <w:overflowPunct/>
              <w:topLinePunct w:val="0"/>
              <w:bidi w:val="0"/>
              <w:adjustRightInd/>
              <w:snapToGrid/>
              <w:spacing w:line="240" w:lineRule="auto"/>
              <w:ind w:left="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r>
      <w:tr w14:paraId="07E1C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restart"/>
            <w:vAlign w:val="center"/>
          </w:tcPr>
          <w:p w14:paraId="7C9198B8">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技术分（</w:t>
            </w:r>
            <w:r>
              <w:rPr>
                <w:rFonts w:hint="eastAsia" w:asciiTheme="minorEastAsia" w:hAnsiTheme="minorEastAsia" w:eastAsiaTheme="minorEastAsia" w:cstheme="minorEastAsia"/>
                <w:bCs/>
                <w:color w:val="auto"/>
                <w:sz w:val="21"/>
                <w:szCs w:val="21"/>
                <w:highlight w:val="none"/>
                <w:lang w:val="en-US" w:eastAsia="zh-CN"/>
              </w:rPr>
              <w:t>75</w:t>
            </w:r>
            <w:r>
              <w:rPr>
                <w:rFonts w:hint="eastAsia" w:asciiTheme="minorEastAsia" w:hAnsiTheme="minorEastAsia" w:eastAsiaTheme="minorEastAsia" w:cstheme="minorEastAsia"/>
                <w:bCs/>
                <w:color w:val="auto"/>
                <w:sz w:val="21"/>
                <w:szCs w:val="21"/>
                <w:highlight w:val="none"/>
              </w:rPr>
              <w:t>分）</w:t>
            </w:r>
          </w:p>
        </w:tc>
        <w:tc>
          <w:tcPr>
            <w:tcW w:w="1132" w:type="dxa"/>
            <w:vMerge w:val="restart"/>
            <w:vAlign w:val="center"/>
          </w:tcPr>
          <w:p w14:paraId="02D560C3">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项目启动方案</w:t>
            </w:r>
          </w:p>
        </w:tc>
        <w:tc>
          <w:tcPr>
            <w:tcW w:w="7291" w:type="dxa"/>
            <w:vAlign w:val="center"/>
          </w:tcPr>
          <w:p w14:paraId="759928AA">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根据投标人针对本项目提供的项目启动措施、启动保障方案、启动实施进度表是否符合项目启动要求进行打分。</w:t>
            </w:r>
          </w:p>
          <w:p w14:paraId="56CBB5A7">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项目启动方案</w:t>
            </w:r>
            <w:r>
              <w:rPr>
                <w:rFonts w:hint="eastAsia" w:asciiTheme="minorEastAsia" w:hAnsiTheme="minorEastAsia" w:eastAsiaTheme="minorEastAsia" w:cstheme="minorEastAsia"/>
                <w:color w:val="auto"/>
                <w:sz w:val="21"/>
                <w:szCs w:val="21"/>
                <w:highlight w:val="none"/>
                <w:lang w:val="en-US" w:eastAsia="zh-CN"/>
              </w:rPr>
              <w:t>内容清晰、合理可行且措施全面充足的得5分；</w:t>
            </w:r>
          </w:p>
          <w:p w14:paraId="2F6C0BEA">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项目启动方案</w:t>
            </w:r>
            <w:r>
              <w:rPr>
                <w:rFonts w:hint="eastAsia" w:asciiTheme="minorEastAsia" w:hAnsiTheme="minorEastAsia" w:eastAsiaTheme="minorEastAsia" w:cstheme="minorEastAsia"/>
                <w:color w:val="auto"/>
                <w:sz w:val="21"/>
                <w:szCs w:val="21"/>
                <w:highlight w:val="none"/>
                <w:lang w:val="en-US" w:eastAsia="zh-CN"/>
              </w:rPr>
              <w:t>内容比较清晰、合理比较可行且措施比较全面充足的得3分；</w:t>
            </w:r>
          </w:p>
          <w:p w14:paraId="37A5E2B6">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项目启动方案</w:t>
            </w:r>
            <w:r>
              <w:rPr>
                <w:rFonts w:hint="eastAsia" w:asciiTheme="minorEastAsia" w:hAnsiTheme="minorEastAsia" w:eastAsiaTheme="minorEastAsia" w:cstheme="minorEastAsia"/>
                <w:color w:val="auto"/>
                <w:sz w:val="21"/>
                <w:szCs w:val="21"/>
                <w:highlight w:val="none"/>
                <w:lang w:val="en-US" w:eastAsia="zh-CN"/>
              </w:rPr>
              <w:t>内容合理性和可行性有待加强，离满足项目需求有差距的得1分；</w:t>
            </w:r>
          </w:p>
          <w:p w14:paraId="2F3940FA">
            <w:pPr>
              <w:keepNext w:val="0"/>
              <w:keepLines w:val="0"/>
              <w:pageBreakBefore w:val="0"/>
              <w:tabs>
                <w:tab w:val="left" w:pos="2061"/>
              </w:tabs>
              <w:kinsoku/>
              <w:wordWrap/>
              <w:overflowPunct/>
              <w:topLinePunct w:val="0"/>
              <w:bidi w:val="0"/>
              <w:adjustRightInd/>
              <w:snapToGrid/>
              <w:spacing w:line="240" w:lineRule="auto"/>
              <w:ind w:left="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3F3E252F">
            <w:pPr>
              <w:keepNext w:val="0"/>
              <w:keepLines w:val="0"/>
              <w:pageBreakBefore w:val="0"/>
              <w:widowControl/>
              <w:kinsoku/>
              <w:wordWrap/>
              <w:overflowPunct/>
              <w:topLinePunct w:val="0"/>
              <w:bidi w:val="0"/>
              <w:adjustRightInd/>
              <w:snapToGrid/>
              <w:spacing w:line="240" w:lineRule="auto"/>
              <w:ind w:left="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w:t>
            </w:r>
          </w:p>
        </w:tc>
      </w:tr>
      <w:tr w14:paraId="4BE9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66276E50">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Merge w:val="continue"/>
            <w:vAlign w:val="center"/>
          </w:tcPr>
          <w:p w14:paraId="6DE971E6">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kern w:val="0"/>
                <w:sz w:val="21"/>
                <w:szCs w:val="21"/>
                <w:highlight w:val="none"/>
              </w:rPr>
            </w:pPr>
          </w:p>
        </w:tc>
        <w:tc>
          <w:tcPr>
            <w:tcW w:w="7291" w:type="dxa"/>
            <w:vAlign w:val="center"/>
          </w:tcPr>
          <w:p w14:paraId="6E9227C3">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根据投标人针对本项目拟投入的信息采集人员数量进行打分。</w:t>
            </w:r>
          </w:p>
          <w:p w14:paraId="018863BF">
            <w:pPr>
              <w:keepNext w:val="0"/>
              <w:keepLines w:val="0"/>
              <w:pageBreakBefore w:val="0"/>
              <w:numPr>
                <w:ilvl w:val="0"/>
                <w:numId w:val="0"/>
              </w:numPr>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10人及以上的得5分；6-9人的得3分；3-5人的得1分；少于3人的不得分。</w:t>
            </w:r>
          </w:p>
          <w:p w14:paraId="42D44FA6">
            <w:pPr>
              <w:keepNext w:val="0"/>
              <w:keepLines w:val="0"/>
              <w:pageBreakBefore w:val="0"/>
              <w:numPr>
                <w:ilvl w:val="0"/>
                <w:numId w:val="0"/>
              </w:numPr>
              <w:tabs>
                <w:tab w:val="left" w:pos="2061"/>
              </w:tabs>
              <w:kinsoku/>
              <w:wordWrap/>
              <w:overflowPunct/>
              <w:topLinePunct w:val="0"/>
              <w:bidi w:val="0"/>
              <w:adjustRightInd/>
              <w:snapToGrid/>
              <w:spacing w:line="240" w:lineRule="auto"/>
              <w:ind w:left="0"/>
              <w:textAlignment w:val="auto"/>
              <w:rPr>
                <w:rFonts w:hint="default"/>
                <w:color w:val="auto"/>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（信息采集人员须为投标人的正式在职人员，提供</w:t>
            </w:r>
            <w:r>
              <w:rPr>
                <w:rFonts w:hint="eastAsia" w:asciiTheme="minorEastAsia" w:hAnsiTheme="minorEastAsia" w:eastAsiaTheme="minorEastAsia" w:cstheme="minorEastAsia"/>
                <w:b/>
                <w:bCs/>
                <w:color w:val="auto"/>
                <w:kern w:val="0"/>
                <w:sz w:val="21"/>
                <w:szCs w:val="21"/>
                <w:highlight w:val="none"/>
              </w:rPr>
              <w:t>与</w:t>
            </w:r>
            <w:r>
              <w:rPr>
                <w:rFonts w:hint="eastAsia" w:asciiTheme="minorEastAsia" w:hAnsiTheme="minorEastAsia" w:eastAsiaTheme="minorEastAsia" w:cstheme="minorEastAsia"/>
                <w:b/>
                <w:bCs/>
                <w:color w:val="auto"/>
                <w:kern w:val="0"/>
                <w:sz w:val="21"/>
                <w:szCs w:val="21"/>
                <w:highlight w:val="none"/>
                <w:lang w:val="en-US" w:eastAsia="zh-CN"/>
              </w:rPr>
              <w:t>投标人</w:t>
            </w:r>
            <w:r>
              <w:rPr>
                <w:rFonts w:hint="eastAsia" w:asciiTheme="minorEastAsia" w:hAnsiTheme="minorEastAsia" w:eastAsiaTheme="minorEastAsia" w:cstheme="minorEastAsia"/>
                <w:b/>
                <w:bCs/>
                <w:color w:val="auto"/>
                <w:kern w:val="0"/>
                <w:sz w:val="21"/>
                <w:szCs w:val="21"/>
                <w:highlight w:val="none"/>
              </w:rPr>
              <w:t>的</w:t>
            </w:r>
            <w:r>
              <w:rPr>
                <w:rFonts w:hint="eastAsia" w:asciiTheme="minorEastAsia" w:hAnsiTheme="minorEastAsia" w:eastAsiaTheme="minorEastAsia" w:cstheme="minorEastAsia"/>
                <w:b/>
                <w:bCs/>
                <w:color w:val="auto"/>
                <w:kern w:val="0"/>
                <w:sz w:val="21"/>
                <w:szCs w:val="21"/>
                <w:highlight w:val="none"/>
                <w:lang w:val="en-US" w:eastAsia="zh-CN"/>
              </w:rPr>
              <w:t>用工</w:t>
            </w:r>
            <w:r>
              <w:rPr>
                <w:rFonts w:hint="eastAsia" w:asciiTheme="minorEastAsia" w:hAnsiTheme="minorEastAsia" w:eastAsiaTheme="minorEastAsia" w:cstheme="minorEastAsia"/>
                <w:b/>
                <w:bCs/>
                <w:color w:val="auto"/>
                <w:kern w:val="0"/>
                <w:sz w:val="21"/>
                <w:szCs w:val="21"/>
                <w:highlight w:val="none"/>
              </w:rPr>
              <w:t>合同</w:t>
            </w:r>
            <w:r>
              <w:rPr>
                <w:rFonts w:hint="eastAsia" w:asciiTheme="minorEastAsia" w:hAnsiTheme="minorEastAsia" w:eastAsiaTheme="minorEastAsia" w:cstheme="minorEastAsia"/>
                <w:b/>
                <w:bCs/>
                <w:color w:val="auto"/>
                <w:kern w:val="0"/>
                <w:sz w:val="21"/>
                <w:szCs w:val="21"/>
                <w:highlight w:val="none"/>
                <w:lang w:val="en-US" w:eastAsia="zh-CN"/>
              </w:rPr>
              <w:t>或投标人为其缴纳的社保证明</w:t>
            </w:r>
            <w:r>
              <w:rPr>
                <w:rFonts w:hint="eastAsia" w:asciiTheme="minorEastAsia" w:hAnsiTheme="minorEastAsia" w:eastAsiaTheme="minorEastAsia" w:cstheme="minorEastAsia"/>
                <w:b/>
                <w:bCs/>
                <w:color w:val="auto"/>
                <w:sz w:val="21"/>
                <w:szCs w:val="21"/>
                <w:highlight w:val="none"/>
                <w:lang w:val="en-US" w:eastAsia="zh-CN"/>
              </w:rPr>
              <w:t>并加盖投标人公章编入投标文件中，未提供的不得分）</w:t>
            </w:r>
          </w:p>
        </w:tc>
        <w:tc>
          <w:tcPr>
            <w:tcW w:w="650" w:type="dxa"/>
            <w:vAlign w:val="center"/>
          </w:tcPr>
          <w:p w14:paraId="0C4A60D6">
            <w:pPr>
              <w:keepNext w:val="0"/>
              <w:keepLines w:val="0"/>
              <w:pageBreakBefore w:val="0"/>
              <w:widowControl/>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5</w:t>
            </w:r>
          </w:p>
        </w:tc>
      </w:tr>
      <w:tr w14:paraId="5823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59B2A91D">
            <w:pPr>
              <w:keepNext w:val="0"/>
              <w:keepLines w:val="0"/>
              <w:pageBreakBefore w:val="0"/>
              <w:tabs>
                <w:tab w:val="left" w:pos="2061"/>
              </w:tabs>
              <w:kinsoku/>
              <w:wordWrap/>
              <w:overflowPunct/>
              <w:topLinePunct w:val="0"/>
              <w:bidi w:val="0"/>
              <w:adjustRightInd/>
              <w:snapToGrid/>
              <w:spacing w:line="240" w:lineRule="auto"/>
              <w:ind w:left="0"/>
              <w:textAlignment w:val="auto"/>
              <w:rPr>
                <w:color w:val="auto"/>
                <w:highlight w:val="none"/>
              </w:rPr>
            </w:pPr>
          </w:p>
        </w:tc>
        <w:tc>
          <w:tcPr>
            <w:tcW w:w="1132" w:type="dxa"/>
            <w:vMerge w:val="continue"/>
            <w:vAlign w:val="center"/>
          </w:tcPr>
          <w:p w14:paraId="4A3037F9">
            <w:pPr>
              <w:keepNext w:val="0"/>
              <w:keepLines w:val="0"/>
              <w:pageBreakBefore w:val="0"/>
              <w:tabs>
                <w:tab w:val="left" w:pos="2061"/>
              </w:tabs>
              <w:kinsoku/>
              <w:wordWrap/>
              <w:overflowPunct/>
              <w:topLinePunct w:val="0"/>
              <w:bidi w:val="0"/>
              <w:adjustRightInd/>
              <w:snapToGrid/>
              <w:spacing w:line="240" w:lineRule="auto"/>
              <w:ind w:left="0"/>
              <w:textAlignment w:val="auto"/>
              <w:rPr>
                <w:color w:val="auto"/>
                <w:highlight w:val="none"/>
              </w:rPr>
            </w:pPr>
          </w:p>
        </w:tc>
        <w:tc>
          <w:tcPr>
            <w:tcW w:w="7291" w:type="dxa"/>
            <w:vAlign w:val="center"/>
          </w:tcPr>
          <w:p w14:paraId="10519456">
            <w:pPr>
              <w:keepNext w:val="0"/>
              <w:keepLines w:val="0"/>
              <w:pageBreakBefore w:val="0"/>
              <w:numPr>
                <w:ilvl w:val="0"/>
                <w:numId w:val="0"/>
              </w:numPr>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根据投标人针对本项目提供的信息采集人员招录方案（包括但不限于人员中途离职后补录方案，补录期限或其他备选方案等内容）进行打分。</w:t>
            </w:r>
          </w:p>
          <w:p w14:paraId="44F95477">
            <w:pPr>
              <w:keepNext w:val="0"/>
              <w:keepLines w:val="0"/>
              <w:pageBreakBefore w:val="0"/>
              <w:numPr>
                <w:ilvl w:val="0"/>
                <w:numId w:val="0"/>
              </w:numPr>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全面科学合理，适用本项目需求的得5分；</w:t>
            </w:r>
          </w:p>
          <w:p w14:paraId="7A490A0E">
            <w:pPr>
              <w:keepNext w:val="0"/>
              <w:keepLines w:val="0"/>
              <w:pageBreakBefore w:val="0"/>
              <w:numPr>
                <w:ilvl w:val="0"/>
                <w:numId w:val="0"/>
              </w:numPr>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方案一般，基本满足项目需求的得3分；</w:t>
            </w:r>
          </w:p>
          <w:p w14:paraId="158AF5ED">
            <w:pPr>
              <w:keepNext w:val="0"/>
              <w:keepLines w:val="0"/>
              <w:pageBreakBefore w:val="0"/>
              <w:numPr>
                <w:ilvl w:val="0"/>
                <w:numId w:val="0"/>
              </w:numPr>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方案简单，距离项目需求有差距的得1分；</w:t>
            </w:r>
          </w:p>
          <w:p w14:paraId="1A8DAF8C">
            <w:pPr>
              <w:keepNext w:val="0"/>
              <w:keepLines w:val="0"/>
              <w:pageBreakBefore w:val="0"/>
              <w:numPr>
                <w:ilvl w:val="0"/>
                <w:numId w:val="0"/>
              </w:numPr>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3532D0DF">
            <w:pPr>
              <w:keepNext w:val="0"/>
              <w:keepLines w:val="0"/>
              <w:pageBreakBefore w:val="0"/>
              <w:tabs>
                <w:tab w:val="left" w:pos="2061"/>
              </w:tabs>
              <w:kinsoku/>
              <w:wordWrap/>
              <w:overflowPunct/>
              <w:topLinePunct w:val="0"/>
              <w:bidi w:val="0"/>
              <w:adjustRightInd/>
              <w:snapToGrid/>
              <w:spacing w:line="240" w:lineRule="auto"/>
              <w:ind w:left="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r>
      <w:tr w14:paraId="0DA5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4CE06DE8">
            <w:pPr>
              <w:pStyle w:val="2"/>
              <w:keepNext w:val="0"/>
              <w:keepLines w:val="0"/>
              <w:pageBreakBefore w:val="0"/>
              <w:kinsoku/>
              <w:wordWrap/>
              <w:overflowPunct/>
              <w:topLinePunct w:val="0"/>
              <w:bidi w:val="0"/>
              <w:adjustRightInd/>
              <w:snapToGrid/>
              <w:spacing w:line="240" w:lineRule="auto"/>
              <w:ind w:left="0"/>
              <w:textAlignment w:val="auto"/>
              <w:rPr>
                <w:color w:val="auto"/>
                <w:highlight w:val="none"/>
              </w:rPr>
            </w:pPr>
          </w:p>
        </w:tc>
        <w:tc>
          <w:tcPr>
            <w:tcW w:w="1132" w:type="dxa"/>
            <w:vMerge w:val="continue"/>
            <w:vAlign w:val="center"/>
          </w:tcPr>
          <w:p w14:paraId="33543B3E">
            <w:pPr>
              <w:pStyle w:val="2"/>
              <w:keepNext w:val="0"/>
              <w:keepLines w:val="0"/>
              <w:pageBreakBefore w:val="0"/>
              <w:kinsoku/>
              <w:wordWrap/>
              <w:overflowPunct/>
              <w:topLinePunct w:val="0"/>
              <w:bidi w:val="0"/>
              <w:adjustRightInd/>
              <w:snapToGrid/>
              <w:spacing w:line="240" w:lineRule="auto"/>
              <w:ind w:left="0"/>
              <w:textAlignment w:val="auto"/>
              <w:rPr>
                <w:color w:val="auto"/>
                <w:highlight w:val="none"/>
              </w:rPr>
            </w:pPr>
          </w:p>
        </w:tc>
        <w:tc>
          <w:tcPr>
            <w:tcW w:w="7291" w:type="dxa"/>
            <w:vAlign w:val="center"/>
          </w:tcPr>
          <w:p w14:paraId="3142150D">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根据投标人针对本项目拟配备的信息采集机动车辆数量进行打分。</w:t>
            </w:r>
          </w:p>
          <w:p w14:paraId="1B585D7C">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信息采集机动车辆配备3辆及以上的得</w:t>
            </w:r>
            <w:r>
              <w:rPr>
                <w:rFonts w:hint="eastAsia" w:asciiTheme="minorEastAsia" w:hAnsiTheme="minorEastAsia" w:eastAsiaTheme="minorEastAsia" w:cstheme="minorEastAsia"/>
                <w:color w:val="auto"/>
                <w:kern w:val="0"/>
                <w:sz w:val="21"/>
                <w:szCs w:val="21"/>
                <w:highlight w:val="none"/>
                <w:lang w:val="en-US" w:eastAsia="zh-CN" w:bidi="ar-SA"/>
              </w:rPr>
              <w:t>6</w:t>
            </w:r>
            <w:r>
              <w:rPr>
                <w:rFonts w:hint="eastAsia" w:asciiTheme="minorEastAsia" w:hAnsiTheme="minorEastAsia" w:eastAsiaTheme="minorEastAsia" w:cstheme="minorEastAsia"/>
                <w:color w:val="auto"/>
                <w:sz w:val="21"/>
                <w:szCs w:val="21"/>
                <w:highlight w:val="none"/>
                <w:lang w:val="en-US" w:eastAsia="zh-CN"/>
              </w:rPr>
              <w:t>分；信息采集机动车辆配备2辆的得3分；信息采集机动车辆配备1辆的得1分；未提供信息采集机动车辆的不得分。</w:t>
            </w:r>
          </w:p>
          <w:p w14:paraId="1DFAF45A">
            <w:pPr>
              <w:pStyle w:val="2"/>
              <w:keepNext w:val="0"/>
              <w:keepLines w:val="0"/>
              <w:pageBreakBefore w:val="0"/>
              <w:kinsoku/>
              <w:wordWrap/>
              <w:overflowPunct/>
              <w:topLinePunct w:val="0"/>
              <w:bidi w:val="0"/>
              <w:adjustRightInd/>
              <w:snapToGrid/>
              <w:spacing w:line="240" w:lineRule="auto"/>
              <w:ind w:left="0"/>
              <w:textAlignment w:val="auto"/>
              <w:rPr>
                <w:rFonts w:hint="default"/>
                <w:color w:val="auto"/>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①以上信息采集机动车辆购置时间均不得超过5年，以购置发票开具时间为准；②提供车辆照片、简介、功能等方面的介绍，自有车辆须提供购置合同、购置发票、行驶证的扫描件加盖投标人公章编入投标文件中；租赁车辆须提供购置合同、购置发票、行驶证及租赁合同扫描件加盖投标人公章编入投标文件，未提供或提供不全的不得分）</w:t>
            </w:r>
          </w:p>
        </w:tc>
        <w:tc>
          <w:tcPr>
            <w:tcW w:w="650" w:type="dxa"/>
            <w:vAlign w:val="center"/>
          </w:tcPr>
          <w:p w14:paraId="363092C4">
            <w:pPr>
              <w:pStyle w:val="2"/>
              <w:keepNext w:val="0"/>
              <w:keepLines w:val="0"/>
              <w:pageBreakBefore w:val="0"/>
              <w:kinsoku/>
              <w:wordWrap/>
              <w:overflowPunct/>
              <w:topLinePunct w:val="0"/>
              <w:bidi w:val="0"/>
              <w:adjustRightInd/>
              <w:snapToGrid/>
              <w:spacing w:line="240" w:lineRule="auto"/>
              <w:ind w:left="0"/>
              <w:jc w:val="center"/>
              <w:textAlignment w:val="auto"/>
              <w:rPr>
                <w:rFonts w:hint="default"/>
                <w:color w:val="auto"/>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SA"/>
              </w:rPr>
              <w:t>6</w:t>
            </w:r>
          </w:p>
        </w:tc>
      </w:tr>
      <w:tr w14:paraId="72E7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6AE8FB12">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Align w:val="center"/>
          </w:tcPr>
          <w:p w14:paraId="54745638">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层级管理以及组织架构</w:t>
            </w:r>
          </w:p>
        </w:tc>
        <w:tc>
          <w:tcPr>
            <w:tcW w:w="7291" w:type="dxa"/>
            <w:vAlign w:val="center"/>
          </w:tcPr>
          <w:p w14:paraId="5D30A440">
            <w:pPr>
              <w:keepNext w:val="0"/>
              <w:keepLines w:val="0"/>
              <w:pageBreakBefore w:val="0"/>
              <w:widowControl/>
              <w:kinsoku/>
              <w:wordWrap/>
              <w:overflowPunct/>
              <w:topLinePunct w:val="0"/>
              <w:bidi w:val="0"/>
              <w:adjustRightInd/>
              <w:snapToGrid/>
              <w:spacing w:line="240" w:lineRule="auto"/>
              <w:ind w:left="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根据投标人是否</w:t>
            </w:r>
            <w:r>
              <w:rPr>
                <w:rFonts w:hint="eastAsia" w:asciiTheme="minorEastAsia" w:hAnsiTheme="minorEastAsia" w:eastAsiaTheme="minorEastAsia" w:cstheme="minorEastAsia"/>
                <w:color w:val="auto"/>
                <w:kern w:val="2"/>
                <w:sz w:val="21"/>
                <w:szCs w:val="21"/>
                <w:highlight w:val="none"/>
                <w:lang w:val="en-US" w:eastAsia="zh-CN" w:bidi="ar-SA"/>
              </w:rPr>
              <w:t>实行层级管理体系，有本项目层级管理图，提出本项目人员配置方案，且管理人员、采集人员、信息处理人员有相应的岗位职责描述及明确的分工</w:t>
            </w:r>
            <w:r>
              <w:rPr>
                <w:rFonts w:hint="eastAsia" w:asciiTheme="minorEastAsia" w:hAnsiTheme="minorEastAsia" w:eastAsiaTheme="minorEastAsia" w:cstheme="minorEastAsia"/>
                <w:color w:val="auto"/>
                <w:sz w:val="21"/>
                <w:szCs w:val="21"/>
                <w:highlight w:val="none"/>
                <w:lang w:val="en-US" w:eastAsia="zh-CN"/>
              </w:rPr>
              <w:t>进行打分。</w:t>
            </w:r>
          </w:p>
          <w:p w14:paraId="6C6C91C9">
            <w:pPr>
              <w:keepNext w:val="0"/>
              <w:keepLines w:val="0"/>
              <w:pageBreakBefore w:val="0"/>
              <w:widowControl/>
              <w:kinsoku/>
              <w:wordWrap/>
              <w:overflowPunct/>
              <w:topLinePunct w:val="0"/>
              <w:bidi w:val="0"/>
              <w:adjustRightInd/>
              <w:snapToGrid/>
              <w:spacing w:line="240" w:lineRule="auto"/>
              <w:ind w:left="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项目组人员专业齐全，结构合理且实行层级管理体系，有层级管理图</w:t>
            </w:r>
            <w:r>
              <w:rPr>
                <w:rFonts w:hint="eastAsia" w:asciiTheme="minorEastAsia" w:hAnsiTheme="minorEastAsia" w:eastAsiaTheme="minorEastAsia" w:cstheme="minorEastAsia"/>
                <w:color w:val="auto"/>
                <w:sz w:val="21"/>
                <w:szCs w:val="21"/>
                <w:highlight w:val="none"/>
                <w:lang w:val="en-US" w:eastAsia="zh-CN"/>
              </w:rPr>
              <w:t>的得5分；</w:t>
            </w:r>
          </w:p>
          <w:p w14:paraId="2A572201">
            <w:pPr>
              <w:keepNext w:val="0"/>
              <w:keepLines w:val="0"/>
              <w:pageBreakBefore w:val="0"/>
              <w:widowControl/>
              <w:kinsoku/>
              <w:wordWrap/>
              <w:overflowPunct/>
              <w:topLinePunct w:val="0"/>
              <w:bidi w:val="0"/>
              <w:adjustRightInd/>
              <w:snapToGrid/>
              <w:spacing w:line="240" w:lineRule="auto"/>
              <w:ind w:left="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项目组人员专业基本齐全，结构</w:t>
            </w:r>
            <w:r>
              <w:rPr>
                <w:rFonts w:hint="eastAsia" w:asciiTheme="minorEastAsia" w:hAnsiTheme="minorEastAsia" w:eastAsiaTheme="minorEastAsia" w:cstheme="minorEastAsia"/>
                <w:color w:val="auto"/>
                <w:szCs w:val="21"/>
                <w:highlight w:val="none"/>
              </w:rPr>
              <w:t>有不合理的地方</w:t>
            </w:r>
            <w:r>
              <w:rPr>
                <w:rFonts w:hint="eastAsia" w:asciiTheme="minorEastAsia" w:hAnsiTheme="minorEastAsia" w:eastAsiaTheme="minorEastAsia" w:cstheme="minorEastAsia"/>
                <w:color w:val="auto"/>
                <w:kern w:val="2"/>
                <w:sz w:val="21"/>
                <w:szCs w:val="21"/>
                <w:highlight w:val="none"/>
                <w:lang w:val="en-US" w:eastAsia="zh-CN" w:bidi="ar-SA"/>
              </w:rPr>
              <w:t>，实行层级管理体系，有层级管理图</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 w:val="21"/>
                <w:szCs w:val="21"/>
                <w:highlight w:val="none"/>
                <w:lang w:val="en-US" w:eastAsia="zh-CN"/>
              </w:rPr>
              <w:t>得3分；</w:t>
            </w:r>
          </w:p>
          <w:p w14:paraId="162E3684">
            <w:pPr>
              <w:keepNext w:val="0"/>
              <w:keepLines w:val="0"/>
              <w:pageBreakBefore w:val="0"/>
              <w:widowControl/>
              <w:kinsoku/>
              <w:wordWrap/>
              <w:overflowPunct/>
              <w:topLinePunct w:val="0"/>
              <w:bidi w:val="0"/>
              <w:adjustRightInd/>
              <w:snapToGrid/>
              <w:spacing w:line="240" w:lineRule="auto"/>
              <w:ind w:left="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项目组人员结构和层级管理体系简单的得1分；</w:t>
            </w:r>
          </w:p>
          <w:p w14:paraId="7A6491E7">
            <w:pPr>
              <w:keepNext w:val="0"/>
              <w:keepLines w:val="0"/>
              <w:pageBreakBefore w:val="0"/>
              <w:widowControl/>
              <w:kinsoku/>
              <w:wordWrap/>
              <w:overflowPunct/>
              <w:topLinePunct w:val="0"/>
              <w:bidi w:val="0"/>
              <w:adjustRightInd/>
              <w:snapToGrid/>
              <w:spacing w:line="240" w:lineRule="auto"/>
              <w:ind w:left="0"/>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235A0FC2">
            <w:pPr>
              <w:keepNext w:val="0"/>
              <w:keepLines w:val="0"/>
              <w:pageBreakBefore w:val="0"/>
              <w:tabs>
                <w:tab w:val="left" w:pos="780"/>
              </w:tabs>
              <w:kinsoku/>
              <w:wordWrap/>
              <w:overflowPunct/>
              <w:topLinePunct w:val="0"/>
              <w:autoSpaceDE w:val="0"/>
              <w:autoSpaceDN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w:t>
            </w:r>
          </w:p>
        </w:tc>
      </w:tr>
      <w:tr w14:paraId="177B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41EDCC7F">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Align w:val="center"/>
          </w:tcPr>
          <w:p w14:paraId="11FD9E63">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内部管理制度和员工考核管理办法</w:t>
            </w:r>
          </w:p>
        </w:tc>
        <w:tc>
          <w:tcPr>
            <w:tcW w:w="7291" w:type="dxa"/>
            <w:vAlign w:val="top"/>
          </w:tcPr>
          <w:p w14:paraId="0EBE73BA">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根据投标人</w:t>
            </w:r>
            <w:r>
              <w:rPr>
                <w:rFonts w:hint="eastAsia" w:asciiTheme="minorEastAsia" w:hAnsiTheme="minorEastAsia" w:eastAsiaTheme="minorEastAsia" w:cstheme="minorEastAsia"/>
                <w:color w:val="auto"/>
                <w:sz w:val="21"/>
                <w:szCs w:val="21"/>
                <w:highlight w:val="none"/>
              </w:rPr>
              <w:t>针对本项目制定</w:t>
            </w:r>
            <w:r>
              <w:rPr>
                <w:rFonts w:hint="eastAsia" w:asciiTheme="minorEastAsia" w:hAnsiTheme="minorEastAsia" w:eastAsiaTheme="minorEastAsia" w:cstheme="minorEastAsia"/>
                <w:color w:val="auto"/>
                <w:sz w:val="21"/>
                <w:szCs w:val="21"/>
                <w:highlight w:val="none"/>
                <w:lang w:eastAsia="zh-CN"/>
              </w:rPr>
              <w:t>的</w:t>
            </w:r>
            <w:r>
              <w:rPr>
                <w:rFonts w:hint="eastAsia" w:asciiTheme="minorEastAsia" w:hAnsiTheme="minorEastAsia" w:eastAsiaTheme="minorEastAsia" w:cstheme="minorEastAsia"/>
                <w:color w:val="auto"/>
                <w:kern w:val="0"/>
                <w:sz w:val="21"/>
                <w:szCs w:val="21"/>
                <w:highlight w:val="none"/>
              </w:rPr>
              <w:t>内部管理制度和员工考核管理办法</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sz w:val="21"/>
                <w:szCs w:val="21"/>
                <w:highlight w:val="none"/>
              </w:rPr>
              <w:t>管理制度</w:t>
            </w:r>
            <w:r>
              <w:rPr>
                <w:rFonts w:hint="eastAsia" w:asciiTheme="minorEastAsia" w:hAnsiTheme="minorEastAsia" w:eastAsiaTheme="minorEastAsia" w:cstheme="minorEastAsia"/>
                <w:color w:val="auto"/>
                <w:sz w:val="21"/>
                <w:szCs w:val="21"/>
                <w:highlight w:val="none"/>
                <w:lang w:val="en-US" w:eastAsia="zh-CN"/>
              </w:rPr>
              <w:t>例如</w:t>
            </w:r>
            <w:r>
              <w:rPr>
                <w:rFonts w:hint="eastAsia" w:asciiTheme="minorEastAsia" w:hAnsiTheme="minorEastAsia" w:eastAsiaTheme="minorEastAsia" w:cstheme="minorEastAsia"/>
                <w:color w:val="auto"/>
                <w:sz w:val="21"/>
                <w:szCs w:val="21"/>
                <w:highlight w:val="none"/>
              </w:rPr>
              <w:t>行为规范、行政制度</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考核办法</w:t>
            </w:r>
            <w:r>
              <w:rPr>
                <w:rFonts w:hint="eastAsia" w:asciiTheme="minorEastAsia" w:hAnsiTheme="minorEastAsia" w:eastAsiaTheme="minorEastAsia" w:cstheme="minorEastAsia"/>
                <w:color w:val="auto"/>
                <w:sz w:val="21"/>
                <w:szCs w:val="21"/>
                <w:highlight w:val="none"/>
                <w:lang w:val="en-US" w:eastAsia="zh-CN"/>
              </w:rPr>
              <w:t>例如</w:t>
            </w:r>
            <w:r>
              <w:rPr>
                <w:rFonts w:hint="eastAsia" w:asciiTheme="minorEastAsia" w:hAnsiTheme="minorEastAsia" w:eastAsiaTheme="minorEastAsia" w:cstheme="minorEastAsia"/>
                <w:color w:val="auto"/>
                <w:sz w:val="21"/>
                <w:szCs w:val="21"/>
                <w:highlight w:val="none"/>
              </w:rPr>
              <w:t>信息采集员考核办法、</w:t>
            </w:r>
            <w:r>
              <w:rPr>
                <w:rFonts w:hint="eastAsia" w:asciiTheme="minorEastAsia" w:hAnsiTheme="minorEastAsia" w:eastAsiaTheme="minorEastAsia" w:cstheme="minorEastAsia"/>
                <w:color w:val="auto"/>
                <w:sz w:val="21"/>
                <w:szCs w:val="21"/>
                <w:highlight w:val="none"/>
                <w:lang w:eastAsia="zh-CN"/>
              </w:rPr>
              <w:t>信息处理</w:t>
            </w:r>
            <w:r>
              <w:rPr>
                <w:rFonts w:hint="eastAsia" w:asciiTheme="minorEastAsia" w:hAnsiTheme="minorEastAsia" w:eastAsiaTheme="minorEastAsia" w:cstheme="minorEastAsia"/>
                <w:color w:val="auto"/>
                <w:sz w:val="21"/>
                <w:szCs w:val="21"/>
                <w:highlight w:val="none"/>
              </w:rPr>
              <w:t>人员考核办法、管理人员考核办法</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考核办法执行制度</w:t>
            </w:r>
            <w:r>
              <w:rPr>
                <w:rFonts w:hint="eastAsia" w:asciiTheme="minorEastAsia" w:hAnsiTheme="minorEastAsia" w:eastAsiaTheme="minorEastAsia" w:cstheme="minorEastAsia"/>
                <w:color w:val="auto"/>
                <w:sz w:val="21"/>
                <w:szCs w:val="21"/>
                <w:highlight w:val="none"/>
                <w:lang w:val="en-US" w:eastAsia="zh-CN"/>
              </w:rPr>
              <w:t>例如</w:t>
            </w:r>
            <w:r>
              <w:rPr>
                <w:rFonts w:hint="eastAsia" w:asciiTheme="minorEastAsia" w:hAnsiTheme="minorEastAsia" w:eastAsiaTheme="minorEastAsia" w:cstheme="minorEastAsia"/>
                <w:color w:val="auto"/>
                <w:sz w:val="21"/>
                <w:szCs w:val="21"/>
                <w:highlight w:val="none"/>
              </w:rPr>
              <w:t>实行末位淘汰等奖优罚劣措施，保证信息管理管理人员、采集员、</w:t>
            </w:r>
            <w:r>
              <w:rPr>
                <w:rFonts w:hint="eastAsia" w:asciiTheme="minorEastAsia" w:hAnsiTheme="minorEastAsia" w:eastAsiaTheme="minorEastAsia" w:cstheme="minorEastAsia"/>
                <w:color w:val="auto"/>
                <w:sz w:val="21"/>
                <w:szCs w:val="21"/>
                <w:highlight w:val="none"/>
                <w:lang w:eastAsia="zh-CN"/>
              </w:rPr>
              <w:t>信息处理</w:t>
            </w:r>
            <w:r>
              <w:rPr>
                <w:rFonts w:hint="eastAsia" w:asciiTheme="minorEastAsia" w:hAnsiTheme="minorEastAsia" w:eastAsiaTheme="minorEastAsia" w:cstheme="minorEastAsia"/>
                <w:color w:val="auto"/>
                <w:sz w:val="21"/>
                <w:szCs w:val="21"/>
                <w:highlight w:val="none"/>
              </w:rPr>
              <w:t>人员的素质等</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进行打分</w:t>
            </w:r>
            <w:r>
              <w:rPr>
                <w:rFonts w:hint="eastAsia" w:asciiTheme="minorEastAsia" w:hAnsiTheme="minorEastAsia" w:eastAsiaTheme="minorEastAsia" w:cstheme="minorEastAsia"/>
                <w:color w:val="auto"/>
                <w:sz w:val="21"/>
                <w:szCs w:val="21"/>
                <w:highlight w:val="none"/>
              </w:rPr>
              <w:t>。</w:t>
            </w:r>
          </w:p>
          <w:p w14:paraId="53F38241">
            <w:pPr>
              <w:keepNext w:val="0"/>
              <w:keepLines w:val="0"/>
              <w:pageBreakBefore w:val="0"/>
              <w:tabs>
                <w:tab w:val="left" w:pos="2061"/>
              </w:tabs>
              <w:kinsoku/>
              <w:wordWrap/>
              <w:overflowPunct/>
              <w:topLinePunct w:val="0"/>
              <w:bidi w:val="0"/>
              <w:adjustRightInd/>
              <w:snapToGrid/>
              <w:spacing w:line="240" w:lineRule="auto"/>
              <w:ind w:left="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21"/>
                <w:highlight w:val="none"/>
                <w:lang w:eastAsia="zh-CN"/>
              </w:rPr>
              <w:t>各类</w:t>
            </w:r>
            <w:r>
              <w:rPr>
                <w:rFonts w:hint="eastAsia" w:asciiTheme="minorEastAsia" w:hAnsiTheme="minorEastAsia" w:eastAsiaTheme="minorEastAsia" w:cstheme="minorEastAsia"/>
                <w:color w:val="auto"/>
                <w:sz w:val="21"/>
                <w:szCs w:val="21"/>
                <w:highlight w:val="none"/>
              </w:rPr>
              <w:t>管理制度</w:t>
            </w:r>
            <w:r>
              <w:rPr>
                <w:rFonts w:hint="eastAsia" w:asciiTheme="minorEastAsia" w:hAnsiTheme="minorEastAsia" w:eastAsiaTheme="minorEastAsia" w:cstheme="minorEastAsia"/>
                <w:color w:val="auto"/>
                <w:sz w:val="21"/>
                <w:szCs w:val="21"/>
                <w:highlight w:val="none"/>
                <w:lang w:eastAsia="zh-CN"/>
              </w:rPr>
              <w:t>、考核办法</w:t>
            </w:r>
            <w:r>
              <w:rPr>
                <w:rFonts w:hint="eastAsia" w:asciiTheme="minorEastAsia" w:hAnsiTheme="minorEastAsia" w:eastAsiaTheme="minorEastAsia" w:cstheme="minorEastAsia"/>
                <w:color w:val="auto"/>
                <w:szCs w:val="21"/>
                <w:highlight w:val="none"/>
              </w:rPr>
              <w:t>合理、可行、先进的得</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w:t>
            </w:r>
          </w:p>
          <w:p w14:paraId="5574F499">
            <w:pPr>
              <w:keepNext w:val="0"/>
              <w:keepLines w:val="0"/>
              <w:pageBreakBefore w:val="0"/>
              <w:tabs>
                <w:tab w:val="left" w:pos="2061"/>
              </w:tabs>
              <w:kinsoku/>
              <w:wordWrap/>
              <w:overflowPunct/>
              <w:topLinePunct w:val="0"/>
              <w:bidi w:val="0"/>
              <w:adjustRightInd/>
              <w:snapToGrid/>
              <w:spacing w:line="240" w:lineRule="auto"/>
              <w:ind w:left="0"/>
              <w:textAlignment w:val="auto"/>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各类</w:t>
            </w:r>
            <w:r>
              <w:rPr>
                <w:rFonts w:hint="eastAsia" w:asciiTheme="minorEastAsia" w:hAnsiTheme="minorEastAsia" w:eastAsiaTheme="minorEastAsia" w:cstheme="minorEastAsia"/>
                <w:color w:val="auto"/>
                <w:sz w:val="21"/>
                <w:szCs w:val="21"/>
                <w:highlight w:val="none"/>
              </w:rPr>
              <w:t>管理制度</w:t>
            </w:r>
            <w:r>
              <w:rPr>
                <w:rFonts w:hint="eastAsia" w:asciiTheme="minorEastAsia" w:hAnsiTheme="minorEastAsia" w:eastAsiaTheme="minorEastAsia" w:cstheme="minorEastAsia"/>
                <w:color w:val="auto"/>
                <w:sz w:val="21"/>
                <w:szCs w:val="21"/>
                <w:highlight w:val="none"/>
                <w:lang w:eastAsia="zh-CN"/>
              </w:rPr>
              <w:t>、考核办法</w:t>
            </w:r>
            <w:r>
              <w:rPr>
                <w:rFonts w:hint="eastAsia" w:asciiTheme="minorEastAsia" w:hAnsiTheme="minorEastAsia" w:eastAsiaTheme="minorEastAsia" w:cstheme="minorEastAsia"/>
                <w:color w:val="auto"/>
                <w:szCs w:val="21"/>
                <w:highlight w:val="none"/>
              </w:rPr>
              <w:t>可行但有不合理的地方的得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4D2523C1">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各类</w:t>
            </w:r>
            <w:r>
              <w:rPr>
                <w:rFonts w:hint="eastAsia" w:asciiTheme="minorEastAsia" w:hAnsiTheme="minorEastAsia" w:eastAsiaTheme="minorEastAsia" w:cstheme="minorEastAsia"/>
                <w:color w:val="auto"/>
                <w:sz w:val="21"/>
                <w:szCs w:val="21"/>
                <w:highlight w:val="none"/>
                <w:lang w:val="en-US" w:eastAsia="zh-CN"/>
              </w:rPr>
              <w:t>管理制度、</w:t>
            </w:r>
            <w:r>
              <w:rPr>
                <w:rFonts w:hint="eastAsia" w:asciiTheme="minorEastAsia" w:hAnsiTheme="minorEastAsia" w:eastAsiaTheme="minorEastAsia" w:cstheme="minorEastAsia"/>
                <w:color w:val="auto"/>
                <w:sz w:val="21"/>
                <w:szCs w:val="21"/>
                <w:highlight w:val="none"/>
                <w:lang w:eastAsia="zh-CN"/>
              </w:rPr>
              <w:t>考核办法</w:t>
            </w:r>
            <w:r>
              <w:rPr>
                <w:rFonts w:hint="eastAsia" w:asciiTheme="minorEastAsia" w:hAnsiTheme="minorEastAsia" w:eastAsiaTheme="minorEastAsia" w:cstheme="minorEastAsia"/>
                <w:color w:val="auto"/>
                <w:sz w:val="21"/>
                <w:szCs w:val="21"/>
                <w:highlight w:val="none"/>
                <w:lang w:val="en-US" w:eastAsia="zh-CN"/>
              </w:rPr>
              <w:t>基本提及的得1分；</w:t>
            </w:r>
          </w:p>
          <w:p w14:paraId="38C5F863">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31404232">
            <w:pPr>
              <w:keepNext w:val="0"/>
              <w:keepLines w:val="0"/>
              <w:pageBreakBefore w:val="0"/>
              <w:tabs>
                <w:tab w:val="left" w:pos="780"/>
              </w:tabs>
              <w:kinsoku/>
              <w:wordWrap/>
              <w:overflowPunct/>
              <w:topLinePunct w:val="0"/>
              <w:autoSpaceDE w:val="0"/>
              <w:autoSpaceDN w:val="0"/>
              <w:bidi w:val="0"/>
              <w:adjustRightInd/>
              <w:snapToGrid/>
              <w:spacing w:line="240" w:lineRule="auto"/>
              <w:ind w:left="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r>
      <w:tr w14:paraId="666D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2B4E860C">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Merge w:val="restart"/>
            <w:vAlign w:val="center"/>
          </w:tcPr>
          <w:p w14:paraId="2975B249">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业务实施方案</w:t>
            </w:r>
          </w:p>
        </w:tc>
        <w:tc>
          <w:tcPr>
            <w:tcW w:w="7291" w:type="dxa"/>
            <w:vAlign w:val="top"/>
          </w:tcPr>
          <w:p w14:paraId="08D28FA6">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根据投标人阐述本项目</w:t>
            </w:r>
            <w:r>
              <w:rPr>
                <w:rFonts w:hint="eastAsia" w:asciiTheme="minorEastAsia" w:hAnsiTheme="minorEastAsia" w:eastAsiaTheme="minorEastAsia" w:cstheme="minorEastAsia"/>
                <w:color w:val="auto"/>
                <w:kern w:val="0"/>
                <w:sz w:val="21"/>
                <w:szCs w:val="21"/>
                <w:highlight w:val="none"/>
                <w:lang w:val="en-US" w:eastAsia="zh-CN"/>
              </w:rPr>
              <w:t>智慧</w:t>
            </w:r>
            <w:r>
              <w:rPr>
                <w:rFonts w:hint="eastAsia" w:asciiTheme="minorEastAsia" w:hAnsiTheme="minorEastAsia" w:eastAsiaTheme="minorEastAsia" w:cstheme="minorEastAsia"/>
                <w:color w:val="auto"/>
                <w:sz w:val="21"/>
                <w:szCs w:val="21"/>
                <w:highlight w:val="none"/>
                <w:lang w:val="en-US" w:eastAsia="zh-CN"/>
              </w:rPr>
              <w:t>城管信息采集和信息处理工作重要性、理解和认识进行打分。</w:t>
            </w:r>
          </w:p>
          <w:p w14:paraId="3F452A3E">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能准确阐述对</w:t>
            </w:r>
            <w:r>
              <w:rPr>
                <w:rFonts w:hint="eastAsia" w:asciiTheme="minorEastAsia" w:hAnsiTheme="minorEastAsia" w:eastAsiaTheme="minorEastAsia" w:cstheme="minorEastAsia"/>
                <w:color w:val="auto"/>
                <w:kern w:val="0"/>
                <w:sz w:val="21"/>
                <w:szCs w:val="21"/>
                <w:highlight w:val="none"/>
                <w:lang w:val="en-US" w:eastAsia="zh-CN"/>
              </w:rPr>
              <w:t>智慧</w:t>
            </w:r>
            <w:r>
              <w:rPr>
                <w:rFonts w:hint="eastAsia" w:asciiTheme="minorEastAsia" w:hAnsiTheme="minorEastAsia" w:eastAsiaTheme="minorEastAsia" w:cstheme="minorEastAsia"/>
                <w:color w:val="auto"/>
                <w:sz w:val="21"/>
                <w:szCs w:val="21"/>
                <w:highlight w:val="none"/>
                <w:lang w:val="en-US" w:eastAsia="zh-CN"/>
              </w:rPr>
              <w:t>城管信息采集和信息处理工作的理解和认识的得3分；</w:t>
            </w:r>
          </w:p>
          <w:p w14:paraId="20A1154A">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较为准确阐述对</w:t>
            </w:r>
            <w:r>
              <w:rPr>
                <w:rFonts w:hint="eastAsia" w:asciiTheme="minorEastAsia" w:hAnsiTheme="minorEastAsia" w:eastAsiaTheme="minorEastAsia" w:cstheme="minorEastAsia"/>
                <w:color w:val="auto"/>
                <w:kern w:val="0"/>
                <w:sz w:val="21"/>
                <w:szCs w:val="21"/>
                <w:highlight w:val="none"/>
                <w:lang w:val="en-US" w:eastAsia="zh-CN"/>
              </w:rPr>
              <w:t>智慧</w:t>
            </w:r>
            <w:r>
              <w:rPr>
                <w:rFonts w:hint="eastAsia" w:asciiTheme="minorEastAsia" w:hAnsiTheme="minorEastAsia" w:eastAsiaTheme="minorEastAsia" w:cstheme="minorEastAsia"/>
                <w:color w:val="auto"/>
                <w:sz w:val="21"/>
                <w:szCs w:val="21"/>
                <w:highlight w:val="none"/>
                <w:lang w:val="en-US" w:eastAsia="zh-CN"/>
              </w:rPr>
              <w:t>城管信息采集和信息处理工作的理解和认识的得2分；</w:t>
            </w:r>
          </w:p>
          <w:p w14:paraId="01262BD3">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不能准确阐述对</w:t>
            </w:r>
            <w:r>
              <w:rPr>
                <w:rFonts w:hint="eastAsia" w:asciiTheme="minorEastAsia" w:hAnsiTheme="minorEastAsia" w:eastAsiaTheme="minorEastAsia" w:cstheme="minorEastAsia"/>
                <w:color w:val="auto"/>
                <w:kern w:val="0"/>
                <w:sz w:val="21"/>
                <w:szCs w:val="21"/>
                <w:highlight w:val="none"/>
                <w:lang w:val="en-US" w:eastAsia="zh-CN"/>
              </w:rPr>
              <w:t>智慧</w:t>
            </w:r>
            <w:r>
              <w:rPr>
                <w:rFonts w:hint="eastAsia" w:asciiTheme="minorEastAsia" w:hAnsiTheme="minorEastAsia" w:eastAsiaTheme="minorEastAsia" w:cstheme="minorEastAsia"/>
                <w:color w:val="auto"/>
                <w:sz w:val="21"/>
                <w:szCs w:val="21"/>
                <w:highlight w:val="none"/>
                <w:lang w:val="en-US" w:eastAsia="zh-CN"/>
              </w:rPr>
              <w:t>城管信息采集和信息处理工作的理解和认识的得1分；</w:t>
            </w:r>
          </w:p>
          <w:p w14:paraId="253F6846">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0A60D3FB">
            <w:pPr>
              <w:keepNext w:val="0"/>
              <w:keepLines w:val="0"/>
              <w:pageBreakBefore w:val="0"/>
              <w:kinsoku/>
              <w:wordWrap/>
              <w:overflowPunct/>
              <w:topLinePunct w:val="0"/>
              <w:autoSpaceDE w:val="0"/>
              <w:autoSpaceDN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r>
      <w:tr w14:paraId="65B6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17D751FB">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Merge w:val="continue"/>
            <w:vAlign w:val="center"/>
          </w:tcPr>
          <w:p w14:paraId="73AE9B2A">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kern w:val="0"/>
                <w:sz w:val="21"/>
                <w:szCs w:val="21"/>
                <w:highlight w:val="none"/>
              </w:rPr>
            </w:pPr>
          </w:p>
        </w:tc>
        <w:tc>
          <w:tcPr>
            <w:tcW w:w="7291" w:type="dxa"/>
            <w:vAlign w:val="top"/>
          </w:tcPr>
          <w:p w14:paraId="4E125333">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根据投标人提供</w:t>
            </w:r>
            <w:r>
              <w:rPr>
                <w:rFonts w:hint="eastAsia" w:asciiTheme="minorEastAsia" w:hAnsiTheme="minorEastAsia" w:eastAsiaTheme="minorEastAsia" w:cstheme="minorEastAsia"/>
                <w:color w:val="auto"/>
                <w:kern w:val="0"/>
                <w:sz w:val="21"/>
                <w:szCs w:val="21"/>
                <w:highlight w:val="none"/>
                <w:lang w:val="en-US" w:eastAsia="zh-CN"/>
              </w:rPr>
              <w:t>智慧</w:t>
            </w:r>
            <w:r>
              <w:rPr>
                <w:rFonts w:hint="eastAsia" w:asciiTheme="minorEastAsia" w:hAnsiTheme="minorEastAsia" w:eastAsiaTheme="minorEastAsia" w:cstheme="minorEastAsia"/>
                <w:color w:val="auto"/>
                <w:sz w:val="21"/>
                <w:szCs w:val="21"/>
                <w:highlight w:val="none"/>
                <w:lang w:val="en-US" w:eastAsia="zh-CN"/>
              </w:rPr>
              <w:t>城市管理覆盖范围内部件数据及地理编码的动态更新服务，确保掌握城市管理部件状态，实现精确定位、准确派遣情况，提出部件动态及地理编码更新目标、方法、流程、相关技术支撑等技术方案；提出部件及地理编码动态更新实施方案进行打分。</w:t>
            </w:r>
          </w:p>
          <w:p w14:paraId="2E098DCE">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内容明确、针对性强、方法科学且应对措施完善的得5分；</w:t>
            </w:r>
          </w:p>
          <w:p w14:paraId="5833F3D4">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内容比较明确、针对性比较强、方法科学且应对措施比较完善的得3分；</w:t>
            </w:r>
          </w:p>
          <w:p w14:paraId="69FA5FB9">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分析不到位不明确且应对措施不完善的得1分；</w:t>
            </w:r>
          </w:p>
          <w:p w14:paraId="4EA811AA">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4F394EE6">
            <w:pPr>
              <w:keepNext w:val="0"/>
              <w:keepLines w:val="0"/>
              <w:pageBreakBefore w:val="0"/>
              <w:kinsoku/>
              <w:wordWrap/>
              <w:overflowPunct/>
              <w:topLinePunct w:val="0"/>
              <w:autoSpaceDE w:val="0"/>
              <w:autoSpaceDN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r>
      <w:tr w14:paraId="5F5E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0EE1A815">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Merge w:val="continue"/>
            <w:vAlign w:val="center"/>
          </w:tcPr>
          <w:p w14:paraId="28EFB5E0">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kern w:val="0"/>
                <w:sz w:val="21"/>
                <w:szCs w:val="21"/>
                <w:highlight w:val="none"/>
              </w:rPr>
            </w:pPr>
          </w:p>
        </w:tc>
        <w:tc>
          <w:tcPr>
            <w:tcW w:w="7291" w:type="dxa"/>
            <w:vAlign w:val="top"/>
          </w:tcPr>
          <w:p w14:paraId="2E188A58">
            <w:pPr>
              <w:keepNext w:val="0"/>
              <w:keepLines w:val="0"/>
              <w:pageBreakBefore w:val="0"/>
              <w:tabs>
                <w:tab w:val="left" w:pos="2061"/>
              </w:tabs>
              <w:kinsoku/>
              <w:wordWrap/>
              <w:overflowPunct/>
              <w:topLinePunct w:val="0"/>
              <w:bidi w:val="0"/>
              <w:adjustRightInd/>
              <w:snapToGrid/>
              <w:spacing w:line="240" w:lineRule="auto"/>
              <w:ind w:left="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要求阐述关于本项目片区智慧城管信息采集服务方面的实施现状，存在的问题及关键点，并进行准确分析阐述提出有针对性的合理建议。根据投标人的阐述内容进行打分。</w:t>
            </w:r>
          </w:p>
          <w:p w14:paraId="11CDA5EF">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建议分析符合实际，科学合理，贴合项目现状的得3分；</w:t>
            </w:r>
          </w:p>
          <w:p w14:paraId="2F57806E">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建议分析基本符合，基本科学合理，基本满足项目需求的得2分；</w:t>
            </w:r>
          </w:p>
          <w:p w14:paraId="39075025">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对项目现状了解有待加强，建议分析有待完善的得1分；</w:t>
            </w:r>
          </w:p>
          <w:p w14:paraId="4FE75DB9">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2F0F5829">
            <w:pPr>
              <w:keepNext w:val="0"/>
              <w:keepLines w:val="0"/>
              <w:pageBreakBefore w:val="0"/>
              <w:kinsoku/>
              <w:wordWrap/>
              <w:overflowPunct/>
              <w:topLinePunct w:val="0"/>
              <w:autoSpaceDE w:val="0"/>
              <w:autoSpaceDN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r>
      <w:tr w14:paraId="6A16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0D4B5297">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Merge w:val="continue"/>
            <w:vAlign w:val="center"/>
          </w:tcPr>
          <w:p w14:paraId="400ED38B">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kern w:val="0"/>
                <w:sz w:val="21"/>
                <w:szCs w:val="21"/>
                <w:highlight w:val="none"/>
              </w:rPr>
            </w:pPr>
          </w:p>
        </w:tc>
        <w:tc>
          <w:tcPr>
            <w:tcW w:w="7291" w:type="dxa"/>
            <w:vAlign w:val="top"/>
          </w:tcPr>
          <w:p w14:paraId="308ED547">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根据投标人提供</w:t>
            </w:r>
            <w:r>
              <w:rPr>
                <w:rFonts w:hint="eastAsia" w:asciiTheme="minorEastAsia" w:hAnsiTheme="minorEastAsia" w:eastAsiaTheme="minorEastAsia" w:cstheme="minorEastAsia"/>
                <w:color w:val="auto"/>
                <w:kern w:val="0"/>
                <w:sz w:val="21"/>
                <w:szCs w:val="21"/>
                <w:highlight w:val="none"/>
                <w:lang w:val="en-US" w:eastAsia="zh-CN"/>
              </w:rPr>
              <w:t>智慧</w:t>
            </w:r>
            <w:r>
              <w:rPr>
                <w:rFonts w:hint="eastAsia" w:asciiTheme="minorEastAsia" w:hAnsiTheme="minorEastAsia" w:eastAsiaTheme="minorEastAsia" w:cstheme="minorEastAsia"/>
                <w:color w:val="auto"/>
                <w:sz w:val="21"/>
                <w:szCs w:val="21"/>
                <w:highlight w:val="none"/>
                <w:lang w:val="en-US" w:eastAsia="zh-CN"/>
              </w:rPr>
              <w:t>城管运行情况分析，数据趋势分析服务，每月提交</w:t>
            </w:r>
            <w:r>
              <w:rPr>
                <w:rFonts w:hint="eastAsia" w:asciiTheme="minorEastAsia" w:hAnsiTheme="minorEastAsia" w:eastAsiaTheme="minorEastAsia" w:cstheme="minorEastAsia"/>
                <w:color w:val="auto"/>
                <w:kern w:val="0"/>
                <w:sz w:val="21"/>
                <w:szCs w:val="21"/>
                <w:highlight w:val="none"/>
                <w:lang w:val="en-US" w:eastAsia="zh-CN"/>
              </w:rPr>
              <w:t>智慧</w:t>
            </w:r>
            <w:r>
              <w:rPr>
                <w:rFonts w:hint="eastAsia" w:asciiTheme="minorEastAsia" w:hAnsiTheme="minorEastAsia" w:eastAsiaTheme="minorEastAsia" w:cstheme="minorEastAsia"/>
                <w:color w:val="auto"/>
                <w:sz w:val="21"/>
                <w:szCs w:val="21"/>
                <w:highlight w:val="none"/>
                <w:lang w:val="en-US" w:eastAsia="zh-CN"/>
              </w:rPr>
              <w:t>城管工作运行报告，以及数据收集、分析执行流程进行打分。</w:t>
            </w:r>
          </w:p>
          <w:p w14:paraId="6C074466">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内容的思路明确、针对性强、方法科学的得3分；</w:t>
            </w:r>
          </w:p>
          <w:p w14:paraId="00327689">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内容的思路比较明确、针对性比较强、方法比较科学的得2分；</w:t>
            </w:r>
          </w:p>
          <w:p w14:paraId="7E460D0F">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思路模糊、无针对性、方法不科学的得1分；</w:t>
            </w:r>
          </w:p>
          <w:p w14:paraId="20650D2B">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3CA76258">
            <w:pPr>
              <w:keepNext w:val="0"/>
              <w:keepLines w:val="0"/>
              <w:pageBreakBefore w:val="0"/>
              <w:kinsoku/>
              <w:wordWrap/>
              <w:overflowPunct/>
              <w:topLinePunct w:val="0"/>
              <w:autoSpaceDE w:val="0"/>
              <w:autoSpaceDN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r>
      <w:tr w14:paraId="37CF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433604EC">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Merge w:val="continue"/>
            <w:vAlign w:val="center"/>
          </w:tcPr>
          <w:p w14:paraId="047BBCEE">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kern w:val="0"/>
                <w:sz w:val="21"/>
                <w:szCs w:val="21"/>
                <w:highlight w:val="none"/>
              </w:rPr>
            </w:pPr>
          </w:p>
        </w:tc>
        <w:tc>
          <w:tcPr>
            <w:tcW w:w="7291" w:type="dxa"/>
            <w:vAlign w:val="top"/>
          </w:tcPr>
          <w:p w14:paraId="3EFA589F">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根据投标人对项目背景和现状以及对本地区的了解程度和路线熟悉情况，提供合理的区域划分和巡查密度的设定，实现区域全覆盖进行打分。</w:t>
            </w:r>
          </w:p>
          <w:p w14:paraId="504E7240">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内容清晰、全面，合理可行的得4分；</w:t>
            </w:r>
          </w:p>
          <w:p w14:paraId="582D3EDA">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内容清晰度一般、基本全面，合理可行性一般的得2分；</w:t>
            </w:r>
          </w:p>
          <w:p w14:paraId="31A8BFA3">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内容不合理，可行性差的得1分；</w:t>
            </w:r>
          </w:p>
          <w:p w14:paraId="2B7CB824">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5C00D6F5">
            <w:pPr>
              <w:keepNext w:val="0"/>
              <w:keepLines w:val="0"/>
              <w:pageBreakBefore w:val="0"/>
              <w:kinsoku/>
              <w:wordWrap/>
              <w:overflowPunct/>
              <w:topLinePunct w:val="0"/>
              <w:autoSpaceDE w:val="0"/>
              <w:autoSpaceDN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r>
      <w:tr w14:paraId="2C35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0695FEF4">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Merge w:val="continue"/>
            <w:vAlign w:val="center"/>
          </w:tcPr>
          <w:p w14:paraId="577D6D34">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kern w:val="0"/>
                <w:sz w:val="21"/>
                <w:szCs w:val="21"/>
                <w:highlight w:val="none"/>
              </w:rPr>
            </w:pPr>
          </w:p>
        </w:tc>
        <w:tc>
          <w:tcPr>
            <w:tcW w:w="7291" w:type="dxa"/>
            <w:vAlign w:val="top"/>
          </w:tcPr>
          <w:p w14:paraId="4D572BA7">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根据投标人针对本项目建立信息采集上、下班以及相关工作流程进行打分。</w:t>
            </w:r>
          </w:p>
          <w:p w14:paraId="2F1E9C22">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适用本项目需求的得2分；</w:t>
            </w:r>
          </w:p>
          <w:p w14:paraId="53D53C93">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基本满足本项目需求的得1分；</w:t>
            </w:r>
          </w:p>
          <w:p w14:paraId="2637FFB8">
            <w:pPr>
              <w:keepNext w:val="0"/>
              <w:keepLines w:val="0"/>
              <w:pageBreakBefore w:val="0"/>
              <w:tabs>
                <w:tab w:val="left" w:pos="2061"/>
              </w:tabs>
              <w:kinsoku/>
              <w:wordWrap/>
              <w:overflowPunct/>
              <w:topLinePunct w:val="0"/>
              <w:bidi w:val="0"/>
              <w:adjustRightInd/>
              <w:snapToGrid/>
              <w:spacing w:line="240" w:lineRule="auto"/>
              <w:ind w:left="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4F7764C3">
            <w:pPr>
              <w:keepNext w:val="0"/>
              <w:keepLines w:val="0"/>
              <w:pageBreakBefore w:val="0"/>
              <w:kinsoku/>
              <w:wordWrap/>
              <w:overflowPunct/>
              <w:topLinePunct w:val="0"/>
              <w:autoSpaceDE w:val="0"/>
              <w:autoSpaceDN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r>
      <w:tr w14:paraId="4C66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2BE7AC8F">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Merge w:val="continue"/>
            <w:vAlign w:val="center"/>
          </w:tcPr>
          <w:p w14:paraId="03C8835E">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kern w:val="0"/>
                <w:sz w:val="21"/>
                <w:szCs w:val="21"/>
                <w:highlight w:val="none"/>
              </w:rPr>
            </w:pPr>
          </w:p>
        </w:tc>
        <w:tc>
          <w:tcPr>
            <w:tcW w:w="7291" w:type="dxa"/>
            <w:vAlign w:val="top"/>
          </w:tcPr>
          <w:p w14:paraId="03E03CDF">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根据投标人针对本项目建立信息采集、信息处理服务保障应急预案进行打分。</w:t>
            </w:r>
          </w:p>
          <w:p w14:paraId="577F33F2">
            <w:pPr>
              <w:keepNext w:val="0"/>
              <w:keepLines w:val="0"/>
              <w:pageBreakBefore w:val="0"/>
              <w:tabs>
                <w:tab w:val="left" w:pos="2061"/>
              </w:tabs>
              <w:kinsoku/>
              <w:wordWrap/>
              <w:overflowPunct/>
              <w:topLinePunct w:val="0"/>
              <w:bidi w:val="0"/>
              <w:adjustRightInd/>
              <w:snapToGrid/>
              <w:spacing w:line="240" w:lineRule="auto"/>
              <w:ind w:left="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21"/>
                <w:highlight w:val="none"/>
                <w:lang w:val="en-US" w:eastAsia="zh-CN"/>
              </w:rPr>
              <w:t>应急预案</w:t>
            </w:r>
            <w:r>
              <w:rPr>
                <w:rFonts w:hint="eastAsia" w:asciiTheme="minorEastAsia" w:hAnsiTheme="minorEastAsia" w:eastAsiaTheme="minorEastAsia" w:cstheme="minorEastAsia"/>
                <w:color w:val="auto"/>
                <w:szCs w:val="21"/>
                <w:highlight w:val="none"/>
              </w:rPr>
              <w:t>合理、可行、先进的得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p>
          <w:p w14:paraId="792091D6">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应急预案</w:t>
            </w:r>
            <w:r>
              <w:rPr>
                <w:rFonts w:hint="eastAsia" w:asciiTheme="minorEastAsia" w:hAnsiTheme="minorEastAsia" w:eastAsiaTheme="minorEastAsia" w:cstheme="minorEastAsia"/>
                <w:color w:val="auto"/>
                <w:szCs w:val="21"/>
                <w:highlight w:val="none"/>
              </w:rPr>
              <w:t>可行但有不合理的地方的得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3DC1E9BA">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38371C08">
            <w:pPr>
              <w:keepNext w:val="0"/>
              <w:keepLines w:val="0"/>
              <w:pageBreakBefore w:val="0"/>
              <w:kinsoku/>
              <w:wordWrap/>
              <w:overflowPunct/>
              <w:topLinePunct w:val="0"/>
              <w:autoSpaceDE w:val="0"/>
              <w:autoSpaceDN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p>
        </w:tc>
      </w:tr>
      <w:tr w14:paraId="205F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72545A43">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Merge w:val="restart"/>
            <w:vAlign w:val="center"/>
          </w:tcPr>
          <w:p w14:paraId="3B6E20AD">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“信息采集器”管理办法</w:t>
            </w:r>
          </w:p>
        </w:tc>
        <w:tc>
          <w:tcPr>
            <w:tcW w:w="7291" w:type="dxa"/>
            <w:vAlign w:val="top"/>
          </w:tcPr>
          <w:p w14:paraId="359BF4DF">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根据投标人是否严格按照“信息采集器”管理要求与管理办法进行打分。</w:t>
            </w:r>
          </w:p>
          <w:p w14:paraId="420E717C">
            <w:pPr>
              <w:keepNext w:val="0"/>
              <w:keepLines w:val="0"/>
              <w:pageBreakBefore w:val="0"/>
              <w:tabs>
                <w:tab w:val="left" w:pos="2061"/>
              </w:tabs>
              <w:kinsoku/>
              <w:wordWrap/>
              <w:overflowPunct/>
              <w:topLinePunct w:val="0"/>
              <w:bidi w:val="0"/>
              <w:adjustRightInd/>
              <w:snapToGrid/>
              <w:spacing w:line="240" w:lineRule="auto"/>
              <w:ind w:left="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严格按照“信息采集器”管理要求与管理办法的得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p>
          <w:p w14:paraId="4B8C8FAF">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基本按照“信息采集器”管理要求与管理办法的得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1924506B">
            <w:pPr>
              <w:keepNext w:val="0"/>
              <w:keepLines w:val="0"/>
              <w:pageBreakBefore w:val="0"/>
              <w:tabs>
                <w:tab w:val="left" w:pos="2061"/>
              </w:tabs>
              <w:kinsoku/>
              <w:wordWrap/>
              <w:overflowPunct/>
              <w:topLinePunct w:val="0"/>
              <w:bidi w:val="0"/>
              <w:adjustRightInd/>
              <w:snapToGrid/>
              <w:spacing w:line="240" w:lineRule="auto"/>
              <w:ind w:left="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6B0990CA">
            <w:pPr>
              <w:keepNext w:val="0"/>
              <w:keepLines w:val="0"/>
              <w:pageBreakBefore w:val="0"/>
              <w:tabs>
                <w:tab w:val="left" w:pos="780"/>
              </w:tabs>
              <w:kinsoku/>
              <w:wordWrap/>
              <w:overflowPunct/>
              <w:topLinePunct w:val="0"/>
              <w:autoSpaceDE w:val="0"/>
              <w:autoSpaceDN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p>
        </w:tc>
      </w:tr>
      <w:tr w14:paraId="4BD4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040CF73E">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Merge w:val="continue"/>
            <w:vAlign w:val="center"/>
          </w:tcPr>
          <w:p w14:paraId="37223F24">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kern w:val="0"/>
                <w:sz w:val="21"/>
                <w:szCs w:val="21"/>
                <w:highlight w:val="none"/>
              </w:rPr>
            </w:pPr>
          </w:p>
        </w:tc>
        <w:tc>
          <w:tcPr>
            <w:tcW w:w="7291" w:type="dxa"/>
            <w:vAlign w:val="top"/>
          </w:tcPr>
          <w:p w14:paraId="0917E700">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根据投标人制定“信息采集器”统一管理流程等进行打分。</w:t>
            </w:r>
          </w:p>
          <w:p w14:paraId="272A2CEC">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适用本项目需求的得2分；</w:t>
            </w:r>
          </w:p>
          <w:p w14:paraId="16422452">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基本满足本项目需求的得1分；</w:t>
            </w:r>
          </w:p>
          <w:p w14:paraId="29BB79B5">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7438E364">
            <w:pPr>
              <w:keepNext w:val="0"/>
              <w:keepLines w:val="0"/>
              <w:pageBreakBefore w:val="0"/>
              <w:tabs>
                <w:tab w:val="left" w:pos="780"/>
              </w:tabs>
              <w:kinsoku/>
              <w:wordWrap/>
              <w:overflowPunct/>
              <w:topLinePunct w:val="0"/>
              <w:autoSpaceDE w:val="0"/>
              <w:autoSpaceDN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p>
        </w:tc>
      </w:tr>
      <w:tr w14:paraId="064B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18F667BF">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Merge w:val="restart"/>
            <w:vAlign w:val="center"/>
          </w:tcPr>
          <w:p w14:paraId="44B49418">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针对本项目建立对信息采集人员信息采集、核查质量的校核机制</w:t>
            </w:r>
          </w:p>
        </w:tc>
        <w:tc>
          <w:tcPr>
            <w:tcW w:w="7291" w:type="dxa"/>
            <w:vAlign w:val="top"/>
          </w:tcPr>
          <w:p w14:paraId="74199A43">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根据投标人是否建立质量管理专门机构负责质量管理进行打分。</w:t>
            </w:r>
          </w:p>
          <w:p w14:paraId="7541082D">
            <w:pPr>
              <w:keepNext w:val="0"/>
              <w:keepLines w:val="0"/>
              <w:pageBreakBefore w:val="0"/>
              <w:tabs>
                <w:tab w:val="left" w:pos="2061"/>
              </w:tabs>
              <w:kinsoku/>
              <w:wordWrap/>
              <w:overflowPunct/>
              <w:topLinePunct w:val="0"/>
              <w:bidi w:val="0"/>
              <w:adjustRightInd/>
              <w:snapToGrid/>
              <w:spacing w:line="240" w:lineRule="auto"/>
              <w:ind w:left="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建立质量管理专门机构，能有效保障服务质量的得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p>
          <w:p w14:paraId="0CD51748">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建立质量管理专门机构，基本能保障服务质量的得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46CEDBA2">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2202B5E2">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r>
      <w:tr w14:paraId="38DF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4E158E2E">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Merge w:val="continue"/>
            <w:vAlign w:val="center"/>
          </w:tcPr>
          <w:p w14:paraId="4EB169F5">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kern w:val="0"/>
                <w:sz w:val="21"/>
                <w:szCs w:val="21"/>
                <w:highlight w:val="none"/>
              </w:rPr>
            </w:pPr>
          </w:p>
        </w:tc>
        <w:tc>
          <w:tcPr>
            <w:tcW w:w="7291" w:type="dxa"/>
            <w:vAlign w:val="top"/>
          </w:tcPr>
          <w:p w14:paraId="62CB4082">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根据投标人是否建立质量管理制度和流程进行打分。</w:t>
            </w:r>
          </w:p>
          <w:p w14:paraId="79ECE21C">
            <w:pPr>
              <w:keepNext w:val="0"/>
              <w:keepLines w:val="0"/>
              <w:pageBreakBefore w:val="0"/>
              <w:tabs>
                <w:tab w:val="left" w:pos="2061"/>
              </w:tabs>
              <w:kinsoku/>
              <w:wordWrap/>
              <w:overflowPunct/>
              <w:topLinePunct w:val="0"/>
              <w:bidi w:val="0"/>
              <w:adjustRightInd/>
              <w:snapToGrid/>
              <w:spacing w:line="240" w:lineRule="auto"/>
              <w:ind w:left="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建立质量管理制度和流程，能有效保障服务质量的得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p>
          <w:p w14:paraId="1206ED69">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建立质量管理制度和流程，基本能保障服务质量的得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55FD4A7E">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5F03932F">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r>
      <w:tr w14:paraId="2BF98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189F781B">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Merge w:val="continue"/>
            <w:vAlign w:val="center"/>
          </w:tcPr>
          <w:p w14:paraId="294C2D1E">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kern w:val="0"/>
                <w:sz w:val="21"/>
                <w:szCs w:val="21"/>
                <w:highlight w:val="none"/>
              </w:rPr>
            </w:pPr>
          </w:p>
        </w:tc>
        <w:tc>
          <w:tcPr>
            <w:tcW w:w="7291" w:type="dxa"/>
            <w:vAlign w:val="top"/>
          </w:tcPr>
          <w:p w14:paraId="68390B5F">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根据投标人是否建立对漏报、投诉等问题实行跟踪、反馈制度，确保处置、回复、满意率均达100％进行打分。</w:t>
            </w:r>
          </w:p>
          <w:p w14:paraId="18596B74">
            <w:pPr>
              <w:keepNext w:val="0"/>
              <w:keepLines w:val="0"/>
              <w:pageBreakBefore w:val="0"/>
              <w:tabs>
                <w:tab w:val="left" w:pos="2061"/>
              </w:tabs>
              <w:kinsoku/>
              <w:wordWrap/>
              <w:overflowPunct/>
              <w:topLinePunct w:val="0"/>
              <w:bidi w:val="0"/>
              <w:adjustRightInd/>
              <w:snapToGrid/>
              <w:spacing w:line="240" w:lineRule="auto"/>
              <w:ind w:left="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实行跟踪、反馈制度，能有效保障服务质量的得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p>
          <w:p w14:paraId="2F6AB536">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实行跟踪、反馈制度，基本能保障服务质量的得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49BEFE28">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26DE3342">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r>
      <w:tr w14:paraId="5AF9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57B7E539">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Merge w:val="continue"/>
            <w:vAlign w:val="center"/>
          </w:tcPr>
          <w:p w14:paraId="290BD226">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kern w:val="0"/>
                <w:sz w:val="21"/>
                <w:szCs w:val="21"/>
                <w:highlight w:val="none"/>
              </w:rPr>
            </w:pPr>
          </w:p>
        </w:tc>
        <w:tc>
          <w:tcPr>
            <w:tcW w:w="7291" w:type="dxa"/>
            <w:vAlign w:val="top"/>
          </w:tcPr>
          <w:p w14:paraId="6B7C3550">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根据投标人是否建立质量问题处罚机制，在机制设定上杜绝虚假信息、重大漏报等问题的发生进行打分。</w:t>
            </w:r>
          </w:p>
          <w:p w14:paraId="228DCFC0">
            <w:pPr>
              <w:keepNext w:val="0"/>
              <w:keepLines w:val="0"/>
              <w:pageBreakBefore w:val="0"/>
              <w:tabs>
                <w:tab w:val="left" w:pos="2061"/>
              </w:tabs>
              <w:kinsoku/>
              <w:wordWrap/>
              <w:overflowPunct/>
              <w:topLinePunct w:val="0"/>
              <w:bidi w:val="0"/>
              <w:adjustRightInd/>
              <w:snapToGrid/>
              <w:spacing w:line="240" w:lineRule="auto"/>
              <w:ind w:left="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建立质量问题处罚机制，能有效保障服务质量的得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p>
          <w:p w14:paraId="636D730A">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建立质量问题处罚机制，基本能保障服务质量的得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5BBE4F8D">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79F5FB24">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r>
      <w:tr w14:paraId="2BE3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05720330">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Align w:val="center"/>
          </w:tcPr>
          <w:p w14:paraId="02A0D7D2">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培训方案</w:t>
            </w:r>
          </w:p>
        </w:tc>
        <w:tc>
          <w:tcPr>
            <w:tcW w:w="7291" w:type="dxa"/>
            <w:vAlign w:val="center"/>
          </w:tcPr>
          <w:p w14:paraId="7B4A6C25">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信息采集员、信息处理人员培训方案，包括培训计划、内容和组织情况；培训的内容，如岗位标准、专业知识、职业道德规范；培训的方式，如理论学习、实践操作和考试制度；培训教材；采集员培训、管理人员培训、信息处理人员培训等进行打分。</w:t>
            </w:r>
          </w:p>
          <w:p w14:paraId="6750B137">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方案制定清晰、全面，工作安排合理可行的得4分；</w:t>
            </w:r>
          </w:p>
          <w:p w14:paraId="50466867">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方案制定比较清晰、全面，工作安排比较合理可行的得2分；</w:t>
            </w:r>
          </w:p>
          <w:p w14:paraId="3E188A8F">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方案制定不够合理，工作安排可行性差的得1分；</w:t>
            </w:r>
          </w:p>
          <w:p w14:paraId="6275257F">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2097D1DB">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r>
      <w:tr w14:paraId="7FBB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68C7B606">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shd w:val="clear" w:color="auto" w:fill="auto"/>
            <w:vAlign w:val="center"/>
          </w:tcPr>
          <w:p w14:paraId="3C026C79">
            <w:pPr>
              <w:keepNext w:val="0"/>
              <w:keepLines w:val="0"/>
              <w:pageBreakBefore w:val="0"/>
              <w:widowControl/>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承诺</w:t>
            </w:r>
          </w:p>
        </w:tc>
        <w:tc>
          <w:tcPr>
            <w:tcW w:w="7291" w:type="dxa"/>
            <w:shd w:val="clear" w:color="auto" w:fill="auto"/>
            <w:vAlign w:val="center"/>
          </w:tcPr>
          <w:p w14:paraId="7E19F627">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投标人承诺根据采购文件要求配备本项目运行设备（如巡查设备、采集器等）的得2分，承诺的设备存在缺项不得分。</w:t>
            </w:r>
          </w:p>
          <w:p w14:paraId="2FB9B5E5">
            <w:pPr>
              <w:keepNext w:val="0"/>
              <w:keepLines w:val="0"/>
              <w:pageBreakBefore w:val="0"/>
              <w:tabs>
                <w:tab w:val="left" w:pos="2061"/>
              </w:tabs>
              <w:kinsoku/>
              <w:wordWrap/>
              <w:overflowPunct/>
              <w:topLinePunct w:val="0"/>
              <w:bidi w:val="0"/>
              <w:adjustRightInd/>
              <w:snapToGrid/>
              <w:spacing w:line="240" w:lineRule="auto"/>
              <w:ind w:left="0" w:leftChars="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rPr>
              <w:t>（投标人须提供承诺函原件加盖投标人公章编入投标文件中，未提供的不得分）</w:t>
            </w:r>
          </w:p>
        </w:tc>
        <w:tc>
          <w:tcPr>
            <w:tcW w:w="650" w:type="dxa"/>
            <w:shd w:val="clear" w:color="auto" w:fill="auto"/>
            <w:vAlign w:val="center"/>
          </w:tcPr>
          <w:p w14:paraId="73D9D16B">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p>
        </w:tc>
      </w:tr>
      <w:tr w14:paraId="2D45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007" w:type="dxa"/>
            <w:vMerge w:val="continue"/>
            <w:vAlign w:val="center"/>
          </w:tcPr>
          <w:p w14:paraId="7E393239">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Align w:val="center"/>
          </w:tcPr>
          <w:p w14:paraId="59B06798">
            <w:pPr>
              <w:keepNext w:val="0"/>
              <w:keepLines w:val="0"/>
              <w:pageBreakBefore w:val="0"/>
              <w:widowControl/>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其他创新举措</w:t>
            </w:r>
          </w:p>
        </w:tc>
        <w:tc>
          <w:tcPr>
            <w:tcW w:w="7291" w:type="dxa"/>
            <w:vAlign w:val="center"/>
          </w:tcPr>
          <w:p w14:paraId="4152661C">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投标人在满足项目需求的基础上，针对本项目提供至少2种创新举措实施方案（例如服务流程细节、拟投入设备进一步优化完善等），旨在提升智能采集效率。</w:t>
            </w:r>
          </w:p>
          <w:p w14:paraId="7B88EB46">
            <w:pPr>
              <w:keepNext w:val="0"/>
              <w:keepLines w:val="0"/>
              <w:pageBreakBefore w:val="0"/>
              <w:tabs>
                <w:tab w:val="left" w:pos="2061"/>
              </w:tabs>
              <w:kinsoku/>
              <w:wordWrap/>
              <w:overflowPunct/>
              <w:topLinePunct w:val="0"/>
              <w:bidi w:val="0"/>
              <w:adjustRightInd/>
              <w:snapToGrid/>
              <w:spacing w:line="240" w:lineRule="auto"/>
              <w:ind w:left="0"/>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方案合理可行，满足项目需求，有效保障项目实施，可行性强的，每种得2分；</w:t>
            </w:r>
          </w:p>
          <w:p w14:paraId="3C00AF5D">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方案基本合理性可行性，基本满足项目实施，可行性一般的，每种得1分；</w:t>
            </w:r>
          </w:p>
          <w:p w14:paraId="1CD17E79">
            <w:pPr>
              <w:keepNext w:val="0"/>
              <w:keepLines w:val="0"/>
              <w:pageBreakBefore w:val="0"/>
              <w:tabs>
                <w:tab w:val="left" w:pos="2061"/>
              </w:tabs>
              <w:kinsoku/>
              <w:wordWrap/>
              <w:overflowPunct/>
              <w:topLinePunct w:val="0"/>
              <w:bidi w:val="0"/>
              <w:adjustRightInd/>
              <w:snapToGrid/>
              <w:spacing w:line="240" w:lineRule="auto"/>
              <w:ind w:left="0"/>
              <w:textAlignment w:val="auto"/>
              <w:rPr>
                <w:rFonts w:hint="default"/>
                <w:color w:val="auto"/>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方案仅简单提及，可行性有待完善的，每种得0.5分；</w:t>
            </w:r>
          </w:p>
          <w:p w14:paraId="223FE795">
            <w:pPr>
              <w:keepNext w:val="0"/>
              <w:keepLines w:val="0"/>
              <w:pageBreakBefore w:val="0"/>
              <w:tabs>
                <w:tab w:val="left" w:pos="2061"/>
              </w:tabs>
              <w:kinsoku/>
              <w:wordWrap/>
              <w:overflowPunct/>
              <w:topLinePunct w:val="0"/>
              <w:bidi w:val="0"/>
              <w:adjustRightInd/>
              <w:snapToGrid/>
              <w:spacing w:line="240" w:lineRule="auto"/>
              <w:ind w:left="0"/>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未提及此项不得分，本项最高得4分。</w:t>
            </w:r>
          </w:p>
        </w:tc>
        <w:tc>
          <w:tcPr>
            <w:tcW w:w="650" w:type="dxa"/>
            <w:vAlign w:val="center"/>
          </w:tcPr>
          <w:p w14:paraId="06F14CBF">
            <w:pPr>
              <w:keepNext w:val="0"/>
              <w:keepLines w:val="0"/>
              <w:pageBreakBefore w:val="0"/>
              <w:kinsoku/>
              <w:wordWrap/>
              <w:overflowPunct/>
              <w:topLinePunct w:val="0"/>
              <w:bidi w:val="0"/>
              <w:adjustRightInd/>
              <w:snapToGrid/>
              <w:spacing w:line="240" w:lineRule="auto"/>
              <w:ind w:left="0"/>
              <w:jc w:val="center"/>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4</w:t>
            </w:r>
          </w:p>
        </w:tc>
      </w:tr>
      <w:tr w14:paraId="1594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9" w:type="dxa"/>
            <w:gridSpan w:val="2"/>
            <w:vAlign w:val="center"/>
          </w:tcPr>
          <w:p w14:paraId="651A013F">
            <w:pPr>
              <w:keepNext w:val="0"/>
              <w:keepLines w:val="0"/>
              <w:pageBreakBefore w:val="0"/>
              <w:kinsoku/>
              <w:wordWrap/>
              <w:overflowPunct/>
              <w:topLinePunct w:val="0"/>
              <w:bidi w:val="0"/>
              <w:adjustRightInd/>
              <w:snapToGrid/>
              <w:spacing w:line="240" w:lineRule="auto"/>
              <w:ind w:left="0"/>
              <w:jc w:val="center"/>
              <w:textAlignment w:val="auto"/>
              <w:rPr>
                <w:rStyle w:val="56"/>
                <w:rFonts w:hint="eastAsia" w:asciiTheme="minorEastAsia" w:hAnsiTheme="minorEastAsia" w:eastAsiaTheme="minorEastAsia" w:cstheme="minorEastAsia"/>
                <w:color w:val="auto"/>
                <w:kern w:val="0"/>
                <w:sz w:val="21"/>
                <w:szCs w:val="21"/>
                <w:highlight w:val="none"/>
              </w:rPr>
            </w:pPr>
            <w:r>
              <w:rPr>
                <w:rStyle w:val="56"/>
                <w:rFonts w:hint="eastAsia" w:asciiTheme="minorEastAsia" w:hAnsiTheme="minorEastAsia" w:eastAsiaTheme="minorEastAsia" w:cstheme="minorEastAsia"/>
                <w:color w:val="auto"/>
                <w:kern w:val="0"/>
                <w:sz w:val="21"/>
                <w:szCs w:val="21"/>
                <w:highlight w:val="none"/>
              </w:rPr>
              <w:t>价格</w:t>
            </w:r>
          </w:p>
          <w:p w14:paraId="704AA50E">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kern w:val="0"/>
                <w:sz w:val="21"/>
                <w:szCs w:val="21"/>
                <w:highlight w:val="none"/>
              </w:rPr>
            </w:pPr>
            <w:r>
              <w:rPr>
                <w:rStyle w:val="56"/>
                <w:rFonts w:hint="eastAsia" w:asciiTheme="minorEastAsia" w:hAnsiTheme="minorEastAsia" w:eastAsiaTheme="minorEastAsia" w:cstheme="minorEastAsia"/>
                <w:color w:val="auto"/>
                <w:kern w:val="0"/>
                <w:sz w:val="21"/>
                <w:szCs w:val="21"/>
                <w:highlight w:val="none"/>
              </w:rPr>
              <w:t>（</w:t>
            </w:r>
            <w:r>
              <w:rPr>
                <w:rStyle w:val="56"/>
                <w:rFonts w:hint="eastAsia" w:asciiTheme="minorEastAsia" w:hAnsiTheme="minorEastAsia" w:eastAsiaTheme="minorEastAsia" w:cstheme="minorEastAsia"/>
                <w:color w:val="auto"/>
                <w:kern w:val="0"/>
                <w:sz w:val="21"/>
                <w:szCs w:val="21"/>
                <w:highlight w:val="none"/>
                <w:lang w:val="en-US" w:eastAsia="zh-CN"/>
              </w:rPr>
              <w:t>15</w:t>
            </w:r>
            <w:r>
              <w:rPr>
                <w:rStyle w:val="56"/>
                <w:rFonts w:hint="eastAsia" w:asciiTheme="minorEastAsia" w:hAnsiTheme="minorEastAsia" w:eastAsiaTheme="minorEastAsia" w:cstheme="minorEastAsia"/>
                <w:color w:val="auto"/>
                <w:kern w:val="0"/>
                <w:sz w:val="21"/>
                <w:szCs w:val="21"/>
                <w:highlight w:val="none"/>
              </w:rPr>
              <w:t>分）</w:t>
            </w:r>
          </w:p>
        </w:tc>
        <w:tc>
          <w:tcPr>
            <w:tcW w:w="7291" w:type="dxa"/>
            <w:vAlign w:val="center"/>
          </w:tcPr>
          <w:p w14:paraId="752A85E1">
            <w:pPr>
              <w:keepNext w:val="0"/>
              <w:keepLines w:val="0"/>
              <w:pageBreakBefore w:val="0"/>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取投标合格供应商的投标最终报价最低价</w:t>
            </w:r>
            <w:r>
              <w:rPr>
                <w:rFonts w:hint="eastAsia" w:asciiTheme="minorEastAsia" w:hAnsiTheme="minorEastAsia" w:eastAsiaTheme="minorEastAsia" w:cstheme="minorEastAsia"/>
                <w:color w:val="auto"/>
                <w:sz w:val="21"/>
                <w:szCs w:val="21"/>
                <w:highlight w:val="none"/>
                <w:lang w:val="zh-CN"/>
              </w:rPr>
              <w:t>为评标基准价，</w:t>
            </w:r>
            <w:r>
              <w:rPr>
                <w:rFonts w:hint="eastAsia" w:asciiTheme="minorEastAsia" w:hAnsiTheme="minorEastAsia" w:eastAsiaTheme="minorEastAsia" w:cstheme="minorEastAsia"/>
                <w:color w:val="auto"/>
                <w:sz w:val="21"/>
                <w:szCs w:val="21"/>
                <w:highlight w:val="none"/>
              </w:rPr>
              <w:t>基准价为</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zh-CN"/>
              </w:rPr>
              <w:t>。</w:t>
            </w:r>
          </w:p>
          <w:p w14:paraId="7653A511">
            <w:pPr>
              <w:keepNext w:val="0"/>
              <w:keepLines w:val="0"/>
              <w:pageBreakBefore w:val="0"/>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pacing w:val="-4"/>
                <w:kern w:val="0"/>
                <w:sz w:val="21"/>
                <w:szCs w:val="21"/>
                <w:highlight w:val="none"/>
              </w:rPr>
            </w:pPr>
            <w:r>
              <w:rPr>
                <w:rFonts w:hint="eastAsia" w:asciiTheme="minorEastAsia" w:hAnsiTheme="minorEastAsia" w:eastAsiaTheme="minorEastAsia" w:cstheme="minorEastAsia"/>
                <w:color w:val="auto"/>
                <w:sz w:val="21"/>
                <w:szCs w:val="21"/>
                <w:highlight w:val="none"/>
                <w:lang w:val="zh-CN"/>
              </w:rPr>
              <w:t>投标报价得分=(评标基准价／投标报价)×</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lang w:val="zh-CN"/>
              </w:rPr>
              <w:t>%×100 。（</w:t>
            </w:r>
            <w:r>
              <w:rPr>
                <w:rFonts w:hint="eastAsia" w:asciiTheme="minorEastAsia" w:hAnsiTheme="minorEastAsia" w:eastAsiaTheme="minorEastAsia" w:cstheme="minorEastAsia"/>
                <w:color w:val="auto"/>
                <w:sz w:val="21"/>
                <w:szCs w:val="21"/>
                <w:highlight w:val="none"/>
              </w:rPr>
              <w:t>小数点后保留2位小数</w:t>
            </w:r>
            <w:r>
              <w:rPr>
                <w:rFonts w:hint="eastAsia" w:asciiTheme="minorEastAsia" w:hAnsiTheme="minorEastAsia" w:eastAsiaTheme="minorEastAsia" w:cstheme="minorEastAsia"/>
                <w:color w:val="auto"/>
                <w:sz w:val="21"/>
                <w:szCs w:val="21"/>
                <w:highlight w:val="none"/>
                <w:lang w:val="zh-CN"/>
              </w:rPr>
              <w:t>）。</w:t>
            </w:r>
          </w:p>
        </w:tc>
        <w:tc>
          <w:tcPr>
            <w:tcW w:w="650" w:type="dxa"/>
            <w:vAlign w:val="center"/>
          </w:tcPr>
          <w:p w14:paraId="588AF62E">
            <w:pPr>
              <w:keepNext w:val="0"/>
              <w:keepLines w:val="0"/>
              <w:pageBreakBefore w:val="0"/>
              <w:kinsoku/>
              <w:wordWrap/>
              <w:overflowPunct/>
              <w:topLinePunct w:val="0"/>
              <w:bidi w:val="0"/>
              <w:adjustRightInd/>
              <w:snapToGrid/>
              <w:spacing w:line="240" w:lineRule="auto"/>
              <w:ind w:left="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r>
    </w:tbl>
    <w:p w14:paraId="0F76BD89">
      <w:pPr>
        <w:pStyle w:val="8"/>
        <w:ind w:left="0" w:leftChars="0"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7BD79477">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1BABA643">
      <w:pPr>
        <w:pStyle w:val="58"/>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w:t>
      </w:r>
      <w:r>
        <w:rPr>
          <w:rFonts w:hint="eastAsia" w:asciiTheme="minorEastAsia" w:hAnsiTheme="minorEastAsia" w:eastAsiaTheme="minorEastAsia" w:cstheme="minorEastAsia"/>
          <w:b/>
          <w:bCs/>
          <w:color w:val="auto"/>
          <w:sz w:val="21"/>
          <w:szCs w:val="21"/>
          <w:highlight w:val="none"/>
          <w:lang w:val="en-US" w:eastAsia="zh-CN"/>
        </w:rPr>
        <w:t>采购</w:t>
      </w:r>
      <w:r>
        <w:rPr>
          <w:rFonts w:hint="eastAsia" w:asciiTheme="minorEastAsia" w:hAnsiTheme="minorEastAsia" w:eastAsiaTheme="minorEastAsia" w:cstheme="minorEastAsia"/>
          <w:b/>
          <w:bCs/>
          <w:color w:val="auto"/>
          <w:sz w:val="21"/>
          <w:szCs w:val="21"/>
          <w:highlight w:val="none"/>
        </w:rPr>
        <w:t>一览表</w:t>
      </w:r>
    </w:p>
    <w:tbl>
      <w:tblPr>
        <w:tblStyle w:val="2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2531"/>
        <w:gridCol w:w="1656"/>
        <w:gridCol w:w="2025"/>
        <w:gridCol w:w="1155"/>
      </w:tblGrid>
      <w:tr w14:paraId="7356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71" w:type="dxa"/>
            <w:vAlign w:val="center"/>
          </w:tcPr>
          <w:p w14:paraId="1756ECD5">
            <w:pPr>
              <w:tabs>
                <w:tab w:val="left" w:pos="8280"/>
              </w:tabs>
              <w:autoSpaceDE w:val="0"/>
              <w:autoSpaceDN w:val="0"/>
              <w:adjustRightInd w:val="0"/>
              <w:spacing w:line="360" w:lineRule="auto"/>
              <w:ind w:right="25"/>
              <w:jc w:val="center"/>
              <w:rPr>
                <w:rFonts w:hint="eastAsia" w:asciiTheme="minorEastAsia" w:hAnsiTheme="minorEastAsia" w:eastAsiaTheme="minorEastAsia" w:cstheme="minorEastAsia"/>
                <w:b/>
                <w:color w:val="auto"/>
                <w:sz w:val="21"/>
                <w:szCs w:val="21"/>
                <w:highlight w:val="none"/>
                <w:lang w:eastAsia="zh-Hans"/>
              </w:rPr>
            </w:pPr>
            <w:r>
              <w:rPr>
                <w:rFonts w:hint="eastAsia" w:asciiTheme="minorEastAsia" w:hAnsiTheme="minorEastAsia" w:eastAsiaTheme="minorEastAsia" w:cstheme="minorEastAsia"/>
                <w:b/>
                <w:color w:val="auto"/>
                <w:sz w:val="21"/>
                <w:szCs w:val="21"/>
                <w:highlight w:val="none"/>
                <w:lang w:eastAsia="zh-Hans"/>
              </w:rPr>
              <w:t>序号</w:t>
            </w:r>
          </w:p>
        </w:tc>
        <w:tc>
          <w:tcPr>
            <w:tcW w:w="2531" w:type="dxa"/>
            <w:vAlign w:val="center"/>
          </w:tcPr>
          <w:p w14:paraId="5DED2F8A">
            <w:pPr>
              <w:tabs>
                <w:tab w:val="left" w:pos="8280"/>
              </w:tabs>
              <w:autoSpaceDE w:val="0"/>
              <w:autoSpaceDN w:val="0"/>
              <w:adjustRightInd w:val="0"/>
              <w:spacing w:line="360" w:lineRule="auto"/>
              <w:ind w:right="25"/>
              <w:jc w:val="center"/>
              <w:rPr>
                <w:rFonts w:hint="eastAsia" w:asciiTheme="minorEastAsia" w:hAnsiTheme="minorEastAsia" w:eastAsiaTheme="minorEastAsia" w:cstheme="minorEastAsia"/>
                <w:b/>
                <w:color w:val="auto"/>
                <w:sz w:val="21"/>
                <w:szCs w:val="21"/>
                <w:highlight w:val="none"/>
                <w:lang w:eastAsia="zh-Hans"/>
              </w:rPr>
            </w:pPr>
            <w:r>
              <w:rPr>
                <w:rFonts w:hint="eastAsia" w:ascii="宋体" w:hAnsi="宋体"/>
                <w:b/>
                <w:color w:val="auto"/>
                <w:szCs w:val="21"/>
                <w:highlight w:val="none"/>
              </w:rPr>
              <w:t>项目名称</w:t>
            </w:r>
          </w:p>
        </w:tc>
        <w:tc>
          <w:tcPr>
            <w:tcW w:w="1656" w:type="dxa"/>
            <w:vAlign w:val="center"/>
          </w:tcPr>
          <w:p w14:paraId="2255D261">
            <w:pPr>
              <w:tabs>
                <w:tab w:val="left" w:pos="8280"/>
              </w:tabs>
              <w:autoSpaceDE w:val="0"/>
              <w:autoSpaceDN w:val="0"/>
              <w:adjustRightInd w:val="0"/>
              <w:spacing w:line="360" w:lineRule="auto"/>
              <w:ind w:right="25"/>
              <w:jc w:val="center"/>
              <w:rPr>
                <w:rFonts w:hint="eastAsia" w:asciiTheme="minorEastAsia" w:hAnsiTheme="minorEastAsia" w:eastAsiaTheme="minorEastAsia" w:cstheme="minorEastAsia"/>
                <w:b/>
                <w:color w:val="auto"/>
                <w:sz w:val="21"/>
                <w:szCs w:val="21"/>
                <w:highlight w:val="none"/>
                <w:lang w:eastAsia="zh-Hans"/>
              </w:rPr>
            </w:pPr>
            <w:r>
              <w:rPr>
                <w:rFonts w:hint="eastAsia" w:asciiTheme="minorEastAsia" w:hAnsiTheme="minorEastAsia" w:eastAsiaTheme="minorEastAsia" w:cstheme="minorEastAsia"/>
                <w:b/>
                <w:color w:val="auto"/>
                <w:sz w:val="21"/>
                <w:szCs w:val="21"/>
                <w:highlight w:val="none"/>
                <w:lang w:eastAsia="zh-Hans"/>
              </w:rPr>
              <w:t>预算（万元）</w:t>
            </w:r>
          </w:p>
        </w:tc>
        <w:tc>
          <w:tcPr>
            <w:tcW w:w="2025" w:type="dxa"/>
            <w:vAlign w:val="center"/>
          </w:tcPr>
          <w:p w14:paraId="775A9666">
            <w:pPr>
              <w:tabs>
                <w:tab w:val="left" w:pos="8280"/>
              </w:tabs>
              <w:autoSpaceDE w:val="0"/>
              <w:autoSpaceDN w:val="0"/>
              <w:adjustRightInd w:val="0"/>
              <w:spacing w:line="36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服务期</w:t>
            </w:r>
          </w:p>
        </w:tc>
        <w:tc>
          <w:tcPr>
            <w:tcW w:w="1155" w:type="dxa"/>
            <w:vAlign w:val="center"/>
          </w:tcPr>
          <w:p w14:paraId="1547B8C8">
            <w:pPr>
              <w:tabs>
                <w:tab w:val="left" w:pos="8280"/>
              </w:tabs>
              <w:autoSpaceDE w:val="0"/>
              <w:autoSpaceDN w:val="0"/>
              <w:adjustRightInd w:val="0"/>
              <w:spacing w:line="360" w:lineRule="auto"/>
              <w:ind w:right="25"/>
              <w:jc w:val="center"/>
              <w:rPr>
                <w:rFonts w:hint="eastAsia" w:asciiTheme="minorEastAsia" w:hAnsiTheme="minorEastAsia" w:eastAsiaTheme="minorEastAsia" w:cstheme="minorEastAsia"/>
                <w:b/>
                <w:color w:val="auto"/>
                <w:sz w:val="21"/>
                <w:szCs w:val="21"/>
                <w:highlight w:val="none"/>
                <w:lang w:eastAsia="zh-Hans"/>
              </w:rPr>
            </w:pPr>
            <w:r>
              <w:rPr>
                <w:rFonts w:hint="eastAsia" w:asciiTheme="minorEastAsia" w:hAnsiTheme="minorEastAsia" w:eastAsiaTheme="minorEastAsia" w:cstheme="minorEastAsia"/>
                <w:b/>
                <w:color w:val="auto"/>
                <w:sz w:val="21"/>
                <w:szCs w:val="21"/>
                <w:highlight w:val="none"/>
                <w:lang w:eastAsia="zh-Hans"/>
              </w:rPr>
              <w:t>备注</w:t>
            </w:r>
          </w:p>
        </w:tc>
      </w:tr>
      <w:tr w14:paraId="5B77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071" w:type="dxa"/>
            <w:vAlign w:val="center"/>
          </w:tcPr>
          <w:p w14:paraId="784CB13A">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531" w:type="dxa"/>
            <w:vAlign w:val="center"/>
          </w:tcPr>
          <w:p w14:paraId="2407F3EA">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台州湾新区智慧城管信息采集服务项目</w:t>
            </w:r>
          </w:p>
        </w:tc>
        <w:tc>
          <w:tcPr>
            <w:tcW w:w="1656" w:type="dxa"/>
            <w:vAlign w:val="center"/>
          </w:tcPr>
          <w:p w14:paraId="044FE3F7">
            <w:pPr>
              <w:pStyle w:val="4"/>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85</w:t>
            </w:r>
          </w:p>
        </w:tc>
        <w:tc>
          <w:tcPr>
            <w:tcW w:w="2025" w:type="dxa"/>
            <w:vAlign w:val="center"/>
          </w:tcPr>
          <w:p w14:paraId="1BD40632">
            <w:pPr>
              <w:tabs>
                <w:tab w:val="left" w:pos="8280"/>
              </w:tabs>
              <w:autoSpaceDE w:val="0"/>
              <w:autoSpaceDN w:val="0"/>
              <w:adjustRightInd w:val="0"/>
              <w:spacing w:line="360" w:lineRule="auto"/>
              <w:ind w:right="25"/>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1年</w:t>
            </w:r>
          </w:p>
        </w:tc>
        <w:tc>
          <w:tcPr>
            <w:tcW w:w="1155" w:type="dxa"/>
            <w:vAlign w:val="center"/>
          </w:tcPr>
          <w:p w14:paraId="53CDE598">
            <w:pPr>
              <w:tabs>
                <w:tab w:val="left" w:pos="8280"/>
              </w:tabs>
              <w:autoSpaceDE w:val="0"/>
              <w:autoSpaceDN w:val="0"/>
              <w:adjustRightInd w:val="0"/>
              <w:spacing w:line="360" w:lineRule="auto"/>
              <w:ind w:right="25"/>
              <w:jc w:val="center"/>
              <w:rPr>
                <w:rFonts w:hint="eastAsia" w:asciiTheme="minorEastAsia" w:hAnsiTheme="minorEastAsia" w:eastAsiaTheme="minorEastAsia" w:cstheme="minorEastAsia"/>
                <w:color w:val="auto"/>
                <w:sz w:val="21"/>
                <w:szCs w:val="21"/>
                <w:highlight w:val="none"/>
              </w:rPr>
            </w:pPr>
          </w:p>
        </w:tc>
      </w:tr>
    </w:tbl>
    <w:p w14:paraId="132F218D">
      <w:pPr>
        <w:pStyle w:val="58"/>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二、技术参数</w:t>
      </w:r>
    </w:p>
    <w:p w14:paraId="5933B985">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（一）信息采集服务要求</w:t>
      </w:r>
    </w:p>
    <w:p w14:paraId="0A650B0C">
      <w:pPr>
        <w:keepNext w:val="0"/>
        <w:keepLines w:val="0"/>
        <w:pageBreakBefore w:val="0"/>
        <w:widowControl w:val="0"/>
        <w:suppressLineNumbers w:val="0"/>
        <w:tabs>
          <w:tab w:val="left" w:pos="-630"/>
        </w:tabs>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baseline"/>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为进一步提升城市管理水平，今年计划对智慧城管实施范围内中央创新区（台州湾新区）约14平方公里进行城市管理中的街面问题采集、普查及入库等工作，全年计划信息采集量30000件，其中</w:t>
      </w:r>
      <w:r>
        <w:rPr>
          <w:rFonts w:hint="eastAsia" w:ascii="宋体" w:hAnsi="宋体" w:eastAsia="宋体" w:cs="宋体"/>
          <w:bCs/>
          <w:color w:val="auto"/>
          <w:sz w:val="21"/>
          <w:szCs w:val="21"/>
          <w:highlight w:val="none"/>
          <w:lang w:val="en-US" w:eastAsia="zh-CN"/>
        </w:rPr>
        <w:t>智能视频分析上报不少于</w:t>
      </w:r>
      <w:r>
        <w:rPr>
          <w:rFonts w:hint="eastAsia" w:ascii="宋体" w:hAnsi="宋体" w:eastAsia="宋体" w:cs="宋体"/>
          <w:bCs/>
          <w:color w:val="auto"/>
          <w:sz w:val="21"/>
          <w:szCs w:val="21"/>
          <w:highlight w:val="none"/>
          <w:lang w:eastAsia="zh-CN"/>
        </w:rPr>
        <w:t>50</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eastAsia="zh-CN"/>
        </w:rPr>
        <w:t>。</w:t>
      </w:r>
    </w:p>
    <w:p w14:paraId="757DE4EF">
      <w:pPr>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为</w:t>
      </w:r>
      <w:r>
        <w:rPr>
          <w:rFonts w:hint="eastAsia" w:ascii="宋体" w:hAnsi="宋体" w:eastAsia="宋体" w:cs="宋体"/>
          <w:bCs/>
          <w:color w:val="auto"/>
          <w:sz w:val="21"/>
          <w:szCs w:val="21"/>
          <w:highlight w:val="none"/>
          <w:lang w:val="en-US" w:eastAsia="zh-CN"/>
        </w:rPr>
        <w:t>采购方</w:t>
      </w:r>
      <w:r>
        <w:rPr>
          <w:rFonts w:hint="eastAsia" w:ascii="宋体" w:hAnsi="宋体" w:eastAsia="宋体" w:cs="宋体"/>
          <w:bCs/>
          <w:color w:val="auto"/>
          <w:sz w:val="21"/>
          <w:szCs w:val="21"/>
          <w:highlight w:val="none"/>
        </w:rPr>
        <w:t>提供“智慧城管”信息采集外包服务</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完成全年采集量30000件（智慧城管系统一个案件循环视作一件），并根据要求实现区域全覆盖。视频监控工作量及专项普查量计入全年采集量。</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lang w:eastAsia="zh-CN"/>
        </w:rPr>
        <w:t>信息采集工作方案与采购方共同商定，</w:t>
      </w:r>
      <w:r>
        <w:rPr>
          <w:rFonts w:hint="eastAsia" w:ascii="宋体" w:hAnsi="宋体" w:eastAsia="宋体" w:cs="宋体"/>
          <w:bCs/>
          <w:color w:val="auto"/>
          <w:sz w:val="21"/>
          <w:szCs w:val="21"/>
          <w:highlight w:val="none"/>
          <w:lang w:val="en-US" w:eastAsia="zh-CN"/>
        </w:rPr>
        <w:t>满足采购方信息采集工作需要。</w:t>
      </w:r>
    </w:p>
    <w:p w14:paraId="704261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依据相关城市管理标准，在“智慧城管”覆盖区域内，</w:t>
      </w:r>
      <w:r>
        <w:rPr>
          <w:rFonts w:hint="eastAsia" w:ascii="宋体" w:hAnsi="宋体" w:eastAsia="宋体" w:cs="宋体"/>
          <w:bCs/>
          <w:color w:val="auto"/>
          <w:kern w:val="2"/>
          <w:sz w:val="21"/>
          <w:szCs w:val="21"/>
          <w:highlight w:val="none"/>
          <w:lang w:val="en-US" w:eastAsia="zh-CN" w:bidi="ar"/>
        </w:rPr>
        <w:t>以人工巡查、视频巡逻和</w:t>
      </w:r>
      <w:r>
        <w:rPr>
          <w:rFonts w:hint="eastAsia" w:ascii="宋体" w:hAnsi="宋体" w:eastAsia="宋体" w:cs="宋体"/>
          <w:bCs/>
          <w:color w:val="auto"/>
          <w:kern w:val="2"/>
          <w:sz w:val="21"/>
          <w:szCs w:val="21"/>
          <w:highlight w:val="none"/>
          <w:lang w:val="en-US" w:eastAsia="zh-CN" w:bidi="ar-SA"/>
        </w:rPr>
        <w:t>设备巡查</w:t>
      </w:r>
      <w:r>
        <w:rPr>
          <w:rFonts w:hint="eastAsia" w:ascii="宋体" w:hAnsi="宋体" w:eastAsia="宋体" w:cs="宋体"/>
          <w:bCs/>
          <w:color w:val="auto"/>
          <w:kern w:val="2"/>
          <w:sz w:val="21"/>
          <w:szCs w:val="21"/>
          <w:highlight w:val="none"/>
          <w:lang w:val="en-US" w:eastAsia="zh-CN" w:bidi="ar"/>
        </w:rPr>
        <w:t>的方式</w:t>
      </w:r>
      <w:r>
        <w:rPr>
          <w:rFonts w:hint="eastAsia" w:ascii="宋体" w:hAnsi="宋体" w:eastAsia="宋体" w:cs="宋体"/>
          <w:bCs/>
          <w:color w:val="auto"/>
          <w:sz w:val="21"/>
          <w:szCs w:val="21"/>
          <w:highlight w:val="none"/>
        </w:rPr>
        <w:t>负责对城市事件动态问题及部件完好、变更信息的限时采集</w:t>
      </w:r>
      <w:r>
        <w:rPr>
          <w:rFonts w:hint="eastAsia" w:ascii="宋体" w:hAnsi="宋体" w:cs="宋体"/>
          <w:bCs/>
          <w:color w:val="auto"/>
          <w:sz w:val="21"/>
          <w:szCs w:val="21"/>
          <w:highlight w:val="none"/>
          <w:lang w:eastAsia="zh-CN"/>
        </w:rPr>
        <w:t>；根据业务需求在物业小区、垃圾分类、防汛防台、重大活动期间等工作中开展相应普查、抽查、评价等工作；</w:t>
      </w:r>
      <w:r>
        <w:rPr>
          <w:rFonts w:hint="eastAsia" w:ascii="宋体" w:hAnsi="宋体" w:eastAsia="宋体" w:cs="宋体"/>
          <w:bCs/>
          <w:color w:val="auto"/>
          <w:sz w:val="21"/>
          <w:szCs w:val="21"/>
          <w:highlight w:val="none"/>
        </w:rPr>
        <w:t>对热线投诉、视频监控、领导交办、市民反馈等途径反馈问题进行核实；对所发现问题结案前进行核查；对责任网格内力所能及的市容环境脏乱问题做到“举手之劳”。具体工作如下（不仅限于此）：</w:t>
      </w:r>
    </w:p>
    <w:p w14:paraId="0E58AD37">
      <w:pPr>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2"/>
          <w:sz w:val="21"/>
          <w:szCs w:val="21"/>
          <w:highlight w:val="none"/>
          <w:lang w:val="en-US" w:eastAsia="zh-CN" w:bidi="ar-SA"/>
        </w:rPr>
        <w:t>1、</w:t>
      </w:r>
      <w:r>
        <w:rPr>
          <w:rFonts w:hint="eastAsia" w:ascii="宋体" w:hAnsi="宋体" w:eastAsia="宋体" w:cs="宋体"/>
          <w:bCs/>
          <w:color w:val="auto"/>
          <w:sz w:val="21"/>
          <w:szCs w:val="21"/>
          <w:highlight w:val="none"/>
        </w:rPr>
        <w:t>依据相关城市管理标准，以人工巡查、视频巡查的方式负责对城市事件动态问题及部件完好、变更信息的限时采集；</w:t>
      </w:r>
    </w:p>
    <w:p w14:paraId="554E71E1">
      <w:pPr>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2"/>
          <w:sz w:val="21"/>
          <w:szCs w:val="21"/>
          <w:highlight w:val="none"/>
          <w:lang w:val="en-US" w:eastAsia="zh-CN" w:bidi="ar-SA"/>
        </w:rPr>
        <w:t>2、</w:t>
      </w:r>
      <w:r>
        <w:rPr>
          <w:rFonts w:hint="eastAsia" w:ascii="宋体" w:hAnsi="宋体" w:eastAsia="宋体" w:cs="宋体"/>
          <w:bCs/>
          <w:color w:val="auto"/>
          <w:sz w:val="21"/>
          <w:szCs w:val="21"/>
          <w:highlight w:val="none"/>
        </w:rPr>
        <w:t>对所发现问题结案前进行核查；</w:t>
      </w:r>
    </w:p>
    <w:p w14:paraId="3F05D9C7">
      <w:pPr>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2"/>
          <w:sz w:val="21"/>
          <w:szCs w:val="21"/>
          <w:highlight w:val="none"/>
          <w:lang w:val="en-US" w:eastAsia="zh-CN" w:bidi="ar-SA"/>
        </w:rPr>
        <w:t>3、</w:t>
      </w:r>
      <w:r>
        <w:rPr>
          <w:rFonts w:hint="eastAsia" w:ascii="宋体" w:hAnsi="宋体" w:eastAsia="宋体" w:cs="宋体"/>
          <w:bCs/>
          <w:color w:val="auto"/>
          <w:sz w:val="21"/>
          <w:szCs w:val="21"/>
          <w:highlight w:val="none"/>
        </w:rPr>
        <w:t>对政府关注的专项内容提供专项普查服务；</w:t>
      </w:r>
    </w:p>
    <w:p w14:paraId="1A151DB4">
      <w:pPr>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cs="宋体"/>
          <w:bCs/>
          <w:color w:val="auto"/>
          <w:sz w:val="21"/>
          <w:szCs w:val="21"/>
          <w:highlight w:val="none"/>
          <w:lang w:eastAsia="zh-CN"/>
        </w:rPr>
      </w:pPr>
      <w:r>
        <w:rPr>
          <w:rFonts w:hint="eastAsia" w:ascii="宋体" w:hAnsi="宋体" w:cs="宋体"/>
          <w:bCs/>
          <w:color w:val="auto"/>
          <w:kern w:val="2"/>
          <w:sz w:val="21"/>
          <w:szCs w:val="21"/>
          <w:highlight w:val="none"/>
          <w:lang w:val="en-US" w:eastAsia="zh-CN" w:bidi="ar-SA"/>
        </w:rPr>
        <w:t>4、</w:t>
      </w:r>
      <w:r>
        <w:rPr>
          <w:rFonts w:hint="eastAsia" w:ascii="宋体" w:hAnsi="宋体" w:cs="宋体"/>
          <w:bCs/>
          <w:color w:val="auto"/>
          <w:sz w:val="21"/>
          <w:szCs w:val="21"/>
          <w:highlight w:val="none"/>
          <w:lang w:eastAsia="zh-CN"/>
        </w:rPr>
        <w:t>根据业务需求在物业小区、垃圾分类、防汛防台、重大活动期间等工作中开展相应普查、抽查、评价等工作；</w:t>
      </w:r>
    </w:p>
    <w:p w14:paraId="3CB41B38">
      <w:pPr>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cs="宋体"/>
          <w:bCs/>
          <w:color w:val="auto"/>
          <w:kern w:val="2"/>
          <w:sz w:val="21"/>
          <w:szCs w:val="21"/>
          <w:highlight w:val="none"/>
          <w:lang w:val="en-US" w:eastAsia="zh-CN" w:bidi="ar-SA"/>
        </w:rPr>
        <w:t>5</w:t>
      </w:r>
      <w:r>
        <w:rPr>
          <w:rFonts w:hint="eastAsia" w:ascii="宋体" w:hAnsi="宋体" w:eastAsia="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针对台风、暴雨等灾害天气提供快速的紧急情况普查服务；</w:t>
      </w:r>
    </w:p>
    <w:p w14:paraId="2DADBE43">
      <w:pPr>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cs="宋体"/>
          <w:bCs/>
          <w:color w:val="auto"/>
          <w:kern w:val="2"/>
          <w:sz w:val="21"/>
          <w:szCs w:val="21"/>
          <w:highlight w:val="none"/>
          <w:lang w:val="en-US" w:eastAsia="zh-CN" w:bidi="ar-SA"/>
        </w:rPr>
        <w:t>6</w:t>
      </w:r>
      <w:r>
        <w:rPr>
          <w:rFonts w:hint="eastAsia" w:ascii="宋体" w:hAnsi="宋体" w:eastAsia="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提供部件信息变更的变更信息采集服务；</w:t>
      </w:r>
    </w:p>
    <w:p w14:paraId="6C9217B6">
      <w:pPr>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cs="宋体"/>
          <w:bCs/>
          <w:color w:val="auto"/>
          <w:kern w:val="2"/>
          <w:sz w:val="21"/>
          <w:szCs w:val="21"/>
          <w:highlight w:val="none"/>
          <w:lang w:val="en-US" w:eastAsia="zh-CN" w:bidi="ar-SA"/>
        </w:rPr>
        <w:t>7</w:t>
      </w:r>
      <w:r>
        <w:rPr>
          <w:rFonts w:hint="eastAsia" w:ascii="宋体" w:hAnsi="宋体" w:eastAsia="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提供对信息采集员上报的案卷进行预立案筛选服务；</w:t>
      </w:r>
    </w:p>
    <w:p w14:paraId="675387E2">
      <w:pPr>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cs="宋体"/>
          <w:bCs/>
          <w:color w:val="auto"/>
          <w:kern w:val="2"/>
          <w:sz w:val="21"/>
          <w:szCs w:val="21"/>
          <w:highlight w:val="none"/>
          <w:lang w:val="en-US" w:eastAsia="zh-CN" w:bidi="ar-SA"/>
        </w:rPr>
        <w:t>8</w:t>
      </w:r>
      <w:r>
        <w:rPr>
          <w:rFonts w:hint="eastAsia" w:ascii="宋体" w:hAnsi="宋体" w:eastAsia="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提供公众举报电话呼叫受理登记服务；</w:t>
      </w:r>
    </w:p>
    <w:p w14:paraId="40B3FF2B">
      <w:pPr>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cs="宋体"/>
          <w:bCs/>
          <w:color w:val="auto"/>
          <w:kern w:val="2"/>
          <w:sz w:val="21"/>
          <w:szCs w:val="21"/>
          <w:highlight w:val="none"/>
          <w:lang w:val="en-US" w:eastAsia="zh-CN" w:bidi="ar-SA"/>
        </w:rPr>
        <w:t>9</w:t>
      </w:r>
      <w:r>
        <w:rPr>
          <w:rFonts w:hint="eastAsia" w:ascii="宋体" w:hAnsi="宋体" w:eastAsia="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提供核查任务发放、处置效果核查服务；</w:t>
      </w:r>
    </w:p>
    <w:p w14:paraId="00C2B17E">
      <w:pPr>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cs="宋体"/>
          <w:bCs/>
          <w:color w:val="auto"/>
          <w:kern w:val="2"/>
          <w:sz w:val="21"/>
          <w:szCs w:val="21"/>
          <w:highlight w:val="none"/>
          <w:lang w:val="en-US" w:eastAsia="zh-CN" w:bidi="ar-SA"/>
        </w:rPr>
        <w:t>10</w:t>
      </w:r>
      <w:r>
        <w:rPr>
          <w:rFonts w:hint="eastAsia" w:ascii="宋体" w:hAnsi="宋体" w:eastAsia="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定期提供“智慧城管”数据分析、趋势分析服务；</w:t>
      </w:r>
    </w:p>
    <w:p w14:paraId="7967A9D9">
      <w:pPr>
        <w:keepNext w:val="0"/>
        <w:keepLines w:val="0"/>
        <w:pageBreakBefore w:val="0"/>
        <w:widowControl w:val="0"/>
        <w:numPr>
          <w:ilvl w:val="0"/>
          <w:numId w:val="0"/>
        </w:numPr>
        <w:suppressLineNumbers w:val="0"/>
        <w:tabs>
          <w:tab w:val="left" w:pos="426"/>
        </w:tabs>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kern w:val="2"/>
          <w:sz w:val="21"/>
          <w:szCs w:val="21"/>
          <w:highlight w:val="none"/>
          <w:lang w:val="en-US" w:eastAsia="zh-CN" w:bidi="ar-SA"/>
        </w:rPr>
        <w:t>1</w:t>
      </w: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处理“智慧城管”平台、</w:t>
      </w:r>
      <w:r>
        <w:rPr>
          <w:rFonts w:hint="eastAsia" w:ascii="宋体" w:hAnsi="宋体" w:eastAsia="宋体" w:cs="宋体"/>
          <w:bCs/>
          <w:color w:val="auto"/>
          <w:sz w:val="21"/>
          <w:szCs w:val="21"/>
          <w:highlight w:val="none"/>
          <w:lang w:eastAsia="zh-CN"/>
        </w:rPr>
        <w:t>建</w:t>
      </w:r>
      <w:r>
        <w:rPr>
          <w:rFonts w:hint="eastAsia" w:ascii="宋体" w:hAnsi="宋体" w:eastAsia="宋体" w:cs="宋体"/>
          <w:bCs/>
          <w:color w:val="auto"/>
          <w:kern w:val="2"/>
          <w:sz w:val="21"/>
          <w:szCs w:val="21"/>
          <w:highlight w:val="none"/>
          <w:lang w:val="en-US" w:eastAsia="zh-CN" w:bidi="ar"/>
        </w:rPr>
        <w:t>管委和上级要求落实的</w:t>
      </w:r>
      <w:r>
        <w:rPr>
          <w:rFonts w:hint="eastAsia" w:ascii="宋体" w:hAnsi="宋体" w:eastAsia="宋体" w:cs="宋体"/>
          <w:bCs/>
          <w:color w:val="auto"/>
          <w:sz w:val="21"/>
          <w:szCs w:val="21"/>
          <w:highlight w:val="none"/>
        </w:rPr>
        <w:t>其他指定任务。</w:t>
      </w:r>
    </w:p>
    <w:p w14:paraId="5FE2854C">
      <w:pPr>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2"/>
          <w:sz w:val="21"/>
          <w:szCs w:val="21"/>
          <w:highlight w:val="none"/>
          <w:lang w:val="en-US" w:eastAsia="zh-CN" w:bidi="ar-SA"/>
        </w:rPr>
        <w:t>1</w:t>
      </w: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信息采集内容每个季度全覆盖，考核时不重样；</w:t>
      </w:r>
    </w:p>
    <w:p w14:paraId="264DFEA1">
      <w:pPr>
        <w:keepNext w:val="0"/>
        <w:keepLines w:val="0"/>
        <w:pageBreakBefore w:val="0"/>
        <w:widowControl w:val="0"/>
        <w:numPr>
          <w:ilvl w:val="0"/>
          <w:numId w:val="0"/>
        </w:numPr>
        <w:suppressLineNumbers w:val="0"/>
        <w:tabs>
          <w:tab w:val="left" w:pos="426"/>
        </w:tabs>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baseline"/>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w:t>
      </w:r>
      <w:r>
        <w:rPr>
          <w:rFonts w:hint="eastAsia" w:ascii="宋体" w:hAnsi="宋体" w:cs="宋体"/>
          <w:bCs/>
          <w:color w:val="auto"/>
          <w:kern w:val="2"/>
          <w:sz w:val="21"/>
          <w:szCs w:val="21"/>
          <w:highlight w:val="none"/>
          <w:lang w:val="en-US" w:eastAsia="zh-CN" w:bidi="ar"/>
        </w:rPr>
        <w:t>3</w:t>
      </w:r>
      <w:r>
        <w:rPr>
          <w:rFonts w:hint="eastAsia" w:ascii="宋体" w:hAnsi="宋体" w:eastAsia="宋体" w:cs="宋体"/>
          <w:bCs/>
          <w:color w:val="auto"/>
          <w:kern w:val="2"/>
          <w:sz w:val="21"/>
          <w:szCs w:val="21"/>
          <w:highlight w:val="none"/>
          <w:lang w:val="en-US" w:eastAsia="zh-CN" w:bidi="ar"/>
        </w:rPr>
        <w:t>、利用视频监控设备、巡查设备等对辖区进行定期巡查，对发现的问题及时进行拍照与录像，并及时进行反馈；</w:t>
      </w:r>
    </w:p>
    <w:p w14:paraId="2F4488AD">
      <w:pPr>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Cs/>
          <w:strike w:val="0"/>
          <w:dstrike w:val="0"/>
          <w:color w:val="auto"/>
          <w:sz w:val="21"/>
          <w:szCs w:val="21"/>
          <w:highlight w:val="none"/>
          <w:lang w:eastAsia="zh-CN"/>
        </w:rPr>
      </w:pPr>
      <w:r>
        <w:rPr>
          <w:rFonts w:hint="eastAsia" w:ascii="宋体" w:hAnsi="宋体" w:eastAsia="宋体" w:cs="宋体"/>
          <w:bCs/>
          <w:color w:val="auto"/>
          <w:kern w:val="2"/>
          <w:sz w:val="21"/>
          <w:szCs w:val="21"/>
          <w:highlight w:val="none"/>
          <w:lang w:eastAsia="zh-CN" w:bidi="ar-SA"/>
        </w:rPr>
        <w:t>1</w:t>
      </w: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lang w:val="en-US" w:eastAsia="zh-CN"/>
        </w:rPr>
        <w:t>信息采集员</w:t>
      </w:r>
      <w:r>
        <w:rPr>
          <w:rFonts w:hint="eastAsia" w:ascii="宋体" w:hAnsi="宋体" w:eastAsia="宋体" w:cs="宋体"/>
          <w:bCs/>
          <w:strike w:val="0"/>
          <w:dstrike w:val="0"/>
          <w:color w:val="auto"/>
          <w:sz w:val="21"/>
          <w:szCs w:val="21"/>
          <w:highlight w:val="none"/>
        </w:rPr>
        <w:t>遵纪守法，不发生与工作相关吃、拿、卡、要等问题，不发生有责纠纷，不发生弄虚作假的行为</w:t>
      </w:r>
      <w:r>
        <w:rPr>
          <w:rFonts w:hint="eastAsia" w:ascii="宋体" w:hAnsi="宋体" w:eastAsia="宋体" w:cs="宋体"/>
          <w:bCs/>
          <w:strike w:val="0"/>
          <w:dstrike w:val="0"/>
          <w:color w:val="auto"/>
          <w:sz w:val="21"/>
          <w:szCs w:val="21"/>
          <w:highlight w:val="none"/>
          <w:lang w:eastAsia="zh-CN"/>
        </w:rPr>
        <w:t>；</w:t>
      </w:r>
    </w:p>
    <w:p w14:paraId="33766C3C">
      <w:pPr>
        <w:keepNext w:val="0"/>
        <w:keepLines w:val="0"/>
        <w:pageBreakBefore w:val="0"/>
        <w:widowControl w:val="0"/>
        <w:numPr>
          <w:ilvl w:val="0"/>
          <w:numId w:val="0"/>
        </w:numPr>
        <w:suppressLineNumbers w:val="0"/>
        <w:tabs>
          <w:tab w:val="left" w:pos="426"/>
        </w:tabs>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baseline"/>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w:t>
      </w:r>
      <w:r>
        <w:rPr>
          <w:rFonts w:hint="eastAsia" w:ascii="宋体" w:hAnsi="宋体" w:cs="宋体"/>
          <w:bCs/>
          <w:color w:val="auto"/>
          <w:kern w:val="2"/>
          <w:sz w:val="21"/>
          <w:szCs w:val="21"/>
          <w:highlight w:val="none"/>
          <w:lang w:val="en-US" w:eastAsia="zh-CN" w:bidi="ar"/>
        </w:rPr>
        <w:t>5</w:t>
      </w:r>
      <w:r>
        <w:rPr>
          <w:rFonts w:hint="eastAsia" w:ascii="宋体" w:hAnsi="宋体" w:eastAsia="宋体" w:cs="宋体"/>
          <w:bCs/>
          <w:color w:val="auto"/>
          <w:kern w:val="2"/>
          <w:sz w:val="21"/>
          <w:szCs w:val="21"/>
          <w:highlight w:val="none"/>
          <w:lang w:val="en-US" w:eastAsia="zh-CN" w:bidi="ar"/>
        </w:rPr>
        <w:t>、轻微问题做到“举手之劳”（包括劝导），边发现边整改，内容主要包括但不限于此：</w:t>
      </w:r>
    </w:p>
    <w:p w14:paraId="06744C10">
      <w:pPr>
        <w:keepNext w:val="0"/>
        <w:keepLines w:val="0"/>
        <w:pageBreakBefore w:val="0"/>
        <w:widowControl w:val="0"/>
        <w:numPr>
          <w:ilvl w:val="0"/>
          <w:numId w:val="0"/>
        </w:numPr>
        <w:suppressLineNumbers w:val="0"/>
        <w:tabs>
          <w:tab w:val="left" w:pos="426"/>
        </w:tabs>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baseline"/>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（1）不符合立案标准的小广告；</w:t>
      </w:r>
    </w:p>
    <w:p w14:paraId="28E7E2B2">
      <w:pPr>
        <w:keepNext w:val="0"/>
        <w:keepLines w:val="0"/>
        <w:pageBreakBefore w:val="0"/>
        <w:widowControl w:val="0"/>
        <w:numPr>
          <w:ilvl w:val="0"/>
          <w:numId w:val="0"/>
        </w:numPr>
        <w:suppressLineNumbers w:val="0"/>
        <w:tabs>
          <w:tab w:val="left" w:pos="426"/>
        </w:tabs>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baseline"/>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（2）垃圾箱小门打开或盖子移位；</w:t>
      </w:r>
    </w:p>
    <w:p w14:paraId="16ACDCD5">
      <w:pPr>
        <w:keepNext w:val="0"/>
        <w:keepLines w:val="0"/>
        <w:pageBreakBefore w:val="0"/>
        <w:widowControl w:val="0"/>
        <w:numPr>
          <w:ilvl w:val="0"/>
          <w:numId w:val="0"/>
        </w:numPr>
        <w:suppressLineNumbers w:val="0"/>
        <w:tabs>
          <w:tab w:val="left" w:pos="426"/>
        </w:tabs>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baseline"/>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（3）井盖轻微错位，在能力范围内可以复位的；</w:t>
      </w:r>
    </w:p>
    <w:p w14:paraId="27A95201">
      <w:pPr>
        <w:keepNext w:val="0"/>
        <w:keepLines w:val="0"/>
        <w:pageBreakBefore w:val="0"/>
        <w:widowControl w:val="0"/>
        <w:numPr>
          <w:ilvl w:val="0"/>
          <w:numId w:val="0"/>
        </w:numPr>
        <w:suppressLineNumbers w:val="0"/>
        <w:tabs>
          <w:tab w:val="left" w:pos="426"/>
        </w:tabs>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baseline"/>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（4）交通护拦轻微移位、脱节、侧倒（非水泥柱等）；</w:t>
      </w:r>
    </w:p>
    <w:p w14:paraId="0B9C373D">
      <w:pPr>
        <w:keepNext w:val="0"/>
        <w:keepLines w:val="0"/>
        <w:pageBreakBefore w:val="0"/>
        <w:widowControl w:val="0"/>
        <w:numPr>
          <w:ilvl w:val="0"/>
          <w:numId w:val="0"/>
        </w:numPr>
        <w:suppressLineNumbers w:val="0"/>
        <w:tabs>
          <w:tab w:val="left" w:pos="426"/>
        </w:tabs>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baseline"/>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（5）垃圾箱外的小袋装垃圾；</w:t>
      </w:r>
    </w:p>
    <w:p w14:paraId="2D4C6AD5">
      <w:pPr>
        <w:keepNext w:val="0"/>
        <w:keepLines w:val="0"/>
        <w:pageBreakBefore w:val="0"/>
        <w:widowControl w:val="0"/>
        <w:numPr>
          <w:ilvl w:val="0"/>
          <w:numId w:val="0"/>
        </w:numPr>
        <w:suppressLineNumbers w:val="0"/>
        <w:tabs>
          <w:tab w:val="left" w:pos="426"/>
        </w:tabs>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baseline"/>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（6）网络通讯交接箱门打开（设施未损坏）；</w:t>
      </w:r>
    </w:p>
    <w:p w14:paraId="6DD26F48">
      <w:pPr>
        <w:keepNext w:val="0"/>
        <w:keepLines w:val="0"/>
        <w:pageBreakBefore w:val="0"/>
        <w:widowControl w:val="0"/>
        <w:numPr>
          <w:ilvl w:val="0"/>
          <w:numId w:val="0"/>
        </w:numPr>
        <w:suppressLineNumbers w:val="0"/>
        <w:tabs>
          <w:tab w:val="left" w:pos="426"/>
        </w:tabs>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baseline"/>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（7）雨水篦子轻微堵塞疏通；</w:t>
      </w:r>
    </w:p>
    <w:p w14:paraId="16D11B0C">
      <w:pPr>
        <w:keepNext w:val="0"/>
        <w:keepLines w:val="0"/>
        <w:pageBreakBefore w:val="0"/>
        <w:widowControl w:val="0"/>
        <w:numPr>
          <w:ilvl w:val="0"/>
          <w:numId w:val="0"/>
        </w:numPr>
        <w:suppressLineNumbers w:val="0"/>
        <w:tabs>
          <w:tab w:val="left" w:pos="426"/>
        </w:tabs>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baseline"/>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（8）共享单车倒伏；</w:t>
      </w:r>
    </w:p>
    <w:p w14:paraId="414C5D7D">
      <w:pPr>
        <w:keepNext w:val="0"/>
        <w:keepLines w:val="0"/>
        <w:pageBreakBefore w:val="0"/>
        <w:widowControl w:val="0"/>
        <w:numPr>
          <w:ilvl w:val="0"/>
          <w:numId w:val="0"/>
        </w:numPr>
        <w:suppressLineNumbers w:val="0"/>
        <w:tabs>
          <w:tab w:val="left" w:pos="426"/>
        </w:tabs>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baseline"/>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（9）违规出店经营劝导；</w:t>
      </w:r>
    </w:p>
    <w:p w14:paraId="6A637A8F">
      <w:pPr>
        <w:keepNext w:val="0"/>
        <w:keepLines w:val="0"/>
        <w:pageBreakBefore w:val="0"/>
        <w:widowControl w:val="0"/>
        <w:numPr>
          <w:ilvl w:val="0"/>
          <w:numId w:val="0"/>
        </w:numPr>
        <w:suppressLineNumbers w:val="0"/>
        <w:tabs>
          <w:tab w:val="left" w:pos="426"/>
        </w:tabs>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baseline"/>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（10）无证经营游商劝离等。</w:t>
      </w:r>
    </w:p>
    <w:p w14:paraId="6C07B623">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（二）采集设备的管理要求</w:t>
      </w:r>
    </w:p>
    <w:p w14:paraId="34F66E2A">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采集设备的配备和管理。信息采集员和管理人员所需的“信息采集器”由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按人员配置的情况足额提供。采集服务范围的无线网通信费（只包含数据流量费）由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提供，并保证功能正常使用。如因使用不当造成采集器外观破损或影响功能正常使用的，由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承担维修费用。</w:t>
      </w:r>
    </w:p>
    <w:p w14:paraId="03C2E884">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应加强管理，并落实专人负责，同时要制定采集器管理使用制度，保障信息采集器正常的使用。</w:t>
      </w:r>
    </w:p>
    <w:p w14:paraId="1A489F51">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（三）工作要求</w:t>
      </w:r>
    </w:p>
    <w:p w14:paraId="24B47C72">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根据智慧城管工作需要，需重新划定智慧城管系统采集网格。</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应在中标后3天内，根据智慧城管系统要求，调整采集人员的网格，保证信息采集工作在台州湾新区的顺利运行。</w:t>
      </w:r>
    </w:p>
    <w:p w14:paraId="04A12AA5">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四</w:t>
      </w:r>
      <w:r>
        <w:rPr>
          <w:rFonts w:hint="eastAsia" w:ascii="宋体" w:hAnsi="宋体" w:eastAsia="宋体" w:cs="宋体"/>
          <w:b/>
          <w:bCs/>
          <w:color w:val="auto"/>
          <w:sz w:val="21"/>
          <w:szCs w:val="21"/>
          <w:highlight w:val="none"/>
        </w:rPr>
        <w:t>）项目实施范围</w:t>
      </w:r>
    </w:p>
    <w:p w14:paraId="62D6CC5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信息采集业务实施范围</w:t>
      </w:r>
    </w:p>
    <w:p w14:paraId="4E6A929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实施范围为中央创新区（台州湾新区）范围</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总面积约14平方公里。如果因管辖范围有临时调整变化，中心可适当调整和延伸信息采集范围。</w:t>
      </w:r>
    </w:p>
    <w:p w14:paraId="4A7A86CA">
      <w:pPr>
        <w:pStyle w:val="7"/>
        <w:keepNext w:val="0"/>
        <w:keepLines w:val="0"/>
        <w:pageBreakBefore w:val="0"/>
        <w:widowControl w:val="0"/>
        <w:numPr>
          <w:ilvl w:val="1"/>
          <w:numId w:val="0"/>
        </w:numPr>
        <w:tabs>
          <w:tab w:val="left" w:pos="574"/>
        </w:tabs>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视频巡逻</w:t>
      </w:r>
    </w:p>
    <w:p w14:paraId="18D21F4B">
      <w:pPr>
        <w:pStyle w:val="7"/>
        <w:keepNext w:val="0"/>
        <w:keepLines w:val="0"/>
        <w:pageBreakBefore w:val="0"/>
        <w:widowControl w:val="0"/>
        <w:numPr>
          <w:ilvl w:val="1"/>
          <w:numId w:val="0"/>
        </w:numPr>
        <w:tabs>
          <w:tab w:val="left" w:pos="574"/>
        </w:tabs>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工作地点由</w:t>
      </w:r>
      <w:r>
        <w:rPr>
          <w:rFonts w:hint="eastAsia" w:ascii="宋体" w:hAnsi="宋体" w:eastAsia="宋体" w:cs="宋体"/>
          <w:bCs/>
          <w:color w:val="auto"/>
          <w:sz w:val="21"/>
          <w:szCs w:val="21"/>
          <w:highlight w:val="none"/>
          <w:lang w:val="en-US" w:eastAsia="zh-CN"/>
        </w:rPr>
        <w:t>采购方</w:t>
      </w:r>
      <w:r>
        <w:rPr>
          <w:rFonts w:hint="eastAsia" w:ascii="宋体" w:hAnsi="宋体" w:eastAsia="宋体" w:cs="宋体"/>
          <w:bCs/>
          <w:color w:val="auto"/>
          <w:sz w:val="21"/>
          <w:szCs w:val="21"/>
          <w:highlight w:val="none"/>
        </w:rPr>
        <w:t>提供场地和设备</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视频监控设备等</w:t>
      </w:r>
      <w:r>
        <w:rPr>
          <w:rFonts w:hint="eastAsia" w:ascii="宋体" w:hAnsi="宋体" w:eastAsia="宋体" w:cs="宋体"/>
          <w:bCs/>
          <w:color w:val="auto"/>
          <w:kern w:val="2"/>
          <w:sz w:val="21"/>
          <w:szCs w:val="21"/>
          <w:highlight w:val="none"/>
          <w:lang w:val="en-US" w:eastAsia="zh-CN" w:bidi="ar-SA"/>
        </w:rPr>
        <w:t>，由</w:t>
      </w:r>
      <w:r>
        <w:rPr>
          <w:rFonts w:hint="eastAsia" w:ascii="宋体" w:hAnsi="宋体" w:cs="宋体"/>
          <w:bCs/>
          <w:color w:val="auto"/>
          <w:kern w:val="2"/>
          <w:sz w:val="21"/>
          <w:szCs w:val="21"/>
          <w:highlight w:val="none"/>
          <w:lang w:val="en-US" w:eastAsia="zh-CN" w:bidi="ar-SA"/>
        </w:rPr>
        <w:t>供应商</w:t>
      </w:r>
      <w:r>
        <w:rPr>
          <w:rFonts w:hint="eastAsia" w:ascii="宋体" w:hAnsi="宋体" w:eastAsia="宋体" w:cs="宋体"/>
          <w:bCs/>
          <w:color w:val="auto"/>
          <w:kern w:val="2"/>
          <w:sz w:val="21"/>
          <w:szCs w:val="21"/>
          <w:highlight w:val="none"/>
          <w:lang w:val="en-US" w:eastAsia="zh-CN" w:bidi="ar-SA"/>
        </w:rPr>
        <w:t>负责安排人采集信息，如因</w:t>
      </w:r>
      <w:r>
        <w:rPr>
          <w:rFonts w:hint="eastAsia" w:ascii="宋体" w:hAnsi="宋体" w:cs="宋体"/>
          <w:bCs/>
          <w:color w:val="auto"/>
          <w:kern w:val="2"/>
          <w:sz w:val="21"/>
          <w:szCs w:val="21"/>
          <w:highlight w:val="none"/>
          <w:lang w:val="en-US" w:eastAsia="zh-CN" w:bidi="ar-SA"/>
        </w:rPr>
        <w:t>供应商</w:t>
      </w:r>
      <w:r>
        <w:rPr>
          <w:rFonts w:hint="eastAsia" w:ascii="宋体" w:hAnsi="宋体" w:eastAsia="宋体" w:cs="宋体"/>
          <w:bCs/>
          <w:color w:val="auto"/>
          <w:kern w:val="2"/>
          <w:sz w:val="21"/>
          <w:szCs w:val="21"/>
          <w:highlight w:val="none"/>
          <w:lang w:val="en-US" w:eastAsia="zh-CN" w:bidi="ar-SA"/>
        </w:rPr>
        <w:t>使用不当造成视频监控设备外观破损或影响功能正常使用的，由</w:t>
      </w:r>
      <w:r>
        <w:rPr>
          <w:rFonts w:hint="eastAsia" w:ascii="宋体" w:hAnsi="宋体" w:cs="宋体"/>
          <w:bCs/>
          <w:color w:val="auto"/>
          <w:kern w:val="2"/>
          <w:sz w:val="21"/>
          <w:szCs w:val="21"/>
          <w:highlight w:val="none"/>
          <w:lang w:val="en-US" w:eastAsia="zh-CN" w:bidi="ar-SA"/>
        </w:rPr>
        <w:t>供应商</w:t>
      </w:r>
      <w:r>
        <w:rPr>
          <w:rFonts w:hint="eastAsia" w:ascii="宋体" w:hAnsi="宋体" w:eastAsia="宋体" w:cs="宋体"/>
          <w:bCs/>
          <w:color w:val="auto"/>
          <w:kern w:val="2"/>
          <w:sz w:val="21"/>
          <w:szCs w:val="21"/>
          <w:highlight w:val="none"/>
          <w:lang w:val="en-US" w:eastAsia="zh-CN" w:bidi="ar-SA"/>
        </w:rPr>
        <w:t>承担维修费用，如遇无法维修需</w:t>
      </w:r>
      <w:r>
        <w:rPr>
          <w:rFonts w:hint="eastAsia" w:ascii="宋体" w:hAnsi="宋体" w:cs="宋体"/>
          <w:bCs/>
          <w:color w:val="auto"/>
          <w:kern w:val="2"/>
          <w:sz w:val="21"/>
          <w:szCs w:val="21"/>
          <w:highlight w:val="none"/>
          <w:lang w:val="en-US" w:eastAsia="zh-CN" w:bidi="ar-SA"/>
        </w:rPr>
        <w:t>供应商</w:t>
      </w:r>
      <w:r>
        <w:rPr>
          <w:rFonts w:hint="eastAsia" w:ascii="宋体" w:hAnsi="宋体" w:eastAsia="宋体" w:cs="宋体"/>
          <w:bCs/>
          <w:color w:val="auto"/>
          <w:kern w:val="2"/>
          <w:sz w:val="21"/>
          <w:szCs w:val="21"/>
          <w:highlight w:val="none"/>
          <w:lang w:val="en-US" w:eastAsia="zh-CN" w:bidi="ar-SA"/>
        </w:rPr>
        <w:t>重新采购设备</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w:t>
      </w:r>
    </w:p>
    <w:p w14:paraId="0F57A6ED">
      <w:pPr>
        <w:pStyle w:val="7"/>
        <w:keepNext w:val="0"/>
        <w:keepLines w:val="0"/>
        <w:pageBreakBefore w:val="0"/>
        <w:widowControl w:val="0"/>
        <w:numPr>
          <w:ilvl w:val="1"/>
          <w:numId w:val="0"/>
        </w:numPr>
        <w:tabs>
          <w:tab w:val="left" w:pos="574"/>
        </w:tabs>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所安排的采集人员，应服从</w:t>
      </w:r>
      <w:r>
        <w:rPr>
          <w:rFonts w:hint="eastAsia" w:ascii="宋体" w:hAnsi="宋体" w:eastAsia="宋体" w:cs="宋体"/>
          <w:bCs/>
          <w:color w:val="auto"/>
          <w:sz w:val="21"/>
          <w:szCs w:val="21"/>
          <w:highlight w:val="none"/>
          <w:lang w:val="en-US" w:eastAsia="zh-CN"/>
        </w:rPr>
        <w:t>采购方</w:t>
      </w:r>
      <w:r>
        <w:rPr>
          <w:rFonts w:hint="eastAsia" w:ascii="宋体" w:hAnsi="宋体" w:eastAsia="宋体" w:cs="宋体"/>
          <w:bCs/>
          <w:color w:val="auto"/>
          <w:sz w:val="21"/>
          <w:szCs w:val="21"/>
          <w:highlight w:val="none"/>
        </w:rPr>
        <w:t>安排从事信息采集、督查和视频巡逻等工作内容，并按工作需要及时调整变换。</w:t>
      </w:r>
    </w:p>
    <w:p w14:paraId="7478887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420" w:firstLineChars="20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3、设备巡查</w:t>
      </w:r>
    </w:p>
    <w:p w14:paraId="7718325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420" w:firstLineChars="20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供应商</w:t>
      </w:r>
      <w:r>
        <w:rPr>
          <w:rFonts w:hint="eastAsia" w:ascii="宋体" w:hAnsi="宋体" w:eastAsia="宋体" w:cs="宋体"/>
          <w:bCs/>
          <w:color w:val="auto"/>
          <w:kern w:val="2"/>
          <w:sz w:val="21"/>
          <w:szCs w:val="21"/>
          <w:highlight w:val="none"/>
          <w:lang w:val="en-US" w:eastAsia="zh-CN" w:bidi="ar-SA"/>
        </w:rPr>
        <w:t>自行安排人员并提供</w:t>
      </w:r>
      <w:r>
        <w:rPr>
          <w:rFonts w:hint="eastAsia" w:ascii="宋体" w:hAnsi="宋体" w:eastAsia="宋体" w:cs="宋体"/>
          <w:bCs/>
          <w:color w:val="auto"/>
          <w:kern w:val="2"/>
          <w:sz w:val="21"/>
          <w:szCs w:val="21"/>
          <w:highlight w:val="none"/>
          <w:lang w:val="en-US" w:eastAsia="zh-CN" w:bidi="ar"/>
        </w:rPr>
        <w:t>巡查设备</w:t>
      </w:r>
      <w:r>
        <w:rPr>
          <w:rFonts w:hint="eastAsia" w:ascii="宋体" w:hAnsi="宋体" w:eastAsia="宋体" w:cs="宋体"/>
          <w:bCs/>
          <w:color w:val="auto"/>
          <w:kern w:val="2"/>
          <w:sz w:val="21"/>
          <w:szCs w:val="21"/>
          <w:highlight w:val="none"/>
          <w:lang w:val="en-US" w:eastAsia="zh-CN" w:bidi="ar-SA"/>
        </w:rPr>
        <w:t>，由</w:t>
      </w:r>
      <w:r>
        <w:rPr>
          <w:rFonts w:hint="eastAsia" w:ascii="宋体" w:hAnsi="宋体" w:cs="宋体"/>
          <w:bCs/>
          <w:color w:val="auto"/>
          <w:kern w:val="2"/>
          <w:sz w:val="21"/>
          <w:szCs w:val="21"/>
          <w:highlight w:val="none"/>
          <w:lang w:val="en-US" w:eastAsia="zh-CN" w:bidi="ar-SA"/>
        </w:rPr>
        <w:t>供应商</w:t>
      </w:r>
      <w:r>
        <w:rPr>
          <w:rFonts w:hint="eastAsia" w:ascii="宋体" w:hAnsi="宋体" w:eastAsia="宋体" w:cs="宋体"/>
          <w:bCs/>
          <w:color w:val="auto"/>
          <w:kern w:val="2"/>
          <w:sz w:val="21"/>
          <w:szCs w:val="21"/>
          <w:highlight w:val="none"/>
          <w:lang w:val="en-US" w:eastAsia="zh-CN" w:bidi="ar-SA"/>
        </w:rPr>
        <w:t>按人员配置的情况足额提供，如因使用不当造成</w:t>
      </w:r>
      <w:r>
        <w:rPr>
          <w:rFonts w:hint="eastAsia" w:ascii="宋体" w:hAnsi="宋体" w:eastAsia="宋体" w:cs="宋体"/>
          <w:bCs/>
          <w:color w:val="auto"/>
          <w:kern w:val="2"/>
          <w:sz w:val="21"/>
          <w:szCs w:val="21"/>
          <w:highlight w:val="none"/>
          <w:lang w:val="en-US" w:eastAsia="zh-CN" w:bidi="ar"/>
        </w:rPr>
        <w:t>巡查设备</w:t>
      </w:r>
      <w:r>
        <w:rPr>
          <w:rFonts w:hint="eastAsia" w:ascii="宋体" w:hAnsi="宋体" w:eastAsia="宋体" w:cs="宋体"/>
          <w:bCs/>
          <w:color w:val="auto"/>
          <w:kern w:val="2"/>
          <w:sz w:val="21"/>
          <w:szCs w:val="21"/>
          <w:highlight w:val="none"/>
          <w:lang w:val="en-US" w:eastAsia="zh-CN" w:bidi="ar-SA"/>
        </w:rPr>
        <w:t>外观破损或影响功能正常使用的，由</w:t>
      </w:r>
      <w:r>
        <w:rPr>
          <w:rFonts w:hint="eastAsia" w:ascii="宋体" w:hAnsi="宋体" w:cs="宋体"/>
          <w:bCs/>
          <w:color w:val="auto"/>
          <w:kern w:val="2"/>
          <w:sz w:val="21"/>
          <w:szCs w:val="21"/>
          <w:highlight w:val="none"/>
          <w:lang w:val="en-US" w:eastAsia="zh-CN" w:bidi="ar-SA"/>
        </w:rPr>
        <w:t>供应商</w:t>
      </w:r>
      <w:r>
        <w:rPr>
          <w:rFonts w:hint="eastAsia" w:ascii="宋体" w:hAnsi="宋体" w:eastAsia="宋体" w:cs="宋体"/>
          <w:bCs/>
          <w:color w:val="auto"/>
          <w:kern w:val="2"/>
          <w:sz w:val="21"/>
          <w:szCs w:val="21"/>
          <w:highlight w:val="none"/>
          <w:lang w:val="en-US" w:eastAsia="zh-CN" w:bidi="ar-SA"/>
        </w:rPr>
        <w:t>自行负责，承担维修费用，但不可中断服务），根据采购方要求在实施范围内对巡查范围和巡查路线进行划分，完成城市管理的事件、部件采集工作。</w:t>
      </w:r>
    </w:p>
    <w:p w14:paraId="26B0B901">
      <w:pPr>
        <w:pStyle w:val="7"/>
        <w:keepNext w:val="0"/>
        <w:keepLines w:val="0"/>
        <w:pageBreakBefore w:val="0"/>
        <w:widowControl w:val="0"/>
        <w:numPr>
          <w:ilvl w:val="1"/>
          <w:numId w:val="0"/>
        </w:numPr>
        <w:tabs>
          <w:tab w:val="left" w:pos="574"/>
        </w:tabs>
        <w:kinsoku/>
        <w:wordWrap/>
        <w:overflowPunct/>
        <w:topLinePunct w:val="0"/>
        <w:autoSpaceDE/>
        <w:autoSpaceDN/>
        <w:bidi w:val="0"/>
        <w:adjustRightInd/>
        <w:snapToGrid/>
        <w:spacing w:after="0" w:line="360" w:lineRule="auto"/>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）项目服务期限</w:t>
      </w:r>
    </w:p>
    <w:p w14:paraId="6070EE3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bookmarkStart w:id="2" w:name="OLE_LINK22"/>
      <w:r>
        <w:rPr>
          <w:rFonts w:hint="eastAsia" w:ascii="宋体" w:hAnsi="宋体" w:eastAsia="宋体" w:cs="宋体"/>
          <w:bCs/>
          <w:color w:val="auto"/>
          <w:sz w:val="21"/>
          <w:szCs w:val="21"/>
          <w:highlight w:val="none"/>
        </w:rPr>
        <w:t>服务期限：本次招标服务有效期限为12个月，合同签署期限为12个月。合同履约期间，</w:t>
      </w:r>
      <w:r>
        <w:rPr>
          <w:rFonts w:hint="eastAsia" w:ascii="宋体" w:hAnsi="宋体" w:eastAsia="宋体" w:cs="宋体"/>
          <w:bCs/>
          <w:color w:val="auto"/>
          <w:sz w:val="21"/>
          <w:szCs w:val="21"/>
          <w:highlight w:val="none"/>
          <w:lang w:val="en-US" w:eastAsia="zh-CN"/>
        </w:rPr>
        <w:t>采购方</w:t>
      </w:r>
      <w:r>
        <w:rPr>
          <w:rFonts w:hint="eastAsia" w:ascii="宋体" w:hAnsi="宋体" w:eastAsia="宋体" w:cs="宋体"/>
          <w:bCs/>
          <w:color w:val="auto"/>
          <w:sz w:val="21"/>
          <w:szCs w:val="21"/>
          <w:highlight w:val="none"/>
        </w:rPr>
        <w:t>对</w:t>
      </w:r>
      <w:r>
        <w:rPr>
          <w:rFonts w:hint="eastAsia" w:ascii="宋体" w:hAnsi="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的服务情况进行每月考评。合同期满后，如</w:t>
      </w:r>
      <w:r>
        <w:rPr>
          <w:rFonts w:hint="eastAsia" w:ascii="宋体" w:hAnsi="宋体" w:eastAsia="宋体" w:cs="宋体"/>
          <w:bCs/>
          <w:color w:val="auto"/>
          <w:sz w:val="21"/>
          <w:szCs w:val="21"/>
          <w:highlight w:val="none"/>
          <w:lang w:val="en-US" w:eastAsia="zh-CN"/>
        </w:rPr>
        <w:t>采购方</w:t>
      </w:r>
      <w:r>
        <w:rPr>
          <w:rFonts w:hint="eastAsia" w:ascii="宋体" w:hAnsi="宋体" w:eastAsia="宋体" w:cs="宋体"/>
          <w:bCs/>
          <w:color w:val="auto"/>
          <w:sz w:val="21"/>
          <w:szCs w:val="21"/>
          <w:highlight w:val="none"/>
        </w:rPr>
        <w:t>认为必要，并经财政部门批准后，可以要求</w:t>
      </w:r>
      <w:r>
        <w:rPr>
          <w:rFonts w:hint="eastAsia" w:ascii="宋体" w:hAnsi="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val="en-US" w:eastAsia="zh-CN"/>
        </w:rPr>
        <w:t>采购方</w:t>
      </w:r>
      <w:r>
        <w:rPr>
          <w:rFonts w:hint="eastAsia" w:ascii="宋体" w:hAnsi="宋体" w:eastAsia="宋体" w:cs="宋体"/>
          <w:bCs/>
          <w:color w:val="auto"/>
          <w:sz w:val="21"/>
          <w:szCs w:val="21"/>
          <w:highlight w:val="none"/>
        </w:rPr>
        <w:t>要求延续提供不超过1个月的服务，费用标准按原合同规定执行。</w:t>
      </w:r>
    </w:p>
    <w:bookmarkEnd w:id="2"/>
    <w:p w14:paraId="624A89F4">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）项目定量</w:t>
      </w:r>
    </w:p>
    <w:p w14:paraId="5D082374">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定量下限指标：必须保证完成采集量不少于30000件。 </w:t>
      </w:r>
    </w:p>
    <w:p w14:paraId="3D3D58B1">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）项目其他相关要求</w:t>
      </w:r>
    </w:p>
    <w:p w14:paraId="2B402CB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1、信息采集时间要求：每天8：00-18：00，并根据季节变化适时进行调整，节假日和双休日原则上不休息。</w:t>
      </w:r>
    </w:p>
    <w:p w14:paraId="532E4CF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2、部件是指城市市政管理区域内的各项设施，包含公共设施类、道路交通类、市容环境类、园林绿化类、房屋土地类、其他部件类、扩展类。</w:t>
      </w:r>
    </w:p>
    <w:p w14:paraId="19CE236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3、部件信息包括部件丢失、损坏、维护等问题上报、核实和核查的信息，以及部件普查中遗漏，部件普查后发生增加、更新等变化的部件信息。</w:t>
      </w:r>
    </w:p>
    <w:p w14:paraId="1D415A2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4、事件指人为或自然因素导致城市市容环境和环境秩序受到影响或破坏，需要城市管理专业部门处理并使之恢复正常的现象和行为的统称。事件信息包括上报、核实和核查的信息。</w:t>
      </w:r>
    </w:p>
    <w:p w14:paraId="516E8BC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5、事件分类按照其性质和特点划分，城市管理事件大类分类包括市容环境、宣传广告、施工管理、突发事件、街面秩序和扩展事件。</w:t>
      </w:r>
    </w:p>
    <w:p w14:paraId="74E9485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6、有效信息指除去差错信息、模糊信息、虚假信息、同一事/部件重复上报等后的真实可用信息，是可予立案的事件信息和部件信息。</w:t>
      </w:r>
    </w:p>
    <w:p w14:paraId="7C5189D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7、差错率计算方式：不可立案信息（不含专项普查）/上报信息总数*100% 。</w:t>
      </w:r>
    </w:p>
    <w:p w14:paraId="5F89CF2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8、巡查密度是指在规定的时间内巡查规定区域的覆盖率。间隔密度合格率＝（1-被抽查不合格采集员数/该采集公司采集员总数）*100% 。</w:t>
      </w:r>
    </w:p>
    <w:p w14:paraId="6329C79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9、定量基数：指每年（按365天计算）投标人上传有效案卷的累计总量。</w:t>
      </w:r>
    </w:p>
    <w:p w14:paraId="2DC5645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10、要求定期对信息采集员负责的工作单元进行轮换。</w:t>
      </w:r>
    </w:p>
    <w:p w14:paraId="0A8967A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11、要求定期向采购人提供阶段工作总结报告。</w:t>
      </w:r>
    </w:p>
    <w:p w14:paraId="22F5587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12、相关考核办法</w:t>
      </w:r>
    </w:p>
    <w:p w14:paraId="5976C6F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（1）考核等级</w:t>
      </w:r>
    </w:p>
    <w:p w14:paraId="4B4F509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考核每月一次，得分超过90分（含）的为优秀；超过80分（含）的为合格；低于80分的为不合格。</w:t>
      </w:r>
    </w:p>
    <w:p w14:paraId="5A5A934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1）一年内3次（含）以上不合格的，可</w:t>
      </w:r>
      <w:r>
        <w:rPr>
          <w:rFonts w:hint="eastAsia" w:ascii="宋体" w:hAnsi="宋体" w:eastAsia="宋体" w:cs="宋体"/>
          <w:color w:val="auto"/>
          <w:highlight w:val="none"/>
          <w:lang w:val="en-US" w:eastAsia="zh-CN"/>
        </w:rPr>
        <w:t>终止</w:t>
      </w:r>
      <w:r>
        <w:rPr>
          <w:rFonts w:hint="eastAsia" w:ascii="宋体" w:hAnsi="宋体" w:eastAsia="宋体" w:cs="宋体"/>
          <w:bCs/>
          <w:color w:val="auto"/>
          <w:sz w:val="21"/>
          <w:szCs w:val="21"/>
          <w:highlight w:val="none"/>
        </w:rPr>
        <w:t>合同</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且甲方不承担违约责任</w:t>
      </w:r>
      <w:r>
        <w:rPr>
          <w:rFonts w:hint="eastAsia" w:ascii="宋体" w:hAnsi="宋体" w:eastAsia="宋体" w:cs="宋体"/>
          <w:bCs/>
          <w:color w:val="auto"/>
          <w:sz w:val="21"/>
          <w:szCs w:val="21"/>
          <w:highlight w:val="none"/>
        </w:rPr>
        <w:t>；</w:t>
      </w:r>
    </w:p>
    <w:p w14:paraId="3C00148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）考核不合格，每少1分扣当月1%的对应合同款，每季结算一次。</w:t>
      </w:r>
    </w:p>
    <w:p w14:paraId="38121B4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（2）考核内容：具体见附件《</w:t>
      </w:r>
      <w:r>
        <w:rPr>
          <w:rFonts w:hint="eastAsia" w:ascii="宋体" w:hAnsi="宋体" w:eastAsia="宋体" w:cs="宋体"/>
          <w:bCs/>
          <w:color w:val="auto"/>
          <w:sz w:val="21"/>
          <w:szCs w:val="21"/>
          <w:highlight w:val="none"/>
          <w:lang w:val="en-US" w:eastAsia="zh-CN"/>
        </w:rPr>
        <w:t>台州湾新区</w:t>
      </w:r>
      <w:r>
        <w:rPr>
          <w:rFonts w:hint="eastAsia" w:ascii="宋体" w:hAnsi="宋体" w:eastAsia="宋体" w:cs="宋体"/>
          <w:bCs/>
          <w:color w:val="auto"/>
          <w:sz w:val="21"/>
          <w:szCs w:val="21"/>
          <w:highlight w:val="none"/>
        </w:rPr>
        <w:t>智慧城管信息采集考核表》</w:t>
      </w:r>
      <w:bookmarkStart w:id="3" w:name="_Toc250560224"/>
    </w:p>
    <w:p w14:paraId="1AF74FC8">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）“信息采集器”的管理</w:t>
      </w:r>
      <w:bookmarkEnd w:id="3"/>
    </w:p>
    <w:p w14:paraId="081DF4D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信息采集设备由</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自行负责，并确保能使用移动互联网；</w:t>
      </w:r>
      <w:r>
        <w:rPr>
          <w:rFonts w:hint="eastAsia" w:ascii="宋体" w:hAnsi="宋体" w:eastAsia="宋体" w:cs="宋体"/>
          <w:bCs/>
          <w:color w:val="auto"/>
          <w:sz w:val="21"/>
          <w:szCs w:val="21"/>
          <w:highlight w:val="none"/>
          <w:lang w:val="en-US" w:eastAsia="zh-CN"/>
        </w:rPr>
        <w:t>采购方</w:t>
      </w:r>
      <w:r>
        <w:rPr>
          <w:rFonts w:hint="eastAsia" w:ascii="宋体" w:hAnsi="宋体" w:eastAsia="宋体" w:cs="宋体"/>
          <w:bCs/>
          <w:color w:val="auto"/>
          <w:sz w:val="21"/>
          <w:szCs w:val="21"/>
          <w:highlight w:val="none"/>
        </w:rPr>
        <w:t>提供运行在安卓系统移动终端的APP和相应的技术支持，不提供IOS版本APP和技术支持。</w:t>
      </w:r>
    </w:p>
    <w:p w14:paraId="1BBA4E32">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z w:val="21"/>
          <w:szCs w:val="21"/>
          <w:highlight w:val="none"/>
        </w:rPr>
      </w:pPr>
      <w:bookmarkStart w:id="4" w:name="_Toc202949054"/>
      <w:bookmarkStart w:id="5" w:name="_Toc264115384"/>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采集队伍</w:t>
      </w:r>
      <w:r>
        <w:rPr>
          <w:rFonts w:hint="eastAsia" w:ascii="宋体" w:hAnsi="宋体" w:eastAsia="宋体" w:cs="宋体"/>
          <w:b/>
          <w:bCs/>
          <w:color w:val="auto"/>
          <w:sz w:val="21"/>
          <w:szCs w:val="21"/>
          <w:highlight w:val="none"/>
        </w:rPr>
        <w:t>要求</w:t>
      </w:r>
    </w:p>
    <w:p w14:paraId="0C451B8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为</w:t>
      </w:r>
      <w:r>
        <w:rPr>
          <w:rFonts w:hint="eastAsia" w:ascii="宋体" w:hAnsi="宋体" w:eastAsia="宋体" w:cs="宋体"/>
          <w:bCs/>
          <w:color w:val="auto"/>
          <w:sz w:val="21"/>
          <w:szCs w:val="21"/>
          <w:highlight w:val="none"/>
          <w:lang w:val="en-US" w:eastAsia="zh-CN"/>
        </w:rPr>
        <w:t>采购方</w:t>
      </w:r>
      <w:r>
        <w:rPr>
          <w:rFonts w:hint="eastAsia" w:ascii="宋体" w:hAnsi="宋体" w:eastAsia="宋体" w:cs="宋体"/>
          <w:bCs/>
          <w:color w:val="auto"/>
          <w:sz w:val="21"/>
          <w:szCs w:val="21"/>
          <w:highlight w:val="none"/>
        </w:rPr>
        <w:t>提供“智慧城管”信息采集外包服务。完成全年采集量30000件（智慧城管系统一个案件循环视作一件），并根据要求实现区域全覆盖。视频监控工作量及专项普查量计入全年采集量。</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lang w:eastAsia="zh-CN"/>
        </w:rPr>
        <w:t>信息采集工作方案与采购方共同商定，</w:t>
      </w:r>
      <w:r>
        <w:rPr>
          <w:rFonts w:hint="eastAsia" w:ascii="宋体" w:hAnsi="宋体" w:eastAsia="宋体" w:cs="宋体"/>
          <w:bCs/>
          <w:color w:val="auto"/>
          <w:sz w:val="21"/>
          <w:szCs w:val="21"/>
          <w:highlight w:val="none"/>
          <w:lang w:val="en-US" w:eastAsia="zh-CN"/>
        </w:rPr>
        <w:t>满足采购方信息采集工作需要。</w:t>
      </w:r>
    </w:p>
    <w:p w14:paraId="224EDB2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信息采集队伍中的组成人员对</w:t>
      </w:r>
      <w:r>
        <w:rPr>
          <w:rFonts w:hint="eastAsia" w:ascii="宋体" w:hAnsi="宋体" w:eastAsia="宋体" w:cs="宋体"/>
          <w:bCs/>
          <w:color w:val="auto"/>
          <w:sz w:val="21"/>
          <w:szCs w:val="21"/>
          <w:highlight w:val="none"/>
          <w:lang w:val="en-US" w:eastAsia="zh-CN"/>
        </w:rPr>
        <w:t>采购方</w:t>
      </w:r>
      <w:r>
        <w:rPr>
          <w:rFonts w:hint="eastAsia" w:ascii="宋体" w:hAnsi="宋体" w:eastAsia="宋体" w:cs="宋体"/>
          <w:bCs/>
          <w:color w:val="auto"/>
          <w:sz w:val="21"/>
          <w:szCs w:val="21"/>
          <w:highlight w:val="none"/>
        </w:rPr>
        <w:t>的工作安排、指令等相应、执行情况，列入</w:t>
      </w:r>
      <w:r>
        <w:rPr>
          <w:rFonts w:hint="eastAsia" w:ascii="宋体" w:hAnsi="宋体" w:eastAsia="宋体" w:cs="宋体"/>
          <w:bCs/>
          <w:color w:val="auto"/>
          <w:sz w:val="21"/>
          <w:szCs w:val="21"/>
          <w:highlight w:val="none"/>
          <w:lang w:val="en-US" w:eastAsia="zh-CN"/>
        </w:rPr>
        <w:t>采购方</w:t>
      </w:r>
      <w:r>
        <w:rPr>
          <w:rFonts w:hint="eastAsia" w:ascii="宋体" w:hAnsi="宋体" w:eastAsia="宋体" w:cs="宋体"/>
          <w:bCs/>
          <w:color w:val="auto"/>
          <w:sz w:val="21"/>
          <w:szCs w:val="21"/>
          <w:highlight w:val="none"/>
        </w:rPr>
        <w:t>对</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的日常考核。</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每月支付信息采集和管理人员的工资报酬前，需征得</w:t>
      </w:r>
      <w:r>
        <w:rPr>
          <w:rFonts w:hint="eastAsia" w:ascii="宋体" w:hAnsi="宋体" w:eastAsia="宋体" w:cs="宋体"/>
          <w:bCs/>
          <w:color w:val="auto"/>
          <w:sz w:val="21"/>
          <w:szCs w:val="21"/>
          <w:highlight w:val="none"/>
          <w:lang w:val="en-US" w:eastAsia="zh-CN"/>
        </w:rPr>
        <w:t>采购方</w:t>
      </w:r>
      <w:r>
        <w:rPr>
          <w:rFonts w:hint="eastAsia" w:ascii="宋体" w:hAnsi="宋体" w:eastAsia="宋体" w:cs="宋体"/>
          <w:bCs/>
          <w:color w:val="auto"/>
          <w:sz w:val="21"/>
          <w:szCs w:val="21"/>
          <w:highlight w:val="none"/>
        </w:rPr>
        <w:t>同意，支付前未征得</w:t>
      </w:r>
      <w:r>
        <w:rPr>
          <w:rFonts w:hint="eastAsia" w:ascii="宋体" w:hAnsi="宋体" w:eastAsia="宋体" w:cs="宋体"/>
          <w:bCs/>
          <w:color w:val="auto"/>
          <w:sz w:val="21"/>
          <w:szCs w:val="21"/>
          <w:highlight w:val="none"/>
          <w:lang w:val="en-US" w:eastAsia="zh-CN"/>
        </w:rPr>
        <w:t>采购方</w:t>
      </w:r>
      <w:r>
        <w:rPr>
          <w:rFonts w:hint="eastAsia" w:ascii="宋体" w:hAnsi="宋体" w:eastAsia="宋体" w:cs="宋体"/>
          <w:bCs/>
          <w:color w:val="auto"/>
          <w:sz w:val="21"/>
          <w:szCs w:val="21"/>
          <w:highlight w:val="none"/>
        </w:rPr>
        <w:t>同意，在次月考核中扣除相应分数。</w:t>
      </w:r>
    </w:p>
    <w:p w14:paraId="154F3DC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eastAsia="zh-CN"/>
        </w:rPr>
        <w:t>、</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在签定合同10日内，要求按照投标文件的承诺，完成信息采集队伍的组建。</w:t>
      </w:r>
    </w:p>
    <w:p w14:paraId="1CBF2D8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信息采集员条件：</w:t>
      </w:r>
    </w:p>
    <w:p w14:paraId="2AE2D9E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（1）文化程度：中专、高中（职高）文化程度以上，下岗失业失土人员优先，复退军人优先。</w:t>
      </w:r>
    </w:p>
    <w:p w14:paraId="259543D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（2）年龄：18周岁以上，55周岁以下。 </w:t>
      </w:r>
    </w:p>
    <w:p w14:paraId="283F2FE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（3）性别：不限。</w:t>
      </w:r>
    </w:p>
    <w:p w14:paraId="25D66DE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（4）健康状况：身体条件能适应全天候连续户外巡查值勤，无明显身体缺陷。</w:t>
      </w:r>
    </w:p>
    <w:p w14:paraId="7FA13D3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（5）其他要求：作风正派，有吃苦精神，有为智慧城管服务的职业道德。</w:t>
      </w:r>
    </w:p>
    <w:p w14:paraId="1AB27B5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（6）无犯罪记录和明显不良嗜好。</w:t>
      </w:r>
    </w:p>
    <w:p w14:paraId="5EBE3667">
      <w:pPr>
        <w:keepNext w:val="0"/>
        <w:keepLines w:val="0"/>
        <w:pageBreakBefore w:val="0"/>
        <w:widowControl w:val="0"/>
        <w:tabs>
          <w:tab w:val="left" w:pos="735"/>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中心视频监控员及管理人员条件：</w:t>
      </w:r>
    </w:p>
    <w:p w14:paraId="3162F292">
      <w:pPr>
        <w:keepNext w:val="0"/>
        <w:keepLines w:val="0"/>
        <w:pageBreakBefore w:val="0"/>
        <w:widowControl w:val="0"/>
        <w:tabs>
          <w:tab w:val="left" w:pos="735"/>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（1）文化程度：大专及以上文化程度，复退军人优先。</w:t>
      </w:r>
    </w:p>
    <w:p w14:paraId="1D3539C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（2）年龄：20周岁至35周岁。</w:t>
      </w:r>
    </w:p>
    <w:p w14:paraId="4FDD7CC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（3）健康状况：身体条件能适应全天候连续户外巡查值勤，无明显身体缺陷。</w:t>
      </w:r>
    </w:p>
    <w:p w14:paraId="6A4F794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（4）工作要求：需具有城市信息采集项目培训、管理经验。</w:t>
      </w:r>
    </w:p>
    <w:p w14:paraId="2227754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（5）其他要求：作风正派，要有吃苦精神和为</w:t>
      </w:r>
      <w:r>
        <w:rPr>
          <w:rFonts w:hint="eastAsia" w:ascii="宋体" w:hAnsi="宋体" w:eastAsia="宋体" w:cs="宋体"/>
          <w:color w:val="auto"/>
          <w:sz w:val="21"/>
          <w:szCs w:val="21"/>
          <w:highlight w:val="none"/>
          <w:lang w:val="en-US" w:eastAsia="zh-CN"/>
        </w:rPr>
        <w:t>智慧</w:t>
      </w:r>
      <w:r>
        <w:rPr>
          <w:rFonts w:hint="eastAsia" w:ascii="宋体" w:hAnsi="宋体" w:eastAsia="宋体" w:cs="宋体"/>
          <w:color w:val="auto"/>
          <w:sz w:val="21"/>
          <w:szCs w:val="21"/>
          <w:highlight w:val="none"/>
        </w:rPr>
        <w:t>城管服务的职业道德。</w:t>
      </w:r>
    </w:p>
    <w:p w14:paraId="1FF0A1E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（6）无犯罪记录和明显不良嗜好。</w:t>
      </w:r>
    </w:p>
    <w:bookmarkEnd w:id="4"/>
    <w:bookmarkEnd w:id="5"/>
    <w:p w14:paraId="326FF3F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bookmarkStart w:id="6" w:name="_Toc281901305"/>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其他补充说明</w:t>
      </w:r>
      <w:bookmarkEnd w:id="6"/>
    </w:p>
    <w:p w14:paraId="51ECA13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与采购</w:t>
      </w:r>
      <w:r>
        <w:rPr>
          <w:rFonts w:hint="eastAsia" w:ascii="宋体" w:hAnsi="宋体" w:eastAsia="宋体" w:cs="宋体"/>
          <w:color w:val="auto"/>
          <w:sz w:val="21"/>
          <w:szCs w:val="21"/>
          <w:highlight w:val="none"/>
          <w:lang w:val="en-US" w:eastAsia="zh-CN"/>
        </w:rPr>
        <w:t>方</w:t>
      </w:r>
      <w:r>
        <w:rPr>
          <w:rFonts w:hint="eastAsia" w:ascii="宋体" w:hAnsi="宋体" w:eastAsia="宋体" w:cs="宋体"/>
          <w:color w:val="auto"/>
          <w:sz w:val="21"/>
          <w:szCs w:val="21"/>
          <w:highlight w:val="none"/>
        </w:rPr>
        <w:t>根据台州实际情况，在符合国家有关劳动法律的前提下，保持总投入信息采集员能够保证年任务量的完成。</w:t>
      </w:r>
    </w:p>
    <w:p w14:paraId="1D121D2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在签定合同10日内，未能按照投标文件的承诺，完成组建足额信息采集</w:t>
      </w:r>
      <w:r>
        <w:rPr>
          <w:rFonts w:hint="eastAsia" w:ascii="宋体" w:hAnsi="宋体" w:eastAsia="宋体" w:cs="宋体"/>
          <w:color w:val="auto"/>
          <w:sz w:val="21"/>
          <w:szCs w:val="21"/>
          <w:highlight w:val="none"/>
          <w:lang w:eastAsia="zh-CN"/>
        </w:rPr>
        <w:t>员</w:t>
      </w:r>
      <w:r>
        <w:rPr>
          <w:rFonts w:hint="eastAsia" w:ascii="宋体" w:hAnsi="宋体" w:eastAsia="宋体" w:cs="宋体"/>
          <w:color w:val="auto"/>
          <w:sz w:val="21"/>
          <w:szCs w:val="21"/>
          <w:highlight w:val="none"/>
        </w:rPr>
        <w:t>上岗，采购</w:t>
      </w:r>
      <w:r>
        <w:rPr>
          <w:rFonts w:hint="eastAsia" w:ascii="宋体" w:hAnsi="宋体" w:eastAsia="宋体" w:cs="宋体"/>
          <w:color w:val="auto"/>
          <w:sz w:val="21"/>
          <w:szCs w:val="21"/>
          <w:highlight w:val="none"/>
          <w:lang w:val="en-US" w:eastAsia="zh-CN"/>
        </w:rPr>
        <w:t>方</w:t>
      </w:r>
      <w:r>
        <w:rPr>
          <w:rFonts w:hint="eastAsia" w:ascii="宋体" w:hAnsi="宋体" w:eastAsia="宋体" w:cs="宋体"/>
          <w:color w:val="auto"/>
          <w:sz w:val="21"/>
          <w:szCs w:val="21"/>
          <w:highlight w:val="none"/>
        </w:rPr>
        <w:t>有权单方终止合同，</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应无条件退还全额合同首付款。</w:t>
      </w:r>
    </w:p>
    <w:p w14:paraId="7D1E00C5">
      <w:pPr>
        <w:pStyle w:val="5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三、</w:t>
      </w:r>
      <w:r>
        <w:rPr>
          <w:rFonts w:hint="eastAsia" w:ascii="宋体" w:hAnsi="宋体" w:eastAsia="宋体" w:cs="宋体"/>
          <w:b/>
          <w:bCs/>
          <w:color w:val="auto"/>
          <w:sz w:val="21"/>
          <w:szCs w:val="21"/>
          <w:highlight w:val="none"/>
        </w:rPr>
        <w:t>商务需求</w:t>
      </w:r>
    </w:p>
    <w:p w14:paraId="2C5F34BE">
      <w:pPr>
        <w:pStyle w:val="5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1"/>
        <w:rPr>
          <w:rFonts w:hint="eastAsia" w:ascii="宋体" w:hAnsi="宋体" w:eastAsia="宋体" w:cs="宋体"/>
          <w:bCs/>
          <w:color w:val="auto"/>
          <w:sz w:val="21"/>
          <w:szCs w:val="21"/>
          <w:highlight w:val="none"/>
        </w:rPr>
      </w:pPr>
      <w:r>
        <w:rPr>
          <w:rFonts w:hint="eastAsia" w:ascii="宋体" w:hAnsi="宋体" w:eastAsia="宋体" w:cs="宋体"/>
          <w:bCs/>
          <w:color w:val="auto"/>
          <w:kern w:val="2"/>
          <w:sz w:val="21"/>
          <w:szCs w:val="21"/>
          <w:highlight w:val="none"/>
          <w:lang w:val="en-US" w:eastAsia="zh-CN" w:bidi="ar-SA"/>
        </w:rPr>
        <w:t>1、</w:t>
      </w:r>
      <w:r>
        <w:rPr>
          <w:rFonts w:hint="eastAsia" w:ascii="宋体" w:hAnsi="宋体" w:eastAsia="宋体" w:cs="宋体"/>
          <w:bCs/>
          <w:color w:val="auto"/>
          <w:sz w:val="21"/>
          <w:szCs w:val="21"/>
          <w:highlight w:val="none"/>
        </w:rPr>
        <w:t>总体要求</w:t>
      </w:r>
      <w:r>
        <w:rPr>
          <w:rFonts w:hint="eastAsia" w:ascii="宋体" w:hAnsi="宋体" w:eastAsia="宋体" w:cs="宋体"/>
          <w:bCs/>
          <w:color w:val="auto"/>
          <w:sz w:val="21"/>
          <w:szCs w:val="21"/>
          <w:highlight w:val="none"/>
          <w:lang w:eastAsia="zh-CN"/>
        </w:rPr>
        <w:t>：</w:t>
      </w:r>
      <w:r>
        <w:rPr>
          <w:rFonts w:hint="eastAsia" w:ascii="宋体" w:hAnsi="宋体" w:cs="宋体"/>
          <w:color w:val="auto"/>
          <w:sz w:val="21"/>
          <w:szCs w:val="21"/>
          <w:highlight w:val="none"/>
          <w:lang w:eastAsia="zh-CN"/>
        </w:rPr>
        <w:t>供应商</w:t>
      </w:r>
      <w:r>
        <w:rPr>
          <w:rFonts w:hint="eastAsia" w:ascii="宋体" w:hAnsi="宋体" w:eastAsia="宋体" w:cs="宋体"/>
          <w:bCs/>
          <w:color w:val="auto"/>
          <w:sz w:val="21"/>
          <w:szCs w:val="21"/>
          <w:highlight w:val="none"/>
        </w:rPr>
        <w:t>需按本技术规格书的要求完成提供设备、服务、验收及相关文件的提交等工作，按工作顺序提交所需的资料，所有资料必须符合本技术规格书的要求。费用应全部包含在总报价中。</w:t>
      </w:r>
    </w:p>
    <w:p w14:paraId="67BBF33B">
      <w:pPr>
        <w:pStyle w:val="5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1"/>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2"/>
          <w:sz w:val="21"/>
          <w:szCs w:val="21"/>
          <w:highlight w:val="none"/>
          <w:lang w:val="en-US" w:eastAsia="zh-CN" w:bidi="ar-SA"/>
        </w:rPr>
        <w:t>2、</w:t>
      </w:r>
      <w:r>
        <w:rPr>
          <w:rFonts w:hint="eastAsia" w:ascii="宋体" w:hAnsi="宋体" w:eastAsia="宋体" w:cs="宋体"/>
          <w:bCs/>
          <w:color w:val="auto"/>
          <w:sz w:val="21"/>
          <w:szCs w:val="21"/>
          <w:highlight w:val="none"/>
        </w:rPr>
        <w:t>投标报价要求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投标报价应是采购文件所确定的</w:t>
      </w:r>
      <w:r>
        <w:rPr>
          <w:rFonts w:hint="eastAsia" w:ascii="宋体" w:hAnsi="宋体" w:eastAsia="宋体" w:cs="宋体"/>
          <w:bCs/>
          <w:color w:val="auto"/>
          <w:sz w:val="21"/>
          <w:szCs w:val="21"/>
          <w:highlight w:val="none"/>
          <w:lang w:eastAsia="zh-CN"/>
        </w:rPr>
        <w:t>采购范围</w:t>
      </w:r>
      <w:r>
        <w:rPr>
          <w:rFonts w:hint="eastAsia" w:ascii="宋体" w:hAnsi="宋体" w:eastAsia="宋体" w:cs="宋体"/>
          <w:bCs/>
          <w:color w:val="auto"/>
          <w:sz w:val="21"/>
          <w:szCs w:val="21"/>
          <w:highlight w:val="none"/>
        </w:rPr>
        <w:t>内全部工作内容的价格表现。其应包括</w:t>
      </w:r>
      <w:bookmarkStart w:id="7" w:name="OLE_LINK5"/>
      <w:r>
        <w:rPr>
          <w:rFonts w:hint="eastAsia" w:ascii="宋体" w:hAnsi="宋体" w:eastAsia="宋体" w:cs="宋体"/>
          <w:bCs/>
          <w:color w:val="auto"/>
          <w:sz w:val="21"/>
          <w:szCs w:val="21"/>
          <w:highlight w:val="none"/>
        </w:rPr>
        <w:t>利润、税收、管理费、</w:t>
      </w:r>
      <w:r>
        <w:rPr>
          <w:rFonts w:hint="eastAsia" w:ascii="宋体" w:hAnsi="宋体" w:eastAsia="宋体" w:cs="宋体"/>
          <w:bCs/>
          <w:color w:val="auto"/>
          <w:sz w:val="21"/>
          <w:szCs w:val="21"/>
          <w:highlight w:val="none"/>
          <w:lang w:eastAsia="zh-CN"/>
        </w:rPr>
        <w:t>信息采集费用、</w:t>
      </w:r>
      <w:r>
        <w:rPr>
          <w:rFonts w:hint="eastAsia" w:ascii="宋体" w:hAnsi="宋体" w:eastAsia="宋体" w:cs="宋体"/>
          <w:bCs/>
          <w:color w:val="auto"/>
          <w:sz w:val="21"/>
          <w:szCs w:val="21"/>
          <w:highlight w:val="none"/>
        </w:rPr>
        <w:t>设备购置维修费、方案计划评审费、不可预见费、招标代理服务费及处理一切伤亡事故等完成合同所需的一切本身和不可或缺的所有工作开支、政策性文件规定及合同包含的所有风险、责任等各项全部费用</w:t>
      </w:r>
      <w:bookmarkEnd w:id="7"/>
      <w:r>
        <w:rPr>
          <w:rFonts w:hint="eastAsia" w:ascii="宋体" w:hAnsi="宋体" w:eastAsia="宋体" w:cs="宋体"/>
          <w:bCs/>
          <w:color w:val="auto"/>
          <w:sz w:val="21"/>
          <w:szCs w:val="21"/>
          <w:highlight w:val="none"/>
        </w:rPr>
        <w:t>。各投标人应根据招标人提供的技术资料，以及本</w:t>
      </w:r>
      <w:r>
        <w:rPr>
          <w:rFonts w:hint="eastAsia" w:ascii="宋体" w:hAnsi="宋体" w:eastAsia="宋体" w:cs="宋体"/>
          <w:bCs/>
          <w:color w:val="auto"/>
          <w:sz w:val="21"/>
          <w:szCs w:val="21"/>
          <w:highlight w:val="none"/>
          <w:lang w:val="en-US" w:eastAsia="zh-CN"/>
        </w:rPr>
        <w:t>项目</w:t>
      </w:r>
      <w:r>
        <w:rPr>
          <w:rFonts w:hint="eastAsia" w:ascii="宋体" w:hAnsi="宋体" w:eastAsia="宋体" w:cs="宋体"/>
          <w:bCs/>
          <w:color w:val="auto"/>
          <w:sz w:val="21"/>
          <w:szCs w:val="21"/>
          <w:highlight w:val="none"/>
        </w:rPr>
        <w:t>实际情况和自身的综合实力，竞报投标报价。总报价以人民币元计。知识产权等由投标人在投标报价时综合考虑，以后不作任何调整。</w:t>
      </w:r>
    </w:p>
    <w:p w14:paraId="65F83FE1">
      <w:pPr>
        <w:pStyle w:val="5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1"/>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2"/>
          <w:sz w:val="21"/>
          <w:szCs w:val="21"/>
          <w:highlight w:val="none"/>
          <w:lang w:val="en-US" w:eastAsia="zh-CN" w:bidi="ar-SA"/>
        </w:rPr>
        <w:t>3、</w:t>
      </w:r>
      <w:r>
        <w:rPr>
          <w:rFonts w:hint="eastAsia" w:ascii="宋体" w:hAnsi="宋体" w:eastAsia="宋体" w:cs="宋体"/>
          <w:bCs/>
          <w:color w:val="auto"/>
          <w:sz w:val="21"/>
          <w:szCs w:val="21"/>
          <w:highlight w:val="none"/>
          <w:lang w:eastAsia="zh-CN"/>
        </w:rPr>
        <w:t>采购范围：采购范围</w:t>
      </w:r>
      <w:r>
        <w:rPr>
          <w:rFonts w:hint="eastAsia" w:ascii="宋体" w:hAnsi="宋体" w:eastAsia="宋体" w:cs="宋体"/>
          <w:bCs/>
          <w:color w:val="auto"/>
          <w:sz w:val="21"/>
          <w:szCs w:val="21"/>
          <w:highlight w:val="none"/>
        </w:rPr>
        <w:t>为</w:t>
      </w:r>
      <w:r>
        <w:rPr>
          <w:rFonts w:hint="eastAsia" w:ascii="宋体" w:hAnsi="宋体" w:eastAsia="宋体" w:cs="宋体"/>
          <w:bCs/>
          <w:color w:val="auto"/>
          <w:sz w:val="21"/>
          <w:szCs w:val="21"/>
          <w:highlight w:val="none"/>
          <w:lang w:val="en-US" w:eastAsia="zh-CN"/>
        </w:rPr>
        <w:t>采购方</w:t>
      </w:r>
      <w:r>
        <w:rPr>
          <w:rFonts w:hint="eastAsia" w:ascii="宋体" w:hAnsi="宋体" w:eastAsia="宋体" w:cs="宋体"/>
          <w:bCs/>
          <w:color w:val="auto"/>
          <w:sz w:val="21"/>
          <w:szCs w:val="21"/>
          <w:highlight w:val="none"/>
        </w:rPr>
        <w:t>提供的</w:t>
      </w:r>
      <w:r>
        <w:rPr>
          <w:rFonts w:hint="eastAsia" w:ascii="宋体" w:hAnsi="宋体" w:eastAsia="宋体" w:cs="宋体"/>
          <w:bCs/>
          <w:color w:val="auto"/>
          <w:sz w:val="21"/>
          <w:szCs w:val="21"/>
          <w:highlight w:val="none"/>
          <w:lang w:val="en-US" w:eastAsia="zh-CN"/>
        </w:rPr>
        <w:t>项目</w:t>
      </w:r>
      <w:r>
        <w:rPr>
          <w:rFonts w:hint="eastAsia" w:ascii="宋体" w:hAnsi="宋体" w:eastAsia="宋体" w:cs="宋体"/>
          <w:bCs/>
          <w:color w:val="auto"/>
          <w:sz w:val="21"/>
          <w:szCs w:val="21"/>
          <w:highlight w:val="none"/>
        </w:rPr>
        <w:t>需求所包含的智慧城管信息采集等所有内容。</w:t>
      </w:r>
    </w:p>
    <w:p w14:paraId="6FB431BB">
      <w:pPr>
        <w:pStyle w:val="5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1"/>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2"/>
          <w:sz w:val="21"/>
          <w:szCs w:val="21"/>
          <w:highlight w:val="none"/>
          <w:lang w:val="en-US" w:eastAsia="zh-CN" w:bidi="ar-SA"/>
        </w:rPr>
        <w:t>4、</w:t>
      </w: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本次</w:t>
      </w:r>
      <w:r>
        <w:rPr>
          <w:rFonts w:hint="eastAsia" w:ascii="宋体" w:hAnsi="宋体" w:eastAsia="宋体" w:cs="宋体"/>
          <w:bCs/>
          <w:color w:val="auto"/>
          <w:sz w:val="21"/>
          <w:szCs w:val="21"/>
          <w:highlight w:val="none"/>
          <w:lang w:val="en-US" w:eastAsia="zh-CN"/>
        </w:rPr>
        <w:t>采购</w:t>
      </w:r>
      <w:r>
        <w:rPr>
          <w:rFonts w:hint="eastAsia" w:ascii="宋体" w:hAnsi="宋体" w:eastAsia="宋体" w:cs="宋体"/>
          <w:bCs/>
          <w:color w:val="auto"/>
          <w:sz w:val="21"/>
          <w:szCs w:val="21"/>
          <w:highlight w:val="none"/>
        </w:rPr>
        <w:t>服务有效期限为12个月，合同签署期限为12个月。合同履约期间，</w:t>
      </w:r>
      <w:r>
        <w:rPr>
          <w:rFonts w:hint="eastAsia" w:ascii="宋体" w:hAnsi="宋体" w:eastAsia="宋体" w:cs="宋体"/>
          <w:bCs/>
          <w:color w:val="auto"/>
          <w:sz w:val="21"/>
          <w:szCs w:val="21"/>
          <w:highlight w:val="none"/>
          <w:lang w:val="en-US" w:eastAsia="zh-CN"/>
        </w:rPr>
        <w:t>采购方</w:t>
      </w:r>
      <w:r>
        <w:rPr>
          <w:rFonts w:hint="eastAsia" w:ascii="宋体" w:hAnsi="宋体" w:eastAsia="宋体" w:cs="宋体"/>
          <w:bCs/>
          <w:color w:val="auto"/>
          <w:sz w:val="21"/>
          <w:szCs w:val="21"/>
          <w:highlight w:val="none"/>
        </w:rPr>
        <w:t>对</w:t>
      </w:r>
      <w:r>
        <w:rPr>
          <w:rFonts w:hint="eastAsia" w:ascii="宋体" w:hAnsi="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的服务情况进行每月考评。合同期满后，如</w:t>
      </w:r>
      <w:r>
        <w:rPr>
          <w:rFonts w:hint="eastAsia" w:ascii="宋体" w:hAnsi="宋体" w:eastAsia="宋体" w:cs="宋体"/>
          <w:bCs/>
          <w:color w:val="auto"/>
          <w:sz w:val="21"/>
          <w:szCs w:val="21"/>
          <w:highlight w:val="none"/>
          <w:lang w:val="en-US" w:eastAsia="zh-CN"/>
        </w:rPr>
        <w:t>采购方</w:t>
      </w:r>
      <w:r>
        <w:rPr>
          <w:rFonts w:hint="eastAsia" w:ascii="宋体" w:hAnsi="宋体" w:eastAsia="宋体" w:cs="宋体"/>
          <w:bCs/>
          <w:color w:val="auto"/>
          <w:sz w:val="21"/>
          <w:szCs w:val="21"/>
          <w:highlight w:val="none"/>
        </w:rPr>
        <w:t>认为必要，并经财政部门批准后，可以要求</w:t>
      </w:r>
      <w:r>
        <w:rPr>
          <w:rFonts w:hint="eastAsia" w:ascii="宋体" w:hAnsi="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val="en-US" w:eastAsia="zh-CN"/>
        </w:rPr>
        <w:t>采购方</w:t>
      </w:r>
      <w:r>
        <w:rPr>
          <w:rFonts w:hint="eastAsia" w:ascii="宋体" w:hAnsi="宋体" w:eastAsia="宋体" w:cs="宋体"/>
          <w:bCs/>
          <w:color w:val="auto"/>
          <w:sz w:val="21"/>
          <w:szCs w:val="21"/>
          <w:highlight w:val="none"/>
        </w:rPr>
        <w:t>要求延续提供不超过1个月的服务，费用标准按原合同规定执行。</w:t>
      </w:r>
    </w:p>
    <w:p w14:paraId="0A2002B4">
      <w:pPr>
        <w:pStyle w:val="5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1"/>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2"/>
          <w:sz w:val="21"/>
          <w:szCs w:val="21"/>
          <w:highlight w:val="none"/>
          <w:lang w:val="en-US" w:eastAsia="zh-CN" w:bidi="ar-SA"/>
        </w:rPr>
        <w:t>5、</w:t>
      </w:r>
      <w:r>
        <w:rPr>
          <w:rFonts w:hint="eastAsia" w:ascii="宋体" w:hAnsi="宋体" w:eastAsia="宋体" w:cs="宋体"/>
          <w:bCs/>
          <w:color w:val="auto"/>
          <w:sz w:val="21"/>
          <w:szCs w:val="21"/>
          <w:highlight w:val="none"/>
        </w:rPr>
        <w:t>服务要求</w:t>
      </w:r>
      <w:r>
        <w:rPr>
          <w:rFonts w:hint="eastAsia" w:ascii="宋体" w:hAnsi="宋体" w:eastAsia="宋体" w:cs="宋体"/>
          <w:bCs/>
          <w:color w:val="auto"/>
          <w:sz w:val="21"/>
          <w:szCs w:val="21"/>
          <w:highlight w:val="none"/>
          <w:lang w:eastAsia="zh-CN"/>
        </w:rPr>
        <w:t>：在服务期内，须对其实施的项目提供24小时不间断技术支持服务，提供电话、传真、电子邮件、现场多种方式技术支持服务，全方位响应需求。能在2小时内到达现场，并最迟在第2个工作日内排除错误，2个工作日内不能解决的，必须采取临时应急等措施，以保证采购方的正常使用。</w:t>
      </w:r>
    </w:p>
    <w:p w14:paraId="0DF9FF03">
      <w:pPr>
        <w:pStyle w:val="5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1"/>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2"/>
          <w:sz w:val="21"/>
          <w:szCs w:val="21"/>
          <w:highlight w:val="none"/>
          <w:lang w:val="en-US" w:eastAsia="zh-CN" w:bidi="ar-SA"/>
        </w:rPr>
        <w:t>6、</w:t>
      </w:r>
      <w:r>
        <w:rPr>
          <w:rFonts w:hint="eastAsia" w:ascii="宋体" w:hAnsi="宋体" w:eastAsia="宋体" w:cs="宋体"/>
          <w:bCs/>
          <w:color w:val="auto"/>
          <w:sz w:val="21"/>
          <w:szCs w:val="21"/>
          <w:highlight w:val="none"/>
        </w:rPr>
        <w:t>付款条件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合同签订后</w:t>
      </w:r>
      <w:r>
        <w:rPr>
          <w:rFonts w:hint="eastAsia" w:ascii="宋体" w:hAnsi="宋体" w:eastAsia="宋体" w:cs="宋体"/>
          <w:bCs/>
          <w:color w:val="auto"/>
          <w:sz w:val="21"/>
          <w:szCs w:val="21"/>
          <w:highlight w:val="none"/>
          <w:lang w:val="en-US" w:eastAsia="zh-CN"/>
        </w:rPr>
        <w:t>支付合同金额的4</w:t>
      </w: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作为预付款</w:t>
      </w:r>
      <w:r>
        <w:rPr>
          <w:rFonts w:hint="eastAsia" w:ascii="宋体" w:hAnsi="宋体" w:eastAsia="宋体" w:cs="宋体"/>
          <w:bCs/>
          <w:color w:val="auto"/>
          <w:sz w:val="21"/>
          <w:szCs w:val="21"/>
          <w:highlight w:val="none"/>
        </w:rPr>
        <w:t>，其余款项按季支付，每季按合同总价的</w:t>
      </w:r>
      <w:r>
        <w:rPr>
          <w:rFonts w:hint="eastAsia" w:ascii="宋体" w:hAns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rPr>
        <w:t>%进行支付</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同时核减本季度的考核情况。服务期</w:t>
      </w:r>
      <w:r>
        <w:rPr>
          <w:rFonts w:hint="eastAsia" w:ascii="宋体" w:hAnsi="宋体" w:eastAsia="宋体" w:cs="宋体"/>
          <w:bCs/>
          <w:color w:val="auto"/>
          <w:sz w:val="21"/>
          <w:szCs w:val="21"/>
          <w:highlight w:val="none"/>
          <w:lang w:val="en-US" w:eastAsia="zh-CN"/>
        </w:rPr>
        <w:t>每</w:t>
      </w:r>
      <w:r>
        <w:rPr>
          <w:rFonts w:hint="eastAsia" w:ascii="宋体" w:hAnsi="宋体" w:eastAsia="宋体" w:cs="宋体"/>
          <w:bCs/>
          <w:color w:val="auto"/>
          <w:sz w:val="21"/>
          <w:szCs w:val="21"/>
          <w:highlight w:val="none"/>
        </w:rPr>
        <w:t>满一个季度后，根据本季度的考核结果，</w:t>
      </w:r>
      <w:r>
        <w:rPr>
          <w:rFonts w:hint="eastAsia" w:ascii="宋体" w:hAnsi="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开具相应金额的发票</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采购方</w:t>
      </w:r>
      <w:r>
        <w:rPr>
          <w:rFonts w:hint="eastAsia" w:ascii="宋体" w:hAnsi="宋体" w:eastAsia="宋体" w:cs="宋体"/>
          <w:bCs/>
          <w:color w:val="auto"/>
          <w:sz w:val="21"/>
          <w:szCs w:val="21"/>
          <w:highlight w:val="none"/>
        </w:rPr>
        <w:t>在收到发票</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个工作日内进行支付。</w:t>
      </w:r>
    </w:p>
    <w:p w14:paraId="78A1A90B">
      <w:pPr>
        <w:autoSpaceDN w:val="0"/>
        <w:spacing w:line="360" w:lineRule="auto"/>
        <w:ind w:firstLine="422" w:firstLineChars="200"/>
        <w:rPr>
          <w:rFonts w:hint="eastAsia" w:ascii="宋体" w:hAnsi="宋体"/>
          <w:b/>
          <w:color w:val="auto"/>
          <w:sz w:val="36"/>
          <w:szCs w:val="36"/>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color w:val="auto"/>
          <w:szCs w:val="21"/>
          <w:highlight w:val="none"/>
        </w:rPr>
        <w:t>、本项目中标（成交）供应商应在浙江省政府采购网（http://zfcg.czt.zj.gov.cn/）上注册成为“政府采购供应商”，如不按要求注册的，采购方有权延期发布中标（成交）通知书和中标（成交）公告，后果由供应商自行承担。</w:t>
      </w:r>
    </w:p>
    <w:p w14:paraId="53567653">
      <w:pPr>
        <w:jc w:val="both"/>
        <w:rPr>
          <w:rFonts w:hint="eastAsia" w:asciiTheme="minorEastAsia" w:hAnsiTheme="minorEastAsia" w:eastAsiaTheme="minorEastAsia" w:cstheme="minorEastAsia"/>
          <w:b/>
          <w:color w:val="auto"/>
          <w:szCs w:val="21"/>
          <w:highlight w:val="none"/>
          <w:lang w:val="en-US" w:eastAsia="zh-CN"/>
        </w:rPr>
      </w:pPr>
      <w:r>
        <w:rPr>
          <w:rFonts w:hint="eastAsia" w:asciiTheme="minorEastAsia" w:hAnsiTheme="minorEastAsia" w:eastAsiaTheme="minorEastAsia" w:cstheme="minorEastAsia"/>
          <w:b/>
          <w:color w:val="auto"/>
          <w:szCs w:val="21"/>
          <w:highlight w:val="none"/>
          <w:lang w:val="en-US" w:eastAsia="zh-CN"/>
        </w:rPr>
        <w:t xml:space="preserve">附件                   </w:t>
      </w:r>
    </w:p>
    <w:p w14:paraId="76E055D5">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eastAsia="宋体"/>
          <w:color w:val="auto"/>
          <w:highlight w:val="none"/>
          <w:lang w:eastAsia="zh-CN"/>
        </w:rPr>
      </w:pPr>
      <w:r>
        <w:rPr>
          <w:rFonts w:hint="eastAsia"/>
          <w:b/>
          <w:bCs/>
          <w:color w:val="auto"/>
          <w:sz w:val="44"/>
          <w:szCs w:val="44"/>
          <w:highlight w:val="none"/>
        </w:rPr>
        <w:t>台州</w:t>
      </w:r>
      <w:r>
        <w:rPr>
          <w:rFonts w:hint="eastAsia"/>
          <w:b/>
          <w:bCs/>
          <w:color w:val="auto"/>
          <w:sz w:val="44"/>
          <w:szCs w:val="44"/>
          <w:highlight w:val="none"/>
          <w:lang w:eastAsia="zh-CN"/>
        </w:rPr>
        <w:t>湾新区</w:t>
      </w:r>
      <w:r>
        <w:rPr>
          <w:rFonts w:hint="eastAsia"/>
          <w:b/>
          <w:bCs/>
          <w:color w:val="auto"/>
          <w:sz w:val="44"/>
          <w:szCs w:val="44"/>
          <w:highlight w:val="none"/>
        </w:rPr>
        <w:t>智慧城管信息采集考核表</w:t>
      </w:r>
    </w:p>
    <w:p w14:paraId="2EDFF1A8">
      <w:pPr>
        <w:jc w:val="left"/>
        <w:rPr>
          <w:rFonts w:hint="eastAsia" w:asciiTheme="minorEastAsia" w:hAnsiTheme="minorEastAsia" w:eastAsiaTheme="minorEastAsia" w:cstheme="minorEastAsia"/>
          <w:color w:val="auto"/>
          <w:sz w:val="21"/>
          <w:szCs w:val="21"/>
          <w:highlight w:val="none"/>
          <w:lang w:val="en-US" w:eastAsia="zh-CN"/>
        </w:rPr>
      </w:pPr>
      <w:r>
        <w:rPr>
          <w:rFonts w:hint="eastAsia"/>
          <w:color w:val="auto"/>
          <w:highlight w:val="none"/>
          <w:lang w:val="en-US" w:eastAsia="zh-CN"/>
        </w:rPr>
        <w:t xml:space="preserve"> </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 xml:space="preserve"> 日至 </w:t>
      </w:r>
      <w:r>
        <w:rPr>
          <w:rFonts w:hint="eastAsia"/>
          <w:color w:val="auto"/>
          <w:highlight w:val="none"/>
          <w:lang w:val="en-US" w:eastAsia="zh-CN"/>
        </w:rPr>
        <w:t xml:space="preserve"> </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日</w:t>
      </w:r>
      <w:r>
        <w:rPr>
          <w:rFonts w:hint="eastAsia"/>
          <w:color w:val="auto"/>
          <w:highlight w:val="none"/>
        </w:rPr>
        <w:t>止</w:t>
      </w:r>
      <w:r>
        <w:rPr>
          <w:color w:val="auto"/>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考核人：</w:t>
      </w:r>
    </w:p>
    <w:tbl>
      <w:tblPr>
        <w:tblStyle w:val="22"/>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308"/>
        <w:gridCol w:w="733"/>
        <w:gridCol w:w="10"/>
        <w:gridCol w:w="1673"/>
        <w:gridCol w:w="1384"/>
        <w:gridCol w:w="1593"/>
        <w:gridCol w:w="717"/>
        <w:gridCol w:w="694"/>
        <w:gridCol w:w="673"/>
      </w:tblGrid>
      <w:tr w14:paraId="00D8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blHeader/>
          <w:jc w:val="center"/>
        </w:trPr>
        <w:tc>
          <w:tcPr>
            <w:tcW w:w="2380" w:type="dxa"/>
            <w:gridSpan w:val="2"/>
            <w:tcBorders>
              <w:top w:val="single" w:color="auto" w:sz="4" w:space="0"/>
              <w:left w:val="single" w:color="auto" w:sz="4" w:space="0"/>
              <w:bottom w:val="single" w:color="auto" w:sz="4" w:space="0"/>
              <w:right w:val="single" w:color="auto" w:sz="4" w:space="0"/>
            </w:tcBorders>
            <w:noWrap w:val="0"/>
            <w:vAlign w:val="center"/>
          </w:tcPr>
          <w:p w14:paraId="6E0F236E">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考核内容</w:t>
            </w:r>
          </w:p>
        </w:tc>
        <w:tc>
          <w:tcPr>
            <w:tcW w:w="3800" w:type="dxa"/>
            <w:gridSpan w:val="4"/>
            <w:tcBorders>
              <w:top w:val="single" w:color="auto" w:sz="4" w:space="0"/>
              <w:left w:val="single" w:color="auto" w:sz="4" w:space="0"/>
              <w:bottom w:val="single" w:color="auto" w:sz="4" w:space="0"/>
              <w:right w:val="single" w:color="auto" w:sz="4" w:space="0"/>
            </w:tcBorders>
            <w:noWrap w:val="0"/>
            <w:vAlign w:val="center"/>
          </w:tcPr>
          <w:p w14:paraId="4113A350">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1593" w:type="dxa"/>
            <w:tcBorders>
              <w:top w:val="single" w:color="auto" w:sz="4" w:space="0"/>
              <w:left w:val="single" w:color="auto" w:sz="4" w:space="0"/>
              <w:bottom w:val="single" w:color="auto" w:sz="4" w:space="0"/>
              <w:right w:val="single" w:color="auto" w:sz="4" w:space="0"/>
            </w:tcBorders>
            <w:noWrap w:val="0"/>
            <w:vAlign w:val="center"/>
          </w:tcPr>
          <w:p w14:paraId="338CBEB7">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考核方法</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750094C4">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考核结果</w:t>
            </w:r>
          </w:p>
        </w:tc>
        <w:tc>
          <w:tcPr>
            <w:tcW w:w="694" w:type="dxa"/>
            <w:tcBorders>
              <w:top w:val="single" w:color="auto" w:sz="4" w:space="0"/>
              <w:left w:val="single" w:color="auto" w:sz="4" w:space="0"/>
              <w:bottom w:val="single" w:color="auto" w:sz="4" w:space="0"/>
              <w:right w:val="single" w:color="auto" w:sz="4" w:space="0"/>
            </w:tcBorders>
            <w:noWrap w:val="0"/>
            <w:vAlign w:val="center"/>
          </w:tcPr>
          <w:p w14:paraId="4BB8F7C6">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考核得分</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2FDF0856">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计扣情况</w:t>
            </w:r>
          </w:p>
        </w:tc>
      </w:tr>
      <w:tr w14:paraId="215E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072" w:type="dxa"/>
            <w:vMerge w:val="restart"/>
            <w:tcBorders>
              <w:top w:val="single" w:color="auto" w:sz="4" w:space="0"/>
              <w:left w:val="single" w:color="auto" w:sz="4" w:space="0"/>
              <w:bottom w:val="single" w:color="auto" w:sz="4" w:space="0"/>
              <w:right w:val="single" w:color="auto" w:sz="4" w:space="0"/>
            </w:tcBorders>
            <w:noWrap w:val="0"/>
            <w:vAlign w:val="center"/>
          </w:tcPr>
          <w:p w14:paraId="23771DCC">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一、</w:t>
            </w:r>
            <w:r>
              <w:rPr>
                <w:rFonts w:hint="eastAsia" w:asciiTheme="minorEastAsia" w:hAnsiTheme="minorEastAsia" w:eastAsiaTheme="minorEastAsia" w:cstheme="minorEastAsia"/>
                <w:b/>
                <w:color w:val="auto"/>
                <w:sz w:val="21"/>
                <w:szCs w:val="21"/>
                <w:highlight w:val="none"/>
              </w:rPr>
              <w:t>上报有效信息数根据各区县定额完成</w:t>
            </w:r>
          </w:p>
          <w:p w14:paraId="64FE257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30</w:t>
            </w:r>
            <w:r>
              <w:rPr>
                <w:rFonts w:hint="eastAsia" w:asciiTheme="minorEastAsia" w:hAnsiTheme="minorEastAsia" w:eastAsiaTheme="minorEastAsia" w:cstheme="minorEastAsia"/>
                <w:b/>
                <w:color w:val="auto"/>
                <w:sz w:val="21"/>
                <w:szCs w:val="21"/>
                <w:highlight w:val="none"/>
              </w:rPr>
              <w:t>分）</w:t>
            </w:r>
          </w:p>
        </w:tc>
        <w:tc>
          <w:tcPr>
            <w:tcW w:w="1308" w:type="dxa"/>
            <w:tcBorders>
              <w:top w:val="single" w:color="auto" w:sz="4" w:space="0"/>
              <w:left w:val="single" w:color="auto" w:sz="4" w:space="0"/>
              <w:bottom w:val="single" w:color="auto" w:sz="4" w:space="0"/>
              <w:right w:val="single" w:color="auto" w:sz="4" w:space="0"/>
            </w:tcBorders>
            <w:noWrap w:val="0"/>
            <w:vAlign w:val="center"/>
          </w:tcPr>
          <w:p w14:paraId="78A56A46">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1.月上报数（1</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分）</w:t>
            </w:r>
          </w:p>
        </w:tc>
        <w:tc>
          <w:tcPr>
            <w:tcW w:w="743" w:type="dxa"/>
            <w:gridSpan w:val="2"/>
            <w:tcBorders>
              <w:top w:val="single" w:color="auto" w:sz="4" w:space="0"/>
              <w:left w:val="single" w:color="auto" w:sz="4" w:space="0"/>
              <w:bottom w:val="single" w:color="auto" w:sz="4" w:space="0"/>
              <w:right w:val="single" w:color="auto" w:sz="4" w:space="0"/>
            </w:tcBorders>
            <w:noWrap w:val="0"/>
            <w:vAlign w:val="center"/>
          </w:tcPr>
          <w:p w14:paraId="00399D2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台州</w:t>
            </w:r>
            <w:r>
              <w:rPr>
                <w:rFonts w:hint="eastAsia" w:asciiTheme="minorEastAsia" w:hAnsiTheme="minorEastAsia" w:eastAsiaTheme="minorEastAsia" w:cstheme="minorEastAsia"/>
                <w:color w:val="auto"/>
                <w:sz w:val="21"/>
                <w:szCs w:val="21"/>
                <w:highlight w:val="none"/>
                <w:lang w:eastAsia="zh-CN"/>
              </w:rPr>
              <w:t>湾新区</w:t>
            </w:r>
            <w:r>
              <w:rPr>
                <w:rFonts w:hint="eastAsia" w:asciiTheme="minorEastAsia" w:hAnsiTheme="minorEastAsia" w:eastAsiaTheme="minorEastAsia" w:cstheme="minorEastAsia"/>
                <w:color w:val="auto"/>
                <w:sz w:val="21"/>
                <w:szCs w:val="21"/>
                <w:highlight w:val="none"/>
              </w:rPr>
              <w:t>信息采集</w:t>
            </w:r>
          </w:p>
        </w:tc>
        <w:tc>
          <w:tcPr>
            <w:tcW w:w="3057" w:type="dxa"/>
            <w:gridSpan w:val="2"/>
            <w:tcBorders>
              <w:top w:val="single" w:color="auto" w:sz="4" w:space="0"/>
              <w:left w:val="single" w:color="auto" w:sz="4" w:space="0"/>
              <w:bottom w:val="single" w:color="auto" w:sz="4" w:space="0"/>
              <w:right w:val="single" w:color="auto" w:sz="4" w:space="0"/>
            </w:tcBorders>
            <w:noWrap w:val="0"/>
            <w:vAlign w:val="center"/>
          </w:tcPr>
          <w:p w14:paraId="1FB8A5A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月均上报量</w:t>
            </w:r>
            <w:r>
              <w:rPr>
                <w:rFonts w:hint="eastAsia" w:asciiTheme="minorEastAsia" w:hAnsiTheme="minorEastAsia" w:eastAsiaTheme="minorEastAsia" w:cstheme="minorEastAsia"/>
                <w:color w:val="auto"/>
                <w:sz w:val="21"/>
                <w:szCs w:val="21"/>
                <w:highlight w:val="none"/>
                <w:lang w:val="en-US" w:eastAsia="zh-CN"/>
              </w:rPr>
              <w:t>2500</w:t>
            </w:r>
            <w:r>
              <w:rPr>
                <w:rFonts w:hint="eastAsia" w:asciiTheme="minorEastAsia" w:hAnsiTheme="minorEastAsia" w:eastAsiaTheme="minorEastAsia" w:cstheme="minorEastAsia"/>
                <w:color w:val="auto"/>
                <w:sz w:val="21"/>
                <w:szCs w:val="21"/>
                <w:highlight w:val="none"/>
              </w:rPr>
              <w:t>条，其中，其中采集上报：部件不低于100条；事件不足部分按2元/条计扣、部件不足部分按4元/条计扣；其中事件每100条扣1分、部件每8条扣1分计算，扣完1</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分为止。</w:t>
            </w:r>
          </w:p>
        </w:tc>
        <w:tc>
          <w:tcPr>
            <w:tcW w:w="1593" w:type="dxa"/>
            <w:tcBorders>
              <w:top w:val="single" w:color="auto" w:sz="4" w:space="0"/>
              <w:left w:val="single" w:color="auto" w:sz="4" w:space="0"/>
              <w:bottom w:val="single" w:color="auto" w:sz="4" w:space="0"/>
              <w:right w:val="single" w:color="auto" w:sz="4" w:space="0"/>
            </w:tcBorders>
            <w:noWrap w:val="0"/>
            <w:vAlign w:val="center"/>
          </w:tcPr>
          <w:p w14:paraId="3E0EEEB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系统统计</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47A83541">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b w:val="0"/>
                <w:bCs/>
                <w:color w:val="auto"/>
                <w:sz w:val="21"/>
                <w:szCs w:val="21"/>
                <w:highlight w:val="none"/>
                <w:lang w:val="en-US" w:eastAsia="zh-CN"/>
              </w:rPr>
            </w:pPr>
          </w:p>
        </w:tc>
        <w:tc>
          <w:tcPr>
            <w:tcW w:w="694" w:type="dxa"/>
            <w:tcBorders>
              <w:top w:val="single" w:color="auto" w:sz="4" w:space="0"/>
              <w:left w:val="single" w:color="auto" w:sz="4" w:space="0"/>
              <w:bottom w:val="single" w:color="auto" w:sz="4" w:space="0"/>
              <w:right w:val="single" w:color="auto" w:sz="4" w:space="0"/>
            </w:tcBorders>
            <w:noWrap w:val="0"/>
            <w:vAlign w:val="center"/>
          </w:tcPr>
          <w:p w14:paraId="135ACEF2">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b w:val="0"/>
                <w:bCs/>
                <w:color w:val="auto"/>
                <w:sz w:val="21"/>
                <w:szCs w:val="21"/>
                <w:highlight w:val="none"/>
                <w:lang w:val="en-US" w:eastAsia="zh-CN"/>
              </w:rPr>
            </w:pPr>
          </w:p>
        </w:tc>
        <w:tc>
          <w:tcPr>
            <w:tcW w:w="673" w:type="dxa"/>
            <w:tcBorders>
              <w:top w:val="single" w:color="auto" w:sz="4" w:space="0"/>
              <w:left w:val="single" w:color="auto" w:sz="4" w:space="0"/>
              <w:bottom w:val="single" w:color="auto" w:sz="4" w:space="0"/>
              <w:right w:val="single" w:color="auto" w:sz="4" w:space="0"/>
            </w:tcBorders>
            <w:noWrap w:val="0"/>
            <w:vAlign w:val="center"/>
          </w:tcPr>
          <w:p w14:paraId="1BF0DC54">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color w:val="auto"/>
                <w:sz w:val="21"/>
                <w:szCs w:val="21"/>
                <w:highlight w:val="none"/>
              </w:rPr>
            </w:pPr>
          </w:p>
        </w:tc>
      </w:tr>
      <w:tr w14:paraId="0AAE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072" w:type="dxa"/>
            <w:vMerge w:val="continue"/>
            <w:tcBorders>
              <w:top w:val="single" w:color="auto" w:sz="4" w:space="0"/>
              <w:left w:val="single" w:color="auto" w:sz="4" w:space="0"/>
              <w:bottom w:val="single" w:color="auto" w:sz="4" w:space="0"/>
              <w:right w:val="single" w:color="auto" w:sz="4" w:space="0"/>
            </w:tcBorders>
            <w:noWrap w:val="0"/>
            <w:vAlign w:val="center"/>
          </w:tcPr>
          <w:p w14:paraId="179405E4">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c>
          <w:tcPr>
            <w:tcW w:w="1308" w:type="dxa"/>
            <w:vMerge w:val="restart"/>
            <w:tcBorders>
              <w:top w:val="single" w:color="auto" w:sz="4" w:space="0"/>
              <w:left w:val="single" w:color="auto" w:sz="4" w:space="0"/>
              <w:bottom w:val="single" w:color="auto" w:sz="4" w:space="0"/>
              <w:right w:val="single" w:color="auto" w:sz="4" w:space="0"/>
            </w:tcBorders>
            <w:noWrap w:val="0"/>
            <w:vAlign w:val="center"/>
          </w:tcPr>
          <w:p w14:paraId="67B32FD3">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2.差错率（7分）</w:t>
            </w:r>
          </w:p>
        </w:tc>
        <w:tc>
          <w:tcPr>
            <w:tcW w:w="3800" w:type="dxa"/>
            <w:gridSpan w:val="4"/>
            <w:tcBorders>
              <w:top w:val="single" w:color="auto" w:sz="4" w:space="0"/>
              <w:left w:val="single" w:color="auto" w:sz="4" w:space="0"/>
              <w:bottom w:val="single" w:color="auto" w:sz="4" w:space="0"/>
              <w:right w:val="single" w:color="auto" w:sz="4" w:space="0"/>
            </w:tcBorders>
            <w:noWrap w:val="0"/>
            <w:vAlign w:val="center"/>
          </w:tcPr>
          <w:p w14:paraId="159178F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差错率不超过4%，每增加0.5%，计扣1000元，并扣1分，扣完7分</w:t>
            </w:r>
            <w:r>
              <w:rPr>
                <w:rFonts w:hint="eastAsia" w:asciiTheme="minorEastAsia" w:hAnsiTheme="minorEastAsia" w:eastAsiaTheme="minorEastAsia" w:cstheme="minorEastAsia"/>
                <w:color w:val="auto"/>
                <w:sz w:val="21"/>
                <w:szCs w:val="21"/>
                <w:highlight w:val="none"/>
                <w:lang w:val="en-US" w:eastAsia="zh-CN"/>
              </w:rPr>
              <w:t>/扣完7000元</w:t>
            </w:r>
            <w:r>
              <w:rPr>
                <w:rFonts w:hint="eastAsia" w:asciiTheme="minorEastAsia" w:hAnsiTheme="minorEastAsia" w:eastAsiaTheme="minorEastAsia" w:cstheme="minorEastAsia"/>
                <w:color w:val="auto"/>
                <w:sz w:val="21"/>
                <w:szCs w:val="21"/>
                <w:highlight w:val="none"/>
              </w:rPr>
              <w:t>为止。（具体公式见最后一页备注）</w:t>
            </w:r>
          </w:p>
        </w:tc>
        <w:tc>
          <w:tcPr>
            <w:tcW w:w="1593" w:type="dxa"/>
            <w:vMerge w:val="restart"/>
            <w:tcBorders>
              <w:top w:val="single" w:color="auto" w:sz="4" w:space="0"/>
              <w:left w:val="single" w:color="auto" w:sz="4" w:space="0"/>
              <w:bottom w:val="single" w:color="auto" w:sz="4" w:space="0"/>
              <w:right w:val="single" w:color="auto" w:sz="4" w:space="0"/>
            </w:tcBorders>
            <w:noWrap w:val="0"/>
            <w:vAlign w:val="center"/>
          </w:tcPr>
          <w:p w14:paraId="7B70BC21">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系统统计</w:t>
            </w:r>
          </w:p>
        </w:tc>
        <w:tc>
          <w:tcPr>
            <w:tcW w:w="717" w:type="dxa"/>
            <w:vMerge w:val="restart"/>
            <w:tcBorders>
              <w:top w:val="single" w:color="auto" w:sz="4" w:space="0"/>
              <w:left w:val="single" w:color="auto" w:sz="4" w:space="0"/>
              <w:bottom w:val="single" w:color="auto" w:sz="4" w:space="0"/>
              <w:right w:val="single" w:color="auto" w:sz="4" w:space="0"/>
            </w:tcBorders>
            <w:noWrap w:val="0"/>
            <w:vAlign w:val="center"/>
          </w:tcPr>
          <w:p w14:paraId="6D21C098">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c>
          <w:tcPr>
            <w:tcW w:w="694" w:type="dxa"/>
            <w:vMerge w:val="restart"/>
            <w:tcBorders>
              <w:top w:val="single" w:color="auto" w:sz="4" w:space="0"/>
              <w:left w:val="single" w:color="auto" w:sz="4" w:space="0"/>
              <w:bottom w:val="single" w:color="auto" w:sz="4" w:space="0"/>
              <w:right w:val="single" w:color="auto" w:sz="4" w:space="0"/>
            </w:tcBorders>
            <w:noWrap w:val="0"/>
            <w:vAlign w:val="center"/>
          </w:tcPr>
          <w:p w14:paraId="2F1B1B61">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c>
          <w:tcPr>
            <w:tcW w:w="673" w:type="dxa"/>
            <w:vMerge w:val="restart"/>
            <w:tcBorders>
              <w:top w:val="single" w:color="auto" w:sz="4" w:space="0"/>
              <w:left w:val="single" w:color="auto" w:sz="4" w:space="0"/>
              <w:bottom w:val="single" w:color="auto" w:sz="4" w:space="0"/>
              <w:right w:val="single" w:color="auto" w:sz="4" w:space="0"/>
            </w:tcBorders>
            <w:noWrap w:val="0"/>
            <w:vAlign w:val="center"/>
          </w:tcPr>
          <w:p w14:paraId="552814E8">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r>
      <w:tr w14:paraId="50E1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72" w:type="dxa"/>
            <w:vMerge w:val="continue"/>
            <w:tcBorders>
              <w:top w:val="single" w:color="auto" w:sz="4" w:space="0"/>
              <w:left w:val="single" w:color="auto" w:sz="4" w:space="0"/>
              <w:bottom w:val="single" w:color="auto" w:sz="4" w:space="0"/>
              <w:right w:val="single" w:color="auto" w:sz="4" w:space="0"/>
            </w:tcBorders>
            <w:noWrap w:val="0"/>
            <w:vAlign w:val="center"/>
          </w:tcPr>
          <w:p w14:paraId="3F813AD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c>
          <w:tcPr>
            <w:tcW w:w="1308" w:type="dxa"/>
            <w:vMerge w:val="continue"/>
            <w:tcBorders>
              <w:top w:val="single" w:color="auto" w:sz="4" w:space="0"/>
              <w:left w:val="single" w:color="auto" w:sz="4" w:space="0"/>
              <w:bottom w:val="single" w:color="auto" w:sz="4" w:space="0"/>
              <w:right w:val="single" w:color="auto" w:sz="4" w:space="0"/>
            </w:tcBorders>
            <w:noWrap w:val="0"/>
            <w:vAlign w:val="center"/>
          </w:tcPr>
          <w:p w14:paraId="1B1ABC9E">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c>
          <w:tcPr>
            <w:tcW w:w="3800" w:type="dxa"/>
            <w:gridSpan w:val="4"/>
            <w:tcBorders>
              <w:top w:val="single" w:color="auto" w:sz="4" w:space="0"/>
              <w:left w:val="single" w:color="auto" w:sz="4" w:space="0"/>
              <w:bottom w:val="single" w:color="auto" w:sz="4" w:space="0"/>
              <w:right w:val="single" w:color="auto" w:sz="4" w:space="0"/>
            </w:tcBorders>
            <w:noWrap w:val="0"/>
            <w:vAlign w:val="center"/>
          </w:tcPr>
          <w:p w14:paraId="2877048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差错率小于2%的，每减小0.2%，加2分，最多加15分。</w:t>
            </w:r>
          </w:p>
        </w:tc>
        <w:tc>
          <w:tcPr>
            <w:tcW w:w="1593" w:type="dxa"/>
            <w:vMerge w:val="continue"/>
            <w:tcBorders>
              <w:top w:val="single" w:color="auto" w:sz="4" w:space="0"/>
              <w:left w:val="single" w:color="auto" w:sz="4" w:space="0"/>
              <w:bottom w:val="single" w:color="auto" w:sz="4" w:space="0"/>
              <w:right w:val="single" w:color="auto" w:sz="4" w:space="0"/>
            </w:tcBorders>
            <w:noWrap w:val="0"/>
            <w:vAlign w:val="center"/>
          </w:tcPr>
          <w:p w14:paraId="0BEF5873">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14:paraId="178D2F08">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c>
          <w:tcPr>
            <w:tcW w:w="694" w:type="dxa"/>
            <w:vMerge w:val="continue"/>
            <w:tcBorders>
              <w:top w:val="single" w:color="auto" w:sz="4" w:space="0"/>
              <w:left w:val="single" w:color="auto" w:sz="4" w:space="0"/>
              <w:bottom w:val="single" w:color="auto" w:sz="4" w:space="0"/>
              <w:right w:val="single" w:color="auto" w:sz="4" w:space="0"/>
            </w:tcBorders>
            <w:noWrap w:val="0"/>
            <w:vAlign w:val="center"/>
          </w:tcPr>
          <w:p w14:paraId="194893CC">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c>
          <w:tcPr>
            <w:tcW w:w="673" w:type="dxa"/>
            <w:vMerge w:val="continue"/>
            <w:tcBorders>
              <w:top w:val="single" w:color="auto" w:sz="4" w:space="0"/>
              <w:left w:val="single" w:color="auto" w:sz="4" w:space="0"/>
              <w:bottom w:val="single" w:color="auto" w:sz="4" w:space="0"/>
              <w:right w:val="single" w:color="auto" w:sz="4" w:space="0"/>
            </w:tcBorders>
            <w:noWrap w:val="0"/>
            <w:vAlign w:val="center"/>
          </w:tcPr>
          <w:p w14:paraId="31272298">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r>
      <w:tr w14:paraId="19A6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072" w:type="dxa"/>
            <w:vMerge w:val="continue"/>
            <w:tcBorders>
              <w:top w:val="single" w:color="auto" w:sz="4" w:space="0"/>
              <w:left w:val="single" w:color="auto" w:sz="4" w:space="0"/>
              <w:bottom w:val="single" w:color="auto" w:sz="4" w:space="0"/>
              <w:right w:val="single" w:color="auto" w:sz="4" w:space="0"/>
            </w:tcBorders>
            <w:noWrap w:val="0"/>
            <w:vAlign w:val="center"/>
          </w:tcPr>
          <w:p w14:paraId="4E9E61E9">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14:paraId="5738D3B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3.事部件</w:t>
            </w:r>
            <w:r>
              <w:rPr>
                <w:rFonts w:hint="eastAsia" w:asciiTheme="minorEastAsia" w:hAnsiTheme="minorEastAsia" w:eastAsiaTheme="minorEastAsia" w:cstheme="minorEastAsia"/>
                <w:color w:val="auto"/>
                <w:sz w:val="21"/>
                <w:szCs w:val="21"/>
                <w:highlight w:val="none"/>
                <w:lang w:eastAsia="zh-CN"/>
              </w:rPr>
              <w:t>大小类率（</w:t>
            </w:r>
            <w:r>
              <w:rPr>
                <w:rFonts w:hint="eastAsia" w:asciiTheme="minorEastAsia" w:hAnsiTheme="minorEastAsia" w:eastAsiaTheme="minorEastAsia" w:cstheme="minorEastAsia"/>
                <w:color w:val="auto"/>
                <w:sz w:val="21"/>
                <w:szCs w:val="21"/>
                <w:highlight w:val="none"/>
                <w:lang w:val="en-US" w:eastAsia="zh-CN"/>
              </w:rPr>
              <w:t>5分</w:t>
            </w:r>
            <w:r>
              <w:rPr>
                <w:rFonts w:hint="eastAsia" w:asciiTheme="minorEastAsia" w:hAnsiTheme="minorEastAsia" w:eastAsiaTheme="minorEastAsia" w:cstheme="minorEastAsia"/>
                <w:color w:val="auto"/>
                <w:sz w:val="21"/>
                <w:szCs w:val="21"/>
                <w:highlight w:val="none"/>
                <w:lang w:eastAsia="zh-CN"/>
              </w:rPr>
              <w:t>）</w:t>
            </w:r>
          </w:p>
        </w:tc>
        <w:tc>
          <w:tcPr>
            <w:tcW w:w="3800" w:type="dxa"/>
            <w:gridSpan w:val="4"/>
            <w:tcBorders>
              <w:top w:val="single" w:color="auto" w:sz="4" w:space="0"/>
              <w:left w:val="single" w:color="auto" w:sz="4" w:space="0"/>
              <w:bottom w:val="single" w:color="auto" w:sz="4" w:space="0"/>
              <w:right w:val="single" w:color="auto" w:sz="4" w:space="0"/>
            </w:tcBorders>
            <w:noWrap w:val="0"/>
            <w:vAlign w:val="center"/>
          </w:tcPr>
          <w:p w14:paraId="330FBA2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事部件覆盖率（不含处罚案件）大类全覆盖、小类大于145类，每少1类扣1分，并扣500元。小类低于140类的一次性扣5000元。大小类覆盖类型错误的，每发现一处扣0.5分，并扣200元，最多扣5分。</w:t>
            </w:r>
          </w:p>
        </w:tc>
        <w:tc>
          <w:tcPr>
            <w:tcW w:w="1593" w:type="dxa"/>
            <w:tcBorders>
              <w:top w:val="single" w:color="auto" w:sz="4" w:space="0"/>
              <w:left w:val="single" w:color="auto" w:sz="4" w:space="0"/>
              <w:bottom w:val="single" w:color="auto" w:sz="4" w:space="0"/>
              <w:right w:val="single" w:color="auto" w:sz="4" w:space="0"/>
            </w:tcBorders>
            <w:noWrap w:val="0"/>
            <w:vAlign w:val="center"/>
          </w:tcPr>
          <w:p w14:paraId="4A1D718E">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系统统计</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eastAsia="zh-CN"/>
              </w:rPr>
              <w:t>智慧城管</w:t>
            </w:r>
            <w:r>
              <w:rPr>
                <w:rFonts w:hint="eastAsia" w:asciiTheme="minorEastAsia" w:hAnsiTheme="minorEastAsia" w:eastAsiaTheme="minorEastAsia" w:cstheme="minorEastAsia"/>
                <w:color w:val="auto"/>
                <w:sz w:val="21"/>
                <w:szCs w:val="21"/>
                <w:highlight w:val="none"/>
              </w:rPr>
              <w:t>中心反馈</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6F8A1D6A">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c>
          <w:tcPr>
            <w:tcW w:w="694" w:type="dxa"/>
            <w:tcBorders>
              <w:top w:val="single" w:color="auto" w:sz="4" w:space="0"/>
              <w:left w:val="single" w:color="auto" w:sz="4" w:space="0"/>
              <w:bottom w:val="single" w:color="auto" w:sz="4" w:space="0"/>
              <w:right w:val="single" w:color="auto" w:sz="4" w:space="0"/>
            </w:tcBorders>
            <w:noWrap w:val="0"/>
            <w:vAlign w:val="center"/>
          </w:tcPr>
          <w:p w14:paraId="4786E8D9">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c>
          <w:tcPr>
            <w:tcW w:w="673" w:type="dxa"/>
            <w:tcBorders>
              <w:top w:val="single" w:color="auto" w:sz="4" w:space="0"/>
              <w:left w:val="single" w:color="auto" w:sz="4" w:space="0"/>
              <w:bottom w:val="single" w:color="auto" w:sz="4" w:space="0"/>
              <w:right w:val="single" w:color="auto" w:sz="4" w:space="0"/>
            </w:tcBorders>
            <w:noWrap w:val="0"/>
            <w:vAlign w:val="center"/>
          </w:tcPr>
          <w:p w14:paraId="717A508B">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r>
      <w:tr w14:paraId="189B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072" w:type="dxa"/>
            <w:vMerge w:val="continue"/>
            <w:tcBorders>
              <w:top w:val="single" w:color="auto" w:sz="4" w:space="0"/>
              <w:left w:val="single" w:color="auto" w:sz="4" w:space="0"/>
              <w:bottom w:val="single" w:color="auto" w:sz="4" w:space="0"/>
              <w:right w:val="single" w:color="auto" w:sz="4" w:space="0"/>
            </w:tcBorders>
            <w:noWrap w:val="0"/>
            <w:vAlign w:val="center"/>
          </w:tcPr>
          <w:p w14:paraId="64646CB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14:paraId="02828BA8">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4.小类数量（5分）</w:t>
            </w:r>
          </w:p>
        </w:tc>
        <w:tc>
          <w:tcPr>
            <w:tcW w:w="3800" w:type="dxa"/>
            <w:gridSpan w:val="4"/>
            <w:tcBorders>
              <w:top w:val="single" w:color="auto" w:sz="4" w:space="0"/>
              <w:left w:val="single" w:color="auto" w:sz="4" w:space="0"/>
              <w:bottom w:val="single" w:color="auto" w:sz="4" w:space="0"/>
              <w:right w:val="single" w:color="auto" w:sz="4" w:space="0"/>
            </w:tcBorders>
            <w:noWrap w:val="0"/>
            <w:vAlign w:val="center"/>
          </w:tcPr>
          <w:p w14:paraId="7C812B71">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当月小类数量排名第71到第80位的事部件数量总和不少于30件，每少1件扣1分，并扣1000元，最多扣5分。</w:t>
            </w:r>
          </w:p>
        </w:tc>
        <w:tc>
          <w:tcPr>
            <w:tcW w:w="1593" w:type="dxa"/>
            <w:tcBorders>
              <w:top w:val="single" w:color="auto" w:sz="4" w:space="0"/>
              <w:left w:val="single" w:color="auto" w:sz="4" w:space="0"/>
              <w:bottom w:val="single" w:color="auto" w:sz="4" w:space="0"/>
              <w:right w:val="single" w:color="auto" w:sz="4" w:space="0"/>
            </w:tcBorders>
            <w:noWrap w:val="0"/>
            <w:vAlign w:val="center"/>
          </w:tcPr>
          <w:p w14:paraId="48DD5089">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0554A9BE">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c>
          <w:tcPr>
            <w:tcW w:w="694" w:type="dxa"/>
            <w:tcBorders>
              <w:top w:val="single" w:color="auto" w:sz="4" w:space="0"/>
              <w:left w:val="single" w:color="auto" w:sz="4" w:space="0"/>
              <w:bottom w:val="single" w:color="auto" w:sz="4" w:space="0"/>
              <w:right w:val="single" w:color="auto" w:sz="4" w:space="0"/>
            </w:tcBorders>
            <w:noWrap w:val="0"/>
            <w:vAlign w:val="center"/>
          </w:tcPr>
          <w:p w14:paraId="78455A37">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c>
          <w:tcPr>
            <w:tcW w:w="673" w:type="dxa"/>
            <w:tcBorders>
              <w:top w:val="single" w:color="auto" w:sz="4" w:space="0"/>
              <w:left w:val="single" w:color="auto" w:sz="4" w:space="0"/>
              <w:bottom w:val="single" w:color="auto" w:sz="4" w:space="0"/>
              <w:right w:val="single" w:color="auto" w:sz="4" w:space="0"/>
            </w:tcBorders>
            <w:noWrap w:val="0"/>
            <w:vAlign w:val="center"/>
          </w:tcPr>
          <w:p w14:paraId="4501D81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r>
      <w:tr w14:paraId="1489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072" w:type="dxa"/>
            <w:vMerge w:val="continue"/>
            <w:tcBorders>
              <w:top w:val="single" w:color="auto" w:sz="4" w:space="0"/>
              <w:left w:val="single" w:color="auto" w:sz="4" w:space="0"/>
              <w:bottom w:val="single" w:color="auto" w:sz="4" w:space="0"/>
              <w:right w:val="single" w:color="auto" w:sz="4" w:space="0"/>
            </w:tcBorders>
            <w:noWrap w:val="0"/>
            <w:vAlign w:val="center"/>
          </w:tcPr>
          <w:p w14:paraId="52E8AFF2">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14:paraId="2630AD79">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.重大差错（3分）</w:t>
            </w:r>
          </w:p>
        </w:tc>
        <w:tc>
          <w:tcPr>
            <w:tcW w:w="3800" w:type="dxa"/>
            <w:gridSpan w:val="4"/>
            <w:tcBorders>
              <w:top w:val="single" w:color="auto" w:sz="4" w:space="0"/>
              <w:left w:val="single" w:color="auto" w:sz="4" w:space="0"/>
              <w:bottom w:val="single" w:color="auto" w:sz="4" w:space="0"/>
              <w:right w:val="single" w:color="auto" w:sz="4" w:space="0"/>
            </w:tcBorders>
            <w:noWrap w:val="0"/>
            <w:vAlign w:val="center"/>
          </w:tcPr>
          <w:p w14:paraId="7FD4FC11">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产生重大差错的，事件每件扣100元，部件每件扣200元，并相应扣1分，扣完3分为止。扣完3分为否定项，当月考核不合格。</w:t>
            </w:r>
          </w:p>
        </w:tc>
        <w:tc>
          <w:tcPr>
            <w:tcW w:w="1593" w:type="dxa"/>
            <w:tcBorders>
              <w:top w:val="single" w:color="auto" w:sz="4" w:space="0"/>
              <w:left w:val="single" w:color="auto" w:sz="4" w:space="0"/>
              <w:bottom w:val="single" w:color="auto" w:sz="4" w:space="0"/>
              <w:right w:val="single" w:color="auto" w:sz="4" w:space="0"/>
            </w:tcBorders>
            <w:noWrap w:val="0"/>
            <w:vAlign w:val="center"/>
          </w:tcPr>
          <w:p w14:paraId="6F0692A9">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智慧城管</w:t>
            </w:r>
            <w:r>
              <w:rPr>
                <w:rFonts w:hint="eastAsia" w:asciiTheme="minorEastAsia" w:hAnsiTheme="minorEastAsia" w:eastAsiaTheme="minorEastAsia" w:cstheme="minorEastAsia"/>
                <w:color w:val="auto"/>
                <w:sz w:val="21"/>
                <w:szCs w:val="21"/>
                <w:highlight w:val="none"/>
              </w:rPr>
              <w:t>中心反馈</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3754C46B">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c>
          <w:tcPr>
            <w:tcW w:w="694" w:type="dxa"/>
            <w:tcBorders>
              <w:top w:val="single" w:color="auto" w:sz="4" w:space="0"/>
              <w:left w:val="single" w:color="auto" w:sz="4" w:space="0"/>
              <w:bottom w:val="single" w:color="auto" w:sz="4" w:space="0"/>
              <w:right w:val="single" w:color="auto" w:sz="4" w:space="0"/>
            </w:tcBorders>
            <w:noWrap w:val="0"/>
            <w:vAlign w:val="center"/>
          </w:tcPr>
          <w:p w14:paraId="4B7475CC">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c>
          <w:tcPr>
            <w:tcW w:w="673" w:type="dxa"/>
            <w:tcBorders>
              <w:top w:val="single" w:color="auto" w:sz="4" w:space="0"/>
              <w:left w:val="single" w:color="auto" w:sz="4" w:space="0"/>
              <w:bottom w:val="single" w:color="auto" w:sz="4" w:space="0"/>
              <w:right w:val="single" w:color="auto" w:sz="4" w:space="0"/>
            </w:tcBorders>
            <w:noWrap w:val="0"/>
            <w:vAlign w:val="center"/>
          </w:tcPr>
          <w:p w14:paraId="6B7B28D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r>
      <w:tr w14:paraId="2E20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72" w:type="dxa"/>
            <w:vMerge w:val="restart"/>
            <w:tcBorders>
              <w:top w:val="single" w:color="auto" w:sz="4" w:space="0"/>
              <w:left w:val="single" w:color="auto" w:sz="4" w:space="0"/>
              <w:right w:val="single" w:color="auto" w:sz="4" w:space="0"/>
            </w:tcBorders>
            <w:noWrap w:val="0"/>
            <w:vAlign w:val="center"/>
          </w:tcPr>
          <w:p w14:paraId="742B2F38">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color w:val="auto"/>
                <w:sz w:val="21"/>
                <w:szCs w:val="21"/>
                <w:highlight w:val="none"/>
              </w:rPr>
              <w:t>二、</w:t>
            </w:r>
            <w:r>
              <w:rPr>
                <w:rFonts w:hint="eastAsia" w:asciiTheme="minorEastAsia" w:hAnsiTheme="minorEastAsia" w:eastAsiaTheme="minorEastAsia" w:cstheme="minorEastAsia"/>
                <w:b/>
                <w:color w:val="auto"/>
                <w:sz w:val="21"/>
                <w:szCs w:val="21"/>
                <w:highlight w:val="none"/>
              </w:rPr>
              <w:t>信息回复情况（核查与核</w:t>
            </w:r>
            <w:r>
              <w:rPr>
                <w:rFonts w:hint="eastAsia" w:asciiTheme="minorEastAsia" w:hAnsiTheme="minorEastAsia" w:eastAsiaTheme="minorEastAsia" w:cstheme="minorEastAsia"/>
                <w:b/>
                <w:bCs w:val="0"/>
                <w:color w:val="auto"/>
                <w:sz w:val="21"/>
                <w:szCs w:val="21"/>
                <w:highlight w:val="none"/>
              </w:rPr>
              <w:t>实）</w:t>
            </w:r>
          </w:p>
          <w:p w14:paraId="220FF7F1">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（25分）</w:t>
            </w:r>
          </w:p>
        </w:tc>
        <w:tc>
          <w:tcPr>
            <w:tcW w:w="1308" w:type="dxa"/>
            <w:vMerge w:val="restart"/>
            <w:tcBorders>
              <w:top w:val="single" w:color="auto" w:sz="4" w:space="0"/>
              <w:left w:val="single" w:color="auto" w:sz="4" w:space="0"/>
              <w:bottom w:val="single" w:color="auto" w:sz="4" w:space="0"/>
              <w:right w:val="single" w:color="auto" w:sz="4" w:space="0"/>
            </w:tcBorders>
            <w:noWrap w:val="0"/>
            <w:vAlign w:val="center"/>
          </w:tcPr>
          <w:p w14:paraId="667CD150">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.核查率（5分）</w:t>
            </w:r>
          </w:p>
        </w:tc>
        <w:tc>
          <w:tcPr>
            <w:tcW w:w="3800" w:type="dxa"/>
            <w:gridSpan w:val="4"/>
            <w:tcBorders>
              <w:top w:val="single" w:color="auto" w:sz="4" w:space="0"/>
              <w:left w:val="single" w:color="auto" w:sz="4" w:space="0"/>
              <w:bottom w:val="single" w:color="auto" w:sz="4" w:space="0"/>
              <w:right w:val="single" w:color="auto" w:sz="4" w:space="0"/>
            </w:tcBorders>
            <w:noWrap w:val="0"/>
            <w:vAlign w:val="center"/>
          </w:tcPr>
          <w:p w14:paraId="548450D0">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不得低于98%，每下降0.1%，扣100元，并扣 0.5分，扣完5分</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eastAsia="zh-CN"/>
              </w:rPr>
              <w:t>扣完</w:t>
            </w:r>
            <w:r>
              <w:rPr>
                <w:rFonts w:hint="eastAsia" w:asciiTheme="minorEastAsia" w:hAnsiTheme="minorEastAsia" w:eastAsiaTheme="minorEastAsia" w:cstheme="minorEastAsia"/>
                <w:color w:val="auto"/>
                <w:sz w:val="21"/>
                <w:szCs w:val="21"/>
                <w:highlight w:val="none"/>
                <w:lang w:val="en-US" w:eastAsia="zh-CN"/>
              </w:rPr>
              <w:t>1000元</w:t>
            </w:r>
            <w:r>
              <w:rPr>
                <w:rFonts w:hint="eastAsia" w:asciiTheme="minorEastAsia" w:hAnsiTheme="minorEastAsia" w:eastAsiaTheme="minorEastAsia" w:cstheme="minorEastAsia"/>
                <w:color w:val="auto"/>
                <w:sz w:val="21"/>
                <w:szCs w:val="21"/>
                <w:highlight w:val="none"/>
              </w:rPr>
              <w:t>为止。</w:t>
            </w:r>
          </w:p>
        </w:tc>
        <w:tc>
          <w:tcPr>
            <w:tcW w:w="1593" w:type="dxa"/>
            <w:vMerge w:val="restart"/>
            <w:tcBorders>
              <w:top w:val="single" w:color="auto" w:sz="4" w:space="0"/>
              <w:left w:val="single" w:color="auto" w:sz="4" w:space="0"/>
              <w:bottom w:val="single" w:color="auto" w:sz="4" w:space="0"/>
              <w:right w:val="single" w:color="auto" w:sz="4" w:space="0"/>
            </w:tcBorders>
            <w:noWrap w:val="0"/>
            <w:vAlign w:val="center"/>
          </w:tcPr>
          <w:p w14:paraId="3C57FA2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系统统计</w:t>
            </w:r>
          </w:p>
        </w:tc>
        <w:tc>
          <w:tcPr>
            <w:tcW w:w="71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B158821">
            <w:pPr>
              <w:jc w:val="center"/>
              <w:rPr>
                <w:rFonts w:hint="default" w:ascii="Times New Roman" w:hAnsi="Times New Roman" w:eastAsia="宋体" w:cs="Times New Roman"/>
                <w:color w:val="auto"/>
                <w:kern w:val="2"/>
                <w:sz w:val="21"/>
                <w:szCs w:val="24"/>
                <w:highlight w:val="none"/>
                <w:lang w:val="en-US" w:eastAsia="zh-CN" w:bidi="ar-SA"/>
              </w:rPr>
            </w:pPr>
          </w:p>
        </w:tc>
        <w:tc>
          <w:tcPr>
            <w:tcW w:w="694" w:type="dxa"/>
            <w:vMerge w:val="restart"/>
            <w:tcBorders>
              <w:top w:val="single" w:color="auto" w:sz="4" w:space="0"/>
              <w:left w:val="single" w:color="auto" w:sz="4" w:space="0"/>
              <w:bottom w:val="single" w:color="auto" w:sz="4" w:space="0"/>
              <w:right w:val="single" w:color="auto" w:sz="4" w:space="0"/>
            </w:tcBorders>
            <w:noWrap w:val="0"/>
            <w:vAlign w:val="center"/>
          </w:tcPr>
          <w:p w14:paraId="6795A001">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c>
          <w:tcPr>
            <w:tcW w:w="673" w:type="dxa"/>
            <w:vMerge w:val="restart"/>
            <w:tcBorders>
              <w:top w:val="single" w:color="auto" w:sz="4" w:space="0"/>
              <w:left w:val="single" w:color="auto" w:sz="4" w:space="0"/>
              <w:bottom w:val="single" w:color="auto" w:sz="4" w:space="0"/>
              <w:right w:val="single" w:color="auto" w:sz="4" w:space="0"/>
            </w:tcBorders>
            <w:noWrap w:val="0"/>
            <w:vAlign w:val="center"/>
          </w:tcPr>
          <w:p w14:paraId="10FA3267">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r>
      <w:tr w14:paraId="5047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072" w:type="dxa"/>
            <w:vMerge w:val="continue"/>
            <w:tcBorders>
              <w:left w:val="single" w:color="auto" w:sz="4" w:space="0"/>
              <w:right w:val="single" w:color="auto" w:sz="4" w:space="0"/>
            </w:tcBorders>
            <w:noWrap w:val="0"/>
            <w:vAlign w:val="center"/>
          </w:tcPr>
          <w:p w14:paraId="7D5D104C">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c>
          <w:tcPr>
            <w:tcW w:w="1308" w:type="dxa"/>
            <w:vMerge w:val="continue"/>
            <w:tcBorders>
              <w:top w:val="single" w:color="auto" w:sz="4" w:space="0"/>
              <w:left w:val="single" w:color="auto" w:sz="4" w:space="0"/>
              <w:bottom w:val="single" w:color="auto" w:sz="4" w:space="0"/>
              <w:right w:val="single" w:color="auto" w:sz="4" w:space="0"/>
            </w:tcBorders>
            <w:noWrap w:val="0"/>
            <w:vAlign w:val="center"/>
          </w:tcPr>
          <w:p w14:paraId="25729E86">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c>
          <w:tcPr>
            <w:tcW w:w="3800" w:type="dxa"/>
            <w:gridSpan w:val="4"/>
            <w:tcBorders>
              <w:top w:val="single" w:color="auto" w:sz="4" w:space="0"/>
              <w:left w:val="single" w:color="auto" w:sz="4" w:space="0"/>
              <w:bottom w:val="single" w:color="auto" w:sz="4" w:space="0"/>
              <w:right w:val="single" w:color="auto" w:sz="4" w:space="0"/>
            </w:tcBorders>
            <w:noWrap w:val="0"/>
            <w:vAlign w:val="center"/>
          </w:tcPr>
          <w:p w14:paraId="62B07F6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高于99%的，每增加0.3%，加1.5分，最多加5分。</w:t>
            </w:r>
          </w:p>
        </w:tc>
        <w:tc>
          <w:tcPr>
            <w:tcW w:w="1593" w:type="dxa"/>
            <w:vMerge w:val="continue"/>
            <w:tcBorders>
              <w:top w:val="single" w:color="auto" w:sz="4" w:space="0"/>
              <w:left w:val="single" w:color="auto" w:sz="4" w:space="0"/>
              <w:bottom w:val="single" w:color="auto" w:sz="4" w:space="0"/>
              <w:right w:val="single" w:color="auto" w:sz="4" w:space="0"/>
            </w:tcBorders>
            <w:noWrap w:val="0"/>
            <w:vAlign w:val="center"/>
          </w:tcPr>
          <w:p w14:paraId="3E6C1BCE">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14:paraId="036F9D6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c>
          <w:tcPr>
            <w:tcW w:w="694" w:type="dxa"/>
            <w:vMerge w:val="continue"/>
            <w:tcBorders>
              <w:top w:val="single" w:color="auto" w:sz="4" w:space="0"/>
              <w:left w:val="single" w:color="auto" w:sz="4" w:space="0"/>
              <w:bottom w:val="single" w:color="auto" w:sz="4" w:space="0"/>
              <w:right w:val="single" w:color="auto" w:sz="4" w:space="0"/>
            </w:tcBorders>
            <w:noWrap w:val="0"/>
            <w:vAlign w:val="center"/>
          </w:tcPr>
          <w:p w14:paraId="7D95846A">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c>
          <w:tcPr>
            <w:tcW w:w="673" w:type="dxa"/>
            <w:vMerge w:val="continue"/>
            <w:tcBorders>
              <w:top w:val="single" w:color="auto" w:sz="4" w:space="0"/>
              <w:left w:val="single" w:color="auto" w:sz="4" w:space="0"/>
              <w:bottom w:val="single" w:color="auto" w:sz="4" w:space="0"/>
              <w:right w:val="single" w:color="auto" w:sz="4" w:space="0"/>
            </w:tcBorders>
            <w:noWrap w:val="0"/>
            <w:vAlign w:val="center"/>
          </w:tcPr>
          <w:p w14:paraId="496B37BA">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r>
      <w:tr w14:paraId="36BD0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72" w:type="dxa"/>
            <w:vMerge w:val="continue"/>
            <w:tcBorders>
              <w:left w:val="single" w:color="auto" w:sz="4" w:space="0"/>
              <w:right w:val="single" w:color="auto" w:sz="4" w:space="0"/>
            </w:tcBorders>
            <w:noWrap w:val="0"/>
            <w:vAlign w:val="center"/>
          </w:tcPr>
          <w:p w14:paraId="0F53948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c>
          <w:tcPr>
            <w:tcW w:w="1308" w:type="dxa"/>
            <w:vMerge w:val="restart"/>
            <w:tcBorders>
              <w:top w:val="single" w:color="auto" w:sz="4" w:space="0"/>
              <w:left w:val="single" w:color="auto" w:sz="4" w:space="0"/>
              <w:bottom w:val="single" w:color="auto" w:sz="4" w:space="0"/>
              <w:right w:val="single" w:color="auto" w:sz="4" w:space="0"/>
            </w:tcBorders>
            <w:noWrap w:val="0"/>
            <w:vAlign w:val="center"/>
          </w:tcPr>
          <w:p w14:paraId="0099F067">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.按时核查率（5分）</w:t>
            </w:r>
          </w:p>
        </w:tc>
        <w:tc>
          <w:tcPr>
            <w:tcW w:w="3800" w:type="dxa"/>
            <w:gridSpan w:val="4"/>
            <w:tcBorders>
              <w:top w:val="single" w:color="auto" w:sz="4" w:space="0"/>
              <w:left w:val="single" w:color="auto" w:sz="4" w:space="0"/>
              <w:bottom w:val="single" w:color="auto" w:sz="4" w:space="0"/>
              <w:right w:val="single" w:color="auto" w:sz="4" w:space="0"/>
            </w:tcBorders>
            <w:noWrap w:val="0"/>
            <w:vAlign w:val="center"/>
          </w:tcPr>
          <w:p w14:paraId="136C54E1">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不得低于95%，每下降0.1%，扣50元，并扣 0.5分，扣完5分</w:t>
            </w:r>
            <w:r>
              <w:rPr>
                <w:rFonts w:hint="eastAsia" w:asciiTheme="minorEastAsia" w:hAnsiTheme="minorEastAsia" w:eastAsiaTheme="minorEastAsia" w:cstheme="minorEastAsia"/>
                <w:color w:val="auto"/>
                <w:sz w:val="21"/>
                <w:szCs w:val="21"/>
                <w:highlight w:val="none"/>
                <w:lang w:val="en-US" w:eastAsia="zh-CN"/>
              </w:rPr>
              <w:t>/扣完500元</w:t>
            </w:r>
            <w:r>
              <w:rPr>
                <w:rFonts w:hint="eastAsia" w:asciiTheme="minorEastAsia" w:hAnsiTheme="minorEastAsia" w:eastAsiaTheme="minorEastAsia" w:cstheme="minorEastAsia"/>
                <w:color w:val="auto"/>
                <w:sz w:val="21"/>
                <w:szCs w:val="21"/>
                <w:highlight w:val="none"/>
              </w:rPr>
              <w:t>为止。</w:t>
            </w:r>
          </w:p>
        </w:tc>
        <w:tc>
          <w:tcPr>
            <w:tcW w:w="1593" w:type="dxa"/>
            <w:vMerge w:val="restart"/>
            <w:tcBorders>
              <w:top w:val="single" w:color="auto" w:sz="4" w:space="0"/>
              <w:left w:val="single" w:color="auto" w:sz="4" w:space="0"/>
              <w:bottom w:val="single" w:color="auto" w:sz="4" w:space="0"/>
              <w:right w:val="single" w:color="auto" w:sz="4" w:space="0"/>
            </w:tcBorders>
            <w:noWrap w:val="0"/>
            <w:vAlign w:val="center"/>
          </w:tcPr>
          <w:p w14:paraId="71C879D2">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系统统计</w:t>
            </w:r>
          </w:p>
        </w:tc>
        <w:tc>
          <w:tcPr>
            <w:tcW w:w="71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6E23C4D">
            <w:pPr>
              <w:jc w:val="center"/>
              <w:rPr>
                <w:rFonts w:hint="default" w:ascii="Times New Roman" w:hAnsi="Times New Roman" w:eastAsia="宋体" w:cs="Times New Roman"/>
                <w:color w:val="auto"/>
                <w:kern w:val="2"/>
                <w:sz w:val="21"/>
                <w:szCs w:val="24"/>
                <w:highlight w:val="none"/>
                <w:lang w:val="en-US" w:eastAsia="zh-CN" w:bidi="ar-SA"/>
              </w:rPr>
            </w:pPr>
          </w:p>
        </w:tc>
        <w:tc>
          <w:tcPr>
            <w:tcW w:w="694" w:type="dxa"/>
            <w:vMerge w:val="restart"/>
            <w:tcBorders>
              <w:top w:val="single" w:color="auto" w:sz="4" w:space="0"/>
              <w:left w:val="single" w:color="auto" w:sz="4" w:space="0"/>
              <w:bottom w:val="single" w:color="auto" w:sz="4" w:space="0"/>
              <w:right w:val="single" w:color="auto" w:sz="4" w:space="0"/>
            </w:tcBorders>
            <w:noWrap w:val="0"/>
            <w:vAlign w:val="center"/>
          </w:tcPr>
          <w:p w14:paraId="35AFED8E">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c>
          <w:tcPr>
            <w:tcW w:w="673" w:type="dxa"/>
            <w:vMerge w:val="restart"/>
            <w:tcBorders>
              <w:top w:val="single" w:color="auto" w:sz="4" w:space="0"/>
              <w:left w:val="single" w:color="auto" w:sz="4" w:space="0"/>
              <w:bottom w:val="single" w:color="auto" w:sz="4" w:space="0"/>
              <w:right w:val="single" w:color="auto" w:sz="4" w:space="0"/>
            </w:tcBorders>
            <w:noWrap w:val="0"/>
            <w:vAlign w:val="center"/>
          </w:tcPr>
          <w:p w14:paraId="5D6EDC6A">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r>
      <w:tr w14:paraId="0F41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72" w:type="dxa"/>
            <w:vMerge w:val="continue"/>
            <w:tcBorders>
              <w:left w:val="single" w:color="auto" w:sz="4" w:space="0"/>
              <w:right w:val="single" w:color="auto" w:sz="4" w:space="0"/>
            </w:tcBorders>
            <w:noWrap w:val="0"/>
            <w:vAlign w:val="center"/>
          </w:tcPr>
          <w:p w14:paraId="251C3759">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c>
          <w:tcPr>
            <w:tcW w:w="1308" w:type="dxa"/>
            <w:vMerge w:val="continue"/>
            <w:tcBorders>
              <w:top w:val="single" w:color="auto" w:sz="4" w:space="0"/>
              <w:left w:val="single" w:color="auto" w:sz="4" w:space="0"/>
              <w:bottom w:val="single" w:color="auto" w:sz="4" w:space="0"/>
              <w:right w:val="single" w:color="auto" w:sz="4" w:space="0"/>
            </w:tcBorders>
            <w:noWrap w:val="0"/>
            <w:vAlign w:val="center"/>
          </w:tcPr>
          <w:p w14:paraId="514EC232">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c>
          <w:tcPr>
            <w:tcW w:w="3800" w:type="dxa"/>
            <w:gridSpan w:val="4"/>
            <w:tcBorders>
              <w:top w:val="single" w:color="auto" w:sz="4" w:space="0"/>
              <w:left w:val="single" w:color="auto" w:sz="4" w:space="0"/>
              <w:bottom w:val="single" w:color="auto" w:sz="4" w:space="0"/>
              <w:right w:val="single" w:color="auto" w:sz="4" w:space="0"/>
            </w:tcBorders>
            <w:noWrap w:val="0"/>
            <w:vAlign w:val="top"/>
          </w:tcPr>
          <w:p w14:paraId="750AF5E9">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高于98%的，每增加0.1%，加0.5分，最多加5分。</w:t>
            </w:r>
          </w:p>
        </w:tc>
        <w:tc>
          <w:tcPr>
            <w:tcW w:w="1593" w:type="dxa"/>
            <w:vMerge w:val="continue"/>
            <w:tcBorders>
              <w:top w:val="single" w:color="auto" w:sz="4" w:space="0"/>
              <w:left w:val="single" w:color="auto" w:sz="4" w:space="0"/>
              <w:bottom w:val="single" w:color="auto" w:sz="4" w:space="0"/>
              <w:right w:val="single" w:color="auto" w:sz="4" w:space="0"/>
            </w:tcBorders>
            <w:noWrap w:val="0"/>
            <w:vAlign w:val="center"/>
          </w:tcPr>
          <w:p w14:paraId="5993121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14:paraId="5DD21406">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c>
          <w:tcPr>
            <w:tcW w:w="694" w:type="dxa"/>
            <w:vMerge w:val="continue"/>
            <w:tcBorders>
              <w:top w:val="single" w:color="auto" w:sz="4" w:space="0"/>
              <w:left w:val="single" w:color="auto" w:sz="4" w:space="0"/>
              <w:bottom w:val="single" w:color="auto" w:sz="4" w:space="0"/>
              <w:right w:val="single" w:color="auto" w:sz="4" w:space="0"/>
            </w:tcBorders>
            <w:noWrap w:val="0"/>
            <w:vAlign w:val="center"/>
          </w:tcPr>
          <w:p w14:paraId="4DA7975E">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c>
          <w:tcPr>
            <w:tcW w:w="673" w:type="dxa"/>
            <w:vMerge w:val="continue"/>
            <w:tcBorders>
              <w:top w:val="single" w:color="auto" w:sz="4" w:space="0"/>
              <w:left w:val="single" w:color="auto" w:sz="4" w:space="0"/>
              <w:bottom w:val="single" w:color="auto" w:sz="4" w:space="0"/>
              <w:right w:val="single" w:color="auto" w:sz="4" w:space="0"/>
            </w:tcBorders>
            <w:noWrap w:val="0"/>
            <w:vAlign w:val="center"/>
          </w:tcPr>
          <w:p w14:paraId="0B2715A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r>
      <w:tr w14:paraId="369E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1072" w:type="dxa"/>
            <w:vMerge w:val="continue"/>
            <w:tcBorders>
              <w:left w:val="single" w:color="auto" w:sz="4" w:space="0"/>
              <w:right w:val="single" w:color="auto" w:sz="4" w:space="0"/>
            </w:tcBorders>
            <w:noWrap w:val="0"/>
            <w:vAlign w:val="center"/>
          </w:tcPr>
          <w:p w14:paraId="2AAA07E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14:paraId="45261FF6">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.核实情况（10分）</w:t>
            </w:r>
          </w:p>
        </w:tc>
        <w:tc>
          <w:tcPr>
            <w:tcW w:w="3800" w:type="dxa"/>
            <w:gridSpan w:val="4"/>
            <w:tcBorders>
              <w:top w:val="single" w:color="auto" w:sz="4" w:space="0"/>
              <w:left w:val="single" w:color="auto" w:sz="4" w:space="0"/>
              <w:bottom w:val="single" w:color="auto" w:sz="4" w:space="0"/>
              <w:right w:val="single" w:color="auto" w:sz="4" w:space="0"/>
            </w:tcBorders>
            <w:noWrap w:val="0"/>
            <w:vAlign w:val="center"/>
          </w:tcPr>
          <w:p w14:paraId="46C31C2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根据系统发出或者</w:t>
            </w:r>
            <w:r>
              <w:rPr>
                <w:rFonts w:hint="eastAsia" w:asciiTheme="minorEastAsia" w:hAnsiTheme="minorEastAsia" w:eastAsiaTheme="minorEastAsia" w:cstheme="minorEastAsia"/>
                <w:color w:val="auto"/>
                <w:sz w:val="21"/>
                <w:szCs w:val="21"/>
                <w:highlight w:val="none"/>
                <w:lang w:eastAsia="zh-CN"/>
              </w:rPr>
              <w:t>智慧城管</w:t>
            </w:r>
            <w:r>
              <w:rPr>
                <w:rFonts w:hint="eastAsia" w:asciiTheme="minorEastAsia" w:hAnsiTheme="minorEastAsia" w:eastAsiaTheme="minorEastAsia" w:cstheme="minorEastAsia"/>
                <w:color w:val="auto"/>
                <w:sz w:val="21"/>
                <w:szCs w:val="21"/>
                <w:highlight w:val="none"/>
              </w:rPr>
              <w:t>中心发出的核实指令（电话）需在30分钟内予以回复，回复超时的，每件扣100元，并扣2分，上不封顶；超过1小时回复的，每件扣200元，并扣3分，上不封顶；全部按时回复的，得10分。</w:t>
            </w:r>
          </w:p>
        </w:tc>
        <w:tc>
          <w:tcPr>
            <w:tcW w:w="1593" w:type="dxa"/>
            <w:tcBorders>
              <w:top w:val="single" w:color="auto" w:sz="4" w:space="0"/>
              <w:left w:val="single" w:color="auto" w:sz="4" w:space="0"/>
              <w:bottom w:val="single" w:color="auto" w:sz="4" w:space="0"/>
              <w:right w:val="single" w:color="auto" w:sz="4" w:space="0"/>
            </w:tcBorders>
            <w:noWrap w:val="0"/>
            <w:vAlign w:val="center"/>
          </w:tcPr>
          <w:p w14:paraId="3F3DA924">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系统统计或受理员登记</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4C233E8A">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c>
          <w:tcPr>
            <w:tcW w:w="694" w:type="dxa"/>
            <w:tcBorders>
              <w:top w:val="single" w:color="auto" w:sz="4" w:space="0"/>
              <w:left w:val="single" w:color="auto" w:sz="4" w:space="0"/>
              <w:bottom w:val="single" w:color="auto" w:sz="4" w:space="0"/>
              <w:right w:val="single" w:color="auto" w:sz="4" w:space="0"/>
            </w:tcBorders>
            <w:noWrap w:val="0"/>
            <w:vAlign w:val="center"/>
          </w:tcPr>
          <w:p w14:paraId="1BA0D38E">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c>
          <w:tcPr>
            <w:tcW w:w="673" w:type="dxa"/>
            <w:tcBorders>
              <w:top w:val="single" w:color="auto" w:sz="4" w:space="0"/>
              <w:left w:val="single" w:color="auto" w:sz="4" w:space="0"/>
              <w:bottom w:val="single" w:color="auto" w:sz="4" w:space="0"/>
              <w:right w:val="single" w:color="auto" w:sz="4" w:space="0"/>
            </w:tcBorders>
            <w:noWrap w:val="0"/>
            <w:vAlign w:val="center"/>
          </w:tcPr>
          <w:p w14:paraId="481A9EF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r>
      <w:tr w14:paraId="5F32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072" w:type="dxa"/>
            <w:vMerge w:val="continue"/>
            <w:tcBorders>
              <w:left w:val="single" w:color="auto" w:sz="4" w:space="0"/>
              <w:bottom w:val="single" w:color="auto" w:sz="4" w:space="0"/>
              <w:right w:val="single" w:color="auto" w:sz="4" w:space="0"/>
            </w:tcBorders>
            <w:noWrap w:val="0"/>
            <w:vAlign w:val="top"/>
          </w:tcPr>
          <w:p w14:paraId="65B96529">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14:paraId="6B2AB0F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.回复超时（5分）</w:t>
            </w:r>
          </w:p>
        </w:tc>
        <w:tc>
          <w:tcPr>
            <w:tcW w:w="3800" w:type="dxa"/>
            <w:gridSpan w:val="4"/>
            <w:tcBorders>
              <w:top w:val="single" w:color="auto" w:sz="4" w:space="0"/>
              <w:left w:val="single" w:color="auto" w:sz="4" w:space="0"/>
              <w:bottom w:val="single" w:color="auto" w:sz="4" w:space="0"/>
              <w:right w:val="single" w:color="auto" w:sz="4" w:space="0"/>
            </w:tcBorders>
            <w:noWrap w:val="0"/>
            <w:vAlign w:val="center"/>
          </w:tcPr>
          <w:p w14:paraId="358DDC2C">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超过规定时间2小时（含）以上的或因超时导致自动结案的，每件扣300元，并扣4分，上不封顶。无以上现象的，得5分。</w:t>
            </w:r>
          </w:p>
        </w:tc>
        <w:tc>
          <w:tcPr>
            <w:tcW w:w="1593" w:type="dxa"/>
            <w:tcBorders>
              <w:top w:val="single" w:color="auto" w:sz="4" w:space="0"/>
              <w:left w:val="single" w:color="auto" w:sz="4" w:space="0"/>
              <w:bottom w:val="single" w:color="auto" w:sz="4" w:space="0"/>
              <w:right w:val="single" w:color="auto" w:sz="4" w:space="0"/>
            </w:tcBorders>
            <w:noWrap w:val="0"/>
            <w:vAlign w:val="center"/>
          </w:tcPr>
          <w:p w14:paraId="778C14E1">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系统统计</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6040F814">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c>
          <w:tcPr>
            <w:tcW w:w="694" w:type="dxa"/>
            <w:tcBorders>
              <w:top w:val="single" w:color="auto" w:sz="4" w:space="0"/>
              <w:left w:val="single" w:color="auto" w:sz="4" w:space="0"/>
              <w:bottom w:val="single" w:color="auto" w:sz="4" w:space="0"/>
              <w:right w:val="single" w:color="auto" w:sz="4" w:space="0"/>
            </w:tcBorders>
            <w:noWrap w:val="0"/>
            <w:vAlign w:val="center"/>
          </w:tcPr>
          <w:p w14:paraId="164A82B5">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c>
          <w:tcPr>
            <w:tcW w:w="673" w:type="dxa"/>
            <w:tcBorders>
              <w:top w:val="single" w:color="auto" w:sz="4" w:space="0"/>
              <w:left w:val="single" w:color="auto" w:sz="4" w:space="0"/>
              <w:bottom w:val="single" w:color="auto" w:sz="4" w:space="0"/>
              <w:right w:val="single" w:color="auto" w:sz="4" w:space="0"/>
            </w:tcBorders>
            <w:noWrap w:val="0"/>
            <w:vAlign w:val="center"/>
          </w:tcPr>
          <w:p w14:paraId="675B11B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r>
      <w:tr w14:paraId="40281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1072" w:type="dxa"/>
            <w:tcBorders>
              <w:top w:val="single" w:color="auto" w:sz="4" w:space="0"/>
              <w:left w:val="single" w:color="auto" w:sz="4" w:space="0"/>
              <w:bottom w:val="single" w:color="auto" w:sz="4" w:space="0"/>
              <w:right w:val="single" w:color="auto" w:sz="4" w:space="0"/>
            </w:tcBorders>
            <w:noWrap w:val="0"/>
            <w:vAlign w:val="center"/>
          </w:tcPr>
          <w:p w14:paraId="14D8C127">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三、巡查密度</w:t>
            </w:r>
          </w:p>
          <w:p w14:paraId="544DC007">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（5分）</w:t>
            </w:r>
          </w:p>
        </w:tc>
        <w:tc>
          <w:tcPr>
            <w:tcW w:w="1308" w:type="dxa"/>
            <w:tcBorders>
              <w:top w:val="single" w:color="auto" w:sz="4" w:space="0"/>
              <w:left w:val="single" w:color="auto" w:sz="4" w:space="0"/>
              <w:bottom w:val="single" w:color="auto" w:sz="4" w:space="0"/>
              <w:right w:val="single" w:color="auto" w:sz="4" w:space="0"/>
            </w:tcBorders>
            <w:noWrap w:val="0"/>
            <w:vAlign w:val="center"/>
          </w:tcPr>
          <w:p w14:paraId="79E9BC96">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.间隔密度合格率（5分）</w:t>
            </w:r>
          </w:p>
        </w:tc>
        <w:tc>
          <w:tcPr>
            <w:tcW w:w="3800" w:type="dxa"/>
            <w:gridSpan w:val="4"/>
            <w:tcBorders>
              <w:top w:val="single" w:color="auto" w:sz="4" w:space="0"/>
              <w:left w:val="single" w:color="auto" w:sz="4" w:space="0"/>
              <w:bottom w:val="single" w:color="auto" w:sz="4" w:space="0"/>
              <w:right w:val="single" w:color="auto" w:sz="4" w:space="0"/>
            </w:tcBorders>
            <w:noWrap w:val="0"/>
            <w:vAlign w:val="center"/>
          </w:tcPr>
          <w:p w14:paraId="3AE88CD4">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巡查间隔时间重要地段每2小时不少于1次（上午，要求9</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00、11</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00各完整巡查一次，下午14</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30、16</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00各完整巡查一次，其余时间合理安排巡查），其他地段每4小时不少于1次（上午，要求10</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00左右完整巡查一次，下午15</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30左右完整巡查一次，其余时间合理安排巡查），间隔密度合格率为90%，每下降1%扣500元，并扣1分，扣完5分为止。（根据时令适时调整巡查时间，以中心通知为准）</w:t>
            </w:r>
          </w:p>
        </w:tc>
        <w:tc>
          <w:tcPr>
            <w:tcW w:w="1593" w:type="dxa"/>
            <w:tcBorders>
              <w:top w:val="single" w:color="auto" w:sz="4" w:space="0"/>
              <w:left w:val="single" w:color="auto" w:sz="4" w:space="0"/>
              <w:bottom w:val="single" w:color="auto" w:sz="4" w:space="0"/>
              <w:right w:val="single" w:color="auto" w:sz="4" w:space="0"/>
            </w:tcBorders>
            <w:noWrap w:val="0"/>
            <w:vAlign w:val="center"/>
          </w:tcPr>
          <w:p w14:paraId="5D018317">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color w:val="auto"/>
                <w:highlight w:val="none"/>
                <w:lang w:val="en-US" w:eastAsia="zh-CN"/>
              </w:rPr>
              <w:t>系统及人工抽查结合</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67758459">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c>
          <w:tcPr>
            <w:tcW w:w="694" w:type="dxa"/>
            <w:tcBorders>
              <w:top w:val="single" w:color="auto" w:sz="4" w:space="0"/>
              <w:left w:val="single" w:color="auto" w:sz="4" w:space="0"/>
              <w:bottom w:val="single" w:color="auto" w:sz="4" w:space="0"/>
              <w:right w:val="single" w:color="auto" w:sz="4" w:space="0"/>
            </w:tcBorders>
            <w:noWrap w:val="0"/>
            <w:vAlign w:val="center"/>
          </w:tcPr>
          <w:p w14:paraId="49F82186">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c>
          <w:tcPr>
            <w:tcW w:w="673" w:type="dxa"/>
            <w:tcBorders>
              <w:top w:val="single" w:color="auto" w:sz="4" w:space="0"/>
              <w:left w:val="single" w:color="auto" w:sz="4" w:space="0"/>
              <w:bottom w:val="single" w:color="auto" w:sz="4" w:space="0"/>
              <w:right w:val="single" w:color="auto" w:sz="4" w:space="0"/>
            </w:tcBorders>
            <w:noWrap w:val="0"/>
            <w:vAlign w:val="center"/>
          </w:tcPr>
          <w:p w14:paraId="73BA3D83">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r>
      <w:tr w14:paraId="07B8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72" w:type="dxa"/>
            <w:vMerge w:val="restart"/>
            <w:tcBorders>
              <w:top w:val="single" w:color="auto" w:sz="4" w:space="0"/>
              <w:left w:val="single" w:color="auto" w:sz="4" w:space="0"/>
              <w:bottom w:val="single" w:color="auto" w:sz="4" w:space="0"/>
              <w:right w:val="single" w:color="auto" w:sz="4" w:space="0"/>
            </w:tcBorders>
            <w:noWrap w:val="0"/>
            <w:vAlign w:val="center"/>
          </w:tcPr>
          <w:p w14:paraId="242888F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四、漏报情况</w:t>
            </w:r>
          </w:p>
          <w:p w14:paraId="7DD85652">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（15分）</w:t>
            </w:r>
          </w:p>
        </w:tc>
        <w:tc>
          <w:tcPr>
            <w:tcW w:w="1308" w:type="dxa"/>
            <w:vMerge w:val="restart"/>
            <w:tcBorders>
              <w:top w:val="single" w:color="auto" w:sz="4" w:space="0"/>
              <w:left w:val="single" w:color="auto" w:sz="4" w:space="0"/>
              <w:bottom w:val="single" w:color="auto" w:sz="4" w:space="0"/>
              <w:right w:val="single" w:color="auto" w:sz="4" w:space="0"/>
            </w:tcBorders>
            <w:noWrap w:val="0"/>
            <w:vAlign w:val="center"/>
          </w:tcPr>
          <w:p w14:paraId="21D91993">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.失报率（5分）</w:t>
            </w:r>
          </w:p>
        </w:tc>
        <w:tc>
          <w:tcPr>
            <w:tcW w:w="3800" w:type="dxa"/>
            <w:gridSpan w:val="4"/>
            <w:tcBorders>
              <w:top w:val="single" w:color="auto" w:sz="4" w:space="0"/>
              <w:left w:val="single" w:color="auto" w:sz="4" w:space="0"/>
              <w:bottom w:val="single" w:color="auto" w:sz="4" w:space="0"/>
              <w:right w:val="single" w:color="auto" w:sz="4" w:space="0"/>
            </w:tcBorders>
            <w:noWrap w:val="0"/>
            <w:vAlign w:val="center"/>
          </w:tcPr>
          <w:p w14:paraId="234F7C6A">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失报率不得超过0.2%，每超过0.05%扣</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00元，并扣1分，扣完5分</w:t>
            </w:r>
            <w:r>
              <w:rPr>
                <w:rFonts w:hint="eastAsia" w:asciiTheme="minorEastAsia" w:hAnsiTheme="minorEastAsia" w:eastAsiaTheme="minorEastAsia" w:cstheme="minorEastAsia"/>
                <w:color w:val="auto"/>
                <w:sz w:val="21"/>
                <w:szCs w:val="21"/>
                <w:highlight w:val="none"/>
                <w:lang w:val="en-US" w:eastAsia="zh-CN"/>
              </w:rPr>
              <w:t>/扣完1000元</w:t>
            </w:r>
            <w:r>
              <w:rPr>
                <w:rFonts w:hint="eastAsia" w:asciiTheme="minorEastAsia" w:hAnsiTheme="minorEastAsia" w:eastAsiaTheme="minorEastAsia" w:cstheme="minorEastAsia"/>
                <w:color w:val="auto"/>
                <w:sz w:val="21"/>
                <w:szCs w:val="21"/>
                <w:highlight w:val="none"/>
              </w:rPr>
              <w:t>为止。</w:t>
            </w:r>
          </w:p>
        </w:tc>
        <w:tc>
          <w:tcPr>
            <w:tcW w:w="1593" w:type="dxa"/>
            <w:vMerge w:val="restart"/>
            <w:tcBorders>
              <w:top w:val="single" w:color="auto" w:sz="4" w:space="0"/>
              <w:left w:val="single" w:color="auto" w:sz="4" w:space="0"/>
              <w:bottom w:val="single" w:color="auto" w:sz="4" w:space="0"/>
              <w:right w:val="single" w:color="auto" w:sz="4" w:space="0"/>
            </w:tcBorders>
            <w:noWrap w:val="0"/>
            <w:vAlign w:val="center"/>
          </w:tcPr>
          <w:p w14:paraId="1D74A947">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智慧城管</w:t>
            </w:r>
            <w:r>
              <w:rPr>
                <w:rFonts w:hint="eastAsia" w:asciiTheme="minorEastAsia" w:hAnsiTheme="minorEastAsia" w:eastAsiaTheme="minorEastAsia" w:cstheme="minorEastAsia"/>
                <w:color w:val="auto"/>
                <w:sz w:val="21"/>
                <w:szCs w:val="21"/>
                <w:highlight w:val="none"/>
              </w:rPr>
              <w:t>中心现场巡查督查</w:t>
            </w:r>
          </w:p>
        </w:tc>
        <w:tc>
          <w:tcPr>
            <w:tcW w:w="717" w:type="dxa"/>
            <w:vMerge w:val="restart"/>
            <w:tcBorders>
              <w:top w:val="single" w:color="auto" w:sz="4" w:space="0"/>
              <w:left w:val="single" w:color="auto" w:sz="4" w:space="0"/>
              <w:bottom w:val="single" w:color="auto" w:sz="4" w:space="0"/>
              <w:right w:val="single" w:color="auto" w:sz="4" w:space="0"/>
            </w:tcBorders>
            <w:noWrap w:val="0"/>
            <w:vAlign w:val="center"/>
          </w:tcPr>
          <w:p w14:paraId="5C0DC595">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c>
          <w:tcPr>
            <w:tcW w:w="694" w:type="dxa"/>
            <w:vMerge w:val="restart"/>
            <w:tcBorders>
              <w:top w:val="single" w:color="auto" w:sz="4" w:space="0"/>
              <w:left w:val="single" w:color="auto" w:sz="4" w:space="0"/>
              <w:bottom w:val="single" w:color="auto" w:sz="4" w:space="0"/>
              <w:right w:val="single" w:color="auto" w:sz="4" w:space="0"/>
            </w:tcBorders>
            <w:noWrap w:val="0"/>
            <w:vAlign w:val="center"/>
          </w:tcPr>
          <w:p w14:paraId="017CA763">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c>
          <w:tcPr>
            <w:tcW w:w="673" w:type="dxa"/>
            <w:vMerge w:val="restart"/>
            <w:tcBorders>
              <w:top w:val="single" w:color="auto" w:sz="4" w:space="0"/>
              <w:left w:val="single" w:color="auto" w:sz="4" w:space="0"/>
              <w:bottom w:val="single" w:color="auto" w:sz="4" w:space="0"/>
              <w:right w:val="single" w:color="auto" w:sz="4" w:space="0"/>
            </w:tcBorders>
            <w:noWrap w:val="0"/>
            <w:vAlign w:val="center"/>
          </w:tcPr>
          <w:p w14:paraId="35E20D76">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r>
      <w:tr w14:paraId="129D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72" w:type="dxa"/>
            <w:vMerge w:val="continue"/>
            <w:tcBorders>
              <w:top w:val="single" w:color="auto" w:sz="4" w:space="0"/>
              <w:left w:val="single" w:color="auto" w:sz="4" w:space="0"/>
              <w:bottom w:val="single" w:color="auto" w:sz="4" w:space="0"/>
              <w:right w:val="single" w:color="auto" w:sz="4" w:space="0"/>
            </w:tcBorders>
            <w:noWrap w:val="0"/>
            <w:vAlign w:val="center"/>
          </w:tcPr>
          <w:p w14:paraId="0156CBB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color w:val="auto"/>
                <w:sz w:val="21"/>
                <w:szCs w:val="21"/>
                <w:highlight w:val="none"/>
              </w:rPr>
            </w:pPr>
          </w:p>
        </w:tc>
        <w:tc>
          <w:tcPr>
            <w:tcW w:w="1308" w:type="dxa"/>
            <w:vMerge w:val="continue"/>
            <w:tcBorders>
              <w:top w:val="single" w:color="auto" w:sz="4" w:space="0"/>
              <w:left w:val="single" w:color="auto" w:sz="4" w:space="0"/>
              <w:bottom w:val="single" w:color="auto" w:sz="4" w:space="0"/>
              <w:right w:val="single" w:color="auto" w:sz="4" w:space="0"/>
            </w:tcBorders>
            <w:noWrap w:val="0"/>
            <w:vAlign w:val="center"/>
          </w:tcPr>
          <w:p w14:paraId="38C5C586">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c>
          <w:tcPr>
            <w:tcW w:w="3800" w:type="dxa"/>
            <w:gridSpan w:val="4"/>
            <w:tcBorders>
              <w:top w:val="single" w:color="auto" w:sz="4" w:space="0"/>
              <w:left w:val="single" w:color="auto" w:sz="4" w:space="0"/>
              <w:bottom w:val="single" w:color="auto" w:sz="4" w:space="0"/>
              <w:right w:val="single" w:color="auto" w:sz="4" w:space="0"/>
            </w:tcBorders>
            <w:noWrap w:val="0"/>
            <w:vAlign w:val="center"/>
          </w:tcPr>
          <w:p w14:paraId="28BBEB5E">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失报率少于0.2%的，每减少0.05%，加1.5分，最多加5分。</w:t>
            </w:r>
          </w:p>
        </w:tc>
        <w:tc>
          <w:tcPr>
            <w:tcW w:w="1593" w:type="dxa"/>
            <w:vMerge w:val="continue"/>
            <w:tcBorders>
              <w:top w:val="single" w:color="auto" w:sz="4" w:space="0"/>
              <w:left w:val="single" w:color="auto" w:sz="4" w:space="0"/>
              <w:bottom w:val="single" w:color="auto" w:sz="4" w:space="0"/>
              <w:right w:val="single" w:color="auto" w:sz="4" w:space="0"/>
            </w:tcBorders>
            <w:noWrap w:val="0"/>
            <w:vAlign w:val="center"/>
          </w:tcPr>
          <w:p w14:paraId="16FFF2B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14:paraId="42CB621A">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c>
          <w:tcPr>
            <w:tcW w:w="694" w:type="dxa"/>
            <w:vMerge w:val="continue"/>
            <w:tcBorders>
              <w:top w:val="single" w:color="auto" w:sz="4" w:space="0"/>
              <w:left w:val="single" w:color="auto" w:sz="4" w:space="0"/>
              <w:bottom w:val="single" w:color="auto" w:sz="4" w:space="0"/>
              <w:right w:val="single" w:color="auto" w:sz="4" w:space="0"/>
            </w:tcBorders>
            <w:noWrap w:val="0"/>
            <w:vAlign w:val="center"/>
          </w:tcPr>
          <w:p w14:paraId="1444358A">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c>
          <w:tcPr>
            <w:tcW w:w="673" w:type="dxa"/>
            <w:vMerge w:val="continue"/>
            <w:tcBorders>
              <w:top w:val="single" w:color="auto" w:sz="4" w:space="0"/>
              <w:left w:val="single" w:color="auto" w:sz="4" w:space="0"/>
              <w:bottom w:val="single" w:color="auto" w:sz="4" w:space="0"/>
              <w:right w:val="single" w:color="auto" w:sz="4" w:space="0"/>
            </w:tcBorders>
            <w:noWrap w:val="0"/>
            <w:vAlign w:val="center"/>
          </w:tcPr>
          <w:p w14:paraId="1A5D7DE9">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r>
      <w:tr w14:paraId="2158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1072" w:type="dxa"/>
            <w:vMerge w:val="continue"/>
            <w:tcBorders>
              <w:top w:val="single" w:color="auto" w:sz="4" w:space="0"/>
              <w:left w:val="single" w:color="auto" w:sz="4" w:space="0"/>
              <w:bottom w:val="single" w:color="auto" w:sz="4" w:space="0"/>
              <w:right w:val="single" w:color="auto" w:sz="4" w:space="0"/>
            </w:tcBorders>
            <w:noWrap w:val="0"/>
            <w:vAlign w:val="center"/>
          </w:tcPr>
          <w:p w14:paraId="61D7D1F1">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color w:val="auto"/>
                <w:sz w:val="21"/>
                <w:szCs w:val="21"/>
                <w:highlight w:val="none"/>
              </w:rPr>
            </w:pPr>
          </w:p>
        </w:tc>
        <w:tc>
          <w:tcPr>
            <w:tcW w:w="1308" w:type="dxa"/>
            <w:vMerge w:val="restart"/>
            <w:tcBorders>
              <w:top w:val="single" w:color="auto" w:sz="4" w:space="0"/>
              <w:left w:val="single" w:color="auto" w:sz="4" w:space="0"/>
              <w:right w:val="single" w:color="auto" w:sz="4" w:space="0"/>
            </w:tcBorders>
            <w:noWrap w:val="0"/>
            <w:vAlign w:val="center"/>
          </w:tcPr>
          <w:p w14:paraId="2C8A2FA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.产生重大影响的（10分）</w:t>
            </w:r>
          </w:p>
        </w:tc>
        <w:tc>
          <w:tcPr>
            <w:tcW w:w="3800" w:type="dxa"/>
            <w:gridSpan w:val="4"/>
            <w:tcBorders>
              <w:top w:val="single" w:color="auto" w:sz="4" w:space="0"/>
              <w:left w:val="single" w:color="auto" w:sz="4" w:space="0"/>
              <w:bottom w:val="single" w:color="auto" w:sz="4" w:space="0"/>
              <w:right w:val="single" w:color="auto" w:sz="4" w:space="0"/>
            </w:tcBorders>
            <w:noWrap w:val="0"/>
            <w:vAlign w:val="center"/>
          </w:tcPr>
          <w:p w14:paraId="1361FD3C">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在工作时间内因由新闻曝光、行业监管和社区反映、热线受理及</w:t>
            </w:r>
            <w:r>
              <w:rPr>
                <w:rFonts w:hint="eastAsia" w:asciiTheme="minorEastAsia" w:hAnsiTheme="minorEastAsia" w:eastAsiaTheme="minorEastAsia" w:cstheme="minorEastAsia"/>
                <w:color w:val="auto"/>
                <w:sz w:val="21"/>
                <w:szCs w:val="21"/>
                <w:highlight w:val="none"/>
                <w:lang w:eastAsia="zh-CN"/>
              </w:rPr>
              <w:t>智慧城管</w:t>
            </w:r>
            <w:r>
              <w:rPr>
                <w:rFonts w:hint="eastAsia" w:asciiTheme="minorEastAsia" w:hAnsiTheme="minorEastAsia" w:eastAsiaTheme="minorEastAsia" w:cstheme="minorEastAsia"/>
                <w:color w:val="auto"/>
                <w:sz w:val="21"/>
                <w:szCs w:val="21"/>
                <w:highlight w:val="none"/>
              </w:rPr>
              <w:t>中心巡查到未上报的并且产生重大影响，每发生一次扣1000-2000元，不受失报率限制，并扣4分，扣完10分为否定项，当月考核不合格。</w:t>
            </w:r>
          </w:p>
        </w:tc>
        <w:tc>
          <w:tcPr>
            <w:tcW w:w="1593" w:type="dxa"/>
            <w:tcBorders>
              <w:top w:val="single" w:color="auto" w:sz="4" w:space="0"/>
              <w:left w:val="single" w:color="auto" w:sz="4" w:space="0"/>
              <w:bottom w:val="single" w:color="auto" w:sz="4" w:space="0"/>
              <w:right w:val="single" w:color="auto" w:sz="4" w:space="0"/>
            </w:tcBorders>
            <w:noWrap w:val="0"/>
            <w:vAlign w:val="center"/>
          </w:tcPr>
          <w:p w14:paraId="6CC95B42">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智慧城管</w:t>
            </w:r>
            <w:r>
              <w:rPr>
                <w:rFonts w:hint="eastAsia" w:asciiTheme="minorEastAsia" w:hAnsiTheme="minorEastAsia" w:eastAsiaTheme="minorEastAsia" w:cstheme="minorEastAsia"/>
                <w:color w:val="auto"/>
                <w:sz w:val="21"/>
                <w:szCs w:val="21"/>
                <w:highlight w:val="none"/>
              </w:rPr>
              <w:t>中心现场巡查督查、媒体曝光和群众举报等</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3D5ACE2C">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c>
          <w:tcPr>
            <w:tcW w:w="694" w:type="dxa"/>
            <w:tcBorders>
              <w:top w:val="single" w:color="auto" w:sz="4" w:space="0"/>
              <w:left w:val="single" w:color="auto" w:sz="4" w:space="0"/>
              <w:bottom w:val="single" w:color="auto" w:sz="4" w:space="0"/>
              <w:right w:val="single" w:color="auto" w:sz="4" w:space="0"/>
            </w:tcBorders>
            <w:noWrap w:val="0"/>
            <w:vAlign w:val="center"/>
          </w:tcPr>
          <w:p w14:paraId="1A69067B">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c>
          <w:tcPr>
            <w:tcW w:w="673" w:type="dxa"/>
            <w:tcBorders>
              <w:top w:val="single" w:color="auto" w:sz="4" w:space="0"/>
              <w:left w:val="single" w:color="auto" w:sz="4" w:space="0"/>
              <w:bottom w:val="single" w:color="auto" w:sz="4" w:space="0"/>
              <w:right w:val="single" w:color="auto" w:sz="4" w:space="0"/>
            </w:tcBorders>
            <w:noWrap w:val="0"/>
            <w:vAlign w:val="center"/>
          </w:tcPr>
          <w:p w14:paraId="2D3FD7D2">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r>
      <w:tr w14:paraId="43D3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072" w:type="dxa"/>
            <w:vMerge w:val="continue"/>
            <w:tcBorders>
              <w:top w:val="single" w:color="auto" w:sz="4" w:space="0"/>
              <w:left w:val="single" w:color="auto" w:sz="4" w:space="0"/>
              <w:bottom w:val="single" w:color="auto" w:sz="4" w:space="0"/>
              <w:right w:val="single" w:color="auto" w:sz="4" w:space="0"/>
            </w:tcBorders>
            <w:noWrap w:val="0"/>
            <w:vAlign w:val="center"/>
          </w:tcPr>
          <w:p w14:paraId="6090AC82">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color w:val="auto"/>
                <w:sz w:val="21"/>
                <w:szCs w:val="21"/>
                <w:highlight w:val="none"/>
              </w:rPr>
            </w:pPr>
          </w:p>
        </w:tc>
        <w:tc>
          <w:tcPr>
            <w:tcW w:w="1308" w:type="dxa"/>
            <w:vMerge w:val="continue"/>
            <w:tcBorders>
              <w:left w:val="single" w:color="auto" w:sz="4" w:space="0"/>
              <w:bottom w:val="single" w:color="auto" w:sz="4" w:space="0"/>
              <w:right w:val="single" w:color="auto" w:sz="4" w:space="0"/>
            </w:tcBorders>
            <w:noWrap w:val="0"/>
            <w:vAlign w:val="center"/>
          </w:tcPr>
          <w:p w14:paraId="2CB6389E">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c>
          <w:tcPr>
            <w:tcW w:w="3800" w:type="dxa"/>
            <w:gridSpan w:val="4"/>
            <w:tcBorders>
              <w:top w:val="single" w:color="auto" w:sz="4" w:space="0"/>
              <w:left w:val="single" w:color="auto" w:sz="4" w:space="0"/>
              <w:bottom w:val="single" w:color="auto" w:sz="4" w:space="0"/>
              <w:right w:val="single" w:color="auto" w:sz="4" w:space="0"/>
            </w:tcBorders>
            <w:noWrap w:val="0"/>
            <w:vAlign w:val="center"/>
          </w:tcPr>
          <w:p w14:paraId="403D3CF3">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上述监管中未上报并产生重大安全事故的，不受失报率限制，每件扣3000-5000元，并扣5分，扣完10分为否定项，当月考核不合格。</w:t>
            </w:r>
          </w:p>
        </w:tc>
        <w:tc>
          <w:tcPr>
            <w:tcW w:w="1593" w:type="dxa"/>
            <w:tcBorders>
              <w:top w:val="single" w:color="auto" w:sz="4" w:space="0"/>
              <w:left w:val="single" w:color="auto" w:sz="4" w:space="0"/>
              <w:bottom w:val="single" w:color="auto" w:sz="4" w:space="0"/>
              <w:right w:val="single" w:color="auto" w:sz="4" w:space="0"/>
            </w:tcBorders>
            <w:noWrap w:val="0"/>
            <w:vAlign w:val="center"/>
          </w:tcPr>
          <w:p w14:paraId="051B7BA0">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3865B014">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c>
          <w:tcPr>
            <w:tcW w:w="694" w:type="dxa"/>
            <w:tcBorders>
              <w:top w:val="single" w:color="auto" w:sz="4" w:space="0"/>
              <w:left w:val="single" w:color="auto" w:sz="4" w:space="0"/>
              <w:bottom w:val="single" w:color="auto" w:sz="4" w:space="0"/>
              <w:right w:val="single" w:color="auto" w:sz="4" w:space="0"/>
            </w:tcBorders>
            <w:noWrap w:val="0"/>
            <w:vAlign w:val="center"/>
          </w:tcPr>
          <w:p w14:paraId="5FE4D541">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c>
          <w:tcPr>
            <w:tcW w:w="673" w:type="dxa"/>
            <w:tcBorders>
              <w:top w:val="single" w:color="auto" w:sz="4" w:space="0"/>
              <w:left w:val="single" w:color="auto" w:sz="4" w:space="0"/>
              <w:bottom w:val="single" w:color="auto" w:sz="4" w:space="0"/>
              <w:right w:val="single" w:color="auto" w:sz="4" w:space="0"/>
            </w:tcBorders>
            <w:noWrap w:val="0"/>
            <w:vAlign w:val="center"/>
          </w:tcPr>
          <w:p w14:paraId="5744AA4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r>
      <w:tr w14:paraId="1EFF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072" w:type="dxa"/>
            <w:vMerge w:val="restart"/>
            <w:tcBorders>
              <w:top w:val="single" w:color="auto" w:sz="4" w:space="0"/>
              <w:left w:val="single" w:color="auto" w:sz="4" w:space="0"/>
              <w:bottom w:val="single" w:color="auto" w:sz="4" w:space="0"/>
              <w:right w:val="single" w:color="auto" w:sz="4" w:space="0"/>
            </w:tcBorders>
            <w:noWrap w:val="0"/>
            <w:vAlign w:val="center"/>
          </w:tcPr>
          <w:p w14:paraId="129E749A">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五、人员、设备管理情况</w:t>
            </w:r>
          </w:p>
          <w:p w14:paraId="73D8100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w:t>
            </w:r>
            <w:r>
              <w:rPr>
                <w:rFonts w:hint="eastAsia" w:asciiTheme="minorEastAsia" w:hAnsiTheme="minorEastAsia" w:eastAsiaTheme="minorEastAsia" w:cstheme="minorEastAsia"/>
                <w:b/>
                <w:color w:val="auto"/>
                <w:sz w:val="21"/>
                <w:szCs w:val="21"/>
                <w:highlight w:val="none"/>
                <w:lang w:val="en-US" w:eastAsia="zh-CN"/>
              </w:rPr>
              <w:t>0</w:t>
            </w:r>
            <w:r>
              <w:rPr>
                <w:rFonts w:hint="eastAsia" w:asciiTheme="minorEastAsia" w:hAnsiTheme="minorEastAsia" w:eastAsiaTheme="minorEastAsia" w:cstheme="minorEastAsia"/>
                <w:b/>
                <w:color w:val="auto"/>
                <w:sz w:val="21"/>
                <w:szCs w:val="21"/>
                <w:highlight w:val="none"/>
              </w:rPr>
              <w:t>分）</w:t>
            </w:r>
          </w:p>
        </w:tc>
        <w:tc>
          <w:tcPr>
            <w:tcW w:w="1308" w:type="dxa"/>
            <w:tcBorders>
              <w:top w:val="single" w:color="auto" w:sz="4" w:space="0"/>
              <w:left w:val="single" w:color="auto" w:sz="4" w:space="0"/>
              <w:bottom w:val="single" w:color="auto" w:sz="4" w:space="0"/>
              <w:right w:val="single" w:color="auto" w:sz="4" w:space="0"/>
            </w:tcBorders>
            <w:noWrap w:val="0"/>
            <w:vAlign w:val="center"/>
          </w:tcPr>
          <w:p w14:paraId="373357E6">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.区域人员配置（5分）</w:t>
            </w:r>
          </w:p>
        </w:tc>
        <w:tc>
          <w:tcPr>
            <w:tcW w:w="3800" w:type="dxa"/>
            <w:gridSpan w:val="4"/>
            <w:tcBorders>
              <w:top w:val="single" w:color="auto" w:sz="4" w:space="0"/>
              <w:left w:val="single" w:color="auto" w:sz="4" w:space="0"/>
              <w:bottom w:val="single" w:color="auto" w:sz="4" w:space="0"/>
              <w:right w:val="single" w:color="auto" w:sz="4" w:space="0"/>
            </w:tcBorders>
            <w:noWrap w:val="0"/>
            <w:vAlign w:val="center"/>
          </w:tcPr>
          <w:p w14:paraId="64443B8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采集员必须在各自区域时时在线巡查，1个管理员每日督察，</w:t>
            </w:r>
            <w:r>
              <w:rPr>
                <w:rFonts w:hint="eastAsia" w:asciiTheme="minorEastAsia" w:hAnsiTheme="minorEastAsia" w:eastAsiaTheme="minorEastAsia" w:cstheme="minorEastAsia"/>
                <w:color w:val="auto"/>
                <w:sz w:val="21"/>
                <w:szCs w:val="21"/>
                <w:highlight w:val="none"/>
                <w:lang w:eastAsia="zh-CN"/>
              </w:rPr>
              <w:t>智慧城管</w:t>
            </w:r>
            <w:r>
              <w:rPr>
                <w:rFonts w:hint="eastAsia" w:asciiTheme="minorEastAsia" w:hAnsiTheme="minorEastAsia" w:eastAsiaTheme="minorEastAsia" w:cstheme="minorEastAsia"/>
                <w:color w:val="auto"/>
                <w:sz w:val="21"/>
                <w:szCs w:val="21"/>
                <w:highlight w:val="none"/>
              </w:rPr>
              <w:t>中心抽查，按月统计，每少一人次扣100-200元，并扣1分，扣完5分为止。</w:t>
            </w:r>
          </w:p>
        </w:tc>
        <w:tc>
          <w:tcPr>
            <w:tcW w:w="1593" w:type="dxa"/>
            <w:tcBorders>
              <w:top w:val="single" w:color="auto" w:sz="4" w:space="0"/>
              <w:left w:val="single" w:color="auto" w:sz="4" w:space="0"/>
              <w:bottom w:val="single" w:color="auto" w:sz="4" w:space="0"/>
              <w:right w:val="single" w:color="auto" w:sz="4" w:space="0"/>
            </w:tcBorders>
            <w:noWrap w:val="0"/>
            <w:vAlign w:val="center"/>
          </w:tcPr>
          <w:p w14:paraId="4D35D7B9">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系统轨迹查询+现场抽查</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79C2826D">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c>
          <w:tcPr>
            <w:tcW w:w="694" w:type="dxa"/>
            <w:tcBorders>
              <w:top w:val="single" w:color="auto" w:sz="4" w:space="0"/>
              <w:left w:val="single" w:color="auto" w:sz="4" w:space="0"/>
              <w:bottom w:val="single" w:color="auto" w:sz="4" w:space="0"/>
              <w:right w:val="single" w:color="auto" w:sz="4" w:space="0"/>
            </w:tcBorders>
            <w:noWrap w:val="0"/>
            <w:vAlign w:val="center"/>
          </w:tcPr>
          <w:p w14:paraId="7D43AAF5">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c>
          <w:tcPr>
            <w:tcW w:w="673" w:type="dxa"/>
            <w:tcBorders>
              <w:top w:val="single" w:color="auto" w:sz="4" w:space="0"/>
              <w:left w:val="single" w:color="auto" w:sz="4" w:space="0"/>
              <w:bottom w:val="single" w:color="auto" w:sz="4" w:space="0"/>
              <w:right w:val="single" w:color="auto" w:sz="4" w:space="0"/>
            </w:tcBorders>
            <w:noWrap w:val="0"/>
            <w:vAlign w:val="center"/>
          </w:tcPr>
          <w:p w14:paraId="396D5B63">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r>
      <w:tr w14:paraId="5756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1072" w:type="dxa"/>
            <w:vMerge w:val="continue"/>
            <w:tcBorders>
              <w:top w:val="single" w:color="auto" w:sz="4" w:space="0"/>
              <w:left w:val="single" w:color="auto" w:sz="4" w:space="0"/>
              <w:bottom w:val="single" w:color="auto" w:sz="4" w:space="0"/>
              <w:right w:val="single" w:color="auto" w:sz="4" w:space="0"/>
            </w:tcBorders>
            <w:noWrap w:val="0"/>
            <w:vAlign w:val="center"/>
          </w:tcPr>
          <w:p w14:paraId="47333B93">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color w:val="auto"/>
                <w:sz w:val="21"/>
                <w:szCs w:val="21"/>
                <w:highlight w:val="none"/>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14:paraId="403A31DE">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.员工队伍管理（5分）</w:t>
            </w:r>
          </w:p>
        </w:tc>
        <w:tc>
          <w:tcPr>
            <w:tcW w:w="3800" w:type="dxa"/>
            <w:gridSpan w:val="4"/>
            <w:tcBorders>
              <w:top w:val="single" w:color="auto" w:sz="4" w:space="0"/>
              <w:left w:val="single" w:color="auto" w:sz="4" w:space="0"/>
              <w:bottom w:val="single" w:color="auto" w:sz="4" w:space="0"/>
              <w:right w:val="single" w:color="auto" w:sz="4" w:space="0"/>
            </w:tcBorders>
            <w:noWrap w:val="0"/>
            <w:vAlign w:val="center"/>
          </w:tcPr>
          <w:p w14:paraId="0C2A3953">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不能发生吃、拿、卡、要和有责纠纷、弄虚作假行为，核实首次扣1000-5000元，并扣5分，核实第二次则</w:t>
            </w:r>
            <w:r>
              <w:rPr>
                <w:rFonts w:hint="eastAsia"/>
                <w:color w:val="auto"/>
                <w:highlight w:val="none"/>
                <w:lang w:val="en-US" w:eastAsia="zh-CN"/>
              </w:rPr>
              <w:t>终止</w:t>
            </w:r>
            <w:r>
              <w:rPr>
                <w:rFonts w:hint="eastAsia" w:asciiTheme="minorEastAsia" w:hAnsiTheme="minorEastAsia" w:eastAsiaTheme="minorEastAsia" w:cstheme="minorEastAsia"/>
                <w:color w:val="auto"/>
                <w:sz w:val="21"/>
                <w:szCs w:val="21"/>
                <w:highlight w:val="none"/>
              </w:rPr>
              <w:t>合同，</w:t>
            </w:r>
            <w:r>
              <w:rPr>
                <w:rFonts w:hint="eastAsia" w:asciiTheme="minorEastAsia" w:hAnsiTheme="minorEastAsia" w:eastAsiaTheme="minorEastAsia" w:cstheme="minorEastAsia"/>
                <w:color w:val="auto"/>
                <w:sz w:val="21"/>
                <w:szCs w:val="21"/>
                <w:highlight w:val="none"/>
                <w:lang w:val="en-US" w:eastAsia="zh-CN"/>
              </w:rPr>
              <w:t>且甲方不承担违约责任，</w:t>
            </w:r>
            <w:r>
              <w:rPr>
                <w:rFonts w:hint="eastAsia" w:asciiTheme="minorEastAsia" w:hAnsiTheme="minorEastAsia" w:eastAsiaTheme="minorEastAsia" w:cstheme="minorEastAsia"/>
                <w:color w:val="auto"/>
                <w:sz w:val="21"/>
                <w:szCs w:val="21"/>
                <w:highlight w:val="none"/>
              </w:rPr>
              <w:t>同时</w:t>
            </w:r>
            <w:r>
              <w:rPr>
                <w:rFonts w:hint="eastAsia" w:asciiTheme="minorEastAsia" w:hAnsiTheme="minorEastAsia" w:eastAsiaTheme="minorEastAsia" w:cstheme="minorEastAsia"/>
                <w:color w:val="auto"/>
                <w:sz w:val="21"/>
                <w:szCs w:val="21"/>
                <w:highlight w:val="none"/>
                <w:lang w:val="en-US" w:eastAsia="zh-CN"/>
              </w:rPr>
              <w:t>乙方</w:t>
            </w:r>
            <w:r>
              <w:rPr>
                <w:rFonts w:hint="eastAsia" w:asciiTheme="minorEastAsia" w:hAnsiTheme="minorEastAsia" w:eastAsiaTheme="minorEastAsia" w:cstheme="minorEastAsia"/>
                <w:color w:val="auto"/>
                <w:sz w:val="21"/>
                <w:szCs w:val="21"/>
                <w:highlight w:val="none"/>
              </w:rPr>
              <w:t>不能参与下一年度信息采集招标。</w:t>
            </w:r>
          </w:p>
        </w:tc>
        <w:tc>
          <w:tcPr>
            <w:tcW w:w="1593" w:type="dxa"/>
            <w:tcBorders>
              <w:top w:val="single" w:color="auto" w:sz="4" w:space="0"/>
              <w:left w:val="single" w:color="auto" w:sz="4" w:space="0"/>
              <w:bottom w:val="single" w:color="auto" w:sz="4" w:space="0"/>
              <w:right w:val="single" w:color="auto" w:sz="4" w:space="0"/>
            </w:tcBorders>
            <w:noWrap w:val="0"/>
            <w:vAlign w:val="center"/>
          </w:tcPr>
          <w:p w14:paraId="02663A97">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智慧城管</w:t>
            </w:r>
            <w:r>
              <w:rPr>
                <w:rFonts w:hint="eastAsia" w:asciiTheme="minorEastAsia" w:hAnsiTheme="minorEastAsia" w:eastAsiaTheme="minorEastAsia" w:cstheme="minorEastAsia"/>
                <w:color w:val="auto"/>
                <w:sz w:val="21"/>
                <w:szCs w:val="21"/>
                <w:highlight w:val="none"/>
              </w:rPr>
              <w:t>中心现场巡查督查、媒体曝光、行业监管和群众举报等</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38F898C7">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c>
          <w:tcPr>
            <w:tcW w:w="694" w:type="dxa"/>
            <w:tcBorders>
              <w:top w:val="single" w:color="auto" w:sz="4" w:space="0"/>
              <w:left w:val="single" w:color="auto" w:sz="4" w:space="0"/>
              <w:bottom w:val="single" w:color="auto" w:sz="4" w:space="0"/>
              <w:right w:val="single" w:color="auto" w:sz="4" w:space="0"/>
            </w:tcBorders>
            <w:noWrap w:val="0"/>
            <w:vAlign w:val="center"/>
          </w:tcPr>
          <w:p w14:paraId="00339A88">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c>
          <w:tcPr>
            <w:tcW w:w="673" w:type="dxa"/>
            <w:tcBorders>
              <w:top w:val="single" w:color="auto" w:sz="4" w:space="0"/>
              <w:left w:val="single" w:color="auto" w:sz="4" w:space="0"/>
              <w:bottom w:val="single" w:color="auto" w:sz="4" w:space="0"/>
              <w:right w:val="single" w:color="auto" w:sz="4" w:space="0"/>
            </w:tcBorders>
            <w:noWrap w:val="0"/>
            <w:vAlign w:val="center"/>
          </w:tcPr>
          <w:p w14:paraId="05F09DF6">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r>
      <w:tr w14:paraId="32B6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072" w:type="dxa"/>
            <w:vMerge w:val="continue"/>
            <w:tcBorders>
              <w:top w:val="single" w:color="auto" w:sz="4" w:space="0"/>
              <w:left w:val="single" w:color="auto" w:sz="4" w:space="0"/>
              <w:bottom w:val="single" w:color="auto" w:sz="4" w:space="0"/>
              <w:right w:val="single" w:color="auto" w:sz="4" w:space="0"/>
            </w:tcBorders>
            <w:noWrap w:val="0"/>
            <w:vAlign w:val="center"/>
          </w:tcPr>
          <w:p w14:paraId="14EDDC83">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color w:val="auto"/>
                <w:sz w:val="21"/>
                <w:szCs w:val="21"/>
                <w:highlight w:val="none"/>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14:paraId="4BC97CA4">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.每月支付工资前是否征得</w:t>
            </w:r>
            <w:r>
              <w:rPr>
                <w:rFonts w:hint="eastAsia" w:asciiTheme="minorEastAsia" w:hAnsiTheme="minorEastAsia" w:eastAsiaTheme="minorEastAsia" w:cstheme="minorEastAsia"/>
                <w:color w:val="auto"/>
                <w:sz w:val="21"/>
                <w:szCs w:val="21"/>
                <w:highlight w:val="none"/>
                <w:lang w:eastAsia="zh-CN"/>
              </w:rPr>
              <w:t>甲方</w:t>
            </w:r>
            <w:r>
              <w:rPr>
                <w:rFonts w:hint="eastAsia" w:asciiTheme="minorEastAsia" w:hAnsiTheme="minorEastAsia" w:eastAsiaTheme="minorEastAsia" w:cstheme="minorEastAsia"/>
                <w:color w:val="auto"/>
                <w:sz w:val="21"/>
                <w:szCs w:val="21"/>
                <w:highlight w:val="none"/>
              </w:rPr>
              <w:t>同意（10分）</w:t>
            </w:r>
          </w:p>
        </w:tc>
        <w:tc>
          <w:tcPr>
            <w:tcW w:w="3800" w:type="dxa"/>
            <w:gridSpan w:val="4"/>
            <w:tcBorders>
              <w:top w:val="single" w:color="auto" w:sz="4" w:space="0"/>
              <w:left w:val="single" w:color="auto" w:sz="4" w:space="0"/>
              <w:bottom w:val="single" w:color="auto" w:sz="4" w:space="0"/>
              <w:right w:val="single" w:color="auto" w:sz="4" w:space="0"/>
            </w:tcBorders>
            <w:noWrap w:val="0"/>
            <w:vAlign w:val="center"/>
          </w:tcPr>
          <w:p w14:paraId="2E0920D9">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经过</w:t>
            </w:r>
            <w:r>
              <w:rPr>
                <w:rFonts w:hint="eastAsia" w:asciiTheme="minorEastAsia" w:hAnsiTheme="minorEastAsia" w:eastAsiaTheme="minorEastAsia" w:cstheme="minorEastAsia"/>
                <w:color w:val="auto"/>
                <w:sz w:val="21"/>
                <w:szCs w:val="21"/>
                <w:highlight w:val="none"/>
                <w:lang w:eastAsia="zh-CN"/>
              </w:rPr>
              <w:t>甲方</w:t>
            </w:r>
            <w:r>
              <w:rPr>
                <w:rFonts w:hint="eastAsia" w:asciiTheme="minorEastAsia" w:hAnsiTheme="minorEastAsia" w:eastAsiaTheme="minorEastAsia" w:cstheme="minorEastAsia"/>
                <w:color w:val="auto"/>
                <w:sz w:val="21"/>
                <w:szCs w:val="21"/>
                <w:highlight w:val="none"/>
              </w:rPr>
              <w:t>同意的，不扣分；未经过</w:t>
            </w:r>
            <w:r>
              <w:rPr>
                <w:rFonts w:hint="eastAsia" w:asciiTheme="minorEastAsia" w:hAnsiTheme="minorEastAsia" w:eastAsiaTheme="minorEastAsia" w:cstheme="minorEastAsia"/>
                <w:color w:val="auto"/>
                <w:sz w:val="21"/>
                <w:szCs w:val="21"/>
                <w:highlight w:val="none"/>
                <w:lang w:eastAsia="zh-CN"/>
              </w:rPr>
              <w:t>甲方</w:t>
            </w:r>
            <w:r>
              <w:rPr>
                <w:rFonts w:hint="eastAsia" w:asciiTheme="minorEastAsia" w:hAnsiTheme="minorEastAsia" w:eastAsiaTheme="minorEastAsia" w:cstheme="minorEastAsia"/>
                <w:color w:val="auto"/>
                <w:sz w:val="21"/>
                <w:szCs w:val="21"/>
                <w:highlight w:val="none"/>
              </w:rPr>
              <w:t>同意的，扣10分。</w:t>
            </w:r>
          </w:p>
        </w:tc>
        <w:tc>
          <w:tcPr>
            <w:tcW w:w="1593" w:type="dxa"/>
            <w:tcBorders>
              <w:top w:val="single" w:color="auto" w:sz="4" w:space="0"/>
              <w:left w:val="single" w:color="auto" w:sz="4" w:space="0"/>
              <w:bottom w:val="single" w:color="auto" w:sz="4" w:space="0"/>
              <w:right w:val="single" w:color="auto" w:sz="4" w:space="0"/>
            </w:tcBorders>
            <w:noWrap w:val="0"/>
            <w:vAlign w:val="center"/>
          </w:tcPr>
          <w:p w14:paraId="29ED9B5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智慧城管</w:t>
            </w:r>
            <w:r>
              <w:rPr>
                <w:rFonts w:hint="eastAsia" w:asciiTheme="minorEastAsia" w:hAnsiTheme="minorEastAsia" w:eastAsiaTheme="minorEastAsia" w:cstheme="minorEastAsia"/>
                <w:color w:val="auto"/>
                <w:sz w:val="21"/>
                <w:szCs w:val="21"/>
                <w:highlight w:val="none"/>
              </w:rPr>
              <w:t>中心人员统计</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6628D3FF">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c>
          <w:tcPr>
            <w:tcW w:w="694" w:type="dxa"/>
            <w:tcBorders>
              <w:top w:val="single" w:color="auto" w:sz="4" w:space="0"/>
              <w:left w:val="single" w:color="auto" w:sz="4" w:space="0"/>
              <w:bottom w:val="single" w:color="auto" w:sz="4" w:space="0"/>
              <w:right w:val="single" w:color="auto" w:sz="4" w:space="0"/>
            </w:tcBorders>
            <w:noWrap w:val="0"/>
            <w:vAlign w:val="center"/>
          </w:tcPr>
          <w:p w14:paraId="6F3D004F">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c>
          <w:tcPr>
            <w:tcW w:w="673" w:type="dxa"/>
            <w:tcBorders>
              <w:top w:val="single" w:color="auto" w:sz="4" w:space="0"/>
              <w:left w:val="single" w:color="auto" w:sz="4" w:space="0"/>
              <w:bottom w:val="single" w:color="auto" w:sz="4" w:space="0"/>
              <w:right w:val="single" w:color="auto" w:sz="4" w:space="0"/>
            </w:tcBorders>
            <w:noWrap w:val="0"/>
            <w:vAlign w:val="center"/>
          </w:tcPr>
          <w:p w14:paraId="7410196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r>
      <w:tr w14:paraId="3ADC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1072" w:type="dxa"/>
            <w:tcBorders>
              <w:top w:val="single" w:color="auto" w:sz="4" w:space="0"/>
              <w:left w:val="single" w:color="auto" w:sz="4" w:space="0"/>
              <w:bottom w:val="single" w:color="auto" w:sz="4" w:space="0"/>
              <w:right w:val="single" w:color="auto" w:sz="4" w:space="0"/>
            </w:tcBorders>
            <w:noWrap w:val="0"/>
            <w:vAlign w:val="center"/>
          </w:tcPr>
          <w:p w14:paraId="4F7714A1">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六、</w:t>
            </w:r>
            <w:r>
              <w:rPr>
                <w:rFonts w:hint="eastAsia" w:asciiTheme="minorEastAsia" w:hAnsiTheme="minorEastAsia" w:eastAsiaTheme="minorEastAsia" w:cstheme="minorEastAsia"/>
                <w:b/>
                <w:color w:val="auto"/>
                <w:sz w:val="21"/>
                <w:szCs w:val="21"/>
                <w:highlight w:val="none"/>
                <w:lang w:eastAsia="zh-CN"/>
              </w:rPr>
              <w:t>智慧城管</w:t>
            </w:r>
            <w:r>
              <w:rPr>
                <w:rFonts w:hint="eastAsia" w:asciiTheme="minorEastAsia" w:hAnsiTheme="minorEastAsia" w:eastAsiaTheme="minorEastAsia" w:cstheme="minorEastAsia"/>
                <w:b/>
                <w:color w:val="auto"/>
                <w:sz w:val="21"/>
                <w:szCs w:val="21"/>
                <w:highlight w:val="none"/>
              </w:rPr>
              <w:t>中心交办的工作（5分）</w:t>
            </w:r>
          </w:p>
        </w:tc>
        <w:tc>
          <w:tcPr>
            <w:tcW w:w="1308" w:type="dxa"/>
            <w:tcBorders>
              <w:top w:val="single" w:color="auto" w:sz="4" w:space="0"/>
              <w:left w:val="single" w:color="auto" w:sz="4" w:space="0"/>
              <w:bottom w:val="single" w:color="auto" w:sz="4" w:space="0"/>
              <w:right w:val="single" w:color="auto" w:sz="4" w:space="0"/>
            </w:tcBorders>
            <w:noWrap w:val="0"/>
            <w:vAlign w:val="center"/>
          </w:tcPr>
          <w:p w14:paraId="5C75A81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.按时完成</w:t>
            </w:r>
            <w:r>
              <w:rPr>
                <w:rFonts w:hint="eastAsia" w:asciiTheme="minorEastAsia" w:hAnsiTheme="minorEastAsia" w:eastAsiaTheme="minorEastAsia" w:cstheme="minorEastAsia"/>
                <w:color w:val="auto"/>
                <w:sz w:val="21"/>
                <w:szCs w:val="21"/>
                <w:highlight w:val="none"/>
                <w:lang w:eastAsia="zh-CN"/>
              </w:rPr>
              <w:t>智慧城管</w:t>
            </w:r>
            <w:r>
              <w:rPr>
                <w:rFonts w:hint="eastAsia" w:asciiTheme="minorEastAsia" w:hAnsiTheme="minorEastAsia" w:eastAsiaTheme="minorEastAsia" w:cstheme="minorEastAsia"/>
                <w:color w:val="auto"/>
                <w:sz w:val="21"/>
                <w:szCs w:val="21"/>
                <w:highlight w:val="none"/>
              </w:rPr>
              <w:t>中心交办的工作（5分）</w:t>
            </w:r>
          </w:p>
        </w:tc>
        <w:tc>
          <w:tcPr>
            <w:tcW w:w="3800" w:type="dxa"/>
            <w:gridSpan w:val="4"/>
            <w:tcBorders>
              <w:top w:val="single" w:color="auto" w:sz="4" w:space="0"/>
              <w:left w:val="single" w:color="auto" w:sz="4" w:space="0"/>
              <w:bottom w:val="single" w:color="auto" w:sz="4" w:space="0"/>
              <w:right w:val="single" w:color="auto" w:sz="4" w:space="0"/>
            </w:tcBorders>
            <w:noWrap w:val="0"/>
            <w:vAlign w:val="top"/>
          </w:tcPr>
          <w:p w14:paraId="0BD6F7DE">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c>
          <w:tcPr>
            <w:tcW w:w="1593" w:type="dxa"/>
            <w:tcBorders>
              <w:top w:val="single" w:color="auto" w:sz="4" w:space="0"/>
              <w:left w:val="single" w:color="auto" w:sz="4" w:space="0"/>
              <w:bottom w:val="single" w:color="auto" w:sz="4" w:space="0"/>
              <w:right w:val="single" w:color="auto" w:sz="4" w:space="0"/>
            </w:tcBorders>
            <w:noWrap w:val="0"/>
            <w:vAlign w:val="top"/>
          </w:tcPr>
          <w:p w14:paraId="6BDEB5A2">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0B18C8DE">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c>
          <w:tcPr>
            <w:tcW w:w="694" w:type="dxa"/>
            <w:tcBorders>
              <w:top w:val="single" w:color="auto" w:sz="4" w:space="0"/>
              <w:left w:val="single" w:color="auto" w:sz="4" w:space="0"/>
              <w:bottom w:val="single" w:color="auto" w:sz="4" w:space="0"/>
              <w:right w:val="single" w:color="auto" w:sz="4" w:space="0"/>
            </w:tcBorders>
            <w:noWrap w:val="0"/>
            <w:vAlign w:val="center"/>
          </w:tcPr>
          <w:p w14:paraId="69222472">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c>
          <w:tcPr>
            <w:tcW w:w="673" w:type="dxa"/>
            <w:tcBorders>
              <w:top w:val="single" w:color="auto" w:sz="4" w:space="0"/>
              <w:left w:val="single" w:color="auto" w:sz="4" w:space="0"/>
              <w:bottom w:val="single" w:color="auto" w:sz="4" w:space="0"/>
              <w:right w:val="single" w:color="auto" w:sz="4" w:space="0"/>
            </w:tcBorders>
            <w:noWrap w:val="0"/>
            <w:vAlign w:val="center"/>
          </w:tcPr>
          <w:p w14:paraId="69AB20D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r>
      <w:tr w14:paraId="46CD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72" w:type="dxa"/>
            <w:tcBorders>
              <w:top w:val="single" w:color="auto" w:sz="4" w:space="0"/>
              <w:left w:val="single" w:color="auto" w:sz="4" w:space="0"/>
              <w:bottom w:val="single" w:color="auto" w:sz="4" w:space="0"/>
              <w:right w:val="single" w:color="auto" w:sz="4" w:space="0"/>
            </w:tcBorders>
            <w:noWrap w:val="0"/>
            <w:vAlign w:val="center"/>
          </w:tcPr>
          <w:p w14:paraId="00F6EA99">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总得分：</w:t>
            </w:r>
          </w:p>
        </w:tc>
        <w:tc>
          <w:tcPr>
            <w:tcW w:w="1308" w:type="dxa"/>
            <w:tcBorders>
              <w:top w:val="single" w:color="auto" w:sz="4" w:space="0"/>
              <w:left w:val="single" w:color="auto" w:sz="4" w:space="0"/>
              <w:bottom w:val="single" w:color="auto" w:sz="4" w:space="0"/>
              <w:right w:val="single" w:color="auto" w:sz="4" w:space="0"/>
            </w:tcBorders>
            <w:noWrap w:val="0"/>
            <w:vAlign w:val="center"/>
          </w:tcPr>
          <w:p w14:paraId="377F5C3C">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c>
          <w:tcPr>
            <w:tcW w:w="733" w:type="dxa"/>
            <w:tcBorders>
              <w:top w:val="single" w:color="auto" w:sz="4" w:space="0"/>
              <w:left w:val="single" w:color="auto" w:sz="4" w:space="0"/>
              <w:bottom w:val="single" w:color="auto" w:sz="4" w:space="0"/>
              <w:right w:val="single" w:color="auto" w:sz="4" w:space="0"/>
            </w:tcBorders>
            <w:noWrap w:val="0"/>
            <w:vAlign w:val="center"/>
          </w:tcPr>
          <w:p w14:paraId="7FBC3970">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总计扣：</w:t>
            </w:r>
          </w:p>
        </w:tc>
        <w:tc>
          <w:tcPr>
            <w:tcW w:w="1683" w:type="dxa"/>
            <w:gridSpan w:val="2"/>
            <w:tcBorders>
              <w:top w:val="single" w:color="auto" w:sz="4" w:space="0"/>
              <w:left w:val="single" w:color="auto" w:sz="4" w:space="0"/>
              <w:bottom w:val="single" w:color="auto" w:sz="4" w:space="0"/>
              <w:right w:val="single" w:color="auto" w:sz="4" w:space="0"/>
            </w:tcBorders>
            <w:noWrap w:val="0"/>
            <w:vAlign w:val="center"/>
          </w:tcPr>
          <w:p w14:paraId="7E27FA5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3E84ED7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考评情况：</w:t>
            </w:r>
          </w:p>
        </w:tc>
        <w:tc>
          <w:tcPr>
            <w:tcW w:w="3677" w:type="dxa"/>
            <w:gridSpan w:val="4"/>
            <w:tcBorders>
              <w:top w:val="single" w:color="auto" w:sz="4" w:space="0"/>
              <w:left w:val="single" w:color="auto" w:sz="4" w:space="0"/>
              <w:bottom w:val="single" w:color="auto" w:sz="4" w:space="0"/>
              <w:right w:val="single" w:color="auto" w:sz="4" w:space="0"/>
            </w:tcBorders>
            <w:noWrap w:val="0"/>
            <w:vAlign w:val="center"/>
          </w:tcPr>
          <w:p w14:paraId="1E323167">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p>
        </w:tc>
      </w:tr>
    </w:tbl>
    <w:p w14:paraId="432C0A28">
      <w:pPr>
        <w:jc w:val="left"/>
        <w:rPr>
          <w:rFonts w:hint="eastAsia" w:asciiTheme="minorEastAsia" w:hAnsiTheme="minorEastAsia" w:eastAsiaTheme="minorEastAsia" w:cstheme="minorEastAsia"/>
          <w:color w:val="auto"/>
          <w:sz w:val="21"/>
          <w:szCs w:val="21"/>
          <w:highlight w:val="none"/>
        </w:rPr>
      </w:pPr>
    </w:p>
    <w:p w14:paraId="528579F8">
      <w:pPr>
        <w:keepNext w:val="0"/>
        <w:keepLines w:val="0"/>
        <w:pageBreakBefore w:val="0"/>
        <w:widowControl w:val="0"/>
        <w:kinsoku/>
        <w:wordWrap/>
        <w:overflowPunct w:val="0"/>
        <w:topLinePunct w:val="0"/>
        <w:autoSpaceDE/>
        <w:autoSpaceDN/>
        <w:bidi w:val="0"/>
        <w:adjustRightInd/>
        <w:snapToGrid/>
        <w:spacing w:line="360" w:lineRule="auto"/>
        <w:ind w:left="0" w:firstLine="422"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sz w:val="21"/>
          <w:szCs w:val="21"/>
          <w:highlight w:val="none"/>
        </w:rPr>
        <w:t>备注：</w:t>
      </w:r>
      <w:r>
        <w:rPr>
          <w:rFonts w:hint="eastAsia" w:asciiTheme="minorEastAsia" w:hAnsiTheme="minorEastAsia" w:eastAsiaTheme="minorEastAsia" w:cstheme="minorEastAsia"/>
          <w:b/>
          <w:color w:val="auto"/>
          <w:kern w:val="0"/>
          <w:sz w:val="21"/>
          <w:szCs w:val="21"/>
          <w:highlight w:val="none"/>
        </w:rPr>
        <w:t>考核基本分100分（加分30），总分130分，合格（80--89），优秀（90分（含）以上的为优秀），低于80分的为不合格。</w:t>
      </w:r>
      <w:r>
        <w:rPr>
          <w:rFonts w:hint="eastAsia" w:asciiTheme="minorEastAsia" w:hAnsiTheme="minorEastAsia" w:eastAsiaTheme="minorEastAsia" w:cstheme="minorEastAsia"/>
          <w:b/>
          <w:color w:val="auto"/>
          <w:sz w:val="21"/>
          <w:szCs w:val="21"/>
          <w:highlight w:val="none"/>
        </w:rPr>
        <w:t>涉及以上计扣的计算公式如下：</w:t>
      </w:r>
    </w:p>
    <w:p w14:paraId="52959C7E">
      <w:pPr>
        <w:pStyle w:val="54"/>
        <w:keepNext w:val="0"/>
        <w:keepLines w:val="0"/>
        <w:pageBreakBefore w:val="0"/>
        <w:widowControl w:val="0"/>
        <w:numPr>
          <w:ilvl w:val="0"/>
          <w:numId w:val="0"/>
        </w:numPr>
        <w:kinsoku/>
        <w:wordWrap/>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1.</w:t>
      </w:r>
      <w:r>
        <w:rPr>
          <w:rFonts w:hint="eastAsia" w:asciiTheme="minorEastAsia" w:hAnsiTheme="minorEastAsia" w:eastAsiaTheme="minorEastAsia" w:cstheme="minorEastAsia"/>
          <w:color w:val="auto"/>
          <w:sz w:val="21"/>
          <w:szCs w:val="21"/>
          <w:highlight w:val="none"/>
        </w:rPr>
        <w:t>上报有效数据（核查和核实）=上报问题总数（包括普查）+核查上报数据-无效上报数据</w:t>
      </w:r>
    </w:p>
    <w:p w14:paraId="27C81DE5">
      <w:pPr>
        <w:pStyle w:val="54"/>
        <w:keepNext w:val="0"/>
        <w:keepLines w:val="0"/>
        <w:pageBreakBefore w:val="0"/>
        <w:widowControl w:val="0"/>
        <w:numPr>
          <w:ilvl w:val="0"/>
          <w:numId w:val="0"/>
        </w:numPr>
        <w:kinsoku/>
        <w:wordWrap/>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2.</w:t>
      </w:r>
      <w:r>
        <w:rPr>
          <w:rFonts w:hint="eastAsia" w:asciiTheme="minorEastAsia" w:hAnsiTheme="minorEastAsia" w:eastAsiaTheme="minorEastAsia" w:cstheme="minorEastAsia"/>
          <w:color w:val="auto"/>
          <w:sz w:val="21"/>
          <w:szCs w:val="21"/>
          <w:highlight w:val="none"/>
        </w:rPr>
        <w:t>月上报率=月上报有效数据/月上报基数</w:t>
      </w:r>
    </w:p>
    <w:p w14:paraId="18F48DF2">
      <w:pPr>
        <w:pStyle w:val="54"/>
        <w:keepNext w:val="0"/>
        <w:keepLines w:val="0"/>
        <w:pageBreakBefore w:val="0"/>
        <w:widowControl w:val="0"/>
        <w:numPr>
          <w:ilvl w:val="0"/>
          <w:numId w:val="0"/>
        </w:numPr>
        <w:kinsoku/>
        <w:wordWrap/>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3.</w:t>
      </w:r>
      <w:r>
        <w:rPr>
          <w:rFonts w:hint="eastAsia" w:asciiTheme="minorEastAsia" w:hAnsiTheme="minorEastAsia" w:eastAsiaTheme="minorEastAsia" w:cstheme="minorEastAsia"/>
          <w:color w:val="auto"/>
          <w:sz w:val="21"/>
          <w:szCs w:val="21"/>
          <w:highlight w:val="none"/>
        </w:rPr>
        <w:t>差错率=（无效上报数据）/（上报总数）</w:t>
      </w:r>
    </w:p>
    <w:p w14:paraId="50A5F6BC">
      <w:pPr>
        <w:pStyle w:val="54"/>
        <w:keepNext w:val="0"/>
        <w:keepLines w:val="0"/>
        <w:pageBreakBefore w:val="0"/>
        <w:widowControl w:val="0"/>
        <w:numPr>
          <w:ilvl w:val="0"/>
          <w:numId w:val="0"/>
        </w:numPr>
        <w:kinsoku/>
        <w:wordWrap/>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4.</w:t>
      </w:r>
      <w:r>
        <w:rPr>
          <w:rFonts w:hint="eastAsia" w:asciiTheme="minorEastAsia" w:hAnsiTheme="minorEastAsia" w:eastAsiaTheme="minorEastAsia" w:cstheme="minorEastAsia"/>
          <w:color w:val="auto"/>
          <w:sz w:val="21"/>
          <w:szCs w:val="21"/>
          <w:highlight w:val="none"/>
        </w:rPr>
        <w:t>重大差错：中心交办的案卷不采集及在差错案件评定范围内重复上报次数达3次及3次以上的案卷（安全隐患除外）</w:t>
      </w:r>
    </w:p>
    <w:p w14:paraId="7C7411FE">
      <w:pPr>
        <w:pStyle w:val="54"/>
        <w:keepNext w:val="0"/>
        <w:keepLines w:val="0"/>
        <w:pageBreakBefore w:val="0"/>
        <w:widowControl w:val="0"/>
        <w:kinsoku/>
        <w:wordWrap/>
        <w:topLinePunct w:val="0"/>
        <w:autoSpaceDE/>
        <w:autoSpaceDN/>
        <w:bidi w:val="0"/>
        <w:adjustRightInd/>
        <w:snapToGrid/>
        <w:spacing w:line="360" w:lineRule="auto"/>
        <w:ind w:lef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5.核查（实）率=核查（实）案件/应核查（实）案件</w:t>
      </w:r>
    </w:p>
    <w:p w14:paraId="376D26A4">
      <w:pPr>
        <w:pStyle w:val="54"/>
        <w:keepNext w:val="0"/>
        <w:keepLines w:val="0"/>
        <w:pageBreakBefore w:val="0"/>
        <w:widowControl w:val="0"/>
        <w:kinsoku/>
        <w:wordWrap/>
        <w:topLinePunct w:val="0"/>
        <w:autoSpaceDE/>
        <w:autoSpaceDN/>
        <w:bidi w:val="0"/>
        <w:adjustRightInd/>
        <w:snapToGrid/>
        <w:spacing w:line="360" w:lineRule="auto"/>
        <w:ind w:lef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6.按时核查（实）率=限时核查（实）案件/应核查（实）案件</w:t>
      </w:r>
    </w:p>
    <w:p w14:paraId="01A4BFA8">
      <w:pPr>
        <w:pStyle w:val="54"/>
        <w:keepNext w:val="0"/>
        <w:keepLines w:val="0"/>
        <w:pageBreakBefore w:val="0"/>
        <w:widowControl w:val="0"/>
        <w:kinsoku/>
        <w:wordWrap/>
        <w:topLinePunct w:val="0"/>
        <w:autoSpaceDE/>
        <w:autoSpaceDN/>
        <w:bidi w:val="0"/>
        <w:adjustRightInd/>
        <w:snapToGrid/>
        <w:spacing w:line="360" w:lineRule="auto"/>
        <w:ind w:lef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7.间隔密度合格率=（1-被抽查不合格采集员数/该采集公司采集员总数）*100%），其中不合格采集员：即抽查到该区域内无采集人员或采集员巡查次数少于在规定时间内巡查次数</w:t>
      </w:r>
    </w:p>
    <w:p w14:paraId="335C0ECE">
      <w:pPr>
        <w:pStyle w:val="54"/>
        <w:keepNext w:val="0"/>
        <w:keepLines w:val="0"/>
        <w:pageBreakBefore w:val="0"/>
        <w:widowControl w:val="0"/>
        <w:kinsoku/>
        <w:wordWrap/>
        <w:topLinePunct w:val="0"/>
        <w:autoSpaceDE/>
        <w:autoSpaceDN/>
        <w:bidi w:val="0"/>
        <w:adjustRightInd/>
        <w:snapToGrid/>
        <w:spacing w:line="360" w:lineRule="auto"/>
        <w:ind w:lef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8.失报率=漏报案件数/上报案件总数</w:t>
      </w:r>
    </w:p>
    <w:p w14:paraId="764F5ED1">
      <w:pPr>
        <w:pStyle w:val="54"/>
        <w:keepNext w:val="0"/>
        <w:keepLines w:val="0"/>
        <w:pageBreakBefore w:val="0"/>
        <w:widowControl w:val="0"/>
        <w:kinsoku/>
        <w:wordWrap/>
        <w:topLinePunct w:val="0"/>
        <w:autoSpaceDE/>
        <w:autoSpaceDN/>
        <w:bidi w:val="0"/>
        <w:adjustRightInd/>
        <w:snapToGrid/>
        <w:spacing w:line="360" w:lineRule="auto"/>
        <w:ind w:lef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其中对差错案件无效案卷有以下评定范围并计扣：</w:t>
      </w:r>
    </w:p>
    <w:p w14:paraId="3202C06F">
      <w:pPr>
        <w:spacing w:line="360" w:lineRule="auto"/>
        <w:rPr>
          <w:rFonts w:hint="default"/>
          <w:color w:val="auto"/>
          <w:highlight w:val="none"/>
          <w:lang w:val="en-US" w:eastAsia="zh-CN"/>
        </w:rPr>
      </w:pPr>
      <w:r>
        <w:rPr>
          <w:rFonts w:hint="eastAsia" w:asciiTheme="minorEastAsia" w:hAnsiTheme="minorEastAsia" w:eastAsiaTheme="minorEastAsia" w:cstheme="minorEastAsia"/>
          <w:color w:val="auto"/>
          <w:sz w:val="21"/>
          <w:szCs w:val="21"/>
          <w:highlight w:val="none"/>
        </w:rPr>
        <w:t>未纳入范围、未规定上报的、地址不清、整改范围、重复上报（一个月内或规定时间内可再次上报，但具有安全隐患除外）、照片不清、照片不符、类别错误、无背景、定位偏差、已延期缓办（电话通知）以及回退作废案件（电话通知）按100%计扣；流动性强按50%计扣；问题轻微按20%计扣。</w:t>
      </w:r>
    </w:p>
    <w:p w14:paraId="2ED1A07F">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6A225D10">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14:paraId="4E50479B">
      <w:pPr>
        <w:pStyle w:val="52"/>
        <w:keepNext w:val="0"/>
        <w:keepLines w:val="0"/>
        <w:pageBreakBefore w:val="0"/>
        <w:widowControl w:val="0"/>
        <w:kinsoku/>
        <w:wordWrap/>
        <w:overflowPunct/>
        <w:topLinePunct w:val="0"/>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0EFBB96B">
      <w:pPr>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eastAsia="宋体" w:cs="宋体"/>
          <w:color w:val="auto"/>
          <w:szCs w:val="21"/>
          <w:highlight w:val="none"/>
          <w:lang w:eastAsia="zh-CN"/>
        </w:rPr>
        <w:t>台州市综合行政执法局</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2D096CB6">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2CBE8F9D">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甲方：</w:t>
      </w:r>
      <w:r>
        <w:rPr>
          <w:rFonts w:hint="eastAsia" w:ascii="宋体" w:hAnsi="宋体" w:eastAsia="宋体" w:cs="宋体"/>
          <w:color w:val="auto"/>
          <w:szCs w:val="21"/>
          <w:highlight w:val="none"/>
        </w:rPr>
        <w:t>（采购方）</w:t>
      </w:r>
      <w:r>
        <w:rPr>
          <w:rFonts w:hint="eastAsia" w:ascii="宋体" w:hAnsi="宋体" w:eastAsia="宋体" w:cs="宋体"/>
          <w:color w:val="auto"/>
          <w:szCs w:val="21"/>
          <w:highlight w:val="none"/>
          <w:lang w:eastAsia="zh-CN"/>
        </w:rPr>
        <w:t>台州市综合行政执法局</w:t>
      </w:r>
    </w:p>
    <w:p w14:paraId="0E383D5A">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w:t>
      </w:r>
      <w:r>
        <w:rPr>
          <w:rFonts w:hint="eastAsia" w:ascii="宋体" w:hAnsi="宋体" w:eastAsia="宋体" w:cs="宋体"/>
          <w:color w:val="auto"/>
          <w:szCs w:val="21"/>
          <w:highlight w:val="none"/>
        </w:rPr>
        <w:t>（供应商）</w:t>
      </w:r>
      <w:r>
        <w:rPr>
          <w:rFonts w:hint="eastAsia" w:ascii="宋体" w:hAnsi="宋体" w:eastAsia="宋体" w:cs="宋体"/>
          <w:b/>
          <w:color w:val="auto"/>
          <w:szCs w:val="21"/>
          <w:highlight w:val="none"/>
        </w:rPr>
        <w:t xml:space="preserve"> </w:t>
      </w:r>
    </w:p>
    <w:p w14:paraId="0BA688F5">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甲、乙双方根据</w:t>
      </w:r>
      <w:r>
        <w:rPr>
          <w:rFonts w:hint="eastAsia" w:ascii="宋体" w:hAnsi="宋体" w:eastAsia="宋体" w:cs="宋体"/>
          <w:color w:val="auto"/>
          <w:szCs w:val="21"/>
          <w:highlight w:val="none"/>
          <w:u w:val="single"/>
          <w:lang w:eastAsia="zh-CN"/>
        </w:rPr>
        <w:t>台州市综合行政执法局台州湾新区智慧城管信息采集服务项目</w:t>
      </w:r>
      <w:r>
        <w:rPr>
          <w:rFonts w:hint="eastAsia" w:ascii="宋体" w:hAnsi="宋体" w:eastAsia="宋体" w:cs="宋体"/>
          <w:color w:val="auto"/>
          <w:szCs w:val="21"/>
          <w:highlight w:val="none"/>
          <w:u w:val="single"/>
        </w:rPr>
        <w:t>竞争性磋商</w:t>
      </w:r>
      <w:r>
        <w:rPr>
          <w:rFonts w:hint="eastAsia" w:ascii="宋体" w:hAnsi="宋体" w:eastAsia="宋体" w:cs="宋体"/>
          <w:color w:val="auto"/>
          <w:szCs w:val="21"/>
          <w:highlight w:val="none"/>
        </w:rPr>
        <w:t>的结果，签署本合同。</w:t>
      </w:r>
    </w:p>
    <w:p w14:paraId="42E66EFF">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第一条：</w:t>
      </w:r>
      <w:r>
        <w:rPr>
          <w:rFonts w:hint="eastAsia" w:ascii="宋体" w:hAnsi="宋体" w:eastAsia="宋体" w:cs="宋体"/>
          <w:b/>
          <w:color w:val="auto"/>
          <w:szCs w:val="21"/>
          <w:highlight w:val="none"/>
        </w:rPr>
        <w:t>服务内容</w:t>
      </w:r>
    </w:p>
    <w:p w14:paraId="6E0F67FC">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详见本项目</w:t>
      </w:r>
      <w:r>
        <w:rPr>
          <w:rFonts w:hint="eastAsia" w:ascii="宋体" w:hAnsi="宋体" w:eastAsia="宋体" w:cs="宋体"/>
          <w:color w:val="auto"/>
          <w:szCs w:val="21"/>
          <w:highlight w:val="none"/>
          <w:lang w:eastAsia="zh-CN"/>
        </w:rPr>
        <w:t>采购文件</w:t>
      </w:r>
      <w:r>
        <w:rPr>
          <w:rFonts w:hint="eastAsia" w:ascii="宋体" w:hAnsi="宋体" w:eastAsia="宋体" w:cs="宋体"/>
          <w:bCs/>
          <w:color w:val="auto"/>
          <w:szCs w:val="21"/>
          <w:highlight w:val="none"/>
        </w:rPr>
        <w:t>第</w:t>
      </w:r>
      <w:r>
        <w:rPr>
          <w:rFonts w:hint="eastAsia" w:hAnsi="宋体" w:cs="宋体"/>
          <w:bCs/>
          <w:color w:val="auto"/>
          <w:szCs w:val="21"/>
          <w:highlight w:val="none"/>
          <w:lang w:val="en-US" w:eastAsia="zh-CN"/>
        </w:rPr>
        <w:t>四</w:t>
      </w:r>
      <w:r>
        <w:rPr>
          <w:rFonts w:hint="eastAsia" w:ascii="宋体" w:hAnsi="宋体" w:eastAsia="宋体" w:cs="宋体"/>
          <w:bCs/>
          <w:color w:val="auto"/>
          <w:szCs w:val="21"/>
          <w:highlight w:val="none"/>
        </w:rPr>
        <w:t>部分《</w:t>
      </w:r>
      <w:r>
        <w:rPr>
          <w:rFonts w:hint="eastAsia" w:hAnsi="宋体" w:cs="宋体"/>
          <w:bCs/>
          <w:color w:val="auto"/>
          <w:szCs w:val="21"/>
          <w:highlight w:val="none"/>
          <w:lang w:val="en-US" w:eastAsia="zh-CN"/>
        </w:rPr>
        <w:t>项目需求</w:t>
      </w:r>
      <w:r>
        <w:rPr>
          <w:rFonts w:hint="eastAsia" w:ascii="宋体" w:hAnsi="宋体" w:eastAsia="宋体" w:cs="宋体"/>
          <w:color w:val="auto"/>
          <w:szCs w:val="21"/>
          <w:highlight w:val="none"/>
        </w:rPr>
        <w:t>》。</w:t>
      </w:r>
    </w:p>
    <w:p w14:paraId="52589A5C">
      <w:pPr>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5C34CF62">
      <w:pPr>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p w14:paraId="32AD1B39">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第三条：技术资料</w:t>
      </w:r>
    </w:p>
    <w:p w14:paraId="4B965E30">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规定的时间向甲方提供有关技术资料。</w:t>
      </w:r>
    </w:p>
    <w:p w14:paraId="16941C1B">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735A02F">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第四条：知识产权</w:t>
      </w:r>
    </w:p>
    <w:p w14:paraId="22149987">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1、乙方应保证提供服务过程中不会侵犯任何第三方的知识产权和其他权利</w:t>
      </w:r>
      <w:r>
        <w:rPr>
          <w:rFonts w:hint="eastAsia" w:ascii="宋体" w:hAnsi="宋体" w:eastAsia="宋体" w:cs="宋体"/>
          <w:bCs/>
          <w:color w:val="auto"/>
          <w:szCs w:val="21"/>
          <w:highlight w:val="none"/>
        </w:rPr>
        <w:t>。</w:t>
      </w:r>
    </w:p>
    <w:p w14:paraId="1E530A1B">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46E2A447">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6784E09D">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4、若侵犯,除承担本协议中的违约责任外，还应由乙方赔偿甲方因此遭受的损失（包括但不限于应对及追偿过程中所支付的律师费、差旅费、诉讼费、保全费、鉴定费、评估费等）。</w:t>
      </w:r>
    </w:p>
    <w:p w14:paraId="7AAD761C">
      <w:pPr>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条：转包或分包</w:t>
      </w:r>
    </w:p>
    <w:p w14:paraId="38A7ACBB">
      <w:pPr>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7C115DF0">
      <w:pPr>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乙方不得将本合同范围的服务全部或部分分包给他人供应；</w:t>
      </w:r>
    </w:p>
    <w:p w14:paraId="462BBCF6">
      <w:pPr>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如有转让和分包行为，甲方有权解除合同，并追究乙方的违约责任。</w:t>
      </w:r>
    </w:p>
    <w:p w14:paraId="18454BC9">
      <w:pPr>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条：付款方式</w:t>
      </w:r>
    </w:p>
    <w:p w14:paraId="7B877C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outlineLvl w:val="9"/>
        <w:rPr>
          <w:rFonts w:hint="eastAsia" w:ascii="宋体" w:hAnsi="宋体" w:eastAsia="宋体" w:cs="宋体"/>
          <w:color w:val="auto"/>
          <w:szCs w:val="21"/>
          <w:highlight w:val="none"/>
        </w:rPr>
      </w:pPr>
      <w:r>
        <w:rPr>
          <w:rFonts w:hint="eastAsia" w:ascii="宋体" w:hAnsi="宋体" w:eastAsia="宋体" w:cs="宋体"/>
          <w:bCs/>
          <w:color w:val="auto"/>
          <w:sz w:val="21"/>
          <w:szCs w:val="21"/>
          <w:highlight w:val="none"/>
        </w:rPr>
        <w:t>合同签订后支付合同金额的40%作为预付款，其余款项按季支付，每季按合同总价的15%进行支付，同时核减本季度的考核情况。服务期每满一个季度后，根据本季度的考核结果，</w:t>
      </w:r>
      <w:r>
        <w:rPr>
          <w:rFonts w:hint="eastAsia" w:ascii="宋体" w:hAnsi="宋体" w:eastAsia="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开具相应金额的发票，</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在收到发票7个工作日内进行支付。</w:t>
      </w:r>
    </w:p>
    <w:p w14:paraId="262547DA">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七</w:t>
      </w:r>
      <w:r>
        <w:rPr>
          <w:rFonts w:hint="eastAsia" w:ascii="宋体" w:hAnsi="宋体" w:eastAsia="宋体" w:cs="宋体"/>
          <w:b/>
          <w:color w:val="auto"/>
          <w:szCs w:val="21"/>
          <w:highlight w:val="none"/>
        </w:rPr>
        <w:t>条：项目要求</w:t>
      </w:r>
    </w:p>
    <w:p w14:paraId="5EAECB60">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服务期：本次采购服务有效期限为12个月，合同签署期限为12个月。合同履约期间，甲方对乙方的服务情况进行每月考评。合同期满后，如甲方认为必要，并经财政部门批准后，可以要求乙方根据甲方要求延续提供不超过1个月的服务，费用标准按原合同规定执行。</w:t>
      </w:r>
    </w:p>
    <w:p w14:paraId="4FC4FD0B">
      <w:pPr>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乙方为甲方提供“智慧城管”信息采集外包服务。完成全年采集量30000件（智慧城管系统一个案件循环视作一件），并根据要求实现区域全覆盖。视频监控工作量及专项普查量计入全年采集量。乙方信息采集工作方案与甲方共同商定，满足甲方信息采集工作需要。</w:t>
      </w:r>
    </w:p>
    <w:p w14:paraId="02FB8EFB">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信息采集队伍中的组成人员对</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的工作安排、指令等相应、执行情况，列入</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对</w:t>
      </w:r>
      <w:r>
        <w:rPr>
          <w:rFonts w:hint="eastAsia" w:ascii="宋体" w:hAnsi="宋体" w:eastAsia="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的日常考核。</w:t>
      </w:r>
      <w:r>
        <w:rPr>
          <w:rFonts w:hint="eastAsia" w:ascii="宋体" w:hAnsi="宋体" w:eastAsia="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每月支付信息采集和管理人员的工资报酬前，需征得</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同意，支付前未征得</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同意，在次月考核中扣除相应分数。</w:t>
      </w:r>
    </w:p>
    <w:p w14:paraId="2715DD06">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在服务期内，须对其实施的项目提供24小时不间断技术支持服务，提供电话、传真、电子邮件、现场多种方式技术支持服务，全方位响应需求。能在2小时内到达现场，并最迟在第2个工作日内排除错误，2个工作日内不能解决的，必须采取临时应急等措施，以保证</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lang w:eastAsia="zh-CN"/>
        </w:rPr>
        <w:t>的正常使用。</w:t>
      </w:r>
    </w:p>
    <w:p w14:paraId="381F65FB">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5、其他补充说明</w:t>
      </w:r>
    </w:p>
    <w:p w14:paraId="215C7F4C">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根据台州实际情况，在符合国家有关劳动法律的前提下，保持总投入信息采集员能够保证年任务量的完成。</w:t>
      </w:r>
    </w:p>
    <w:p w14:paraId="0C52B1F2">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有权根据</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“信息采集员、管理人员”所报综合服务单价（综合服务单价包含人员工资、相关社保、福利、管理费、税金、利润等所有费用），直接要求增减服务人员，另行签订补充合同。</w:t>
      </w:r>
    </w:p>
    <w:p w14:paraId="75A38FBA">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不得以任何理由拖欠信息采集员的工资，否则</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有权单方终止合同。</w:t>
      </w:r>
    </w:p>
    <w:p w14:paraId="15840929">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在签定合同10日内，未能按照投标文件的承诺，完成组建足额信息采集上岗，</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有权单方终止合同，</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应无条件退还全额合同首付款。</w:t>
      </w:r>
    </w:p>
    <w:p w14:paraId="3AB4ED7B">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outlineLvl w:val="9"/>
        <w:rPr>
          <w:rFonts w:hint="eastAsia" w:ascii="宋体" w:hAnsi="宋体" w:eastAsia="宋体" w:cs="宋体"/>
          <w:b/>
          <w:color w:val="auto"/>
          <w:highlight w:val="none"/>
        </w:rPr>
      </w:pPr>
      <w:r>
        <w:rPr>
          <w:rFonts w:hint="eastAsia" w:ascii="宋体" w:hAnsi="宋体" w:eastAsia="宋体" w:cs="宋体"/>
          <w:b/>
          <w:color w:val="auto"/>
          <w:highlight w:val="none"/>
        </w:rPr>
        <w:t>第</w:t>
      </w:r>
      <w:r>
        <w:rPr>
          <w:rFonts w:hint="eastAsia" w:ascii="宋体" w:hAnsi="宋体" w:eastAsia="宋体" w:cs="宋体"/>
          <w:b/>
          <w:color w:val="auto"/>
          <w:highlight w:val="none"/>
          <w:lang w:val="en-US" w:eastAsia="zh-CN"/>
        </w:rPr>
        <w:t>八</w:t>
      </w:r>
      <w:r>
        <w:rPr>
          <w:rFonts w:hint="eastAsia" w:ascii="宋体" w:hAnsi="宋体" w:eastAsia="宋体" w:cs="宋体"/>
          <w:b/>
          <w:color w:val="auto"/>
          <w:highlight w:val="none"/>
        </w:rPr>
        <w:t>条：违约责任</w:t>
      </w:r>
    </w:p>
    <w:p w14:paraId="75B2836B">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1、甲方无正当理由拒收接受服务的，甲方向乙方支付合同款项百分之五作为违约金。</w:t>
      </w:r>
    </w:p>
    <w:p w14:paraId="04DF409D">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2、 甲方无故逾期验收和办理款项支付手续的，甲方应按逾期付款总额向乙方支付每日万分之五违约金。</w:t>
      </w:r>
    </w:p>
    <w:p w14:paraId="1EB3C9C5">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3、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w:t>
      </w:r>
    </w:p>
    <w:p w14:paraId="5872D8D7">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4、若发生纠纷，由违约方赔偿守约方因纠纷所支付的费用（包括但不限于律师费、差旅费、诉讼费、保全费、鉴定费、评估费等）。</w:t>
      </w:r>
    </w:p>
    <w:p w14:paraId="05FFF9AF">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w:t>
      </w:r>
      <w:r>
        <w:rPr>
          <w:rFonts w:hint="eastAsia" w:ascii="宋体" w:hAnsi="宋体" w:eastAsia="宋体" w:cs="宋体"/>
          <w:b/>
          <w:bCs/>
          <w:snapToGrid w:val="0"/>
          <w:color w:val="auto"/>
          <w:szCs w:val="21"/>
          <w:highlight w:val="none"/>
          <w:lang w:val="en-US" w:eastAsia="zh-CN"/>
        </w:rPr>
        <w:t>九</w:t>
      </w:r>
      <w:r>
        <w:rPr>
          <w:rFonts w:hint="eastAsia" w:ascii="宋体" w:hAnsi="宋体" w:eastAsia="宋体" w:cs="宋体"/>
          <w:b/>
          <w:bCs/>
          <w:snapToGrid w:val="0"/>
          <w:color w:val="auto"/>
          <w:szCs w:val="21"/>
          <w:highlight w:val="none"/>
        </w:rPr>
        <w:t>条：不可抗力事件处理</w:t>
      </w:r>
    </w:p>
    <w:p w14:paraId="0D7423DA">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1、在合同有效期内，任何一方因不可抗力事件导致不能履行合同，则合同履行期可延长，其延长期与不可抗力影响期相同。</w:t>
      </w:r>
    </w:p>
    <w:p w14:paraId="2B59E310">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2、不可抗力事件发生后，应立即通知对方，并寄送有关权威机构出具的证明。</w:t>
      </w:r>
    </w:p>
    <w:p w14:paraId="177E0D8D">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3、不可抗力事件延续120天以上，双方应通过友好协商，确定是否继续履行合同。</w:t>
      </w:r>
    </w:p>
    <w:p w14:paraId="3D02F530">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4、如合同履行时间内，因不可抗力原因需要延迟相关活动或解除合同的，由双方进行协商；合同解除后，双方根据乙方的实际履行支付情况及凭证（发票）进行结算。</w:t>
      </w:r>
    </w:p>
    <w:p w14:paraId="45DBB619">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第十条：诉讼</w:t>
      </w:r>
    </w:p>
    <w:p w14:paraId="4B66DC4A">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双方在执行合同中所发生的一切争议，应通过协商解决。如协商不成，可向甲方所在地法院起诉。</w:t>
      </w:r>
    </w:p>
    <w:p w14:paraId="4D8BD48B">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w:t>
      </w:r>
      <w:r>
        <w:rPr>
          <w:rFonts w:hint="eastAsia" w:ascii="宋体" w:hAnsi="宋体" w:eastAsia="宋体" w:cs="宋体"/>
          <w:b/>
          <w:bCs/>
          <w:snapToGrid w:val="0"/>
          <w:color w:val="auto"/>
          <w:szCs w:val="21"/>
          <w:highlight w:val="none"/>
          <w:lang w:val="en-US" w:eastAsia="zh-CN"/>
        </w:rPr>
        <w:t>一</w:t>
      </w:r>
      <w:r>
        <w:rPr>
          <w:rFonts w:hint="eastAsia" w:ascii="宋体" w:hAnsi="宋体" w:eastAsia="宋体" w:cs="宋体"/>
          <w:b/>
          <w:bCs/>
          <w:snapToGrid w:val="0"/>
          <w:color w:val="auto"/>
          <w:szCs w:val="21"/>
          <w:highlight w:val="none"/>
        </w:rPr>
        <w:t>条：合同生效及其它</w:t>
      </w:r>
    </w:p>
    <w:p w14:paraId="0F1E6E10">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1、合同经双方法定代表人或授权代表签字并加盖单位公章后生效。</w:t>
      </w:r>
    </w:p>
    <w:p w14:paraId="7EB780B1">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2、合同执行中涉及采购资金和采购内容修改或补充的，须经财政部门审批，并签书面补充协议报政府采购监督管理部门备案，方可作为主合同不可分割的一部分。</w:t>
      </w:r>
    </w:p>
    <w:p w14:paraId="5CBBC9CC">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3、本合同未尽事宜，遵照《</w:t>
      </w:r>
      <w:r>
        <w:rPr>
          <w:rFonts w:hint="eastAsia" w:ascii="宋体" w:hAnsi="宋体" w:eastAsia="宋体" w:cs="宋体"/>
          <w:snapToGrid w:val="0"/>
          <w:color w:val="auto"/>
          <w:szCs w:val="21"/>
          <w:highlight w:val="none"/>
          <w:lang w:val="en-US" w:eastAsia="zh-CN"/>
        </w:rPr>
        <w:t>民法典</w:t>
      </w:r>
      <w:r>
        <w:rPr>
          <w:rFonts w:hint="eastAsia" w:ascii="宋体" w:hAnsi="宋体" w:eastAsia="宋体" w:cs="宋体"/>
          <w:snapToGrid w:val="0"/>
          <w:color w:val="auto"/>
          <w:szCs w:val="21"/>
          <w:highlight w:val="none"/>
        </w:rPr>
        <w:t>》有关条文执行。</w:t>
      </w:r>
    </w:p>
    <w:p w14:paraId="058EF31C">
      <w:pPr>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pacing w:val="-6"/>
          <w:kern w:val="0"/>
          <w:szCs w:val="21"/>
          <w:highlight w:val="none"/>
        </w:rPr>
        <w:t>、本合同壹式陆份，甲、乙双方、招标代理公司各执贰份。本项目未尽事宜以</w:t>
      </w:r>
      <w:r>
        <w:rPr>
          <w:rFonts w:hint="eastAsia" w:ascii="宋体" w:hAnsi="宋体" w:eastAsia="宋体" w:cs="宋体"/>
          <w:color w:val="auto"/>
          <w:spacing w:val="-6"/>
          <w:kern w:val="0"/>
          <w:szCs w:val="21"/>
          <w:highlight w:val="none"/>
          <w:lang w:eastAsia="zh-CN"/>
        </w:rPr>
        <w:t>采购文件</w:t>
      </w:r>
      <w:r>
        <w:rPr>
          <w:rFonts w:hint="eastAsia" w:ascii="宋体" w:hAnsi="宋体" w:eastAsia="宋体" w:cs="宋体"/>
          <w:color w:val="auto"/>
          <w:spacing w:val="-6"/>
          <w:kern w:val="0"/>
          <w:szCs w:val="21"/>
          <w:highlight w:val="none"/>
        </w:rPr>
        <w:t>、</w:t>
      </w:r>
      <w:r>
        <w:rPr>
          <w:rFonts w:hint="eastAsia" w:ascii="宋体" w:hAnsi="宋体" w:eastAsia="宋体" w:cs="宋体"/>
          <w:color w:val="auto"/>
          <w:spacing w:val="-6"/>
          <w:kern w:val="0"/>
          <w:szCs w:val="21"/>
          <w:highlight w:val="none"/>
          <w:lang w:val="en-US" w:eastAsia="zh-CN"/>
        </w:rPr>
        <w:t>磋商响应</w:t>
      </w:r>
      <w:r>
        <w:rPr>
          <w:rFonts w:hint="eastAsia" w:ascii="宋体" w:hAnsi="宋体" w:eastAsia="宋体" w:cs="宋体"/>
          <w:color w:val="auto"/>
          <w:spacing w:val="-6"/>
          <w:kern w:val="0"/>
          <w:szCs w:val="21"/>
          <w:highlight w:val="none"/>
        </w:rPr>
        <w:t>文件及澄清文件等为准。</w:t>
      </w:r>
    </w:p>
    <w:p w14:paraId="28835787">
      <w:pPr>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pacing w:val="-6"/>
          <w:kern w:val="0"/>
          <w:szCs w:val="21"/>
          <w:highlight w:val="none"/>
        </w:rPr>
        <w:t>、与本合同有关标书及记录同本合同具有同等法律效果。</w:t>
      </w:r>
    </w:p>
    <w:p w14:paraId="451214DB">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34234D7A">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甲方（公章）：                             乙方（公章）：          </w:t>
      </w:r>
    </w:p>
    <w:p w14:paraId="5844C1BC">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2D122E5D">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p>
    <w:p w14:paraId="6E3B5174">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4B480D31">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联系电话：</w:t>
      </w:r>
    </w:p>
    <w:p w14:paraId="5F869429">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4E700DBE">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开户银行：                                开户银行：    </w:t>
      </w:r>
    </w:p>
    <w:p w14:paraId="4CE8E266">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7872DACD">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                                账    号：</w:t>
      </w:r>
    </w:p>
    <w:p w14:paraId="7590E0A2">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               合同</w:t>
      </w:r>
      <w:r>
        <w:rPr>
          <w:rFonts w:hint="eastAsia" w:ascii="宋体" w:hAnsi="宋体" w:cs="宋体"/>
          <w:snapToGrid w:val="0"/>
          <w:color w:val="auto"/>
          <w:szCs w:val="21"/>
          <w:highlight w:val="none"/>
          <w:lang w:val="en-US" w:eastAsia="zh-CN"/>
        </w:rPr>
        <w:t>见</w:t>
      </w:r>
      <w:r>
        <w:rPr>
          <w:rFonts w:hint="eastAsia" w:ascii="宋体" w:hAnsi="宋体" w:eastAsia="宋体" w:cs="宋体"/>
          <w:snapToGrid w:val="0"/>
          <w:color w:val="auto"/>
          <w:szCs w:val="21"/>
          <w:highlight w:val="none"/>
        </w:rPr>
        <w:t>证方：</w:t>
      </w:r>
    </w:p>
    <w:p w14:paraId="320F1E9B">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color w:val="auto"/>
          <w:sz w:val="24"/>
          <w:highlight w:val="none"/>
        </w:rPr>
      </w:pPr>
      <w:r>
        <w:rPr>
          <w:rFonts w:hint="eastAsia" w:ascii="宋体" w:hAnsi="宋体" w:eastAsia="宋体" w:cs="宋体"/>
          <w:snapToGrid w:val="0"/>
          <w:color w:val="auto"/>
          <w:szCs w:val="21"/>
          <w:highlight w:val="none"/>
        </w:rPr>
        <w:t xml:space="preserve">                                         </w:t>
      </w:r>
      <w:r>
        <w:rPr>
          <w:rFonts w:hint="eastAsia" w:ascii="宋体" w:hAnsi="宋体" w:eastAsia="宋体" w:cs="宋体"/>
          <w:color w:val="auto"/>
          <w:kern w:val="0"/>
          <w:szCs w:val="21"/>
          <w:highlight w:val="none"/>
        </w:rPr>
        <w:t>签订日期：       年     月     日</w:t>
      </w:r>
    </w:p>
    <w:p w14:paraId="6D335EEE">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834AEE4">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27612045">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0D308608">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7A8C47D9">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42C4580">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200836BA">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1DC37371">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3A9FB5C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ADF372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559B998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4A97FC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2EEBE53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4361D0B3">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5A063C0B">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7C2326EF">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73EC5EE0">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0E8984BD">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064A58D6">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04C4E43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7FC1EE7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67F2BC3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4、须提供中小企业声明函等政府优惠政策适用证明材料（附件</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w:t>
      </w:r>
    </w:p>
    <w:p w14:paraId="42E062B2">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5、供应商认为需要说明的其他材料</w:t>
      </w:r>
    </w:p>
    <w:p w14:paraId="58F90C8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193A63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E6466E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002802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19EFD0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137901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E4EAEF1">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0F498FD">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94C304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6DD1A7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32C96F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4DE9A3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97CE74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B656F7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61657CF2">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7964A23">
      <w:pPr>
        <w:pStyle w:val="7"/>
        <w:rPr>
          <w:rFonts w:hint="eastAsia" w:ascii="宋体" w:hAnsi="宋体" w:eastAsia="宋体" w:cs="宋体"/>
          <w:b/>
          <w:color w:val="auto"/>
          <w:sz w:val="28"/>
          <w:highlight w:val="none"/>
        </w:rPr>
      </w:pPr>
    </w:p>
    <w:p w14:paraId="184E335D">
      <w:pPr>
        <w:rPr>
          <w:rFonts w:hint="eastAsia" w:ascii="宋体" w:hAnsi="宋体" w:eastAsia="宋体" w:cs="宋体"/>
          <w:color w:val="auto"/>
          <w:highlight w:val="none"/>
        </w:rPr>
      </w:pPr>
    </w:p>
    <w:p w14:paraId="5E9E97E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4AFD2D96">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7"/>
          <w:rFonts w:hint="eastAsia" w:ascii="宋体" w:hAnsi="宋体" w:eastAsia="宋体" w:cs="宋体"/>
          <w:b/>
          <w:color w:val="auto"/>
          <w:sz w:val="32"/>
          <w:szCs w:val="32"/>
          <w:highlight w:val="none"/>
          <w:u w:val="none"/>
        </w:rPr>
      </w:pPr>
      <w:r>
        <w:rPr>
          <w:rStyle w:val="27"/>
          <w:rFonts w:hint="eastAsia" w:ascii="宋体" w:hAnsi="宋体" w:eastAsia="宋体" w:cs="宋体"/>
          <w:b/>
          <w:color w:val="auto"/>
          <w:sz w:val="32"/>
          <w:szCs w:val="32"/>
          <w:highlight w:val="none"/>
          <w:u w:val="none"/>
        </w:rPr>
        <w:t>磋商声明书</w:t>
      </w:r>
    </w:p>
    <w:p w14:paraId="4052425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台州市综合行政执法局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22D75B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14:paraId="464700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台州湾新区智慧城管信息采集服务项目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tzya2025-tz32</w:t>
      </w:r>
      <w:r>
        <w:rPr>
          <w:rFonts w:hint="eastAsia" w:ascii="宋体" w:hAnsi="宋体" w:eastAsia="宋体" w:cs="宋体"/>
          <w:color w:val="auto"/>
          <w:kern w:val="0"/>
          <w:sz w:val="21"/>
          <w:szCs w:val="21"/>
          <w:highlight w:val="none"/>
        </w:rPr>
        <w:t>）的磋商，为此，我公司就本次磋商有关事项郑重声明如下：</w:t>
      </w:r>
    </w:p>
    <w:p w14:paraId="1A5803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6088A2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3EF6B8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179445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65DDFB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46AE71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66AFAD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17CF95F7">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 w:val="21"/>
          <w:szCs w:val="21"/>
          <w:highlight w:val="none"/>
        </w:rPr>
      </w:pPr>
    </w:p>
    <w:p w14:paraId="0575FCF6">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74EDFABE">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 w:val="21"/>
          <w:szCs w:val="21"/>
          <w:highlight w:val="none"/>
          <w:lang w:val="zh-CN"/>
        </w:rPr>
        <w:t>：</w:t>
      </w:r>
    </w:p>
    <w:p w14:paraId="07CF7FAD">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7E713E06">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5680354B">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714B7B02">
      <w:pPr>
        <w:pStyle w:val="10"/>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台州市综合行政执法局</w:t>
      </w:r>
      <w:r>
        <w:rPr>
          <w:rFonts w:hint="eastAsia" w:ascii="宋体" w:hAnsi="宋体" w:eastAsia="宋体" w:cs="宋体"/>
          <w:b w:val="0"/>
          <w:bCs/>
          <w:color w:val="auto"/>
          <w:sz w:val="21"/>
          <w:szCs w:val="21"/>
          <w:highlight w:val="none"/>
          <w:u w:val="single"/>
        </w:rPr>
        <w:t>、台州永安工程咨询有限公司：</w:t>
      </w:r>
    </w:p>
    <w:p w14:paraId="333129FF">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台州湾新区智慧城管信息采集服务项目</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tzya2025-tz32</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599FC8F0">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55AC45C8">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622E9E3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0044FB1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p>
    <w:p w14:paraId="09EBEAC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6E66694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EA7716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0FE6EF6">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C4E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2B24E1A">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7CA3B4BF">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cs="宋体"/>
                <w:b/>
                <w:color w:val="auto"/>
                <w:sz w:val="24"/>
                <w:highlight w:val="none"/>
                <w:lang w:val="en-US" w:eastAsia="zh-CN"/>
              </w:rPr>
              <w:t>法定代表身份证正、反面复印件粘贴处</w:t>
            </w:r>
          </w:p>
        </w:tc>
      </w:tr>
    </w:tbl>
    <w:p w14:paraId="18B84AA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1A33C43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343AAF8F">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4CBB06B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166D663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2AE4970C">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EE6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9368583">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7A983F10">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cs="宋体"/>
                <w:b/>
                <w:color w:val="auto"/>
                <w:sz w:val="24"/>
                <w:highlight w:val="none"/>
                <w:lang w:val="en-US" w:eastAsia="zh-CN"/>
              </w:rPr>
              <w:t>授权委托代理人身份证正、反面复印件粘贴处</w:t>
            </w:r>
          </w:p>
        </w:tc>
      </w:tr>
    </w:tbl>
    <w:p w14:paraId="7997BAD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2685E5E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304D7DA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6DEE4AA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2839B77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1BD39DF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4DFD6F03">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159EF341">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rPr>
        <w:t>中小企业声明函</w:t>
      </w:r>
    </w:p>
    <w:p w14:paraId="275B5EAE">
      <w:pPr>
        <w:pStyle w:val="7"/>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15699930">
      <w:pPr>
        <w:pStyle w:val="7"/>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2593AF03">
      <w:pPr>
        <w:pStyle w:val="7"/>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60860D54">
      <w:pPr>
        <w:pStyle w:val="7"/>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01B63C70">
      <w:pPr>
        <w:pStyle w:val="7"/>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2758C691">
      <w:pPr>
        <w:pStyle w:val="7"/>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6EB35D5F">
      <w:pPr>
        <w:pStyle w:val="7"/>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2327340A">
      <w:pPr>
        <w:pStyle w:val="7"/>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0F4A81ED">
      <w:pPr>
        <w:pStyle w:val="7"/>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4837BB51">
      <w:pPr>
        <w:pStyle w:val="7"/>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1894FA5F">
      <w:pPr>
        <w:pStyle w:val="7"/>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2A920E5E">
      <w:pPr>
        <w:pStyle w:val="10"/>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6AAA53A9">
      <w:pPr>
        <w:pStyle w:val="50"/>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65C7C2E4">
      <w:pPr>
        <w:pStyle w:val="10"/>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8A42B87">
      <w:pPr>
        <w:pStyle w:val="10"/>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5F385E12">
      <w:pPr>
        <w:pStyle w:val="10"/>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4D493ACD">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8243059">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4D7DC672">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p>
    <w:p w14:paraId="447694E2">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磋商供应商名称（盖章）：</w:t>
      </w:r>
    </w:p>
    <w:p w14:paraId="47566461">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3D7C2E8B">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20C53FE1">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272389C">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1F1FBE7A">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4EFB1AAA">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19BA543">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5AD34E1">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F2981F2">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1236EC7F">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4326338F">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C557983">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4094101">
      <w:pPr>
        <w:pStyle w:val="8"/>
        <w:ind w:left="0" w:leftChars="0" w:firstLine="0" w:firstLineChars="0"/>
        <w:rPr>
          <w:rFonts w:hint="eastAsia" w:ascii="宋体" w:hAnsi="宋体" w:eastAsia="宋体" w:cs="宋体"/>
          <w:color w:val="auto"/>
          <w:highlight w:val="none"/>
        </w:rPr>
      </w:pPr>
    </w:p>
    <w:p w14:paraId="11DB38DE">
      <w:pPr>
        <w:pStyle w:val="55"/>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fmt="decimal"/>
          <w:cols w:space="425" w:num="1"/>
          <w:docGrid w:type="lines" w:linePitch="312" w:charSpace="0"/>
        </w:sectPr>
      </w:pPr>
    </w:p>
    <w:p w14:paraId="66A047AE">
      <w:pPr>
        <w:pStyle w:val="55"/>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44777C9E">
      <w:pPr>
        <w:pStyle w:val="55"/>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01275DE6">
      <w:pPr>
        <w:pStyle w:val="55"/>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台州湾新区智慧城管信息采集服务项目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tzya2025-tz32</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7EFC237C">
      <w:pPr>
        <w:pStyle w:val="52"/>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9576962">
      <w:pPr>
        <w:pStyle w:val="52"/>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0D3C7C79">
      <w:pPr>
        <w:pStyle w:val="52"/>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70E63F45">
      <w:pPr>
        <w:pStyle w:val="52"/>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A4F7FA9">
      <w:pPr>
        <w:pStyle w:val="55"/>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5AC3B3FC">
      <w:pPr>
        <w:pStyle w:val="55"/>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7DEB3E5E">
      <w:pPr>
        <w:pStyle w:val="55"/>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7A75225D">
      <w:pPr>
        <w:pStyle w:val="55"/>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6A700EE1">
      <w:pPr>
        <w:pStyle w:val="55"/>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68C8E960">
      <w:pPr>
        <w:pStyle w:val="5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11930A67">
      <w:pPr>
        <w:pStyle w:val="5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32E2E55F">
      <w:pPr>
        <w:pStyle w:val="5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5F53C8ED">
      <w:pPr>
        <w:pStyle w:val="5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6F42C3CB">
      <w:pPr>
        <w:pStyle w:val="52"/>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11B911AD">
      <w:pPr>
        <w:pStyle w:val="52"/>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164354B2">
      <w:pPr>
        <w:pStyle w:val="52"/>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w:t>
      </w:r>
      <w:r>
        <w:rPr>
          <w:rFonts w:hint="eastAsia"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规定接受投标担保的处理。如已中标，自动放弃中标资格；给招标人造成损失的，依法承担赔偿责任。</w:t>
      </w:r>
    </w:p>
    <w:p w14:paraId="524FE5C6">
      <w:pPr>
        <w:pStyle w:val="55"/>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239DFFD6">
      <w:pPr>
        <w:pStyle w:val="55"/>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33AE14E0">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688F0D6">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C0CAE44">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F689104">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AD9E521">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5</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0DD7720D">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1563CB6A">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07746D43">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6F1BAEC0">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25DB771">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493F08E1">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739D7D15">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0BBF8FB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C851DF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129084E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46377E87">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4F0C8C32">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73FCF5DE">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6020AE1E">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7ED0666B">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20330D89">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7EE1111B">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56DA9E85">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5B923E2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p>
    <w:p w14:paraId="2790290E">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39C49F2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w:t>
      </w:r>
    </w:p>
    <w:p w14:paraId="271D294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0D8A7B5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w:t>
      </w:r>
    </w:p>
    <w:p w14:paraId="73A37EF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w:t>
      </w:r>
    </w:p>
    <w:p w14:paraId="080343F6">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w:t>
      </w:r>
    </w:p>
    <w:p w14:paraId="3F7ADCA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w:t>
      </w:r>
    </w:p>
    <w:p w14:paraId="5C0C906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p>
    <w:p w14:paraId="60C03A9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p>
    <w:p w14:paraId="3B5D324D">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4FD0CB1">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B391C64">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F8F23AA">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80589D5">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4052D25">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915496A">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3223FC6">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0A2A168">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6B579F1">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2BF8216">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5719454">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A4A9F76">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3BF718A4">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2"/>
        <w:tblW w:w="11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132"/>
        <w:gridCol w:w="7291"/>
        <w:gridCol w:w="650"/>
        <w:gridCol w:w="650"/>
        <w:gridCol w:w="650"/>
      </w:tblGrid>
      <w:tr w14:paraId="606B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9" w:type="dxa"/>
            <w:gridSpan w:val="2"/>
            <w:tcBorders>
              <w:top w:val="single" w:color="auto" w:sz="4" w:space="0"/>
              <w:left w:val="single" w:color="auto" w:sz="4" w:space="0"/>
              <w:bottom w:val="single" w:color="auto" w:sz="4" w:space="0"/>
              <w:right w:val="single" w:color="auto" w:sz="6" w:space="0"/>
            </w:tcBorders>
            <w:vAlign w:val="center"/>
          </w:tcPr>
          <w:p w14:paraId="64CD7671">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评标因素</w:t>
            </w:r>
          </w:p>
        </w:tc>
        <w:tc>
          <w:tcPr>
            <w:tcW w:w="7291" w:type="dxa"/>
            <w:tcBorders>
              <w:top w:val="single" w:color="auto" w:sz="4" w:space="0"/>
              <w:left w:val="single" w:color="auto" w:sz="4" w:space="0"/>
              <w:bottom w:val="single" w:color="auto" w:sz="6" w:space="0"/>
              <w:right w:val="single" w:color="auto" w:sz="6" w:space="0"/>
            </w:tcBorders>
            <w:vAlign w:val="center"/>
          </w:tcPr>
          <w:p w14:paraId="23CA95FE">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650" w:type="dxa"/>
            <w:tcBorders>
              <w:top w:val="single" w:color="auto" w:sz="4" w:space="0"/>
              <w:left w:val="single" w:color="auto" w:sz="6" w:space="0"/>
              <w:bottom w:val="single" w:color="auto" w:sz="6" w:space="0"/>
              <w:right w:val="single" w:color="auto" w:sz="6" w:space="0"/>
            </w:tcBorders>
            <w:vAlign w:val="center"/>
          </w:tcPr>
          <w:p w14:paraId="6EAE83FC">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c>
          <w:tcPr>
            <w:tcW w:w="650" w:type="dxa"/>
            <w:tcBorders>
              <w:top w:val="single" w:color="auto" w:sz="4" w:space="0"/>
              <w:left w:val="single" w:color="auto" w:sz="6" w:space="0"/>
              <w:bottom w:val="single" w:color="auto" w:sz="6" w:space="0"/>
              <w:right w:val="single" w:color="auto" w:sz="6" w:space="0"/>
            </w:tcBorders>
            <w:vAlign w:val="center"/>
          </w:tcPr>
          <w:p w14:paraId="4D75B727">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对应页码</w:t>
            </w:r>
          </w:p>
        </w:tc>
        <w:tc>
          <w:tcPr>
            <w:tcW w:w="650" w:type="dxa"/>
            <w:tcBorders>
              <w:top w:val="single" w:color="auto" w:sz="4" w:space="0"/>
              <w:left w:val="single" w:color="auto" w:sz="6" w:space="0"/>
              <w:bottom w:val="single" w:color="auto" w:sz="6" w:space="0"/>
              <w:right w:val="single" w:color="auto" w:sz="6" w:space="0"/>
            </w:tcBorders>
            <w:vAlign w:val="center"/>
          </w:tcPr>
          <w:p w14:paraId="684C0568">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自评分</w:t>
            </w:r>
          </w:p>
        </w:tc>
      </w:tr>
      <w:tr w14:paraId="19F4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restart"/>
            <w:tcBorders>
              <w:left w:val="single" w:color="auto" w:sz="4" w:space="0"/>
              <w:right w:val="single" w:color="auto" w:sz="4" w:space="0"/>
            </w:tcBorders>
            <w:vAlign w:val="center"/>
          </w:tcPr>
          <w:p w14:paraId="66135367">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商务分</w:t>
            </w:r>
          </w:p>
          <w:p w14:paraId="5098DFFB">
            <w:pPr>
              <w:pStyle w:val="7"/>
              <w:keepNext w:val="0"/>
              <w:keepLines w:val="0"/>
              <w:pageBreakBefore w:val="0"/>
              <w:kinsoku/>
              <w:wordWrap/>
              <w:overflowPunct/>
              <w:topLinePunct w:val="0"/>
              <w:bidi w:val="0"/>
              <w:adjustRightInd/>
              <w:snapToGrid/>
              <w:spacing w:line="240" w:lineRule="auto"/>
              <w:ind w:left="0" w:left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rPr>
              <w:t>分）</w:t>
            </w:r>
          </w:p>
        </w:tc>
        <w:tc>
          <w:tcPr>
            <w:tcW w:w="1132" w:type="dxa"/>
            <w:tcBorders>
              <w:left w:val="single" w:color="auto" w:sz="4" w:space="0"/>
              <w:right w:val="single" w:color="auto" w:sz="6" w:space="0"/>
            </w:tcBorders>
            <w:vAlign w:val="center"/>
          </w:tcPr>
          <w:p w14:paraId="27B08DB8">
            <w:pPr>
              <w:keepNext w:val="0"/>
              <w:keepLines w:val="0"/>
              <w:pageBreakBefore w:val="0"/>
              <w:widowControl/>
              <w:kinsoku/>
              <w:wordWrap/>
              <w:overflowPunct/>
              <w:topLinePunct w:val="0"/>
              <w:autoSpaceDE w:val="0"/>
              <w:autoSpaceDN w:val="0"/>
              <w:bidi w:val="0"/>
              <w:adjustRightInd/>
              <w:snapToGrid/>
              <w:spacing w:line="240" w:lineRule="auto"/>
              <w:ind w:left="0" w:left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企业情况</w:t>
            </w:r>
          </w:p>
        </w:tc>
        <w:tc>
          <w:tcPr>
            <w:tcW w:w="7291" w:type="dxa"/>
            <w:tcBorders>
              <w:top w:val="single" w:color="auto" w:sz="4" w:space="0"/>
              <w:left w:val="single" w:color="auto" w:sz="4" w:space="0"/>
              <w:right w:val="single" w:color="auto" w:sz="6" w:space="0"/>
            </w:tcBorders>
            <w:vAlign w:val="center"/>
          </w:tcPr>
          <w:p w14:paraId="71C51669">
            <w:pPr>
              <w:keepNext w:val="0"/>
              <w:keepLines w:val="0"/>
              <w:pageBreakBefore w:val="0"/>
              <w:widowControl/>
              <w:kinsoku/>
              <w:wordWrap/>
              <w:overflowPunct/>
              <w:topLinePunct w:val="0"/>
              <w:autoSpaceDE w:val="0"/>
              <w:autoSpaceDN w:val="0"/>
              <w:bidi w:val="0"/>
              <w:adjustRightInd/>
              <w:snapToGrid/>
              <w:spacing w:line="240" w:lineRule="auto"/>
              <w:ind w:left="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投标人具有</w:t>
            </w:r>
            <w:r>
              <w:rPr>
                <w:rFonts w:hint="eastAsia" w:asciiTheme="minorEastAsia" w:hAnsiTheme="minorEastAsia" w:eastAsiaTheme="minorEastAsia" w:cstheme="minorEastAsia"/>
                <w:color w:val="auto"/>
                <w:kern w:val="0"/>
                <w:sz w:val="21"/>
                <w:szCs w:val="21"/>
                <w:highlight w:val="none"/>
                <w:lang w:val="en-US" w:eastAsia="zh-CN"/>
              </w:rPr>
              <w:t>有效期内的</w:t>
            </w:r>
            <w:r>
              <w:rPr>
                <w:rFonts w:hint="eastAsia" w:asciiTheme="minorEastAsia" w:hAnsiTheme="minorEastAsia" w:eastAsiaTheme="minorEastAsia" w:cstheme="minorEastAsia"/>
                <w:color w:val="auto"/>
                <w:kern w:val="0"/>
                <w:sz w:val="21"/>
                <w:szCs w:val="21"/>
                <w:highlight w:val="none"/>
              </w:rPr>
              <w:t>信息采集相关</w:t>
            </w:r>
            <w:r>
              <w:rPr>
                <w:rFonts w:hint="eastAsia" w:asciiTheme="minorEastAsia" w:hAnsiTheme="minorEastAsia" w:eastAsiaTheme="minorEastAsia" w:cstheme="minorEastAsia"/>
                <w:color w:val="auto"/>
                <w:kern w:val="0"/>
                <w:sz w:val="21"/>
                <w:szCs w:val="21"/>
                <w:highlight w:val="none"/>
                <w:lang w:val="en-US" w:eastAsia="zh-CN"/>
              </w:rPr>
              <w:t>的</w:t>
            </w:r>
            <w:r>
              <w:rPr>
                <w:rFonts w:hint="eastAsia" w:asciiTheme="minorEastAsia" w:hAnsiTheme="minorEastAsia" w:eastAsiaTheme="minorEastAsia" w:cstheme="minorEastAsia"/>
                <w:color w:val="auto"/>
                <w:kern w:val="0"/>
                <w:sz w:val="21"/>
                <w:szCs w:val="21"/>
                <w:highlight w:val="none"/>
              </w:rPr>
              <w:t>质量管理体系认证证书</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职业健康安全管理体系认证证书</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环境管理体系认证证书的，</w:t>
            </w:r>
            <w:r>
              <w:rPr>
                <w:rFonts w:hint="eastAsia" w:asciiTheme="minorEastAsia" w:hAnsiTheme="minorEastAsia" w:eastAsiaTheme="minorEastAsia" w:cstheme="minorEastAsia"/>
                <w:color w:val="auto"/>
                <w:sz w:val="21"/>
                <w:szCs w:val="21"/>
                <w:highlight w:val="none"/>
              </w:rPr>
              <w:t>每具有一个认证证书得2分，</w:t>
            </w:r>
            <w:r>
              <w:rPr>
                <w:rFonts w:hint="eastAsia" w:asciiTheme="minorEastAsia" w:hAnsiTheme="minorEastAsia" w:eastAsiaTheme="minorEastAsia" w:cstheme="minorEastAsia"/>
                <w:color w:val="auto"/>
                <w:sz w:val="21"/>
                <w:szCs w:val="21"/>
                <w:highlight w:val="none"/>
                <w:lang w:val="en-US" w:eastAsia="zh-CN"/>
              </w:rPr>
              <w:t>本项</w:t>
            </w:r>
            <w:r>
              <w:rPr>
                <w:rFonts w:hint="eastAsia" w:asciiTheme="minorEastAsia" w:hAnsiTheme="minorEastAsia" w:eastAsiaTheme="minorEastAsia" w:cstheme="minorEastAsia"/>
                <w:color w:val="auto"/>
                <w:sz w:val="21"/>
                <w:szCs w:val="21"/>
                <w:highlight w:val="none"/>
              </w:rPr>
              <w:t>最高得6分。</w:t>
            </w:r>
          </w:p>
          <w:p w14:paraId="314434C7">
            <w:pPr>
              <w:keepNext w:val="0"/>
              <w:keepLines w:val="0"/>
              <w:pageBreakBefore w:val="0"/>
              <w:widowControl/>
              <w:kinsoku/>
              <w:wordWrap/>
              <w:overflowPunct/>
              <w:topLinePunct w:val="0"/>
              <w:autoSpaceDE w:val="0"/>
              <w:autoSpaceDN w:val="0"/>
              <w:bidi w:val="0"/>
              <w:adjustRightInd/>
              <w:snapToGrid/>
              <w:spacing w:line="240" w:lineRule="auto"/>
              <w:ind w:left="0"/>
              <w:jc w:val="left"/>
              <w:textAlignment w:val="auto"/>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注：</w:t>
            </w:r>
            <w:r>
              <w:rPr>
                <w:rFonts w:hint="eastAsia" w:asciiTheme="minorEastAsia" w:hAnsiTheme="minorEastAsia" w:eastAsiaTheme="minorEastAsia" w:cstheme="minorEastAsia"/>
                <w:b/>
                <w:bCs/>
                <w:color w:val="auto"/>
                <w:kern w:val="0"/>
                <w:sz w:val="21"/>
                <w:szCs w:val="21"/>
                <w:highlight w:val="none"/>
              </w:rPr>
              <w:t>认证范围含信息采集服务</w:t>
            </w:r>
            <w:r>
              <w:rPr>
                <w:rFonts w:hint="eastAsia" w:asciiTheme="minorEastAsia" w:hAnsiTheme="minorEastAsia" w:eastAsiaTheme="minorEastAsia" w:cstheme="minorEastAsia"/>
                <w:b/>
                <w:bCs/>
                <w:color w:val="auto"/>
                <w:kern w:val="0"/>
                <w:sz w:val="21"/>
                <w:szCs w:val="21"/>
                <w:highlight w:val="none"/>
                <w:lang w:eastAsia="zh-CN"/>
              </w:rPr>
              <w:t>，</w:t>
            </w:r>
            <w:r>
              <w:rPr>
                <w:rFonts w:hint="eastAsia" w:asciiTheme="minorEastAsia" w:hAnsiTheme="minorEastAsia" w:eastAsiaTheme="minorEastAsia" w:cstheme="minorEastAsia"/>
                <w:b/>
                <w:bCs/>
                <w:color w:val="auto"/>
                <w:kern w:val="0"/>
                <w:sz w:val="21"/>
                <w:szCs w:val="21"/>
                <w:highlight w:val="none"/>
                <w:lang w:val="en-US" w:eastAsia="zh-CN"/>
              </w:rPr>
              <w:t>其他不得分。</w:t>
            </w:r>
          </w:p>
          <w:p w14:paraId="0E3D5971">
            <w:pPr>
              <w:keepNext w:val="0"/>
              <w:keepLines w:val="0"/>
              <w:pageBreakBefore w:val="0"/>
              <w:widowControl/>
              <w:kinsoku/>
              <w:wordWrap/>
              <w:overflowPunct/>
              <w:topLinePunct w:val="0"/>
              <w:autoSpaceDE w:val="0"/>
              <w:autoSpaceDN w:val="0"/>
              <w:bidi w:val="0"/>
              <w:adjustRightInd/>
              <w:snapToGrid/>
              <w:spacing w:line="240" w:lineRule="auto"/>
              <w:ind w:left="0" w:leftChars="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宋体" w:hAnsi="宋体" w:cs="宋体"/>
                <w:b/>
                <w:bCs/>
                <w:color w:val="auto"/>
                <w:szCs w:val="21"/>
                <w:highlight w:val="none"/>
              </w:rPr>
              <w:t>（上述证书应由具备有效资质的认证机构出具并应当在有效期内，须提供相关证书扫描件</w:t>
            </w:r>
            <w:r>
              <w:rPr>
                <w:rFonts w:hint="eastAsia" w:ascii="宋体" w:hAnsi="宋体" w:eastAsia="宋体" w:cs="宋体"/>
                <w:b/>
                <w:bCs/>
                <w:color w:val="auto"/>
                <w:sz w:val="21"/>
                <w:szCs w:val="21"/>
                <w:highlight w:val="none"/>
                <w:lang w:val="en-US" w:eastAsia="zh-CN"/>
              </w:rPr>
              <w:t>及</w:t>
            </w:r>
            <w:r>
              <w:rPr>
                <w:rFonts w:hint="eastAsia" w:ascii="宋体" w:hAnsi="宋体" w:eastAsia="宋体" w:cs="宋体"/>
                <w:b/>
                <w:bCs/>
                <w:color w:val="auto"/>
                <w:sz w:val="21"/>
                <w:szCs w:val="21"/>
                <w:highlight w:val="none"/>
              </w:rPr>
              <w:t>全国认证认可信息公共服务平台网站查询截图</w:t>
            </w:r>
            <w:r>
              <w:rPr>
                <w:rFonts w:hint="eastAsia" w:ascii="宋体" w:hAnsi="宋体" w:cs="宋体"/>
                <w:b/>
                <w:bCs/>
                <w:color w:val="auto"/>
                <w:szCs w:val="21"/>
                <w:highlight w:val="none"/>
              </w:rPr>
              <w:t>并加盖投标人公章编入投标文件中，未提供的不得分）</w:t>
            </w:r>
          </w:p>
        </w:tc>
        <w:tc>
          <w:tcPr>
            <w:tcW w:w="650" w:type="dxa"/>
            <w:tcBorders>
              <w:top w:val="single" w:color="auto" w:sz="4" w:space="0"/>
              <w:left w:val="single" w:color="auto" w:sz="6" w:space="0"/>
              <w:bottom w:val="single" w:color="auto" w:sz="6" w:space="0"/>
              <w:right w:val="single" w:color="auto" w:sz="6" w:space="0"/>
            </w:tcBorders>
            <w:vAlign w:val="center"/>
          </w:tcPr>
          <w:p w14:paraId="25286B6F">
            <w:pPr>
              <w:keepNext w:val="0"/>
              <w:keepLines w:val="0"/>
              <w:pageBreakBefore w:val="0"/>
              <w:widowControl/>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Cs/>
                <w:color w:val="auto"/>
                <w:kern w:val="0"/>
                <w:sz w:val="21"/>
                <w:szCs w:val="21"/>
                <w:highlight w:val="none"/>
              </w:rPr>
              <w:t>6</w:t>
            </w:r>
          </w:p>
        </w:tc>
        <w:tc>
          <w:tcPr>
            <w:tcW w:w="650" w:type="dxa"/>
            <w:tcBorders>
              <w:top w:val="single" w:color="auto" w:sz="4" w:space="0"/>
              <w:left w:val="single" w:color="auto" w:sz="6" w:space="0"/>
              <w:bottom w:val="single" w:color="auto" w:sz="6" w:space="0"/>
              <w:right w:val="single" w:color="auto" w:sz="6" w:space="0"/>
            </w:tcBorders>
            <w:vAlign w:val="center"/>
          </w:tcPr>
          <w:p w14:paraId="0C8B0F47">
            <w:pPr>
              <w:keepNext w:val="0"/>
              <w:keepLines w:val="0"/>
              <w:pageBreakBefore w:val="0"/>
              <w:widowControl/>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bCs/>
                <w:color w:val="auto"/>
                <w:kern w:val="0"/>
                <w:sz w:val="21"/>
                <w:szCs w:val="21"/>
                <w:highlight w:val="none"/>
              </w:rPr>
            </w:pPr>
          </w:p>
        </w:tc>
        <w:tc>
          <w:tcPr>
            <w:tcW w:w="650" w:type="dxa"/>
            <w:tcBorders>
              <w:top w:val="single" w:color="auto" w:sz="4" w:space="0"/>
              <w:left w:val="single" w:color="auto" w:sz="6" w:space="0"/>
              <w:bottom w:val="single" w:color="auto" w:sz="6" w:space="0"/>
              <w:right w:val="single" w:color="auto" w:sz="6" w:space="0"/>
            </w:tcBorders>
            <w:vAlign w:val="center"/>
          </w:tcPr>
          <w:p w14:paraId="0AD6837B">
            <w:pPr>
              <w:keepNext w:val="0"/>
              <w:keepLines w:val="0"/>
              <w:pageBreakBefore w:val="0"/>
              <w:widowControl/>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bCs/>
                <w:color w:val="auto"/>
                <w:kern w:val="0"/>
                <w:sz w:val="21"/>
                <w:szCs w:val="21"/>
                <w:highlight w:val="none"/>
              </w:rPr>
            </w:pPr>
          </w:p>
        </w:tc>
      </w:tr>
      <w:tr w14:paraId="759F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tcBorders>
              <w:left w:val="single" w:color="auto" w:sz="4" w:space="0"/>
              <w:right w:val="single" w:color="auto" w:sz="4" w:space="0"/>
            </w:tcBorders>
            <w:vAlign w:val="center"/>
          </w:tcPr>
          <w:p w14:paraId="5CE73429">
            <w:pPr>
              <w:keepNext w:val="0"/>
              <w:keepLines w:val="0"/>
              <w:pageBreakBefore w:val="0"/>
              <w:kinsoku/>
              <w:wordWrap/>
              <w:overflowPunct/>
              <w:topLinePunct w:val="0"/>
              <w:bidi w:val="0"/>
              <w:adjustRightInd/>
              <w:snapToGrid/>
              <w:spacing w:line="240" w:lineRule="auto"/>
              <w:ind w:left="0" w:leftChars="0"/>
              <w:jc w:val="both"/>
              <w:textAlignment w:val="auto"/>
              <w:rPr>
                <w:rFonts w:hint="eastAsia" w:asciiTheme="minorEastAsia" w:hAnsiTheme="minorEastAsia" w:eastAsiaTheme="minorEastAsia" w:cstheme="minorEastAsia"/>
                <w:bCs/>
                <w:color w:val="auto"/>
                <w:sz w:val="21"/>
                <w:szCs w:val="21"/>
                <w:highlight w:val="none"/>
              </w:rPr>
            </w:pPr>
          </w:p>
        </w:tc>
        <w:tc>
          <w:tcPr>
            <w:tcW w:w="1132" w:type="dxa"/>
            <w:vAlign w:val="center"/>
          </w:tcPr>
          <w:p w14:paraId="2BF0F3A1">
            <w:pPr>
              <w:keepNext w:val="0"/>
              <w:keepLines w:val="0"/>
              <w:pageBreakBefore w:val="0"/>
              <w:widowControl/>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项目</w:t>
            </w:r>
            <w:r>
              <w:rPr>
                <w:rFonts w:hint="eastAsia" w:asciiTheme="minorEastAsia" w:hAnsiTheme="minorEastAsia" w:eastAsiaTheme="minorEastAsia" w:cstheme="minorEastAsia"/>
                <w:color w:val="auto"/>
                <w:kern w:val="0"/>
                <w:sz w:val="21"/>
                <w:szCs w:val="21"/>
                <w:highlight w:val="none"/>
                <w:lang w:val="en-US" w:eastAsia="zh-CN"/>
              </w:rPr>
              <w:t>经理</w:t>
            </w:r>
          </w:p>
        </w:tc>
        <w:tc>
          <w:tcPr>
            <w:tcW w:w="7291" w:type="dxa"/>
            <w:vAlign w:val="center"/>
          </w:tcPr>
          <w:p w14:paraId="0332442C">
            <w:pPr>
              <w:keepNext w:val="0"/>
              <w:keepLines w:val="0"/>
              <w:pageBreakBefore w:val="0"/>
              <w:widowControl/>
              <w:kinsoku/>
              <w:wordWrap/>
              <w:overflowPunct/>
              <w:topLinePunct w:val="0"/>
              <w:bidi w:val="0"/>
              <w:adjustRightInd/>
              <w:snapToGrid/>
              <w:spacing w:line="240" w:lineRule="auto"/>
              <w:ind w:left="0"/>
              <w:jc w:val="left"/>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拟投入本项目</w:t>
            </w:r>
            <w:r>
              <w:rPr>
                <w:rFonts w:hint="eastAsia" w:asciiTheme="minorEastAsia" w:hAnsiTheme="minorEastAsia" w:eastAsiaTheme="minorEastAsia" w:cstheme="minorEastAsia"/>
                <w:color w:val="auto"/>
                <w:kern w:val="0"/>
                <w:sz w:val="21"/>
                <w:szCs w:val="21"/>
                <w:highlight w:val="none"/>
              </w:rPr>
              <w:t>的项目经理</w:t>
            </w:r>
            <w:r>
              <w:rPr>
                <w:rFonts w:hint="eastAsia" w:asciiTheme="minorEastAsia" w:hAnsiTheme="minorEastAsia" w:eastAsiaTheme="minorEastAsia" w:cstheme="minorEastAsia"/>
                <w:color w:val="auto"/>
                <w:kern w:val="0"/>
                <w:sz w:val="21"/>
                <w:szCs w:val="21"/>
                <w:highlight w:val="none"/>
                <w:lang w:eastAsia="zh-CN"/>
              </w:rPr>
              <w:t>：</w:t>
            </w:r>
          </w:p>
          <w:p w14:paraId="3CCA0555">
            <w:pPr>
              <w:keepNext w:val="0"/>
              <w:keepLines w:val="0"/>
              <w:pageBreakBefore w:val="0"/>
              <w:widowControl/>
              <w:kinsoku/>
              <w:wordWrap/>
              <w:overflowPunct/>
              <w:topLinePunct w:val="0"/>
              <w:bidi w:val="0"/>
              <w:adjustRightInd/>
              <w:snapToGrid/>
              <w:spacing w:line="240" w:lineRule="auto"/>
              <w:ind w:left="0"/>
              <w:jc w:val="left"/>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具有信息采集服务及相关类似</w:t>
            </w:r>
            <w:r>
              <w:rPr>
                <w:rFonts w:hint="eastAsia" w:asciiTheme="minorEastAsia" w:hAnsiTheme="minorEastAsia" w:eastAsiaTheme="minorEastAsia" w:cstheme="minorEastAsia"/>
                <w:color w:val="auto"/>
                <w:kern w:val="0"/>
                <w:sz w:val="21"/>
                <w:szCs w:val="21"/>
                <w:highlight w:val="none"/>
                <w:lang w:val="en-US" w:eastAsia="zh-CN"/>
              </w:rPr>
              <w:t>项目实际管理</w:t>
            </w:r>
            <w:r>
              <w:rPr>
                <w:rFonts w:hint="eastAsia" w:asciiTheme="minorEastAsia" w:hAnsiTheme="minorEastAsia" w:eastAsiaTheme="minorEastAsia" w:cstheme="minorEastAsia"/>
                <w:color w:val="auto"/>
                <w:kern w:val="0"/>
                <w:sz w:val="21"/>
                <w:szCs w:val="21"/>
                <w:highlight w:val="none"/>
              </w:rPr>
              <w:t>经验的，凭业主单位出具的证明</w:t>
            </w:r>
            <w:r>
              <w:rPr>
                <w:rFonts w:hint="eastAsia" w:asciiTheme="minorEastAsia" w:hAnsiTheme="minorEastAsia" w:eastAsiaTheme="minorEastAsia" w:cstheme="minorEastAsia"/>
                <w:color w:val="auto"/>
                <w:kern w:val="0"/>
                <w:sz w:val="21"/>
                <w:szCs w:val="21"/>
                <w:highlight w:val="none"/>
                <w:lang w:val="en-US" w:eastAsia="zh-CN"/>
              </w:rPr>
              <w:t>等</w:t>
            </w:r>
            <w:r>
              <w:rPr>
                <w:rFonts w:hint="eastAsia" w:asciiTheme="minorEastAsia" w:hAnsiTheme="minorEastAsia" w:eastAsiaTheme="minorEastAsia" w:cstheme="minorEastAsia"/>
                <w:color w:val="auto"/>
                <w:kern w:val="0"/>
                <w:sz w:val="21"/>
                <w:szCs w:val="21"/>
                <w:highlight w:val="none"/>
              </w:rPr>
              <w:t>得3分</w:t>
            </w:r>
            <w:r>
              <w:rPr>
                <w:rFonts w:hint="eastAsia" w:asciiTheme="minorEastAsia" w:hAnsiTheme="minorEastAsia" w:eastAsiaTheme="minorEastAsia" w:cstheme="minorEastAsia"/>
                <w:color w:val="auto"/>
                <w:kern w:val="0"/>
                <w:sz w:val="21"/>
                <w:szCs w:val="21"/>
                <w:highlight w:val="none"/>
                <w:lang w:eastAsia="zh-CN"/>
              </w:rPr>
              <w:t>；</w:t>
            </w:r>
          </w:p>
          <w:p w14:paraId="0CBBFB12">
            <w:pPr>
              <w:keepNext w:val="0"/>
              <w:keepLines w:val="0"/>
              <w:pageBreakBefore w:val="0"/>
              <w:widowControl/>
              <w:kinsoku/>
              <w:wordWrap/>
              <w:overflowPunct/>
              <w:topLinePunct w:val="0"/>
              <w:bidi w:val="0"/>
              <w:adjustRightInd/>
              <w:snapToGrid/>
              <w:spacing w:line="240" w:lineRule="auto"/>
              <w:ind w:left="0"/>
              <w:jc w:val="left"/>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仅有管理考评成功经验的，凭业主单位出具的证明</w:t>
            </w:r>
            <w:r>
              <w:rPr>
                <w:rFonts w:hint="eastAsia" w:asciiTheme="minorEastAsia" w:hAnsiTheme="minorEastAsia" w:eastAsiaTheme="minorEastAsia" w:cstheme="minorEastAsia"/>
                <w:color w:val="auto"/>
                <w:kern w:val="0"/>
                <w:sz w:val="21"/>
                <w:szCs w:val="21"/>
                <w:highlight w:val="none"/>
                <w:lang w:val="en-US" w:eastAsia="zh-CN"/>
              </w:rPr>
              <w:t>等</w:t>
            </w:r>
            <w:r>
              <w:rPr>
                <w:rFonts w:hint="eastAsia" w:asciiTheme="minorEastAsia" w:hAnsiTheme="minorEastAsia" w:eastAsiaTheme="minorEastAsia" w:cstheme="minorEastAsia"/>
                <w:color w:val="auto"/>
                <w:kern w:val="0"/>
                <w:sz w:val="21"/>
                <w:szCs w:val="21"/>
                <w:highlight w:val="none"/>
              </w:rPr>
              <w:t>得1分</w:t>
            </w:r>
            <w:r>
              <w:rPr>
                <w:rFonts w:hint="eastAsia" w:asciiTheme="minorEastAsia" w:hAnsiTheme="minorEastAsia" w:eastAsiaTheme="minorEastAsia" w:cstheme="minorEastAsia"/>
                <w:color w:val="auto"/>
                <w:kern w:val="0"/>
                <w:sz w:val="21"/>
                <w:szCs w:val="21"/>
                <w:highlight w:val="none"/>
                <w:lang w:eastAsia="zh-CN"/>
              </w:rPr>
              <w:t>。</w:t>
            </w:r>
          </w:p>
          <w:p w14:paraId="0DBEA92D">
            <w:pPr>
              <w:keepNext w:val="0"/>
              <w:keepLines w:val="0"/>
              <w:pageBreakBefore w:val="0"/>
              <w:widowControl/>
              <w:kinsoku/>
              <w:wordWrap/>
              <w:overflowPunct/>
              <w:topLinePunct w:val="0"/>
              <w:bidi w:val="0"/>
              <w:adjustRightInd/>
              <w:snapToGrid/>
              <w:spacing w:line="240" w:lineRule="auto"/>
              <w:ind w:left="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其他</w:t>
            </w:r>
            <w:r>
              <w:rPr>
                <w:rFonts w:hint="eastAsia" w:asciiTheme="minorEastAsia" w:hAnsiTheme="minorEastAsia" w:eastAsiaTheme="minorEastAsia" w:cstheme="minorEastAsia"/>
                <w:color w:val="auto"/>
                <w:kern w:val="0"/>
                <w:sz w:val="21"/>
                <w:szCs w:val="21"/>
                <w:highlight w:val="none"/>
              </w:rPr>
              <w:t>不得分。</w:t>
            </w:r>
          </w:p>
          <w:p w14:paraId="63D4EC81">
            <w:pPr>
              <w:keepNext w:val="0"/>
              <w:keepLines w:val="0"/>
              <w:pageBreakBefore w:val="0"/>
              <w:widowControl/>
              <w:kinsoku/>
              <w:wordWrap/>
              <w:overflowPunct/>
              <w:topLinePunct w:val="0"/>
              <w:bidi w:val="0"/>
              <w:adjustRightInd/>
              <w:snapToGrid/>
              <w:spacing w:line="240" w:lineRule="auto"/>
              <w:ind w:left="0" w:leftChars="0"/>
              <w:jc w:val="left"/>
              <w:textAlignment w:val="auto"/>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w:t>
            </w:r>
            <w:r>
              <w:rPr>
                <w:rFonts w:hint="eastAsia" w:asciiTheme="minorEastAsia" w:hAnsiTheme="minorEastAsia" w:eastAsiaTheme="minorEastAsia" w:cstheme="minorEastAsia"/>
                <w:b/>
                <w:bCs/>
                <w:color w:val="auto"/>
                <w:kern w:val="0"/>
                <w:sz w:val="21"/>
                <w:szCs w:val="21"/>
                <w:highlight w:val="none"/>
                <w:lang w:val="en-US" w:eastAsia="zh-CN"/>
              </w:rPr>
              <w:t>须</w:t>
            </w:r>
            <w:r>
              <w:rPr>
                <w:rFonts w:hint="eastAsia" w:asciiTheme="minorEastAsia" w:hAnsiTheme="minorEastAsia" w:eastAsiaTheme="minorEastAsia" w:cstheme="minorEastAsia"/>
                <w:b/>
                <w:bCs/>
                <w:color w:val="auto"/>
                <w:kern w:val="0"/>
                <w:sz w:val="21"/>
                <w:szCs w:val="21"/>
                <w:highlight w:val="none"/>
              </w:rPr>
              <w:t>提供项目合同、项目</w:t>
            </w:r>
            <w:r>
              <w:rPr>
                <w:rFonts w:hint="eastAsia" w:asciiTheme="minorEastAsia" w:hAnsiTheme="minorEastAsia" w:eastAsiaTheme="minorEastAsia" w:cstheme="minorEastAsia"/>
                <w:b/>
                <w:bCs/>
                <w:color w:val="auto"/>
                <w:kern w:val="0"/>
                <w:sz w:val="21"/>
                <w:szCs w:val="21"/>
                <w:highlight w:val="none"/>
                <w:lang w:val="en-US" w:eastAsia="zh-CN"/>
              </w:rPr>
              <w:t>经理</w:t>
            </w:r>
            <w:r>
              <w:rPr>
                <w:rFonts w:hint="eastAsia" w:asciiTheme="minorEastAsia" w:hAnsiTheme="minorEastAsia" w:eastAsiaTheme="minorEastAsia" w:cstheme="minorEastAsia"/>
                <w:b/>
                <w:bCs/>
                <w:color w:val="auto"/>
                <w:kern w:val="0"/>
                <w:sz w:val="21"/>
                <w:szCs w:val="21"/>
                <w:highlight w:val="none"/>
              </w:rPr>
              <w:t>所服务的业主方证明文件、项目</w:t>
            </w:r>
            <w:r>
              <w:rPr>
                <w:rFonts w:hint="eastAsia" w:asciiTheme="minorEastAsia" w:hAnsiTheme="minorEastAsia" w:eastAsiaTheme="minorEastAsia" w:cstheme="minorEastAsia"/>
                <w:b/>
                <w:bCs/>
                <w:color w:val="auto"/>
                <w:kern w:val="0"/>
                <w:sz w:val="21"/>
                <w:szCs w:val="21"/>
                <w:highlight w:val="none"/>
                <w:lang w:val="en-US" w:eastAsia="zh-CN"/>
              </w:rPr>
              <w:t>经理</w:t>
            </w:r>
            <w:r>
              <w:rPr>
                <w:rFonts w:hint="eastAsia" w:asciiTheme="minorEastAsia" w:hAnsiTheme="minorEastAsia" w:eastAsiaTheme="minorEastAsia" w:cstheme="minorEastAsia"/>
                <w:b/>
                <w:bCs/>
                <w:color w:val="auto"/>
                <w:kern w:val="0"/>
                <w:sz w:val="21"/>
                <w:szCs w:val="21"/>
                <w:highlight w:val="none"/>
              </w:rPr>
              <w:t>与</w:t>
            </w:r>
            <w:r>
              <w:rPr>
                <w:rFonts w:hint="eastAsia" w:asciiTheme="minorEastAsia" w:hAnsiTheme="minorEastAsia" w:eastAsiaTheme="minorEastAsia" w:cstheme="minorEastAsia"/>
                <w:b/>
                <w:bCs/>
                <w:color w:val="auto"/>
                <w:kern w:val="0"/>
                <w:sz w:val="21"/>
                <w:szCs w:val="21"/>
                <w:highlight w:val="none"/>
                <w:lang w:val="en-US" w:eastAsia="zh-CN"/>
              </w:rPr>
              <w:t>投标人</w:t>
            </w:r>
            <w:r>
              <w:rPr>
                <w:rFonts w:hint="eastAsia" w:asciiTheme="minorEastAsia" w:hAnsiTheme="minorEastAsia" w:eastAsiaTheme="minorEastAsia" w:cstheme="minorEastAsia"/>
                <w:b/>
                <w:bCs/>
                <w:color w:val="auto"/>
                <w:kern w:val="0"/>
                <w:sz w:val="21"/>
                <w:szCs w:val="21"/>
                <w:highlight w:val="none"/>
              </w:rPr>
              <w:t>的</w:t>
            </w:r>
            <w:r>
              <w:rPr>
                <w:rFonts w:hint="eastAsia" w:asciiTheme="minorEastAsia" w:hAnsiTheme="minorEastAsia" w:eastAsiaTheme="minorEastAsia" w:cstheme="minorEastAsia"/>
                <w:b/>
                <w:bCs/>
                <w:color w:val="auto"/>
                <w:kern w:val="0"/>
                <w:sz w:val="21"/>
                <w:szCs w:val="21"/>
                <w:highlight w:val="none"/>
                <w:lang w:val="en-US" w:eastAsia="zh-CN"/>
              </w:rPr>
              <w:t>用工</w:t>
            </w:r>
            <w:r>
              <w:rPr>
                <w:rFonts w:hint="eastAsia" w:asciiTheme="minorEastAsia" w:hAnsiTheme="minorEastAsia" w:eastAsiaTheme="minorEastAsia" w:cstheme="minorEastAsia"/>
                <w:b/>
                <w:bCs/>
                <w:color w:val="auto"/>
                <w:kern w:val="0"/>
                <w:sz w:val="21"/>
                <w:szCs w:val="21"/>
                <w:highlight w:val="none"/>
              </w:rPr>
              <w:t>合同</w:t>
            </w:r>
            <w:r>
              <w:rPr>
                <w:rFonts w:hint="eastAsia" w:asciiTheme="minorEastAsia" w:hAnsiTheme="minorEastAsia" w:eastAsiaTheme="minorEastAsia" w:cstheme="minorEastAsia"/>
                <w:b/>
                <w:bCs/>
                <w:color w:val="auto"/>
                <w:kern w:val="0"/>
                <w:sz w:val="21"/>
                <w:szCs w:val="21"/>
                <w:highlight w:val="none"/>
                <w:lang w:val="en-US" w:eastAsia="zh-CN"/>
              </w:rPr>
              <w:t>或投标人为其缴纳的社保证明扫描件</w:t>
            </w:r>
            <w:r>
              <w:rPr>
                <w:rFonts w:hint="eastAsia" w:asciiTheme="minorEastAsia" w:hAnsiTheme="minorEastAsia" w:eastAsiaTheme="minorEastAsia" w:cstheme="minorEastAsia"/>
                <w:b/>
                <w:bCs/>
                <w:color w:val="auto"/>
                <w:sz w:val="21"/>
                <w:szCs w:val="21"/>
                <w:highlight w:val="none"/>
              </w:rPr>
              <w:t>并加盖投标人公章编入投标文件中</w:t>
            </w:r>
            <w:r>
              <w:rPr>
                <w:rFonts w:hint="eastAsia" w:asciiTheme="minorEastAsia" w:hAnsiTheme="minorEastAsia" w:eastAsiaTheme="minorEastAsia" w:cstheme="minorEastAsia"/>
                <w:b/>
                <w:bCs/>
                <w:color w:val="auto"/>
                <w:kern w:val="0"/>
                <w:sz w:val="21"/>
                <w:szCs w:val="21"/>
                <w:highlight w:val="none"/>
              </w:rPr>
              <w:t>，且三份文件为同一时间段，</w:t>
            </w:r>
            <w:r>
              <w:rPr>
                <w:rFonts w:hint="eastAsia" w:asciiTheme="minorEastAsia" w:hAnsiTheme="minorEastAsia" w:eastAsiaTheme="minorEastAsia" w:cstheme="minorEastAsia"/>
                <w:b/>
                <w:bCs/>
                <w:color w:val="auto"/>
                <w:sz w:val="21"/>
                <w:szCs w:val="21"/>
                <w:highlight w:val="none"/>
              </w:rPr>
              <w:t>未提供</w:t>
            </w:r>
            <w:r>
              <w:rPr>
                <w:rFonts w:hint="eastAsia" w:asciiTheme="minorEastAsia" w:hAnsiTheme="minorEastAsia" w:eastAsiaTheme="minorEastAsia" w:cstheme="minorEastAsia"/>
                <w:b/>
                <w:bCs/>
                <w:color w:val="auto"/>
                <w:sz w:val="21"/>
                <w:szCs w:val="21"/>
                <w:highlight w:val="none"/>
                <w:lang w:val="en-US" w:eastAsia="zh-CN"/>
              </w:rPr>
              <w:t>或提供不全</w:t>
            </w:r>
            <w:r>
              <w:rPr>
                <w:rFonts w:hint="eastAsia" w:asciiTheme="minorEastAsia" w:hAnsiTheme="minorEastAsia" w:eastAsiaTheme="minorEastAsia" w:cstheme="minorEastAsia"/>
                <w:b/>
                <w:bCs/>
                <w:color w:val="auto"/>
                <w:sz w:val="21"/>
                <w:szCs w:val="21"/>
                <w:highlight w:val="none"/>
              </w:rPr>
              <w:t>的不得分</w:t>
            </w:r>
            <w:r>
              <w:rPr>
                <w:rFonts w:hint="eastAsia" w:asciiTheme="minorEastAsia" w:hAnsiTheme="minorEastAsia" w:eastAsiaTheme="minorEastAsia" w:cstheme="minorEastAsia"/>
                <w:b/>
                <w:bCs/>
                <w:color w:val="auto"/>
                <w:kern w:val="0"/>
                <w:sz w:val="21"/>
                <w:szCs w:val="21"/>
                <w:highlight w:val="none"/>
              </w:rPr>
              <w:t>）</w:t>
            </w:r>
          </w:p>
        </w:tc>
        <w:tc>
          <w:tcPr>
            <w:tcW w:w="650" w:type="dxa"/>
            <w:vAlign w:val="center"/>
          </w:tcPr>
          <w:p w14:paraId="5C81B48D">
            <w:pPr>
              <w:keepNext w:val="0"/>
              <w:keepLines w:val="0"/>
              <w:pageBreakBefore w:val="0"/>
              <w:widowControl/>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3</w:t>
            </w:r>
          </w:p>
        </w:tc>
        <w:tc>
          <w:tcPr>
            <w:tcW w:w="650" w:type="dxa"/>
            <w:vAlign w:val="center"/>
          </w:tcPr>
          <w:p w14:paraId="71CAF107">
            <w:pPr>
              <w:keepNext w:val="0"/>
              <w:keepLines w:val="0"/>
              <w:pageBreakBefore w:val="0"/>
              <w:widowControl/>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p>
        </w:tc>
        <w:tc>
          <w:tcPr>
            <w:tcW w:w="650" w:type="dxa"/>
            <w:vAlign w:val="center"/>
          </w:tcPr>
          <w:p w14:paraId="70F24D5C">
            <w:pPr>
              <w:keepNext w:val="0"/>
              <w:keepLines w:val="0"/>
              <w:pageBreakBefore w:val="0"/>
              <w:widowControl/>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p>
        </w:tc>
      </w:tr>
      <w:tr w14:paraId="0BDA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tcBorders>
              <w:left w:val="single" w:color="auto" w:sz="4" w:space="0"/>
              <w:right w:val="single" w:color="auto" w:sz="4" w:space="0"/>
            </w:tcBorders>
            <w:vAlign w:val="center"/>
          </w:tcPr>
          <w:p w14:paraId="7395968B">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Align w:val="center"/>
          </w:tcPr>
          <w:p w14:paraId="5EEECD77">
            <w:pPr>
              <w:keepNext w:val="0"/>
              <w:keepLines w:val="0"/>
              <w:pageBreakBefore w:val="0"/>
              <w:widowControl/>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承接经验</w:t>
            </w:r>
          </w:p>
        </w:tc>
        <w:tc>
          <w:tcPr>
            <w:tcW w:w="7291" w:type="dxa"/>
            <w:vAlign w:val="center"/>
          </w:tcPr>
          <w:p w14:paraId="58B87585">
            <w:pPr>
              <w:keepNext w:val="0"/>
              <w:keepLines w:val="0"/>
              <w:pageBreakBefore w:val="0"/>
              <w:widowControl/>
              <w:kinsoku/>
              <w:wordWrap/>
              <w:overflowPunct/>
              <w:topLinePunct w:val="0"/>
              <w:bidi w:val="0"/>
              <w:adjustRightInd/>
              <w:snapToGrid/>
              <w:spacing w:line="240" w:lineRule="auto"/>
              <w:ind w:left="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投标人自2022年1月1日以来（以合同签订时间为准），完成过城市信息采集服务类似案例的，每个得0.5分，最高得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lang w:val="en-US" w:eastAsia="zh-CN"/>
              </w:rPr>
              <w:t>分。</w:t>
            </w:r>
          </w:p>
          <w:p w14:paraId="4AB4D804">
            <w:pPr>
              <w:keepNext w:val="0"/>
              <w:keepLines w:val="0"/>
              <w:pageBreakBefore w:val="0"/>
              <w:widowControl/>
              <w:kinsoku/>
              <w:wordWrap/>
              <w:overflowPunct/>
              <w:topLinePunct w:val="0"/>
              <w:bidi w:val="0"/>
              <w:adjustRightInd/>
              <w:snapToGrid/>
              <w:spacing w:line="240" w:lineRule="auto"/>
              <w:ind w:left="0" w:lef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Cs w:val="21"/>
                <w:highlight w:val="none"/>
                <w:lang w:val="zh-CN"/>
              </w:rPr>
              <w:t>（</w:t>
            </w:r>
            <w:r>
              <w:rPr>
                <w:rFonts w:hint="eastAsia" w:asciiTheme="minorEastAsia" w:hAnsiTheme="minorEastAsia" w:eastAsiaTheme="minorEastAsia" w:cstheme="minorEastAsia"/>
                <w:b/>
                <w:bCs/>
                <w:color w:val="auto"/>
                <w:szCs w:val="21"/>
                <w:highlight w:val="none"/>
              </w:rPr>
              <w:t>须</w:t>
            </w:r>
            <w:r>
              <w:rPr>
                <w:rFonts w:hint="eastAsia" w:asciiTheme="minorEastAsia" w:hAnsiTheme="minorEastAsia" w:eastAsiaTheme="minorEastAsia" w:cstheme="minorEastAsia"/>
                <w:b/>
                <w:bCs/>
                <w:color w:val="auto"/>
                <w:szCs w:val="21"/>
                <w:highlight w:val="none"/>
                <w:lang w:val="zh-CN"/>
              </w:rPr>
              <w:t>提供合同</w:t>
            </w:r>
            <w:r>
              <w:rPr>
                <w:rFonts w:hint="eastAsia" w:asciiTheme="minorEastAsia" w:hAnsiTheme="minorEastAsia" w:eastAsiaTheme="minorEastAsia" w:cstheme="minorEastAsia"/>
                <w:b/>
                <w:bCs/>
                <w:color w:val="auto"/>
                <w:szCs w:val="21"/>
                <w:highlight w:val="none"/>
              </w:rPr>
              <w:t>扫描</w:t>
            </w:r>
            <w:r>
              <w:rPr>
                <w:rFonts w:hint="eastAsia" w:asciiTheme="minorEastAsia" w:hAnsiTheme="minorEastAsia" w:eastAsiaTheme="minorEastAsia" w:cstheme="minorEastAsia"/>
                <w:b/>
                <w:bCs/>
                <w:color w:val="auto"/>
                <w:szCs w:val="21"/>
                <w:highlight w:val="none"/>
                <w:lang w:val="zh-CN"/>
              </w:rPr>
              <w:t>件</w:t>
            </w:r>
            <w:r>
              <w:rPr>
                <w:rFonts w:hint="eastAsia" w:asciiTheme="minorEastAsia" w:hAnsiTheme="minorEastAsia" w:eastAsiaTheme="minorEastAsia" w:cstheme="minorEastAsia"/>
                <w:b/>
                <w:bCs/>
                <w:color w:val="auto"/>
                <w:szCs w:val="21"/>
                <w:highlight w:val="none"/>
              </w:rPr>
              <w:t>并</w:t>
            </w:r>
            <w:r>
              <w:rPr>
                <w:rFonts w:hint="eastAsia" w:asciiTheme="minorEastAsia" w:hAnsiTheme="minorEastAsia" w:eastAsiaTheme="minorEastAsia" w:cstheme="minorEastAsia"/>
                <w:b/>
                <w:bCs/>
                <w:color w:val="auto"/>
                <w:szCs w:val="21"/>
                <w:highlight w:val="none"/>
                <w:lang w:val="zh-CN"/>
              </w:rPr>
              <w:t>加盖</w:t>
            </w:r>
            <w:r>
              <w:rPr>
                <w:rFonts w:hint="eastAsia" w:asciiTheme="minorEastAsia" w:hAnsiTheme="minorEastAsia" w:eastAsiaTheme="minorEastAsia" w:cstheme="minorEastAsia"/>
                <w:b/>
                <w:bCs/>
                <w:color w:val="auto"/>
                <w:szCs w:val="21"/>
                <w:highlight w:val="none"/>
              </w:rPr>
              <w:t>投标人</w:t>
            </w:r>
            <w:r>
              <w:rPr>
                <w:rFonts w:hint="eastAsia" w:asciiTheme="minorEastAsia" w:hAnsiTheme="minorEastAsia" w:eastAsiaTheme="minorEastAsia" w:cstheme="minorEastAsia"/>
                <w:b/>
                <w:bCs/>
                <w:color w:val="auto"/>
                <w:szCs w:val="21"/>
                <w:highlight w:val="none"/>
                <w:lang w:val="zh-CN"/>
              </w:rPr>
              <w:t>公章</w:t>
            </w:r>
            <w:r>
              <w:rPr>
                <w:rFonts w:hint="eastAsia" w:asciiTheme="minorEastAsia" w:hAnsiTheme="minorEastAsia" w:eastAsiaTheme="minorEastAsia" w:cstheme="minorEastAsia"/>
                <w:b/>
                <w:bCs/>
                <w:color w:val="auto"/>
                <w:szCs w:val="21"/>
                <w:highlight w:val="none"/>
              </w:rPr>
              <w:t>编入投标文件中，未提供的不得分</w:t>
            </w:r>
            <w:r>
              <w:rPr>
                <w:rFonts w:hint="eastAsia" w:asciiTheme="minorEastAsia" w:hAnsiTheme="minorEastAsia" w:eastAsiaTheme="minorEastAsia" w:cstheme="minorEastAsia"/>
                <w:b/>
                <w:bCs/>
                <w:color w:val="auto"/>
                <w:szCs w:val="21"/>
                <w:highlight w:val="none"/>
                <w:lang w:val="zh-CN"/>
              </w:rPr>
              <w:t>）</w:t>
            </w:r>
          </w:p>
        </w:tc>
        <w:tc>
          <w:tcPr>
            <w:tcW w:w="650" w:type="dxa"/>
            <w:vAlign w:val="center"/>
          </w:tcPr>
          <w:p w14:paraId="43A73874">
            <w:pPr>
              <w:keepNext w:val="0"/>
              <w:keepLines w:val="0"/>
              <w:pageBreakBefore w:val="0"/>
              <w:widowControl/>
              <w:kinsoku/>
              <w:wordWrap/>
              <w:overflowPunct/>
              <w:topLinePunct w:val="0"/>
              <w:bidi w:val="0"/>
              <w:adjustRightInd/>
              <w:snapToGrid/>
              <w:spacing w:line="240" w:lineRule="auto"/>
              <w:ind w:left="0" w:left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650" w:type="dxa"/>
            <w:vAlign w:val="center"/>
          </w:tcPr>
          <w:p w14:paraId="77FACED5">
            <w:pPr>
              <w:keepNext w:val="0"/>
              <w:keepLines w:val="0"/>
              <w:pageBreakBefore w:val="0"/>
              <w:widowControl/>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50" w:type="dxa"/>
            <w:vAlign w:val="center"/>
          </w:tcPr>
          <w:p w14:paraId="4B2F300B">
            <w:pPr>
              <w:keepNext w:val="0"/>
              <w:keepLines w:val="0"/>
              <w:pageBreakBefore w:val="0"/>
              <w:widowControl/>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0FBB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restart"/>
            <w:vAlign w:val="center"/>
          </w:tcPr>
          <w:p w14:paraId="7D38E0FF">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技术分（</w:t>
            </w:r>
            <w:r>
              <w:rPr>
                <w:rFonts w:hint="eastAsia" w:asciiTheme="minorEastAsia" w:hAnsiTheme="minorEastAsia" w:eastAsiaTheme="minorEastAsia" w:cstheme="minorEastAsia"/>
                <w:bCs/>
                <w:color w:val="auto"/>
                <w:sz w:val="21"/>
                <w:szCs w:val="21"/>
                <w:highlight w:val="none"/>
                <w:lang w:val="en-US" w:eastAsia="zh-CN"/>
              </w:rPr>
              <w:t>75</w:t>
            </w:r>
            <w:r>
              <w:rPr>
                <w:rFonts w:hint="eastAsia" w:asciiTheme="minorEastAsia" w:hAnsiTheme="minorEastAsia" w:eastAsiaTheme="minorEastAsia" w:cstheme="minorEastAsia"/>
                <w:bCs/>
                <w:color w:val="auto"/>
                <w:sz w:val="21"/>
                <w:szCs w:val="21"/>
                <w:highlight w:val="none"/>
              </w:rPr>
              <w:t>分）</w:t>
            </w:r>
          </w:p>
        </w:tc>
        <w:tc>
          <w:tcPr>
            <w:tcW w:w="1132" w:type="dxa"/>
            <w:vMerge w:val="restart"/>
            <w:vAlign w:val="center"/>
          </w:tcPr>
          <w:p w14:paraId="668FC50A">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项目启动方案</w:t>
            </w:r>
          </w:p>
        </w:tc>
        <w:tc>
          <w:tcPr>
            <w:tcW w:w="7291" w:type="dxa"/>
            <w:vAlign w:val="center"/>
          </w:tcPr>
          <w:p w14:paraId="759F7818">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根据投标人针对本项目提供的项目启动措施、启动保障方案、启动实施进度表是否符合项目启动要求进行打分。</w:t>
            </w:r>
          </w:p>
          <w:p w14:paraId="24F0EAA4">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项目启动方案</w:t>
            </w:r>
            <w:r>
              <w:rPr>
                <w:rFonts w:hint="eastAsia" w:asciiTheme="minorEastAsia" w:hAnsiTheme="minorEastAsia" w:eastAsiaTheme="minorEastAsia" w:cstheme="minorEastAsia"/>
                <w:color w:val="auto"/>
                <w:sz w:val="21"/>
                <w:szCs w:val="21"/>
                <w:highlight w:val="none"/>
                <w:lang w:val="en-US" w:eastAsia="zh-CN"/>
              </w:rPr>
              <w:t>内容清晰、合理可行且措施全面充足的得5分；</w:t>
            </w:r>
          </w:p>
          <w:p w14:paraId="6ED341A3">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项目启动方案</w:t>
            </w:r>
            <w:r>
              <w:rPr>
                <w:rFonts w:hint="eastAsia" w:asciiTheme="minorEastAsia" w:hAnsiTheme="minorEastAsia" w:eastAsiaTheme="minorEastAsia" w:cstheme="minorEastAsia"/>
                <w:color w:val="auto"/>
                <w:sz w:val="21"/>
                <w:szCs w:val="21"/>
                <w:highlight w:val="none"/>
                <w:lang w:val="en-US" w:eastAsia="zh-CN"/>
              </w:rPr>
              <w:t>内容比较清晰、合理比较可行且措施比较全面充足的得3分；</w:t>
            </w:r>
          </w:p>
          <w:p w14:paraId="0810A8FD">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项目启动方案</w:t>
            </w:r>
            <w:r>
              <w:rPr>
                <w:rFonts w:hint="eastAsia" w:asciiTheme="minorEastAsia" w:hAnsiTheme="minorEastAsia" w:eastAsiaTheme="minorEastAsia" w:cstheme="minorEastAsia"/>
                <w:color w:val="auto"/>
                <w:sz w:val="21"/>
                <w:szCs w:val="21"/>
                <w:highlight w:val="none"/>
                <w:lang w:val="en-US" w:eastAsia="zh-CN"/>
              </w:rPr>
              <w:t>内容合理性和可行性有待加强，离满足项目需求有差距的得1分；</w:t>
            </w:r>
          </w:p>
          <w:p w14:paraId="290B98AC">
            <w:pPr>
              <w:keepNext w:val="0"/>
              <w:keepLines w:val="0"/>
              <w:pageBreakBefore w:val="0"/>
              <w:tabs>
                <w:tab w:val="left" w:pos="2061"/>
              </w:tabs>
              <w:kinsoku/>
              <w:wordWrap/>
              <w:overflowPunct/>
              <w:topLinePunct w:val="0"/>
              <w:bidi w:val="0"/>
              <w:adjustRightInd/>
              <w:snapToGrid/>
              <w:spacing w:line="240" w:lineRule="auto"/>
              <w:ind w:left="0" w:leftChars="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34497A70">
            <w:pPr>
              <w:keepNext w:val="0"/>
              <w:keepLines w:val="0"/>
              <w:pageBreakBefore w:val="0"/>
              <w:widowControl/>
              <w:kinsoku/>
              <w:wordWrap/>
              <w:overflowPunct/>
              <w:topLinePunct w:val="0"/>
              <w:bidi w:val="0"/>
              <w:adjustRightInd/>
              <w:snapToGrid/>
              <w:spacing w:line="240" w:lineRule="auto"/>
              <w:ind w:left="0" w:left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w:t>
            </w:r>
          </w:p>
        </w:tc>
        <w:tc>
          <w:tcPr>
            <w:tcW w:w="650" w:type="dxa"/>
            <w:vAlign w:val="center"/>
          </w:tcPr>
          <w:p w14:paraId="7D33A4DB">
            <w:pPr>
              <w:keepNext w:val="0"/>
              <w:keepLines w:val="0"/>
              <w:pageBreakBefore w:val="0"/>
              <w:widowControl/>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p>
        </w:tc>
        <w:tc>
          <w:tcPr>
            <w:tcW w:w="650" w:type="dxa"/>
            <w:vAlign w:val="center"/>
          </w:tcPr>
          <w:p w14:paraId="20491F18">
            <w:pPr>
              <w:keepNext w:val="0"/>
              <w:keepLines w:val="0"/>
              <w:pageBreakBefore w:val="0"/>
              <w:widowControl/>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p>
        </w:tc>
      </w:tr>
      <w:tr w14:paraId="2084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313F67B8">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Merge w:val="continue"/>
            <w:vAlign w:val="center"/>
          </w:tcPr>
          <w:p w14:paraId="6C885428">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kern w:val="0"/>
                <w:sz w:val="21"/>
                <w:szCs w:val="21"/>
                <w:highlight w:val="none"/>
              </w:rPr>
            </w:pPr>
          </w:p>
        </w:tc>
        <w:tc>
          <w:tcPr>
            <w:tcW w:w="7291" w:type="dxa"/>
            <w:vAlign w:val="center"/>
          </w:tcPr>
          <w:p w14:paraId="31BAB13E">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根据投标人针对本项目拟投入的信息采集人员数量进行打分。</w:t>
            </w:r>
          </w:p>
          <w:p w14:paraId="06399CE7">
            <w:pPr>
              <w:keepNext w:val="0"/>
              <w:keepLines w:val="0"/>
              <w:pageBreakBefore w:val="0"/>
              <w:numPr>
                <w:ilvl w:val="0"/>
                <w:numId w:val="0"/>
              </w:numPr>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10人及以上的得5分；6-9人的得3分；3-5人的得1分；少于3人的不得分。</w:t>
            </w:r>
          </w:p>
          <w:p w14:paraId="7727B177">
            <w:pPr>
              <w:keepNext w:val="0"/>
              <w:keepLines w:val="0"/>
              <w:pageBreakBefore w:val="0"/>
              <w:numPr>
                <w:ilvl w:val="0"/>
                <w:numId w:val="0"/>
              </w:numPr>
              <w:tabs>
                <w:tab w:val="left" w:pos="2061"/>
              </w:tabs>
              <w:kinsoku/>
              <w:wordWrap/>
              <w:overflowPunct/>
              <w:topLinePunct w:val="0"/>
              <w:bidi w:val="0"/>
              <w:adjustRightInd/>
              <w:snapToGrid/>
              <w:spacing w:line="240" w:lineRule="auto"/>
              <w:ind w:left="0" w:leftChars="0" w:firstLine="0" w:firstLineChars="0"/>
              <w:textAlignment w:val="auto"/>
              <w:rPr>
                <w:rFonts w:hint="default"/>
                <w:color w:val="auto"/>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（信息采集人员须为投标人的正式在职人员，提供</w:t>
            </w:r>
            <w:r>
              <w:rPr>
                <w:rFonts w:hint="eastAsia" w:asciiTheme="minorEastAsia" w:hAnsiTheme="minorEastAsia" w:eastAsiaTheme="minorEastAsia" w:cstheme="minorEastAsia"/>
                <w:b/>
                <w:bCs/>
                <w:color w:val="auto"/>
                <w:kern w:val="0"/>
                <w:sz w:val="21"/>
                <w:szCs w:val="21"/>
                <w:highlight w:val="none"/>
              </w:rPr>
              <w:t>与</w:t>
            </w:r>
            <w:r>
              <w:rPr>
                <w:rFonts w:hint="eastAsia" w:asciiTheme="minorEastAsia" w:hAnsiTheme="minorEastAsia" w:eastAsiaTheme="minorEastAsia" w:cstheme="minorEastAsia"/>
                <w:b/>
                <w:bCs/>
                <w:color w:val="auto"/>
                <w:kern w:val="0"/>
                <w:sz w:val="21"/>
                <w:szCs w:val="21"/>
                <w:highlight w:val="none"/>
                <w:lang w:val="en-US" w:eastAsia="zh-CN"/>
              </w:rPr>
              <w:t>投标人</w:t>
            </w:r>
            <w:r>
              <w:rPr>
                <w:rFonts w:hint="eastAsia" w:asciiTheme="minorEastAsia" w:hAnsiTheme="minorEastAsia" w:eastAsiaTheme="minorEastAsia" w:cstheme="minorEastAsia"/>
                <w:b/>
                <w:bCs/>
                <w:color w:val="auto"/>
                <w:kern w:val="0"/>
                <w:sz w:val="21"/>
                <w:szCs w:val="21"/>
                <w:highlight w:val="none"/>
              </w:rPr>
              <w:t>的</w:t>
            </w:r>
            <w:r>
              <w:rPr>
                <w:rFonts w:hint="eastAsia" w:asciiTheme="minorEastAsia" w:hAnsiTheme="minorEastAsia" w:eastAsiaTheme="minorEastAsia" w:cstheme="minorEastAsia"/>
                <w:b/>
                <w:bCs/>
                <w:color w:val="auto"/>
                <w:kern w:val="0"/>
                <w:sz w:val="21"/>
                <w:szCs w:val="21"/>
                <w:highlight w:val="none"/>
                <w:lang w:val="en-US" w:eastAsia="zh-CN"/>
              </w:rPr>
              <w:t>用工</w:t>
            </w:r>
            <w:r>
              <w:rPr>
                <w:rFonts w:hint="eastAsia" w:asciiTheme="minorEastAsia" w:hAnsiTheme="minorEastAsia" w:eastAsiaTheme="minorEastAsia" w:cstheme="minorEastAsia"/>
                <w:b/>
                <w:bCs/>
                <w:color w:val="auto"/>
                <w:kern w:val="0"/>
                <w:sz w:val="21"/>
                <w:szCs w:val="21"/>
                <w:highlight w:val="none"/>
              </w:rPr>
              <w:t>合同</w:t>
            </w:r>
            <w:r>
              <w:rPr>
                <w:rFonts w:hint="eastAsia" w:asciiTheme="minorEastAsia" w:hAnsiTheme="minorEastAsia" w:eastAsiaTheme="minorEastAsia" w:cstheme="minorEastAsia"/>
                <w:b/>
                <w:bCs/>
                <w:color w:val="auto"/>
                <w:kern w:val="0"/>
                <w:sz w:val="21"/>
                <w:szCs w:val="21"/>
                <w:highlight w:val="none"/>
                <w:lang w:val="en-US" w:eastAsia="zh-CN"/>
              </w:rPr>
              <w:t>或投标人为其缴纳的社保证明</w:t>
            </w:r>
            <w:r>
              <w:rPr>
                <w:rFonts w:hint="eastAsia" w:asciiTheme="minorEastAsia" w:hAnsiTheme="minorEastAsia" w:eastAsiaTheme="minorEastAsia" w:cstheme="minorEastAsia"/>
                <w:b/>
                <w:bCs/>
                <w:color w:val="auto"/>
                <w:sz w:val="21"/>
                <w:szCs w:val="21"/>
                <w:highlight w:val="none"/>
                <w:lang w:val="en-US" w:eastAsia="zh-CN"/>
              </w:rPr>
              <w:t>并加盖投标人公章编入投标文件中，未提供的不得分）</w:t>
            </w:r>
          </w:p>
        </w:tc>
        <w:tc>
          <w:tcPr>
            <w:tcW w:w="650" w:type="dxa"/>
            <w:vAlign w:val="center"/>
          </w:tcPr>
          <w:p w14:paraId="1A11DE77">
            <w:pPr>
              <w:keepNext w:val="0"/>
              <w:keepLines w:val="0"/>
              <w:pageBreakBefore w:val="0"/>
              <w:widowControl/>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5</w:t>
            </w:r>
          </w:p>
        </w:tc>
        <w:tc>
          <w:tcPr>
            <w:tcW w:w="650" w:type="dxa"/>
            <w:vAlign w:val="center"/>
          </w:tcPr>
          <w:p w14:paraId="5176F002">
            <w:pPr>
              <w:keepNext w:val="0"/>
              <w:keepLines w:val="0"/>
              <w:pageBreakBefore w:val="0"/>
              <w:widowControl/>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p>
        </w:tc>
        <w:tc>
          <w:tcPr>
            <w:tcW w:w="650" w:type="dxa"/>
            <w:vAlign w:val="center"/>
          </w:tcPr>
          <w:p w14:paraId="32ADCB16">
            <w:pPr>
              <w:keepNext w:val="0"/>
              <w:keepLines w:val="0"/>
              <w:pageBreakBefore w:val="0"/>
              <w:widowControl/>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p>
        </w:tc>
      </w:tr>
      <w:tr w14:paraId="442F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6DEA71E4">
            <w:pPr>
              <w:keepNext w:val="0"/>
              <w:keepLines w:val="0"/>
              <w:pageBreakBefore w:val="0"/>
              <w:tabs>
                <w:tab w:val="left" w:pos="2061"/>
              </w:tabs>
              <w:kinsoku/>
              <w:wordWrap/>
              <w:overflowPunct/>
              <w:topLinePunct w:val="0"/>
              <w:bidi w:val="0"/>
              <w:adjustRightInd/>
              <w:snapToGrid/>
              <w:spacing w:line="240" w:lineRule="auto"/>
              <w:ind w:left="0" w:leftChars="0"/>
              <w:textAlignment w:val="auto"/>
              <w:rPr>
                <w:color w:val="auto"/>
                <w:highlight w:val="none"/>
              </w:rPr>
            </w:pPr>
          </w:p>
        </w:tc>
        <w:tc>
          <w:tcPr>
            <w:tcW w:w="1132" w:type="dxa"/>
            <w:vMerge w:val="continue"/>
            <w:vAlign w:val="center"/>
          </w:tcPr>
          <w:p w14:paraId="05DC28DB">
            <w:pPr>
              <w:keepNext w:val="0"/>
              <w:keepLines w:val="0"/>
              <w:pageBreakBefore w:val="0"/>
              <w:tabs>
                <w:tab w:val="left" w:pos="2061"/>
              </w:tabs>
              <w:kinsoku/>
              <w:wordWrap/>
              <w:overflowPunct/>
              <w:topLinePunct w:val="0"/>
              <w:bidi w:val="0"/>
              <w:adjustRightInd/>
              <w:snapToGrid/>
              <w:spacing w:line="240" w:lineRule="auto"/>
              <w:ind w:left="0" w:leftChars="0"/>
              <w:textAlignment w:val="auto"/>
              <w:rPr>
                <w:color w:val="auto"/>
                <w:highlight w:val="none"/>
              </w:rPr>
            </w:pPr>
          </w:p>
        </w:tc>
        <w:tc>
          <w:tcPr>
            <w:tcW w:w="7291" w:type="dxa"/>
            <w:vAlign w:val="center"/>
          </w:tcPr>
          <w:p w14:paraId="27AA6CD5">
            <w:pPr>
              <w:keepNext w:val="0"/>
              <w:keepLines w:val="0"/>
              <w:pageBreakBefore w:val="0"/>
              <w:numPr>
                <w:ilvl w:val="0"/>
                <w:numId w:val="0"/>
              </w:numPr>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根据投标人针对本项目提供的信息采集人员招录方案（包括但不限于人员中途离职后补录方案，补录期限或其他备选方案等内容）进行打分。</w:t>
            </w:r>
          </w:p>
          <w:p w14:paraId="2E9611EC">
            <w:pPr>
              <w:keepNext w:val="0"/>
              <w:keepLines w:val="0"/>
              <w:pageBreakBefore w:val="0"/>
              <w:numPr>
                <w:ilvl w:val="0"/>
                <w:numId w:val="0"/>
              </w:numPr>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全面科学合理，适用本项目需求的得5分；</w:t>
            </w:r>
          </w:p>
          <w:p w14:paraId="39FBD75F">
            <w:pPr>
              <w:keepNext w:val="0"/>
              <w:keepLines w:val="0"/>
              <w:pageBreakBefore w:val="0"/>
              <w:numPr>
                <w:ilvl w:val="0"/>
                <w:numId w:val="0"/>
              </w:numPr>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方案一般，基本满足项目需求的得3分；</w:t>
            </w:r>
          </w:p>
          <w:p w14:paraId="27F9E934">
            <w:pPr>
              <w:keepNext w:val="0"/>
              <w:keepLines w:val="0"/>
              <w:pageBreakBefore w:val="0"/>
              <w:numPr>
                <w:ilvl w:val="0"/>
                <w:numId w:val="0"/>
              </w:numPr>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方案简单，距离项目需求有差距的得1分；</w:t>
            </w:r>
          </w:p>
          <w:p w14:paraId="2C36C6EE">
            <w:pPr>
              <w:keepNext w:val="0"/>
              <w:keepLines w:val="0"/>
              <w:pageBreakBefore w:val="0"/>
              <w:numPr>
                <w:ilvl w:val="0"/>
                <w:numId w:val="0"/>
              </w:numPr>
              <w:tabs>
                <w:tab w:val="left" w:pos="2061"/>
              </w:tabs>
              <w:kinsoku/>
              <w:wordWrap/>
              <w:overflowPunct/>
              <w:topLinePunct w:val="0"/>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4727C6D0">
            <w:pPr>
              <w:keepNext w:val="0"/>
              <w:keepLines w:val="0"/>
              <w:pageBreakBefore w:val="0"/>
              <w:tabs>
                <w:tab w:val="left" w:pos="2061"/>
              </w:tabs>
              <w:kinsoku/>
              <w:wordWrap/>
              <w:overflowPunct/>
              <w:topLinePunct w:val="0"/>
              <w:bidi w:val="0"/>
              <w:adjustRightInd/>
              <w:snapToGrid/>
              <w:spacing w:line="240" w:lineRule="auto"/>
              <w:ind w:left="0" w:left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650" w:type="dxa"/>
            <w:vAlign w:val="center"/>
          </w:tcPr>
          <w:p w14:paraId="77197838">
            <w:pPr>
              <w:keepNext w:val="0"/>
              <w:keepLines w:val="0"/>
              <w:pageBreakBefore w:val="0"/>
              <w:tabs>
                <w:tab w:val="left" w:pos="2061"/>
              </w:tabs>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50" w:type="dxa"/>
            <w:vAlign w:val="center"/>
          </w:tcPr>
          <w:p w14:paraId="67839EB1">
            <w:pPr>
              <w:keepNext w:val="0"/>
              <w:keepLines w:val="0"/>
              <w:pageBreakBefore w:val="0"/>
              <w:tabs>
                <w:tab w:val="left" w:pos="2061"/>
              </w:tabs>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62BE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5F4FB40F">
            <w:pPr>
              <w:pStyle w:val="2"/>
              <w:keepNext w:val="0"/>
              <w:keepLines w:val="0"/>
              <w:pageBreakBefore w:val="0"/>
              <w:kinsoku/>
              <w:wordWrap/>
              <w:overflowPunct/>
              <w:topLinePunct w:val="0"/>
              <w:bidi w:val="0"/>
              <w:adjustRightInd/>
              <w:snapToGrid/>
              <w:spacing w:line="240" w:lineRule="auto"/>
              <w:ind w:left="0" w:leftChars="0"/>
              <w:textAlignment w:val="auto"/>
              <w:rPr>
                <w:color w:val="auto"/>
                <w:highlight w:val="none"/>
              </w:rPr>
            </w:pPr>
          </w:p>
        </w:tc>
        <w:tc>
          <w:tcPr>
            <w:tcW w:w="1132" w:type="dxa"/>
            <w:vMerge w:val="continue"/>
            <w:vAlign w:val="center"/>
          </w:tcPr>
          <w:p w14:paraId="5818FA6A">
            <w:pPr>
              <w:pStyle w:val="2"/>
              <w:keepNext w:val="0"/>
              <w:keepLines w:val="0"/>
              <w:pageBreakBefore w:val="0"/>
              <w:kinsoku/>
              <w:wordWrap/>
              <w:overflowPunct/>
              <w:topLinePunct w:val="0"/>
              <w:bidi w:val="0"/>
              <w:adjustRightInd/>
              <w:snapToGrid/>
              <w:spacing w:line="240" w:lineRule="auto"/>
              <w:ind w:left="0" w:leftChars="0"/>
              <w:textAlignment w:val="auto"/>
              <w:rPr>
                <w:color w:val="auto"/>
                <w:highlight w:val="none"/>
              </w:rPr>
            </w:pPr>
          </w:p>
        </w:tc>
        <w:tc>
          <w:tcPr>
            <w:tcW w:w="7291" w:type="dxa"/>
            <w:vAlign w:val="center"/>
          </w:tcPr>
          <w:p w14:paraId="6BA0C8F0">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根据投标人针对本项目拟配备的信息采集机动车辆数量进行打分。</w:t>
            </w:r>
          </w:p>
          <w:p w14:paraId="3A7D7F75">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信息采集机动车辆配备3辆及以上的得</w:t>
            </w:r>
            <w:r>
              <w:rPr>
                <w:rFonts w:hint="eastAsia" w:asciiTheme="minorEastAsia" w:hAnsiTheme="minorEastAsia" w:eastAsiaTheme="minorEastAsia" w:cstheme="minorEastAsia"/>
                <w:color w:val="auto"/>
                <w:kern w:val="0"/>
                <w:sz w:val="21"/>
                <w:szCs w:val="21"/>
                <w:highlight w:val="none"/>
                <w:lang w:val="en-US" w:eastAsia="zh-CN" w:bidi="ar-SA"/>
              </w:rPr>
              <w:t>6</w:t>
            </w:r>
            <w:r>
              <w:rPr>
                <w:rFonts w:hint="eastAsia" w:asciiTheme="minorEastAsia" w:hAnsiTheme="minorEastAsia" w:eastAsiaTheme="minorEastAsia" w:cstheme="minorEastAsia"/>
                <w:color w:val="auto"/>
                <w:sz w:val="21"/>
                <w:szCs w:val="21"/>
                <w:highlight w:val="none"/>
                <w:lang w:val="en-US" w:eastAsia="zh-CN"/>
              </w:rPr>
              <w:t>分；信息采集机动车辆配备2辆的得3分；信息采集机动车辆配备1辆的得1分；未提供信息采集机动车辆的不得分。</w:t>
            </w:r>
          </w:p>
          <w:p w14:paraId="4FCAE119">
            <w:pPr>
              <w:pStyle w:val="2"/>
              <w:keepNext w:val="0"/>
              <w:keepLines w:val="0"/>
              <w:pageBreakBefore w:val="0"/>
              <w:kinsoku/>
              <w:wordWrap/>
              <w:overflowPunct/>
              <w:topLinePunct w:val="0"/>
              <w:bidi w:val="0"/>
              <w:adjustRightInd/>
              <w:snapToGrid/>
              <w:spacing w:line="240" w:lineRule="auto"/>
              <w:ind w:left="0" w:leftChars="0"/>
              <w:textAlignment w:val="auto"/>
              <w:rPr>
                <w:rFonts w:hint="default"/>
                <w:color w:val="auto"/>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①以上信息采集机动车辆购置时间均不得超过5年，以购置发票开具时间为准；②提供车辆照片、简介、功能等方面的介绍，自有车辆须提供购置合同、购置发票、行驶证的扫描件加盖投标人公章编入投标文件中；租赁车辆须提供购置合同、购置发票、行驶证及租赁合同扫描件加盖投标人公章编入投标文件，未提供或提供不全的不得分）</w:t>
            </w:r>
          </w:p>
        </w:tc>
        <w:tc>
          <w:tcPr>
            <w:tcW w:w="650" w:type="dxa"/>
            <w:vAlign w:val="center"/>
          </w:tcPr>
          <w:p w14:paraId="5F2652DC">
            <w:pPr>
              <w:pStyle w:val="2"/>
              <w:keepNext w:val="0"/>
              <w:keepLines w:val="0"/>
              <w:pageBreakBefore w:val="0"/>
              <w:kinsoku/>
              <w:wordWrap/>
              <w:overflowPunct/>
              <w:topLinePunct w:val="0"/>
              <w:bidi w:val="0"/>
              <w:adjustRightInd/>
              <w:snapToGrid/>
              <w:spacing w:line="240" w:lineRule="auto"/>
              <w:ind w:left="0" w:leftChars="0"/>
              <w:jc w:val="center"/>
              <w:textAlignment w:val="auto"/>
              <w:rPr>
                <w:rFonts w:hint="default"/>
                <w:color w:val="auto"/>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SA"/>
              </w:rPr>
              <w:t>6</w:t>
            </w:r>
          </w:p>
        </w:tc>
        <w:tc>
          <w:tcPr>
            <w:tcW w:w="650" w:type="dxa"/>
            <w:vAlign w:val="center"/>
          </w:tcPr>
          <w:p w14:paraId="76F7EC06">
            <w:pPr>
              <w:pStyle w:val="2"/>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p>
        </w:tc>
        <w:tc>
          <w:tcPr>
            <w:tcW w:w="650" w:type="dxa"/>
            <w:vAlign w:val="center"/>
          </w:tcPr>
          <w:p w14:paraId="3BD5B0D2">
            <w:pPr>
              <w:pStyle w:val="2"/>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p>
        </w:tc>
      </w:tr>
      <w:tr w14:paraId="27E3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799625FA">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Align w:val="center"/>
          </w:tcPr>
          <w:p w14:paraId="5E4581B3">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层级管理以及组织架构</w:t>
            </w:r>
          </w:p>
        </w:tc>
        <w:tc>
          <w:tcPr>
            <w:tcW w:w="7291" w:type="dxa"/>
            <w:vAlign w:val="center"/>
          </w:tcPr>
          <w:p w14:paraId="04615350">
            <w:pPr>
              <w:keepNext w:val="0"/>
              <w:keepLines w:val="0"/>
              <w:pageBreakBefore w:val="0"/>
              <w:widowControl/>
              <w:kinsoku/>
              <w:wordWrap/>
              <w:overflowPunct/>
              <w:topLinePunct w:val="0"/>
              <w:bidi w:val="0"/>
              <w:adjustRightInd/>
              <w:snapToGrid/>
              <w:spacing w:line="240" w:lineRule="auto"/>
              <w:ind w:left="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根据投标人是否</w:t>
            </w:r>
            <w:r>
              <w:rPr>
                <w:rFonts w:hint="eastAsia" w:asciiTheme="minorEastAsia" w:hAnsiTheme="minorEastAsia" w:eastAsiaTheme="minorEastAsia" w:cstheme="minorEastAsia"/>
                <w:color w:val="auto"/>
                <w:kern w:val="2"/>
                <w:sz w:val="21"/>
                <w:szCs w:val="21"/>
                <w:highlight w:val="none"/>
                <w:lang w:val="en-US" w:eastAsia="zh-CN" w:bidi="ar-SA"/>
              </w:rPr>
              <w:t>实行层级管理体系，有本项目层级管理图，提出本项目人员配置方案，且管理人员、采集人员、信息处理人员有相应的岗位职责描述及明确的分工</w:t>
            </w:r>
            <w:r>
              <w:rPr>
                <w:rFonts w:hint="eastAsia" w:asciiTheme="minorEastAsia" w:hAnsiTheme="minorEastAsia" w:eastAsiaTheme="minorEastAsia" w:cstheme="minorEastAsia"/>
                <w:color w:val="auto"/>
                <w:sz w:val="21"/>
                <w:szCs w:val="21"/>
                <w:highlight w:val="none"/>
                <w:lang w:val="en-US" w:eastAsia="zh-CN"/>
              </w:rPr>
              <w:t>进行打分。</w:t>
            </w:r>
          </w:p>
          <w:p w14:paraId="7F02DAD6">
            <w:pPr>
              <w:keepNext w:val="0"/>
              <w:keepLines w:val="0"/>
              <w:pageBreakBefore w:val="0"/>
              <w:widowControl/>
              <w:kinsoku/>
              <w:wordWrap/>
              <w:overflowPunct/>
              <w:topLinePunct w:val="0"/>
              <w:bidi w:val="0"/>
              <w:adjustRightInd/>
              <w:snapToGrid/>
              <w:spacing w:line="240" w:lineRule="auto"/>
              <w:ind w:left="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项目组人员专业齐全，结构合理且实行层级管理体系，有层级管理图</w:t>
            </w:r>
            <w:r>
              <w:rPr>
                <w:rFonts w:hint="eastAsia" w:asciiTheme="minorEastAsia" w:hAnsiTheme="minorEastAsia" w:eastAsiaTheme="minorEastAsia" w:cstheme="minorEastAsia"/>
                <w:color w:val="auto"/>
                <w:sz w:val="21"/>
                <w:szCs w:val="21"/>
                <w:highlight w:val="none"/>
                <w:lang w:val="en-US" w:eastAsia="zh-CN"/>
              </w:rPr>
              <w:t>的得5分；</w:t>
            </w:r>
          </w:p>
          <w:p w14:paraId="11AD1CF3">
            <w:pPr>
              <w:keepNext w:val="0"/>
              <w:keepLines w:val="0"/>
              <w:pageBreakBefore w:val="0"/>
              <w:widowControl/>
              <w:kinsoku/>
              <w:wordWrap/>
              <w:overflowPunct/>
              <w:topLinePunct w:val="0"/>
              <w:bidi w:val="0"/>
              <w:adjustRightInd/>
              <w:snapToGrid/>
              <w:spacing w:line="240" w:lineRule="auto"/>
              <w:ind w:left="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项目组人员专业基本齐全，结构</w:t>
            </w:r>
            <w:r>
              <w:rPr>
                <w:rFonts w:hint="eastAsia" w:asciiTheme="minorEastAsia" w:hAnsiTheme="minorEastAsia" w:eastAsiaTheme="minorEastAsia" w:cstheme="minorEastAsia"/>
                <w:color w:val="auto"/>
                <w:szCs w:val="21"/>
                <w:highlight w:val="none"/>
              </w:rPr>
              <w:t>有不合理的地方</w:t>
            </w:r>
            <w:r>
              <w:rPr>
                <w:rFonts w:hint="eastAsia" w:asciiTheme="minorEastAsia" w:hAnsiTheme="minorEastAsia" w:eastAsiaTheme="minorEastAsia" w:cstheme="minorEastAsia"/>
                <w:color w:val="auto"/>
                <w:kern w:val="2"/>
                <w:sz w:val="21"/>
                <w:szCs w:val="21"/>
                <w:highlight w:val="none"/>
                <w:lang w:val="en-US" w:eastAsia="zh-CN" w:bidi="ar-SA"/>
              </w:rPr>
              <w:t>，实行层级管理体系，有层级管理图</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 w:val="21"/>
                <w:szCs w:val="21"/>
                <w:highlight w:val="none"/>
                <w:lang w:val="en-US" w:eastAsia="zh-CN"/>
              </w:rPr>
              <w:t>得3分；</w:t>
            </w:r>
          </w:p>
          <w:p w14:paraId="110709CB">
            <w:pPr>
              <w:keepNext w:val="0"/>
              <w:keepLines w:val="0"/>
              <w:pageBreakBefore w:val="0"/>
              <w:widowControl/>
              <w:kinsoku/>
              <w:wordWrap/>
              <w:overflowPunct/>
              <w:topLinePunct w:val="0"/>
              <w:bidi w:val="0"/>
              <w:adjustRightInd/>
              <w:snapToGrid/>
              <w:spacing w:line="240" w:lineRule="auto"/>
              <w:ind w:left="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项目组人员结构和层级管理体系简单的得1分；</w:t>
            </w:r>
          </w:p>
          <w:p w14:paraId="22D387B7">
            <w:pPr>
              <w:keepNext w:val="0"/>
              <w:keepLines w:val="0"/>
              <w:pageBreakBefore w:val="0"/>
              <w:widowControl/>
              <w:kinsoku/>
              <w:wordWrap/>
              <w:overflowPunct/>
              <w:topLinePunct w:val="0"/>
              <w:bidi w:val="0"/>
              <w:adjustRightInd/>
              <w:snapToGrid/>
              <w:spacing w:line="240" w:lineRule="auto"/>
              <w:ind w:left="0" w:leftChars="0"/>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7ABA972E">
            <w:pPr>
              <w:keepNext w:val="0"/>
              <w:keepLines w:val="0"/>
              <w:pageBreakBefore w:val="0"/>
              <w:tabs>
                <w:tab w:val="left" w:pos="780"/>
              </w:tabs>
              <w:kinsoku/>
              <w:wordWrap/>
              <w:overflowPunct/>
              <w:topLinePunct w:val="0"/>
              <w:autoSpaceDE w:val="0"/>
              <w:autoSpaceDN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650" w:type="dxa"/>
            <w:vAlign w:val="center"/>
          </w:tcPr>
          <w:p w14:paraId="67932EC9">
            <w:pPr>
              <w:keepNext w:val="0"/>
              <w:keepLines w:val="0"/>
              <w:pageBreakBefore w:val="0"/>
              <w:tabs>
                <w:tab w:val="left" w:pos="780"/>
              </w:tabs>
              <w:kinsoku/>
              <w:wordWrap/>
              <w:overflowPunct/>
              <w:topLinePunct w:val="0"/>
              <w:autoSpaceDE w:val="0"/>
              <w:autoSpaceDN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50" w:type="dxa"/>
            <w:vAlign w:val="center"/>
          </w:tcPr>
          <w:p w14:paraId="0E1D1AAE">
            <w:pPr>
              <w:keepNext w:val="0"/>
              <w:keepLines w:val="0"/>
              <w:pageBreakBefore w:val="0"/>
              <w:tabs>
                <w:tab w:val="left" w:pos="780"/>
              </w:tabs>
              <w:kinsoku/>
              <w:wordWrap/>
              <w:overflowPunct/>
              <w:topLinePunct w:val="0"/>
              <w:autoSpaceDE w:val="0"/>
              <w:autoSpaceDN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05EB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2C87D10C">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Align w:val="center"/>
          </w:tcPr>
          <w:p w14:paraId="1DF20E5D">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内部管理制度和员工考核管理办法</w:t>
            </w:r>
          </w:p>
        </w:tc>
        <w:tc>
          <w:tcPr>
            <w:tcW w:w="7291" w:type="dxa"/>
            <w:vAlign w:val="top"/>
          </w:tcPr>
          <w:p w14:paraId="3690B647">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根据投标人</w:t>
            </w:r>
            <w:r>
              <w:rPr>
                <w:rFonts w:hint="eastAsia" w:asciiTheme="minorEastAsia" w:hAnsiTheme="minorEastAsia" w:eastAsiaTheme="minorEastAsia" w:cstheme="minorEastAsia"/>
                <w:color w:val="auto"/>
                <w:sz w:val="21"/>
                <w:szCs w:val="21"/>
                <w:highlight w:val="none"/>
              </w:rPr>
              <w:t>针对本项目制定</w:t>
            </w:r>
            <w:r>
              <w:rPr>
                <w:rFonts w:hint="eastAsia" w:asciiTheme="minorEastAsia" w:hAnsiTheme="minorEastAsia" w:eastAsiaTheme="minorEastAsia" w:cstheme="minorEastAsia"/>
                <w:color w:val="auto"/>
                <w:sz w:val="21"/>
                <w:szCs w:val="21"/>
                <w:highlight w:val="none"/>
                <w:lang w:eastAsia="zh-CN"/>
              </w:rPr>
              <w:t>的</w:t>
            </w:r>
            <w:r>
              <w:rPr>
                <w:rFonts w:hint="eastAsia" w:asciiTheme="minorEastAsia" w:hAnsiTheme="minorEastAsia" w:eastAsiaTheme="minorEastAsia" w:cstheme="minorEastAsia"/>
                <w:color w:val="auto"/>
                <w:kern w:val="0"/>
                <w:sz w:val="21"/>
                <w:szCs w:val="21"/>
                <w:highlight w:val="none"/>
              </w:rPr>
              <w:t>内部管理制度和员工考核管理办法</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sz w:val="21"/>
                <w:szCs w:val="21"/>
                <w:highlight w:val="none"/>
              </w:rPr>
              <w:t>管理制度</w:t>
            </w:r>
            <w:r>
              <w:rPr>
                <w:rFonts w:hint="eastAsia" w:asciiTheme="minorEastAsia" w:hAnsiTheme="minorEastAsia" w:eastAsiaTheme="minorEastAsia" w:cstheme="minorEastAsia"/>
                <w:color w:val="auto"/>
                <w:sz w:val="21"/>
                <w:szCs w:val="21"/>
                <w:highlight w:val="none"/>
                <w:lang w:val="en-US" w:eastAsia="zh-CN"/>
              </w:rPr>
              <w:t>例如</w:t>
            </w:r>
            <w:r>
              <w:rPr>
                <w:rFonts w:hint="eastAsia" w:asciiTheme="minorEastAsia" w:hAnsiTheme="minorEastAsia" w:eastAsiaTheme="minorEastAsia" w:cstheme="minorEastAsia"/>
                <w:color w:val="auto"/>
                <w:sz w:val="21"/>
                <w:szCs w:val="21"/>
                <w:highlight w:val="none"/>
              </w:rPr>
              <w:t>行为规范、行政制度</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考核办法</w:t>
            </w:r>
            <w:r>
              <w:rPr>
                <w:rFonts w:hint="eastAsia" w:asciiTheme="minorEastAsia" w:hAnsiTheme="minorEastAsia" w:eastAsiaTheme="minorEastAsia" w:cstheme="minorEastAsia"/>
                <w:color w:val="auto"/>
                <w:sz w:val="21"/>
                <w:szCs w:val="21"/>
                <w:highlight w:val="none"/>
                <w:lang w:val="en-US" w:eastAsia="zh-CN"/>
              </w:rPr>
              <w:t>例如</w:t>
            </w:r>
            <w:r>
              <w:rPr>
                <w:rFonts w:hint="eastAsia" w:asciiTheme="minorEastAsia" w:hAnsiTheme="minorEastAsia" w:eastAsiaTheme="minorEastAsia" w:cstheme="minorEastAsia"/>
                <w:color w:val="auto"/>
                <w:sz w:val="21"/>
                <w:szCs w:val="21"/>
                <w:highlight w:val="none"/>
              </w:rPr>
              <w:t>信息采集员考核办法、</w:t>
            </w:r>
            <w:r>
              <w:rPr>
                <w:rFonts w:hint="eastAsia" w:asciiTheme="minorEastAsia" w:hAnsiTheme="minorEastAsia" w:eastAsiaTheme="minorEastAsia" w:cstheme="minorEastAsia"/>
                <w:color w:val="auto"/>
                <w:sz w:val="21"/>
                <w:szCs w:val="21"/>
                <w:highlight w:val="none"/>
                <w:lang w:eastAsia="zh-CN"/>
              </w:rPr>
              <w:t>信息处理</w:t>
            </w:r>
            <w:r>
              <w:rPr>
                <w:rFonts w:hint="eastAsia" w:asciiTheme="minorEastAsia" w:hAnsiTheme="minorEastAsia" w:eastAsiaTheme="minorEastAsia" w:cstheme="minorEastAsia"/>
                <w:color w:val="auto"/>
                <w:sz w:val="21"/>
                <w:szCs w:val="21"/>
                <w:highlight w:val="none"/>
              </w:rPr>
              <w:t>人员考核办法、管理人员考核办法</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考核办法执行制度</w:t>
            </w:r>
            <w:r>
              <w:rPr>
                <w:rFonts w:hint="eastAsia" w:asciiTheme="minorEastAsia" w:hAnsiTheme="minorEastAsia" w:eastAsiaTheme="minorEastAsia" w:cstheme="minorEastAsia"/>
                <w:color w:val="auto"/>
                <w:sz w:val="21"/>
                <w:szCs w:val="21"/>
                <w:highlight w:val="none"/>
                <w:lang w:val="en-US" w:eastAsia="zh-CN"/>
              </w:rPr>
              <w:t>例如</w:t>
            </w:r>
            <w:r>
              <w:rPr>
                <w:rFonts w:hint="eastAsia" w:asciiTheme="minorEastAsia" w:hAnsiTheme="minorEastAsia" w:eastAsiaTheme="minorEastAsia" w:cstheme="minorEastAsia"/>
                <w:color w:val="auto"/>
                <w:sz w:val="21"/>
                <w:szCs w:val="21"/>
                <w:highlight w:val="none"/>
              </w:rPr>
              <w:t>实行末位淘汰等奖优罚劣措施，保证信息管理管理人员、采集员、</w:t>
            </w:r>
            <w:r>
              <w:rPr>
                <w:rFonts w:hint="eastAsia" w:asciiTheme="minorEastAsia" w:hAnsiTheme="minorEastAsia" w:eastAsiaTheme="minorEastAsia" w:cstheme="minorEastAsia"/>
                <w:color w:val="auto"/>
                <w:sz w:val="21"/>
                <w:szCs w:val="21"/>
                <w:highlight w:val="none"/>
                <w:lang w:eastAsia="zh-CN"/>
              </w:rPr>
              <w:t>信息处理</w:t>
            </w:r>
            <w:r>
              <w:rPr>
                <w:rFonts w:hint="eastAsia" w:asciiTheme="minorEastAsia" w:hAnsiTheme="minorEastAsia" w:eastAsiaTheme="minorEastAsia" w:cstheme="minorEastAsia"/>
                <w:color w:val="auto"/>
                <w:sz w:val="21"/>
                <w:szCs w:val="21"/>
                <w:highlight w:val="none"/>
              </w:rPr>
              <w:t>人员的素质等</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进行打分</w:t>
            </w:r>
            <w:r>
              <w:rPr>
                <w:rFonts w:hint="eastAsia" w:asciiTheme="minorEastAsia" w:hAnsiTheme="minorEastAsia" w:eastAsiaTheme="minorEastAsia" w:cstheme="minorEastAsia"/>
                <w:color w:val="auto"/>
                <w:sz w:val="21"/>
                <w:szCs w:val="21"/>
                <w:highlight w:val="none"/>
              </w:rPr>
              <w:t>。</w:t>
            </w:r>
          </w:p>
          <w:p w14:paraId="36F76A5A">
            <w:pPr>
              <w:keepNext w:val="0"/>
              <w:keepLines w:val="0"/>
              <w:pageBreakBefore w:val="0"/>
              <w:tabs>
                <w:tab w:val="left" w:pos="2061"/>
              </w:tabs>
              <w:kinsoku/>
              <w:wordWrap/>
              <w:overflowPunct/>
              <w:topLinePunct w:val="0"/>
              <w:bidi w:val="0"/>
              <w:adjustRightInd/>
              <w:snapToGrid/>
              <w:spacing w:line="240" w:lineRule="auto"/>
              <w:ind w:left="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21"/>
                <w:highlight w:val="none"/>
                <w:lang w:eastAsia="zh-CN"/>
              </w:rPr>
              <w:t>各类</w:t>
            </w:r>
            <w:r>
              <w:rPr>
                <w:rFonts w:hint="eastAsia" w:asciiTheme="minorEastAsia" w:hAnsiTheme="minorEastAsia" w:eastAsiaTheme="minorEastAsia" w:cstheme="minorEastAsia"/>
                <w:color w:val="auto"/>
                <w:sz w:val="21"/>
                <w:szCs w:val="21"/>
                <w:highlight w:val="none"/>
              </w:rPr>
              <w:t>管理制度</w:t>
            </w:r>
            <w:r>
              <w:rPr>
                <w:rFonts w:hint="eastAsia" w:asciiTheme="minorEastAsia" w:hAnsiTheme="minorEastAsia" w:eastAsiaTheme="minorEastAsia" w:cstheme="minorEastAsia"/>
                <w:color w:val="auto"/>
                <w:sz w:val="21"/>
                <w:szCs w:val="21"/>
                <w:highlight w:val="none"/>
                <w:lang w:eastAsia="zh-CN"/>
              </w:rPr>
              <w:t>、考核办法</w:t>
            </w:r>
            <w:r>
              <w:rPr>
                <w:rFonts w:hint="eastAsia" w:asciiTheme="minorEastAsia" w:hAnsiTheme="minorEastAsia" w:eastAsiaTheme="minorEastAsia" w:cstheme="minorEastAsia"/>
                <w:color w:val="auto"/>
                <w:szCs w:val="21"/>
                <w:highlight w:val="none"/>
              </w:rPr>
              <w:t>合理、可行、先进的得</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w:t>
            </w:r>
          </w:p>
          <w:p w14:paraId="2560F389">
            <w:pPr>
              <w:keepNext w:val="0"/>
              <w:keepLines w:val="0"/>
              <w:pageBreakBefore w:val="0"/>
              <w:tabs>
                <w:tab w:val="left" w:pos="2061"/>
              </w:tabs>
              <w:kinsoku/>
              <w:wordWrap/>
              <w:overflowPunct/>
              <w:topLinePunct w:val="0"/>
              <w:bidi w:val="0"/>
              <w:adjustRightInd/>
              <w:snapToGrid/>
              <w:spacing w:line="240" w:lineRule="auto"/>
              <w:ind w:left="0"/>
              <w:textAlignment w:val="auto"/>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各类</w:t>
            </w:r>
            <w:r>
              <w:rPr>
                <w:rFonts w:hint="eastAsia" w:asciiTheme="minorEastAsia" w:hAnsiTheme="minorEastAsia" w:eastAsiaTheme="minorEastAsia" w:cstheme="minorEastAsia"/>
                <w:color w:val="auto"/>
                <w:sz w:val="21"/>
                <w:szCs w:val="21"/>
                <w:highlight w:val="none"/>
              </w:rPr>
              <w:t>管理制度</w:t>
            </w:r>
            <w:r>
              <w:rPr>
                <w:rFonts w:hint="eastAsia" w:asciiTheme="minorEastAsia" w:hAnsiTheme="minorEastAsia" w:eastAsiaTheme="minorEastAsia" w:cstheme="minorEastAsia"/>
                <w:color w:val="auto"/>
                <w:sz w:val="21"/>
                <w:szCs w:val="21"/>
                <w:highlight w:val="none"/>
                <w:lang w:eastAsia="zh-CN"/>
              </w:rPr>
              <w:t>、考核办法</w:t>
            </w:r>
            <w:r>
              <w:rPr>
                <w:rFonts w:hint="eastAsia" w:asciiTheme="minorEastAsia" w:hAnsiTheme="minorEastAsia" w:eastAsiaTheme="minorEastAsia" w:cstheme="minorEastAsia"/>
                <w:color w:val="auto"/>
                <w:szCs w:val="21"/>
                <w:highlight w:val="none"/>
              </w:rPr>
              <w:t>可行但有不合理的地方的得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2B91C2E3">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各类</w:t>
            </w:r>
            <w:r>
              <w:rPr>
                <w:rFonts w:hint="eastAsia" w:asciiTheme="minorEastAsia" w:hAnsiTheme="minorEastAsia" w:eastAsiaTheme="minorEastAsia" w:cstheme="minorEastAsia"/>
                <w:color w:val="auto"/>
                <w:sz w:val="21"/>
                <w:szCs w:val="21"/>
                <w:highlight w:val="none"/>
                <w:lang w:val="en-US" w:eastAsia="zh-CN"/>
              </w:rPr>
              <w:t>管理制度、</w:t>
            </w:r>
            <w:r>
              <w:rPr>
                <w:rFonts w:hint="eastAsia" w:asciiTheme="minorEastAsia" w:hAnsiTheme="minorEastAsia" w:eastAsiaTheme="minorEastAsia" w:cstheme="minorEastAsia"/>
                <w:color w:val="auto"/>
                <w:sz w:val="21"/>
                <w:szCs w:val="21"/>
                <w:highlight w:val="none"/>
                <w:lang w:eastAsia="zh-CN"/>
              </w:rPr>
              <w:t>考核办法</w:t>
            </w:r>
            <w:r>
              <w:rPr>
                <w:rFonts w:hint="eastAsia" w:asciiTheme="minorEastAsia" w:hAnsiTheme="minorEastAsia" w:eastAsiaTheme="minorEastAsia" w:cstheme="minorEastAsia"/>
                <w:color w:val="auto"/>
                <w:sz w:val="21"/>
                <w:szCs w:val="21"/>
                <w:highlight w:val="none"/>
                <w:lang w:val="en-US" w:eastAsia="zh-CN"/>
              </w:rPr>
              <w:t>基本提及的得1分；</w:t>
            </w:r>
          </w:p>
          <w:p w14:paraId="4FB8BA57">
            <w:pPr>
              <w:keepNext w:val="0"/>
              <w:keepLines w:val="0"/>
              <w:pageBreakBefore w:val="0"/>
              <w:tabs>
                <w:tab w:val="left" w:pos="2061"/>
              </w:tabs>
              <w:kinsoku/>
              <w:wordWrap/>
              <w:overflowPunct/>
              <w:topLinePunct w:val="0"/>
              <w:bidi w:val="0"/>
              <w:adjustRightInd/>
              <w:snapToGrid/>
              <w:spacing w:line="240" w:lineRule="auto"/>
              <w:ind w:left="0" w:left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45225E58">
            <w:pPr>
              <w:keepNext w:val="0"/>
              <w:keepLines w:val="0"/>
              <w:pageBreakBefore w:val="0"/>
              <w:tabs>
                <w:tab w:val="left" w:pos="780"/>
              </w:tabs>
              <w:kinsoku/>
              <w:wordWrap/>
              <w:overflowPunct/>
              <w:topLinePunct w:val="0"/>
              <w:autoSpaceDE w:val="0"/>
              <w:autoSpaceDN w:val="0"/>
              <w:bidi w:val="0"/>
              <w:adjustRightInd/>
              <w:snapToGrid/>
              <w:spacing w:line="240" w:lineRule="auto"/>
              <w:ind w:left="0" w:left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650" w:type="dxa"/>
            <w:vAlign w:val="center"/>
          </w:tcPr>
          <w:p w14:paraId="205DF579">
            <w:pPr>
              <w:keepNext w:val="0"/>
              <w:keepLines w:val="0"/>
              <w:pageBreakBefore w:val="0"/>
              <w:tabs>
                <w:tab w:val="left" w:pos="780"/>
              </w:tabs>
              <w:kinsoku/>
              <w:wordWrap/>
              <w:overflowPunct/>
              <w:topLinePunct w:val="0"/>
              <w:autoSpaceDE w:val="0"/>
              <w:autoSpaceDN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50" w:type="dxa"/>
            <w:vAlign w:val="center"/>
          </w:tcPr>
          <w:p w14:paraId="5807323B">
            <w:pPr>
              <w:keepNext w:val="0"/>
              <w:keepLines w:val="0"/>
              <w:pageBreakBefore w:val="0"/>
              <w:tabs>
                <w:tab w:val="left" w:pos="780"/>
              </w:tabs>
              <w:kinsoku/>
              <w:wordWrap/>
              <w:overflowPunct/>
              <w:topLinePunct w:val="0"/>
              <w:autoSpaceDE w:val="0"/>
              <w:autoSpaceDN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6534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7A509F9C">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Merge w:val="restart"/>
            <w:vAlign w:val="center"/>
          </w:tcPr>
          <w:p w14:paraId="2CBB74E2">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业务实施方案</w:t>
            </w:r>
          </w:p>
        </w:tc>
        <w:tc>
          <w:tcPr>
            <w:tcW w:w="7291" w:type="dxa"/>
            <w:vAlign w:val="top"/>
          </w:tcPr>
          <w:p w14:paraId="24860220">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根据投标人阐述本项目</w:t>
            </w:r>
            <w:r>
              <w:rPr>
                <w:rFonts w:hint="eastAsia" w:asciiTheme="minorEastAsia" w:hAnsiTheme="minorEastAsia" w:eastAsiaTheme="minorEastAsia" w:cstheme="minorEastAsia"/>
                <w:color w:val="auto"/>
                <w:kern w:val="0"/>
                <w:sz w:val="21"/>
                <w:szCs w:val="21"/>
                <w:highlight w:val="none"/>
                <w:lang w:val="en-US" w:eastAsia="zh-CN"/>
              </w:rPr>
              <w:t>智慧</w:t>
            </w:r>
            <w:r>
              <w:rPr>
                <w:rFonts w:hint="eastAsia" w:asciiTheme="minorEastAsia" w:hAnsiTheme="minorEastAsia" w:eastAsiaTheme="minorEastAsia" w:cstheme="minorEastAsia"/>
                <w:color w:val="auto"/>
                <w:sz w:val="21"/>
                <w:szCs w:val="21"/>
                <w:highlight w:val="none"/>
                <w:lang w:val="en-US" w:eastAsia="zh-CN"/>
              </w:rPr>
              <w:t>城管信息采集和信息处理工作重要性、理解和认识进行打分。</w:t>
            </w:r>
          </w:p>
          <w:p w14:paraId="633E1ED9">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能准确阐述对</w:t>
            </w:r>
            <w:r>
              <w:rPr>
                <w:rFonts w:hint="eastAsia" w:asciiTheme="minorEastAsia" w:hAnsiTheme="minorEastAsia" w:eastAsiaTheme="minorEastAsia" w:cstheme="minorEastAsia"/>
                <w:color w:val="auto"/>
                <w:kern w:val="0"/>
                <w:sz w:val="21"/>
                <w:szCs w:val="21"/>
                <w:highlight w:val="none"/>
                <w:lang w:val="en-US" w:eastAsia="zh-CN"/>
              </w:rPr>
              <w:t>智慧</w:t>
            </w:r>
            <w:r>
              <w:rPr>
                <w:rFonts w:hint="eastAsia" w:asciiTheme="minorEastAsia" w:hAnsiTheme="minorEastAsia" w:eastAsiaTheme="minorEastAsia" w:cstheme="minorEastAsia"/>
                <w:color w:val="auto"/>
                <w:sz w:val="21"/>
                <w:szCs w:val="21"/>
                <w:highlight w:val="none"/>
                <w:lang w:val="en-US" w:eastAsia="zh-CN"/>
              </w:rPr>
              <w:t>城管信息采集和信息处理工作的理解和认识的得3分；</w:t>
            </w:r>
          </w:p>
          <w:p w14:paraId="67401FE6">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较为准确阐述对</w:t>
            </w:r>
            <w:r>
              <w:rPr>
                <w:rFonts w:hint="eastAsia" w:asciiTheme="minorEastAsia" w:hAnsiTheme="minorEastAsia" w:eastAsiaTheme="minorEastAsia" w:cstheme="minorEastAsia"/>
                <w:color w:val="auto"/>
                <w:kern w:val="0"/>
                <w:sz w:val="21"/>
                <w:szCs w:val="21"/>
                <w:highlight w:val="none"/>
                <w:lang w:val="en-US" w:eastAsia="zh-CN"/>
              </w:rPr>
              <w:t>智慧</w:t>
            </w:r>
            <w:r>
              <w:rPr>
                <w:rFonts w:hint="eastAsia" w:asciiTheme="minorEastAsia" w:hAnsiTheme="minorEastAsia" w:eastAsiaTheme="minorEastAsia" w:cstheme="minorEastAsia"/>
                <w:color w:val="auto"/>
                <w:sz w:val="21"/>
                <w:szCs w:val="21"/>
                <w:highlight w:val="none"/>
                <w:lang w:val="en-US" w:eastAsia="zh-CN"/>
              </w:rPr>
              <w:t>城管信息采集和信息处理工作的理解和认识的得2分；</w:t>
            </w:r>
          </w:p>
          <w:p w14:paraId="0E060D3F">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不能准确阐述对</w:t>
            </w:r>
            <w:r>
              <w:rPr>
                <w:rFonts w:hint="eastAsia" w:asciiTheme="minorEastAsia" w:hAnsiTheme="minorEastAsia" w:eastAsiaTheme="minorEastAsia" w:cstheme="minorEastAsia"/>
                <w:color w:val="auto"/>
                <w:kern w:val="0"/>
                <w:sz w:val="21"/>
                <w:szCs w:val="21"/>
                <w:highlight w:val="none"/>
                <w:lang w:val="en-US" w:eastAsia="zh-CN"/>
              </w:rPr>
              <w:t>智慧</w:t>
            </w:r>
            <w:r>
              <w:rPr>
                <w:rFonts w:hint="eastAsia" w:asciiTheme="minorEastAsia" w:hAnsiTheme="minorEastAsia" w:eastAsiaTheme="minorEastAsia" w:cstheme="minorEastAsia"/>
                <w:color w:val="auto"/>
                <w:sz w:val="21"/>
                <w:szCs w:val="21"/>
                <w:highlight w:val="none"/>
                <w:lang w:val="en-US" w:eastAsia="zh-CN"/>
              </w:rPr>
              <w:t>城管信息采集和信息处理工作的理解和认识的得1分；</w:t>
            </w:r>
          </w:p>
          <w:p w14:paraId="0EF365D3">
            <w:pPr>
              <w:keepNext w:val="0"/>
              <w:keepLines w:val="0"/>
              <w:pageBreakBefore w:val="0"/>
              <w:tabs>
                <w:tab w:val="left" w:pos="2061"/>
              </w:tabs>
              <w:kinsoku/>
              <w:wordWrap/>
              <w:overflowPunct/>
              <w:topLinePunct w:val="0"/>
              <w:bidi w:val="0"/>
              <w:adjustRightInd/>
              <w:snapToGrid/>
              <w:spacing w:line="240" w:lineRule="auto"/>
              <w:ind w:left="0" w:lef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1AFAF39C">
            <w:pPr>
              <w:keepNext w:val="0"/>
              <w:keepLines w:val="0"/>
              <w:pageBreakBefore w:val="0"/>
              <w:kinsoku/>
              <w:wordWrap/>
              <w:overflowPunct/>
              <w:topLinePunct w:val="0"/>
              <w:autoSpaceDE w:val="0"/>
              <w:autoSpaceDN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650" w:type="dxa"/>
            <w:vAlign w:val="center"/>
          </w:tcPr>
          <w:p w14:paraId="1D0E7537">
            <w:pPr>
              <w:keepNext w:val="0"/>
              <w:keepLines w:val="0"/>
              <w:pageBreakBefore w:val="0"/>
              <w:kinsoku/>
              <w:wordWrap/>
              <w:overflowPunct/>
              <w:topLinePunct w:val="0"/>
              <w:autoSpaceDE w:val="0"/>
              <w:autoSpaceDN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50" w:type="dxa"/>
            <w:vAlign w:val="center"/>
          </w:tcPr>
          <w:p w14:paraId="0693EAEC">
            <w:pPr>
              <w:keepNext w:val="0"/>
              <w:keepLines w:val="0"/>
              <w:pageBreakBefore w:val="0"/>
              <w:kinsoku/>
              <w:wordWrap/>
              <w:overflowPunct/>
              <w:topLinePunct w:val="0"/>
              <w:autoSpaceDE w:val="0"/>
              <w:autoSpaceDN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0CCB7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73ACAAAF">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Merge w:val="continue"/>
            <w:vAlign w:val="center"/>
          </w:tcPr>
          <w:p w14:paraId="21448133">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kern w:val="0"/>
                <w:sz w:val="21"/>
                <w:szCs w:val="21"/>
                <w:highlight w:val="none"/>
              </w:rPr>
            </w:pPr>
          </w:p>
        </w:tc>
        <w:tc>
          <w:tcPr>
            <w:tcW w:w="7291" w:type="dxa"/>
            <w:vAlign w:val="top"/>
          </w:tcPr>
          <w:p w14:paraId="25779974">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根据投标人提供</w:t>
            </w:r>
            <w:r>
              <w:rPr>
                <w:rFonts w:hint="eastAsia" w:asciiTheme="minorEastAsia" w:hAnsiTheme="minorEastAsia" w:eastAsiaTheme="minorEastAsia" w:cstheme="minorEastAsia"/>
                <w:color w:val="auto"/>
                <w:kern w:val="0"/>
                <w:sz w:val="21"/>
                <w:szCs w:val="21"/>
                <w:highlight w:val="none"/>
                <w:lang w:val="en-US" w:eastAsia="zh-CN"/>
              </w:rPr>
              <w:t>智慧</w:t>
            </w:r>
            <w:r>
              <w:rPr>
                <w:rFonts w:hint="eastAsia" w:asciiTheme="minorEastAsia" w:hAnsiTheme="minorEastAsia" w:eastAsiaTheme="minorEastAsia" w:cstheme="minorEastAsia"/>
                <w:color w:val="auto"/>
                <w:sz w:val="21"/>
                <w:szCs w:val="21"/>
                <w:highlight w:val="none"/>
                <w:lang w:val="en-US" w:eastAsia="zh-CN"/>
              </w:rPr>
              <w:t>城市管理覆盖范围内部件数据及地理编码的动态更新服务，确保掌握城市管理部件状态，实现精确定位、准确派遣情况，提出部件动态及地理编码更新目标、方法、流程、相关技术支撑等技术方案；提出部件及地理编码动态更新实施方案进行打分。</w:t>
            </w:r>
          </w:p>
          <w:p w14:paraId="4BA946D0">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内容明确、针对性强、方法科学且应对措施完善的得5分；</w:t>
            </w:r>
          </w:p>
          <w:p w14:paraId="3FE7B401">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内容比较明确、针对性比较强、方法科学且应对措施比较完善的得3分；</w:t>
            </w:r>
          </w:p>
          <w:p w14:paraId="4FFDF09A">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分析不到位不明确且应对措施不完善的得1分；</w:t>
            </w:r>
          </w:p>
          <w:p w14:paraId="7D1162EC">
            <w:pPr>
              <w:keepNext w:val="0"/>
              <w:keepLines w:val="0"/>
              <w:pageBreakBefore w:val="0"/>
              <w:tabs>
                <w:tab w:val="left" w:pos="2061"/>
              </w:tabs>
              <w:kinsoku/>
              <w:wordWrap/>
              <w:overflowPunct/>
              <w:topLinePunct w:val="0"/>
              <w:bidi w:val="0"/>
              <w:adjustRightInd/>
              <w:snapToGrid/>
              <w:spacing w:line="240" w:lineRule="auto"/>
              <w:ind w:left="0" w:lef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52F630CD">
            <w:pPr>
              <w:keepNext w:val="0"/>
              <w:keepLines w:val="0"/>
              <w:pageBreakBefore w:val="0"/>
              <w:kinsoku/>
              <w:wordWrap/>
              <w:overflowPunct/>
              <w:topLinePunct w:val="0"/>
              <w:autoSpaceDE w:val="0"/>
              <w:autoSpaceDN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650" w:type="dxa"/>
            <w:vAlign w:val="center"/>
          </w:tcPr>
          <w:p w14:paraId="174FF157">
            <w:pPr>
              <w:keepNext w:val="0"/>
              <w:keepLines w:val="0"/>
              <w:pageBreakBefore w:val="0"/>
              <w:kinsoku/>
              <w:wordWrap/>
              <w:overflowPunct/>
              <w:topLinePunct w:val="0"/>
              <w:autoSpaceDE w:val="0"/>
              <w:autoSpaceDN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50" w:type="dxa"/>
            <w:vAlign w:val="center"/>
          </w:tcPr>
          <w:p w14:paraId="5AC0B526">
            <w:pPr>
              <w:keepNext w:val="0"/>
              <w:keepLines w:val="0"/>
              <w:pageBreakBefore w:val="0"/>
              <w:kinsoku/>
              <w:wordWrap/>
              <w:overflowPunct/>
              <w:topLinePunct w:val="0"/>
              <w:autoSpaceDE w:val="0"/>
              <w:autoSpaceDN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30AD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1B3159F0">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Merge w:val="continue"/>
            <w:vAlign w:val="center"/>
          </w:tcPr>
          <w:p w14:paraId="6956C26A">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kern w:val="0"/>
                <w:sz w:val="21"/>
                <w:szCs w:val="21"/>
                <w:highlight w:val="none"/>
              </w:rPr>
            </w:pPr>
          </w:p>
        </w:tc>
        <w:tc>
          <w:tcPr>
            <w:tcW w:w="7291" w:type="dxa"/>
            <w:vAlign w:val="top"/>
          </w:tcPr>
          <w:p w14:paraId="705C0595">
            <w:pPr>
              <w:keepNext w:val="0"/>
              <w:keepLines w:val="0"/>
              <w:pageBreakBefore w:val="0"/>
              <w:tabs>
                <w:tab w:val="left" w:pos="2061"/>
              </w:tabs>
              <w:kinsoku/>
              <w:wordWrap/>
              <w:overflowPunct/>
              <w:topLinePunct w:val="0"/>
              <w:bidi w:val="0"/>
              <w:adjustRightInd/>
              <w:snapToGrid/>
              <w:spacing w:line="240" w:lineRule="auto"/>
              <w:ind w:left="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要求阐述关于本项目片区智慧城管信息采集服务方面的实施现状，存在的问题及关键点，并进行准确分析阐述提出有针对性的合理建议。根据投标人的阐述内容进行打分。</w:t>
            </w:r>
          </w:p>
          <w:p w14:paraId="4A49756E">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建议分析符合实际，科学合理，贴合项目现状的得3分；</w:t>
            </w:r>
          </w:p>
          <w:p w14:paraId="2D088654">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建议分析基本符合，基本科学合理，基本满足项目需求的得2分；</w:t>
            </w:r>
          </w:p>
          <w:p w14:paraId="77DBAEE3">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对项目现状了解有待加强，建议分析有待完善的得1分；</w:t>
            </w:r>
          </w:p>
          <w:p w14:paraId="1830CFF6">
            <w:pPr>
              <w:keepNext w:val="0"/>
              <w:keepLines w:val="0"/>
              <w:pageBreakBefore w:val="0"/>
              <w:tabs>
                <w:tab w:val="left" w:pos="2061"/>
              </w:tabs>
              <w:kinsoku/>
              <w:wordWrap/>
              <w:overflowPunct/>
              <w:topLinePunct w:val="0"/>
              <w:bidi w:val="0"/>
              <w:adjustRightInd/>
              <w:snapToGrid/>
              <w:spacing w:line="240" w:lineRule="auto"/>
              <w:ind w:left="0" w:lef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52EA6086">
            <w:pPr>
              <w:keepNext w:val="0"/>
              <w:keepLines w:val="0"/>
              <w:pageBreakBefore w:val="0"/>
              <w:kinsoku/>
              <w:wordWrap/>
              <w:overflowPunct/>
              <w:topLinePunct w:val="0"/>
              <w:autoSpaceDE w:val="0"/>
              <w:autoSpaceDN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650" w:type="dxa"/>
            <w:vAlign w:val="center"/>
          </w:tcPr>
          <w:p w14:paraId="2B0E7441">
            <w:pPr>
              <w:keepNext w:val="0"/>
              <w:keepLines w:val="0"/>
              <w:pageBreakBefore w:val="0"/>
              <w:kinsoku/>
              <w:wordWrap/>
              <w:overflowPunct/>
              <w:topLinePunct w:val="0"/>
              <w:autoSpaceDE w:val="0"/>
              <w:autoSpaceDN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50" w:type="dxa"/>
            <w:vAlign w:val="center"/>
          </w:tcPr>
          <w:p w14:paraId="2BE1B34B">
            <w:pPr>
              <w:keepNext w:val="0"/>
              <w:keepLines w:val="0"/>
              <w:pageBreakBefore w:val="0"/>
              <w:kinsoku/>
              <w:wordWrap/>
              <w:overflowPunct/>
              <w:topLinePunct w:val="0"/>
              <w:autoSpaceDE w:val="0"/>
              <w:autoSpaceDN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16C3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5FF8D9B0">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Merge w:val="continue"/>
            <w:vAlign w:val="center"/>
          </w:tcPr>
          <w:p w14:paraId="273DC0B4">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kern w:val="0"/>
                <w:sz w:val="21"/>
                <w:szCs w:val="21"/>
                <w:highlight w:val="none"/>
              </w:rPr>
            </w:pPr>
          </w:p>
        </w:tc>
        <w:tc>
          <w:tcPr>
            <w:tcW w:w="7291" w:type="dxa"/>
            <w:vAlign w:val="top"/>
          </w:tcPr>
          <w:p w14:paraId="1F5C016B">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根据投标人提供</w:t>
            </w:r>
            <w:r>
              <w:rPr>
                <w:rFonts w:hint="eastAsia" w:asciiTheme="minorEastAsia" w:hAnsiTheme="minorEastAsia" w:eastAsiaTheme="minorEastAsia" w:cstheme="minorEastAsia"/>
                <w:color w:val="auto"/>
                <w:kern w:val="0"/>
                <w:sz w:val="21"/>
                <w:szCs w:val="21"/>
                <w:highlight w:val="none"/>
                <w:lang w:val="en-US" w:eastAsia="zh-CN"/>
              </w:rPr>
              <w:t>智慧</w:t>
            </w:r>
            <w:r>
              <w:rPr>
                <w:rFonts w:hint="eastAsia" w:asciiTheme="minorEastAsia" w:hAnsiTheme="minorEastAsia" w:eastAsiaTheme="minorEastAsia" w:cstheme="minorEastAsia"/>
                <w:color w:val="auto"/>
                <w:sz w:val="21"/>
                <w:szCs w:val="21"/>
                <w:highlight w:val="none"/>
                <w:lang w:val="en-US" w:eastAsia="zh-CN"/>
              </w:rPr>
              <w:t>城管运行情况分析，数据趋势分析服务，每月提交</w:t>
            </w:r>
            <w:r>
              <w:rPr>
                <w:rFonts w:hint="eastAsia" w:asciiTheme="minorEastAsia" w:hAnsiTheme="minorEastAsia" w:eastAsiaTheme="minorEastAsia" w:cstheme="minorEastAsia"/>
                <w:color w:val="auto"/>
                <w:kern w:val="0"/>
                <w:sz w:val="21"/>
                <w:szCs w:val="21"/>
                <w:highlight w:val="none"/>
                <w:lang w:val="en-US" w:eastAsia="zh-CN"/>
              </w:rPr>
              <w:t>智慧</w:t>
            </w:r>
            <w:r>
              <w:rPr>
                <w:rFonts w:hint="eastAsia" w:asciiTheme="minorEastAsia" w:hAnsiTheme="minorEastAsia" w:eastAsiaTheme="minorEastAsia" w:cstheme="minorEastAsia"/>
                <w:color w:val="auto"/>
                <w:sz w:val="21"/>
                <w:szCs w:val="21"/>
                <w:highlight w:val="none"/>
                <w:lang w:val="en-US" w:eastAsia="zh-CN"/>
              </w:rPr>
              <w:t>城管工作运行报告，以及数据收集、分析执行流程进行打分。</w:t>
            </w:r>
          </w:p>
          <w:p w14:paraId="3084EE23">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内容的思路明确、针对性强、方法科学的得3分；</w:t>
            </w:r>
          </w:p>
          <w:p w14:paraId="5E56503E">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内容的思路比较明确、针对性比较强、方法比较科学的得2分；</w:t>
            </w:r>
          </w:p>
          <w:p w14:paraId="7F3C7778">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思路模糊、无针对性、方法不科学的得1分；</w:t>
            </w:r>
          </w:p>
          <w:p w14:paraId="4E1DFED4">
            <w:pPr>
              <w:keepNext w:val="0"/>
              <w:keepLines w:val="0"/>
              <w:pageBreakBefore w:val="0"/>
              <w:tabs>
                <w:tab w:val="left" w:pos="2061"/>
              </w:tabs>
              <w:kinsoku/>
              <w:wordWrap/>
              <w:overflowPunct/>
              <w:topLinePunct w:val="0"/>
              <w:bidi w:val="0"/>
              <w:adjustRightInd/>
              <w:snapToGrid/>
              <w:spacing w:line="240" w:lineRule="auto"/>
              <w:ind w:left="0" w:lef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2E709694">
            <w:pPr>
              <w:keepNext w:val="0"/>
              <w:keepLines w:val="0"/>
              <w:pageBreakBefore w:val="0"/>
              <w:kinsoku/>
              <w:wordWrap/>
              <w:overflowPunct/>
              <w:topLinePunct w:val="0"/>
              <w:autoSpaceDE w:val="0"/>
              <w:autoSpaceDN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650" w:type="dxa"/>
            <w:vAlign w:val="center"/>
          </w:tcPr>
          <w:p w14:paraId="0E88FD88">
            <w:pPr>
              <w:keepNext w:val="0"/>
              <w:keepLines w:val="0"/>
              <w:pageBreakBefore w:val="0"/>
              <w:kinsoku/>
              <w:wordWrap/>
              <w:overflowPunct/>
              <w:topLinePunct w:val="0"/>
              <w:autoSpaceDE w:val="0"/>
              <w:autoSpaceDN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50" w:type="dxa"/>
            <w:vAlign w:val="center"/>
          </w:tcPr>
          <w:p w14:paraId="7D934670">
            <w:pPr>
              <w:keepNext w:val="0"/>
              <w:keepLines w:val="0"/>
              <w:pageBreakBefore w:val="0"/>
              <w:kinsoku/>
              <w:wordWrap/>
              <w:overflowPunct/>
              <w:topLinePunct w:val="0"/>
              <w:autoSpaceDE w:val="0"/>
              <w:autoSpaceDN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5CF9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47F353DA">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Merge w:val="continue"/>
            <w:vAlign w:val="center"/>
          </w:tcPr>
          <w:p w14:paraId="038E5287">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kern w:val="0"/>
                <w:sz w:val="21"/>
                <w:szCs w:val="21"/>
                <w:highlight w:val="none"/>
              </w:rPr>
            </w:pPr>
          </w:p>
        </w:tc>
        <w:tc>
          <w:tcPr>
            <w:tcW w:w="7291" w:type="dxa"/>
            <w:vAlign w:val="top"/>
          </w:tcPr>
          <w:p w14:paraId="1154D5A0">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根据投标人对项目背景和现状以及对本地区的了解程度和路线熟悉情况，提供合理的区域划分和巡查密度的设定，实现区域全覆盖进行打分。</w:t>
            </w:r>
          </w:p>
          <w:p w14:paraId="7F86317D">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内容清晰、全面，合理可行的得4分；</w:t>
            </w:r>
          </w:p>
          <w:p w14:paraId="1A51F39D">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内容清晰度一般、基本全面，合理可行性一般的得2分；</w:t>
            </w:r>
          </w:p>
          <w:p w14:paraId="7FBD98AC">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内容不合理，可行性差的得1分；</w:t>
            </w:r>
          </w:p>
          <w:p w14:paraId="571F092D">
            <w:pPr>
              <w:keepNext w:val="0"/>
              <w:keepLines w:val="0"/>
              <w:pageBreakBefore w:val="0"/>
              <w:tabs>
                <w:tab w:val="left" w:pos="2061"/>
              </w:tabs>
              <w:kinsoku/>
              <w:wordWrap/>
              <w:overflowPunct/>
              <w:topLinePunct w:val="0"/>
              <w:bidi w:val="0"/>
              <w:adjustRightInd/>
              <w:snapToGrid/>
              <w:spacing w:line="240" w:lineRule="auto"/>
              <w:ind w:left="0" w:lef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1C5024EF">
            <w:pPr>
              <w:keepNext w:val="0"/>
              <w:keepLines w:val="0"/>
              <w:pageBreakBefore w:val="0"/>
              <w:kinsoku/>
              <w:wordWrap/>
              <w:overflowPunct/>
              <w:topLinePunct w:val="0"/>
              <w:autoSpaceDE w:val="0"/>
              <w:autoSpaceDN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650" w:type="dxa"/>
            <w:vAlign w:val="center"/>
          </w:tcPr>
          <w:p w14:paraId="3F1180B6">
            <w:pPr>
              <w:keepNext w:val="0"/>
              <w:keepLines w:val="0"/>
              <w:pageBreakBefore w:val="0"/>
              <w:kinsoku/>
              <w:wordWrap/>
              <w:overflowPunct/>
              <w:topLinePunct w:val="0"/>
              <w:autoSpaceDE w:val="0"/>
              <w:autoSpaceDN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50" w:type="dxa"/>
            <w:vAlign w:val="center"/>
          </w:tcPr>
          <w:p w14:paraId="2CF1A3C2">
            <w:pPr>
              <w:keepNext w:val="0"/>
              <w:keepLines w:val="0"/>
              <w:pageBreakBefore w:val="0"/>
              <w:kinsoku/>
              <w:wordWrap/>
              <w:overflowPunct/>
              <w:topLinePunct w:val="0"/>
              <w:autoSpaceDE w:val="0"/>
              <w:autoSpaceDN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7AA7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2198D52E">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Merge w:val="continue"/>
            <w:vAlign w:val="center"/>
          </w:tcPr>
          <w:p w14:paraId="5C1079EE">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kern w:val="0"/>
                <w:sz w:val="21"/>
                <w:szCs w:val="21"/>
                <w:highlight w:val="none"/>
              </w:rPr>
            </w:pPr>
          </w:p>
        </w:tc>
        <w:tc>
          <w:tcPr>
            <w:tcW w:w="7291" w:type="dxa"/>
            <w:vAlign w:val="top"/>
          </w:tcPr>
          <w:p w14:paraId="60F20FCD">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根据投标人针对本项目建立信息采集上、下班以及相关工作流程进行打分。</w:t>
            </w:r>
          </w:p>
          <w:p w14:paraId="19808E0B">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适用本项目需求的得2分；</w:t>
            </w:r>
          </w:p>
          <w:p w14:paraId="6710FBC0">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基本满足本项目需求的得1分；</w:t>
            </w:r>
          </w:p>
          <w:p w14:paraId="49A4464C">
            <w:pPr>
              <w:keepNext w:val="0"/>
              <w:keepLines w:val="0"/>
              <w:pageBreakBefore w:val="0"/>
              <w:tabs>
                <w:tab w:val="left" w:pos="2061"/>
              </w:tabs>
              <w:kinsoku/>
              <w:wordWrap/>
              <w:overflowPunct/>
              <w:topLinePunct w:val="0"/>
              <w:bidi w:val="0"/>
              <w:adjustRightInd/>
              <w:snapToGrid/>
              <w:spacing w:line="240" w:lineRule="auto"/>
              <w:ind w:left="0" w:leftChars="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20F36631">
            <w:pPr>
              <w:keepNext w:val="0"/>
              <w:keepLines w:val="0"/>
              <w:pageBreakBefore w:val="0"/>
              <w:kinsoku/>
              <w:wordWrap/>
              <w:overflowPunct/>
              <w:topLinePunct w:val="0"/>
              <w:autoSpaceDE w:val="0"/>
              <w:autoSpaceDN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650" w:type="dxa"/>
            <w:vAlign w:val="center"/>
          </w:tcPr>
          <w:p w14:paraId="4796B0C1">
            <w:pPr>
              <w:keepNext w:val="0"/>
              <w:keepLines w:val="0"/>
              <w:pageBreakBefore w:val="0"/>
              <w:kinsoku/>
              <w:wordWrap/>
              <w:overflowPunct/>
              <w:topLinePunct w:val="0"/>
              <w:autoSpaceDE w:val="0"/>
              <w:autoSpaceDN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50" w:type="dxa"/>
            <w:vAlign w:val="center"/>
          </w:tcPr>
          <w:p w14:paraId="561B356C">
            <w:pPr>
              <w:keepNext w:val="0"/>
              <w:keepLines w:val="0"/>
              <w:pageBreakBefore w:val="0"/>
              <w:kinsoku/>
              <w:wordWrap/>
              <w:overflowPunct/>
              <w:topLinePunct w:val="0"/>
              <w:autoSpaceDE w:val="0"/>
              <w:autoSpaceDN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5D46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3A2327ED">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Merge w:val="continue"/>
            <w:vAlign w:val="center"/>
          </w:tcPr>
          <w:p w14:paraId="0346285F">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kern w:val="0"/>
                <w:sz w:val="21"/>
                <w:szCs w:val="21"/>
                <w:highlight w:val="none"/>
              </w:rPr>
            </w:pPr>
          </w:p>
        </w:tc>
        <w:tc>
          <w:tcPr>
            <w:tcW w:w="7291" w:type="dxa"/>
            <w:vAlign w:val="top"/>
          </w:tcPr>
          <w:p w14:paraId="75946EF2">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根据投标人针对本项目建立信息采集、信息处理服务保障应急预案进行打分。</w:t>
            </w:r>
          </w:p>
          <w:p w14:paraId="13C2B38D">
            <w:pPr>
              <w:keepNext w:val="0"/>
              <w:keepLines w:val="0"/>
              <w:pageBreakBefore w:val="0"/>
              <w:tabs>
                <w:tab w:val="left" w:pos="2061"/>
              </w:tabs>
              <w:kinsoku/>
              <w:wordWrap/>
              <w:overflowPunct/>
              <w:topLinePunct w:val="0"/>
              <w:bidi w:val="0"/>
              <w:adjustRightInd/>
              <w:snapToGrid/>
              <w:spacing w:line="240" w:lineRule="auto"/>
              <w:ind w:left="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21"/>
                <w:highlight w:val="none"/>
                <w:lang w:val="en-US" w:eastAsia="zh-CN"/>
              </w:rPr>
              <w:t>应急预案</w:t>
            </w:r>
            <w:r>
              <w:rPr>
                <w:rFonts w:hint="eastAsia" w:asciiTheme="minorEastAsia" w:hAnsiTheme="minorEastAsia" w:eastAsiaTheme="minorEastAsia" w:cstheme="minorEastAsia"/>
                <w:color w:val="auto"/>
                <w:szCs w:val="21"/>
                <w:highlight w:val="none"/>
              </w:rPr>
              <w:t>合理、可行、先进的得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p>
          <w:p w14:paraId="0E1FAE05">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应急预案</w:t>
            </w:r>
            <w:r>
              <w:rPr>
                <w:rFonts w:hint="eastAsia" w:asciiTheme="minorEastAsia" w:hAnsiTheme="minorEastAsia" w:eastAsiaTheme="minorEastAsia" w:cstheme="minorEastAsia"/>
                <w:color w:val="auto"/>
                <w:szCs w:val="21"/>
                <w:highlight w:val="none"/>
              </w:rPr>
              <w:t>可行但有不合理的地方的得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230F94D8">
            <w:pPr>
              <w:keepNext w:val="0"/>
              <w:keepLines w:val="0"/>
              <w:pageBreakBefore w:val="0"/>
              <w:tabs>
                <w:tab w:val="left" w:pos="2061"/>
              </w:tabs>
              <w:kinsoku/>
              <w:wordWrap/>
              <w:overflowPunct/>
              <w:topLinePunct w:val="0"/>
              <w:bidi w:val="0"/>
              <w:adjustRightInd/>
              <w:snapToGrid/>
              <w:spacing w:line="240" w:lineRule="auto"/>
              <w:ind w:left="0" w:lef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3A0788C9">
            <w:pPr>
              <w:keepNext w:val="0"/>
              <w:keepLines w:val="0"/>
              <w:pageBreakBefore w:val="0"/>
              <w:kinsoku/>
              <w:wordWrap/>
              <w:overflowPunct/>
              <w:topLinePunct w:val="0"/>
              <w:autoSpaceDE w:val="0"/>
              <w:autoSpaceDN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650" w:type="dxa"/>
            <w:vAlign w:val="center"/>
          </w:tcPr>
          <w:p w14:paraId="3681DD08">
            <w:pPr>
              <w:keepNext w:val="0"/>
              <w:keepLines w:val="0"/>
              <w:pageBreakBefore w:val="0"/>
              <w:kinsoku/>
              <w:wordWrap/>
              <w:overflowPunct/>
              <w:topLinePunct w:val="0"/>
              <w:autoSpaceDE w:val="0"/>
              <w:autoSpaceDN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50" w:type="dxa"/>
            <w:vAlign w:val="center"/>
          </w:tcPr>
          <w:p w14:paraId="6747C79C">
            <w:pPr>
              <w:keepNext w:val="0"/>
              <w:keepLines w:val="0"/>
              <w:pageBreakBefore w:val="0"/>
              <w:kinsoku/>
              <w:wordWrap/>
              <w:overflowPunct/>
              <w:topLinePunct w:val="0"/>
              <w:autoSpaceDE w:val="0"/>
              <w:autoSpaceDN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2C83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317F89C9">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Merge w:val="restart"/>
            <w:vAlign w:val="center"/>
          </w:tcPr>
          <w:p w14:paraId="5F7DC76E">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“信息采集器”管理办法</w:t>
            </w:r>
          </w:p>
        </w:tc>
        <w:tc>
          <w:tcPr>
            <w:tcW w:w="7291" w:type="dxa"/>
            <w:vAlign w:val="top"/>
          </w:tcPr>
          <w:p w14:paraId="409F03D9">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根据投标人是否严格按照“信息采集器”管理要求与管理办法进行打分。</w:t>
            </w:r>
          </w:p>
          <w:p w14:paraId="4C7C64A4">
            <w:pPr>
              <w:keepNext w:val="0"/>
              <w:keepLines w:val="0"/>
              <w:pageBreakBefore w:val="0"/>
              <w:tabs>
                <w:tab w:val="left" w:pos="2061"/>
              </w:tabs>
              <w:kinsoku/>
              <w:wordWrap/>
              <w:overflowPunct/>
              <w:topLinePunct w:val="0"/>
              <w:bidi w:val="0"/>
              <w:adjustRightInd/>
              <w:snapToGrid/>
              <w:spacing w:line="240" w:lineRule="auto"/>
              <w:ind w:left="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严格按照“信息采集器”管理要求与管理办法的得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p>
          <w:p w14:paraId="7073F7FF">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基本按照“信息采集器”管理要求与管理办法的得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2A16A745">
            <w:pPr>
              <w:keepNext w:val="0"/>
              <w:keepLines w:val="0"/>
              <w:pageBreakBefore w:val="0"/>
              <w:tabs>
                <w:tab w:val="left" w:pos="2061"/>
              </w:tabs>
              <w:kinsoku/>
              <w:wordWrap/>
              <w:overflowPunct/>
              <w:topLinePunct w:val="0"/>
              <w:bidi w:val="0"/>
              <w:adjustRightInd/>
              <w:snapToGrid/>
              <w:spacing w:line="240" w:lineRule="auto"/>
              <w:ind w:left="0" w:leftChars="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30EC1E5A">
            <w:pPr>
              <w:keepNext w:val="0"/>
              <w:keepLines w:val="0"/>
              <w:pageBreakBefore w:val="0"/>
              <w:tabs>
                <w:tab w:val="left" w:pos="780"/>
              </w:tabs>
              <w:kinsoku/>
              <w:wordWrap/>
              <w:overflowPunct/>
              <w:topLinePunct w:val="0"/>
              <w:autoSpaceDE w:val="0"/>
              <w:autoSpaceDN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650" w:type="dxa"/>
            <w:vAlign w:val="center"/>
          </w:tcPr>
          <w:p w14:paraId="5EBF2B9D">
            <w:pPr>
              <w:keepNext w:val="0"/>
              <w:keepLines w:val="0"/>
              <w:pageBreakBefore w:val="0"/>
              <w:tabs>
                <w:tab w:val="left" w:pos="780"/>
              </w:tabs>
              <w:kinsoku/>
              <w:wordWrap/>
              <w:overflowPunct/>
              <w:topLinePunct w:val="0"/>
              <w:autoSpaceDE w:val="0"/>
              <w:autoSpaceDN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50" w:type="dxa"/>
            <w:vAlign w:val="center"/>
          </w:tcPr>
          <w:p w14:paraId="398FFC20">
            <w:pPr>
              <w:keepNext w:val="0"/>
              <w:keepLines w:val="0"/>
              <w:pageBreakBefore w:val="0"/>
              <w:tabs>
                <w:tab w:val="left" w:pos="780"/>
              </w:tabs>
              <w:kinsoku/>
              <w:wordWrap/>
              <w:overflowPunct/>
              <w:topLinePunct w:val="0"/>
              <w:autoSpaceDE w:val="0"/>
              <w:autoSpaceDN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3DAB3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017CE763">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Merge w:val="continue"/>
            <w:vAlign w:val="center"/>
          </w:tcPr>
          <w:p w14:paraId="1AFA9204">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kern w:val="0"/>
                <w:sz w:val="21"/>
                <w:szCs w:val="21"/>
                <w:highlight w:val="none"/>
              </w:rPr>
            </w:pPr>
          </w:p>
        </w:tc>
        <w:tc>
          <w:tcPr>
            <w:tcW w:w="7291" w:type="dxa"/>
            <w:vAlign w:val="top"/>
          </w:tcPr>
          <w:p w14:paraId="610AF9BB">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根据投标人制定“信息采集器”统一管理流程等进行打分。</w:t>
            </w:r>
          </w:p>
          <w:p w14:paraId="1A852AEB">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适用本项目需求的得2分；</w:t>
            </w:r>
          </w:p>
          <w:p w14:paraId="18C79433">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基本满足本项目需求的得1分；</w:t>
            </w:r>
          </w:p>
          <w:p w14:paraId="7EDD0D25">
            <w:pPr>
              <w:keepNext w:val="0"/>
              <w:keepLines w:val="0"/>
              <w:pageBreakBefore w:val="0"/>
              <w:tabs>
                <w:tab w:val="left" w:pos="2061"/>
              </w:tabs>
              <w:kinsoku/>
              <w:wordWrap/>
              <w:overflowPunct/>
              <w:topLinePunct w:val="0"/>
              <w:bidi w:val="0"/>
              <w:adjustRightInd/>
              <w:snapToGrid/>
              <w:spacing w:line="240" w:lineRule="auto"/>
              <w:ind w:left="0" w:lef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1EB8891C">
            <w:pPr>
              <w:keepNext w:val="0"/>
              <w:keepLines w:val="0"/>
              <w:pageBreakBefore w:val="0"/>
              <w:tabs>
                <w:tab w:val="left" w:pos="780"/>
              </w:tabs>
              <w:kinsoku/>
              <w:wordWrap/>
              <w:overflowPunct/>
              <w:topLinePunct w:val="0"/>
              <w:autoSpaceDE w:val="0"/>
              <w:autoSpaceDN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650" w:type="dxa"/>
            <w:vAlign w:val="center"/>
          </w:tcPr>
          <w:p w14:paraId="6A646813">
            <w:pPr>
              <w:keepNext w:val="0"/>
              <w:keepLines w:val="0"/>
              <w:pageBreakBefore w:val="0"/>
              <w:tabs>
                <w:tab w:val="left" w:pos="780"/>
              </w:tabs>
              <w:kinsoku/>
              <w:wordWrap/>
              <w:overflowPunct/>
              <w:topLinePunct w:val="0"/>
              <w:autoSpaceDE w:val="0"/>
              <w:autoSpaceDN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50" w:type="dxa"/>
            <w:vAlign w:val="center"/>
          </w:tcPr>
          <w:p w14:paraId="31D44CC4">
            <w:pPr>
              <w:keepNext w:val="0"/>
              <w:keepLines w:val="0"/>
              <w:pageBreakBefore w:val="0"/>
              <w:tabs>
                <w:tab w:val="left" w:pos="780"/>
              </w:tabs>
              <w:kinsoku/>
              <w:wordWrap/>
              <w:overflowPunct/>
              <w:topLinePunct w:val="0"/>
              <w:autoSpaceDE w:val="0"/>
              <w:autoSpaceDN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49E4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165F7612">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Merge w:val="restart"/>
            <w:vAlign w:val="center"/>
          </w:tcPr>
          <w:p w14:paraId="7103345E">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针对本项目建立对信息采集人员信息采集、核查质量的校核机制</w:t>
            </w:r>
          </w:p>
        </w:tc>
        <w:tc>
          <w:tcPr>
            <w:tcW w:w="7291" w:type="dxa"/>
            <w:vAlign w:val="top"/>
          </w:tcPr>
          <w:p w14:paraId="3688E997">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根据投标人是否建立质量管理专门机构负责质量管理进行打分。</w:t>
            </w:r>
          </w:p>
          <w:p w14:paraId="4FC44389">
            <w:pPr>
              <w:keepNext w:val="0"/>
              <w:keepLines w:val="0"/>
              <w:pageBreakBefore w:val="0"/>
              <w:tabs>
                <w:tab w:val="left" w:pos="2061"/>
              </w:tabs>
              <w:kinsoku/>
              <w:wordWrap/>
              <w:overflowPunct/>
              <w:topLinePunct w:val="0"/>
              <w:bidi w:val="0"/>
              <w:adjustRightInd/>
              <w:snapToGrid/>
              <w:spacing w:line="240" w:lineRule="auto"/>
              <w:ind w:left="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建立质量管理专门机构，能有效保障服务质量的得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p>
          <w:p w14:paraId="35B4E0F8">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建立质量管理专门机构，基本能保障服务质量的得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34BC280D">
            <w:pPr>
              <w:keepNext w:val="0"/>
              <w:keepLines w:val="0"/>
              <w:pageBreakBefore w:val="0"/>
              <w:tabs>
                <w:tab w:val="left" w:pos="2061"/>
              </w:tabs>
              <w:kinsoku/>
              <w:wordWrap/>
              <w:overflowPunct/>
              <w:topLinePunct w:val="0"/>
              <w:bidi w:val="0"/>
              <w:adjustRightInd/>
              <w:snapToGrid/>
              <w:spacing w:line="240" w:lineRule="auto"/>
              <w:ind w:left="0" w:lef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51676BC5">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650" w:type="dxa"/>
            <w:vAlign w:val="center"/>
          </w:tcPr>
          <w:p w14:paraId="106007FB">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50" w:type="dxa"/>
            <w:vAlign w:val="center"/>
          </w:tcPr>
          <w:p w14:paraId="5BC0D762">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06E8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7B3790A8">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Merge w:val="continue"/>
            <w:vAlign w:val="center"/>
          </w:tcPr>
          <w:p w14:paraId="72B5A6A5">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kern w:val="0"/>
                <w:sz w:val="21"/>
                <w:szCs w:val="21"/>
                <w:highlight w:val="none"/>
              </w:rPr>
            </w:pPr>
          </w:p>
        </w:tc>
        <w:tc>
          <w:tcPr>
            <w:tcW w:w="7291" w:type="dxa"/>
            <w:vAlign w:val="top"/>
          </w:tcPr>
          <w:p w14:paraId="130E3B38">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根据投标人是否建立质量管理制度和流程进行打分。</w:t>
            </w:r>
          </w:p>
          <w:p w14:paraId="0CD07937">
            <w:pPr>
              <w:keepNext w:val="0"/>
              <w:keepLines w:val="0"/>
              <w:pageBreakBefore w:val="0"/>
              <w:tabs>
                <w:tab w:val="left" w:pos="2061"/>
              </w:tabs>
              <w:kinsoku/>
              <w:wordWrap/>
              <w:overflowPunct/>
              <w:topLinePunct w:val="0"/>
              <w:bidi w:val="0"/>
              <w:adjustRightInd/>
              <w:snapToGrid/>
              <w:spacing w:line="240" w:lineRule="auto"/>
              <w:ind w:left="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建立质量管理制度和流程，能有效保障服务质量的得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p>
          <w:p w14:paraId="530C6BB4">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建立质量管理制度和流程，基本能保障服务质量的得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1C4A8E15">
            <w:pPr>
              <w:keepNext w:val="0"/>
              <w:keepLines w:val="0"/>
              <w:pageBreakBefore w:val="0"/>
              <w:tabs>
                <w:tab w:val="left" w:pos="2061"/>
              </w:tabs>
              <w:kinsoku/>
              <w:wordWrap/>
              <w:overflowPunct/>
              <w:topLinePunct w:val="0"/>
              <w:bidi w:val="0"/>
              <w:adjustRightInd/>
              <w:snapToGrid/>
              <w:spacing w:line="240" w:lineRule="auto"/>
              <w:ind w:left="0" w:lef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2F3E127A">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650" w:type="dxa"/>
            <w:vAlign w:val="center"/>
          </w:tcPr>
          <w:p w14:paraId="4C1C4CD4">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50" w:type="dxa"/>
            <w:vAlign w:val="center"/>
          </w:tcPr>
          <w:p w14:paraId="1845DEF9">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7250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5C582FF1">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Merge w:val="continue"/>
            <w:vAlign w:val="center"/>
          </w:tcPr>
          <w:p w14:paraId="27A05C78">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kern w:val="0"/>
                <w:sz w:val="21"/>
                <w:szCs w:val="21"/>
                <w:highlight w:val="none"/>
              </w:rPr>
            </w:pPr>
          </w:p>
        </w:tc>
        <w:tc>
          <w:tcPr>
            <w:tcW w:w="7291" w:type="dxa"/>
            <w:vAlign w:val="top"/>
          </w:tcPr>
          <w:p w14:paraId="65611C75">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根据投标人是否建立对漏报、投诉等问题实行跟踪、反馈制度，确保处置、回复、满意率均达100％进行打分。</w:t>
            </w:r>
          </w:p>
          <w:p w14:paraId="57EEA2FC">
            <w:pPr>
              <w:keepNext w:val="0"/>
              <w:keepLines w:val="0"/>
              <w:pageBreakBefore w:val="0"/>
              <w:tabs>
                <w:tab w:val="left" w:pos="2061"/>
              </w:tabs>
              <w:kinsoku/>
              <w:wordWrap/>
              <w:overflowPunct/>
              <w:topLinePunct w:val="0"/>
              <w:bidi w:val="0"/>
              <w:adjustRightInd/>
              <w:snapToGrid/>
              <w:spacing w:line="240" w:lineRule="auto"/>
              <w:ind w:left="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实行跟踪、反馈制度，能有效保障服务质量的得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p>
          <w:p w14:paraId="35AD0147">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实行跟踪、反馈制度，基本能保障服务质量的得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49843A79">
            <w:pPr>
              <w:keepNext w:val="0"/>
              <w:keepLines w:val="0"/>
              <w:pageBreakBefore w:val="0"/>
              <w:tabs>
                <w:tab w:val="left" w:pos="2061"/>
              </w:tabs>
              <w:kinsoku/>
              <w:wordWrap/>
              <w:overflowPunct/>
              <w:topLinePunct w:val="0"/>
              <w:bidi w:val="0"/>
              <w:adjustRightInd/>
              <w:snapToGrid/>
              <w:spacing w:line="240" w:lineRule="auto"/>
              <w:ind w:left="0" w:lef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3E0C33C2">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650" w:type="dxa"/>
            <w:vAlign w:val="center"/>
          </w:tcPr>
          <w:p w14:paraId="71C7E4FA">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50" w:type="dxa"/>
            <w:vAlign w:val="center"/>
          </w:tcPr>
          <w:p w14:paraId="456620CD">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7264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0261588F">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Merge w:val="continue"/>
            <w:vAlign w:val="center"/>
          </w:tcPr>
          <w:p w14:paraId="7E14B7A4">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kern w:val="0"/>
                <w:sz w:val="21"/>
                <w:szCs w:val="21"/>
                <w:highlight w:val="none"/>
              </w:rPr>
            </w:pPr>
          </w:p>
        </w:tc>
        <w:tc>
          <w:tcPr>
            <w:tcW w:w="7291" w:type="dxa"/>
            <w:vAlign w:val="top"/>
          </w:tcPr>
          <w:p w14:paraId="793579C4">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根据投标人是否建立质量问题处罚机制，在机制设定上杜绝虚假信息、重大漏报等问题的发生进行打分。</w:t>
            </w:r>
          </w:p>
          <w:p w14:paraId="3B0AC17A">
            <w:pPr>
              <w:keepNext w:val="0"/>
              <w:keepLines w:val="0"/>
              <w:pageBreakBefore w:val="0"/>
              <w:tabs>
                <w:tab w:val="left" w:pos="2061"/>
              </w:tabs>
              <w:kinsoku/>
              <w:wordWrap/>
              <w:overflowPunct/>
              <w:topLinePunct w:val="0"/>
              <w:bidi w:val="0"/>
              <w:adjustRightInd/>
              <w:snapToGrid/>
              <w:spacing w:line="240" w:lineRule="auto"/>
              <w:ind w:left="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建立质量问题处罚机制，能有效保障服务质量的得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p>
          <w:p w14:paraId="2EFADD24">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建立质量问题处罚机制，基本能保障服务质量的得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013C3DAD">
            <w:pPr>
              <w:keepNext w:val="0"/>
              <w:keepLines w:val="0"/>
              <w:pageBreakBefore w:val="0"/>
              <w:tabs>
                <w:tab w:val="left" w:pos="2061"/>
              </w:tabs>
              <w:kinsoku/>
              <w:wordWrap/>
              <w:overflowPunct/>
              <w:topLinePunct w:val="0"/>
              <w:bidi w:val="0"/>
              <w:adjustRightInd/>
              <w:snapToGrid/>
              <w:spacing w:line="240" w:lineRule="auto"/>
              <w:ind w:left="0" w:lef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0B90DA22">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650" w:type="dxa"/>
            <w:vAlign w:val="center"/>
          </w:tcPr>
          <w:p w14:paraId="28EC4CE1">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50" w:type="dxa"/>
            <w:vAlign w:val="center"/>
          </w:tcPr>
          <w:p w14:paraId="71865E59">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678C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761D3C50">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Align w:val="center"/>
          </w:tcPr>
          <w:p w14:paraId="147B250C">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培训方案</w:t>
            </w:r>
          </w:p>
        </w:tc>
        <w:tc>
          <w:tcPr>
            <w:tcW w:w="7291" w:type="dxa"/>
            <w:vAlign w:val="center"/>
          </w:tcPr>
          <w:p w14:paraId="3F3AF15D">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信息采集员、信息处理人员培训方案，包括培训计划、内容和组织情况；培训的内容，如岗位标准、专业知识、职业道德规范；培训的方式，如理论学习、实践操作和考试制度；培训教材；采集员培训、管理人员培训、信息处理人员培训等进行打分。</w:t>
            </w:r>
          </w:p>
          <w:p w14:paraId="397CA352">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方案制定清晰、全面，工作安排合理可行的得4分；</w:t>
            </w:r>
          </w:p>
          <w:p w14:paraId="630A3641">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方案制定比较清晰、全面，工作安排比较合理可行的得2分；</w:t>
            </w:r>
          </w:p>
          <w:p w14:paraId="6C1BD5CB">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方案制定不够合理，工作安排可行性差的得1分；</w:t>
            </w:r>
          </w:p>
          <w:p w14:paraId="3084FFEB">
            <w:pPr>
              <w:keepNext w:val="0"/>
              <w:keepLines w:val="0"/>
              <w:pageBreakBefore w:val="0"/>
              <w:tabs>
                <w:tab w:val="left" w:pos="2061"/>
              </w:tabs>
              <w:kinsoku/>
              <w:wordWrap/>
              <w:overflowPunct/>
              <w:topLinePunct w:val="0"/>
              <w:bidi w:val="0"/>
              <w:adjustRightInd/>
              <w:snapToGrid/>
              <w:spacing w:line="240" w:lineRule="auto"/>
              <w:ind w:left="0" w:lef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0" w:type="dxa"/>
            <w:vAlign w:val="center"/>
          </w:tcPr>
          <w:p w14:paraId="025B550E">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650" w:type="dxa"/>
            <w:vAlign w:val="center"/>
          </w:tcPr>
          <w:p w14:paraId="1E5CD7CA">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50" w:type="dxa"/>
            <w:vAlign w:val="center"/>
          </w:tcPr>
          <w:p w14:paraId="10EED5AD">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6715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14:paraId="45B596D6">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shd w:val="clear" w:color="auto" w:fill="auto"/>
            <w:vAlign w:val="center"/>
          </w:tcPr>
          <w:p w14:paraId="0745C9F0">
            <w:pPr>
              <w:keepNext w:val="0"/>
              <w:keepLines w:val="0"/>
              <w:pageBreakBefore w:val="0"/>
              <w:widowControl/>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承诺</w:t>
            </w:r>
          </w:p>
        </w:tc>
        <w:tc>
          <w:tcPr>
            <w:tcW w:w="7291" w:type="dxa"/>
            <w:shd w:val="clear" w:color="auto" w:fill="auto"/>
            <w:vAlign w:val="center"/>
          </w:tcPr>
          <w:p w14:paraId="76D2F1F9">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投标人承诺根据采购文件要求配备本项目运行设备（如巡查设备、采集器等）的得2分，承诺的设备存在缺项不得分。</w:t>
            </w:r>
          </w:p>
          <w:p w14:paraId="4A4E8E77">
            <w:pPr>
              <w:keepNext w:val="0"/>
              <w:keepLines w:val="0"/>
              <w:pageBreakBefore w:val="0"/>
              <w:tabs>
                <w:tab w:val="left" w:pos="2061"/>
              </w:tabs>
              <w:kinsoku/>
              <w:wordWrap/>
              <w:overflowPunct/>
              <w:topLinePunct w:val="0"/>
              <w:bidi w:val="0"/>
              <w:adjustRightInd/>
              <w:snapToGrid/>
              <w:spacing w:line="240" w:lineRule="auto"/>
              <w:ind w:left="0" w:leftChars="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rPr>
              <w:t>（投标人须提供承诺函原件加盖投标人公章编入投标文件中，未提供的不得分）</w:t>
            </w:r>
          </w:p>
        </w:tc>
        <w:tc>
          <w:tcPr>
            <w:tcW w:w="650" w:type="dxa"/>
            <w:shd w:val="clear" w:color="auto" w:fill="auto"/>
            <w:vAlign w:val="center"/>
          </w:tcPr>
          <w:p w14:paraId="75CDDE0C">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p>
        </w:tc>
        <w:tc>
          <w:tcPr>
            <w:tcW w:w="650" w:type="dxa"/>
            <w:shd w:val="clear" w:color="auto" w:fill="auto"/>
            <w:vAlign w:val="center"/>
          </w:tcPr>
          <w:p w14:paraId="7DA2A0BC">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50" w:type="dxa"/>
            <w:shd w:val="clear" w:color="auto" w:fill="auto"/>
            <w:vAlign w:val="center"/>
          </w:tcPr>
          <w:p w14:paraId="158C49A2">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49B81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007" w:type="dxa"/>
            <w:vMerge w:val="continue"/>
            <w:vAlign w:val="center"/>
          </w:tcPr>
          <w:p w14:paraId="7C57A0E6">
            <w:pPr>
              <w:keepNext w:val="0"/>
              <w:keepLines w:val="0"/>
              <w:pageBreakBefore w:val="0"/>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bCs/>
                <w:color w:val="auto"/>
                <w:sz w:val="21"/>
                <w:szCs w:val="21"/>
                <w:highlight w:val="none"/>
              </w:rPr>
            </w:pPr>
          </w:p>
        </w:tc>
        <w:tc>
          <w:tcPr>
            <w:tcW w:w="1132" w:type="dxa"/>
            <w:vAlign w:val="center"/>
          </w:tcPr>
          <w:p w14:paraId="4B84A745">
            <w:pPr>
              <w:keepNext w:val="0"/>
              <w:keepLines w:val="0"/>
              <w:pageBreakBefore w:val="0"/>
              <w:widowControl/>
              <w:kinsoku/>
              <w:wordWrap/>
              <w:overflowPunct/>
              <w:topLinePunct w:val="0"/>
              <w:bidi w:val="0"/>
              <w:adjustRightInd/>
              <w:snapToGrid/>
              <w:spacing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其他创新举措</w:t>
            </w:r>
          </w:p>
        </w:tc>
        <w:tc>
          <w:tcPr>
            <w:tcW w:w="7291" w:type="dxa"/>
            <w:vAlign w:val="center"/>
          </w:tcPr>
          <w:p w14:paraId="66D77934">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投标人在满足项目需求的基础上，针对本项目提供至少2种创新举措实施方案（例如服务流程细节、拟投入设备进一步优化完善等），旨在提升智能采集效率。</w:t>
            </w:r>
          </w:p>
          <w:p w14:paraId="31E6A5EF">
            <w:pPr>
              <w:keepNext w:val="0"/>
              <w:keepLines w:val="0"/>
              <w:pageBreakBefore w:val="0"/>
              <w:tabs>
                <w:tab w:val="left" w:pos="2061"/>
              </w:tabs>
              <w:kinsoku/>
              <w:wordWrap/>
              <w:overflowPunct/>
              <w:topLinePunct w:val="0"/>
              <w:bidi w:val="0"/>
              <w:adjustRightInd/>
              <w:snapToGrid/>
              <w:spacing w:line="240" w:lineRule="auto"/>
              <w:ind w:left="0"/>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方案合理可行，满足项目需求，有效保障项目实施，可行性强的，每种得2分；</w:t>
            </w:r>
          </w:p>
          <w:p w14:paraId="541A55E3">
            <w:pPr>
              <w:keepNext w:val="0"/>
              <w:keepLines w:val="0"/>
              <w:pageBreakBefore w:val="0"/>
              <w:tabs>
                <w:tab w:val="left" w:pos="2061"/>
              </w:tabs>
              <w:kinsoku/>
              <w:wordWrap/>
              <w:overflowPunct/>
              <w:topLinePunct w:val="0"/>
              <w:bidi w:val="0"/>
              <w:adjustRightInd/>
              <w:snapToGrid/>
              <w:spacing w:line="240" w:lineRule="auto"/>
              <w:ind w:left="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方案基本合理性可行性，基本满足项目实施，可行性一般的，每种得1分；</w:t>
            </w:r>
          </w:p>
          <w:p w14:paraId="336E0473">
            <w:pPr>
              <w:keepNext w:val="0"/>
              <w:keepLines w:val="0"/>
              <w:pageBreakBefore w:val="0"/>
              <w:tabs>
                <w:tab w:val="left" w:pos="2061"/>
              </w:tabs>
              <w:kinsoku/>
              <w:wordWrap/>
              <w:overflowPunct/>
              <w:topLinePunct w:val="0"/>
              <w:bidi w:val="0"/>
              <w:adjustRightInd/>
              <w:snapToGrid/>
              <w:spacing w:line="240" w:lineRule="auto"/>
              <w:ind w:left="0"/>
              <w:textAlignment w:val="auto"/>
              <w:rPr>
                <w:rFonts w:hint="default"/>
                <w:color w:val="auto"/>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方案仅简单提及，可行性有待完善的，每种得0.5分；</w:t>
            </w:r>
          </w:p>
          <w:p w14:paraId="1834F93A">
            <w:pPr>
              <w:keepNext w:val="0"/>
              <w:keepLines w:val="0"/>
              <w:pageBreakBefore w:val="0"/>
              <w:tabs>
                <w:tab w:val="left" w:pos="2061"/>
              </w:tabs>
              <w:kinsoku/>
              <w:wordWrap/>
              <w:overflowPunct/>
              <w:topLinePunct w:val="0"/>
              <w:bidi w:val="0"/>
              <w:adjustRightInd/>
              <w:snapToGrid/>
              <w:spacing w:line="240" w:lineRule="auto"/>
              <w:ind w:left="0" w:leftChars="0"/>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未提及此项不得分，本项最高得4分。</w:t>
            </w:r>
          </w:p>
        </w:tc>
        <w:tc>
          <w:tcPr>
            <w:tcW w:w="650" w:type="dxa"/>
            <w:vAlign w:val="center"/>
          </w:tcPr>
          <w:p w14:paraId="68E1976E">
            <w:pPr>
              <w:keepNext w:val="0"/>
              <w:keepLines w:val="0"/>
              <w:pageBreakBefore w:val="0"/>
              <w:kinsoku/>
              <w:wordWrap/>
              <w:overflowPunct/>
              <w:topLinePunct w:val="0"/>
              <w:bidi w:val="0"/>
              <w:adjustRightInd/>
              <w:snapToGrid/>
              <w:spacing w:line="240" w:lineRule="auto"/>
              <w:ind w:left="0" w:leftChars="0"/>
              <w:jc w:val="center"/>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4</w:t>
            </w:r>
          </w:p>
        </w:tc>
        <w:tc>
          <w:tcPr>
            <w:tcW w:w="650" w:type="dxa"/>
            <w:vAlign w:val="center"/>
          </w:tcPr>
          <w:p w14:paraId="2EE855CF">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650" w:type="dxa"/>
            <w:vAlign w:val="center"/>
          </w:tcPr>
          <w:p w14:paraId="3A0FC17B">
            <w:pPr>
              <w:keepNext w:val="0"/>
              <w:keepLines w:val="0"/>
              <w:pageBreakBefore w:val="0"/>
              <w:kinsoku/>
              <w:wordWrap/>
              <w:overflowPunct/>
              <w:topLinePunct w:val="0"/>
              <w:bidi w:val="0"/>
              <w:adjustRightInd/>
              <w:snapToGrid/>
              <w:spacing w:line="240" w:lineRule="auto"/>
              <w:ind w:left="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r>
    </w:tbl>
    <w:p w14:paraId="4917C4D4">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p>
    <w:p w14:paraId="02BE1C17">
      <w:pPr>
        <w:bidi w:val="0"/>
        <w:rPr>
          <w:rFonts w:hint="eastAsia"/>
          <w:color w:val="auto"/>
          <w:highlight w:val="none"/>
        </w:rPr>
      </w:pPr>
    </w:p>
    <w:p w14:paraId="39EA510C">
      <w:pPr>
        <w:bidi w:val="0"/>
        <w:rPr>
          <w:rFonts w:hint="eastAsia"/>
          <w:color w:val="auto"/>
          <w:highlight w:val="none"/>
        </w:rPr>
      </w:pPr>
    </w:p>
    <w:p w14:paraId="43FF2B15">
      <w:pPr>
        <w:bidi w:val="0"/>
        <w:rPr>
          <w:rFonts w:hint="eastAsia"/>
          <w:color w:val="auto"/>
          <w:highlight w:val="none"/>
        </w:rPr>
      </w:pPr>
    </w:p>
    <w:p w14:paraId="0EE6D44D">
      <w:pPr>
        <w:tabs>
          <w:tab w:val="center" w:pos="4153"/>
        </w:tabs>
        <w:bidi w:val="0"/>
        <w:jc w:val="left"/>
        <w:rPr>
          <w:rFonts w:hint="eastAsia" w:eastAsia="宋体"/>
          <w:color w:val="auto"/>
          <w:highlight w:val="none"/>
          <w:lang w:eastAsia="zh-CN"/>
        </w:rPr>
        <w:sectPr>
          <w:pgSz w:w="11906" w:h="16838"/>
          <w:pgMar w:top="1440" w:right="1800" w:bottom="1440" w:left="1800" w:header="851" w:footer="992" w:gutter="0"/>
          <w:pgNumType w:fmt="decimal"/>
          <w:cols w:space="425" w:num="1"/>
          <w:docGrid w:type="lines" w:linePitch="312" w:charSpace="0"/>
        </w:sectPr>
      </w:pPr>
      <w:r>
        <w:rPr>
          <w:rFonts w:hint="eastAsia"/>
          <w:color w:val="auto"/>
          <w:highlight w:val="none"/>
          <w:lang w:eastAsia="zh-CN"/>
        </w:rPr>
        <w:tab/>
      </w:r>
      <w:bookmarkStart w:id="8" w:name="_GoBack"/>
      <w:bookmarkEnd w:id="8"/>
    </w:p>
    <w:p w14:paraId="59DC2CD7">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7</w:t>
      </w:r>
      <w:r>
        <w:rPr>
          <w:rFonts w:hint="eastAsia" w:ascii="宋体" w:hAnsi="宋体" w:eastAsia="宋体" w:cs="宋体"/>
          <w:b/>
          <w:color w:val="auto"/>
          <w:sz w:val="28"/>
          <w:highlight w:val="none"/>
        </w:rPr>
        <w:t xml:space="preserve">       </w:t>
      </w:r>
    </w:p>
    <w:p w14:paraId="7AA08B6C">
      <w:pPr>
        <w:pStyle w:val="40"/>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284E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4C8F7BE5">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7AEA8715">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0372AEEB">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lang w:eastAsia="zh-CN"/>
              </w:rPr>
              <w:t>法定代表人</w:t>
            </w:r>
            <w:r>
              <w:rPr>
                <w:rFonts w:hint="eastAsia" w:ascii="宋体" w:hAnsi="宋体" w:eastAsia="宋体" w:cs="宋体"/>
                <w:bCs/>
                <w:color w:val="auto"/>
                <w:spacing w:val="16"/>
                <w:sz w:val="21"/>
                <w:szCs w:val="21"/>
                <w:highlight w:val="none"/>
              </w:rPr>
              <w:t>代表</w:t>
            </w:r>
          </w:p>
        </w:tc>
        <w:tc>
          <w:tcPr>
            <w:tcW w:w="2151" w:type="dxa"/>
            <w:gridSpan w:val="2"/>
            <w:noWrap w:val="0"/>
            <w:vAlign w:val="top"/>
          </w:tcPr>
          <w:p w14:paraId="3CF7B932">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7A30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2B944BC8">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7C1BE42C">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0DC80873">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65A5146C">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4239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1E0CB76D">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2C417B12">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04C1F360">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3BF0108B">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29FB522D">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68942B34">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352C68C7">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4BE0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3FEFCA62">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42E2FFC4">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088CBBE0">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542F5701">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3F48A17F">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68AF8EC4">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35611405">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0C7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3D8D1633">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0473E9CD">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234E14B2">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14395CEC">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479C4025">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4225791A">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8BC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53B26227">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51F04F68">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3A832C34">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7D6D00C3">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04EE3BD1">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658011E3">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5CC8389D">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3FD0705A">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0071EEC4">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6251AC3">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310494D">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272516CA">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08179846">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6FD62722">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00D4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629CC44B">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75554704">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1ECA840A">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5BB6649C">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2A7680F0">
            <w:pPr>
              <w:pStyle w:val="40"/>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3240BA32">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552FF000">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453AEC6C">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2A72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6BD3FB21">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54C68751">
            <w:pPr>
              <w:pStyle w:val="40"/>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243CFD63">
            <w:pPr>
              <w:pStyle w:val="40"/>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426E48ED">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6ECA3718">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0420A20A">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32290FE6">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7A9FA2C1">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5DEF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1952274E">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614CC6D0">
            <w:pPr>
              <w:pStyle w:val="40"/>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011B4D69">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3F2C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4E8388D8">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5DF4A56D">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1AF5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79A19387">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5D78C596">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1124262A">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219D44D0">
            <w:pPr>
              <w:pStyle w:val="40"/>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2E316731">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11158D98">
            <w:pPr>
              <w:pStyle w:val="40"/>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13AA6AFA">
            <w:pPr>
              <w:pStyle w:val="40"/>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5E73BD09">
            <w:pPr>
              <w:pStyle w:val="40"/>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682D7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1A930EE4">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685202F0">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175B908E">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265E09C2">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504BBB68">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0F935CF5">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65A2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732378B8">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44869F83">
            <w:pPr>
              <w:pStyle w:val="40"/>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22DA5952">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FA3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727EF0ED">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2E4CB92E">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0BE38F8F">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736E0353">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4DEAAE3B">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6804483">
      <w:pPr>
        <w:pStyle w:val="40"/>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10F9603F">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5028FD6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28EEA18">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6BB9CB8F">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7FF1C9A">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71348C12">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1459631">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04AFCA74">
      <w:pPr>
        <w:pStyle w:val="40"/>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1405566C">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7B9EFF3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78F7B138">
      <w:pPr>
        <w:pStyle w:val="7"/>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3F327B00">
      <w:pPr>
        <w:pStyle w:val="8"/>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3AE271BD">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4A8E9032">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43CA4DB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33823600">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2"/>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664"/>
        <w:gridCol w:w="921"/>
        <w:gridCol w:w="922"/>
        <w:gridCol w:w="1543"/>
        <w:gridCol w:w="1264"/>
        <w:gridCol w:w="1382"/>
        <w:gridCol w:w="1554"/>
      </w:tblGrid>
      <w:tr w14:paraId="60804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vAlign w:val="center"/>
          </w:tcPr>
          <w:p w14:paraId="1DA82DB8">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664" w:type="dxa"/>
            <w:tcBorders>
              <w:top w:val="single" w:color="auto" w:sz="4" w:space="0"/>
              <w:left w:val="single" w:color="auto" w:sz="4" w:space="0"/>
              <w:bottom w:val="single" w:color="auto" w:sz="4" w:space="0"/>
              <w:right w:val="single" w:color="auto" w:sz="4" w:space="0"/>
            </w:tcBorders>
            <w:vAlign w:val="center"/>
          </w:tcPr>
          <w:p w14:paraId="405A252A">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21" w:type="dxa"/>
            <w:tcBorders>
              <w:top w:val="single" w:color="auto" w:sz="4" w:space="0"/>
              <w:left w:val="single" w:color="auto" w:sz="4" w:space="0"/>
              <w:bottom w:val="single" w:color="auto" w:sz="4" w:space="0"/>
              <w:right w:val="single" w:color="auto" w:sz="4" w:space="0"/>
            </w:tcBorders>
            <w:vAlign w:val="center"/>
          </w:tcPr>
          <w:p w14:paraId="7E18B278">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2" w:type="dxa"/>
            <w:tcBorders>
              <w:top w:val="single" w:color="auto" w:sz="4" w:space="0"/>
              <w:left w:val="single" w:color="auto" w:sz="4" w:space="0"/>
              <w:bottom w:val="single" w:color="auto" w:sz="4" w:space="0"/>
              <w:right w:val="single" w:color="auto" w:sz="4" w:space="0"/>
            </w:tcBorders>
            <w:vAlign w:val="center"/>
          </w:tcPr>
          <w:p w14:paraId="52B2BD9C">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43" w:type="dxa"/>
            <w:tcBorders>
              <w:top w:val="single" w:color="auto" w:sz="4" w:space="0"/>
              <w:left w:val="single" w:color="auto" w:sz="4" w:space="0"/>
              <w:bottom w:val="single" w:color="auto" w:sz="4" w:space="0"/>
              <w:right w:val="single" w:color="auto" w:sz="4" w:space="0"/>
            </w:tcBorders>
            <w:vAlign w:val="center"/>
          </w:tcPr>
          <w:p w14:paraId="0932873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64" w:type="dxa"/>
            <w:tcBorders>
              <w:top w:val="single" w:color="auto" w:sz="4" w:space="0"/>
              <w:left w:val="single" w:color="auto" w:sz="4" w:space="0"/>
              <w:bottom w:val="single" w:color="auto" w:sz="4" w:space="0"/>
              <w:right w:val="single" w:color="auto" w:sz="4" w:space="0"/>
            </w:tcBorders>
            <w:vAlign w:val="center"/>
          </w:tcPr>
          <w:p w14:paraId="55871B9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382" w:type="dxa"/>
            <w:tcBorders>
              <w:top w:val="single" w:color="auto" w:sz="4" w:space="0"/>
              <w:left w:val="single" w:color="auto" w:sz="4" w:space="0"/>
              <w:bottom w:val="single" w:color="auto" w:sz="4" w:space="0"/>
              <w:right w:val="single" w:color="auto" w:sz="4" w:space="0"/>
            </w:tcBorders>
            <w:vAlign w:val="center"/>
          </w:tcPr>
          <w:p w14:paraId="3A261451">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4" w:type="dxa"/>
            <w:tcBorders>
              <w:top w:val="single" w:color="auto" w:sz="4" w:space="0"/>
              <w:left w:val="single" w:color="auto" w:sz="4" w:space="0"/>
              <w:bottom w:val="single" w:color="auto" w:sz="4" w:space="0"/>
            </w:tcBorders>
            <w:vAlign w:val="center"/>
          </w:tcPr>
          <w:p w14:paraId="6ECB8F49">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5B5F5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73A252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116B8EE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6E64FA0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58D5616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4C29A75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6F21D7D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9A8F1A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1149C40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ADC9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6D4C7C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2A7FF7D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889107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7FF8497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0461696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16ADA43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3F57976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35FC659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727CE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2FEE7A8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59041AE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67866C7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0DB0179">
            <w:pPr>
              <w:pStyle w:val="11"/>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12E2058E">
            <w:pPr>
              <w:pStyle w:val="11"/>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0075E91D">
            <w:pPr>
              <w:pStyle w:val="11"/>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081D27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554" w:type="dxa"/>
            <w:tcBorders>
              <w:top w:val="single" w:color="auto" w:sz="4" w:space="0"/>
              <w:left w:val="single" w:color="auto" w:sz="4" w:space="0"/>
              <w:bottom w:val="single" w:color="auto" w:sz="4" w:space="0"/>
            </w:tcBorders>
          </w:tcPr>
          <w:p w14:paraId="74251A9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39B3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34684D2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140AFA3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8DD75B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D00E3F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1AAF78B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0B1AB20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62C838C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3F4FE08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2D7B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1487F49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BA47D6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B824D2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0D3B4A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4C90FEF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47341B2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5CC8ABE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42A821D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13875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651705F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2870CD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872F81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22C6453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1E1F0AF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080ED6F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3D9681D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46A2899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D0D2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1D3B0EC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6623C67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73988AC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B1CDF6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29F789D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0E8636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69FDFD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785A913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E0CD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4A7B6D6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2E8E8FF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6E964CF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3E83432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7337F22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145A04D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67B84DE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767DD6A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29BCCD05">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22C2EA9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0C45D3CB">
      <w:pPr>
        <w:pStyle w:val="41"/>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3C61306B">
      <w:pPr>
        <w:pStyle w:val="41"/>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出具上述人员在本单位服务的外部证明，如：投标截止日之前的代缴个税税单、参加社会保险的《投保单》或《社会保险参保人员证明》等。</w:t>
      </w:r>
    </w:p>
    <w:p w14:paraId="2DF13C7A">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E5E24A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7DAA87D">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DDDDBF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84BF50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573D2D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32ABCC5">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1EA6B8C5">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E8B394E">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2E2D6347">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091CD24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采购编号：</w:t>
      </w:r>
    </w:p>
    <w:tbl>
      <w:tblPr>
        <w:tblStyle w:val="2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2EC8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0BE14910">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48C7237B">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08A9D109">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111C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4408CF9">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7C2100D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3C651699">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w:t>
            </w:r>
            <w:r>
              <w:rPr>
                <w:rFonts w:hint="eastAsia" w:ascii="宋体" w:hAnsi="宋体" w:cs="宋体"/>
                <w:color w:val="auto"/>
                <w:sz w:val="21"/>
                <w:szCs w:val="21"/>
                <w:highlight w:val="none"/>
                <w:lang w:val="en-US" w:eastAsia="zh-CN"/>
              </w:rPr>
              <w:t>佐证</w:t>
            </w:r>
            <w:r>
              <w:rPr>
                <w:rFonts w:hint="eastAsia" w:ascii="宋体" w:hAnsi="宋体" w:eastAsia="宋体" w:cs="宋体"/>
                <w:color w:val="auto"/>
                <w:sz w:val="21"/>
                <w:szCs w:val="21"/>
                <w:highlight w:val="none"/>
              </w:rPr>
              <w:t>材料</w:t>
            </w:r>
          </w:p>
          <w:p w14:paraId="5FBF3F5C">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合同或中标通知书）。</w:t>
            </w:r>
          </w:p>
        </w:tc>
      </w:tr>
      <w:tr w14:paraId="7F9E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607BEE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0842462A">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3D2744A">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1899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373430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3ABF6ECB">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825045C">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535C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DFB3886">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1618E59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A29832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3D9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9F7BD36">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33118FE1">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B179F1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21B9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981964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2F88772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4EB276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5A46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left w:val="single" w:color="auto" w:sz="12" w:space="0"/>
            </w:tcBorders>
            <w:vAlign w:val="center"/>
          </w:tcPr>
          <w:p w14:paraId="0A1E269B">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7D62D4C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4349F23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4C5B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5B5B8383">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0A600D3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61266DFF">
      <w:pPr>
        <w:spacing w:line="360" w:lineRule="auto"/>
        <w:ind w:left="420"/>
        <w:rPr>
          <w:rFonts w:hint="eastAsia" w:ascii="宋体" w:hAnsi="宋体" w:eastAsia="宋体" w:cs="宋体"/>
          <w:color w:val="auto"/>
          <w:sz w:val="21"/>
          <w:szCs w:val="21"/>
          <w:highlight w:val="none"/>
        </w:rPr>
      </w:pPr>
    </w:p>
    <w:p w14:paraId="555DE64A">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DB5809A">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741AF0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59A489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D4435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3E4DF9B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B533BEB">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7B24A927">
      <w:pPr>
        <w:keepNext w:val="0"/>
        <w:keepLines w:val="0"/>
        <w:pageBreakBefore w:val="0"/>
        <w:kinsoku/>
        <w:overflowPunct/>
        <w:topLinePunct w:val="0"/>
        <w:bidi w:val="0"/>
        <w:spacing w:line="360" w:lineRule="auto"/>
        <w:outlineLvl w:val="9"/>
        <w:rPr>
          <w:rFonts w:hint="default" w:ascii="宋体" w:hAnsi="宋体" w:eastAsia="宋体" w:cs="宋体"/>
          <w:b/>
          <w:color w:val="auto"/>
          <w:sz w:val="28"/>
          <w:highlight w:val="none"/>
          <w:lang w:val="en-US"/>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13C0556A">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3EBF4B4C">
      <w:pPr>
        <w:pStyle w:val="10"/>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2"/>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5FC0D36F">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361375B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18E6FED">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7BEC55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4B2EEA">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69CD75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偏离情况</w:t>
            </w:r>
          </w:p>
        </w:tc>
      </w:tr>
      <w:tr w14:paraId="1D8B9563">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3F29DB1C">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3DA19A3">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服务期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BF1EDB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D61B6F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3A7C6C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166343D">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48041CE9">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07FE0A7">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2C5FCBF6">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0FDDBE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35B401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B94D78F">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6AC3A0AF">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6B34770">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09C2C0A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3850522">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43037D9">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2D382063">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410D37ED">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980BCE5">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600B2E5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70AAB39">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C1DBEB4">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253E1A3B">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7C1277A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CB7EB5F">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A5DAE9A">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4DD4B86">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1F6D312">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偏离情况</w:t>
            </w:r>
          </w:p>
        </w:tc>
      </w:tr>
      <w:tr w14:paraId="0775680C">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2669D57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A19C017">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EDE4843">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308351D">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835A6A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DC22B6C">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053C778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34BCE9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0A32B9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3D9CC06">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8E11DE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CFE78AD">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24E1728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30D9C6F">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9AEE26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AC10A2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501EBF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38DC82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8578B1C">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D3A3034">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1B14CF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4EE1D14">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401B67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2E02221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E830E0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BDF62C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6C363BBD">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2C9E15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6C4370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CEC3149">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2CF6FD6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A5930E9">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BC1C78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A04BA66">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009E20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EB051FC">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53E3685">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A11281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946B42D">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C764304">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2F485AA">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00F9E049">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63D815FF">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6ECA083E">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AEE06BC">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1CC478B7">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4B1904DA">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0EE56E17">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399BAC98">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2E7BD380">
      <w:pPr>
        <w:pStyle w:val="40"/>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A62D23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52F0E40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ABF626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584CC1DA">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4451AEAA">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440CEE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44F53AE3">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148A3173">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29656327">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32A9810D">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64C1E0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07E53E6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49D6A7D1">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6A0C7EFA">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11354E90">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74458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3E3118D1">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6FA6258">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4EBC584A">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77561630">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083676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2AB3D7C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5CFC5C51">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6680D18">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2CC8A171">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4632B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59F6421">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479BCBD">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5B7257F6">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2E14F67E">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95C5F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3E49691">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28F40B4">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532291F4">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7C58B32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528F3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7F35E28">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59DF5081">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27B0FD5">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2FF9C348">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824E0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64D1FC49">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2189866E">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0FBA45C9">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13AA3063">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7C951BC1">
      <w:pPr>
        <w:pStyle w:val="44"/>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152793F3">
      <w:pPr>
        <w:pStyle w:val="44"/>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48B2C12B">
      <w:pPr>
        <w:pStyle w:val="44"/>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2B3CCBF3">
      <w:pPr>
        <w:pStyle w:val="44"/>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0E4F30CE">
      <w:pPr>
        <w:pStyle w:val="44"/>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4477D8D5">
      <w:pPr>
        <w:pStyle w:val="44"/>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52C73400">
      <w:pPr>
        <w:pStyle w:val="44"/>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10887249">
      <w:pPr>
        <w:pStyle w:val="44"/>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2E32830B">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63BD2A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3D554508">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799DB9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92E62A8">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62059FF">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27581806">
      <w:pPr>
        <w:pStyle w:val="40"/>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C48618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88F05C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6D9AC8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89AEA6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6D43C757">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366114C9">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2"/>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28EF6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1096F08C">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51014CF5">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667D8699">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595EDCDD">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59DC866">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31219F3D">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10644F77">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29A00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FD97FC6">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5FC6CA2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151EC6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31AA747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66D1DD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320089D9">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70F33193">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69BD2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706110F">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ACF2F3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29A0E7C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39265456">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518F053">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8814F21">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5BAC629">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07217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5878515B">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2624039">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68DDB9EF">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F83A00D">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96D00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5A88A41">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54F0C06">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A51A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0A73A9B">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5AF07665">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6061ED88">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C8E14D0">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F9EED8B">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B551210">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36D71AE4">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162E0E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0EEAFEF6">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7E395E4F">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68CEECF">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85B84E7">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BE6E38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75C5B6C">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44F84D87">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0A1A3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66CC3F7">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595B2970">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1200107">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3B208C34">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1D697C">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8CD5400">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05300CA6">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0916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50527DC">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7CB6659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6F67A15">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A0AABB8">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1479709">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1032EB41">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7245FB74">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0C1C2861">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5C7DD40">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09B4FC3A">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63E72B55">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48923CF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53E82D7">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D24B68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A4ED63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07B8EA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368CF14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56A37C6E">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F64936">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1C2EF025">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84EAF71">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77C3BDD0">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1109119B">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30CF87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17BB833A">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0CBF55E8">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78376310">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7B62A32F">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52EC23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4B8CCF2C">
            <w:pPr>
              <w:pStyle w:val="45"/>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03DF6C83">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cs="Arial"/>
                <w:bCs/>
                <w:color w:val="auto"/>
                <w:szCs w:val="21"/>
                <w:highlight w:val="none"/>
                <w:lang w:val="en-US" w:eastAsia="zh-CN"/>
              </w:rPr>
              <w:t>服务期</w:t>
            </w:r>
            <w:r>
              <w:rPr>
                <w:rFonts w:hint="eastAsia" w:ascii="宋体" w:hAnsi="宋体" w:cs="Arial"/>
                <w:bCs/>
                <w:color w:val="auto"/>
                <w:szCs w:val="21"/>
                <w:highlight w:val="none"/>
              </w:rPr>
              <w:t>内售后服务情况(</w:t>
            </w:r>
            <w:r>
              <w:rPr>
                <w:rFonts w:ascii="宋体" w:hAnsi="宋体" w:cs="Arial"/>
                <w:bCs/>
                <w:color w:val="auto"/>
                <w:szCs w:val="21"/>
                <w:highlight w:val="none"/>
              </w:rPr>
              <w:t>服务</w:t>
            </w:r>
            <w:r>
              <w:rPr>
                <w:rFonts w:hint="eastAsia" w:ascii="宋体" w:hAnsi="宋体" w:cs="Arial"/>
                <w:bCs/>
                <w:color w:val="auto"/>
                <w:szCs w:val="21"/>
                <w:highlight w:val="none"/>
              </w:rPr>
              <w:t>方式、服务网点</w:t>
            </w:r>
            <w:r>
              <w:rPr>
                <w:rFonts w:ascii="宋体" w:hAnsi="宋体" w:cs="Arial"/>
                <w:bCs/>
                <w:color w:val="auto"/>
                <w:szCs w:val="21"/>
                <w:highlight w:val="none"/>
              </w:rPr>
              <w:t>、售后服务的内容和措施</w:t>
            </w:r>
            <w:r>
              <w:rPr>
                <w:rFonts w:hint="eastAsia" w:ascii="宋体" w:hAnsi="宋体" w:cs="Arial"/>
                <w:bCs/>
                <w:color w:val="auto"/>
                <w:szCs w:val="21"/>
                <w:highlight w:val="none"/>
              </w:rPr>
              <w:t>等等，可用附页和宣传材料)</w:t>
            </w:r>
          </w:p>
        </w:tc>
        <w:tc>
          <w:tcPr>
            <w:tcW w:w="4061" w:type="dxa"/>
            <w:noWrap w:val="0"/>
            <w:vAlign w:val="top"/>
          </w:tcPr>
          <w:p w14:paraId="034512A3">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cs="Arial"/>
                <w:bCs/>
                <w:color w:val="auto"/>
                <w:szCs w:val="21"/>
                <w:highlight w:val="none"/>
              </w:rPr>
              <w:t>磋商供应商售后服务情况：</w:t>
            </w:r>
          </w:p>
        </w:tc>
        <w:tc>
          <w:tcPr>
            <w:tcW w:w="1373" w:type="dxa"/>
            <w:noWrap w:val="0"/>
            <w:vAlign w:val="top"/>
          </w:tcPr>
          <w:p w14:paraId="700EFC7D">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7D455F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67" w:hRule="exact"/>
          <w:jc w:val="center"/>
        </w:trPr>
        <w:tc>
          <w:tcPr>
            <w:tcW w:w="739" w:type="dxa"/>
            <w:noWrap w:val="0"/>
            <w:vAlign w:val="center"/>
          </w:tcPr>
          <w:p w14:paraId="5BA49983">
            <w:pPr>
              <w:pStyle w:val="45"/>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2EB62219">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cs="Arial"/>
                <w:bCs/>
                <w:color w:val="auto"/>
                <w:szCs w:val="21"/>
                <w:highlight w:val="none"/>
                <w:lang w:val="en-US" w:eastAsia="zh-CN"/>
              </w:rPr>
              <w:t>服务期</w:t>
            </w:r>
            <w:r>
              <w:rPr>
                <w:rFonts w:hint="eastAsia" w:ascii="宋体" w:hAnsi="宋体" w:cs="Arial"/>
                <w:bCs/>
                <w:color w:val="auto"/>
                <w:szCs w:val="21"/>
                <w:highlight w:val="none"/>
              </w:rPr>
              <w:t>后售后服务</w:t>
            </w:r>
          </w:p>
        </w:tc>
        <w:tc>
          <w:tcPr>
            <w:tcW w:w="4061" w:type="dxa"/>
            <w:noWrap w:val="0"/>
            <w:vAlign w:val="top"/>
          </w:tcPr>
          <w:p w14:paraId="1F2C4A0E">
            <w:pPr>
              <w:pStyle w:val="45"/>
              <w:keepNext w:val="0"/>
              <w:keepLines w:val="0"/>
              <w:pageBreakBefore w:val="0"/>
              <w:widowControl/>
              <w:kinsoku/>
              <w:overflowPunct/>
              <w:topLinePunct w:val="0"/>
              <w:bidi w:val="0"/>
              <w:spacing w:line="360" w:lineRule="auto"/>
              <w:jc w:val="left"/>
              <w:outlineLvl w:val="9"/>
              <w:rPr>
                <w:rFonts w:ascii="宋体" w:hAnsi="宋体" w:cs="Arial"/>
                <w:bCs/>
                <w:color w:val="auto"/>
                <w:szCs w:val="21"/>
                <w:highlight w:val="none"/>
              </w:rPr>
            </w:pPr>
          </w:p>
          <w:p w14:paraId="67FE9039">
            <w:pPr>
              <w:pStyle w:val="45"/>
              <w:keepNext w:val="0"/>
              <w:keepLines w:val="0"/>
              <w:pageBreakBefore w:val="0"/>
              <w:widowControl/>
              <w:kinsoku/>
              <w:overflowPunct/>
              <w:topLinePunct w:val="0"/>
              <w:bidi w:val="0"/>
              <w:spacing w:line="360" w:lineRule="auto"/>
              <w:jc w:val="left"/>
              <w:outlineLvl w:val="9"/>
              <w:rPr>
                <w:rFonts w:ascii="宋体" w:hAnsi="宋体" w:cs="Arial"/>
                <w:bCs/>
                <w:color w:val="auto"/>
                <w:szCs w:val="21"/>
                <w:highlight w:val="none"/>
              </w:rPr>
            </w:pPr>
          </w:p>
          <w:p w14:paraId="52154B78">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50604BE7">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2501E968">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7725CA2B">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524CC7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2C7AE93D">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noWrap w:val="0"/>
            <w:vAlign w:val="center"/>
          </w:tcPr>
          <w:p w14:paraId="0F47B0F6">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noWrap w:val="0"/>
            <w:vAlign w:val="top"/>
          </w:tcPr>
          <w:p w14:paraId="320EE87F">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36AECC82">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6CE61F07">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21E01905">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7932C4B1">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4E9799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2595CC94">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5FC186F5">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72EF2225">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211432D2">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304C64F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6811E9D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2B945E48">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2B3675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6BB92FD">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30A9D5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166B67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57B464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0C64CE0">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1235F8D">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54329C1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65777390">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2938020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28B63E9">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w:t>
      </w:r>
      <w:r>
        <w:rPr>
          <w:rFonts w:hint="eastAsia" w:ascii="宋体" w:hAnsi="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33573650">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7F0A0D4A">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E05F2FB">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7DBC9DB6">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1E314A6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0E87C29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3AC2984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42E9EC0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154B70E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30F5CAF5">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7F6D009">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766A1F73">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6E4605D2">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1EA81706">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0C1E1B30">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363ADCE3">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34F9A7F7">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2508EE8A">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1、开标</w:t>
      </w:r>
      <w:r>
        <w:rPr>
          <w:rFonts w:hint="eastAsia" w:ascii="宋体" w:hAnsi="宋体" w:eastAsia="宋体" w:cs="宋体"/>
          <w:color w:val="auto"/>
          <w:sz w:val="21"/>
          <w:szCs w:val="21"/>
          <w:highlight w:val="none"/>
        </w:rPr>
        <w:t>一览表（附件1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0A086AAB">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、报价明细表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附件1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p>
    <w:p w14:paraId="3B09371C">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针对报价投标人认为其他需要说明的；</w:t>
      </w:r>
    </w:p>
    <w:p w14:paraId="57FCCD1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2344F69C">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eastAsia="宋体" w:cs="宋体"/>
          <w:b/>
          <w:color w:val="auto"/>
          <w:sz w:val="30"/>
          <w:szCs w:val="30"/>
          <w:highlight w:val="none"/>
        </w:rPr>
        <w:t xml:space="preserve">                                     </w:t>
      </w:r>
    </w:p>
    <w:p w14:paraId="1894AA70">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2243A3AF">
      <w:pPr>
        <w:pStyle w:val="10"/>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5AEF1F05">
      <w:pPr>
        <w:pStyle w:val="10"/>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42367F00">
      <w:pPr>
        <w:pStyle w:val="49"/>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3B3D593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60BD3005">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投标总</w:t>
            </w:r>
            <w:r>
              <w:rPr>
                <w:rFonts w:hint="eastAsia" w:ascii="宋体" w:hAnsi="宋体" w:eastAsia="宋体" w:cs="宋体"/>
                <w:color w:val="auto"/>
                <w:sz w:val="21"/>
                <w:szCs w:val="21"/>
                <w:highlight w:val="none"/>
              </w:rPr>
              <w:t>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13C8AAFE">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7D8B95F2">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0633768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2597E1DD">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1C9E2845">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1830F0C0">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bl>
    <w:p w14:paraId="77BF2680">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 w:val="21"/>
          <w:szCs w:val="21"/>
          <w:highlight w:val="none"/>
        </w:rPr>
      </w:pPr>
    </w:p>
    <w:p w14:paraId="37264CB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544A4978">
      <w:pPr>
        <w:pStyle w:val="5"/>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Theme="minorEastAsia" w:hAnsiTheme="minorEastAsia" w:eastAsiaTheme="minorEastAsia" w:cstheme="minorEastAsia"/>
          <w:color w:val="auto"/>
          <w:szCs w:val="21"/>
          <w:highlight w:val="none"/>
        </w:rPr>
        <w:t>投标总报价为完成本项目的所有费用，</w:t>
      </w:r>
      <w:r>
        <w:rPr>
          <w:rFonts w:hint="eastAsia" w:asciiTheme="minorEastAsia" w:hAnsiTheme="minorEastAsia" w:eastAsiaTheme="minorEastAsia" w:cstheme="minorEastAsia"/>
          <w:bCs/>
          <w:color w:val="auto"/>
          <w:sz w:val="21"/>
          <w:szCs w:val="21"/>
          <w:highlight w:val="none"/>
          <w:lang w:val="en-US" w:eastAsia="zh-CN"/>
        </w:rPr>
        <w:t>包括</w:t>
      </w:r>
      <w:r>
        <w:rPr>
          <w:rFonts w:hint="eastAsia" w:asciiTheme="minorEastAsia" w:hAnsiTheme="minorEastAsia" w:eastAsiaTheme="minorEastAsia" w:cstheme="minorEastAsia"/>
          <w:bCs/>
          <w:color w:val="auto"/>
          <w:sz w:val="21"/>
          <w:szCs w:val="21"/>
          <w:highlight w:val="none"/>
        </w:rPr>
        <w:t>利润、税收、管理费、</w:t>
      </w:r>
      <w:r>
        <w:rPr>
          <w:rFonts w:hint="eastAsia" w:asciiTheme="minorEastAsia" w:hAnsiTheme="minorEastAsia" w:eastAsiaTheme="minorEastAsia" w:cstheme="minorEastAsia"/>
          <w:bCs/>
          <w:color w:val="auto"/>
          <w:sz w:val="21"/>
          <w:szCs w:val="21"/>
          <w:highlight w:val="none"/>
          <w:lang w:eastAsia="zh-CN"/>
        </w:rPr>
        <w:t>信息采集费用、</w:t>
      </w:r>
      <w:r>
        <w:rPr>
          <w:rFonts w:hint="eastAsia" w:asciiTheme="minorEastAsia" w:hAnsiTheme="minorEastAsia" w:eastAsiaTheme="minorEastAsia" w:cstheme="minorEastAsia"/>
          <w:bCs/>
          <w:color w:val="auto"/>
          <w:sz w:val="21"/>
          <w:szCs w:val="21"/>
          <w:highlight w:val="none"/>
        </w:rPr>
        <w:t>设备购置维修费、方案计划评审费、不可预见费、招标代理服务费及处理一切伤亡事故等完成合同所需的一切本身和不可或缺的所有工作开支、政策性文件规定及合同包含的所有风险、责任等各项全部费用</w:t>
      </w:r>
      <w:r>
        <w:rPr>
          <w:rFonts w:hint="eastAsia" w:asciiTheme="minorEastAsia" w:hAnsiTheme="minorEastAsia" w:eastAsiaTheme="minorEastAsia" w:cstheme="minorEastAsia"/>
          <w:color w:val="auto"/>
          <w:szCs w:val="21"/>
          <w:highlight w:val="none"/>
        </w:rPr>
        <w:t>，全部费用已包含在投标报价中</w:t>
      </w:r>
      <w:r>
        <w:rPr>
          <w:rFonts w:hint="eastAsia" w:ascii="宋体" w:hAnsi="宋体"/>
          <w:color w:val="auto"/>
          <w:kern w:val="0"/>
          <w:szCs w:val="21"/>
          <w:highlight w:val="none"/>
        </w:rPr>
        <w:t>。</w:t>
      </w:r>
    </w:p>
    <w:p w14:paraId="451740F0">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 w:val="21"/>
          <w:szCs w:val="21"/>
          <w:highlight w:val="none"/>
          <w:u w:val="singl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或盖章，否则作无效标处理。</w:t>
      </w:r>
    </w:p>
    <w:p w14:paraId="5321F12B">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25AC75FB">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5D33A221">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DA2AADB">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5D19260C">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2F846A1">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79B7506C">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DD2F82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27FFD53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0293C13">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4AC3E5CC">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60468F59">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6B7309ED">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67B4B375">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6</w:t>
      </w:r>
    </w:p>
    <w:p w14:paraId="4D0DE78F">
      <w:pPr>
        <w:keepNext w:val="0"/>
        <w:keepLines w:val="0"/>
        <w:pageBreakBefore w:val="0"/>
        <w:kinsoku/>
        <w:overflowPunct/>
        <w:topLinePunct w:val="0"/>
        <w:bidi w:val="0"/>
        <w:spacing w:line="360" w:lineRule="auto"/>
        <w:ind w:left="480"/>
        <w:jc w:val="center"/>
        <w:outlineLvl w:val="9"/>
        <w:rPr>
          <w:rFonts w:hint="eastAsia" w:ascii="宋体" w:hAnsi="宋体" w:eastAsia="宋体" w:cs="宋体"/>
          <w:color w:val="auto"/>
          <w:highlight w:val="none"/>
          <w:lang w:eastAsia="zh-CN"/>
        </w:rPr>
      </w:pPr>
      <w:r>
        <w:rPr>
          <w:rFonts w:hint="eastAsia" w:ascii="宋体" w:hAnsi="宋体" w:eastAsia="宋体" w:cs="宋体"/>
          <w:b/>
          <w:color w:val="auto"/>
          <w:sz w:val="32"/>
          <w:szCs w:val="32"/>
          <w:highlight w:val="none"/>
        </w:rPr>
        <w:t>报价明细表</w:t>
      </w:r>
    </w:p>
    <w:p w14:paraId="03BCABDC">
      <w:pPr>
        <w:keepNext w:val="0"/>
        <w:keepLines w:val="0"/>
        <w:pageBreakBefore w:val="0"/>
        <w:kinsoku/>
        <w:overflowPunct/>
        <w:topLinePunct w:val="0"/>
        <w:bidi w:val="0"/>
        <w:spacing w:line="360" w:lineRule="auto"/>
        <w:outlineLvl w:val="9"/>
        <w:rPr>
          <w:rFonts w:hint="eastAsia" w:ascii="宋体" w:hAnsi="宋体" w:eastAsia="宋体" w:cs="宋体"/>
          <w:color w:val="auto"/>
          <w:sz w:val="24"/>
          <w:highlight w:val="none"/>
        </w:rPr>
      </w:pPr>
    </w:p>
    <w:p w14:paraId="0B15D398">
      <w:pPr>
        <w:pStyle w:val="10"/>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48DC01CD">
      <w:pPr>
        <w:pStyle w:val="49"/>
        <w:keepNext w:val="0"/>
        <w:keepLines w:val="0"/>
        <w:pageBreakBefore w:val="0"/>
        <w:kinsoku/>
        <w:overflowPunct/>
        <w:topLinePunct w:val="0"/>
        <w:bidi w:val="0"/>
        <w:spacing w:line="360" w:lineRule="auto"/>
        <w:ind w:right="480"/>
        <w:jc w:val="left"/>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r>
        <w:rPr>
          <w:rFonts w:hint="eastAsia" w:ascii="宋体" w:hAnsi="宋体" w:eastAsia="宋体" w:cs="宋体"/>
          <w:color w:val="auto"/>
          <w:sz w:val="24"/>
          <w:highlight w:val="none"/>
        </w:rPr>
        <w:t xml:space="preserve">                             </w:t>
      </w:r>
    </w:p>
    <w:tbl>
      <w:tblPr>
        <w:tblStyle w:val="22"/>
        <w:tblW w:w="8919"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3019"/>
        <w:gridCol w:w="1146"/>
        <w:gridCol w:w="2035"/>
        <w:gridCol w:w="1213"/>
        <w:gridCol w:w="709"/>
      </w:tblGrid>
      <w:tr w14:paraId="67F8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97" w:type="dxa"/>
            <w:vAlign w:val="center"/>
          </w:tcPr>
          <w:p w14:paraId="60EAA59C">
            <w:pPr>
              <w:keepNext w:val="0"/>
              <w:keepLines w:val="0"/>
              <w:pageBreakBefore w:val="0"/>
              <w:kinsoku/>
              <w:wordWrap/>
              <w:overflowPunct/>
              <w:topLinePunct w:val="0"/>
              <w:bidi w:val="0"/>
              <w:spacing w:line="360" w:lineRule="auto"/>
              <w:jc w:val="center"/>
              <w:outlineLvl w:val="9"/>
              <w:rPr>
                <w:rFonts w:ascii="宋体" w:hAnsi="宋体"/>
                <w:b/>
                <w:color w:val="auto"/>
                <w:sz w:val="24"/>
                <w:highlight w:val="none"/>
              </w:rPr>
            </w:pPr>
            <w:r>
              <w:rPr>
                <w:rFonts w:hint="eastAsia" w:ascii="宋体" w:hAnsi="宋体"/>
                <w:b/>
                <w:color w:val="auto"/>
                <w:sz w:val="24"/>
                <w:highlight w:val="none"/>
              </w:rPr>
              <w:t>序号</w:t>
            </w:r>
          </w:p>
        </w:tc>
        <w:tc>
          <w:tcPr>
            <w:tcW w:w="3019" w:type="dxa"/>
            <w:vAlign w:val="center"/>
          </w:tcPr>
          <w:p w14:paraId="05BDA6D1">
            <w:pPr>
              <w:keepNext w:val="0"/>
              <w:keepLines w:val="0"/>
              <w:pageBreakBefore w:val="0"/>
              <w:tabs>
                <w:tab w:val="left" w:pos="8280"/>
              </w:tabs>
              <w:kinsoku/>
              <w:wordWrap/>
              <w:overflowPunct/>
              <w:topLinePunct w:val="0"/>
              <w:autoSpaceDE w:val="0"/>
              <w:autoSpaceDN w:val="0"/>
              <w:bidi w:val="0"/>
              <w:adjustRightInd w:val="0"/>
              <w:spacing w:line="360" w:lineRule="auto"/>
              <w:ind w:right="25"/>
              <w:jc w:val="center"/>
              <w:outlineLvl w:val="9"/>
              <w:rPr>
                <w:rFonts w:ascii="宋体" w:hAnsi="宋体"/>
                <w:b/>
                <w:color w:val="auto"/>
                <w:sz w:val="24"/>
                <w:highlight w:val="none"/>
              </w:rPr>
            </w:pPr>
            <w:r>
              <w:rPr>
                <w:rFonts w:hint="eastAsia" w:ascii="宋体" w:hAnsi="宋体"/>
                <w:b/>
                <w:color w:val="auto"/>
                <w:sz w:val="24"/>
                <w:highlight w:val="none"/>
                <w:lang w:val="en-US" w:eastAsia="zh-CN"/>
              </w:rPr>
              <w:t>名称</w:t>
            </w:r>
          </w:p>
        </w:tc>
        <w:tc>
          <w:tcPr>
            <w:tcW w:w="1146" w:type="dxa"/>
            <w:vAlign w:val="center"/>
          </w:tcPr>
          <w:p w14:paraId="73F44634">
            <w:pPr>
              <w:keepNext w:val="0"/>
              <w:keepLines w:val="0"/>
              <w:pageBreakBefore w:val="0"/>
              <w:kinsoku/>
              <w:wordWrap/>
              <w:overflowPunct/>
              <w:topLinePunct w:val="0"/>
              <w:bidi w:val="0"/>
              <w:spacing w:line="360" w:lineRule="auto"/>
              <w:jc w:val="center"/>
              <w:outlineLvl w:val="9"/>
              <w:rPr>
                <w:rFonts w:ascii="宋体" w:hAnsi="宋体"/>
                <w:b/>
                <w:color w:val="auto"/>
                <w:sz w:val="24"/>
                <w:highlight w:val="none"/>
              </w:rPr>
            </w:pPr>
            <w:r>
              <w:rPr>
                <w:rFonts w:hint="eastAsia" w:ascii="宋体" w:hAnsi="宋体"/>
                <w:b/>
                <w:color w:val="auto"/>
                <w:sz w:val="24"/>
                <w:highlight w:val="none"/>
              </w:rPr>
              <w:t>数量</w:t>
            </w:r>
          </w:p>
        </w:tc>
        <w:tc>
          <w:tcPr>
            <w:tcW w:w="2035" w:type="dxa"/>
            <w:vAlign w:val="center"/>
          </w:tcPr>
          <w:p w14:paraId="3A1152FA">
            <w:pPr>
              <w:keepNext w:val="0"/>
              <w:keepLines w:val="0"/>
              <w:pageBreakBefore w:val="0"/>
              <w:kinsoku/>
              <w:wordWrap/>
              <w:overflowPunct/>
              <w:topLinePunct w:val="0"/>
              <w:bidi w:val="0"/>
              <w:spacing w:line="360" w:lineRule="auto"/>
              <w:jc w:val="center"/>
              <w:outlineLvl w:val="9"/>
              <w:rPr>
                <w:rFonts w:ascii="宋体" w:hAnsi="宋体"/>
                <w:b/>
                <w:color w:val="auto"/>
                <w:sz w:val="24"/>
                <w:highlight w:val="none"/>
              </w:rPr>
            </w:pPr>
            <w:r>
              <w:rPr>
                <w:rFonts w:hint="eastAsia" w:ascii="宋体" w:hAnsi="宋体"/>
                <w:b/>
                <w:color w:val="auto"/>
                <w:sz w:val="24"/>
                <w:highlight w:val="none"/>
              </w:rPr>
              <w:t>单价（元/人/月）</w:t>
            </w:r>
          </w:p>
        </w:tc>
        <w:tc>
          <w:tcPr>
            <w:tcW w:w="1213" w:type="dxa"/>
            <w:vAlign w:val="center"/>
          </w:tcPr>
          <w:p w14:paraId="7CBCB546">
            <w:pPr>
              <w:keepNext w:val="0"/>
              <w:keepLines w:val="0"/>
              <w:pageBreakBefore w:val="0"/>
              <w:kinsoku/>
              <w:wordWrap/>
              <w:overflowPunct/>
              <w:topLinePunct w:val="0"/>
              <w:bidi w:val="0"/>
              <w:spacing w:line="360" w:lineRule="auto"/>
              <w:jc w:val="center"/>
              <w:outlineLvl w:val="9"/>
              <w:rPr>
                <w:rFonts w:ascii="宋体" w:hAnsi="宋体"/>
                <w:b/>
                <w:color w:val="auto"/>
                <w:sz w:val="24"/>
                <w:highlight w:val="none"/>
              </w:rPr>
            </w:pPr>
            <w:r>
              <w:rPr>
                <w:rFonts w:hint="eastAsia" w:ascii="宋体" w:hAnsi="宋体"/>
                <w:b/>
                <w:color w:val="auto"/>
                <w:sz w:val="24"/>
                <w:highlight w:val="none"/>
              </w:rPr>
              <w:t>小计</w:t>
            </w:r>
          </w:p>
        </w:tc>
        <w:tc>
          <w:tcPr>
            <w:tcW w:w="709" w:type="dxa"/>
            <w:vAlign w:val="center"/>
          </w:tcPr>
          <w:p w14:paraId="7FAD3925">
            <w:pPr>
              <w:keepNext w:val="0"/>
              <w:keepLines w:val="0"/>
              <w:pageBreakBefore w:val="0"/>
              <w:kinsoku/>
              <w:wordWrap/>
              <w:overflowPunct/>
              <w:topLinePunct w:val="0"/>
              <w:bidi w:val="0"/>
              <w:spacing w:line="360" w:lineRule="auto"/>
              <w:jc w:val="center"/>
              <w:outlineLvl w:val="9"/>
              <w:rPr>
                <w:rFonts w:ascii="宋体" w:hAnsi="宋体"/>
                <w:b/>
                <w:color w:val="auto"/>
                <w:sz w:val="24"/>
                <w:highlight w:val="none"/>
              </w:rPr>
            </w:pPr>
            <w:r>
              <w:rPr>
                <w:rFonts w:hint="eastAsia" w:ascii="宋体" w:hAnsi="宋体"/>
                <w:b/>
                <w:color w:val="auto"/>
                <w:sz w:val="24"/>
                <w:highlight w:val="none"/>
              </w:rPr>
              <w:t>备注</w:t>
            </w:r>
          </w:p>
        </w:tc>
      </w:tr>
      <w:tr w14:paraId="2593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97" w:type="dxa"/>
            <w:vAlign w:val="center"/>
          </w:tcPr>
          <w:p w14:paraId="45F79654">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3019" w:type="dxa"/>
            <w:vAlign w:val="center"/>
          </w:tcPr>
          <w:p w14:paraId="1F76014A">
            <w:pPr>
              <w:keepNext w:val="0"/>
              <w:keepLines w:val="0"/>
              <w:pageBreakBefore w:val="0"/>
              <w:kinsoku/>
              <w:wordWrap/>
              <w:overflowPunct/>
              <w:topLinePunct w:val="0"/>
              <w:bidi w:val="0"/>
              <w:spacing w:line="360" w:lineRule="auto"/>
              <w:jc w:val="center"/>
              <w:outlineLvl w:val="9"/>
              <w:rPr>
                <w:rFonts w:ascii="宋体" w:hAnsi="宋体"/>
                <w:color w:val="auto"/>
                <w:sz w:val="24"/>
                <w:highlight w:val="none"/>
              </w:rPr>
            </w:pPr>
            <w:r>
              <w:rPr>
                <w:rFonts w:hint="eastAsia" w:asciiTheme="minorEastAsia" w:hAnsiTheme="minorEastAsia" w:eastAsiaTheme="minorEastAsia" w:cstheme="minorEastAsia"/>
                <w:color w:val="auto"/>
                <w:sz w:val="21"/>
                <w:szCs w:val="21"/>
                <w:highlight w:val="none"/>
              </w:rPr>
              <w:t>人员费用（不含加班补贴）</w:t>
            </w:r>
          </w:p>
        </w:tc>
        <w:tc>
          <w:tcPr>
            <w:tcW w:w="1146" w:type="dxa"/>
            <w:vAlign w:val="center"/>
          </w:tcPr>
          <w:p w14:paraId="391DCA97">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2035" w:type="dxa"/>
            <w:vAlign w:val="center"/>
          </w:tcPr>
          <w:p w14:paraId="67852456">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1213" w:type="dxa"/>
            <w:vAlign w:val="center"/>
          </w:tcPr>
          <w:p w14:paraId="3364040F">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709" w:type="dxa"/>
            <w:vAlign w:val="center"/>
          </w:tcPr>
          <w:p w14:paraId="18F2DB70">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r>
      <w:tr w14:paraId="37A7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97" w:type="dxa"/>
            <w:vAlign w:val="center"/>
          </w:tcPr>
          <w:p w14:paraId="275C7E78">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3019" w:type="dxa"/>
            <w:vAlign w:val="center"/>
          </w:tcPr>
          <w:p w14:paraId="1F0F6921">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1146" w:type="dxa"/>
            <w:vAlign w:val="center"/>
          </w:tcPr>
          <w:p w14:paraId="4A7B05E2">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2035" w:type="dxa"/>
            <w:vAlign w:val="center"/>
          </w:tcPr>
          <w:p w14:paraId="39420756">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1213" w:type="dxa"/>
            <w:vAlign w:val="center"/>
          </w:tcPr>
          <w:p w14:paraId="2FA4426F">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709" w:type="dxa"/>
            <w:vAlign w:val="center"/>
          </w:tcPr>
          <w:p w14:paraId="6A51B82C">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r>
      <w:tr w14:paraId="51A5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97" w:type="dxa"/>
            <w:vAlign w:val="center"/>
          </w:tcPr>
          <w:p w14:paraId="32925851">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3019" w:type="dxa"/>
            <w:vAlign w:val="center"/>
          </w:tcPr>
          <w:p w14:paraId="398DD9A0">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1146" w:type="dxa"/>
            <w:vAlign w:val="center"/>
          </w:tcPr>
          <w:p w14:paraId="74DEDAC9">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2035" w:type="dxa"/>
            <w:vAlign w:val="center"/>
          </w:tcPr>
          <w:p w14:paraId="34E81DC2">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1213" w:type="dxa"/>
            <w:vAlign w:val="center"/>
          </w:tcPr>
          <w:p w14:paraId="1CBAC08D">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709" w:type="dxa"/>
            <w:vAlign w:val="center"/>
          </w:tcPr>
          <w:p w14:paraId="38AB7174">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r>
      <w:tr w14:paraId="0E0F6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97" w:type="dxa"/>
            <w:vAlign w:val="center"/>
          </w:tcPr>
          <w:p w14:paraId="67A75C33">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3019" w:type="dxa"/>
            <w:vAlign w:val="center"/>
          </w:tcPr>
          <w:p w14:paraId="3E7EE79D">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1146" w:type="dxa"/>
            <w:vAlign w:val="center"/>
          </w:tcPr>
          <w:p w14:paraId="60151A72">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2035" w:type="dxa"/>
            <w:vAlign w:val="center"/>
          </w:tcPr>
          <w:p w14:paraId="2637F3F1">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1213" w:type="dxa"/>
            <w:vAlign w:val="center"/>
          </w:tcPr>
          <w:p w14:paraId="10A9AE1E">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709" w:type="dxa"/>
            <w:vAlign w:val="center"/>
          </w:tcPr>
          <w:p w14:paraId="58372A3A">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r>
      <w:tr w14:paraId="6560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97" w:type="dxa"/>
            <w:vAlign w:val="center"/>
          </w:tcPr>
          <w:p w14:paraId="00B56F46">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3019" w:type="dxa"/>
            <w:vAlign w:val="center"/>
          </w:tcPr>
          <w:p w14:paraId="35F6A602">
            <w:pPr>
              <w:keepNext w:val="0"/>
              <w:keepLines w:val="0"/>
              <w:pageBreakBefore w:val="0"/>
              <w:kinsoku/>
              <w:wordWrap/>
              <w:overflowPunct/>
              <w:topLinePunct w:val="0"/>
              <w:bidi w:val="0"/>
              <w:spacing w:line="360" w:lineRule="auto"/>
              <w:jc w:val="center"/>
              <w:outlineLvl w:val="9"/>
              <w:rPr>
                <w:rFonts w:ascii="宋体" w:hAnsi="宋体"/>
                <w:color w:val="auto"/>
                <w:sz w:val="24"/>
                <w:highlight w:val="none"/>
              </w:rPr>
            </w:pPr>
          </w:p>
        </w:tc>
        <w:tc>
          <w:tcPr>
            <w:tcW w:w="1146" w:type="dxa"/>
            <w:vAlign w:val="center"/>
          </w:tcPr>
          <w:p w14:paraId="4CCBFEEB">
            <w:pPr>
              <w:keepNext w:val="0"/>
              <w:keepLines w:val="0"/>
              <w:pageBreakBefore w:val="0"/>
              <w:kinsoku/>
              <w:wordWrap/>
              <w:overflowPunct/>
              <w:topLinePunct w:val="0"/>
              <w:bidi w:val="0"/>
              <w:spacing w:line="360" w:lineRule="auto"/>
              <w:jc w:val="center"/>
              <w:outlineLvl w:val="9"/>
              <w:rPr>
                <w:rFonts w:hint="default" w:ascii="宋体" w:hAnsi="宋体" w:eastAsia="宋体"/>
                <w:color w:val="auto"/>
                <w:sz w:val="24"/>
                <w:highlight w:val="none"/>
                <w:lang w:val="en-US" w:eastAsia="zh-CN"/>
              </w:rPr>
            </w:pPr>
          </w:p>
        </w:tc>
        <w:tc>
          <w:tcPr>
            <w:tcW w:w="2035" w:type="dxa"/>
            <w:vAlign w:val="center"/>
          </w:tcPr>
          <w:p w14:paraId="763CBB0C">
            <w:pPr>
              <w:keepNext w:val="0"/>
              <w:keepLines w:val="0"/>
              <w:pageBreakBefore w:val="0"/>
              <w:kinsoku/>
              <w:wordWrap/>
              <w:overflowPunct/>
              <w:topLinePunct w:val="0"/>
              <w:bidi w:val="0"/>
              <w:spacing w:line="360" w:lineRule="auto"/>
              <w:jc w:val="center"/>
              <w:outlineLvl w:val="9"/>
              <w:rPr>
                <w:rFonts w:hint="default" w:ascii="宋体" w:hAnsi="宋体" w:eastAsia="宋体"/>
                <w:color w:val="auto"/>
                <w:sz w:val="24"/>
                <w:highlight w:val="none"/>
                <w:lang w:val="en-US" w:eastAsia="zh-CN"/>
              </w:rPr>
            </w:pPr>
          </w:p>
        </w:tc>
        <w:tc>
          <w:tcPr>
            <w:tcW w:w="1213" w:type="dxa"/>
            <w:vAlign w:val="center"/>
          </w:tcPr>
          <w:p w14:paraId="32B58B3B">
            <w:pPr>
              <w:keepNext w:val="0"/>
              <w:keepLines w:val="0"/>
              <w:pageBreakBefore w:val="0"/>
              <w:kinsoku/>
              <w:wordWrap/>
              <w:overflowPunct/>
              <w:topLinePunct w:val="0"/>
              <w:bidi w:val="0"/>
              <w:spacing w:line="360" w:lineRule="auto"/>
              <w:jc w:val="center"/>
              <w:outlineLvl w:val="9"/>
              <w:rPr>
                <w:rFonts w:hint="default" w:ascii="宋体" w:hAnsi="宋体" w:eastAsia="宋体"/>
                <w:color w:val="auto"/>
                <w:sz w:val="24"/>
                <w:highlight w:val="none"/>
                <w:lang w:val="en-US" w:eastAsia="zh-CN"/>
              </w:rPr>
            </w:pPr>
          </w:p>
        </w:tc>
        <w:tc>
          <w:tcPr>
            <w:tcW w:w="709" w:type="dxa"/>
            <w:vAlign w:val="center"/>
          </w:tcPr>
          <w:p w14:paraId="1C28D2FE">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r>
      <w:tr w14:paraId="6E76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919" w:type="dxa"/>
            <w:gridSpan w:val="6"/>
            <w:tcBorders>
              <w:bottom w:val="single" w:color="auto" w:sz="4" w:space="0"/>
            </w:tcBorders>
            <w:vAlign w:val="center"/>
          </w:tcPr>
          <w:p w14:paraId="236BC631">
            <w:pPr>
              <w:keepNext w:val="0"/>
              <w:keepLines w:val="0"/>
              <w:pageBreakBefore w:val="0"/>
              <w:kinsoku/>
              <w:wordWrap/>
              <w:overflowPunct/>
              <w:topLinePunct w:val="0"/>
              <w:bidi w:val="0"/>
              <w:spacing w:line="360" w:lineRule="auto"/>
              <w:outlineLvl w:val="9"/>
              <w:rPr>
                <w:rFonts w:ascii="宋体" w:hAnsi="宋体"/>
                <w:b/>
                <w:color w:val="auto"/>
                <w:sz w:val="24"/>
                <w:highlight w:val="none"/>
              </w:rPr>
            </w:pPr>
            <w:r>
              <w:rPr>
                <w:rFonts w:hint="eastAsia" w:ascii="宋体" w:hAnsi="宋体"/>
                <w:b/>
                <w:color w:val="auto"/>
                <w:sz w:val="24"/>
                <w:highlight w:val="none"/>
              </w:rPr>
              <w:t>合计人民币：大写                               小写</w:t>
            </w:r>
          </w:p>
        </w:tc>
      </w:tr>
    </w:tbl>
    <w:p w14:paraId="7B1AD56E">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61A1769B">
      <w:pPr>
        <w:keepNext w:val="0"/>
        <w:keepLines w:val="0"/>
        <w:pageBreakBefore w:val="0"/>
        <w:kinsoku/>
        <w:overflowPunct/>
        <w:topLinePunct w:val="0"/>
        <w:bidi w:val="0"/>
        <w:spacing w:line="360" w:lineRule="auto"/>
        <w:ind w:left="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本表为《开标一览表》的报价明细表，如有缺项、漏项，视为投标报价中已包含相关费用，采购人无需另外支付任何费用。</w:t>
      </w:r>
    </w:p>
    <w:p w14:paraId="0134CB80">
      <w:pPr>
        <w:keepNext w:val="0"/>
        <w:keepLines w:val="0"/>
        <w:pageBreakBefore w:val="0"/>
        <w:kinsoku/>
        <w:overflowPunct/>
        <w:topLinePunct w:val="0"/>
        <w:bidi w:val="0"/>
        <w:spacing w:line="360" w:lineRule="auto"/>
        <w:ind w:left="4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“报价明细表”中的报价合计应与“开标一览表”中的投标总报价相一致，不一致时，以开标一览表为准。</w:t>
      </w:r>
    </w:p>
    <w:p w14:paraId="38F431A0">
      <w:pPr>
        <w:keepNext w:val="0"/>
        <w:keepLines w:val="0"/>
        <w:pageBreakBefore w:val="0"/>
        <w:kinsoku/>
        <w:overflowPunct/>
        <w:topLinePunct w:val="0"/>
        <w:bidi w:val="0"/>
        <w:spacing w:line="360" w:lineRule="auto"/>
        <w:ind w:left="435"/>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投标报价明细表所填内容按</w:t>
      </w:r>
      <w:r>
        <w:rPr>
          <w:rFonts w:hint="eastAsia" w:ascii="宋体"/>
          <w:color w:val="auto"/>
          <w:szCs w:val="21"/>
          <w:highlight w:val="none"/>
          <w:lang w:val="en-US" w:eastAsia="zh-CN"/>
        </w:rPr>
        <w:t>采购</w:t>
      </w:r>
      <w:r>
        <w:rPr>
          <w:rFonts w:hint="eastAsia" w:ascii="宋体"/>
          <w:color w:val="auto"/>
          <w:szCs w:val="21"/>
          <w:highlight w:val="none"/>
          <w:lang w:val="zh-CN"/>
        </w:rPr>
        <w:t>文件采购</w:t>
      </w:r>
      <w:r>
        <w:rPr>
          <w:rFonts w:hint="eastAsia" w:ascii="宋体"/>
          <w:color w:val="auto"/>
          <w:szCs w:val="21"/>
          <w:highlight w:val="none"/>
          <w:lang w:val="en-US" w:eastAsia="zh-CN"/>
        </w:rPr>
        <w:t>内容</w:t>
      </w:r>
      <w:r>
        <w:rPr>
          <w:rFonts w:hint="eastAsia" w:ascii="宋体"/>
          <w:color w:val="auto"/>
          <w:szCs w:val="21"/>
          <w:highlight w:val="none"/>
          <w:lang w:val="zh-CN"/>
        </w:rPr>
        <w:t>要求为准</w:t>
      </w:r>
      <w:r>
        <w:rPr>
          <w:rFonts w:hint="eastAsia" w:ascii="宋体" w:hAnsi="宋体" w:eastAsia="宋体" w:cs="宋体"/>
          <w:color w:val="auto"/>
          <w:szCs w:val="21"/>
          <w:highlight w:val="none"/>
          <w:lang w:val="zh-CN"/>
        </w:rPr>
        <w:t>。如有漏报的，视同已包含在投标总价内或已作优惠处理。有重大缺项的将作无效标处理。</w:t>
      </w:r>
    </w:p>
    <w:p w14:paraId="2936B2F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3DE96CA0">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p>
    <w:p w14:paraId="7107CD08">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3E141B6">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44F7EC49">
      <w:pPr>
        <w:keepNext w:val="0"/>
        <w:keepLines w:val="0"/>
        <w:pageBreakBefore w:val="0"/>
        <w:kinsoku/>
        <w:overflowPunct/>
        <w:topLinePunct w:val="0"/>
        <w:bidi w:val="0"/>
        <w:spacing w:line="320" w:lineRule="exact"/>
        <w:ind w:firstLine="435"/>
        <w:outlineLvl w:val="9"/>
        <w:rPr>
          <w:rFonts w:hint="eastAsia" w:ascii="宋体" w:hAnsi="宋体" w:eastAsia="宋体" w:cs="宋体"/>
          <w:color w:val="000000"/>
          <w:sz w:val="21"/>
          <w:szCs w:val="21"/>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000000"/>
          <w:sz w:val="21"/>
          <w:szCs w:val="21"/>
          <w:u w:val="single"/>
        </w:rPr>
        <w:t xml:space="preserve">                </w:t>
      </w:r>
    </w:p>
    <w:p w14:paraId="0A9DB882">
      <w:pPr>
        <w:keepNext w:val="0"/>
        <w:keepLines w:val="0"/>
        <w:pageBreakBefore w:val="0"/>
        <w:kinsoku/>
        <w:overflowPunct/>
        <w:topLinePunct w:val="0"/>
        <w:bidi w:val="0"/>
        <w:spacing w:line="320" w:lineRule="exact"/>
        <w:ind w:firstLine="435"/>
        <w:outlineLvl w:val="9"/>
        <w:rPr>
          <w:rFonts w:hint="eastAsia" w:ascii="宋体" w:hAnsi="宋体" w:eastAsia="宋体" w:cs="宋体"/>
          <w:color w:val="000000"/>
          <w:sz w:val="21"/>
          <w:szCs w:val="21"/>
        </w:rPr>
      </w:pPr>
    </w:p>
    <w:p w14:paraId="26BCB512">
      <w:pPr>
        <w:keepNext w:val="0"/>
        <w:keepLines w:val="0"/>
        <w:pageBreakBefore w:val="0"/>
        <w:kinsoku/>
        <w:overflowPunct/>
        <w:topLinePunct w:val="0"/>
        <w:bidi w:val="0"/>
        <w:spacing w:line="320" w:lineRule="exact"/>
        <w:ind w:firstLine="435"/>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职        务：</w:t>
      </w:r>
      <w:r>
        <w:rPr>
          <w:rFonts w:hint="eastAsia" w:ascii="宋体" w:hAnsi="宋体" w:eastAsia="宋体" w:cs="宋体"/>
          <w:color w:val="000000"/>
          <w:sz w:val="21"/>
          <w:szCs w:val="21"/>
          <w:u w:val="single"/>
        </w:rPr>
        <w:t xml:space="preserve">                             </w:t>
      </w:r>
    </w:p>
    <w:p w14:paraId="0F6A79F2">
      <w:pPr>
        <w:keepNext w:val="0"/>
        <w:keepLines w:val="0"/>
        <w:pageBreakBefore w:val="0"/>
        <w:kinsoku/>
        <w:overflowPunct/>
        <w:topLinePunct w:val="0"/>
        <w:bidi w:val="0"/>
        <w:spacing w:line="320" w:lineRule="exact"/>
        <w:ind w:firstLine="435"/>
        <w:outlineLvl w:val="9"/>
        <w:rPr>
          <w:rFonts w:hint="eastAsia" w:ascii="宋体" w:hAnsi="宋体" w:eastAsia="宋体" w:cs="宋体"/>
          <w:color w:val="000000"/>
          <w:sz w:val="21"/>
          <w:szCs w:val="21"/>
        </w:rPr>
      </w:pPr>
    </w:p>
    <w:p w14:paraId="73B38EE1">
      <w:pPr>
        <w:keepNext w:val="0"/>
        <w:keepLines w:val="0"/>
        <w:pageBreakBefore w:val="0"/>
        <w:kinsoku/>
        <w:overflowPunct/>
        <w:topLinePunct w:val="0"/>
        <w:bidi w:val="0"/>
        <w:spacing w:line="320" w:lineRule="exact"/>
        <w:ind w:firstLine="435"/>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日        期：</w:t>
      </w:r>
      <w:r>
        <w:rPr>
          <w:rFonts w:hint="eastAsia" w:ascii="宋体" w:hAnsi="宋体" w:eastAsia="宋体" w:cs="宋体"/>
          <w:color w:val="000000"/>
          <w:sz w:val="21"/>
          <w:szCs w:val="21"/>
          <w:u w:val="single"/>
        </w:rPr>
        <w:t xml:space="preserve">                             </w:t>
      </w:r>
    </w:p>
    <w:p w14:paraId="5A320F06">
      <w:pPr>
        <w:keepNext w:val="0"/>
        <w:keepLines w:val="0"/>
        <w:pageBreakBefore w:val="0"/>
        <w:kinsoku/>
        <w:overflowPunct/>
        <w:topLinePunct w:val="0"/>
        <w:bidi w:val="0"/>
        <w:spacing w:line="400" w:lineRule="exact"/>
        <w:outlineLvl w:val="9"/>
        <w:rPr>
          <w:rFonts w:hint="eastAsia" w:ascii="宋体" w:hAnsi="宋体" w:eastAsia="宋体" w:cs="宋体"/>
          <w:b/>
          <w:sz w:val="28"/>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87A21">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6E75F2">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796E75F2">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B6BDB">
    <w:pPr>
      <w:pStyle w:val="13"/>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6C92CD">
                          <w:pPr>
                            <w:pStyle w:val="13"/>
                            <w:rPr>
                              <w:rFonts w:eastAsia="宋体"/>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36C92CD">
                    <w:pPr>
                      <w:pStyle w:val="13"/>
                      <w:rPr>
                        <w:rFonts w:eastAsia="宋体"/>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6ACBD">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10D37">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09172">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4DCC3B">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44DCC3B">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EBAB1">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F3211">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79B0D">
    <w:pPr>
      <w:rPr>
        <w:i w:val="0"/>
        <w:iCs/>
      </w:rPr>
    </w:pPr>
    <w:r>
      <w:rPr>
        <w:rFonts w:hint="eastAsia"/>
        <w:b/>
        <w:i w:val="0"/>
        <w:iCs/>
        <w:color w:val="000000"/>
        <w:kern w:val="0"/>
        <w:sz w:val="18"/>
        <w:u w:val="single"/>
      </w:rPr>
      <w:t>政府采购</w:t>
    </w: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台州湾新区智慧城管信息采集服务项目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60275">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4B64D">
    <w:pPr>
      <w:pStyle w:val="14"/>
    </w:pPr>
    <w:r>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7560945" cy="10658475"/>
          <wp:effectExtent l="0" t="0" r="1905" b="9525"/>
          <wp:wrapNone/>
          <wp:docPr id="10"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035FE">
    <w:pPr>
      <w:pStyle w:val="14"/>
    </w:pPr>
    <w: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7560945" cy="10658475"/>
          <wp:effectExtent l="0" t="0" r="1905" b="9525"/>
          <wp:wrapNone/>
          <wp:docPr id="7"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EF8CE">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82D28">
    <w:pPr>
      <w:pStyle w:val="14"/>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8E269">
    <w:pPr>
      <w:pStyle w:val="14"/>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1">
    <w:nsid w:val="770A450F"/>
    <w:multiLevelType w:val="singleLevel"/>
    <w:tmpl w:val="770A450F"/>
    <w:lvl w:ilvl="0" w:tentative="0">
      <w:start w:val="2"/>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6C42F4"/>
    <w:rsid w:val="00757B9E"/>
    <w:rsid w:val="009B7365"/>
    <w:rsid w:val="009C6908"/>
    <w:rsid w:val="009E7B9B"/>
    <w:rsid w:val="00B95117"/>
    <w:rsid w:val="00BE3149"/>
    <w:rsid w:val="00D27694"/>
    <w:rsid w:val="00E04ED8"/>
    <w:rsid w:val="00FF74E6"/>
    <w:rsid w:val="017A6A7C"/>
    <w:rsid w:val="01D70B06"/>
    <w:rsid w:val="02380D19"/>
    <w:rsid w:val="024017F0"/>
    <w:rsid w:val="02F97313"/>
    <w:rsid w:val="03320476"/>
    <w:rsid w:val="036C1E9F"/>
    <w:rsid w:val="039013C8"/>
    <w:rsid w:val="041861BA"/>
    <w:rsid w:val="043F7FC4"/>
    <w:rsid w:val="04466BB8"/>
    <w:rsid w:val="04AB10A4"/>
    <w:rsid w:val="04E65DCF"/>
    <w:rsid w:val="051060E7"/>
    <w:rsid w:val="052341BD"/>
    <w:rsid w:val="053C3F02"/>
    <w:rsid w:val="0601391E"/>
    <w:rsid w:val="06610827"/>
    <w:rsid w:val="067363FE"/>
    <w:rsid w:val="073967B1"/>
    <w:rsid w:val="07685A63"/>
    <w:rsid w:val="076A5AA3"/>
    <w:rsid w:val="07D22E0A"/>
    <w:rsid w:val="0836339B"/>
    <w:rsid w:val="08390248"/>
    <w:rsid w:val="089F7A14"/>
    <w:rsid w:val="08AC4158"/>
    <w:rsid w:val="09001A02"/>
    <w:rsid w:val="09492528"/>
    <w:rsid w:val="095002E7"/>
    <w:rsid w:val="09846D45"/>
    <w:rsid w:val="099F2E34"/>
    <w:rsid w:val="09CF47C3"/>
    <w:rsid w:val="09E03F7D"/>
    <w:rsid w:val="09F33DD0"/>
    <w:rsid w:val="0A071FFD"/>
    <w:rsid w:val="0A2C1FBC"/>
    <w:rsid w:val="0AF64F0D"/>
    <w:rsid w:val="0B8001A4"/>
    <w:rsid w:val="0C181AC6"/>
    <w:rsid w:val="0C3F6E94"/>
    <w:rsid w:val="0C615083"/>
    <w:rsid w:val="0CD8063C"/>
    <w:rsid w:val="0CE82647"/>
    <w:rsid w:val="0CFA4EFD"/>
    <w:rsid w:val="0D1F4CD0"/>
    <w:rsid w:val="0D88328D"/>
    <w:rsid w:val="0DD8702C"/>
    <w:rsid w:val="0DD91C25"/>
    <w:rsid w:val="0E0F138C"/>
    <w:rsid w:val="0EC6046D"/>
    <w:rsid w:val="0ED2632B"/>
    <w:rsid w:val="0F122F26"/>
    <w:rsid w:val="0F1B3131"/>
    <w:rsid w:val="0F4F65B2"/>
    <w:rsid w:val="0F5377AE"/>
    <w:rsid w:val="0F7E6199"/>
    <w:rsid w:val="0FE74D1C"/>
    <w:rsid w:val="0FF94B3D"/>
    <w:rsid w:val="10452B67"/>
    <w:rsid w:val="109F080C"/>
    <w:rsid w:val="10C72902"/>
    <w:rsid w:val="11074842"/>
    <w:rsid w:val="11E77423"/>
    <w:rsid w:val="121665CB"/>
    <w:rsid w:val="121F1572"/>
    <w:rsid w:val="1245390C"/>
    <w:rsid w:val="12704EB7"/>
    <w:rsid w:val="12EC03CE"/>
    <w:rsid w:val="12FA02EB"/>
    <w:rsid w:val="135D0E93"/>
    <w:rsid w:val="13BF45A5"/>
    <w:rsid w:val="14134EBE"/>
    <w:rsid w:val="149451F4"/>
    <w:rsid w:val="15115B44"/>
    <w:rsid w:val="153703F4"/>
    <w:rsid w:val="159E68EB"/>
    <w:rsid w:val="15B34F99"/>
    <w:rsid w:val="16311102"/>
    <w:rsid w:val="165C24F7"/>
    <w:rsid w:val="168339D9"/>
    <w:rsid w:val="16CC3CB9"/>
    <w:rsid w:val="16D70F66"/>
    <w:rsid w:val="17047DD8"/>
    <w:rsid w:val="17134B41"/>
    <w:rsid w:val="171D6CDD"/>
    <w:rsid w:val="17461D47"/>
    <w:rsid w:val="17B10D95"/>
    <w:rsid w:val="17B23AF1"/>
    <w:rsid w:val="17D14D06"/>
    <w:rsid w:val="17D2330C"/>
    <w:rsid w:val="191533D1"/>
    <w:rsid w:val="192A2781"/>
    <w:rsid w:val="19474367"/>
    <w:rsid w:val="1AA22976"/>
    <w:rsid w:val="1BC0155F"/>
    <w:rsid w:val="1C7134B8"/>
    <w:rsid w:val="1CBF0303"/>
    <w:rsid w:val="1CC61F19"/>
    <w:rsid w:val="1CE663CA"/>
    <w:rsid w:val="1D465475"/>
    <w:rsid w:val="1DB72E7F"/>
    <w:rsid w:val="1DCC38D5"/>
    <w:rsid w:val="1E1F7201"/>
    <w:rsid w:val="1EF1268E"/>
    <w:rsid w:val="1F162724"/>
    <w:rsid w:val="1F4F69F4"/>
    <w:rsid w:val="1F5F6E0F"/>
    <w:rsid w:val="2012057A"/>
    <w:rsid w:val="201C7B31"/>
    <w:rsid w:val="203F2146"/>
    <w:rsid w:val="20AA0083"/>
    <w:rsid w:val="20ED3C16"/>
    <w:rsid w:val="21492AD8"/>
    <w:rsid w:val="217E3C1D"/>
    <w:rsid w:val="223A2AB8"/>
    <w:rsid w:val="224700DF"/>
    <w:rsid w:val="234C750E"/>
    <w:rsid w:val="2351194D"/>
    <w:rsid w:val="235F7526"/>
    <w:rsid w:val="23FA686C"/>
    <w:rsid w:val="24AA5BCC"/>
    <w:rsid w:val="255B67E8"/>
    <w:rsid w:val="25D20519"/>
    <w:rsid w:val="25D678F5"/>
    <w:rsid w:val="26936F44"/>
    <w:rsid w:val="269C55D5"/>
    <w:rsid w:val="26B8513F"/>
    <w:rsid w:val="26FC6074"/>
    <w:rsid w:val="275E7934"/>
    <w:rsid w:val="277E06D7"/>
    <w:rsid w:val="279F160A"/>
    <w:rsid w:val="27AC425F"/>
    <w:rsid w:val="27D56820"/>
    <w:rsid w:val="28032FE3"/>
    <w:rsid w:val="285D5E3E"/>
    <w:rsid w:val="28AF41A0"/>
    <w:rsid w:val="28D80E9E"/>
    <w:rsid w:val="29320DF3"/>
    <w:rsid w:val="29E20D6F"/>
    <w:rsid w:val="29E63530"/>
    <w:rsid w:val="2A8138F9"/>
    <w:rsid w:val="2AFA5254"/>
    <w:rsid w:val="2B2C7B14"/>
    <w:rsid w:val="2CB11383"/>
    <w:rsid w:val="2D1C60BC"/>
    <w:rsid w:val="2E42377A"/>
    <w:rsid w:val="2EB30204"/>
    <w:rsid w:val="2EBE2906"/>
    <w:rsid w:val="2EEF2FD0"/>
    <w:rsid w:val="2F607C49"/>
    <w:rsid w:val="2F7B1BB4"/>
    <w:rsid w:val="2FAC0EDC"/>
    <w:rsid w:val="2FAF0F3B"/>
    <w:rsid w:val="2FC1707D"/>
    <w:rsid w:val="2FCC2EC1"/>
    <w:rsid w:val="2FD75A57"/>
    <w:rsid w:val="2FDA5D00"/>
    <w:rsid w:val="30150257"/>
    <w:rsid w:val="305A68F0"/>
    <w:rsid w:val="307279A7"/>
    <w:rsid w:val="309703E8"/>
    <w:rsid w:val="30CF5D28"/>
    <w:rsid w:val="30EA52B7"/>
    <w:rsid w:val="30F24A05"/>
    <w:rsid w:val="31233BA5"/>
    <w:rsid w:val="31813005"/>
    <w:rsid w:val="31B43A06"/>
    <w:rsid w:val="323174C0"/>
    <w:rsid w:val="323740AF"/>
    <w:rsid w:val="328B6879"/>
    <w:rsid w:val="32EB7B03"/>
    <w:rsid w:val="333330BE"/>
    <w:rsid w:val="34705D27"/>
    <w:rsid w:val="34772ADD"/>
    <w:rsid w:val="351836BE"/>
    <w:rsid w:val="35590177"/>
    <w:rsid w:val="35B65126"/>
    <w:rsid w:val="35F0600B"/>
    <w:rsid w:val="362A1767"/>
    <w:rsid w:val="363F2730"/>
    <w:rsid w:val="368B0847"/>
    <w:rsid w:val="36AD3C21"/>
    <w:rsid w:val="36D706BD"/>
    <w:rsid w:val="36DB71B3"/>
    <w:rsid w:val="36DF4838"/>
    <w:rsid w:val="38357FC3"/>
    <w:rsid w:val="38AC5B4C"/>
    <w:rsid w:val="395E12F2"/>
    <w:rsid w:val="397114CB"/>
    <w:rsid w:val="39AA281F"/>
    <w:rsid w:val="3A286983"/>
    <w:rsid w:val="3A316D41"/>
    <w:rsid w:val="3A791AB3"/>
    <w:rsid w:val="3A7A6F1E"/>
    <w:rsid w:val="3A7D61D7"/>
    <w:rsid w:val="3AE12ADB"/>
    <w:rsid w:val="3AE140A2"/>
    <w:rsid w:val="3AF55DC9"/>
    <w:rsid w:val="3B7E607B"/>
    <w:rsid w:val="3BD804EA"/>
    <w:rsid w:val="3C016C71"/>
    <w:rsid w:val="3C1B181E"/>
    <w:rsid w:val="3C203FE1"/>
    <w:rsid w:val="3C8E1FD4"/>
    <w:rsid w:val="3D326006"/>
    <w:rsid w:val="3D843DB4"/>
    <w:rsid w:val="3DB3569D"/>
    <w:rsid w:val="3E2B5399"/>
    <w:rsid w:val="3E4E6F02"/>
    <w:rsid w:val="3E5D59EE"/>
    <w:rsid w:val="3EA305F2"/>
    <w:rsid w:val="3F0B192B"/>
    <w:rsid w:val="3F1958EE"/>
    <w:rsid w:val="3F3349E1"/>
    <w:rsid w:val="3F95513E"/>
    <w:rsid w:val="3FAF1A7E"/>
    <w:rsid w:val="40550592"/>
    <w:rsid w:val="413561B0"/>
    <w:rsid w:val="416F0E3A"/>
    <w:rsid w:val="41B04BB9"/>
    <w:rsid w:val="42394175"/>
    <w:rsid w:val="423E1A86"/>
    <w:rsid w:val="42910824"/>
    <w:rsid w:val="438B342A"/>
    <w:rsid w:val="4412111F"/>
    <w:rsid w:val="443D4582"/>
    <w:rsid w:val="45185FC7"/>
    <w:rsid w:val="455B748F"/>
    <w:rsid w:val="470216C0"/>
    <w:rsid w:val="47631ACB"/>
    <w:rsid w:val="47C11F07"/>
    <w:rsid w:val="47E83667"/>
    <w:rsid w:val="4A007A95"/>
    <w:rsid w:val="4A56355D"/>
    <w:rsid w:val="4A5D073B"/>
    <w:rsid w:val="4A6A77A1"/>
    <w:rsid w:val="4A802F02"/>
    <w:rsid w:val="4A8915B8"/>
    <w:rsid w:val="4B137686"/>
    <w:rsid w:val="4C392F39"/>
    <w:rsid w:val="4CF72E0A"/>
    <w:rsid w:val="4CFC26F0"/>
    <w:rsid w:val="4D190A3D"/>
    <w:rsid w:val="4D7C62E3"/>
    <w:rsid w:val="4D996193"/>
    <w:rsid w:val="4D9B5E2B"/>
    <w:rsid w:val="4DA62A71"/>
    <w:rsid w:val="4E2813A3"/>
    <w:rsid w:val="4E3623E0"/>
    <w:rsid w:val="4E590CD0"/>
    <w:rsid w:val="4E874BF9"/>
    <w:rsid w:val="4F4966DE"/>
    <w:rsid w:val="4F7B426E"/>
    <w:rsid w:val="50972888"/>
    <w:rsid w:val="50D55586"/>
    <w:rsid w:val="513371C0"/>
    <w:rsid w:val="518E7928"/>
    <w:rsid w:val="51FE2266"/>
    <w:rsid w:val="523F1387"/>
    <w:rsid w:val="524B29D2"/>
    <w:rsid w:val="527354B0"/>
    <w:rsid w:val="53240DE2"/>
    <w:rsid w:val="5342771F"/>
    <w:rsid w:val="536B714E"/>
    <w:rsid w:val="53D43282"/>
    <w:rsid w:val="54CF56D2"/>
    <w:rsid w:val="551410ED"/>
    <w:rsid w:val="554479B3"/>
    <w:rsid w:val="557309A7"/>
    <w:rsid w:val="55B12017"/>
    <w:rsid w:val="55DB3175"/>
    <w:rsid w:val="55FC25AC"/>
    <w:rsid w:val="5622038C"/>
    <w:rsid w:val="578F4550"/>
    <w:rsid w:val="578F49A2"/>
    <w:rsid w:val="57977A16"/>
    <w:rsid w:val="57DA16B0"/>
    <w:rsid w:val="57E868C8"/>
    <w:rsid w:val="58032CCB"/>
    <w:rsid w:val="580F411A"/>
    <w:rsid w:val="583D1B1F"/>
    <w:rsid w:val="58A27480"/>
    <w:rsid w:val="58E33969"/>
    <w:rsid w:val="590C3210"/>
    <w:rsid w:val="59557DA9"/>
    <w:rsid w:val="5A5A375F"/>
    <w:rsid w:val="5A8457CD"/>
    <w:rsid w:val="5A9046BA"/>
    <w:rsid w:val="5ACE03B2"/>
    <w:rsid w:val="5AFA0CD5"/>
    <w:rsid w:val="5BAA29AB"/>
    <w:rsid w:val="5BBC3082"/>
    <w:rsid w:val="5BF04E33"/>
    <w:rsid w:val="5C8A42C3"/>
    <w:rsid w:val="5E2814C4"/>
    <w:rsid w:val="5E2C75D3"/>
    <w:rsid w:val="5E5C1146"/>
    <w:rsid w:val="5E9C5841"/>
    <w:rsid w:val="5ECC6D02"/>
    <w:rsid w:val="5F0D2C6F"/>
    <w:rsid w:val="5FC93608"/>
    <w:rsid w:val="607D6651"/>
    <w:rsid w:val="60944A06"/>
    <w:rsid w:val="60BD1FFE"/>
    <w:rsid w:val="61170B58"/>
    <w:rsid w:val="611A0EA3"/>
    <w:rsid w:val="61E70C8F"/>
    <w:rsid w:val="61ED4AF3"/>
    <w:rsid w:val="627C6782"/>
    <w:rsid w:val="62EA0127"/>
    <w:rsid w:val="63012C54"/>
    <w:rsid w:val="63A2520E"/>
    <w:rsid w:val="63E112D8"/>
    <w:rsid w:val="66950943"/>
    <w:rsid w:val="66F22A19"/>
    <w:rsid w:val="66FC41BD"/>
    <w:rsid w:val="672E1E7F"/>
    <w:rsid w:val="67401C19"/>
    <w:rsid w:val="67B55127"/>
    <w:rsid w:val="682979C4"/>
    <w:rsid w:val="685F1F4E"/>
    <w:rsid w:val="68877B1A"/>
    <w:rsid w:val="6A035AFF"/>
    <w:rsid w:val="6A2E604B"/>
    <w:rsid w:val="6A914A15"/>
    <w:rsid w:val="6AAB5773"/>
    <w:rsid w:val="6AD81AFC"/>
    <w:rsid w:val="6AEE5A3A"/>
    <w:rsid w:val="6B0242A5"/>
    <w:rsid w:val="6B4161C5"/>
    <w:rsid w:val="6BA96E18"/>
    <w:rsid w:val="6C360A8B"/>
    <w:rsid w:val="6C830331"/>
    <w:rsid w:val="6CB57DDF"/>
    <w:rsid w:val="6D8528BD"/>
    <w:rsid w:val="6D946B00"/>
    <w:rsid w:val="6DA018A4"/>
    <w:rsid w:val="6DBF1822"/>
    <w:rsid w:val="6E0B7AA2"/>
    <w:rsid w:val="6F156B47"/>
    <w:rsid w:val="6F4126A8"/>
    <w:rsid w:val="6F52577A"/>
    <w:rsid w:val="6F5C678A"/>
    <w:rsid w:val="6F833530"/>
    <w:rsid w:val="6F8E2B60"/>
    <w:rsid w:val="6F95389D"/>
    <w:rsid w:val="6FD32E42"/>
    <w:rsid w:val="701C6432"/>
    <w:rsid w:val="7195640E"/>
    <w:rsid w:val="71BB1561"/>
    <w:rsid w:val="7253624D"/>
    <w:rsid w:val="72C548FE"/>
    <w:rsid w:val="72C94904"/>
    <w:rsid w:val="72CE7DF1"/>
    <w:rsid w:val="72E23BE3"/>
    <w:rsid w:val="733C4352"/>
    <w:rsid w:val="738C49D4"/>
    <w:rsid w:val="744E387C"/>
    <w:rsid w:val="7469576C"/>
    <w:rsid w:val="748266FC"/>
    <w:rsid w:val="74B23165"/>
    <w:rsid w:val="75145452"/>
    <w:rsid w:val="75BB0C3B"/>
    <w:rsid w:val="75E67F45"/>
    <w:rsid w:val="766052CC"/>
    <w:rsid w:val="767D593D"/>
    <w:rsid w:val="76A136BE"/>
    <w:rsid w:val="76D04887"/>
    <w:rsid w:val="76D43F8B"/>
    <w:rsid w:val="770513BE"/>
    <w:rsid w:val="770A7D21"/>
    <w:rsid w:val="770D5F4E"/>
    <w:rsid w:val="772265F9"/>
    <w:rsid w:val="77B0242F"/>
    <w:rsid w:val="781A71E7"/>
    <w:rsid w:val="78BC2207"/>
    <w:rsid w:val="78C31106"/>
    <w:rsid w:val="78E41C51"/>
    <w:rsid w:val="78E47E19"/>
    <w:rsid w:val="78FA1692"/>
    <w:rsid w:val="792D6B6B"/>
    <w:rsid w:val="793947A1"/>
    <w:rsid w:val="793C3D42"/>
    <w:rsid w:val="79737C17"/>
    <w:rsid w:val="7996461D"/>
    <w:rsid w:val="79BD656A"/>
    <w:rsid w:val="7A0B68C7"/>
    <w:rsid w:val="7A2E539A"/>
    <w:rsid w:val="7A392143"/>
    <w:rsid w:val="7A447B8D"/>
    <w:rsid w:val="7A940E65"/>
    <w:rsid w:val="7AD3647C"/>
    <w:rsid w:val="7AE07CFD"/>
    <w:rsid w:val="7B0E0BB9"/>
    <w:rsid w:val="7B376CA9"/>
    <w:rsid w:val="7B6715B3"/>
    <w:rsid w:val="7B7503BA"/>
    <w:rsid w:val="7C3E24DF"/>
    <w:rsid w:val="7C7D1BE7"/>
    <w:rsid w:val="7D8F6DE4"/>
    <w:rsid w:val="7DAA5FB8"/>
    <w:rsid w:val="7DDB10A1"/>
    <w:rsid w:val="7DFB0316"/>
    <w:rsid w:val="7E046DCC"/>
    <w:rsid w:val="7E4E7602"/>
    <w:rsid w:val="7E723EF0"/>
    <w:rsid w:val="7EA831A1"/>
    <w:rsid w:val="7ECE10A0"/>
    <w:rsid w:val="7FD46F50"/>
    <w:rsid w:val="85BF59A3"/>
    <w:rsid w:val="BE77C604"/>
    <w:rsid w:val="BFDDAC04"/>
    <w:rsid w:val="CFEF0977"/>
    <w:rsid w:val="D7EF0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4">
    <w:name w:val="heading 2"/>
    <w:basedOn w:val="1"/>
    <w:next w:val="5"/>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5">
    <w:name w:val="Normal Indent"/>
    <w:basedOn w:val="1"/>
    <w:next w:val="1"/>
    <w:qFormat/>
    <w:uiPriority w:val="0"/>
    <w:pPr>
      <w:ind w:firstLine="420"/>
    </w:pPr>
    <w:rPr>
      <w:szCs w:val="20"/>
    </w:rPr>
  </w:style>
  <w:style w:type="paragraph" w:styleId="7">
    <w:name w:val="Body Text"/>
    <w:basedOn w:val="1"/>
    <w:next w:val="8"/>
    <w:link w:val="33"/>
    <w:semiHidden/>
    <w:unhideWhenUsed/>
    <w:qFormat/>
    <w:uiPriority w:val="99"/>
    <w:pPr>
      <w:spacing w:after="120"/>
    </w:pPr>
  </w:style>
  <w:style w:type="paragraph" w:styleId="8">
    <w:name w:val="Body Text First Indent"/>
    <w:basedOn w:val="7"/>
    <w:next w:val="1"/>
    <w:qFormat/>
    <w:uiPriority w:val="0"/>
    <w:pPr>
      <w:ind w:firstLine="420" w:firstLineChars="100"/>
    </w:pPr>
  </w:style>
  <w:style w:type="paragraph" w:styleId="9">
    <w:name w:val="Body Text Indent"/>
    <w:basedOn w:val="1"/>
    <w:next w:val="1"/>
    <w:link w:val="34"/>
    <w:qFormat/>
    <w:uiPriority w:val="99"/>
    <w:pPr>
      <w:spacing w:after="120"/>
      <w:ind w:left="420" w:leftChars="200"/>
    </w:pPr>
  </w:style>
  <w:style w:type="paragraph" w:styleId="10">
    <w:name w:val="Plain Text"/>
    <w:basedOn w:val="1"/>
    <w:next w:val="11"/>
    <w:qFormat/>
    <w:uiPriority w:val="0"/>
    <w:rPr>
      <w:rFonts w:ascii="宋体" w:hAnsi="Courier New" w:cstheme="minorBidi"/>
    </w:rPr>
  </w:style>
  <w:style w:type="paragraph" w:styleId="11">
    <w:name w:val="Date"/>
    <w:basedOn w:val="1"/>
    <w:next w:val="1"/>
    <w:qFormat/>
    <w:uiPriority w:val="99"/>
    <w:pPr>
      <w:ind w:left="2500" w:leftChars="2500"/>
    </w:pPr>
    <w:rPr>
      <w:rFonts w:ascii="Calibri" w:hAnsi="Calibri" w:eastAsia="楷体_GB2312"/>
      <w:sz w:val="32"/>
      <w:szCs w:val="22"/>
    </w:rPr>
  </w:style>
  <w:style w:type="paragraph" w:styleId="12">
    <w:name w:val="Balloon Text"/>
    <w:basedOn w:val="1"/>
    <w:link w:val="35"/>
    <w:semiHidden/>
    <w:unhideWhenUsed/>
    <w:qFormat/>
    <w:uiPriority w:val="99"/>
    <w:rPr>
      <w:sz w:val="18"/>
      <w:szCs w:val="18"/>
    </w:rPr>
  </w:style>
  <w:style w:type="paragraph" w:styleId="13">
    <w:name w:val="footer"/>
    <w:basedOn w:val="1"/>
    <w:link w:val="3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3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qFormat/>
    <w:uiPriority w:val="39"/>
    <w:pPr>
      <w:widowControl/>
      <w:tabs>
        <w:tab w:val="right" w:leader="dot" w:pos="9060"/>
      </w:tabs>
      <w:spacing w:before="120" w:after="120"/>
      <w:jc w:val="left"/>
    </w:pPr>
    <w:rPr>
      <w:b/>
      <w:bCs/>
      <w:caps/>
      <w:kern w:val="0"/>
      <w:sz w:val="24"/>
      <w:szCs w:val="24"/>
      <w:lang w:eastAsia="en-US" w:bidi="en-US"/>
    </w:rPr>
  </w:style>
  <w:style w:type="paragraph" w:styleId="16">
    <w:name w:val="footnote text"/>
    <w:basedOn w:val="1"/>
    <w:qFormat/>
    <w:uiPriority w:val="0"/>
    <w:pPr>
      <w:snapToGrid w:val="0"/>
      <w:jc w:val="left"/>
    </w:pPr>
    <w:rPr>
      <w:rFonts w:eastAsia="仿宋_GB2312"/>
      <w:sz w:val="18"/>
      <w:szCs w:val="20"/>
    </w:rPr>
  </w:style>
  <w:style w:type="paragraph" w:styleId="17">
    <w:name w:val="toc 2"/>
    <w:basedOn w:val="1"/>
    <w:next w:val="1"/>
    <w:qFormat/>
    <w:uiPriority w:val="0"/>
    <w:pPr>
      <w:tabs>
        <w:tab w:val="right" w:leader="dot" w:pos="10070"/>
      </w:tabs>
      <w:spacing w:line="480" w:lineRule="auto"/>
      <w:ind w:leftChars="200"/>
    </w:p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Body Text First Indent 2"/>
    <w:basedOn w:val="9"/>
    <w:next w:val="1"/>
    <w:qFormat/>
    <w:uiPriority w:val="0"/>
    <w:pPr>
      <w:ind w:firstLine="42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rFonts w:ascii="Tahoma" w:hAnsi="Tahoma" w:cs="Tahoma"/>
      <w:b/>
      <w:sz w:val="24"/>
    </w:rPr>
  </w:style>
  <w:style w:type="character" w:styleId="26">
    <w:name w:val="page number"/>
    <w:basedOn w:val="24"/>
    <w:qFormat/>
    <w:uiPriority w:val="0"/>
  </w:style>
  <w:style w:type="character" w:styleId="27">
    <w:name w:val="Hyperlink"/>
    <w:basedOn w:val="24"/>
    <w:unhideWhenUsed/>
    <w:qFormat/>
    <w:uiPriority w:val="0"/>
    <w:rPr>
      <w:color w:val="0000FF"/>
      <w:u w:val="single"/>
    </w:rPr>
  </w:style>
  <w:style w:type="character" w:styleId="28">
    <w:name w:val="footnote reference"/>
    <w:qFormat/>
    <w:uiPriority w:val="0"/>
    <w:rPr>
      <w:vertAlign w:val="superscript"/>
    </w:rPr>
  </w:style>
  <w:style w:type="paragraph" w:customStyle="1" w:styleId="29">
    <w:name w:val="正文首行缩进1"/>
    <w:basedOn w:val="7"/>
    <w:qFormat/>
    <w:uiPriority w:val="0"/>
    <w:pPr>
      <w:ind w:firstLine="420" w:firstLineChars="100"/>
    </w:pPr>
  </w:style>
  <w:style w:type="paragraph" w:customStyle="1" w:styleId="30">
    <w:name w:val="正文（首行缩进2字符）"/>
    <w:basedOn w:val="1"/>
    <w:qFormat/>
    <w:uiPriority w:val="0"/>
    <w:pPr>
      <w:ind w:firstLine="480" w:firstLineChars="200"/>
    </w:pPr>
    <w:rPr>
      <w:sz w:val="24"/>
      <w:szCs w:val="20"/>
    </w:rPr>
  </w:style>
  <w:style w:type="character" w:customStyle="1" w:styleId="31">
    <w:name w:val="页眉 Char"/>
    <w:basedOn w:val="24"/>
    <w:link w:val="14"/>
    <w:semiHidden/>
    <w:qFormat/>
    <w:uiPriority w:val="99"/>
    <w:rPr>
      <w:sz w:val="18"/>
      <w:szCs w:val="18"/>
    </w:rPr>
  </w:style>
  <w:style w:type="character" w:customStyle="1" w:styleId="32">
    <w:name w:val="页脚 Char"/>
    <w:basedOn w:val="24"/>
    <w:link w:val="13"/>
    <w:semiHidden/>
    <w:qFormat/>
    <w:uiPriority w:val="99"/>
    <w:rPr>
      <w:sz w:val="18"/>
      <w:szCs w:val="18"/>
    </w:rPr>
  </w:style>
  <w:style w:type="character" w:customStyle="1" w:styleId="33">
    <w:name w:val="正文文本 Char"/>
    <w:basedOn w:val="24"/>
    <w:link w:val="7"/>
    <w:semiHidden/>
    <w:qFormat/>
    <w:uiPriority w:val="99"/>
    <w:rPr>
      <w:rFonts w:ascii="Times New Roman" w:hAnsi="Times New Roman" w:eastAsia="宋体" w:cs="Times New Roman"/>
      <w:szCs w:val="24"/>
    </w:rPr>
  </w:style>
  <w:style w:type="character" w:customStyle="1" w:styleId="34">
    <w:name w:val="正文文本缩进 Char"/>
    <w:basedOn w:val="24"/>
    <w:link w:val="9"/>
    <w:qFormat/>
    <w:uiPriority w:val="99"/>
    <w:rPr>
      <w:rFonts w:ascii="Times New Roman" w:hAnsi="Times New Roman" w:eastAsia="宋体" w:cs="Times New Roman"/>
      <w:szCs w:val="24"/>
    </w:rPr>
  </w:style>
  <w:style w:type="character" w:customStyle="1" w:styleId="35">
    <w:name w:val="批注框文本 Char"/>
    <w:basedOn w:val="24"/>
    <w:link w:val="12"/>
    <w:semiHidden/>
    <w:qFormat/>
    <w:uiPriority w:val="99"/>
    <w:rPr>
      <w:rFonts w:ascii="Times New Roman" w:hAnsi="Times New Roman" w:eastAsia="宋体" w:cs="Times New Roman"/>
      <w:sz w:val="18"/>
      <w:szCs w:val="18"/>
    </w:rPr>
  </w:style>
  <w:style w:type="character" w:customStyle="1" w:styleId="36">
    <w:name w:val="无"/>
    <w:qFormat/>
    <w:uiPriority w:val="99"/>
  </w:style>
  <w:style w:type="paragraph" w:customStyle="1" w:styleId="37">
    <w:name w:val="表格文字"/>
    <w:basedOn w:val="1"/>
    <w:next w:val="7"/>
    <w:qFormat/>
    <w:uiPriority w:val="99"/>
    <w:pPr>
      <w:adjustRightInd w:val="0"/>
      <w:spacing w:line="420" w:lineRule="atLeast"/>
      <w:jc w:val="left"/>
      <w:textAlignment w:val="baseline"/>
    </w:pPr>
    <w:rPr>
      <w:kern w:val="0"/>
    </w:rPr>
  </w:style>
  <w:style w:type="paragraph" w:customStyle="1" w:styleId="38">
    <w:name w:val="正文_8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正文_1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41">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4"/>
    <w:qFormat/>
    <w:uiPriority w:val="99"/>
    <w:rPr>
      <w:rFonts w:ascii="Times New Roman" w:hAnsi="Times New Roman" w:eastAsia="宋体" w:cs="Times New Roman"/>
      <w:sz w:val="21"/>
      <w:szCs w:val="22"/>
      <w:lang w:val="en-US" w:eastAsia="zh-CN" w:bidi="ar-SA"/>
    </w:rPr>
  </w:style>
  <w:style w:type="paragraph" w:customStyle="1" w:styleId="43">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纯文本_3"/>
    <w:basedOn w:val="45"/>
    <w:qFormat/>
    <w:uiPriority w:val="99"/>
    <w:pPr>
      <w:widowControl/>
      <w:jc w:val="left"/>
    </w:pPr>
    <w:rPr>
      <w:rFonts w:ascii="宋体" w:hAnsi="Courier New"/>
      <w:szCs w:val="21"/>
    </w:rPr>
  </w:style>
  <w:style w:type="paragraph" w:customStyle="1" w:styleId="47">
    <w:name w:val="纯文本_0_1"/>
    <w:basedOn w:val="1"/>
    <w:qFormat/>
    <w:uiPriority w:val="99"/>
    <w:pPr>
      <w:widowControl/>
      <w:jc w:val="left"/>
    </w:pPr>
    <w:rPr>
      <w:rFonts w:ascii="宋体" w:hAnsi="Courier New"/>
      <w:szCs w:val="21"/>
    </w:rPr>
  </w:style>
  <w:style w:type="paragraph" w:customStyle="1" w:styleId="48">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3">
    <w:name w:val="p0"/>
    <w:basedOn w:val="1"/>
    <w:qFormat/>
    <w:uiPriority w:val="0"/>
    <w:pPr>
      <w:widowControl/>
    </w:pPr>
    <w:rPr>
      <w:rFonts w:ascii="Calibri" w:hAnsi="Calibri" w:cs="宋体"/>
      <w:kern w:val="0"/>
      <w:szCs w:val="21"/>
    </w:rPr>
  </w:style>
  <w:style w:type="paragraph" w:styleId="54">
    <w:name w:val="List Paragraph"/>
    <w:basedOn w:val="1"/>
    <w:qFormat/>
    <w:uiPriority w:val="0"/>
    <w:pPr>
      <w:ind w:firstLine="420" w:firstLineChars="200"/>
    </w:pPr>
    <w:rPr>
      <w:szCs w:val="24"/>
    </w:rPr>
  </w:style>
  <w:style w:type="paragraph" w:customStyle="1" w:styleId="55">
    <w:name w:val="纯文本1"/>
    <w:basedOn w:val="52"/>
    <w:qFormat/>
    <w:uiPriority w:val="0"/>
    <w:pPr>
      <w:widowControl/>
      <w:jc w:val="left"/>
    </w:pPr>
    <w:rPr>
      <w:rFonts w:ascii="宋体" w:hAnsi="Courier New"/>
      <w:szCs w:val="20"/>
    </w:rPr>
  </w:style>
  <w:style w:type="character" w:customStyle="1" w:styleId="56">
    <w:name w:val="NormalCharacter"/>
    <w:semiHidden/>
    <w:qFormat/>
    <w:uiPriority w:val="0"/>
  </w:style>
  <w:style w:type="paragraph" w:customStyle="1" w:styleId="57">
    <w:name w:val="正文2"/>
    <w:basedOn w:val="1"/>
    <w:qFormat/>
    <w:uiPriority w:val="0"/>
    <w:pPr>
      <w:spacing w:before="156" w:line="360" w:lineRule="auto"/>
      <w:ind w:firstLine="510" w:firstLineChars="200"/>
    </w:pPr>
    <w:rPr>
      <w:sz w:val="24"/>
      <w:szCs w:val="20"/>
    </w:rPr>
  </w:style>
  <w:style w:type="paragraph" w:customStyle="1" w:styleId="58">
    <w:name w:val="_Style 2"/>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26357</Words>
  <Characters>28078</Characters>
  <Lines>1</Lines>
  <Paragraphs>1</Paragraphs>
  <TotalTime>2</TotalTime>
  <ScaleCrop>false</ScaleCrop>
  <LinksUpToDate>false</LinksUpToDate>
  <CharactersWithSpaces>28231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2020-03-20T11:00:00Z</dcterms:created>
  <dc:creator>苏彬</dc:creator>
  <cp:lastModifiedBy>Samiha</cp:lastModifiedBy>
  <dcterms:modified xsi:type="dcterms:W3CDTF">2025-07-14T03:30:23Z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B140DBBCDB7D7B9D8A8063688FD7BC6F_43</vt:lpwstr>
  </property>
  <property fmtid="{D5CDD505-2E9C-101B-9397-08002B2CF9AE}" pid="4" name="commondata">
    <vt:lpwstr>eyJoZGlkIjoiNmNiNWQzMTIyZDkyNWQ5MzYxMmQ5MTE1ZmU3YjE0M2QifQ==</vt:lpwstr>
  </property>
  <property fmtid="{D5CDD505-2E9C-101B-9397-08002B2CF9AE}" pid="5" name="KSOTemplateDocerSaveRecord">
    <vt:lpwstr>eyJoZGlkIjoiOWJlZDQ2NmIwYjgzZjdjYWM1MjQ5OTk3YTcyYzMxMzIiLCJ1c2VySWQiOiIzMjE5MDY1OTEifQ==</vt:lpwstr>
  </property>
</Properties>
</file>