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14:paraId="2E9143FF">
      <w:pPr>
        <w:rPr>
          <w:rFonts w:ascii="宋体" w:hAnsi="宋体" w:cs="宋体"/>
          <w:color w:val="000000" w:themeColor="text1"/>
        </w:rPr>
      </w:pPr>
    </w:p>
    <w:p w14:paraId="60DE0FD8">
      <w:pPr>
        <w:pStyle w:val="8"/>
        <w:jc w:val="center"/>
        <w:rPr>
          <w:rFonts w:ascii="宋体" w:hAnsi="宋体" w:cs="宋体"/>
          <w:color w:val="000000" w:themeColor="text1"/>
        </w:rPr>
      </w:pPr>
      <w:r>
        <w:rPr>
          <w:rFonts w:hint="eastAsia" w:ascii="宋体" w:hAnsi="宋体" w:cs="宋体"/>
          <w:color w:val="000000" w:themeColor="text1"/>
        </w:rPr>
        <w:drawing>
          <wp:anchor distT="0" distB="0" distL="0" distR="0" simplePos="0" relativeHeight="251659264" behindDoc="1" locked="0" layoutInCell="1" allowOverlap="1">
            <wp:simplePos x="0" y="0"/>
            <wp:positionH relativeFrom="column">
              <wp:posOffset>4445</wp:posOffset>
            </wp:positionH>
            <wp:positionV relativeFrom="paragraph">
              <wp:posOffset>129540</wp:posOffset>
            </wp:positionV>
            <wp:extent cx="5488940" cy="2279015"/>
            <wp:effectExtent l="0" t="0" r="0" b="6985"/>
            <wp:wrapTight wrapText="bothSides">
              <wp:wrapPolygon>
                <wp:start x="7946" y="0"/>
                <wp:lineTo x="7696" y="602"/>
                <wp:lineTo x="7596" y="1204"/>
                <wp:lineTo x="7596" y="12879"/>
                <wp:lineTo x="8546" y="13481"/>
                <wp:lineTo x="10795" y="13481"/>
                <wp:lineTo x="0" y="15889"/>
                <wp:lineTo x="0" y="17333"/>
                <wp:lineTo x="10795" y="17333"/>
                <wp:lineTo x="7696" y="18296"/>
                <wp:lineTo x="7197" y="18537"/>
                <wp:lineTo x="7047" y="19740"/>
                <wp:lineTo x="6947" y="21305"/>
                <wp:lineTo x="7097" y="21425"/>
                <wp:lineTo x="7497" y="21425"/>
                <wp:lineTo x="13644" y="21425"/>
                <wp:lineTo x="14493" y="21425"/>
                <wp:lineTo x="14743" y="21305"/>
                <wp:lineTo x="14693" y="18657"/>
                <wp:lineTo x="14293" y="18416"/>
                <wp:lineTo x="10795" y="17333"/>
                <wp:lineTo x="21540" y="17333"/>
                <wp:lineTo x="21540" y="15889"/>
                <wp:lineTo x="17892" y="15166"/>
                <wp:lineTo x="16143" y="14685"/>
                <wp:lineTo x="10795" y="13481"/>
                <wp:lineTo x="12944" y="13481"/>
                <wp:lineTo x="13994" y="12879"/>
                <wp:lineTo x="13994" y="1444"/>
                <wp:lineTo x="13844" y="602"/>
                <wp:lineTo x="13594" y="0"/>
                <wp:lineTo x="7946" y="0"/>
              </wp:wrapPolygon>
            </wp:wrapTight>
            <wp:docPr id="5" name="图片 0" descr="永安A4封面.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永安A4封面.png"/>
                    <pic:cNvPicPr>
                      <a:picLocks noChangeAspect="1"/>
                    </pic:cNvPicPr>
                  </pic:nvPicPr>
                  <pic:blipFill>
                    <a:blip r:embed="rId8" cstate="print"/>
                    <a:stretch>
                      <a:fillRect/>
                    </a:stretch>
                  </pic:blipFill>
                  <pic:spPr>
                    <a:xfrm>
                      <a:off x="0" y="0"/>
                      <a:ext cx="5488940" cy="2279015"/>
                    </a:xfrm>
                    <a:prstGeom prst="rect">
                      <a:avLst/>
                    </a:prstGeom>
                  </pic:spPr>
                </pic:pic>
              </a:graphicData>
            </a:graphic>
          </wp:anchor>
        </w:drawing>
      </w:r>
    </w:p>
    <w:p w14:paraId="5088EFC1">
      <w:pPr>
        <w:pStyle w:val="8"/>
        <w:jc w:val="center"/>
        <w:rPr>
          <w:rFonts w:ascii="宋体" w:hAnsi="宋体" w:cs="宋体"/>
          <w:color w:val="000000" w:themeColor="text1"/>
        </w:rPr>
      </w:pPr>
    </w:p>
    <w:p w14:paraId="4B78AFD5">
      <w:pPr>
        <w:pStyle w:val="8"/>
        <w:jc w:val="center"/>
        <w:rPr>
          <w:rFonts w:ascii="宋体" w:hAnsi="宋体" w:cs="宋体"/>
          <w:color w:val="000000" w:themeColor="text1"/>
        </w:rPr>
      </w:pPr>
    </w:p>
    <w:p w14:paraId="686AA215">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924"/>
        <w:rPr>
          <w:rFonts w:ascii="宋体" w:hAnsi="宋体" w:cs="宋体"/>
          <w:b/>
          <w:color w:val="000000" w:themeColor="text1"/>
          <w:kern w:val="0"/>
          <w:sz w:val="84"/>
          <w:szCs w:val="84"/>
        </w:rPr>
      </w:pPr>
      <w:r>
        <w:rPr>
          <w:rFonts w:hint="eastAsia" w:ascii="宋体" w:hAnsi="宋体" w:cs="宋体"/>
          <w:b/>
          <w:color w:val="000000" w:themeColor="text1"/>
          <w:kern w:val="0"/>
          <w:sz w:val="84"/>
          <w:szCs w:val="84"/>
        </w:rPr>
        <w:t xml:space="preserve"> </w:t>
      </w:r>
    </w:p>
    <w:p w14:paraId="11EF24EE">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924"/>
        <w:rPr>
          <w:rFonts w:ascii="宋体" w:hAnsi="宋体" w:cs="宋体"/>
          <w:b/>
          <w:color w:val="000000" w:themeColor="text1"/>
          <w:kern w:val="0"/>
          <w:sz w:val="72"/>
          <w:szCs w:val="72"/>
        </w:rPr>
      </w:pPr>
    </w:p>
    <w:p w14:paraId="46446153">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924"/>
        <w:jc w:val="center"/>
        <w:rPr>
          <w:rFonts w:ascii="宋体" w:hAnsi="宋体" w:cs="宋体"/>
          <w:b/>
          <w:color w:val="auto"/>
          <w:kern w:val="0"/>
          <w:sz w:val="72"/>
          <w:szCs w:val="72"/>
          <w:highlight w:val="none"/>
        </w:rPr>
      </w:pPr>
      <w:r>
        <w:rPr>
          <w:rFonts w:hint="eastAsia" w:ascii="宋体" w:hAnsi="宋体" w:cs="宋体"/>
          <w:b/>
          <w:color w:val="auto"/>
          <w:kern w:val="0"/>
          <w:sz w:val="72"/>
          <w:szCs w:val="72"/>
          <w:highlight w:val="none"/>
        </w:rPr>
        <w:t xml:space="preserve">   政府采购</w:t>
      </w:r>
    </w:p>
    <w:p w14:paraId="17A675D8">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924"/>
        <w:jc w:val="center"/>
        <w:rPr>
          <w:rFonts w:ascii="宋体" w:hAnsi="宋体" w:cs="宋体"/>
          <w:b/>
          <w:color w:val="auto"/>
          <w:kern w:val="0"/>
          <w:sz w:val="72"/>
          <w:szCs w:val="72"/>
          <w:highlight w:val="none"/>
        </w:rPr>
      </w:pPr>
      <w:r>
        <w:rPr>
          <w:rFonts w:hint="eastAsia" w:ascii="宋体" w:hAnsi="宋体" w:cs="宋体"/>
          <w:b/>
          <w:color w:val="auto"/>
          <w:kern w:val="0"/>
          <w:sz w:val="72"/>
          <w:szCs w:val="72"/>
          <w:highlight w:val="none"/>
        </w:rPr>
        <w:t xml:space="preserve">   竞争性磋商文件</w:t>
      </w:r>
    </w:p>
    <w:p w14:paraId="66DF44CD">
      <w:pPr>
        <w:spacing w:line="360" w:lineRule="auto"/>
        <w:jc w:val="center"/>
        <w:rPr>
          <w:rFonts w:ascii="宋体" w:hAnsi="宋体" w:cs="宋体"/>
          <w:color w:val="auto"/>
          <w:kern w:val="0"/>
          <w:sz w:val="28"/>
          <w:szCs w:val="28"/>
          <w:highlight w:val="none"/>
        </w:rPr>
      </w:pPr>
      <w:r>
        <w:rPr>
          <w:rFonts w:hint="eastAsia" w:ascii="宋体" w:hAnsi="宋体" w:cs="宋体"/>
          <w:b/>
          <w:bCs/>
          <w:color w:val="auto"/>
          <w:kern w:val="0"/>
          <w:sz w:val="32"/>
          <w:szCs w:val="32"/>
          <w:highlight w:val="none"/>
        </w:rPr>
        <w:t>（电子招投标方式）</w:t>
      </w:r>
    </w:p>
    <w:p w14:paraId="56F1C733">
      <w:pPr>
        <w:spacing w:line="360" w:lineRule="auto"/>
        <w:jc w:val="center"/>
        <w:rPr>
          <w:rFonts w:ascii="宋体" w:hAnsi="宋体" w:cs="宋体"/>
          <w:b/>
          <w:color w:val="auto"/>
          <w:kern w:val="0"/>
          <w:sz w:val="28"/>
          <w:szCs w:val="28"/>
          <w:highlight w:val="none"/>
        </w:rPr>
      </w:pPr>
      <w:r>
        <w:rPr>
          <w:rFonts w:hint="eastAsia" w:ascii="宋体" w:hAnsi="宋体" w:cs="宋体"/>
          <w:color w:val="auto"/>
          <w:kern w:val="0"/>
          <w:sz w:val="28"/>
          <w:szCs w:val="28"/>
          <w:highlight w:val="none"/>
        </w:rPr>
        <w:t>项目编号：</w:t>
      </w:r>
      <w:r>
        <w:rPr>
          <w:rFonts w:hint="eastAsia" w:ascii="宋体" w:hAnsi="宋体" w:cs="宋体"/>
          <w:color w:val="auto"/>
          <w:kern w:val="0"/>
          <w:sz w:val="28"/>
          <w:szCs w:val="28"/>
          <w:highlight w:val="none"/>
          <w:u w:val="single"/>
        </w:rPr>
        <w:t xml:space="preserve"> </w:t>
      </w:r>
      <w:r>
        <w:rPr>
          <w:rFonts w:hint="eastAsia" w:ascii="宋体" w:hAnsi="宋体" w:cs="宋体"/>
          <w:color w:val="auto"/>
          <w:kern w:val="0"/>
          <w:sz w:val="28"/>
          <w:szCs w:val="28"/>
          <w:highlight w:val="none"/>
          <w:u w:val="single"/>
          <w:lang w:eastAsia="zh-CN"/>
        </w:rPr>
        <w:t>tzya2025-tz37</w:t>
      </w:r>
      <w:r>
        <w:rPr>
          <w:rFonts w:hint="eastAsia" w:ascii="宋体" w:hAnsi="宋体" w:cs="宋体"/>
          <w:color w:val="auto"/>
          <w:kern w:val="0"/>
          <w:sz w:val="28"/>
          <w:szCs w:val="28"/>
          <w:highlight w:val="none"/>
          <w:u w:val="single"/>
        </w:rPr>
        <w:t xml:space="preserve"> </w:t>
      </w:r>
    </w:p>
    <w:p w14:paraId="35279B46">
      <w:pPr>
        <w:pStyle w:val="8"/>
        <w:jc w:val="center"/>
        <w:rPr>
          <w:rFonts w:ascii="宋体" w:hAnsi="宋体" w:cs="宋体"/>
          <w:color w:val="auto"/>
          <w:highlight w:val="none"/>
        </w:rPr>
      </w:pPr>
    </w:p>
    <w:p w14:paraId="25403C61">
      <w:pPr>
        <w:pStyle w:val="8"/>
        <w:rPr>
          <w:rFonts w:ascii="宋体" w:hAnsi="宋体" w:cs="宋体"/>
          <w:color w:val="auto"/>
          <w:highlight w:val="none"/>
        </w:rPr>
      </w:pPr>
    </w:p>
    <w:p w14:paraId="6D205052">
      <w:pPr>
        <w:pStyle w:val="8"/>
        <w:jc w:val="center"/>
        <w:rPr>
          <w:rFonts w:ascii="宋体" w:hAnsi="宋体" w:cs="宋体"/>
          <w:color w:val="auto"/>
          <w:highlight w:val="none"/>
        </w:rPr>
      </w:pPr>
    </w:p>
    <w:p w14:paraId="79C9C25F">
      <w:pPr>
        <w:spacing w:line="360" w:lineRule="auto"/>
        <w:ind w:left="1405" w:hanging="1405" w:hangingChars="500"/>
        <w:jc w:val="center"/>
        <w:rPr>
          <w:rFonts w:ascii="宋体" w:hAnsi="宋体" w:cs="宋体"/>
          <w:color w:val="auto"/>
          <w:highlight w:val="none"/>
        </w:rPr>
      </w:pPr>
      <w:r>
        <w:rPr>
          <w:rFonts w:hint="eastAsia" w:ascii="宋体" w:hAnsi="宋体" w:cs="宋体"/>
          <w:b/>
          <w:bCs/>
          <w:color w:val="auto"/>
          <w:kern w:val="0"/>
          <w:sz w:val="28"/>
          <w:szCs w:val="28"/>
          <w:highlight w:val="none"/>
        </w:rPr>
        <w:t>采购项目：</w:t>
      </w:r>
      <w:r>
        <w:rPr>
          <w:rFonts w:hint="eastAsia" w:ascii="宋体" w:hAnsi="宋体" w:cs="宋体"/>
          <w:color w:val="auto"/>
          <w:kern w:val="0"/>
          <w:sz w:val="28"/>
          <w:szCs w:val="28"/>
          <w:highlight w:val="none"/>
          <w:u w:val="single"/>
        </w:rPr>
        <w:t>信息安全运维服务项目</w:t>
      </w:r>
    </w:p>
    <w:p w14:paraId="1DF4221C">
      <w:pPr>
        <w:spacing w:line="360" w:lineRule="auto"/>
        <w:jc w:val="center"/>
        <w:rPr>
          <w:rFonts w:ascii="宋体" w:hAnsi="宋体" w:cs="宋体"/>
          <w:color w:val="auto"/>
          <w:kern w:val="0"/>
          <w:sz w:val="28"/>
          <w:szCs w:val="28"/>
          <w:highlight w:val="none"/>
          <w:u w:val="single"/>
        </w:rPr>
      </w:pPr>
      <w:r>
        <w:rPr>
          <w:rFonts w:hint="eastAsia" w:ascii="宋体" w:hAnsi="宋体" w:cs="宋体"/>
          <w:b/>
          <w:bCs/>
          <w:color w:val="auto"/>
          <w:kern w:val="0"/>
          <w:sz w:val="28"/>
          <w:szCs w:val="28"/>
          <w:highlight w:val="none"/>
        </w:rPr>
        <w:t>采 购 人：</w:t>
      </w:r>
      <w:r>
        <w:rPr>
          <w:rFonts w:hint="eastAsia" w:ascii="宋体" w:hAnsi="宋体" w:cs="宋体"/>
          <w:color w:val="auto"/>
          <w:kern w:val="0"/>
          <w:sz w:val="28"/>
          <w:szCs w:val="28"/>
          <w:highlight w:val="none"/>
          <w:u w:val="single"/>
        </w:rPr>
        <w:t>台州市中级人民法院</w:t>
      </w:r>
    </w:p>
    <w:p w14:paraId="694295B3">
      <w:pPr>
        <w:pStyle w:val="8"/>
        <w:rPr>
          <w:rFonts w:ascii="宋体" w:hAnsi="宋体" w:cs="宋体"/>
          <w:color w:val="auto"/>
          <w:highlight w:val="none"/>
        </w:rPr>
      </w:pPr>
    </w:p>
    <w:p w14:paraId="386CDA8D">
      <w:pPr>
        <w:pStyle w:val="8"/>
        <w:rPr>
          <w:rFonts w:ascii="宋体" w:hAnsi="宋体" w:cs="宋体"/>
          <w:color w:val="auto"/>
          <w:highlight w:val="none"/>
        </w:rPr>
      </w:pPr>
    </w:p>
    <w:p w14:paraId="3A337E47">
      <w:pPr>
        <w:spacing w:line="360" w:lineRule="auto"/>
        <w:ind w:firstLine="1405" w:firstLineChars="500"/>
        <w:rPr>
          <w:rFonts w:ascii="宋体" w:hAnsi="宋体" w:cs="宋体"/>
          <w:color w:val="auto"/>
          <w:kern w:val="0"/>
          <w:sz w:val="28"/>
          <w:szCs w:val="28"/>
          <w:highlight w:val="none"/>
        </w:rPr>
      </w:pPr>
      <w:r>
        <w:rPr>
          <w:rFonts w:hint="eastAsia" w:ascii="宋体" w:hAnsi="宋体" w:cs="宋体"/>
          <w:b/>
          <w:bCs/>
          <w:color w:val="auto"/>
          <w:kern w:val="0"/>
          <w:sz w:val="28"/>
          <w:szCs w:val="28"/>
          <w:highlight w:val="none"/>
        </w:rPr>
        <w:t>采购代理机构：</w:t>
      </w:r>
      <w:r>
        <w:rPr>
          <w:rFonts w:hint="eastAsia" w:ascii="宋体" w:hAnsi="宋体" w:cs="宋体"/>
          <w:color w:val="auto"/>
          <w:kern w:val="0"/>
          <w:sz w:val="28"/>
          <w:szCs w:val="28"/>
          <w:highlight w:val="none"/>
        </w:rPr>
        <w:t>台州永安工程咨询有限公司</w:t>
      </w:r>
    </w:p>
    <w:p w14:paraId="4CDC962B">
      <w:pPr>
        <w:pStyle w:val="8"/>
        <w:rPr>
          <w:rFonts w:ascii="宋体" w:hAnsi="宋体" w:cs="宋体"/>
          <w:color w:val="auto"/>
          <w:highlight w:val="none"/>
        </w:rPr>
      </w:pPr>
    </w:p>
    <w:p w14:paraId="4A10A314">
      <w:pPr>
        <w:pStyle w:val="8"/>
        <w:jc w:val="center"/>
        <w:rPr>
          <w:rFonts w:ascii="宋体" w:hAnsi="宋体" w:cs="宋体"/>
          <w:color w:val="auto"/>
          <w:kern w:val="0"/>
          <w:szCs w:val="21"/>
          <w:highlight w:val="none"/>
        </w:rPr>
      </w:pPr>
      <w:r>
        <w:rPr>
          <w:rFonts w:hint="eastAsia" w:ascii="宋体" w:hAnsi="宋体" w:cs="宋体"/>
          <w:color w:val="auto"/>
          <w:kern w:val="0"/>
          <w:sz w:val="28"/>
          <w:szCs w:val="28"/>
          <w:highlight w:val="none"/>
        </w:rPr>
        <w:t>二○二五年七月</w:t>
      </w:r>
    </w:p>
    <w:p w14:paraId="2260FEEE">
      <w:pPr>
        <w:pStyle w:val="8"/>
        <w:jc w:val="center"/>
        <w:rPr>
          <w:rFonts w:ascii="宋体" w:hAnsi="宋体" w:cs="宋体"/>
          <w:color w:val="auto"/>
          <w:kern w:val="0"/>
          <w:szCs w:val="21"/>
          <w:highlight w:val="none"/>
        </w:rPr>
      </w:pPr>
    </w:p>
    <w:p w14:paraId="3054207C">
      <w:pPr>
        <w:pStyle w:val="8"/>
        <w:rPr>
          <w:rFonts w:ascii="宋体" w:hAnsi="宋体" w:cs="宋体"/>
          <w:color w:val="auto"/>
          <w:highlight w:val="none"/>
        </w:rPr>
      </w:pPr>
    </w:p>
    <w:p w14:paraId="0BABC0F2">
      <w:pPr>
        <w:spacing w:line="360" w:lineRule="auto"/>
        <w:jc w:val="center"/>
        <w:rPr>
          <w:rFonts w:ascii="宋体" w:hAnsi="宋体" w:cs="宋体"/>
          <w:b/>
          <w:bCs/>
          <w:color w:val="auto"/>
          <w:sz w:val="36"/>
          <w:szCs w:val="36"/>
          <w:highlight w:val="none"/>
        </w:rPr>
      </w:pPr>
      <w:r>
        <w:rPr>
          <w:rFonts w:hint="eastAsia" w:ascii="宋体" w:hAnsi="宋体" w:cs="宋体"/>
          <w:b/>
          <w:bCs/>
          <w:color w:val="auto"/>
          <w:sz w:val="36"/>
          <w:szCs w:val="36"/>
          <w:highlight w:val="none"/>
        </w:rPr>
        <w:t>目  录</w:t>
      </w:r>
    </w:p>
    <w:p w14:paraId="71FED101">
      <w:pPr>
        <w:spacing w:line="360" w:lineRule="auto"/>
        <w:rPr>
          <w:rFonts w:ascii="宋体" w:hAnsi="宋体" w:cs="宋体"/>
          <w:color w:val="auto"/>
          <w:sz w:val="28"/>
          <w:szCs w:val="28"/>
          <w:highlight w:val="none"/>
        </w:rPr>
      </w:pPr>
    </w:p>
    <w:p w14:paraId="4A2B221B">
      <w:pPr>
        <w:numPr>
          <w:ilvl w:val="0"/>
          <w:numId w:val="1"/>
        </w:numPr>
        <w:spacing w:line="360" w:lineRule="auto"/>
        <w:rPr>
          <w:rFonts w:ascii="宋体" w:hAnsi="宋体" w:cs="宋体"/>
          <w:b/>
          <w:color w:val="auto"/>
          <w:sz w:val="28"/>
          <w:szCs w:val="28"/>
          <w:highlight w:val="none"/>
        </w:rPr>
      </w:pPr>
      <w:r>
        <w:rPr>
          <w:rFonts w:hint="eastAsia" w:ascii="宋体" w:hAnsi="宋体" w:cs="宋体"/>
          <w:b/>
          <w:color w:val="auto"/>
          <w:sz w:val="28"/>
          <w:szCs w:val="28"/>
          <w:highlight w:val="none"/>
        </w:rPr>
        <w:t>竞争性磋商公告</w:t>
      </w:r>
    </w:p>
    <w:p w14:paraId="7F82E384">
      <w:pPr>
        <w:numPr>
          <w:ilvl w:val="0"/>
          <w:numId w:val="1"/>
        </w:numPr>
        <w:spacing w:line="360" w:lineRule="auto"/>
        <w:rPr>
          <w:rFonts w:ascii="宋体" w:hAnsi="宋体" w:cs="宋体"/>
          <w:b/>
          <w:color w:val="auto"/>
          <w:sz w:val="28"/>
          <w:szCs w:val="28"/>
          <w:highlight w:val="none"/>
        </w:rPr>
      </w:pPr>
      <w:r>
        <w:rPr>
          <w:rFonts w:hint="eastAsia" w:ascii="宋体" w:hAnsi="宋体" w:cs="宋体"/>
          <w:b/>
          <w:color w:val="auto"/>
          <w:sz w:val="28"/>
          <w:szCs w:val="28"/>
          <w:highlight w:val="none"/>
        </w:rPr>
        <w:t>供应商须知</w:t>
      </w:r>
    </w:p>
    <w:p w14:paraId="0B2A19B7">
      <w:pPr>
        <w:numPr>
          <w:ilvl w:val="0"/>
          <w:numId w:val="1"/>
        </w:numPr>
        <w:spacing w:line="360" w:lineRule="auto"/>
        <w:rPr>
          <w:rFonts w:ascii="宋体" w:hAnsi="宋体" w:cs="宋体"/>
          <w:b/>
          <w:color w:val="auto"/>
          <w:sz w:val="28"/>
          <w:szCs w:val="28"/>
          <w:highlight w:val="none"/>
        </w:rPr>
      </w:pPr>
      <w:r>
        <w:rPr>
          <w:rFonts w:hint="eastAsia" w:ascii="宋体" w:hAnsi="宋体" w:cs="宋体"/>
          <w:b/>
          <w:color w:val="auto"/>
          <w:sz w:val="28"/>
          <w:szCs w:val="28"/>
          <w:highlight w:val="none"/>
        </w:rPr>
        <w:t>评审办法及评审标准</w:t>
      </w:r>
    </w:p>
    <w:p w14:paraId="5E851C8C">
      <w:pPr>
        <w:numPr>
          <w:ilvl w:val="0"/>
          <w:numId w:val="1"/>
        </w:numPr>
        <w:spacing w:line="360" w:lineRule="auto"/>
        <w:rPr>
          <w:rFonts w:ascii="宋体" w:hAnsi="宋体" w:cs="宋体"/>
          <w:b/>
          <w:color w:val="auto"/>
          <w:sz w:val="28"/>
          <w:szCs w:val="28"/>
          <w:highlight w:val="none"/>
        </w:rPr>
      </w:pPr>
      <w:r>
        <w:rPr>
          <w:rFonts w:hint="eastAsia" w:ascii="宋体" w:hAnsi="宋体" w:cs="宋体"/>
          <w:b/>
          <w:color w:val="auto"/>
          <w:sz w:val="28"/>
          <w:szCs w:val="28"/>
          <w:highlight w:val="none"/>
        </w:rPr>
        <w:t>项目需求</w:t>
      </w:r>
    </w:p>
    <w:p w14:paraId="128B5090">
      <w:pPr>
        <w:numPr>
          <w:ilvl w:val="0"/>
          <w:numId w:val="1"/>
        </w:numPr>
        <w:spacing w:line="360" w:lineRule="auto"/>
        <w:rPr>
          <w:rFonts w:ascii="宋体" w:hAnsi="宋体" w:cs="宋体"/>
          <w:b/>
          <w:color w:val="auto"/>
          <w:sz w:val="28"/>
          <w:szCs w:val="28"/>
          <w:highlight w:val="none"/>
        </w:rPr>
      </w:pPr>
      <w:r>
        <w:rPr>
          <w:rFonts w:hint="eastAsia" w:ascii="宋体" w:hAnsi="宋体" w:cs="宋体"/>
          <w:b/>
          <w:color w:val="auto"/>
          <w:sz w:val="28"/>
          <w:szCs w:val="28"/>
          <w:highlight w:val="none"/>
        </w:rPr>
        <w:t>政府采购合同主要条款</w:t>
      </w:r>
    </w:p>
    <w:p w14:paraId="0CE77AA8">
      <w:pPr>
        <w:numPr>
          <w:ilvl w:val="0"/>
          <w:numId w:val="1"/>
        </w:numPr>
        <w:spacing w:line="360" w:lineRule="auto"/>
        <w:rPr>
          <w:rFonts w:ascii="宋体" w:hAnsi="宋体" w:cs="宋体"/>
          <w:b/>
          <w:color w:val="auto"/>
          <w:sz w:val="28"/>
          <w:szCs w:val="28"/>
          <w:highlight w:val="none"/>
        </w:rPr>
      </w:pPr>
      <w:r>
        <w:rPr>
          <w:rFonts w:hint="eastAsia" w:ascii="宋体" w:hAnsi="宋体" w:cs="宋体"/>
          <w:b/>
          <w:color w:val="auto"/>
          <w:sz w:val="28"/>
          <w:szCs w:val="28"/>
          <w:highlight w:val="none"/>
        </w:rPr>
        <w:t>响应文件格式附件</w:t>
      </w:r>
    </w:p>
    <w:p w14:paraId="50911566">
      <w:pPr>
        <w:pStyle w:val="8"/>
        <w:jc w:val="center"/>
        <w:rPr>
          <w:rFonts w:ascii="宋体" w:hAnsi="宋体" w:cs="宋体"/>
          <w:color w:val="auto"/>
          <w:highlight w:val="none"/>
        </w:rPr>
      </w:pPr>
    </w:p>
    <w:p w14:paraId="6537EF7C">
      <w:pPr>
        <w:pStyle w:val="8"/>
        <w:jc w:val="center"/>
        <w:rPr>
          <w:rFonts w:ascii="宋体" w:hAnsi="宋体" w:cs="宋体"/>
          <w:color w:val="auto"/>
          <w:highlight w:val="none"/>
        </w:rPr>
      </w:pPr>
    </w:p>
    <w:p w14:paraId="5B82B4DC">
      <w:pPr>
        <w:pStyle w:val="8"/>
        <w:jc w:val="center"/>
        <w:rPr>
          <w:rFonts w:ascii="宋体" w:hAnsi="宋体" w:cs="宋体"/>
          <w:color w:val="auto"/>
          <w:highlight w:val="none"/>
        </w:rPr>
      </w:pPr>
    </w:p>
    <w:p w14:paraId="525AB5BF">
      <w:pPr>
        <w:pStyle w:val="8"/>
        <w:jc w:val="center"/>
        <w:rPr>
          <w:rFonts w:ascii="宋体" w:hAnsi="宋体" w:cs="宋体"/>
          <w:color w:val="auto"/>
          <w:highlight w:val="none"/>
        </w:rPr>
      </w:pPr>
    </w:p>
    <w:p w14:paraId="60986310">
      <w:pPr>
        <w:pStyle w:val="8"/>
        <w:jc w:val="center"/>
        <w:rPr>
          <w:rFonts w:ascii="宋体" w:hAnsi="宋体" w:cs="宋体"/>
          <w:color w:val="auto"/>
          <w:highlight w:val="none"/>
        </w:rPr>
      </w:pPr>
    </w:p>
    <w:p w14:paraId="3C49C147">
      <w:pPr>
        <w:pStyle w:val="8"/>
        <w:jc w:val="center"/>
        <w:rPr>
          <w:rFonts w:ascii="宋体" w:hAnsi="宋体" w:cs="宋体"/>
          <w:color w:val="auto"/>
          <w:highlight w:val="none"/>
        </w:rPr>
      </w:pPr>
    </w:p>
    <w:p w14:paraId="04AC8542">
      <w:pPr>
        <w:pStyle w:val="8"/>
        <w:jc w:val="center"/>
        <w:rPr>
          <w:rFonts w:ascii="宋体" w:hAnsi="宋体" w:cs="宋体"/>
          <w:color w:val="auto"/>
          <w:highlight w:val="none"/>
        </w:rPr>
      </w:pPr>
    </w:p>
    <w:p w14:paraId="728CFB1B">
      <w:pPr>
        <w:pStyle w:val="8"/>
        <w:jc w:val="center"/>
        <w:rPr>
          <w:rFonts w:ascii="宋体" w:hAnsi="宋体" w:cs="宋体"/>
          <w:color w:val="auto"/>
          <w:highlight w:val="none"/>
        </w:rPr>
      </w:pPr>
    </w:p>
    <w:p w14:paraId="712BF6FC">
      <w:pPr>
        <w:pStyle w:val="8"/>
        <w:jc w:val="center"/>
        <w:rPr>
          <w:rFonts w:ascii="宋体" w:hAnsi="宋体" w:cs="宋体"/>
          <w:color w:val="auto"/>
          <w:highlight w:val="none"/>
        </w:rPr>
      </w:pPr>
    </w:p>
    <w:p w14:paraId="58C641EA">
      <w:pPr>
        <w:pStyle w:val="8"/>
        <w:jc w:val="center"/>
        <w:rPr>
          <w:rFonts w:ascii="宋体" w:hAnsi="宋体" w:cs="宋体"/>
          <w:color w:val="auto"/>
          <w:highlight w:val="none"/>
        </w:rPr>
      </w:pPr>
    </w:p>
    <w:p w14:paraId="303FE597">
      <w:pPr>
        <w:pStyle w:val="8"/>
        <w:jc w:val="center"/>
        <w:rPr>
          <w:rFonts w:ascii="宋体" w:hAnsi="宋体" w:cs="宋体"/>
          <w:color w:val="auto"/>
          <w:highlight w:val="none"/>
        </w:rPr>
      </w:pPr>
    </w:p>
    <w:p w14:paraId="5A409739">
      <w:pPr>
        <w:pStyle w:val="8"/>
        <w:jc w:val="center"/>
        <w:rPr>
          <w:rFonts w:ascii="宋体" w:hAnsi="宋体" w:cs="宋体"/>
          <w:color w:val="auto"/>
          <w:highlight w:val="none"/>
        </w:rPr>
      </w:pPr>
    </w:p>
    <w:p w14:paraId="3B0379CD">
      <w:pPr>
        <w:pStyle w:val="8"/>
        <w:jc w:val="center"/>
        <w:rPr>
          <w:rFonts w:ascii="宋体" w:hAnsi="宋体" w:cs="宋体"/>
          <w:color w:val="auto"/>
          <w:highlight w:val="none"/>
        </w:rPr>
      </w:pPr>
    </w:p>
    <w:p w14:paraId="58C4A007">
      <w:pPr>
        <w:pStyle w:val="9"/>
        <w:ind w:firstLine="210"/>
        <w:rPr>
          <w:rFonts w:ascii="宋体" w:hAnsi="宋体" w:cs="宋体"/>
          <w:color w:val="auto"/>
          <w:highlight w:val="none"/>
        </w:rPr>
      </w:pPr>
    </w:p>
    <w:p w14:paraId="51796861">
      <w:pPr>
        <w:pStyle w:val="9"/>
        <w:ind w:firstLine="210"/>
        <w:rPr>
          <w:rFonts w:ascii="宋体" w:hAnsi="宋体" w:cs="宋体"/>
          <w:color w:val="auto"/>
          <w:highlight w:val="none"/>
        </w:rPr>
      </w:pPr>
    </w:p>
    <w:p w14:paraId="0DFF78C3">
      <w:pPr>
        <w:pStyle w:val="8"/>
        <w:jc w:val="center"/>
        <w:rPr>
          <w:rFonts w:ascii="宋体" w:hAnsi="宋体" w:cs="宋体"/>
          <w:color w:val="auto"/>
          <w:highlight w:val="none"/>
        </w:rPr>
      </w:pPr>
    </w:p>
    <w:p w14:paraId="2429D270">
      <w:pPr>
        <w:pStyle w:val="9"/>
        <w:ind w:firstLine="210"/>
        <w:rPr>
          <w:rFonts w:ascii="宋体" w:hAnsi="宋体" w:cs="宋体"/>
          <w:color w:val="auto"/>
          <w:highlight w:val="none"/>
        </w:rPr>
      </w:pPr>
    </w:p>
    <w:p w14:paraId="035F8EA2">
      <w:pPr>
        <w:pStyle w:val="8"/>
        <w:jc w:val="center"/>
        <w:rPr>
          <w:rFonts w:ascii="宋体" w:hAnsi="宋体" w:cs="宋体"/>
          <w:color w:val="auto"/>
          <w:highlight w:val="none"/>
        </w:rPr>
      </w:pPr>
    </w:p>
    <w:p w14:paraId="736A2025">
      <w:pPr>
        <w:tabs>
          <w:tab w:val="left" w:pos="180"/>
          <w:tab w:val="left" w:pos="360"/>
          <w:tab w:val="left" w:pos="540"/>
          <w:tab w:val="left" w:pos="8280"/>
        </w:tabs>
        <w:autoSpaceDE w:val="0"/>
        <w:autoSpaceDN w:val="0"/>
        <w:adjustRightInd w:val="0"/>
        <w:spacing w:line="360" w:lineRule="auto"/>
        <w:ind w:right="23"/>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第一章 竞争性磋商公告</w:t>
      </w:r>
    </w:p>
    <w:p w14:paraId="05D8EB5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根据《中华人民共和国政府采购法》、《中华人民共和国政府采购法实施条例》和《政府采购竞争性磋商采购方式管理暂行办法》等有关规定, 受</w:t>
      </w:r>
      <w:r>
        <w:rPr>
          <w:rFonts w:hint="eastAsia" w:ascii="宋体" w:hAnsi="宋体" w:cs="宋体"/>
          <w:b/>
          <w:bCs/>
          <w:color w:val="auto"/>
          <w:szCs w:val="21"/>
          <w:highlight w:val="none"/>
        </w:rPr>
        <w:t>台州市中级人民法院</w:t>
      </w:r>
      <w:r>
        <w:rPr>
          <w:rFonts w:hint="eastAsia" w:ascii="宋体" w:hAnsi="宋体" w:cs="宋体"/>
          <w:color w:val="auto"/>
          <w:szCs w:val="21"/>
          <w:highlight w:val="none"/>
        </w:rPr>
        <w:t>委托，现就其</w:t>
      </w:r>
      <w:r>
        <w:rPr>
          <w:rFonts w:hint="eastAsia" w:ascii="宋体" w:hAnsi="宋体" w:cs="宋体"/>
          <w:b/>
          <w:bCs/>
          <w:color w:val="auto"/>
          <w:szCs w:val="21"/>
          <w:highlight w:val="none"/>
        </w:rPr>
        <w:t>信息安全运维服务项目</w:t>
      </w:r>
      <w:r>
        <w:rPr>
          <w:rFonts w:hint="eastAsia" w:ascii="宋体" w:hAnsi="宋体" w:cs="宋体"/>
          <w:color w:val="auto"/>
          <w:szCs w:val="21"/>
          <w:highlight w:val="none"/>
        </w:rPr>
        <w:t>进行竞争性磋商采购，欢迎合格供应商前来磋商。</w:t>
      </w:r>
    </w:p>
    <w:p w14:paraId="20AE7C35">
      <w:pPr>
        <w:spacing w:line="360" w:lineRule="auto"/>
        <w:ind w:firstLine="422" w:firstLineChars="200"/>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rPr>
        <w:t>一、项目编号：</w:t>
      </w:r>
      <w:r>
        <w:rPr>
          <w:rFonts w:hint="eastAsia" w:ascii="宋体" w:hAnsi="宋体" w:cs="宋体"/>
          <w:b/>
          <w:bCs/>
          <w:color w:val="auto"/>
          <w:szCs w:val="21"/>
          <w:highlight w:val="none"/>
          <w:lang w:eastAsia="zh-CN"/>
        </w:rPr>
        <w:t>tzya2025-tz37</w:t>
      </w:r>
    </w:p>
    <w:p w14:paraId="2C00D504">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二、磋商内容：</w:t>
      </w:r>
    </w:p>
    <w:tbl>
      <w:tblPr>
        <w:tblStyle w:val="22"/>
        <w:tblW w:w="98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2141"/>
        <w:gridCol w:w="1676"/>
        <w:gridCol w:w="817"/>
        <w:gridCol w:w="800"/>
        <w:gridCol w:w="1033"/>
        <w:gridCol w:w="1305"/>
        <w:gridCol w:w="1305"/>
      </w:tblGrid>
      <w:tr w14:paraId="30FEB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765" w:type="dxa"/>
            <w:vAlign w:val="center"/>
          </w:tcPr>
          <w:p w14:paraId="5100DFFA">
            <w:pPr>
              <w:tabs>
                <w:tab w:val="left" w:pos="8280"/>
              </w:tabs>
              <w:autoSpaceDE w:val="0"/>
              <w:autoSpaceDN w:val="0"/>
              <w:adjustRightInd w:val="0"/>
              <w:ind w:right="25"/>
              <w:jc w:val="center"/>
              <w:rPr>
                <w:rFonts w:ascii="宋体" w:hAnsi="宋体" w:cs="宋体"/>
                <w:b/>
                <w:color w:val="auto"/>
                <w:szCs w:val="21"/>
                <w:highlight w:val="none"/>
              </w:rPr>
            </w:pPr>
            <w:bookmarkStart w:id="0" w:name="EBc3c9f0bc06b6413d849824fe98ba274c"/>
            <w:r>
              <w:rPr>
                <w:rFonts w:hint="eastAsia" w:ascii="宋体" w:hAnsi="宋体" w:cs="宋体"/>
                <w:b/>
                <w:color w:val="auto"/>
                <w:szCs w:val="21"/>
                <w:highlight w:val="none"/>
              </w:rPr>
              <w:t>序号</w:t>
            </w:r>
          </w:p>
        </w:tc>
        <w:tc>
          <w:tcPr>
            <w:tcW w:w="2141" w:type="dxa"/>
            <w:vAlign w:val="center"/>
          </w:tcPr>
          <w:p w14:paraId="7D74C8A1">
            <w:pPr>
              <w:tabs>
                <w:tab w:val="left" w:pos="8280"/>
              </w:tabs>
              <w:autoSpaceDE w:val="0"/>
              <w:autoSpaceDN w:val="0"/>
              <w:adjustRightInd w:val="0"/>
              <w:ind w:right="25"/>
              <w:jc w:val="center"/>
              <w:rPr>
                <w:rFonts w:ascii="宋体" w:hAnsi="宋体" w:cs="宋体"/>
                <w:b/>
                <w:color w:val="auto"/>
                <w:szCs w:val="21"/>
                <w:highlight w:val="none"/>
              </w:rPr>
            </w:pPr>
            <w:r>
              <w:rPr>
                <w:rFonts w:hint="eastAsia" w:ascii="宋体" w:hAnsi="宋体" w:cs="宋体"/>
                <w:b/>
                <w:color w:val="auto"/>
                <w:szCs w:val="21"/>
                <w:highlight w:val="none"/>
              </w:rPr>
              <w:t>项目名称</w:t>
            </w:r>
          </w:p>
        </w:tc>
        <w:tc>
          <w:tcPr>
            <w:tcW w:w="1676" w:type="dxa"/>
            <w:vAlign w:val="center"/>
          </w:tcPr>
          <w:p w14:paraId="3A882823">
            <w:pPr>
              <w:tabs>
                <w:tab w:val="left" w:pos="8280"/>
              </w:tabs>
              <w:autoSpaceDE w:val="0"/>
              <w:autoSpaceDN w:val="0"/>
              <w:adjustRightInd w:val="0"/>
              <w:ind w:right="25"/>
              <w:jc w:val="center"/>
              <w:rPr>
                <w:rFonts w:ascii="宋体" w:hAnsi="宋体" w:cs="宋体"/>
                <w:b/>
                <w:color w:val="auto"/>
                <w:szCs w:val="21"/>
                <w:highlight w:val="none"/>
              </w:rPr>
            </w:pPr>
            <w:r>
              <w:rPr>
                <w:rFonts w:hint="eastAsia" w:ascii="宋体" w:hAnsi="宋体" w:cs="宋体"/>
                <w:b/>
                <w:color w:val="auto"/>
                <w:kern w:val="0"/>
                <w:szCs w:val="21"/>
                <w:highlight w:val="none"/>
              </w:rPr>
              <w:t>简要技术要求</w:t>
            </w:r>
          </w:p>
        </w:tc>
        <w:tc>
          <w:tcPr>
            <w:tcW w:w="817" w:type="dxa"/>
            <w:vAlign w:val="center"/>
          </w:tcPr>
          <w:p w14:paraId="23609B92">
            <w:pPr>
              <w:tabs>
                <w:tab w:val="left" w:pos="8280"/>
              </w:tabs>
              <w:autoSpaceDE w:val="0"/>
              <w:autoSpaceDN w:val="0"/>
              <w:adjustRightInd w:val="0"/>
              <w:ind w:right="25"/>
              <w:jc w:val="center"/>
              <w:rPr>
                <w:rFonts w:ascii="宋体" w:hAnsi="宋体" w:cs="宋体"/>
                <w:b/>
                <w:color w:val="auto"/>
                <w:szCs w:val="21"/>
                <w:highlight w:val="none"/>
              </w:rPr>
            </w:pPr>
            <w:r>
              <w:rPr>
                <w:rFonts w:hint="eastAsia" w:ascii="宋体" w:hAnsi="宋体" w:cs="宋体"/>
                <w:b/>
                <w:color w:val="auto"/>
                <w:szCs w:val="21"/>
                <w:highlight w:val="none"/>
              </w:rPr>
              <w:t>数量</w:t>
            </w:r>
          </w:p>
        </w:tc>
        <w:tc>
          <w:tcPr>
            <w:tcW w:w="800" w:type="dxa"/>
            <w:vAlign w:val="center"/>
          </w:tcPr>
          <w:p w14:paraId="59E4F12E">
            <w:pPr>
              <w:tabs>
                <w:tab w:val="left" w:pos="8280"/>
              </w:tabs>
              <w:autoSpaceDE w:val="0"/>
              <w:autoSpaceDN w:val="0"/>
              <w:adjustRightInd w:val="0"/>
              <w:ind w:right="25"/>
              <w:jc w:val="center"/>
              <w:rPr>
                <w:rFonts w:ascii="宋体" w:hAnsi="宋体" w:cs="宋体"/>
                <w:b/>
                <w:color w:val="auto"/>
                <w:szCs w:val="21"/>
                <w:highlight w:val="none"/>
              </w:rPr>
            </w:pPr>
            <w:r>
              <w:rPr>
                <w:rFonts w:hint="eastAsia" w:ascii="宋体" w:hAnsi="宋体" w:cs="宋体"/>
                <w:b/>
                <w:color w:val="auto"/>
                <w:szCs w:val="21"/>
                <w:highlight w:val="none"/>
              </w:rPr>
              <w:t>单位</w:t>
            </w:r>
          </w:p>
        </w:tc>
        <w:tc>
          <w:tcPr>
            <w:tcW w:w="1033" w:type="dxa"/>
            <w:vAlign w:val="center"/>
          </w:tcPr>
          <w:p w14:paraId="42E71D8B">
            <w:pPr>
              <w:tabs>
                <w:tab w:val="left" w:pos="8280"/>
              </w:tabs>
              <w:autoSpaceDE w:val="0"/>
              <w:autoSpaceDN w:val="0"/>
              <w:adjustRightInd w:val="0"/>
              <w:ind w:right="25"/>
              <w:jc w:val="center"/>
              <w:rPr>
                <w:rFonts w:ascii="宋体" w:hAnsi="宋体" w:cs="宋体"/>
                <w:b/>
                <w:color w:val="auto"/>
                <w:szCs w:val="21"/>
                <w:highlight w:val="none"/>
              </w:rPr>
            </w:pPr>
            <w:r>
              <w:rPr>
                <w:rFonts w:hint="eastAsia" w:ascii="宋体" w:hAnsi="宋体" w:cs="宋体"/>
                <w:b/>
                <w:color w:val="auto"/>
                <w:szCs w:val="21"/>
                <w:highlight w:val="none"/>
              </w:rPr>
              <w:t>预算</w:t>
            </w:r>
          </w:p>
          <w:p w14:paraId="365F4C09">
            <w:pPr>
              <w:tabs>
                <w:tab w:val="left" w:pos="8280"/>
              </w:tabs>
              <w:autoSpaceDE w:val="0"/>
              <w:autoSpaceDN w:val="0"/>
              <w:adjustRightInd w:val="0"/>
              <w:ind w:right="25"/>
              <w:jc w:val="center"/>
              <w:rPr>
                <w:rFonts w:ascii="宋体" w:hAnsi="宋体" w:cs="宋体"/>
                <w:b/>
                <w:color w:val="auto"/>
                <w:szCs w:val="21"/>
                <w:highlight w:val="none"/>
              </w:rPr>
            </w:pPr>
            <w:r>
              <w:rPr>
                <w:rFonts w:hint="eastAsia" w:ascii="宋体" w:hAnsi="宋体" w:cs="宋体"/>
                <w:b/>
                <w:color w:val="auto"/>
                <w:szCs w:val="21"/>
                <w:highlight w:val="none"/>
              </w:rPr>
              <w:t>（万元）</w:t>
            </w:r>
          </w:p>
        </w:tc>
        <w:tc>
          <w:tcPr>
            <w:tcW w:w="1305" w:type="dxa"/>
            <w:vAlign w:val="center"/>
          </w:tcPr>
          <w:p w14:paraId="5D741FA3">
            <w:pPr>
              <w:tabs>
                <w:tab w:val="left" w:pos="8280"/>
              </w:tabs>
              <w:autoSpaceDE w:val="0"/>
              <w:autoSpaceDN w:val="0"/>
              <w:adjustRightInd w:val="0"/>
              <w:ind w:right="25" w:rightChars="0"/>
              <w:jc w:val="center"/>
              <w:rPr>
                <w:rFonts w:hint="eastAsia" w:ascii="宋体" w:hAnsi="宋体" w:cs="宋体"/>
                <w:b/>
                <w:color w:val="auto"/>
                <w:szCs w:val="21"/>
                <w:highlight w:val="none"/>
              </w:rPr>
            </w:pPr>
            <w:r>
              <w:rPr>
                <w:rFonts w:hint="eastAsia" w:ascii="宋体" w:hAnsi="宋体" w:cs="宋体"/>
                <w:b/>
                <w:color w:val="auto"/>
                <w:szCs w:val="21"/>
                <w:highlight w:val="none"/>
                <w:lang w:val="en-US" w:eastAsia="zh-CN"/>
              </w:rPr>
              <w:t>最高限价</w:t>
            </w:r>
            <w:r>
              <w:rPr>
                <w:rFonts w:hint="eastAsia" w:ascii="宋体" w:hAnsi="宋体" w:cs="宋体"/>
                <w:b/>
                <w:color w:val="auto"/>
                <w:szCs w:val="21"/>
                <w:highlight w:val="none"/>
              </w:rPr>
              <w:t>（万元）</w:t>
            </w:r>
          </w:p>
        </w:tc>
        <w:tc>
          <w:tcPr>
            <w:tcW w:w="1305" w:type="dxa"/>
            <w:vAlign w:val="center"/>
          </w:tcPr>
          <w:p w14:paraId="73B29E26">
            <w:pPr>
              <w:tabs>
                <w:tab w:val="left" w:pos="8280"/>
              </w:tabs>
              <w:autoSpaceDE w:val="0"/>
              <w:autoSpaceDN w:val="0"/>
              <w:adjustRightInd w:val="0"/>
              <w:ind w:right="25"/>
              <w:jc w:val="center"/>
              <w:rPr>
                <w:rFonts w:ascii="宋体" w:hAnsi="宋体" w:cs="宋体"/>
                <w:b/>
                <w:color w:val="auto"/>
                <w:szCs w:val="21"/>
                <w:highlight w:val="none"/>
              </w:rPr>
            </w:pPr>
            <w:r>
              <w:rPr>
                <w:rFonts w:hint="eastAsia" w:ascii="宋体" w:hAnsi="宋体" w:cs="宋体"/>
                <w:b/>
                <w:color w:val="auto"/>
                <w:szCs w:val="21"/>
                <w:highlight w:val="none"/>
              </w:rPr>
              <w:t>备注</w:t>
            </w:r>
          </w:p>
        </w:tc>
      </w:tr>
      <w:tr w14:paraId="16D7F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jc w:val="center"/>
        </w:trPr>
        <w:tc>
          <w:tcPr>
            <w:tcW w:w="765" w:type="dxa"/>
            <w:vAlign w:val="center"/>
          </w:tcPr>
          <w:p w14:paraId="666C7461">
            <w:pPr>
              <w:tabs>
                <w:tab w:val="left" w:pos="8280"/>
              </w:tabs>
              <w:autoSpaceDE w:val="0"/>
              <w:autoSpaceDN w:val="0"/>
              <w:adjustRightInd w:val="0"/>
              <w:spacing w:line="360" w:lineRule="auto"/>
              <w:ind w:right="25"/>
              <w:jc w:val="center"/>
              <w:rPr>
                <w:rFonts w:ascii="宋体" w:hAnsi="宋体" w:cs="宋体"/>
                <w:color w:val="auto"/>
                <w:szCs w:val="21"/>
                <w:highlight w:val="none"/>
              </w:rPr>
            </w:pPr>
            <w:r>
              <w:rPr>
                <w:rFonts w:hint="eastAsia" w:ascii="宋体" w:hAnsi="宋体" w:cs="宋体"/>
                <w:color w:val="auto"/>
                <w:szCs w:val="21"/>
                <w:highlight w:val="none"/>
              </w:rPr>
              <w:t>1</w:t>
            </w:r>
          </w:p>
        </w:tc>
        <w:tc>
          <w:tcPr>
            <w:tcW w:w="2141" w:type="dxa"/>
            <w:vAlign w:val="center"/>
          </w:tcPr>
          <w:p w14:paraId="27859E44">
            <w:pPr>
              <w:tabs>
                <w:tab w:val="left" w:pos="8280"/>
              </w:tabs>
              <w:autoSpaceDE w:val="0"/>
              <w:autoSpaceDN w:val="0"/>
              <w:adjustRightInd w:val="0"/>
              <w:spacing w:line="360" w:lineRule="auto"/>
              <w:ind w:right="25"/>
              <w:jc w:val="center"/>
              <w:rPr>
                <w:rFonts w:ascii="宋体" w:hAnsi="宋体" w:cs="宋体"/>
                <w:color w:val="auto"/>
                <w:szCs w:val="21"/>
                <w:highlight w:val="none"/>
              </w:rPr>
            </w:pPr>
            <w:r>
              <w:rPr>
                <w:rFonts w:hint="eastAsia" w:ascii="宋体" w:hAnsi="宋体" w:cs="宋体"/>
                <w:color w:val="auto"/>
                <w:szCs w:val="21"/>
                <w:highlight w:val="none"/>
              </w:rPr>
              <w:t>信息安全运维服务项目</w:t>
            </w:r>
          </w:p>
        </w:tc>
        <w:tc>
          <w:tcPr>
            <w:tcW w:w="1676" w:type="dxa"/>
            <w:vAlign w:val="center"/>
          </w:tcPr>
          <w:p w14:paraId="64A0BAE7">
            <w:pPr>
              <w:tabs>
                <w:tab w:val="left" w:pos="8280"/>
              </w:tabs>
              <w:autoSpaceDE w:val="0"/>
              <w:autoSpaceDN w:val="0"/>
              <w:adjustRightInd w:val="0"/>
              <w:spacing w:line="360" w:lineRule="auto"/>
              <w:ind w:right="25"/>
              <w:jc w:val="center"/>
              <w:rPr>
                <w:rFonts w:ascii="宋体" w:hAnsi="宋体" w:cs="宋体"/>
                <w:color w:val="auto"/>
                <w:szCs w:val="21"/>
                <w:highlight w:val="none"/>
              </w:rPr>
            </w:pPr>
            <w:r>
              <w:rPr>
                <w:rFonts w:hint="eastAsia" w:ascii="宋体" w:hAnsi="宋体" w:cs="宋体"/>
                <w:color w:val="auto"/>
                <w:szCs w:val="21"/>
                <w:highlight w:val="none"/>
              </w:rPr>
              <w:t>详见项目需求</w:t>
            </w:r>
          </w:p>
        </w:tc>
        <w:tc>
          <w:tcPr>
            <w:tcW w:w="817" w:type="dxa"/>
            <w:vAlign w:val="center"/>
          </w:tcPr>
          <w:p w14:paraId="4B248EB9">
            <w:pPr>
              <w:tabs>
                <w:tab w:val="left" w:pos="8280"/>
              </w:tabs>
              <w:autoSpaceDE w:val="0"/>
              <w:autoSpaceDN w:val="0"/>
              <w:adjustRightInd w:val="0"/>
              <w:spacing w:line="360" w:lineRule="auto"/>
              <w:ind w:right="25"/>
              <w:jc w:val="center"/>
              <w:rPr>
                <w:rFonts w:ascii="宋体" w:hAnsi="宋体" w:cs="宋体"/>
                <w:color w:val="auto"/>
                <w:szCs w:val="21"/>
                <w:highlight w:val="none"/>
              </w:rPr>
            </w:pPr>
            <w:r>
              <w:rPr>
                <w:rFonts w:hint="eastAsia" w:ascii="宋体" w:hAnsi="宋体" w:cs="宋体"/>
                <w:color w:val="auto"/>
                <w:szCs w:val="21"/>
                <w:highlight w:val="none"/>
              </w:rPr>
              <w:t>1</w:t>
            </w:r>
          </w:p>
        </w:tc>
        <w:tc>
          <w:tcPr>
            <w:tcW w:w="800" w:type="dxa"/>
            <w:vAlign w:val="center"/>
          </w:tcPr>
          <w:p w14:paraId="63942CE3">
            <w:pPr>
              <w:widowControl/>
              <w:spacing w:line="360" w:lineRule="auto"/>
              <w:jc w:val="center"/>
              <w:rPr>
                <w:rFonts w:ascii="宋体" w:hAnsi="宋体" w:cs="宋体"/>
                <w:color w:val="auto"/>
                <w:szCs w:val="21"/>
                <w:highlight w:val="none"/>
              </w:rPr>
            </w:pPr>
            <w:r>
              <w:rPr>
                <w:rFonts w:hint="eastAsia" w:ascii="宋体" w:hAnsi="宋体" w:cs="宋体"/>
                <w:color w:val="auto"/>
                <w:szCs w:val="21"/>
                <w:highlight w:val="none"/>
              </w:rPr>
              <w:t>项</w:t>
            </w:r>
          </w:p>
        </w:tc>
        <w:tc>
          <w:tcPr>
            <w:tcW w:w="1033" w:type="dxa"/>
            <w:vAlign w:val="center"/>
          </w:tcPr>
          <w:p w14:paraId="4BF48877">
            <w:pPr>
              <w:tabs>
                <w:tab w:val="left" w:pos="8280"/>
              </w:tabs>
              <w:autoSpaceDE w:val="0"/>
              <w:autoSpaceDN w:val="0"/>
              <w:adjustRightInd w:val="0"/>
              <w:spacing w:line="360" w:lineRule="auto"/>
              <w:ind w:right="25"/>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67</w:t>
            </w:r>
          </w:p>
        </w:tc>
        <w:tc>
          <w:tcPr>
            <w:tcW w:w="1305" w:type="dxa"/>
            <w:vAlign w:val="center"/>
          </w:tcPr>
          <w:p w14:paraId="4F724F7F">
            <w:pPr>
              <w:tabs>
                <w:tab w:val="left" w:pos="8280"/>
              </w:tabs>
              <w:autoSpaceDE w:val="0"/>
              <w:autoSpaceDN w:val="0"/>
              <w:adjustRightInd w:val="0"/>
              <w:spacing w:line="360" w:lineRule="auto"/>
              <w:ind w:right="25" w:rightChars="0"/>
              <w:jc w:val="center"/>
              <w:rPr>
                <w:rFonts w:hint="eastAsia" w:ascii="宋体" w:hAnsi="宋体" w:cs="宋体"/>
                <w:color w:val="auto"/>
                <w:szCs w:val="21"/>
                <w:highlight w:val="none"/>
              </w:rPr>
            </w:pPr>
            <w:r>
              <w:rPr>
                <w:rFonts w:hint="eastAsia" w:ascii="宋体" w:hAnsi="宋体" w:cs="宋体"/>
                <w:color w:val="auto"/>
                <w:szCs w:val="21"/>
                <w:highlight w:val="none"/>
              </w:rPr>
              <w:t>66.8</w:t>
            </w:r>
          </w:p>
        </w:tc>
        <w:tc>
          <w:tcPr>
            <w:tcW w:w="1305" w:type="dxa"/>
            <w:vAlign w:val="center"/>
          </w:tcPr>
          <w:p w14:paraId="3FF9ED21">
            <w:pPr>
              <w:tabs>
                <w:tab w:val="left" w:pos="8280"/>
              </w:tabs>
              <w:autoSpaceDE w:val="0"/>
              <w:autoSpaceDN w:val="0"/>
              <w:adjustRightInd w:val="0"/>
              <w:spacing w:line="360" w:lineRule="auto"/>
              <w:ind w:right="25"/>
              <w:jc w:val="center"/>
              <w:rPr>
                <w:rFonts w:ascii="宋体" w:hAnsi="宋体" w:cs="宋体"/>
                <w:color w:val="auto"/>
                <w:szCs w:val="21"/>
                <w:highlight w:val="none"/>
              </w:rPr>
            </w:pPr>
          </w:p>
        </w:tc>
      </w:tr>
      <w:bookmarkEnd w:id="0"/>
    </w:tbl>
    <w:p w14:paraId="45A47CF8">
      <w:pPr>
        <w:tabs>
          <w:tab w:val="left" w:pos="0"/>
        </w:tabs>
        <w:wordWrap w:val="0"/>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u w:val="single"/>
        </w:rPr>
        <w:t>本项目采用“电子交易”的方式提交磋商响应文件（还可以提供备份磋商响应文件），请各供应商按照要求进行。</w:t>
      </w:r>
    </w:p>
    <w:p w14:paraId="016F9ADA">
      <w:pPr>
        <w:wordWrap w:val="0"/>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三、合格磋商供应商的资格条件：</w:t>
      </w:r>
    </w:p>
    <w:p w14:paraId="1E6E4090">
      <w:pPr>
        <w:pStyle w:val="63"/>
        <w:widowControl w:val="0"/>
        <w:wordWrap w:val="0"/>
        <w:spacing w:before="0" w:line="360" w:lineRule="auto"/>
        <w:ind w:left="0" w:right="0" w:firstLine="422" w:firstLineChars="200"/>
        <w:rPr>
          <w:rFonts w:ascii="宋体" w:eastAsia="宋体" w:cs="宋体"/>
          <w:b/>
          <w:color w:val="auto"/>
          <w:highlight w:val="none"/>
        </w:rPr>
      </w:pPr>
      <w:r>
        <w:rPr>
          <w:rFonts w:hint="eastAsia" w:ascii="宋体" w:eastAsia="宋体" w:cs="宋体"/>
          <w:b/>
          <w:color w:val="auto"/>
          <w:highlight w:val="none"/>
        </w:rPr>
        <w:t>（一）符合《中华人民共和国政府采购法》第二十二条及其他法律、行政法规规定的对投标主体的要求；未被“信用中国”（www.creditchina.gov.cn）、中国政府采购网（www.ccgp.gov.cn）列入失信被执行人、重大税收违法失信主体、政府采购严重违法失信行为记录名单。</w:t>
      </w:r>
    </w:p>
    <w:p w14:paraId="10EACE58">
      <w:pPr>
        <w:wordWrap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（二）本项目供应商特定资格要求</w:t>
      </w:r>
    </w:p>
    <w:p w14:paraId="6F72C230">
      <w:pPr>
        <w:wordWrap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1、本项目不接受联合体投标。</w:t>
      </w:r>
    </w:p>
    <w:p w14:paraId="5FAD79F8">
      <w:pPr>
        <w:wordWrap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三）法律、行政法规规定的其他条件：单位负责人为同一人或者存在直接控股、管理关系的不同供应商，不得同时参加同一项目磋商；为本项目提供整体设计、规范编制或者项目管理、监理、检测等服务的供应商，不得再参与本项目磋商。（联合体参与磋商的，联合体各方均须满足该条款。）电子交易平台运营机构，以及与该机构有直接控股或者管理关系可能影响采购公正性的任何单位和个人，不得在该平台进行的政府采购项目电子交易中投标、响应和代理政府采购项目。</w:t>
      </w:r>
    </w:p>
    <w:p w14:paraId="5F2E2CAA">
      <w:pPr>
        <w:wordWrap w:val="0"/>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四、采购文件获取的方式、时间:</w:t>
      </w:r>
    </w:p>
    <w:p w14:paraId="36C9CA63">
      <w:pPr>
        <w:wordWrap w:val="0"/>
        <w:spacing w:line="360" w:lineRule="auto"/>
        <w:ind w:firstLine="422" w:firstLineChars="200"/>
        <w:rPr>
          <w:rFonts w:ascii="宋体" w:hAnsi="宋体" w:cs="宋体"/>
          <w:b/>
          <w:color w:val="auto"/>
          <w:szCs w:val="21"/>
          <w:highlight w:val="none"/>
        </w:rPr>
      </w:pPr>
      <w:r>
        <w:rPr>
          <w:rFonts w:hint="eastAsia" w:ascii="宋体" w:hAnsi="宋体" w:cs="宋体"/>
          <w:b/>
          <w:bCs/>
          <w:color w:val="auto"/>
          <w:szCs w:val="21"/>
          <w:highlight w:val="none"/>
        </w:rPr>
        <w:t>1、</w:t>
      </w:r>
      <w:r>
        <w:rPr>
          <w:rFonts w:hint="eastAsia" w:ascii="宋体" w:hAnsi="宋体" w:cs="宋体"/>
          <w:b/>
          <w:color w:val="auto"/>
          <w:szCs w:val="21"/>
          <w:highlight w:val="none"/>
        </w:rPr>
        <w:t>本项目采购文件实行“浙江政府采购网”</w:t>
      </w:r>
      <w:r>
        <w:rPr>
          <w:rStyle w:val="25"/>
          <w:rFonts w:hint="eastAsia" w:ascii="宋体" w:hAnsi="宋体" w:cs="宋体"/>
          <w:color w:val="auto"/>
          <w:sz w:val="21"/>
          <w:szCs w:val="21"/>
          <w:highlight w:val="none"/>
        </w:rPr>
        <w:t>（http://zfcg.czt.zj.gov.cn）</w:t>
      </w:r>
      <w:r>
        <w:rPr>
          <w:rFonts w:hint="eastAsia" w:ascii="宋体" w:hAnsi="宋体" w:cs="宋体"/>
          <w:b/>
          <w:color w:val="auto"/>
          <w:szCs w:val="21"/>
          <w:highlight w:val="none"/>
        </w:rPr>
        <w:t>在线获取，不提供采购文件纸质版。供应商获取采购文件前应先完成“浙江政府采购网”的账号注册。</w:t>
      </w:r>
    </w:p>
    <w:p w14:paraId="2CE58E4A">
      <w:pPr>
        <w:tabs>
          <w:tab w:val="left" w:pos="6720"/>
        </w:tabs>
        <w:wordWrap w:val="0"/>
        <w:spacing w:line="360" w:lineRule="auto"/>
        <w:ind w:firstLine="422" w:firstLineChars="200"/>
        <w:rPr>
          <w:rStyle w:val="25"/>
          <w:rFonts w:ascii="宋体" w:hAnsi="宋体" w:cs="宋体"/>
          <w:color w:val="auto"/>
          <w:sz w:val="21"/>
          <w:szCs w:val="21"/>
          <w:highlight w:val="none"/>
        </w:rPr>
      </w:pPr>
      <w:r>
        <w:rPr>
          <w:rFonts w:hint="eastAsia" w:ascii="宋体" w:hAnsi="宋体" w:cs="宋体"/>
          <w:b/>
          <w:bCs/>
          <w:color w:val="auto"/>
          <w:szCs w:val="21"/>
          <w:highlight w:val="none"/>
        </w:rPr>
        <w:t>2、获取</w:t>
      </w:r>
      <w:r>
        <w:rPr>
          <w:rStyle w:val="25"/>
          <w:rFonts w:hint="eastAsia" w:ascii="宋体" w:hAnsi="宋体" w:cs="宋体"/>
          <w:color w:val="auto"/>
          <w:sz w:val="21"/>
          <w:szCs w:val="21"/>
          <w:highlight w:val="none"/>
        </w:rPr>
        <w:t>方式：潜在供应商登录政府采购云平台，在线申请获取采购文件</w:t>
      </w:r>
      <w:r>
        <w:rPr>
          <w:rStyle w:val="25"/>
          <w:rFonts w:hint="eastAsia" w:ascii="宋体" w:hAnsi="宋体" w:cs="宋体"/>
          <w:b w:val="0"/>
          <w:bCs/>
          <w:color w:val="auto"/>
          <w:sz w:val="21"/>
          <w:szCs w:val="21"/>
          <w:highlight w:val="none"/>
        </w:rPr>
        <w:t>（进入“项目采购”应用，在获取采购文件菜单中选择项目，申请获取采购文件，本项目采购文件不收取工本费；</w:t>
      </w:r>
      <w:r>
        <w:rPr>
          <w:rStyle w:val="25"/>
          <w:rFonts w:hint="eastAsia" w:ascii="宋体" w:hAnsi="宋体" w:cs="宋体"/>
          <w:b w:val="0"/>
          <w:bCs/>
          <w:color w:val="auto"/>
          <w:sz w:val="21"/>
          <w:szCs w:val="21"/>
          <w:highlight w:val="none"/>
          <w:u w:val="single"/>
        </w:rPr>
        <w:t>仅需浏览采购文件的供应商可点击“游客，浏览采购文件”直接下载采购文件浏览</w:t>
      </w:r>
      <w:r>
        <w:rPr>
          <w:rStyle w:val="25"/>
          <w:rFonts w:hint="eastAsia" w:ascii="宋体" w:hAnsi="宋体" w:cs="宋体"/>
          <w:b w:val="0"/>
          <w:bCs/>
          <w:color w:val="auto"/>
          <w:sz w:val="21"/>
          <w:szCs w:val="21"/>
          <w:highlight w:val="none"/>
        </w:rPr>
        <w:t>）；</w:t>
      </w:r>
    </w:p>
    <w:p w14:paraId="41435B58">
      <w:pPr>
        <w:tabs>
          <w:tab w:val="left" w:pos="6720"/>
        </w:tabs>
        <w:wordWrap w:val="0"/>
        <w:spacing w:line="360" w:lineRule="auto"/>
        <w:ind w:firstLine="422" w:firstLineChars="200"/>
        <w:rPr>
          <w:rFonts w:ascii="宋体" w:hAnsi="宋体" w:cs="宋体"/>
          <w:color w:val="auto"/>
          <w:szCs w:val="21"/>
          <w:highlight w:val="none"/>
        </w:rPr>
      </w:pPr>
      <w:r>
        <w:rPr>
          <w:rStyle w:val="25"/>
          <w:rFonts w:hint="eastAsia" w:ascii="宋体" w:hAnsi="宋体" w:cs="宋体"/>
          <w:color w:val="auto"/>
          <w:sz w:val="21"/>
          <w:szCs w:val="21"/>
          <w:highlight w:val="none"/>
        </w:rPr>
        <w:t>3、</w:t>
      </w:r>
      <w:r>
        <w:rPr>
          <w:rFonts w:hint="eastAsia" w:ascii="宋体" w:hAnsi="宋体" w:cs="宋体"/>
          <w:b/>
          <w:bCs/>
          <w:color w:val="auto"/>
          <w:szCs w:val="21"/>
          <w:highlight w:val="none"/>
        </w:rPr>
        <w:t>获取（公告）时间</w:t>
      </w:r>
      <w:r>
        <w:rPr>
          <w:rFonts w:hint="eastAsia" w:ascii="宋体" w:hAnsi="宋体" w:cs="宋体"/>
          <w:color w:val="auto"/>
          <w:szCs w:val="21"/>
          <w:highlight w:val="none"/>
        </w:rPr>
        <w:t>：自本公告发布之日起至投标文件递交截止时间止；</w:t>
      </w:r>
    </w:p>
    <w:p w14:paraId="57CA6F7A">
      <w:pPr>
        <w:tabs>
          <w:tab w:val="left" w:pos="6720"/>
        </w:tabs>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w:t>
      </w:r>
      <w:r>
        <w:rPr>
          <w:rStyle w:val="25"/>
          <w:rFonts w:hint="eastAsia" w:ascii="宋体" w:hAnsi="宋体" w:cs="宋体"/>
          <w:b w:val="0"/>
          <w:color w:val="auto"/>
          <w:sz w:val="21"/>
          <w:szCs w:val="21"/>
          <w:highlight w:val="none"/>
        </w:rPr>
        <w:t>供应商网上报名操作指南：“浙江政府采购网-办事指南-省采中心-网上报名”（http://zfcg.czt.zj.gov.cn/bs_other/2018-03-30/12002.html）。</w:t>
      </w:r>
    </w:p>
    <w:p w14:paraId="7B1C0514">
      <w:pPr>
        <w:pStyle w:val="19"/>
        <w:widowControl w:val="0"/>
        <w:tabs>
          <w:tab w:val="left" w:pos="6720"/>
        </w:tabs>
        <w:wordWrap w:val="0"/>
        <w:spacing w:before="0" w:beforeAutospacing="0" w:after="0" w:afterAutospacing="0" w:line="360" w:lineRule="auto"/>
        <w:ind w:firstLine="420" w:firstLineChars="200"/>
        <w:rPr>
          <w:rFonts w:cs="宋体"/>
          <w:color w:val="auto"/>
          <w:sz w:val="21"/>
          <w:szCs w:val="21"/>
          <w:highlight w:val="none"/>
        </w:rPr>
      </w:pPr>
      <w:r>
        <w:rPr>
          <w:rStyle w:val="25"/>
          <w:rFonts w:hint="eastAsia" w:ascii="宋体" w:hAnsi="宋体" w:cs="宋体"/>
          <w:b w:val="0"/>
          <w:color w:val="auto"/>
          <w:sz w:val="21"/>
          <w:szCs w:val="21"/>
          <w:highlight w:val="none"/>
        </w:rPr>
        <w:t>5、供应商获取采购文件时须提交的文件资料：无；</w:t>
      </w:r>
    </w:p>
    <w:p w14:paraId="486B296C">
      <w:pPr>
        <w:pStyle w:val="19"/>
        <w:widowControl w:val="0"/>
        <w:tabs>
          <w:tab w:val="left" w:pos="6720"/>
        </w:tabs>
        <w:wordWrap w:val="0"/>
        <w:spacing w:before="0" w:beforeAutospacing="0" w:after="0" w:afterAutospacing="0" w:line="360" w:lineRule="auto"/>
        <w:ind w:firstLine="422" w:firstLineChars="200"/>
        <w:rPr>
          <w:rFonts w:cs="宋体"/>
          <w:color w:val="auto"/>
          <w:sz w:val="21"/>
          <w:szCs w:val="21"/>
          <w:highlight w:val="none"/>
        </w:rPr>
      </w:pPr>
      <w:r>
        <w:rPr>
          <w:rStyle w:val="25"/>
          <w:rFonts w:hint="eastAsia" w:ascii="宋体" w:hAnsi="宋体" w:cs="宋体"/>
          <w:color w:val="auto"/>
          <w:sz w:val="21"/>
          <w:szCs w:val="21"/>
          <w:highlight w:val="none"/>
        </w:rPr>
        <w:t>6、提示：竞争性磋商公告附件内的采购文件（或采购需求）仅供阅览使用，供应商只有在“政府采购云平台”完成获取采购文件申请并下载了采购文件后才视作依法获取采购文件（法律法规所指的供应商获取采购文件时间以供应商完成获取采购文件申请后下载采购文件的时间为准）。</w:t>
      </w:r>
    </w:p>
    <w:p w14:paraId="6FC21F78">
      <w:pPr>
        <w:pStyle w:val="19"/>
        <w:widowControl w:val="0"/>
        <w:tabs>
          <w:tab w:val="left" w:pos="6720"/>
        </w:tabs>
        <w:wordWrap w:val="0"/>
        <w:spacing w:before="0" w:beforeAutospacing="0" w:after="0" w:afterAutospacing="0" w:line="360" w:lineRule="auto"/>
        <w:ind w:firstLine="422" w:firstLineChars="200"/>
        <w:rPr>
          <w:rStyle w:val="25"/>
          <w:rFonts w:ascii="宋体" w:hAnsi="宋体" w:cs="宋体"/>
          <w:color w:val="auto"/>
          <w:sz w:val="21"/>
          <w:szCs w:val="21"/>
          <w:highlight w:val="none"/>
        </w:rPr>
      </w:pPr>
      <w:r>
        <w:rPr>
          <w:rStyle w:val="25"/>
          <w:rFonts w:hint="eastAsia" w:ascii="宋体" w:hAnsi="宋体" w:cs="宋体"/>
          <w:color w:val="auto"/>
          <w:sz w:val="21"/>
          <w:szCs w:val="21"/>
          <w:highlight w:val="none"/>
        </w:rPr>
        <w:t>注：请供应商按上述要求获取采购文件，如未在“政府采购云平台”系统内完成相关流程，引起的投标无效责任自负。</w:t>
      </w:r>
    </w:p>
    <w:p w14:paraId="04E83F72">
      <w:pPr>
        <w:tabs>
          <w:tab w:val="left" w:pos="6720"/>
        </w:tabs>
        <w:wordWrap w:val="0"/>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五、招标答疑会</w:t>
      </w:r>
    </w:p>
    <w:p w14:paraId="27D42857">
      <w:pPr>
        <w:tabs>
          <w:tab w:val="left" w:pos="6720"/>
        </w:tabs>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无</w:t>
      </w:r>
    </w:p>
    <w:p w14:paraId="5348B6C0">
      <w:pPr>
        <w:tabs>
          <w:tab w:val="left" w:pos="6720"/>
        </w:tabs>
        <w:wordWrap w:val="0"/>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六、响应文件递交截止时间及磋商开始时间、地点：</w:t>
      </w:r>
    </w:p>
    <w:p w14:paraId="0F586CCF">
      <w:pPr>
        <w:pStyle w:val="55"/>
        <w:widowControl w:val="0"/>
        <w:tabs>
          <w:tab w:val="left" w:pos="6720"/>
        </w:tabs>
        <w:wordWrap w:val="0"/>
        <w:spacing w:line="360" w:lineRule="auto"/>
        <w:ind w:firstLine="422" w:firstLineChars="200"/>
        <w:rPr>
          <w:rFonts w:ascii="宋体" w:hAnsi="宋体"/>
          <w:color w:val="auto"/>
          <w:highlight w:val="none"/>
        </w:rPr>
      </w:pPr>
      <w:r>
        <w:rPr>
          <w:rFonts w:hint="eastAsia" w:ascii="宋体" w:hAnsi="宋体"/>
          <w:b/>
          <w:bCs/>
          <w:color w:val="auto"/>
          <w:highlight w:val="none"/>
        </w:rPr>
        <w:t>1、递交磋商响应文件截止时间与地点</w:t>
      </w:r>
      <w:r>
        <w:rPr>
          <w:rFonts w:hint="eastAsia" w:ascii="宋体" w:hAnsi="宋体"/>
          <w:color w:val="auto"/>
          <w:highlight w:val="none"/>
        </w:rPr>
        <w:t>：</w:t>
      </w:r>
      <w:r>
        <w:rPr>
          <w:rFonts w:hint="eastAsia" w:ascii="宋体" w:hAnsi="宋体"/>
          <w:color w:val="auto"/>
          <w:highlight w:val="none"/>
          <w:lang w:eastAsia="zh-CN"/>
        </w:rPr>
        <w:t>2025年7月29日</w:t>
      </w:r>
      <w:r>
        <w:rPr>
          <w:rFonts w:hint="eastAsia" w:ascii="宋体" w:hAnsi="宋体"/>
          <w:color w:val="auto"/>
          <w:highlight w:val="none"/>
        </w:rPr>
        <w:t xml:space="preserve">上午09:00整，地点：通过“政府采购云平台（www.zcygov.cn）”实行在线投标响应   </w:t>
      </w:r>
    </w:p>
    <w:p w14:paraId="6625DEBE">
      <w:pPr>
        <w:pStyle w:val="55"/>
        <w:widowControl w:val="0"/>
        <w:tabs>
          <w:tab w:val="left" w:pos="6720"/>
        </w:tabs>
        <w:wordWrap w:val="0"/>
        <w:spacing w:line="360" w:lineRule="auto"/>
        <w:ind w:firstLine="422" w:firstLineChars="200"/>
        <w:rPr>
          <w:rFonts w:ascii="宋体" w:hAnsi="宋体"/>
          <w:color w:val="auto"/>
          <w:highlight w:val="none"/>
        </w:rPr>
      </w:pPr>
      <w:r>
        <w:rPr>
          <w:rFonts w:hint="eastAsia" w:ascii="宋体" w:hAnsi="宋体"/>
          <w:b/>
          <w:bCs/>
          <w:color w:val="auto"/>
          <w:highlight w:val="none"/>
        </w:rPr>
        <w:t>2、磋商时间及地点</w:t>
      </w:r>
      <w:r>
        <w:rPr>
          <w:rFonts w:hint="eastAsia" w:ascii="宋体" w:hAnsi="宋体"/>
          <w:color w:val="auto"/>
          <w:highlight w:val="none"/>
        </w:rPr>
        <w:t>：</w:t>
      </w:r>
      <w:r>
        <w:rPr>
          <w:rFonts w:hint="eastAsia" w:ascii="宋体" w:hAnsi="宋体"/>
          <w:color w:val="auto"/>
          <w:highlight w:val="none"/>
          <w:lang w:eastAsia="zh-CN"/>
        </w:rPr>
        <w:t>2025年7月29日</w:t>
      </w:r>
      <w:r>
        <w:rPr>
          <w:rFonts w:hint="eastAsia" w:ascii="宋体" w:hAnsi="宋体"/>
          <w:color w:val="auto"/>
          <w:highlight w:val="none"/>
        </w:rPr>
        <w:t>上午09:00整，地点：通过“政府采购云平台（www.zcygov.cn）”实行在线投标响应</w:t>
      </w:r>
    </w:p>
    <w:p w14:paraId="7F37FBAB">
      <w:pPr>
        <w:tabs>
          <w:tab w:val="left" w:pos="6720"/>
        </w:tabs>
        <w:wordWrap w:val="0"/>
        <w:spacing w:line="360" w:lineRule="auto"/>
        <w:ind w:firstLine="422" w:firstLineChars="200"/>
        <w:rPr>
          <w:rFonts w:ascii="宋体" w:hAnsi="宋体" w:cs="宋体"/>
          <w:color w:val="auto"/>
          <w:szCs w:val="21"/>
          <w:highlight w:val="none"/>
        </w:rPr>
      </w:pPr>
      <w:r>
        <w:rPr>
          <w:rFonts w:hint="eastAsia" w:ascii="宋体" w:hAnsi="宋体" w:cs="宋体"/>
          <w:b/>
          <w:bCs/>
          <w:color w:val="auto"/>
          <w:szCs w:val="21"/>
          <w:highlight w:val="none"/>
        </w:rPr>
        <w:t>3、解密截止时间</w:t>
      </w:r>
      <w:r>
        <w:rPr>
          <w:rFonts w:hint="eastAsia" w:ascii="宋体" w:hAnsi="宋体" w:cs="宋体"/>
          <w:color w:val="auto"/>
          <w:szCs w:val="21"/>
          <w:highlight w:val="none"/>
        </w:rPr>
        <w:t>：</w:t>
      </w:r>
      <w:r>
        <w:rPr>
          <w:rFonts w:hint="eastAsia" w:ascii="宋体" w:hAnsi="宋体" w:cs="宋体"/>
          <w:color w:val="auto"/>
          <w:szCs w:val="21"/>
          <w:highlight w:val="none"/>
          <w:lang w:eastAsia="zh-CN"/>
        </w:rPr>
        <w:t>2025年7月29日</w:t>
      </w:r>
      <w:r>
        <w:rPr>
          <w:rFonts w:hint="eastAsia" w:ascii="宋体" w:hAnsi="宋体" w:cs="宋体"/>
          <w:color w:val="auto"/>
          <w:szCs w:val="21"/>
          <w:highlight w:val="none"/>
        </w:rPr>
        <w:t>上午09:30整</w:t>
      </w:r>
    </w:p>
    <w:p w14:paraId="383CBF79">
      <w:pPr>
        <w:tabs>
          <w:tab w:val="left" w:pos="6720"/>
        </w:tabs>
        <w:wordWrap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七、在线投标响应（电子投标）说明</w:t>
      </w:r>
    </w:p>
    <w:p w14:paraId="3F62C31C">
      <w:pPr>
        <w:pStyle w:val="12"/>
        <w:tabs>
          <w:tab w:val="left" w:pos="6720"/>
        </w:tabs>
        <w:wordWrap w:val="0"/>
        <w:spacing w:line="360" w:lineRule="auto"/>
        <w:ind w:firstLine="422" w:firstLineChars="200"/>
        <w:rPr>
          <w:rFonts w:hAnsi="宋体" w:cs="宋体"/>
          <w:b/>
          <w:bCs/>
          <w:color w:val="auto"/>
          <w:kern w:val="0"/>
          <w:szCs w:val="21"/>
          <w:highlight w:val="none"/>
        </w:rPr>
      </w:pPr>
      <w:r>
        <w:rPr>
          <w:rFonts w:hint="eastAsia" w:hAnsi="宋体" w:cs="宋体"/>
          <w:b/>
          <w:bCs/>
          <w:color w:val="auto"/>
          <w:kern w:val="0"/>
          <w:szCs w:val="21"/>
          <w:highlight w:val="none"/>
        </w:rPr>
        <w:t>1、本项目通过“政府采购云平台（www.zcygov.cn）”实行在线投标响应（电子投标），供应商应先安装“政采云电子投标客户端”，并按照本采购文件和“政府采购云平台”的要求，通过“政采云电子投标客户端”编制并加密磋商响应文件。</w:t>
      </w:r>
      <w:r>
        <w:rPr>
          <w:rFonts w:hint="eastAsia" w:hAnsi="宋体" w:cs="宋体"/>
          <w:color w:val="auto"/>
          <w:szCs w:val="21"/>
          <w:highlight w:val="none"/>
        </w:rPr>
        <w:t>▲</w:t>
      </w:r>
      <w:r>
        <w:rPr>
          <w:rFonts w:hint="eastAsia" w:hAnsi="宋体" w:cs="宋体"/>
          <w:b/>
          <w:bCs/>
          <w:color w:val="auto"/>
          <w:kern w:val="0"/>
          <w:szCs w:val="21"/>
          <w:highlight w:val="none"/>
        </w:rPr>
        <w:t>供应商未按规定加密的磋商响应文件，“政府采购云平台”将予以拒收。</w:t>
      </w:r>
    </w:p>
    <w:p w14:paraId="07C52AD7">
      <w:pPr>
        <w:pStyle w:val="12"/>
        <w:tabs>
          <w:tab w:val="left" w:pos="6720"/>
        </w:tabs>
        <w:wordWrap w:val="0"/>
        <w:spacing w:line="360" w:lineRule="auto"/>
        <w:ind w:firstLine="422" w:firstLineChars="200"/>
        <w:rPr>
          <w:rFonts w:hAnsi="宋体" w:cs="宋体"/>
          <w:b/>
          <w:bCs/>
          <w:color w:val="auto"/>
          <w:kern w:val="0"/>
          <w:szCs w:val="21"/>
          <w:highlight w:val="none"/>
        </w:rPr>
      </w:pPr>
      <w:r>
        <w:rPr>
          <w:rFonts w:hint="eastAsia" w:hAnsi="宋体" w:cs="宋体"/>
          <w:b/>
          <w:bCs/>
          <w:color w:val="auto"/>
          <w:kern w:val="0"/>
          <w:szCs w:val="21"/>
          <w:highlight w:val="none"/>
        </w:rPr>
        <w:t>“政采云电子投标客户端”请自行前往“浙江政府采购网-下载专区-电子交易客户端”进行下载；电子投标具体操作流程详见《供应商项目采购-电子招投标操作指南》；通过“政府采购云平台”参与在线投标时如遇平台技术问题详询95763。</w:t>
      </w:r>
    </w:p>
    <w:p w14:paraId="1A7770A5">
      <w:pPr>
        <w:pStyle w:val="55"/>
        <w:widowControl w:val="0"/>
        <w:numPr>
          <w:ilvl w:val="0"/>
          <w:numId w:val="2"/>
        </w:numPr>
        <w:tabs>
          <w:tab w:val="left" w:pos="6720"/>
        </w:tabs>
        <w:wordWrap w:val="0"/>
        <w:spacing w:line="360" w:lineRule="auto"/>
        <w:ind w:firstLine="422" w:firstLineChars="200"/>
        <w:rPr>
          <w:rFonts w:ascii="宋体" w:hAnsi="宋体"/>
          <w:b/>
          <w:bCs/>
          <w:color w:val="auto"/>
          <w:highlight w:val="none"/>
        </w:rPr>
      </w:pPr>
      <w:r>
        <w:rPr>
          <w:rFonts w:hint="eastAsia" w:ascii="宋体" w:hAnsi="宋体"/>
          <w:b/>
          <w:bCs/>
          <w:color w:val="auto"/>
          <w:highlight w:val="none"/>
        </w:rPr>
        <w:t>为确保网上操作合法、有效和安全，投标供应商应当在提交磋商文件截止时间前完成在“政府采购云平台”的身份认证，确保在电子投标过程中能够对相关数据电文进行加密和使用电子签章。使用“政采云电子投标客户端”需要提前申领CA数字证书，申领流程请自行前往“浙江政府采购网-下载专区-电子交易客户端-</w:t>
      </w:r>
      <w:r>
        <w:rPr>
          <w:color w:val="auto"/>
          <w:highlight w:val="none"/>
        </w:rPr>
        <w:fldChar w:fldCharType="begin"/>
      </w:r>
      <w:r>
        <w:rPr>
          <w:color w:val="auto"/>
          <w:highlight w:val="none"/>
        </w:rPr>
        <w:instrText xml:space="preserve"> HYPERLINK "http://zfcg.czt.zj.gov.cn/bidClientTemplate/2019-05-27/12945.html" \o "CA驱动和申领流程" </w:instrText>
      </w:r>
      <w:r>
        <w:rPr>
          <w:color w:val="auto"/>
          <w:highlight w:val="none"/>
        </w:rPr>
        <w:fldChar w:fldCharType="separate"/>
      </w:r>
      <w:r>
        <w:rPr>
          <w:rFonts w:hint="eastAsia" w:ascii="宋体" w:hAnsi="宋体"/>
          <w:b/>
          <w:bCs/>
          <w:color w:val="auto"/>
          <w:highlight w:val="none"/>
        </w:rPr>
        <w:t>CA驱动和申领流程</w:t>
      </w:r>
      <w:r>
        <w:rPr>
          <w:rFonts w:hint="eastAsia" w:ascii="宋体" w:hAnsi="宋体"/>
          <w:b/>
          <w:bCs/>
          <w:color w:val="auto"/>
          <w:highlight w:val="none"/>
        </w:rPr>
        <w:fldChar w:fldCharType="end"/>
      </w:r>
      <w:r>
        <w:rPr>
          <w:rFonts w:hint="eastAsia" w:ascii="宋体" w:hAnsi="宋体"/>
          <w:b/>
          <w:bCs/>
          <w:color w:val="auto"/>
          <w:highlight w:val="none"/>
        </w:rPr>
        <w:t>”进行查阅；</w:t>
      </w:r>
    </w:p>
    <w:p w14:paraId="34F7789A">
      <w:pPr>
        <w:pStyle w:val="55"/>
        <w:widowControl w:val="0"/>
        <w:tabs>
          <w:tab w:val="left" w:pos="6720"/>
        </w:tabs>
        <w:wordWrap w:val="0"/>
        <w:spacing w:line="360" w:lineRule="auto"/>
        <w:ind w:firstLine="422" w:firstLineChars="200"/>
        <w:rPr>
          <w:rFonts w:hint="eastAsia" w:ascii="宋体" w:hAnsi="宋体"/>
          <w:b/>
          <w:bCs/>
          <w:color w:val="auto"/>
          <w:highlight w:val="none"/>
        </w:rPr>
      </w:pPr>
      <w:r>
        <w:rPr>
          <w:rFonts w:hint="eastAsia" w:ascii="宋体" w:hAnsi="宋体"/>
          <w:b/>
          <w:bCs/>
          <w:color w:val="auto"/>
          <w:highlight w:val="none"/>
        </w:rPr>
        <w:t>3、供应商通过政府采购云平台电子投标工具制作磋商响应文件，电子投标工具请供应商自行前往浙江省政府采购网下载并安装，（下载网址：https://zfcg.czt.zj.gov.cn/bidClientTemplate/2021-11-01/12975.html?utm=web-government-front.a2eab82.0.0.19c58540c14611ed94855fb6758c26ac），电子投标具体流程文档详见网址：</w:t>
      </w:r>
      <w:r>
        <w:rPr>
          <w:rFonts w:hint="eastAsia" w:ascii="宋体" w:hAnsi="宋体"/>
          <w:b/>
          <w:bCs/>
          <w:color w:val="auto"/>
          <w:highlight w:val="none"/>
        </w:rPr>
        <w:fldChar w:fldCharType="begin"/>
      </w:r>
      <w:r>
        <w:rPr>
          <w:rFonts w:hint="eastAsia" w:ascii="宋体" w:hAnsi="宋体"/>
          <w:b/>
          <w:bCs/>
          <w:color w:val="auto"/>
          <w:highlight w:val="none"/>
        </w:rPr>
        <w:instrText xml:space="preserve"> HYPERLINK "https://service.zcygov.cn/" \l "/knowledges/CW1EtGwBFdiHxlNd6I3m/6IMVAG0BFdiHx" </w:instrText>
      </w:r>
      <w:r>
        <w:rPr>
          <w:rFonts w:hint="eastAsia" w:ascii="宋体" w:hAnsi="宋体"/>
          <w:b/>
          <w:bCs/>
          <w:color w:val="auto"/>
          <w:highlight w:val="none"/>
        </w:rPr>
        <w:fldChar w:fldCharType="separate"/>
      </w:r>
      <w:r>
        <w:rPr>
          <w:rFonts w:hint="eastAsia" w:ascii="宋体" w:hAnsi="宋体"/>
          <w:b/>
          <w:bCs/>
          <w:color w:val="auto"/>
          <w:highlight w:val="none"/>
        </w:rPr>
        <w:t>https://service.zcygov.cn/#/knowledges/CW1EtGwBFdiHxlNd6I3m/6IMVAG0BFdiHx</w:t>
      </w:r>
      <w:r>
        <w:rPr>
          <w:rFonts w:hint="eastAsia" w:ascii="宋体" w:hAnsi="宋体"/>
          <w:b/>
          <w:bCs/>
          <w:color w:val="auto"/>
          <w:highlight w:val="none"/>
        </w:rPr>
        <w:fldChar w:fldCharType="end"/>
      </w:r>
      <w:r>
        <w:rPr>
          <w:rFonts w:hint="eastAsia" w:ascii="宋体" w:hAnsi="宋体"/>
          <w:b/>
          <w:bCs/>
          <w:color w:val="auto"/>
          <w:highlight w:val="none"/>
        </w:rPr>
        <w:t>lNdQ8Na?keyword=%E6%8A%95%E6%A0%87。</w:t>
      </w:r>
    </w:p>
    <w:p w14:paraId="3C83AEDC">
      <w:pPr>
        <w:pStyle w:val="12"/>
        <w:tabs>
          <w:tab w:val="left" w:pos="6720"/>
        </w:tabs>
        <w:wordWrap w:val="0"/>
        <w:spacing w:line="360" w:lineRule="auto"/>
        <w:ind w:firstLine="422" w:firstLineChars="200"/>
        <w:rPr>
          <w:rFonts w:hAnsi="宋体" w:cs="宋体"/>
          <w:b/>
          <w:bCs/>
          <w:color w:val="auto"/>
          <w:kern w:val="0"/>
          <w:szCs w:val="21"/>
          <w:highlight w:val="none"/>
        </w:rPr>
      </w:pPr>
      <w:r>
        <w:rPr>
          <w:rFonts w:hint="eastAsia" w:hAnsi="宋体" w:cs="宋体"/>
          <w:b/>
          <w:bCs/>
          <w:color w:val="auto"/>
          <w:kern w:val="0"/>
          <w:szCs w:val="21"/>
          <w:highlight w:val="none"/>
        </w:rPr>
        <w:t>▲4、投标供应商应当在提交磋商文件截止时间前，将生成的“电子加密磋商响应文件”上传递交至“政府采购云平台”。提交磋商文件截止时间前可以补充、修改或者撤回电子投标响应文件。补充或者修改电子投标响应文件的，应当先行撤回原文件，补充、修改后重新传输递交。提交磋商文件截止时间前未完成传输的，视为撤回磋商响应文件。</w:t>
      </w:r>
    </w:p>
    <w:p w14:paraId="1F0BA015">
      <w:pPr>
        <w:pStyle w:val="12"/>
        <w:tabs>
          <w:tab w:val="left" w:pos="6720"/>
        </w:tabs>
        <w:wordWrap w:val="0"/>
        <w:spacing w:line="360" w:lineRule="auto"/>
        <w:ind w:firstLine="422" w:firstLineChars="200"/>
        <w:rPr>
          <w:rFonts w:hAnsi="宋体" w:cs="宋体"/>
          <w:b/>
          <w:bCs/>
          <w:color w:val="auto"/>
          <w:kern w:val="0"/>
          <w:szCs w:val="21"/>
          <w:highlight w:val="none"/>
        </w:rPr>
      </w:pPr>
      <w:r>
        <w:rPr>
          <w:rFonts w:hint="eastAsia" w:hAnsi="宋体" w:cs="宋体"/>
          <w:b/>
          <w:bCs/>
          <w:color w:val="auto"/>
          <w:kern w:val="0"/>
          <w:szCs w:val="21"/>
          <w:highlight w:val="none"/>
        </w:rPr>
        <w:t>5、供应商同时还可以提供经政采云平台加密处理的、</w:t>
      </w:r>
      <w:r>
        <w:rPr>
          <w:rFonts w:hint="eastAsia" w:hAnsi="宋体" w:cs="宋体"/>
          <w:b/>
          <w:bCs/>
          <w:color w:val="auto"/>
          <w:szCs w:val="21"/>
          <w:highlight w:val="none"/>
        </w:rPr>
        <w:t>以介质（U盘）存储的数据电文形式的备份</w:t>
      </w:r>
      <w:r>
        <w:rPr>
          <w:rFonts w:hint="eastAsia" w:hAnsi="宋体" w:cs="宋体"/>
          <w:b/>
          <w:bCs/>
          <w:color w:val="auto"/>
          <w:kern w:val="0"/>
          <w:szCs w:val="21"/>
          <w:highlight w:val="none"/>
        </w:rPr>
        <w:t>磋商响应文件（不强制要求，未递交备份磋商响应文件的风险由供应商自行承担）。备份磋商响应文件应当在磋商截止时间前送达并按要求密封（备份磋商响应文件在密封袋的封口处应有磋商供应商公章或磋商授权委托代理人签字。封皮上写明项目编号、标段、招标项目名称、供应商名称，并注明“备份磋商响应文件”、“磋商时启封”字样）并</w:t>
      </w:r>
      <w:r>
        <w:rPr>
          <w:rFonts w:hint="eastAsia" w:hAnsi="宋体" w:cs="宋体"/>
          <w:b/>
          <w:bCs/>
          <w:color w:val="auto"/>
          <w:szCs w:val="21"/>
          <w:highlight w:val="none"/>
        </w:rPr>
        <w:t>建议采用顺丰邮寄（或直接递交）</w:t>
      </w:r>
      <w:r>
        <w:rPr>
          <w:rFonts w:hint="eastAsia" w:hAnsi="宋体" w:cs="宋体"/>
          <w:b/>
          <w:bCs/>
          <w:color w:val="auto"/>
          <w:kern w:val="0"/>
          <w:szCs w:val="21"/>
          <w:highlight w:val="none"/>
        </w:rPr>
        <w:t>到</w:t>
      </w:r>
      <w:r>
        <w:rPr>
          <w:rFonts w:hint="eastAsia" w:hAnsi="宋体" w:cs="宋体"/>
          <w:b/>
          <w:bCs/>
          <w:color w:val="auto"/>
          <w:szCs w:val="21"/>
          <w:highlight w:val="none"/>
        </w:rPr>
        <w:t>台州市椒江区中环世纪6幢801室（交通银行台州分行楼上）收件人：俞雅琪；联系电话：15757696186</w:t>
      </w:r>
      <w:r>
        <w:rPr>
          <w:rFonts w:hint="eastAsia" w:hAnsi="宋体" w:cs="宋体"/>
          <w:b/>
          <w:bCs/>
          <w:color w:val="auto"/>
          <w:kern w:val="0"/>
          <w:szCs w:val="21"/>
          <w:highlight w:val="none"/>
        </w:rPr>
        <w:t>，逾期寄达、到付或未按要求密封将被拒收。</w:t>
      </w:r>
    </w:p>
    <w:p w14:paraId="1D7DDA77">
      <w:pPr>
        <w:pStyle w:val="12"/>
        <w:tabs>
          <w:tab w:val="left" w:pos="6720"/>
        </w:tabs>
        <w:wordWrap w:val="0"/>
        <w:spacing w:line="360" w:lineRule="auto"/>
        <w:ind w:firstLine="422" w:firstLineChars="200"/>
        <w:rPr>
          <w:rFonts w:hAnsi="宋体" w:cs="宋体"/>
          <w:b/>
          <w:bCs/>
          <w:color w:val="auto"/>
          <w:kern w:val="0"/>
          <w:szCs w:val="21"/>
          <w:highlight w:val="none"/>
        </w:rPr>
      </w:pPr>
      <w:r>
        <w:rPr>
          <w:rFonts w:hint="eastAsia" w:hAnsi="宋体" w:cs="宋体"/>
          <w:b/>
          <w:bCs/>
          <w:color w:val="auto"/>
          <w:kern w:val="0"/>
          <w:szCs w:val="21"/>
          <w:highlight w:val="none"/>
        </w:rPr>
        <w:t>6、▲通过“政府采购云平台”上传递交的“电子加密磋商响应文件”无法按时解密，投标供应商递交了备份磋商响应文件的，以备份磋商响应文件为依据，否则视为磋商响应文件撤回。通过“政府采购云平台”上传递交的“电子加密磋商响应文件”已按时解密的，“备份磋商响应文件”自动失效。▲磋商供应商仅递交备份磋商响应文件的，投标无效。</w:t>
      </w:r>
    </w:p>
    <w:p w14:paraId="7C829398">
      <w:pPr>
        <w:pStyle w:val="12"/>
        <w:tabs>
          <w:tab w:val="left" w:pos="6720"/>
        </w:tabs>
        <w:wordWrap w:val="0"/>
        <w:spacing w:line="360" w:lineRule="auto"/>
        <w:ind w:firstLine="422" w:firstLineChars="200"/>
        <w:rPr>
          <w:rFonts w:hAnsi="宋体" w:cs="宋体"/>
          <w:b/>
          <w:bCs/>
          <w:color w:val="auto"/>
          <w:szCs w:val="21"/>
          <w:highlight w:val="none"/>
        </w:rPr>
      </w:pPr>
      <w:r>
        <w:rPr>
          <w:rFonts w:hint="eastAsia" w:hAnsi="宋体" w:cs="宋体"/>
          <w:b/>
          <w:bCs/>
          <w:color w:val="auto"/>
          <w:szCs w:val="21"/>
          <w:highlight w:val="none"/>
        </w:rPr>
        <w:t>7、在政府采购活动中，供应商提供的货物、工程或者服务符合下列情形的，享受本办法规定的中小企业扶持政策： ①在货物采购项目中，货物由中小企业制造，即货物由中小企业生产且使用该中小企业商号或者注册商标； ②在工程采购项目中，工程由中小企业承建，即工程施工单位为中小企业； ③在服务采购项目中，服务由中小企业承接，即提供服务的人员为中小企业依照《中华人民共和国劳动合同法》 订立劳动合同的从业人员。 在货物采购项目中，供应商提供的货物既有中小企业制 造货物，也有大型企业制造货物的，不享受本办法规定的中 小企业扶持政策。 以联合体形式参加政府采购活动，联合体各方均为中小 企业的，联合体视同中小企业。其中，联合体各方均为小微企业的，联合体视同小微企业。</w:t>
      </w:r>
    </w:p>
    <w:p w14:paraId="7568BBD6">
      <w:pPr>
        <w:tabs>
          <w:tab w:val="left" w:pos="6720"/>
        </w:tabs>
        <w:wordWrap w:val="0"/>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八、供应商信用信息查询渠道及截止时点、信用信息查询记录和证据留存的具体方式、信用信息的使用规则：</w:t>
      </w:r>
    </w:p>
    <w:p w14:paraId="61BA0B4F">
      <w:pPr>
        <w:tabs>
          <w:tab w:val="left" w:pos="6720"/>
        </w:tabs>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1、查询渠道：“信用中国”（www.creditchina.gov.cn）、“中国政府采购网”（www.ccgp.gov.cn）、“浙江政府采购网（www.zjzfcg.gov.cn）。</w:t>
      </w:r>
    </w:p>
    <w:p w14:paraId="0CBE92A1">
      <w:pPr>
        <w:tabs>
          <w:tab w:val="left" w:pos="6720"/>
        </w:tabs>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2、信用信息查询的截止时点：开标后评标前。</w:t>
      </w:r>
    </w:p>
    <w:p w14:paraId="24CF2A78">
      <w:pPr>
        <w:tabs>
          <w:tab w:val="left" w:pos="6720"/>
        </w:tabs>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3、信用信息查询记录和证据留存的具体方式：由采购代理机构在规定查询时间内打印信用信息查询记录并归入项目档案。</w:t>
      </w:r>
    </w:p>
    <w:p w14:paraId="61247000">
      <w:pPr>
        <w:tabs>
          <w:tab w:val="left" w:pos="6720"/>
        </w:tabs>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信用信息的使用规则：对列入失信被执行人、重大税收违法失信主体、政府采购严重违法失信行为记录名单及其他不符合《中华人民共和国政府采购法》第二十二条规定条件的供应商，将被拒绝其参与政府采购活动。</w:t>
      </w:r>
    </w:p>
    <w:p w14:paraId="60A31330">
      <w:pPr>
        <w:tabs>
          <w:tab w:val="left" w:pos="6720"/>
        </w:tabs>
        <w:wordWrap w:val="0"/>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九、相关注意事项：</w:t>
      </w:r>
    </w:p>
    <w:p w14:paraId="5A389B8F">
      <w:pPr>
        <w:tabs>
          <w:tab w:val="left" w:pos="6720"/>
        </w:tabs>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78024A3B">
      <w:pPr>
        <w:tabs>
          <w:tab w:val="left" w:pos="6720"/>
        </w:tabs>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2、根据《浙江省财政厅关于进一步促进政府采购公平竞争打造最优营商环境的通知》 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2638E2C">
      <w:pPr>
        <w:tabs>
          <w:tab w:val="left" w:pos="6720"/>
        </w:tabs>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本项目公告期限为3个工作日。供应商认为采购文件使自己的权益受到损害的，可以自获取采购文件之日或者采购文件公告期限届满之日（公告期限届满后获取采购文件的，以公告期限届满之日为准）起7个工作日内，以书面形式一次性向采购人和采购代理机构提出同一环节，后续就采购过程、采购结果提出质疑的，也应在同一环节一次性提出，以供应商线上提供质疑函的时间为提起质疑的时间。否则，被质疑人可不予接受。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C0AD0B8">
      <w:pPr>
        <w:tabs>
          <w:tab w:val="left" w:pos="6720"/>
        </w:tabs>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未进行供应商资格报名或登记（含网上报名登记）的供应商，应视为未参加政府采购活动，一般不得提出质疑，但因供应商资格条件受到限制、报名时间设定不符合有关规定等原因使供应商不能参加报名或登记的除外。</w:t>
      </w:r>
    </w:p>
    <w:p w14:paraId="581D83AC">
      <w:pPr>
        <w:tabs>
          <w:tab w:val="left" w:pos="6720"/>
        </w:tabs>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5、请各磋商响应供应商及时办理浙江政府采购网“政府采购供应商注册”手续。</w:t>
      </w:r>
    </w:p>
    <w:p w14:paraId="64392316">
      <w:pPr>
        <w:tabs>
          <w:tab w:val="left" w:pos="6720"/>
        </w:tabs>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6、参与政府采购项目的注册供应商，需登录浙江政府采购网（http://zfcg.czt.zj.gov.cn）进行网上获取文件；尚未注册的供应商应当先在浙江政府采购网上申请注册，注册终审通过后再进行网上获取文件。</w:t>
      </w:r>
    </w:p>
    <w:p w14:paraId="4F9F5B28">
      <w:pPr>
        <w:tabs>
          <w:tab w:val="left" w:pos="6720"/>
        </w:tabs>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7、本项目所有公告发布网站：“浙江省政府采购网”（http:// </w:t>
      </w:r>
      <w:r>
        <w:rPr>
          <w:color w:val="auto"/>
          <w:highlight w:val="none"/>
        </w:rPr>
        <w:fldChar w:fldCharType="begin"/>
      </w:r>
      <w:r>
        <w:rPr>
          <w:color w:val="auto"/>
          <w:highlight w:val="none"/>
        </w:rPr>
        <w:instrText xml:space="preserve"> HYPERLINK "http://www.zjzfcg.gov.cn）。" </w:instrText>
      </w:r>
      <w:r>
        <w:rPr>
          <w:color w:val="auto"/>
          <w:highlight w:val="none"/>
        </w:rPr>
        <w:fldChar w:fldCharType="separate"/>
      </w:r>
      <w:r>
        <w:rPr>
          <w:rFonts w:hint="eastAsia" w:ascii="宋体" w:hAnsi="宋体" w:cs="宋体"/>
          <w:color w:val="auto"/>
          <w:szCs w:val="21"/>
          <w:highlight w:val="none"/>
        </w:rPr>
        <w:t>www.zjzfcg.gov.cn）。</w:t>
      </w:r>
      <w:r>
        <w:rPr>
          <w:rFonts w:hint="eastAsia" w:ascii="宋体" w:hAnsi="宋体" w:cs="宋体"/>
          <w:color w:val="auto"/>
          <w:szCs w:val="21"/>
          <w:highlight w:val="none"/>
        </w:rPr>
        <w:fldChar w:fldCharType="end"/>
      </w:r>
    </w:p>
    <w:p w14:paraId="2287EE47">
      <w:pPr>
        <w:tabs>
          <w:tab w:val="left" w:pos="6720"/>
        </w:tabs>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8、采购文件发售截止时间之后有潜在供应商提出要求获取采购文件的允许其报名获取，但对采购文件有异议应按规定的时间提出，逾期提出的，采购组织机构可不予受理、答复。</w:t>
      </w:r>
    </w:p>
    <w:p w14:paraId="6D39C488">
      <w:pPr>
        <w:tabs>
          <w:tab w:val="left" w:pos="6720"/>
        </w:tabs>
        <w:wordWrap w:val="0"/>
        <w:spacing w:line="360" w:lineRule="auto"/>
        <w:ind w:firstLine="422" w:firstLineChars="200"/>
        <w:rPr>
          <w:rFonts w:ascii="宋体" w:hAnsi="宋体" w:cs="宋体"/>
          <w:b/>
          <w:bCs/>
          <w:color w:val="auto"/>
          <w:kern w:val="0"/>
          <w:szCs w:val="21"/>
          <w:highlight w:val="none"/>
        </w:rPr>
      </w:pPr>
      <w:r>
        <w:rPr>
          <w:rFonts w:hint="eastAsia" w:ascii="宋体" w:hAnsi="宋体" w:cs="宋体"/>
          <w:b/>
          <w:bCs/>
          <w:color w:val="auto"/>
          <w:kern w:val="0"/>
          <w:szCs w:val="21"/>
          <w:highlight w:val="none"/>
        </w:rPr>
        <w:t>十、联系方式：</w:t>
      </w:r>
    </w:p>
    <w:p w14:paraId="065C95BA">
      <w:pPr>
        <w:tabs>
          <w:tab w:val="left" w:pos="6720"/>
        </w:tabs>
        <w:wordWrap w:val="0"/>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1、采购代理机构</w:t>
      </w:r>
    </w:p>
    <w:p w14:paraId="63549F75">
      <w:pPr>
        <w:tabs>
          <w:tab w:val="left" w:pos="6720"/>
        </w:tabs>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采购代理机构名称：台州永安工程咨询有限公司</w:t>
      </w:r>
    </w:p>
    <w:p w14:paraId="231DF5A3">
      <w:pPr>
        <w:tabs>
          <w:tab w:val="left" w:pos="6720"/>
        </w:tabs>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联系人：林女士</w:t>
      </w:r>
    </w:p>
    <w:p w14:paraId="1B1C08E2">
      <w:pPr>
        <w:tabs>
          <w:tab w:val="left" w:pos="6720"/>
        </w:tabs>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联系电话：0576-88882270,15757696186</w:t>
      </w:r>
    </w:p>
    <w:p w14:paraId="7EF23C69">
      <w:pPr>
        <w:tabs>
          <w:tab w:val="left" w:pos="6720"/>
        </w:tabs>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传真：0576-88882270；</w:t>
      </w:r>
    </w:p>
    <w:p w14:paraId="7EE5B42B">
      <w:pPr>
        <w:tabs>
          <w:tab w:val="left" w:pos="6720"/>
        </w:tabs>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质疑接收人：叶先生</w:t>
      </w:r>
    </w:p>
    <w:p w14:paraId="778B008C">
      <w:pPr>
        <w:tabs>
          <w:tab w:val="left" w:pos="6720"/>
        </w:tabs>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联系电话：13857637980</w:t>
      </w:r>
    </w:p>
    <w:p w14:paraId="751162F6">
      <w:pPr>
        <w:tabs>
          <w:tab w:val="left" w:pos="6720"/>
        </w:tabs>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地点：台州市椒江区中环世纪6幢801室（交通银行台州分行楼上）</w:t>
      </w:r>
    </w:p>
    <w:p w14:paraId="3CC28E0D">
      <w:pPr>
        <w:tabs>
          <w:tab w:val="left" w:pos="6720"/>
        </w:tabs>
        <w:wordWrap w:val="0"/>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 xml:space="preserve">2、采购人 </w:t>
      </w:r>
    </w:p>
    <w:p w14:paraId="4FB1DBCA">
      <w:pPr>
        <w:tabs>
          <w:tab w:val="left" w:pos="6720"/>
        </w:tabs>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采购人名称：台州市中级人民法院</w:t>
      </w:r>
    </w:p>
    <w:p w14:paraId="564BED6D">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询问联系人：林先生      询问联系电话：0576-88553020</w:t>
      </w:r>
    </w:p>
    <w:p w14:paraId="040860BE">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质疑联系人：仇先生      质疑联系电话：0576-88553527</w:t>
      </w:r>
    </w:p>
    <w:p w14:paraId="693E32FF">
      <w:pPr>
        <w:tabs>
          <w:tab w:val="left" w:pos="6720"/>
        </w:tabs>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采购人地址：台州市椒江区市府大道399号</w:t>
      </w:r>
    </w:p>
    <w:p w14:paraId="5C7F0029">
      <w:pPr>
        <w:tabs>
          <w:tab w:val="left" w:pos="6720"/>
        </w:tabs>
        <w:wordWrap w:val="0"/>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3、同级政府采购监督管理部门</w:t>
      </w:r>
    </w:p>
    <w:p w14:paraId="6588DC64">
      <w:pPr>
        <w:tabs>
          <w:tab w:val="left" w:pos="6720"/>
        </w:tabs>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同级政府采购监督管理部门名称：台州市财政局政府采购监管处</w:t>
      </w:r>
    </w:p>
    <w:p w14:paraId="7954D6AC">
      <w:pPr>
        <w:tabs>
          <w:tab w:val="left" w:pos="6720"/>
        </w:tabs>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联系人：陈老师，李老师</w:t>
      </w:r>
    </w:p>
    <w:p w14:paraId="1049468C">
      <w:pPr>
        <w:tabs>
          <w:tab w:val="left" w:pos="6720"/>
        </w:tabs>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监督投诉电话：0576-88206705，0576-88206731</w:t>
      </w:r>
    </w:p>
    <w:p w14:paraId="63E42EC6">
      <w:pPr>
        <w:tabs>
          <w:tab w:val="left" w:pos="6720"/>
        </w:tabs>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地址：台州市椒江区纬一路66号</w:t>
      </w:r>
    </w:p>
    <w:p w14:paraId="4506B213">
      <w:pPr>
        <w:pStyle w:val="9"/>
        <w:tabs>
          <w:tab w:val="left" w:pos="6720"/>
        </w:tabs>
        <w:wordWrap w:val="0"/>
        <w:spacing w:after="0"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4、其余事项</w:t>
      </w:r>
    </w:p>
    <w:p w14:paraId="2CC689D1">
      <w:pPr>
        <w:tabs>
          <w:tab w:val="left" w:pos="6720"/>
        </w:tabs>
        <w:wordWrap w:val="0"/>
        <w:spacing w:line="360" w:lineRule="auto"/>
        <w:ind w:firstLine="420" w:firstLineChars="200"/>
        <w:rPr>
          <w:rFonts w:ascii="宋体" w:hAnsi="宋体" w:cs="宋体"/>
          <w:color w:val="auto"/>
          <w:sz w:val="32"/>
          <w:szCs w:val="32"/>
          <w:highlight w:val="none"/>
        </w:rPr>
      </w:pPr>
      <w:r>
        <w:rPr>
          <w:rFonts w:hint="eastAsia" w:ascii="宋体" w:hAnsi="宋体" w:cs="宋体"/>
          <w:color w:val="auto"/>
          <w:szCs w:val="21"/>
          <w:highlight w:val="none"/>
        </w:rPr>
        <w:t>（1）合同履约保函联系方式</w:t>
      </w:r>
    </w:p>
    <w:tbl>
      <w:tblPr>
        <w:tblStyle w:val="23"/>
        <w:tblW w:w="8575" w:type="dxa"/>
        <w:tblInd w:w="144"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3387"/>
        <w:gridCol w:w="2288"/>
        <w:gridCol w:w="1276"/>
        <w:gridCol w:w="1624"/>
      </w:tblGrid>
      <w:tr w14:paraId="2E6AE85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7" w:hRule="atLeast"/>
        </w:trPr>
        <w:tc>
          <w:tcPr>
            <w:tcW w:w="3387" w:type="dxa"/>
            <w:vAlign w:val="center"/>
          </w:tcPr>
          <w:p w14:paraId="20DB1909">
            <w:pPr>
              <w:jc w:val="center"/>
              <w:rPr>
                <w:rFonts w:ascii="宋体" w:hAnsi="宋体" w:cs="宋体"/>
                <w:b/>
                <w:bCs/>
                <w:color w:val="auto"/>
                <w:szCs w:val="21"/>
                <w:highlight w:val="none"/>
              </w:rPr>
            </w:pPr>
            <w:r>
              <w:rPr>
                <w:rFonts w:hint="eastAsia" w:ascii="宋体" w:hAnsi="宋体" w:cs="宋体"/>
                <w:b/>
                <w:bCs/>
                <w:color w:val="auto"/>
                <w:szCs w:val="21"/>
                <w:highlight w:val="none"/>
              </w:rPr>
              <w:t>保险公司名称</w:t>
            </w:r>
          </w:p>
        </w:tc>
        <w:tc>
          <w:tcPr>
            <w:tcW w:w="2288" w:type="dxa"/>
            <w:vAlign w:val="center"/>
          </w:tcPr>
          <w:p w14:paraId="013EE3C7">
            <w:pPr>
              <w:jc w:val="center"/>
              <w:rPr>
                <w:rFonts w:ascii="宋体" w:hAnsi="宋体" w:cs="宋体"/>
                <w:b/>
                <w:bCs/>
                <w:color w:val="auto"/>
                <w:szCs w:val="21"/>
                <w:highlight w:val="none"/>
              </w:rPr>
            </w:pPr>
            <w:r>
              <w:rPr>
                <w:rFonts w:hint="eastAsia" w:ascii="宋体" w:hAnsi="宋体" w:cs="宋体"/>
                <w:b/>
                <w:bCs/>
                <w:color w:val="auto"/>
                <w:szCs w:val="21"/>
                <w:highlight w:val="none"/>
              </w:rPr>
              <w:t>保费率</w:t>
            </w:r>
          </w:p>
        </w:tc>
        <w:tc>
          <w:tcPr>
            <w:tcW w:w="1276" w:type="dxa"/>
            <w:vAlign w:val="center"/>
          </w:tcPr>
          <w:p w14:paraId="557C405F">
            <w:pPr>
              <w:jc w:val="center"/>
              <w:rPr>
                <w:rFonts w:ascii="宋体" w:hAnsi="宋体" w:cs="宋体"/>
                <w:b/>
                <w:bCs/>
                <w:color w:val="auto"/>
                <w:szCs w:val="21"/>
                <w:highlight w:val="none"/>
              </w:rPr>
            </w:pPr>
            <w:r>
              <w:rPr>
                <w:rFonts w:hint="eastAsia" w:ascii="宋体" w:hAnsi="宋体" w:cs="宋体"/>
                <w:b/>
                <w:bCs/>
                <w:color w:val="auto"/>
                <w:szCs w:val="21"/>
                <w:highlight w:val="none"/>
              </w:rPr>
              <w:t>联系人</w:t>
            </w:r>
          </w:p>
        </w:tc>
        <w:tc>
          <w:tcPr>
            <w:tcW w:w="1624" w:type="dxa"/>
            <w:vAlign w:val="center"/>
          </w:tcPr>
          <w:p w14:paraId="13FBE32B">
            <w:pPr>
              <w:jc w:val="center"/>
              <w:rPr>
                <w:rFonts w:ascii="宋体" w:hAnsi="宋体" w:cs="宋体"/>
                <w:b/>
                <w:bCs/>
                <w:color w:val="auto"/>
                <w:szCs w:val="21"/>
                <w:highlight w:val="none"/>
              </w:rPr>
            </w:pPr>
            <w:r>
              <w:rPr>
                <w:rFonts w:hint="eastAsia" w:ascii="宋体" w:hAnsi="宋体" w:cs="宋体"/>
                <w:b/>
                <w:bCs/>
                <w:color w:val="auto"/>
                <w:szCs w:val="21"/>
                <w:highlight w:val="none"/>
              </w:rPr>
              <w:t>联系电话</w:t>
            </w:r>
          </w:p>
        </w:tc>
      </w:tr>
      <w:tr w14:paraId="1070654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5C88CAA2">
            <w:pPr>
              <w:jc w:val="left"/>
              <w:rPr>
                <w:rFonts w:ascii="宋体" w:hAnsi="宋体" w:cs="宋体"/>
                <w:color w:val="auto"/>
                <w:szCs w:val="21"/>
                <w:highlight w:val="none"/>
              </w:rPr>
            </w:pPr>
            <w:r>
              <w:rPr>
                <w:rFonts w:hint="eastAsia" w:ascii="宋体" w:hAnsi="宋体" w:cs="宋体"/>
                <w:color w:val="auto"/>
                <w:szCs w:val="21"/>
                <w:highlight w:val="none"/>
              </w:rPr>
              <w:t>中国人寿财产保险股份有限公司台州中心支公司</w:t>
            </w:r>
          </w:p>
        </w:tc>
        <w:tc>
          <w:tcPr>
            <w:tcW w:w="2288" w:type="dxa"/>
            <w:vAlign w:val="center"/>
          </w:tcPr>
          <w:p w14:paraId="0261A2EF">
            <w:pPr>
              <w:jc w:val="left"/>
              <w:rPr>
                <w:rFonts w:ascii="宋体" w:hAnsi="宋体" w:cs="宋体"/>
                <w:color w:val="auto"/>
                <w:szCs w:val="21"/>
                <w:highlight w:val="none"/>
              </w:rPr>
            </w:pPr>
            <w:r>
              <w:rPr>
                <w:rFonts w:hint="eastAsia" w:ascii="宋体" w:hAnsi="宋体" w:cs="宋体"/>
                <w:color w:val="auto"/>
                <w:szCs w:val="21"/>
                <w:highlight w:val="none"/>
              </w:rPr>
              <w:t>年费率1%，最低保费500元</w:t>
            </w:r>
          </w:p>
        </w:tc>
        <w:tc>
          <w:tcPr>
            <w:tcW w:w="1276" w:type="dxa"/>
            <w:vAlign w:val="center"/>
          </w:tcPr>
          <w:p w14:paraId="7BB168B1">
            <w:pPr>
              <w:jc w:val="center"/>
              <w:rPr>
                <w:rFonts w:ascii="宋体" w:hAnsi="宋体" w:cs="宋体"/>
                <w:color w:val="auto"/>
                <w:szCs w:val="21"/>
                <w:highlight w:val="none"/>
              </w:rPr>
            </w:pPr>
            <w:r>
              <w:rPr>
                <w:rFonts w:hint="eastAsia" w:ascii="宋体" w:hAnsi="宋体" w:cs="宋体"/>
                <w:color w:val="auto"/>
                <w:szCs w:val="21"/>
                <w:highlight w:val="none"/>
              </w:rPr>
              <w:t>徐凌</w:t>
            </w:r>
          </w:p>
        </w:tc>
        <w:tc>
          <w:tcPr>
            <w:tcW w:w="1624" w:type="dxa"/>
            <w:vAlign w:val="center"/>
          </w:tcPr>
          <w:p w14:paraId="644DBA46">
            <w:pPr>
              <w:jc w:val="center"/>
              <w:rPr>
                <w:rFonts w:ascii="宋体" w:hAnsi="宋体" w:cs="宋体"/>
                <w:color w:val="auto"/>
                <w:szCs w:val="21"/>
                <w:highlight w:val="none"/>
              </w:rPr>
            </w:pPr>
            <w:r>
              <w:rPr>
                <w:rFonts w:hint="eastAsia" w:ascii="宋体" w:hAnsi="宋体" w:cs="宋体"/>
                <w:color w:val="auto"/>
                <w:szCs w:val="21"/>
                <w:highlight w:val="none"/>
              </w:rPr>
              <w:t>13905168070</w:t>
            </w:r>
          </w:p>
        </w:tc>
      </w:tr>
      <w:tr w14:paraId="12D4B1C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50F08DFF">
            <w:pPr>
              <w:jc w:val="left"/>
              <w:rPr>
                <w:rFonts w:ascii="宋体" w:hAnsi="宋体" w:cs="宋体"/>
                <w:color w:val="auto"/>
                <w:szCs w:val="21"/>
                <w:highlight w:val="none"/>
              </w:rPr>
            </w:pPr>
            <w:r>
              <w:rPr>
                <w:rFonts w:hint="eastAsia" w:ascii="宋体" w:hAnsi="宋体" w:cs="宋体"/>
                <w:color w:val="auto"/>
                <w:szCs w:val="21"/>
                <w:highlight w:val="none"/>
              </w:rPr>
              <w:t>永诚财产保险股份有限公司台州分公司</w:t>
            </w:r>
          </w:p>
        </w:tc>
        <w:tc>
          <w:tcPr>
            <w:tcW w:w="2288" w:type="dxa"/>
            <w:vAlign w:val="center"/>
          </w:tcPr>
          <w:p w14:paraId="3F5D89E6">
            <w:pPr>
              <w:jc w:val="left"/>
              <w:rPr>
                <w:rFonts w:ascii="宋体" w:hAnsi="宋体" w:cs="宋体"/>
                <w:color w:val="auto"/>
                <w:szCs w:val="21"/>
                <w:highlight w:val="none"/>
              </w:rPr>
            </w:pPr>
            <w:r>
              <w:rPr>
                <w:rFonts w:hint="eastAsia" w:ascii="宋体" w:hAnsi="宋体" w:cs="宋体"/>
                <w:color w:val="auto"/>
                <w:szCs w:val="21"/>
                <w:highlight w:val="none"/>
              </w:rPr>
              <w:t>年费率1%，最低保费1000元</w:t>
            </w:r>
          </w:p>
        </w:tc>
        <w:tc>
          <w:tcPr>
            <w:tcW w:w="1276" w:type="dxa"/>
            <w:vAlign w:val="center"/>
          </w:tcPr>
          <w:p w14:paraId="55A7710A">
            <w:pPr>
              <w:jc w:val="center"/>
              <w:rPr>
                <w:rFonts w:ascii="宋体" w:hAnsi="宋体" w:cs="宋体"/>
                <w:color w:val="auto"/>
                <w:szCs w:val="21"/>
                <w:highlight w:val="none"/>
              </w:rPr>
            </w:pPr>
            <w:r>
              <w:rPr>
                <w:rFonts w:hint="eastAsia" w:ascii="宋体" w:hAnsi="宋体" w:cs="宋体"/>
                <w:color w:val="auto"/>
                <w:szCs w:val="21"/>
                <w:highlight w:val="none"/>
              </w:rPr>
              <w:t>尹刚强</w:t>
            </w:r>
          </w:p>
        </w:tc>
        <w:tc>
          <w:tcPr>
            <w:tcW w:w="1624" w:type="dxa"/>
            <w:vAlign w:val="center"/>
          </w:tcPr>
          <w:p w14:paraId="287C0ADF">
            <w:pPr>
              <w:jc w:val="center"/>
              <w:rPr>
                <w:rFonts w:ascii="宋体" w:hAnsi="宋体" w:cs="宋体"/>
                <w:color w:val="auto"/>
                <w:szCs w:val="21"/>
                <w:highlight w:val="none"/>
              </w:rPr>
            </w:pPr>
            <w:r>
              <w:rPr>
                <w:rFonts w:hint="eastAsia" w:ascii="宋体" w:hAnsi="宋体" w:cs="宋体"/>
                <w:color w:val="auto"/>
                <w:szCs w:val="21"/>
                <w:highlight w:val="none"/>
              </w:rPr>
              <w:t>13750668184</w:t>
            </w:r>
          </w:p>
        </w:tc>
      </w:tr>
      <w:tr w14:paraId="0AF48CA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00CB6360">
            <w:pPr>
              <w:jc w:val="left"/>
              <w:rPr>
                <w:rFonts w:ascii="宋体" w:hAnsi="宋体" w:cs="宋体"/>
                <w:color w:val="auto"/>
                <w:szCs w:val="21"/>
                <w:highlight w:val="none"/>
              </w:rPr>
            </w:pPr>
            <w:r>
              <w:rPr>
                <w:rFonts w:hint="eastAsia" w:ascii="宋体" w:hAnsi="宋体" w:cs="宋体"/>
                <w:color w:val="auto"/>
                <w:szCs w:val="21"/>
                <w:highlight w:val="none"/>
              </w:rPr>
              <w:t>华泰财产保险有限公司台州中心支公司</w:t>
            </w:r>
          </w:p>
        </w:tc>
        <w:tc>
          <w:tcPr>
            <w:tcW w:w="2288" w:type="dxa"/>
            <w:vAlign w:val="center"/>
          </w:tcPr>
          <w:p w14:paraId="7D712AF6">
            <w:pPr>
              <w:jc w:val="left"/>
              <w:rPr>
                <w:rFonts w:ascii="宋体" w:hAnsi="宋体" w:cs="宋体"/>
                <w:color w:val="auto"/>
                <w:szCs w:val="21"/>
                <w:highlight w:val="none"/>
              </w:rPr>
            </w:pPr>
            <w:r>
              <w:rPr>
                <w:rFonts w:hint="eastAsia" w:ascii="宋体" w:hAnsi="宋体" w:cs="宋体"/>
                <w:color w:val="auto"/>
                <w:szCs w:val="21"/>
                <w:highlight w:val="none"/>
              </w:rPr>
              <w:t>年费率0.5%，最低保费1000元</w:t>
            </w:r>
          </w:p>
        </w:tc>
        <w:tc>
          <w:tcPr>
            <w:tcW w:w="1276" w:type="dxa"/>
            <w:vAlign w:val="center"/>
          </w:tcPr>
          <w:p w14:paraId="66C39691">
            <w:pPr>
              <w:jc w:val="center"/>
              <w:rPr>
                <w:rFonts w:ascii="宋体" w:hAnsi="宋体" w:cs="宋体"/>
                <w:color w:val="auto"/>
                <w:szCs w:val="21"/>
                <w:highlight w:val="none"/>
              </w:rPr>
            </w:pPr>
            <w:r>
              <w:rPr>
                <w:rFonts w:hint="eastAsia" w:ascii="宋体" w:hAnsi="宋体" w:cs="宋体"/>
                <w:color w:val="auto"/>
                <w:szCs w:val="21"/>
                <w:highlight w:val="none"/>
              </w:rPr>
              <w:t>王灵芳</w:t>
            </w:r>
          </w:p>
        </w:tc>
        <w:tc>
          <w:tcPr>
            <w:tcW w:w="1624" w:type="dxa"/>
            <w:vAlign w:val="center"/>
          </w:tcPr>
          <w:p w14:paraId="62DDAC01">
            <w:pPr>
              <w:jc w:val="center"/>
              <w:rPr>
                <w:rFonts w:ascii="宋体" w:hAnsi="宋体" w:cs="宋体"/>
                <w:color w:val="auto"/>
                <w:szCs w:val="21"/>
                <w:highlight w:val="none"/>
              </w:rPr>
            </w:pPr>
            <w:r>
              <w:rPr>
                <w:rFonts w:hint="eastAsia" w:ascii="宋体" w:hAnsi="宋体" w:cs="宋体"/>
                <w:color w:val="auto"/>
                <w:szCs w:val="21"/>
                <w:highlight w:val="none"/>
              </w:rPr>
              <w:t>88869818 13586123199</w:t>
            </w:r>
          </w:p>
        </w:tc>
      </w:tr>
      <w:tr w14:paraId="75AC786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258B89FE">
            <w:pPr>
              <w:jc w:val="left"/>
              <w:rPr>
                <w:rFonts w:ascii="宋体" w:hAnsi="宋体" w:cs="宋体"/>
                <w:color w:val="auto"/>
                <w:szCs w:val="21"/>
                <w:highlight w:val="none"/>
              </w:rPr>
            </w:pPr>
            <w:r>
              <w:rPr>
                <w:rFonts w:hint="eastAsia" w:ascii="宋体" w:hAnsi="宋体" w:cs="宋体"/>
                <w:color w:val="auto"/>
                <w:szCs w:val="21"/>
                <w:highlight w:val="none"/>
              </w:rPr>
              <w:t>中国大地财产保险股份有限公司台州中心支公司</w:t>
            </w:r>
          </w:p>
        </w:tc>
        <w:tc>
          <w:tcPr>
            <w:tcW w:w="2288" w:type="dxa"/>
            <w:vAlign w:val="center"/>
          </w:tcPr>
          <w:p w14:paraId="750030DF">
            <w:pPr>
              <w:jc w:val="left"/>
              <w:rPr>
                <w:rFonts w:ascii="宋体" w:hAnsi="宋体" w:cs="宋体"/>
                <w:color w:val="auto"/>
                <w:szCs w:val="21"/>
                <w:highlight w:val="none"/>
              </w:rPr>
            </w:pPr>
            <w:r>
              <w:rPr>
                <w:rFonts w:hint="eastAsia" w:ascii="宋体" w:hAnsi="宋体" w:cs="宋体"/>
                <w:color w:val="auto"/>
                <w:szCs w:val="21"/>
                <w:highlight w:val="none"/>
              </w:rPr>
              <w:t>年费率1.5%，最低保费1000元</w:t>
            </w:r>
          </w:p>
        </w:tc>
        <w:tc>
          <w:tcPr>
            <w:tcW w:w="1276" w:type="dxa"/>
            <w:vAlign w:val="center"/>
          </w:tcPr>
          <w:p w14:paraId="578FA7B6">
            <w:pPr>
              <w:jc w:val="center"/>
              <w:rPr>
                <w:rFonts w:ascii="宋体" w:hAnsi="宋体" w:cs="宋体"/>
                <w:color w:val="auto"/>
                <w:szCs w:val="21"/>
                <w:highlight w:val="none"/>
              </w:rPr>
            </w:pPr>
            <w:r>
              <w:rPr>
                <w:rFonts w:hint="eastAsia" w:ascii="宋体" w:hAnsi="宋体" w:cs="宋体"/>
                <w:color w:val="auto"/>
                <w:szCs w:val="21"/>
                <w:highlight w:val="none"/>
              </w:rPr>
              <w:t>徐小明</w:t>
            </w:r>
          </w:p>
        </w:tc>
        <w:tc>
          <w:tcPr>
            <w:tcW w:w="1624" w:type="dxa"/>
            <w:vAlign w:val="center"/>
          </w:tcPr>
          <w:p w14:paraId="5E064890">
            <w:pPr>
              <w:jc w:val="center"/>
              <w:rPr>
                <w:rFonts w:ascii="宋体" w:hAnsi="宋体" w:cs="宋体"/>
                <w:color w:val="auto"/>
                <w:szCs w:val="21"/>
                <w:highlight w:val="none"/>
              </w:rPr>
            </w:pPr>
            <w:r>
              <w:rPr>
                <w:rFonts w:hint="eastAsia" w:ascii="宋体" w:hAnsi="宋体" w:cs="宋体"/>
                <w:color w:val="auto"/>
                <w:szCs w:val="21"/>
                <w:highlight w:val="none"/>
              </w:rPr>
              <w:t>88552788      13968603112</w:t>
            </w:r>
          </w:p>
        </w:tc>
      </w:tr>
      <w:tr w14:paraId="427DF40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159A6EE4">
            <w:pPr>
              <w:jc w:val="left"/>
              <w:rPr>
                <w:rFonts w:ascii="宋体" w:hAnsi="宋体" w:cs="宋体"/>
                <w:color w:val="auto"/>
                <w:szCs w:val="21"/>
                <w:highlight w:val="none"/>
              </w:rPr>
            </w:pPr>
            <w:r>
              <w:rPr>
                <w:rFonts w:hint="eastAsia" w:ascii="宋体" w:hAnsi="宋体" w:cs="宋体"/>
                <w:color w:val="auto"/>
                <w:szCs w:val="21"/>
                <w:highlight w:val="none"/>
              </w:rPr>
              <w:t>阳光保险台州中心支公司</w:t>
            </w:r>
          </w:p>
        </w:tc>
        <w:tc>
          <w:tcPr>
            <w:tcW w:w="2288" w:type="dxa"/>
            <w:vAlign w:val="center"/>
          </w:tcPr>
          <w:p w14:paraId="56B7F2C5">
            <w:pPr>
              <w:jc w:val="left"/>
              <w:rPr>
                <w:rFonts w:ascii="宋体" w:hAnsi="宋体" w:cs="宋体"/>
                <w:color w:val="auto"/>
                <w:szCs w:val="21"/>
                <w:highlight w:val="none"/>
              </w:rPr>
            </w:pPr>
            <w:r>
              <w:rPr>
                <w:rFonts w:hint="eastAsia" w:ascii="宋体" w:hAnsi="宋体" w:cs="宋体"/>
                <w:color w:val="auto"/>
                <w:szCs w:val="21"/>
                <w:highlight w:val="none"/>
              </w:rPr>
              <w:t>年费率1%，最低保费500元</w:t>
            </w:r>
          </w:p>
        </w:tc>
        <w:tc>
          <w:tcPr>
            <w:tcW w:w="1276" w:type="dxa"/>
            <w:vAlign w:val="center"/>
          </w:tcPr>
          <w:p w14:paraId="41D72EA2">
            <w:pPr>
              <w:jc w:val="center"/>
              <w:rPr>
                <w:rFonts w:ascii="宋体" w:hAnsi="宋体" w:cs="宋体"/>
                <w:color w:val="auto"/>
                <w:szCs w:val="21"/>
                <w:highlight w:val="none"/>
              </w:rPr>
            </w:pPr>
            <w:r>
              <w:rPr>
                <w:rFonts w:hint="eastAsia" w:ascii="宋体" w:hAnsi="宋体" w:cs="宋体"/>
                <w:color w:val="auto"/>
                <w:szCs w:val="21"/>
                <w:highlight w:val="none"/>
              </w:rPr>
              <w:t>林高明</w:t>
            </w:r>
          </w:p>
        </w:tc>
        <w:tc>
          <w:tcPr>
            <w:tcW w:w="1624" w:type="dxa"/>
            <w:vAlign w:val="center"/>
          </w:tcPr>
          <w:p w14:paraId="0396D21C">
            <w:pPr>
              <w:jc w:val="center"/>
              <w:rPr>
                <w:rFonts w:ascii="宋体" w:hAnsi="宋体" w:cs="宋体"/>
                <w:color w:val="auto"/>
                <w:szCs w:val="21"/>
                <w:highlight w:val="none"/>
              </w:rPr>
            </w:pPr>
            <w:r>
              <w:rPr>
                <w:rFonts w:hint="eastAsia" w:ascii="宋体" w:hAnsi="宋体" w:cs="宋体"/>
                <w:color w:val="auto"/>
                <w:szCs w:val="21"/>
                <w:highlight w:val="none"/>
              </w:rPr>
              <w:t>15888682693</w:t>
            </w:r>
          </w:p>
        </w:tc>
      </w:tr>
      <w:tr w14:paraId="15CC138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31D57C96">
            <w:pPr>
              <w:jc w:val="left"/>
              <w:rPr>
                <w:rFonts w:ascii="宋体" w:hAnsi="宋体" w:cs="宋体"/>
                <w:color w:val="auto"/>
                <w:szCs w:val="21"/>
                <w:highlight w:val="none"/>
              </w:rPr>
            </w:pPr>
            <w:r>
              <w:rPr>
                <w:rFonts w:hint="eastAsia" w:ascii="宋体" w:hAnsi="宋体" w:cs="宋体"/>
                <w:color w:val="auto"/>
                <w:szCs w:val="21"/>
                <w:highlight w:val="none"/>
              </w:rPr>
              <w:t>中华联合财产保险股份有限公司台州中心支公司</w:t>
            </w:r>
          </w:p>
        </w:tc>
        <w:tc>
          <w:tcPr>
            <w:tcW w:w="2288" w:type="dxa"/>
            <w:vAlign w:val="center"/>
          </w:tcPr>
          <w:p w14:paraId="7053A65D">
            <w:pPr>
              <w:jc w:val="left"/>
              <w:rPr>
                <w:rFonts w:ascii="宋体" w:hAnsi="宋体" w:cs="宋体"/>
                <w:color w:val="auto"/>
                <w:szCs w:val="21"/>
                <w:highlight w:val="none"/>
              </w:rPr>
            </w:pPr>
            <w:r>
              <w:rPr>
                <w:rFonts w:hint="eastAsia" w:ascii="宋体" w:hAnsi="宋体" w:cs="宋体"/>
                <w:color w:val="auto"/>
                <w:szCs w:val="21"/>
                <w:highlight w:val="none"/>
              </w:rPr>
              <w:t>年费率2%，最低保费500元</w:t>
            </w:r>
          </w:p>
        </w:tc>
        <w:tc>
          <w:tcPr>
            <w:tcW w:w="1276" w:type="dxa"/>
            <w:vAlign w:val="center"/>
          </w:tcPr>
          <w:p w14:paraId="53D50B8F">
            <w:pPr>
              <w:jc w:val="center"/>
              <w:rPr>
                <w:rFonts w:ascii="宋体" w:hAnsi="宋体" w:cs="宋体"/>
                <w:color w:val="auto"/>
                <w:szCs w:val="21"/>
                <w:highlight w:val="none"/>
              </w:rPr>
            </w:pPr>
            <w:r>
              <w:rPr>
                <w:rFonts w:hint="eastAsia" w:ascii="宋体" w:hAnsi="宋体" w:cs="宋体"/>
                <w:color w:val="auto"/>
                <w:szCs w:val="21"/>
                <w:highlight w:val="none"/>
              </w:rPr>
              <w:t>王仙高</w:t>
            </w:r>
          </w:p>
        </w:tc>
        <w:tc>
          <w:tcPr>
            <w:tcW w:w="1624" w:type="dxa"/>
            <w:vAlign w:val="center"/>
          </w:tcPr>
          <w:p w14:paraId="20B22F44">
            <w:pPr>
              <w:jc w:val="center"/>
              <w:rPr>
                <w:rFonts w:ascii="宋体" w:hAnsi="宋体" w:cs="宋体"/>
                <w:color w:val="auto"/>
                <w:szCs w:val="21"/>
                <w:highlight w:val="none"/>
              </w:rPr>
            </w:pPr>
            <w:r>
              <w:rPr>
                <w:rFonts w:hint="eastAsia" w:ascii="宋体" w:hAnsi="宋体" w:cs="宋体"/>
                <w:color w:val="auto"/>
                <w:szCs w:val="21"/>
                <w:highlight w:val="none"/>
              </w:rPr>
              <w:t>13858600221</w:t>
            </w:r>
          </w:p>
        </w:tc>
      </w:tr>
      <w:tr w14:paraId="16774F7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59B1603F">
            <w:pPr>
              <w:jc w:val="left"/>
              <w:rPr>
                <w:rFonts w:ascii="宋体" w:hAnsi="宋体" w:cs="宋体"/>
                <w:color w:val="auto"/>
                <w:szCs w:val="21"/>
                <w:highlight w:val="none"/>
              </w:rPr>
            </w:pPr>
            <w:r>
              <w:rPr>
                <w:rFonts w:hint="eastAsia" w:ascii="宋体" w:hAnsi="宋体" w:cs="宋体"/>
                <w:color w:val="auto"/>
                <w:szCs w:val="21"/>
                <w:highlight w:val="none"/>
              </w:rPr>
              <w:t>中国人民财产保险股份有限公司台州中心支公司</w:t>
            </w:r>
          </w:p>
        </w:tc>
        <w:tc>
          <w:tcPr>
            <w:tcW w:w="2288" w:type="dxa"/>
            <w:vAlign w:val="center"/>
          </w:tcPr>
          <w:p w14:paraId="0EAFAA11">
            <w:pPr>
              <w:jc w:val="left"/>
              <w:rPr>
                <w:rFonts w:ascii="宋体" w:hAnsi="宋体" w:cs="宋体"/>
                <w:color w:val="auto"/>
                <w:szCs w:val="21"/>
                <w:highlight w:val="none"/>
              </w:rPr>
            </w:pPr>
            <w:r>
              <w:rPr>
                <w:rFonts w:hint="eastAsia" w:ascii="宋体" w:hAnsi="宋体" w:cs="宋体"/>
                <w:color w:val="auto"/>
                <w:szCs w:val="21"/>
                <w:highlight w:val="none"/>
              </w:rPr>
              <w:t>年费率0.3%，最低保费1000元</w:t>
            </w:r>
          </w:p>
        </w:tc>
        <w:tc>
          <w:tcPr>
            <w:tcW w:w="1276" w:type="dxa"/>
            <w:vAlign w:val="center"/>
          </w:tcPr>
          <w:p w14:paraId="49698051">
            <w:pPr>
              <w:jc w:val="center"/>
              <w:rPr>
                <w:rFonts w:ascii="宋体" w:hAnsi="宋体" w:cs="宋体"/>
                <w:color w:val="auto"/>
                <w:szCs w:val="21"/>
                <w:highlight w:val="none"/>
              </w:rPr>
            </w:pPr>
            <w:r>
              <w:rPr>
                <w:rFonts w:hint="eastAsia" w:ascii="宋体" w:hAnsi="宋体" w:cs="宋体"/>
                <w:color w:val="auto"/>
                <w:szCs w:val="21"/>
                <w:highlight w:val="none"/>
              </w:rPr>
              <w:t>王仙春</w:t>
            </w:r>
          </w:p>
        </w:tc>
        <w:tc>
          <w:tcPr>
            <w:tcW w:w="1624" w:type="dxa"/>
            <w:vAlign w:val="center"/>
          </w:tcPr>
          <w:p w14:paraId="3F948F0A">
            <w:pPr>
              <w:jc w:val="center"/>
              <w:rPr>
                <w:rFonts w:ascii="宋体" w:hAnsi="宋体" w:cs="宋体"/>
                <w:color w:val="auto"/>
                <w:szCs w:val="21"/>
                <w:highlight w:val="none"/>
              </w:rPr>
            </w:pPr>
            <w:r>
              <w:rPr>
                <w:rFonts w:hint="eastAsia" w:ascii="宋体" w:hAnsi="宋体" w:cs="宋体"/>
                <w:color w:val="auto"/>
                <w:szCs w:val="21"/>
                <w:highlight w:val="none"/>
              </w:rPr>
              <w:t>13515769179</w:t>
            </w:r>
          </w:p>
        </w:tc>
      </w:tr>
      <w:tr w14:paraId="2DC1FAD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6CB8DD44">
            <w:pPr>
              <w:jc w:val="left"/>
              <w:rPr>
                <w:rFonts w:ascii="宋体" w:hAnsi="宋体" w:cs="宋体"/>
                <w:color w:val="auto"/>
                <w:szCs w:val="21"/>
                <w:highlight w:val="none"/>
              </w:rPr>
            </w:pPr>
            <w:r>
              <w:rPr>
                <w:rFonts w:hint="eastAsia" w:ascii="宋体" w:hAnsi="宋体" w:cs="宋体"/>
                <w:color w:val="auto"/>
                <w:szCs w:val="21"/>
                <w:highlight w:val="none"/>
              </w:rPr>
              <w:t>永安财产保险股份有限公司台州中心支公司</w:t>
            </w:r>
          </w:p>
        </w:tc>
        <w:tc>
          <w:tcPr>
            <w:tcW w:w="2288" w:type="dxa"/>
            <w:vAlign w:val="center"/>
          </w:tcPr>
          <w:p w14:paraId="42856B1D">
            <w:pPr>
              <w:jc w:val="left"/>
              <w:rPr>
                <w:rFonts w:ascii="宋体" w:hAnsi="宋体" w:cs="宋体"/>
                <w:color w:val="auto"/>
                <w:szCs w:val="21"/>
                <w:highlight w:val="none"/>
              </w:rPr>
            </w:pPr>
            <w:r>
              <w:rPr>
                <w:rFonts w:hint="eastAsia" w:ascii="宋体" w:hAnsi="宋体" w:cs="宋体"/>
                <w:color w:val="auto"/>
                <w:szCs w:val="21"/>
                <w:highlight w:val="none"/>
              </w:rPr>
              <w:t>年费率0.3%，最低保费1000元</w:t>
            </w:r>
          </w:p>
        </w:tc>
        <w:tc>
          <w:tcPr>
            <w:tcW w:w="1276" w:type="dxa"/>
            <w:vAlign w:val="center"/>
          </w:tcPr>
          <w:p w14:paraId="180D29AF">
            <w:pPr>
              <w:jc w:val="center"/>
              <w:rPr>
                <w:rFonts w:ascii="宋体" w:hAnsi="宋体" w:cs="宋体"/>
                <w:color w:val="auto"/>
                <w:szCs w:val="21"/>
                <w:highlight w:val="none"/>
              </w:rPr>
            </w:pPr>
            <w:r>
              <w:rPr>
                <w:rFonts w:hint="eastAsia" w:ascii="宋体" w:hAnsi="宋体" w:cs="宋体"/>
                <w:color w:val="auto"/>
                <w:szCs w:val="21"/>
                <w:highlight w:val="none"/>
              </w:rPr>
              <w:t>王春宇</w:t>
            </w:r>
          </w:p>
        </w:tc>
        <w:tc>
          <w:tcPr>
            <w:tcW w:w="1624" w:type="dxa"/>
            <w:vAlign w:val="center"/>
          </w:tcPr>
          <w:p w14:paraId="32529555">
            <w:pPr>
              <w:jc w:val="center"/>
              <w:rPr>
                <w:rFonts w:ascii="宋体" w:hAnsi="宋体" w:cs="宋体"/>
                <w:color w:val="auto"/>
                <w:szCs w:val="21"/>
                <w:highlight w:val="none"/>
              </w:rPr>
            </w:pPr>
            <w:r>
              <w:rPr>
                <w:rFonts w:hint="eastAsia" w:ascii="宋体" w:hAnsi="宋体" w:cs="宋体"/>
                <w:color w:val="auto"/>
                <w:szCs w:val="21"/>
                <w:highlight w:val="none"/>
              </w:rPr>
              <w:t>13676675331</w:t>
            </w:r>
          </w:p>
        </w:tc>
      </w:tr>
    </w:tbl>
    <w:p w14:paraId="69E2A9F9">
      <w:pPr>
        <w:rPr>
          <w:rFonts w:ascii="宋体" w:hAnsi="宋体" w:cs="宋体"/>
          <w:color w:val="auto"/>
          <w:szCs w:val="21"/>
          <w:highlight w:val="none"/>
        </w:rPr>
      </w:pPr>
    </w:p>
    <w:p w14:paraId="6D2A2E9D">
      <w:pPr>
        <w:rPr>
          <w:rFonts w:ascii="宋体" w:hAnsi="宋体" w:cs="宋体"/>
          <w:color w:val="auto"/>
          <w:szCs w:val="21"/>
          <w:highlight w:val="none"/>
        </w:rPr>
      </w:pPr>
      <w:r>
        <w:rPr>
          <w:rFonts w:hint="eastAsia" w:ascii="宋体" w:hAnsi="宋体" w:cs="宋体"/>
          <w:color w:val="auto"/>
          <w:szCs w:val="21"/>
          <w:highlight w:val="none"/>
        </w:rPr>
        <w:t>（2）预付款保函联系方式</w:t>
      </w:r>
    </w:p>
    <w:tbl>
      <w:tblPr>
        <w:tblStyle w:val="23"/>
        <w:tblW w:w="8562" w:type="dxa"/>
        <w:tblInd w:w="144"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3387"/>
        <w:gridCol w:w="2288"/>
        <w:gridCol w:w="1287"/>
        <w:gridCol w:w="1600"/>
      </w:tblGrid>
      <w:tr w14:paraId="0226D1A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458" w:hRule="atLeast"/>
        </w:trPr>
        <w:tc>
          <w:tcPr>
            <w:tcW w:w="3387" w:type="dxa"/>
            <w:vAlign w:val="center"/>
          </w:tcPr>
          <w:p w14:paraId="4FBD359E">
            <w:pPr>
              <w:jc w:val="center"/>
              <w:rPr>
                <w:rFonts w:ascii="宋体" w:hAnsi="宋体" w:cs="宋体"/>
                <w:b/>
                <w:bCs/>
                <w:color w:val="auto"/>
                <w:szCs w:val="21"/>
                <w:highlight w:val="none"/>
              </w:rPr>
            </w:pPr>
            <w:r>
              <w:rPr>
                <w:rFonts w:hint="eastAsia" w:ascii="宋体" w:hAnsi="宋体" w:cs="宋体"/>
                <w:b/>
                <w:bCs/>
                <w:color w:val="auto"/>
                <w:szCs w:val="21"/>
                <w:highlight w:val="none"/>
              </w:rPr>
              <w:t>保险公司名称</w:t>
            </w:r>
          </w:p>
        </w:tc>
        <w:tc>
          <w:tcPr>
            <w:tcW w:w="2288" w:type="dxa"/>
            <w:vAlign w:val="center"/>
          </w:tcPr>
          <w:p w14:paraId="790257BB">
            <w:pPr>
              <w:jc w:val="center"/>
              <w:rPr>
                <w:rFonts w:ascii="宋体" w:hAnsi="宋体" w:cs="宋体"/>
                <w:b/>
                <w:bCs/>
                <w:color w:val="auto"/>
                <w:szCs w:val="21"/>
                <w:highlight w:val="none"/>
              </w:rPr>
            </w:pPr>
            <w:r>
              <w:rPr>
                <w:rFonts w:hint="eastAsia" w:ascii="宋体" w:hAnsi="宋体" w:cs="宋体"/>
                <w:b/>
                <w:bCs/>
                <w:color w:val="auto"/>
                <w:szCs w:val="21"/>
                <w:highlight w:val="none"/>
              </w:rPr>
              <w:t>保费率</w:t>
            </w:r>
          </w:p>
        </w:tc>
        <w:tc>
          <w:tcPr>
            <w:tcW w:w="1287" w:type="dxa"/>
            <w:vAlign w:val="center"/>
          </w:tcPr>
          <w:p w14:paraId="77CB7BBE">
            <w:pPr>
              <w:jc w:val="center"/>
              <w:rPr>
                <w:rFonts w:ascii="宋体" w:hAnsi="宋体" w:cs="宋体"/>
                <w:b/>
                <w:bCs/>
                <w:color w:val="auto"/>
                <w:szCs w:val="21"/>
                <w:highlight w:val="none"/>
              </w:rPr>
            </w:pPr>
            <w:r>
              <w:rPr>
                <w:rFonts w:hint="eastAsia" w:ascii="宋体" w:hAnsi="宋体" w:cs="宋体"/>
                <w:b/>
                <w:bCs/>
                <w:color w:val="auto"/>
                <w:szCs w:val="21"/>
                <w:highlight w:val="none"/>
              </w:rPr>
              <w:t>联系人</w:t>
            </w:r>
          </w:p>
        </w:tc>
        <w:tc>
          <w:tcPr>
            <w:tcW w:w="1600" w:type="dxa"/>
            <w:vAlign w:val="center"/>
          </w:tcPr>
          <w:p w14:paraId="33C71ED8">
            <w:pPr>
              <w:jc w:val="center"/>
              <w:rPr>
                <w:rFonts w:ascii="宋体" w:hAnsi="宋体" w:cs="宋体"/>
                <w:b/>
                <w:bCs/>
                <w:color w:val="auto"/>
                <w:szCs w:val="21"/>
                <w:highlight w:val="none"/>
              </w:rPr>
            </w:pPr>
            <w:r>
              <w:rPr>
                <w:rFonts w:hint="eastAsia" w:ascii="宋体" w:hAnsi="宋体" w:cs="宋体"/>
                <w:b/>
                <w:bCs/>
                <w:color w:val="auto"/>
                <w:szCs w:val="21"/>
                <w:highlight w:val="none"/>
              </w:rPr>
              <w:t>联系电话</w:t>
            </w:r>
          </w:p>
        </w:tc>
      </w:tr>
      <w:tr w14:paraId="638385D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5F551606">
            <w:pPr>
              <w:jc w:val="left"/>
              <w:rPr>
                <w:rFonts w:ascii="宋体" w:hAnsi="宋体" w:cs="宋体"/>
                <w:color w:val="auto"/>
                <w:szCs w:val="21"/>
                <w:highlight w:val="none"/>
              </w:rPr>
            </w:pPr>
            <w:r>
              <w:rPr>
                <w:rFonts w:hint="eastAsia" w:ascii="宋体" w:hAnsi="宋体" w:cs="宋体"/>
                <w:color w:val="auto"/>
                <w:szCs w:val="21"/>
                <w:highlight w:val="none"/>
              </w:rPr>
              <w:t>中国人寿财产保险股份有限公司台州中心支公司</w:t>
            </w:r>
          </w:p>
        </w:tc>
        <w:tc>
          <w:tcPr>
            <w:tcW w:w="2288" w:type="dxa"/>
          </w:tcPr>
          <w:p w14:paraId="31A043EB">
            <w:pPr>
              <w:jc w:val="left"/>
              <w:rPr>
                <w:rFonts w:ascii="宋体" w:hAnsi="宋体" w:cs="宋体"/>
                <w:color w:val="auto"/>
                <w:szCs w:val="21"/>
                <w:highlight w:val="none"/>
              </w:rPr>
            </w:pPr>
            <w:r>
              <w:rPr>
                <w:rFonts w:hint="eastAsia" w:ascii="宋体" w:hAnsi="宋体" w:cs="宋体"/>
                <w:color w:val="auto"/>
                <w:szCs w:val="21"/>
                <w:highlight w:val="none"/>
              </w:rPr>
              <w:t>年费率3%，最低保费500元</w:t>
            </w:r>
          </w:p>
        </w:tc>
        <w:tc>
          <w:tcPr>
            <w:tcW w:w="1287" w:type="dxa"/>
            <w:vAlign w:val="center"/>
          </w:tcPr>
          <w:p w14:paraId="6BA0F93E">
            <w:pPr>
              <w:jc w:val="center"/>
              <w:rPr>
                <w:rFonts w:ascii="宋体" w:hAnsi="宋体" w:cs="宋体"/>
                <w:color w:val="auto"/>
                <w:szCs w:val="21"/>
                <w:highlight w:val="none"/>
              </w:rPr>
            </w:pPr>
            <w:r>
              <w:rPr>
                <w:rFonts w:hint="eastAsia" w:ascii="宋体" w:hAnsi="宋体" w:cs="宋体"/>
                <w:color w:val="auto"/>
                <w:szCs w:val="21"/>
                <w:highlight w:val="none"/>
              </w:rPr>
              <w:t>徐凌</w:t>
            </w:r>
          </w:p>
        </w:tc>
        <w:tc>
          <w:tcPr>
            <w:tcW w:w="1600" w:type="dxa"/>
            <w:vAlign w:val="center"/>
          </w:tcPr>
          <w:p w14:paraId="74FC61C9">
            <w:pPr>
              <w:jc w:val="center"/>
              <w:rPr>
                <w:rFonts w:ascii="宋体" w:hAnsi="宋体" w:cs="宋体"/>
                <w:color w:val="auto"/>
                <w:szCs w:val="21"/>
                <w:highlight w:val="none"/>
              </w:rPr>
            </w:pPr>
            <w:r>
              <w:rPr>
                <w:rFonts w:hint="eastAsia" w:ascii="宋体" w:hAnsi="宋体" w:cs="宋体"/>
                <w:color w:val="auto"/>
                <w:szCs w:val="21"/>
                <w:highlight w:val="none"/>
              </w:rPr>
              <w:t>13905168070</w:t>
            </w:r>
          </w:p>
        </w:tc>
      </w:tr>
      <w:tr w14:paraId="461A6BB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3302E699">
            <w:pPr>
              <w:jc w:val="left"/>
              <w:rPr>
                <w:rFonts w:ascii="宋体" w:hAnsi="宋体" w:cs="宋体"/>
                <w:color w:val="auto"/>
                <w:szCs w:val="21"/>
                <w:highlight w:val="none"/>
              </w:rPr>
            </w:pPr>
            <w:r>
              <w:rPr>
                <w:rFonts w:hint="eastAsia" w:ascii="宋体" w:hAnsi="宋体" w:cs="宋体"/>
                <w:color w:val="auto"/>
                <w:szCs w:val="21"/>
                <w:highlight w:val="none"/>
              </w:rPr>
              <w:t>阳光保险台州中心支公司</w:t>
            </w:r>
          </w:p>
        </w:tc>
        <w:tc>
          <w:tcPr>
            <w:tcW w:w="2288" w:type="dxa"/>
          </w:tcPr>
          <w:p w14:paraId="40882885">
            <w:pPr>
              <w:jc w:val="left"/>
              <w:rPr>
                <w:rFonts w:ascii="宋体" w:hAnsi="宋体" w:cs="宋体"/>
                <w:color w:val="auto"/>
                <w:szCs w:val="21"/>
                <w:highlight w:val="none"/>
              </w:rPr>
            </w:pPr>
            <w:r>
              <w:rPr>
                <w:rFonts w:hint="eastAsia" w:ascii="宋体" w:hAnsi="宋体" w:cs="宋体"/>
                <w:color w:val="auto"/>
                <w:szCs w:val="21"/>
                <w:highlight w:val="none"/>
              </w:rPr>
              <w:t>年费率1%，最低保费500元</w:t>
            </w:r>
          </w:p>
        </w:tc>
        <w:tc>
          <w:tcPr>
            <w:tcW w:w="1287" w:type="dxa"/>
            <w:vAlign w:val="center"/>
          </w:tcPr>
          <w:p w14:paraId="5205CFD4">
            <w:pPr>
              <w:jc w:val="center"/>
              <w:rPr>
                <w:rFonts w:ascii="宋体" w:hAnsi="宋体" w:cs="宋体"/>
                <w:color w:val="auto"/>
                <w:szCs w:val="21"/>
                <w:highlight w:val="none"/>
              </w:rPr>
            </w:pPr>
            <w:r>
              <w:rPr>
                <w:rFonts w:hint="eastAsia" w:ascii="宋体" w:hAnsi="宋体" w:cs="宋体"/>
                <w:color w:val="auto"/>
                <w:szCs w:val="21"/>
                <w:highlight w:val="none"/>
              </w:rPr>
              <w:t>林高明</w:t>
            </w:r>
          </w:p>
        </w:tc>
        <w:tc>
          <w:tcPr>
            <w:tcW w:w="1600" w:type="dxa"/>
            <w:vAlign w:val="center"/>
          </w:tcPr>
          <w:p w14:paraId="5FA35611">
            <w:pPr>
              <w:jc w:val="center"/>
              <w:rPr>
                <w:rFonts w:ascii="宋体" w:hAnsi="宋体" w:cs="宋体"/>
                <w:color w:val="auto"/>
                <w:szCs w:val="21"/>
                <w:highlight w:val="none"/>
              </w:rPr>
            </w:pPr>
            <w:r>
              <w:rPr>
                <w:rFonts w:hint="eastAsia" w:ascii="宋体" w:hAnsi="宋体" w:cs="宋体"/>
                <w:color w:val="auto"/>
                <w:szCs w:val="21"/>
                <w:highlight w:val="none"/>
              </w:rPr>
              <w:t>15888682693</w:t>
            </w:r>
          </w:p>
        </w:tc>
      </w:tr>
      <w:tr w14:paraId="22FEB82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71453557">
            <w:pPr>
              <w:jc w:val="left"/>
              <w:rPr>
                <w:rFonts w:ascii="宋体" w:hAnsi="宋体" w:cs="宋体"/>
                <w:color w:val="auto"/>
                <w:szCs w:val="21"/>
                <w:highlight w:val="none"/>
              </w:rPr>
            </w:pPr>
            <w:r>
              <w:rPr>
                <w:rFonts w:hint="eastAsia" w:ascii="宋体" w:hAnsi="宋体" w:cs="宋体"/>
                <w:color w:val="auto"/>
                <w:szCs w:val="21"/>
                <w:highlight w:val="none"/>
              </w:rPr>
              <w:t>天安财产保险股份有限公司台州中心支公司</w:t>
            </w:r>
          </w:p>
        </w:tc>
        <w:tc>
          <w:tcPr>
            <w:tcW w:w="2288" w:type="dxa"/>
          </w:tcPr>
          <w:p w14:paraId="615785CE">
            <w:pPr>
              <w:jc w:val="left"/>
              <w:rPr>
                <w:rFonts w:ascii="宋体" w:hAnsi="宋体" w:cs="宋体"/>
                <w:color w:val="auto"/>
                <w:szCs w:val="21"/>
                <w:highlight w:val="none"/>
              </w:rPr>
            </w:pPr>
            <w:r>
              <w:rPr>
                <w:rFonts w:hint="eastAsia" w:ascii="宋体" w:hAnsi="宋体" w:cs="宋体"/>
                <w:color w:val="auto"/>
                <w:szCs w:val="21"/>
                <w:highlight w:val="none"/>
              </w:rPr>
              <w:t>年费率1%-2%，最低保费500元</w:t>
            </w:r>
          </w:p>
        </w:tc>
        <w:tc>
          <w:tcPr>
            <w:tcW w:w="1287" w:type="dxa"/>
            <w:vAlign w:val="center"/>
          </w:tcPr>
          <w:p w14:paraId="643D7EBC">
            <w:pPr>
              <w:jc w:val="center"/>
              <w:rPr>
                <w:rFonts w:ascii="宋体" w:hAnsi="宋体" w:cs="宋体"/>
                <w:color w:val="auto"/>
                <w:szCs w:val="21"/>
                <w:highlight w:val="none"/>
              </w:rPr>
            </w:pPr>
            <w:r>
              <w:rPr>
                <w:rFonts w:hint="eastAsia" w:ascii="宋体" w:hAnsi="宋体" w:cs="宋体"/>
                <w:color w:val="auto"/>
                <w:szCs w:val="21"/>
                <w:highlight w:val="none"/>
              </w:rPr>
              <w:t>罗赛</w:t>
            </w:r>
          </w:p>
        </w:tc>
        <w:tc>
          <w:tcPr>
            <w:tcW w:w="1600" w:type="dxa"/>
            <w:vAlign w:val="center"/>
          </w:tcPr>
          <w:p w14:paraId="1DF7E842">
            <w:pPr>
              <w:jc w:val="center"/>
              <w:rPr>
                <w:rFonts w:ascii="宋体" w:hAnsi="宋体" w:cs="宋体"/>
                <w:color w:val="auto"/>
                <w:szCs w:val="21"/>
                <w:highlight w:val="none"/>
              </w:rPr>
            </w:pPr>
            <w:r>
              <w:rPr>
                <w:rFonts w:hint="eastAsia" w:ascii="宋体" w:hAnsi="宋体" w:cs="宋体"/>
                <w:color w:val="auto"/>
                <w:szCs w:val="21"/>
                <w:highlight w:val="none"/>
              </w:rPr>
              <w:t>13736605643</w:t>
            </w:r>
          </w:p>
        </w:tc>
      </w:tr>
    </w:tbl>
    <w:p w14:paraId="70B7F404">
      <w:pPr>
        <w:spacing w:line="360" w:lineRule="auto"/>
        <w:rPr>
          <w:rFonts w:ascii="宋体" w:hAnsi="宋体" w:cs="宋体"/>
          <w:color w:val="auto"/>
          <w:highlight w:val="none"/>
        </w:rPr>
      </w:pPr>
      <w:r>
        <w:rPr>
          <w:rFonts w:hint="eastAsia" w:ascii="宋体" w:hAnsi="宋体" w:cs="宋体"/>
          <w:color w:val="auto"/>
          <w:szCs w:val="21"/>
          <w:highlight w:val="none"/>
        </w:rPr>
        <w:t>（3）中标供应商如有融资需求，可使用以下银行的政采贷服务。</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69"/>
        <w:gridCol w:w="1334"/>
        <w:gridCol w:w="1688"/>
        <w:gridCol w:w="2131"/>
      </w:tblGrid>
      <w:tr w14:paraId="09F5A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77FC867A">
            <w:pPr>
              <w:jc w:val="center"/>
              <w:rPr>
                <w:rFonts w:ascii="宋体" w:hAnsi="宋体" w:cs="宋体"/>
                <w:color w:val="auto"/>
                <w:szCs w:val="21"/>
                <w:highlight w:val="none"/>
              </w:rPr>
            </w:pPr>
            <w:r>
              <w:rPr>
                <w:rFonts w:hint="eastAsia" w:ascii="宋体" w:hAnsi="宋体" w:cs="宋体"/>
                <w:color w:val="auto"/>
                <w:szCs w:val="21"/>
                <w:highlight w:val="none"/>
              </w:rPr>
              <w:t>银行</w:t>
            </w:r>
          </w:p>
        </w:tc>
        <w:tc>
          <w:tcPr>
            <w:tcW w:w="1334" w:type="dxa"/>
            <w:vAlign w:val="center"/>
          </w:tcPr>
          <w:p w14:paraId="52054E1E">
            <w:pPr>
              <w:jc w:val="center"/>
              <w:rPr>
                <w:rFonts w:ascii="宋体" w:hAnsi="宋体" w:cs="宋体"/>
                <w:color w:val="auto"/>
                <w:szCs w:val="21"/>
                <w:highlight w:val="none"/>
              </w:rPr>
            </w:pPr>
            <w:r>
              <w:rPr>
                <w:rFonts w:hint="eastAsia" w:ascii="宋体" w:hAnsi="宋体" w:cs="宋体"/>
                <w:color w:val="auto"/>
                <w:szCs w:val="21"/>
                <w:highlight w:val="none"/>
              </w:rPr>
              <w:t>贷款年利率</w:t>
            </w:r>
          </w:p>
        </w:tc>
        <w:tc>
          <w:tcPr>
            <w:tcW w:w="1688" w:type="dxa"/>
            <w:vAlign w:val="center"/>
          </w:tcPr>
          <w:p w14:paraId="304AED82">
            <w:pPr>
              <w:jc w:val="center"/>
              <w:rPr>
                <w:rFonts w:ascii="宋体" w:hAnsi="宋体" w:cs="宋体"/>
                <w:color w:val="auto"/>
                <w:szCs w:val="21"/>
                <w:highlight w:val="none"/>
              </w:rPr>
            </w:pPr>
            <w:r>
              <w:rPr>
                <w:rFonts w:hint="eastAsia" w:ascii="宋体" w:hAnsi="宋体" w:cs="宋体"/>
                <w:color w:val="auto"/>
                <w:szCs w:val="21"/>
                <w:highlight w:val="none"/>
              </w:rPr>
              <w:t>联系人</w:t>
            </w:r>
          </w:p>
        </w:tc>
        <w:tc>
          <w:tcPr>
            <w:tcW w:w="2131" w:type="dxa"/>
            <w:vAlign w:val="center"/>
          </w:tcPr>
          <w:p w14:paraId="6AC252A4">
            <w:pPr>
              <w:jc w:val="center"/>
              <w:rPr>
                <w:rFonts w:ascii="宋体" w:hAnsi="宋体" w:cs="宋体"/>
                <w:color w:val="auto"/>
                <w:szCs w:val="21"/>
                <w:highlight w:val="none"/>
              </w:rPr>
            </w:pPr>
            <w:r>
              <w:rPr>
                <w:rFonts w:hint="eastAsia" w:ascii="宋体" w:hAnsi="宋体" w:cs="宋体"/>
                <w:color w:val="auto"/>
                <w:szCs w:val="21"/>
                <w:highlight w:val="none"/>
              </w:rPr>
              <w:t>联系电话</w:t>
            </w:r>
          </w:p>
        </w:tc>
      </w:tr>
      <w:tr w14:paraId="3B73C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5B1B8F32">
            <w:pPr>
              <w:jc w:val="center"/>
              <w:rPr>
                <w:rFonts w:ascii="宋体" w:hAnsi="宋体" w:cs="宋体"/>
                <w:color w:val="auto"/>
                <w:szCs w:val="21"/>
                <w:highlight w:val="none"/>
              </w:rPr>
            </w:pPr>
            <w:r>
              <w:rPr>
                <w:rFonts w:hint="eastAsia" w:ascii="宋体" w:hAnsi="宋体" w:cs="宋体"/>
                <w:color w:val="auto"/>
                <w:szCs w:val="21"/>
                <w:highlight w:val="none"/>
              </w:rPr>
              <w:t>中国工商银行</w:t>
            </w:r>
          </w:p>
        </w:tc>
        <w:tc>
          <w:tcPr>
            <w:tcW w:w="1334" w:type="dxa"/>
            <w:vAlign w:val="center"/>
          </w:tcPr>
          <w:p w14:paraId="6C58F965">
            <w:pPr>
              <w:jc w:val="center"/>
              <w:rPr>
                <w:rFonts w:ascii="宋体" w:hAnsi="宋体" w:cs="宋体"/>
                <w:color w:val="auto"/>
                <w:szCs w:val="21"/>
                <w:highlight w:val="none"/>
              </w:rPr>
            </w:pPr>
            <w:r>
              <w:rPr>
                <w:rFonts w:hint="eastAsia" w:ascii="宋体" w:hAnsi="宋体" w:cs="宋体"/>
                <w:color w:val="auto"/>
                <w:szCs w:val="21"/>
                <w:highlight w:val="none"/>
              </w:rPr>
              <w:t>3.8%起</w:t>
            </w:r>
          </w:p>
        </w:tc>
        <w:tc>
          <w:tcPr>
            <w:tcW w:w="1688" w:type="dxa"/>
            <w:vAlign w:val="center"/>
          </w:tcPr>
          <w:p w14:paraId="1C852BE9">
            <w:pPr>
              <w:jc w:val="center"/>
              <w:rPr>
                <w:rFonts w:ascii="宋体" w:hAnsi="宋体" w:cs="宋体"/>
                <w:color w:val="auto"/>
                <w:szCs w:val="21"/>
                <w:highlight w:val="none"/>
              </w:rPr>
            </w:pPr>
            <w:r>
              <w:rPr>
                <w:rFonts w:hint="eastAsia" w:ascii="宋体" w:hAnsi="宋体" w:cs="宋体"/>
                <w:color w:val="auto"/>
                <w:szCs w:val="21"/>
                <w:highlight w:val="none"/>
              </w:rPr>
              <w:t>卢嘉诚</w:t>
            </w:r>
          </w:p>
        </w:tc>
        <w:tc>
          <w:tcPr>
            <w:tcW w:w="2131" w:type="dxa"/>
            <w:vAlign w:val="center"/>
          </w:tcPr>
          <w:p w14:paraId="2729A172">
            <w:pPr>
              <w:jc w:val="center"/>
              <w:rPr>
                <w:rFonts w:ascii="宋体" w:hAnsi="宋体" w:cs="宋体"/>
                <w:color w:val="auto"/>
                <w:szCs w:val="21"/>
                <w:highlight w:val="none"/>
              </w:rPr>
            </w:pPr>
            <w:r>
              <w:rPr>
                <w:rFonts w:hint="eastAsia" w:ascii="宋体" w:hAnsi="宋体" w:cs="宋体"/>
                <w:color w:val="auto"/>
                <w:szCs w:val="21"/>
                <w:highlight w:val="none"/>
              </w:rPr>
              <w:t>88588246  13867658508</w:t>
            </w:r>
          </w:p>
        </w:tc>
      </w:tr>
      <w:tr w14:paraId="78D34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58EFC99E">
            <w:pPr>
              <w:jc w:val="center"/>
              <w:rPr>
                <w:rFonts w:ascii="宋体" w:hAnsi="宋体" w:cs="宋体"/>
                <w:color w:val="auto"/>
                <w:szCs w:val="21"/>
                <w:highlight w:val="none"/>
              </w:rPr>
            </w:pPr>
            <w:r>
              <w:rPr>
                <w:rFonts w:hint="eastAsia" w:ascii="宋体" w:hAnsi="宋体" w:cs="宋体"/>
                <w:color w:val="auto"/>
                <w:szCs w:val="21"/>
                <w:highlight w:val="none"/>
              </w:rPr>
              <w:t>中国农业银行</w:t>
            </w:r>
          </w:p>
        </w:tc>
        <w:tc>
          <w:tcPr>
            <w:tcW w:w="1334" w:type="dxa"/>
            <w:vAlign w:val="center"/>
          </w:tcPr>
          <w:p w14:paraId="3FBBFA0B">
            <w:pPr>
              <w:jc w:val="center"/>
              <w:rPr>
                <w:rFonts w:ascii="宋体" w:hAnsi="宋体" w:cs="宋体"/>
                <w:color w:val="auto"/>
                <w:szCs w:val="21"/>
                <w:highlight w:val="none"/>
              </w:rPr>
            </w:pPr>
            <w:r>
              <w:rPr>
                <w:rFonts w:hint="eastAsia" w:ascii="宋体" w:hAnsi="宋体" w:cs="宋体"/>
                <w:color w:val="auto"/>
                <w:szCs w:val="21"/>
                <w:highlight w:val="none"/>
              </w:rPr>
              <w:t>3.8%起</w:t>
            </w:r>
          </w:p>
        </w:tc>
        <w:tc>
          <w:tcPr>
            <w:tcW w:w="1688" w:type="dxa"/>
            <w:vAlign w:val="center"/>
          </w:tcPr>
          <w:p w14:paraId="05AD0086">
            <w:pPr>
              <w:jc w:val="center"/>
              <w:rPr>
                <w:rFonts w:ascii="宋体" w:hAnsi="宋体" w:cs="宋体"/>
                <w:color w:val="auto"/>
                <w:szCs w:val="21"/>
                <w:highlight w:val="none"/>
              </w:rPr>
            </w:pPr>
            <w:r>
              <w:rPr>
                <w:rFonts w:hint="eastAsia" w:ascii="宋体" w:hAnsi="宋体" w:cs="宋体"/>
                <w:color w:val="auto"/>
                <w:szCs w:val="21"/>
                <w:highlight w:val="none"/>
              </w:rPr>
              <w:t>龚盛</w:t>
            </w:r>
          </w:p>
        </w:tc>
        <w:tc>
          <w:tcPr>
            <w:tcW w:w="2131" w:type="dxa"/>
            <w:vAlign w:val="center"/>
          </w:tcPr>
          <w:p w14:paraId="79A2D6E3">
            <w:pPr>
              <w:jc w:val="center"/>
              <w:rPr>
                <w:rFonts w:ascii="宋体" w:hAnsi="宋体" w:cs="宋体"/>
                <w:color w:val="auto"/>
                <w:szCs w:val="21"/>
                <w:highlight w:val="none"/>
              </w:rPr>
            </w:pPr>
            <w:r>
              <w:rPr>
                <w:rFonts w:hint="eastAsia" w:ascii="宋体" w:hAnsi="宋体" w:cs="宋体"/>
                <w:color w:val="auto"/>
                <w:szCs w:val="21"/>
                <w:highlight w:val="none"/>
              </w:rPr>
              <w:t>15858682216</w:t>
            </w:r>
          </w:p>
        </w:tc>
      </w:tr>
      <w:tr w14:paraId="40FF1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41A9D40E">
            <w:pPr>
              <w:jc w:val="center"/>
              <w:rPr>
                <w:rFonts w:ascii="宋体" w:hAnsi="宋体" w:cs="宋体"/>
                <w:color w:val="auto"/>
                <w:szCs w:val="21"/>
                <w:highlight w:val="none"/>
              </w:rPr>
            </w:pPr>
            <w:r>
              <w:rPr>
                <w:rFonts w:hint="eastAsia" w:ascii="宋体" w:hAnsi="宋体" w:cs="宋体"/>
                <w:color w:val="auto"/>
                <w:szCs w:val="21"/>
                <w:highlight w:val="none"/>
              </w:rPr>
              <w:t>中国建设银行</w:t>
            </w:r>
          </w:p>
        </w:tc>
        <w:tc>
          <w:tcPr>
            <w:tcW w:w="1334" w:type="dxa"/>
            <w:vAlign w:val="center"/>
          </w:tcPr>
          <w:p w14:paraId="679A55B4">
            <w:pPr>
              <w:jc w:val="center"/>
              <w:rPr>
                <w:rFonts w:ascii="宋体" w:hAnsi="宋体" w:cs="宋体"/>
                <w:color w:val="auto"/>
                <w:szCs w:val="21"/>
                <w:highlight w:val="none"/>
              </w:rPr>
            </w:pPr>
            <w:r>
              <w:rPr>
                <w:rFonts w:hint="eastAsia" w:ascii="宋体" w:hAnsi="宋体" w:cs="宋体"/>
                <w:color w:val="auto"/>
                <w:szCs w:val="21"/>
                <w:highlight w:val="none"/>
              </w:rPr>
              <w:t>3.8%起</w:t>
            </w:r>
          </w:p>
        </w:tc>
        <w:tc>
          <w:tcPr>
            <w:tcW w:w="1688" w:type="dxa"/>
            <w:vAlign w:val="center"/>
          </w:tcPr>
          <w:p w14:paraId="5BC48B00">
            <w:pPr>
              <w:jc w:val="center"/>
              <w:rPr>
                <w:rFonts w:ascii="宋体" w:hAnsi="宋体" w:cs="宋体"/>
                <w:color w:val="auto"/>
                <w:szCs w:val="21"/>
                <w:highlight w:val="none"/>
              </w:rPr>
            </w:pPr>
            <w:r>
              <w:rPr>
                <w:rFonts w:hint="eastAsia" w:ascii="宋体" w:hAnsi="宋体" w:cs="宋体"/>
                <w:color w:val="auto"/>
                <w:szCs w:val="21"/>
                <w:highlight w:val="none"/>
              </w:rPr>
              <w:t>梅晶晶</w:t>
            </w:r>
          </w:p>
        </w:tc>
        <w:tc>
          <w:tcPr>
            <w:tcW w:w="2131" w:type="dxa"/>
            <w:vAlign w:val="center"/>
          </w:tcPr>
          <w:p w14:paraId="4AEE6BFC">
            <w:pPr>
              <w:jc w:val="center"/>
              <w:rPr>
                <w:rFonts w:ascii="宋体" w:hAnsi="宋体" w:cs="宋体"/>
                <w:color w:val="auto"/>
                <w:szCs w:val="21"/>
                <w:highlight w:val="none"/>
              </w:rPr>
            </w:pPr>
            <w:r>
              <w:rPr>
                <w:rFonts w:hint="eastAsia" w:ascii="宋体" w:hAnsi="宋体" w:cs="宋体"/>
                <w:color w:val="auto"/>
                <w:szCs w:val="21"/>
                <w:highlight w:val="none"/>
              </w:rPr>
              <w:t>88525339</w:t>
            </w:r>
          </w:p>
          <w:p w14:paraId="63F3A707">
            <w:pPr>
              <w:jc w:val="center"/>
              <w:rPr>
                <w:rFonts w:ascii="宋体" w:hAnsi="宋体" w:cs="宋体"/>
                <w:color w:val="auto"/>
                <w:szCs w:val="21"/>
                <w:highlight w:val="none"/>
              </w:rPr>
            </w:pPr>
            <w:r>
              <w:rPr>
                <w:rFonts w:hint="eastAsia" w:ascii="宋体" w:hAnsi="宋体" w:cs="宋体"/>
                <w:color w:val="auto"/>
                <w:szCs w:val="21"/>
                <w:highlight w:val="none"/>
              </w:rPr>
              <w:t>13736585303</w:t>
            </w:r>
          </w:p>
        </w:tc>
      </w:tr>
      <w:tr w14:paraId="3625D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5E5455EE">
            <w:pPr>
              <w:jc w:val="center"/>
              <w:rPr>
                <w:rFonts w:ascii="宋体" w:hAnsi="宋体" w:cs="宋体"/>
                <w:color w:val="auto"/>
                <w:szCs w:val="21"/>
                <w:highlight w:val="none"/>
              </w:rPr>
            </w:pPr>
            <w:r>
              <w:rPr>
                <w:rFonts w:hint="eastAsia" w:ascii="宋体" w:hAnsi="宋体" w:cs="宋体"/>
                <w:color w:val="auto"/>
                <w:szCs w:val="21"/>
                <w:highlight w:val="none"/>
              </w:rPr>
              <w:t>中国银行</w:t>
            </w:r>
          </w:p>
        </w:tc>
        <w:tc>
          <w:tcPr>
            <w:tcW w:w="1334" w:type="dxa"/>
            <w:vAlign w:val="center"/>
          </w:tcPr>
          <w:p w14:paraId="6E0DC572">
            <w:pPr>
              <w:jc w:val="center"/>
              <w:rPr>
                <w:rFonts w:ascii="宋体" w:hAnsi="宋体" w:cs="宋体"/>
                <w:color w:val="auto"/>
                <w:szCs w:val="21"/>
                <w:highlight w:val="none"/>
              </w:rPr>
            </w:pPr>
            <w:r>
              <w:rPr>
                <w:rFonts w:hint="eastAsia" w:ascii="宋体" w:hAnsi="宋体" w:cs="宋体"/>
                <w:color w:val="auto"/>
                <w:szCs w:val="21"/>
                <w:highlight w:val="none"/>
              </w:rPr>
              <w:t>3.75%起</w:t>
            </w:r>
          </w:p>
        </w:tc>
        <w:tc>
          <w:tcPr>
            <w:tcW w:w="1688" w:type="dxa"/>
            <w:vAlign w:val="center"/>
          </w:tcPr>
          <w:p w14:paraId="33CD6795">
            <w:pPr>
              <w:jc w:val="center"/>
              <w:rPr>
                <w:rFonts w:ascii="宋体" w:hAnsi="宋体" w:cs="宋体"/>
                <w:color w:val="auto"/>
                <w:szCs w:val="21"/>
                <w:highlight w:val="none"/>
              </w:rPr>
            </w:pPr>
            <w:r>
              <w:rPr>
                <w:rFonts w:hint="eastAsia" w:ascii="宋体" w:hAnsi="宋体" w:cs="宋体"/>
                <w:color w:val="auto"/>
                <w:szCs w:val="21"/>
                <w:highlight w:val="none"/>
              </w:rPr>
              <w:t>王海</w:t>
            </w:r>
          </w:p>
        </w:tc>
        <w:tc>
          <w:tcPr>
            <w:tcW w:w="2131" w:type="dxa"/>
            <w:vAlign w:val="center"/>
          </w:tcPr>
          <w:p w14:paraId="7F1F55A8">
            <w:pPr>
              <w:jc w:val="center"/>
              <w:rPr>
                <w:rFonts w:ascii="宋体" w:hAnsi="宋体" w:cs="宋体"/>
                <w:color w:val="auto"/>
                <w:szCs w:val="21"/>
                <w:highlight w:val="none"/>
              </w:rPr>
            </w:pPr>
            <w:r>
              <w:rPr>
                <w:rFonts w:hint="eastAsia" w:ascii="宋体" w:hAnsi="宋体" w:cs="宋体"/>
                <w:color w:val="auto"/>
                <w:szCs w:val="21"/>
                <w:highlight w:val="none"/>
              </w:rPr>
              <w:t>13857677798</w:t>
            </w:r>
          </w:p>
        </w:tc>
      </w:tr>
      <w:tr w14:paraId="158F2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7BACF91E">
            <w:pPr>
              <w:jc w:val="center"/>
              <w:rPr>
                <w:rFonts w:ascii="宋体" w:hAnsi="宋体" w:cs="宋体"/>
                <w:color w:val="auto"/>
                <w:szCs w:val="21"/>
                <w:highlight w:val="none"/>
              </w:rPr>
            </w:pPr>
            <w:r>
              <w:rPr>
                <w:rFonts w:hint="eastAsia" w:ascii="宋体" w:hAnsi="宋体" w:cs="宋体"/>
                <w:color w:val="auto"/>
                <w:szCs w:val="21"/>
                <w:highlight w:val="none"/>
              </w:rPr>
              <w:t>浦发银行台州分行</w:t>
            </w:r>
          </w:p>
        </w:tc>
        <w:tc>
          <w:tcPr>
            <w:tcW w:w="1334" w:type="dxa"/>
            <w:vAlign w:val="center"/>
          </w:tcPr>
          <w:p w14:paraId="3AC50426">
            <w:pPr>
              <w:jc w:val="center"/>
              <w:rPr>
                <w:rFonts w:ascii="宋体" w:hAnsi="宋体" w:cs="宋体"/>
                <w:color w:val="auto"/>
                <w:szCs w:val="21"/>
                <w:highlight w:val="none"/>
              </w:rPr>
            </w:pPr>
            <w:r>
              <w:rPr>
                <w:rFonts w:hint="eastAsia" w:ascii="宋体" w:hAnsi="宋体" w:cs="宋体"/>
                <w:color w:val="auto"/>
                <w:szCs w:val="21"/>
                <w:highlight w:val="none"/>
              </w:rPr>
              <w:t>4.05%起</w:t>
            </w:r>
          </w:p>
        </w:tc>
        <w:tc>
          <w:tcPr>
            <w:tcW w:w="1688" w:type="dxa"/>
            <w:vAlign w:val="center"/>
          </w:tcPr>
          <w:p w14:paraId="0D8C1C22">
            <w:pPr>
              <w:jc w:val="center"/>
              <w:rPr>
                <w:rFonts w:ascii="宋体" w:hAnsi="宋体" w:cs="宋体"/>
                <w:color w:val="auto"/>
                <w:szCs w:val="21"/>
                <w:highlight w:val="none"/>
              </w:rPr>
            </w:pPr>
            <w:r>
              <w:rPr>
                <w:rFonts w:hint="eastAsia" w:ascii="宋体" w:hAnsi="宋体" w:cs="宋体"/>
                <w:color w:val="auto"/>
                <w:szCs w:val="21"/>
                <w:highlight w:val="none"/>
              </w:rPr>
              <w:t>王渊</w:t>
            </w:r>
          </w:p>
        </w:tc>
        <w:tc>
          <w:tcPr>
            <w:tcW w:w="2131" w:type="dxa"/>
            <w:vAlign w:val="center"/>
          </w:tcPr>
          <w:p w14:paraId="73E8DE96">
            <w:pPr>
              <w:jc w:val="center"/>
              <w:rPr>
                <w:rFonts w:ascii="宋体" w:hAnsi="宋体" w:cs="宋体"/>
                <w:color w:val="auto"/>
                <w:szCs w:val="21"/>
                <w:highlight w:val="none"/>
              </w:rPr>
            </w:pPr>
            <w:r>
              <w:rPr>
                <w:rFonts w:hint="eastAsia" w:ascii="宋体" w:hAnsi="宋体" w:cs="宋体"/>
                <w:color w:val="auto"/>
                <w:szCs w:val="21"/>
                <w:highlight w:val="none"/>
              </w:rPr>
              <w:t>13616676319</w:t>
            </w:r>
          </w:p>
        </w:tc>
      </w:tr>
      <w:tr w14:paraId="2BB2A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243D2190">
            <w:pPr>
              <w:jc w:val="center"/>
              <w:rPr>
                <w:rFonts w:ascii="宋体" w:hAnsi="宋体" w:cs="宋体"/>
                <w:color w:val="auto"/>
                <w:szCs w:val="21"/>
                <w:highlight w:val="none"/>
              </w:rPr>
            </w:pPr>
            <w:r>
              <w:rPr>
                <w:rFonts w:hint="eastAsia" w:ascii="宋体" w:hAnsi="宋体" w:cs="宋体"/>
                <w:color w:val="auto"/>
                <w:szCs w:val="21"/>
                <w:highlight w:val="none"/>
              </w:rPr>
              <w:t>浦发银行椒江分行</w:t>
            </w:r>
          </w:p>
        </w:tc>
        <w:tc>
          <w:tcPr>
            <w:tcW w:w="1334" w:type="dxa"/>
            <w:vAlign w:val="center"/>
          </w:tcPr>
          <w:p w14:paraId="3203BE1C">
            <w:pPr>
              <w:jc w:val="center"/>
              <w:rPr>
                <w:rFonts w:ascii="宋体" w:hAnsi="宋体" w:cs="宋体"/>
                <w:color w:val="auto"/>
                <w:szCs w:val="21"/>
                <w:highlight w:val="none"/>
              </w:rPr>
            </w:pPr>
            <w:r>
              <w:rPr>
                <w:rFonts w:hint="eastAsia" w:ascii="宋体" w:hAnsi="宋体" w:cs="宋体"/>
                <w:color w:val="auto"/>
                <w:szCs w:val="21"/>
                <w:highlight w:val="none"/>
              </w:rPr>
              <w:t>4.05%起</w:t>
            </w:r>
          </w:p>
        </w:tc>
        <w:tc>
          <w:tcPr>
            <w:tcW w:w="1688" w:type="dxa"/>
            <w:vAlign w:val="center"/>
          </w:tcPr>
          <w:p w14:paraId="46A91D0C">
            <w:pPr>
              <w:jc w:val="center"/>
              <w:rPr>
                <w:rFonts w:ascii="宋体" w:hAnsi="宋体" w:cs="宋体"/>
                <w:color w:val="auto"/>
                <w:szCs w:val="21"/>
                <w:highlight w:val="none"/>
              </w:rPr>
            </w:pPr>
            <w:r>
              <w:rPr>
                <w:rFonts w:hint="eastAsia" w:ascii="宋体" w:hAnsi="宋体" w:cs="宋体"/>
                <w:color w:val="auto"/>
                <w:szCs w:val="21"/>
                <w:highlight w:val="none"/>
              </w:rPr>
              <w:t>孙瑞华</w:t>
            </w:r>
          </w:p>
        </w:tc>
        <w:tc>
          <w:tcPr>
            <w:tcW w:w="2131" w:type="dxa"/>
            <w:vAlign w:val="center"/>
          </w:tcPr>
          <w:p w14:paraId="5F9DCE79">
            <w:pPr>
              <w:jc w:val="center"/>
              <w:rPr>
                <w:rFonts w:ascii="宋体" w:hAnsi="宋体" w:cs="宋体"/>
                <w:color w:val="auto"/>
                <w:szCs w:val="21"/>
                <w:highlight w:val="none"/>
              </w:rPr>
            </w:pPr>
            <w:r>
              <w:rPr>
                <w:rFonts w:hint="eastAsia" w:ascii="宋体" w:hAnsi="宋体" w:cs="宋体"/>
                <w:color w:val="auto"/>
                <w:szCs w:val="21"/>
                <w:highlight w:val="none"/>
              </w:rPr>
              <w:t>13857688081</w:t>
            </w:r>
          </w:p>
        </w:tc>
      </w:tr>
      <w:tr w14:paraId="74383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739C6097">
            <w:pPr>
              <w:jc w:val="center"/>
              <w:rPr>
                <w:rFonts w:ascii="宋体" w:hAnsi="宋体" w:cs="宋体"/>
                <w:color w:val="auto"/>
                <w:szCs w:val="21"/>
                <w:highlight w:val="none"/>
              </w:rPr>
            </w:pPr>
            <w:r>
              <w:rPr>
                <w:rFonts w:hint="eastAsia" w:ascii="宋体" w:hAnsi="宋体" w:cs="宋体"/>
                <w:color w:val="auto"/>
                <w:szCs w:val="21"/>
                <w:highlight w:val="none"/>
              </w:rPr>
              <w:t>交通银行台州分行</w:t>
            </w:r>
          </w:p>
        </w:tc>
        <w:tc>
          <w:tcPr>
            <w:tcW w:w="1334" w:type="dxa"/>
            <w:vAlign w:val="center"/>
          </w:tcPr>
          <w:p w14:paraId="3DEB3C2C">
            <w:pPr>
              <w:jc w:val="center"/>
              <w:rPr>
                <w:rFonts w:ascii="宋体" w:hAnsi="宋体" w:cs="宋体"/>
                <w:color w:val="auto"/>
                <w:szCs w:val="21"/>
                <w:highlight w:val="none"/>
              </w:rPr>
            </w:pPr>
            <w:r>
              <w:rPr>
                <w:rFonts w:hint="eastAsia" w:ascii="宋体" w:hAnsi="宋体" w:cs="宋体"/>
                <w:color w:val="auto"/>
                <w:szCs w:val="21"/>
                <w:highlight w:val="none"/>
              </w:rPr>
              <w:t>3.75%起</w:t>
            </w:r>
          </w:p>
        </w:tc>
        <w:tc>
          <w:tcPr>
            <w:tcW w:w="1688" w:type="dxa"/>
            <w:vAlign w:val="center"/>
          </w:tcPr>
          <w:p w14:paraId="725027A0">
            <w:pPr>
              <w:jc w:val="center"/>
              <w:rPr>
                <w:rFonts w:ascii="宋体" w:hAnsi="宋体" w:cs="宋体"/>
                <w:color w:val="auto"/>
                <w:szCs w:val="21"/>
                <w:highlight w:val="none"/>
              </w:rPr>
            </w:pPr>
            <w:r>
              <w:rPr>
                <w:rFonts w:hint="eastAsia" w:ascii="宋体" w:hAnsi="宋体" w:cs="宋体"/>
                <w:color w:val="auto"/>
                <w:szCs w:val="21"/>
                <w:highlight w:val="none"/>
              </w:rPr>
              <w:t>周翔宇</w:t>
            </w:r>
          </w:p>
        </w:tc>
        <w:tc>
          <w:tcPr>
            <w:tcW w:w="2131" w:type="dxa"/>
            <w:vAlign w:val="center"/>
          </w:tcPr>
          <w:p w14:paraId="344A8BC5">
            <w:pPr>
              <w:jc w:val="center"/>
              <w:rPr>
                <w:rFonts w:ascii="宋体" w:hAnsi="宋体" w:cs="宋体"/>
                <w:color w:val="auto"/>
                <w:szCs w:val="21"/>
                <w:highlight w:val="none"/>
              </w:rPr>
            </w:pPr>
            <w:r>
              <w:rPr>
                <w:rFonts w:hint="eastAsia" w:ascii="宋体" w:hAnsi="宋体" w:cs="宋体"/>
                <w:color w:val="auto"/>
                <w:szCs w:val="21"/>
                <w:highlight w:val="none"/>
              </w:rPr>
              <w:t>13867697018</w:t>
            </w:r>
          </w:p>
        </w:tc>
      </w:tr>
      <w:tr w14:paraId="694AF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7B7937FC">
            <w:pPr>
              <w:jc w:val="center"/>
              <w:rPr>
                <w:rFonts w:ascii="宋体" w:hAnsi="宋体" w:cs="宋体"/>
                <w:color w:val="auto"/>
                <w:szCs w:val="21"/>
                <w:highlight w:val="none"/>
              </w:rPr>
            </w:pPr>
            <w:r>
              <w:rPr>
                <w:rFonts w:hint="eastAsia" w:ascii="宋体" w:hAnsi="宋体" w:cs="宋体"/>
                <w:color w:val="auto"/>
                <w:szCs w:val="21"/>
                <w:highlight w:val="none"/>
              </w:rPr>
              <w:t>招商银行台州分行</w:t>
            </w:r>
          </w:p>
        </w:tc>
        <w:tc>
          <w:tcPr>
            <w:tcW w:w="1334" w:type="dxa"/>
            <w:vAlign w:val="center"/>
          </w:tcPr>
          <w:p w14:paraId="411CD2BE">
            <w:pPr>
              <w:jc w:val="center"/>
              <w:rPr>
                <w:rFonts w:ascii="宋体" w:hAnsi="宋体" w:cs="宋体"/>
                <w:color w:val="auto"/>
                <w:szCs w:val="21"/>
                <w:highlight w:val="none"/>
              </w:rPr>
            </w:pPr>
            <w:r>
              <w:rPr>
                <w:rFonts w:hint="eastAsia" w:ascii="宋体" w:hAnsi="宋体" w:cs="宋体"/>
                <w:color w:val="auto"/>
                <w:szCs w:val="21"/>
                <w:highlight w:val="none"/>
              </w:rPr>
              <w:t>4.32%起</w:t>
            </w:r>
          </w:p>
        </w:tc>
        <w:tc>
          <w:tcPr>
            <w:tcW w:w="1688" w:type="dxa"/>
            <w:vAlign w:val="center"/>
          </w:tcPr>
          <w:p w14:paraId="24BA1528">
            <w:pPr>
              <w:jc w:val="center"/>
              <w:rPr>
                <w:rFonts w:ascii="宋体" w:hAnsi="宋体" w:cs="宋体"/>
                <w:color w:val="auto"/>
                <w:szCs w:val="21"/>
                <w:highlight w:val="none"/>
              </w:rPr>
            </w:pPr>
            <w:r>
              <w:rPr>
                <w:rFonts w:hint="eastAsia" w:ascii="宋体" w:hAnsi="宋体" w:cs="宋体"/>
                <w:color w:val="auto"/>
                <w:szCs w:val="21"/>
                <w:highlight w:val="none"/>
              </w:rPr>
              <w:t>王海玲</w:t>
            </w:r>
          </w:p>
        </w:tc>
        <w:tc>
          <w:tcPr>
            <w:tcW w:w="2131" w:type="dxa"/>
            <w:vAlign w:val="center"/>
          </w:tcPr>
          <w:p w14:paraId="41CCF67F">
            <w:pPr>
              <w:jc w:val="center"/>
              <w:rPr>
                <w:rFonts w:ascii="宋体" w:hAnsi="宋体" w:cs="宋体"/>
                <w:color w:val="auto"/>
                <w:szCs w:val="21"/>
                <w:highlight w:val="none"/>
              </w:rPr>
            </w:pPr>
            <w:r>
              <w:rPr>
                <w:rFonts w:hint="eastAsia" w:ascii="宋体" w:hAnsi="宋体" w:cs="宋体"/>
                <w:color w:val="auto"/>
                <w:szCs w:val="21"/>
                <w:highlight w:val="none"/>
              </w:rPr>
              <w:t>13566413827</w:t>
            </w:r>
          </w:p>
        </w:tc>
      </w:tr>
      <w:tr w14:paraId="0CED4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0319F015">
            <w:pPr>
              <w:jc w:val="center"/>
              <w:rPr>
                <w:rFonts w:ascii="宋体" w:hAnsi="宋体" w:cs="宋体"/>
                <w:color w:val="auto"/>
                <w:szCs w:val="21"/>
                <w:highlight w:val="none"/>
              </w:rPr>
            </w:pPr>
            <w:r>
              <w:rPr>
                <w:rFonts w:hint="eastAsia" w:ascii="宋体" w:hAnsi="宋体" w:cs="宋体"/>
                <w:color w:val="auto"/>
                <w:szCs w:val="21"/>
                <w:highlight w:val="none"/>
              </w:rPr>
              <w:t>浙商银行台州分行</w:t>
            </w:r>
          </w:p>
        </w:tc>
        <w:tc>
          <w:tcPr>
            <w:tcW w:w="1334" w:type="dxa"/>
            <w:vAlign w:val="center"/>
          </w:tcPr>
          <w:p w14:paraId="5D6F147F">
            <w:pPr>
              <w:jc w:val="center"/>
              <w:rPr>
                <w:rFonts w:ascii="宋体" w:hAnsi="宋体" w:cs="宋体"/>
                <w:color w:val="auto"/>
                <w:szCs w:val="21"/>
                <w:highlight w:val="none"/>
              </w:rPr>
            </w:pPr>
            <w:r>
              <w:rPr>
                <w:rFonts w:hint="eastAsia" w:ascii="宋体" w:hAnsi="宋体" w:cs="宋体"/>
                <w:color w:val="auto"/>
                <w:szCs w:val="21"/>
                <w:highlight w:val="none"/>
              </w:rPr>
              <w:t>5.01%起</w:t>
            </w:r>
          </w:p>
        </w:tc>
        <w:tc>
          <w:tcPr>
            <w:tcW w:w="1688" w:type="dxa"/>
            <w:vAlign w:val="center"/>
          </w:tcPr>
          <w:p w14:paraId="3C0FB2F9">
            <w:pPr>
              <w:jc w:val="center"/>
              <w:rPr>
                <w:rFonts w:ascii="宋体" w:hAnsi="宋体" w:cs="宋体"/>
                <w:color w:val="auto"/>
                <w:szCs w:val="21"/>
                <w:highlight w:val="none"/>
              </w:rPr>
            </w:pPr>
            <w:r>
              <w:rPr>
                <w:rFonts w:hint="eastAsia" w:ascii="宋体" w:hAnsi="宋体" w:cs="宋体"/>
                <w:color w:val="auto"/>
                <w:szCs w:val="21"/>
                <w:highlight w:val="none"/>
              </w:rPr>
              <w:t>章涉漪</w:t>
            </w:r>
          </w:p>
        </w:tc>
        <w:tc>
          <w:tcPr>
            <w:tcW w:w="2131" w:type="dxa"/>
            <w:vAlign w:val="center"/>
          </w:tcPr>
          <w:p w14:paraId="7A22BA58">
            <w:pPr>
              <w:jc w:val="center"/>
              <w:rPr>
                <w:rFonts w:ascii="宋体" w:hAnsi="宋体" w:cs="宋体"/>
                <w:color w:val="auto"/>
                <w:szCs w:val="21"/>
                <w:highlight w:val="none"/>
              </w:rPr>
            </w:pPr>
            <w:r>
              <w:rPr>
                <w:rFonts w:hint="eastAsia" w:ascii="宋体" w:hAnsi="宋体" w:cs="宋体"/>
                <w:color w:val="auto"/>
                <w:szCs w:val="21"/>
                <w:highlight w:val="none"/>
              </w:rPr>
              <w:t>81880185</w:t>
            </w:r>
          </w:p>
          <w:p w14:paraId="50347F1C">
            <w:pPr>
              <w:jc w:val="center"/>
              <w:rPr>
                <w:rFonts w:ascii="宋体" w:hAnsi="宋体" w:cs="宋体"/>
                <w:color w:val="auto"/>
                <w:szCs w:val="21"/>
                <w:highlight w:val="none"/>
              </w:rPr>
            </w:pPr>
            <w:r>
              <w:rPr>
                <w:rFonts w:hint="eastAsia" w:ascii="宋体" w:hAnsi="宋体" w:cs="宋体"/>
                <w:color w:val="auto"/>
                <w:szCs w:val="21"/>
                <w:highlight w:val="none"/>
              </w:rPr>
              <w:t>13606681262</w:t>
            </w:r>
          </w:p>
        </w:tc>
      </w:tr>
      <w:tr w14:paraId="2FDD7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10E518A6">
            <w:pPr>
              <w:jc w:val="center"/>
              <w:rPr>
                <w:rFonts w:ascii="宋体" w:hAnsi="宋体" w:cs="宋体"/>
                <w:color w:val="auto"/>
                <w:szCs w:val="21"/>
                <w:highlight w:val="none"/>
              </w:rPr>
            </w:pPr>
            <w:r>
              <w:rPr>
                <w:rFonts w:hint="eastAsia" w:ascii="宋体" w:hAnsi="宋体" w:cs="宋体"/>
                <w:color w:val="auto"/>
                <w:szCs w:val="21"/>
                <w:highlight w:val="none"/>
              </w:rPr>
              <w:t>中信银行台州分行</w:t>
            </w:r>
          </w:p>
        </w:tc>
        <w:tc>
          <w:tcPr>
            <w:tcW w:w="1334" w:type="dxa"/>
            <w:vAlign w:val="center"/>
          </w:tcPr>
          <w:p w14:paraId="29224F2B">
            <w:pPr>
              <w:jc w:val="center"/>
              <w:rPr>
                <w:rFonts w:ascii="宋体" w:hAnsi="宋体" w:cs="宋体"/>
                <w:color w:val="auto"/>
                <w:szCs w:val="21"/>
                <w:highlight w:val="none"/>
              </w:rPr>
            </w:pPr>
            <w:r>
              <w:rPr>
                <w:rFonts w:hint="eastAsia" w:ascii="宋体" w:hAnsi="宋体" w:cs="宋体"/>
                <w:color w:val="auto"/>
                <w:szCs w:val="21"/>
                <w:highlight w:val="none"/>
              </w:rPr>
              <w:t>4.15%起</w:t>
            </w:r>
          </w:p>
        </w:tc>
        <w:tc>
          <w:tcPr>
            <w:tcW w:w="1688" w:type="dxa"/>
            <w:vAlign w:val="center"/>
          </w:tcPr>
          <w:p w14:paraId="1C6015FF">
            <w:pPr>
              <w:jc w:val="center"/>
              <w:rPr>
                <w:rFonts w:ascii="宋体" w:hAnsi="宋体" w:cs="宋体"/>
                <w:color w:val="auto"/>
                <w:szCs w:val="21"/>
                <w:highlight w:val="none"/>
              </w:rPr>
            </w:pPr>
            <w:r>
              <w:rPr>
                <w:rFonts w:hint="eastAsia" w:ascii="宋体" w:hAnsi="宋体" w:cs="宋体"/>
                <w:color w:val="auto"/>
                <w:szCs w:val="21"/>
                <w:highlight w:val="none"/>
              </w:rPr>
              <w:t>陈金园</w:t>
            </w:r>
          </w:p>
        </w:tc>
        <w:tc>
          <w:tcPr>
            <w:tcW w:w="2131" w:type="dxa"/>
            <w:vAlign w:val="center"/>
          </w:tcPr>
          <w:p w14:paraId="3948B65C">
            <w:pPr>
              <w:jc w:val="center"/>
              <w:rPr>
                <w:rFonts w:ascii="宋体" w:hAnsi="宋体" w:cs="宋体"/>
                <w:color w:val="auto"/>
                <w:szCs w:val="21"/>
                <w:highlight w:val="none"/>
              </w:rPr>
            </w:pPr>
            <w:r>
              <w:rPr>
                <w:rFonts w:hint="eastAsia" w:ascii="宋体" w:hAnsi="宋体" w:cs="宋体"/>
                <w:color w:val="auto"/>
                <w:szCs w:val="21"/>
                <w:highlight w:val="none"/>
              </w:rPr>
              <w:t>13586052161</w:t>
            </w:r>
          </w:p>
        </w:tc>
      </w:tr>
      <w:tr w14:paraId="2AD09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6200D813">
            <w:pPr>
              <w:jc w:val="center"/>
              <w:rPr>
                <w:rFonts w:ascii="宋体" w:hAnsi="宋体" w:cs="宋体"/>
                <w:color w:val="auto"/>
                <w:szCs w:val="21"/>
                <w:highlight w:val="none"/>
              </w:rPr>
            </w:pPr>
            <w:r>
              <w:rPr>
                <w:rFonts w:hint="eastAsia" w:ascii="宋体" w:hAnsi="宋体" w:cs="宋体"/>
                <w:color w:val="auto"/>
                <w:szCs w:val="21"/>
                <w:highlight w:val="none"/>
              </w:rPr>
              <w:t>华夏银行台州分行</w:t>
            </w:r>
          </w:p>
        </w:tc>
        <w:tc>
          <w:tcPr>
            <w:tcW w:w="1334" w:type="dxa"/>
            <w:vAlign w:val="center"/>
          </w:tcPr>
          <w:p w14:paraId="448B0E16">
            <w:pPr>
              <w:jc w:val="center"/>
              <w:rPr>
                <w:rFonts w:ascii="宋体" w:hAnsi="宋体" w:cs="宋体"/>
                <w:color w:val="auto"/>
                <w:szCs w:val="21"/>
                <w:highlight w:val="none"/>
              </w:rPr>
            </w:pPr>
            <w:r>
              <w:rPr>
                <w:rFonts w:hint="eastAsia" w:ascii="宋体" w:hAnsi="宋体" w:cs="宋体"/>
                <w:color w:val="auto"/>
                <w:szCs w:val="21"/>
                <w:highlight w:val="none"/>
              </w:rPr>
              <w:t>4.5%起</w:t>
            </w:r>
          </w:p>
        </w:tc>
        <w:tc>
          <w:tcPr>
            <w:tcW w:w="1688" w:type="dxa"/>
            <w:vAlign w:val="center"/>
          </w:tcPr>
          <w:p w14:paraId="42116D80">
            <w:pPr>
              <w:jc w:val="center"/>
              <w:rPr>
                <w:rFonts w:ascii="宋体" w:hAnsi="宋体" w:cs="宋体"/>
                <w:color w:val="auto"/>
                <w:szCs w:val="21"/>
                <w:highlight w:val="none"/>
              </w:rPr>
            </w:pPr>
            <w:r>
              <w:rPr>
                <w:rFonts w:hint="eastAsia" w:ascii="宋体" w:hAnsi="宋体" w:cs="宋体"/>
                <w:color w:val="auto"/>
                <w:szCs w:val="21"/>
                <w:highlight w:val="none"/>
              </w:rPr>
              <w:t>邱明达</w:t>
            </w:r>
          </w:p>
        </w:tc>
        <w:tc>
          <w:tcPr>
            <w:tcW w:w="2131" w:type="dxa"/>
            <w:vAlign w:val="center"/>
          </w:tcPr>
          <w:p w14:paraId="56A8CEAD">
            <w:pPr>
              <w:jc w:val="center"/>
              <w:rPr>
                <w:rFonts w:ascii="宋体" w:hAnsi="宋体" w:cs="宋体"/>
                <w:color w:val="auto"/>
                <w:szCs w:val="21"/>
                <w:highlight w:val="none"/>
              </w:rPr>
            </w:pPr>
            <w:r>
              <w:rPr>
                <w:rFonts w:hint="eastAsia" w:ascii="宋体" w:hAnsi="宋体" w:cs="宋体"/>
                <w:color w:val="auto"/>
                <w:szCs w:val="21"/>
                <w:highlight w:val="none"/>
              </w:rPr>
              <w:t>81871518</w:t>
            </w:r>
          </w:p>
          <w:p w14:paraId="088D708E">
            <w:pPr>
              <w:jc w:val="center"/>
              <w:rPr>
                <w:rFonts w:ascii="宋体" w:hAnsi="宋体" w:cs="宋体"/>
                <w:color w:val="auto"/>
                <w:szCs w:val="21"/>
                <w:highlight w:val="none"/>
              </w:rPr>
            </w:pPr>
            <w:r>
              <w:rPr>
                <w:rFonts w:hint="eastAsia" w:ascii="宋体" w:hAnsi="宋体" w:cs="宋体"/>
                <w:color w:val="auto"/>
                <w:szCs w:val="21"/>
                <w:highlight w:val="none"/>
              </w:rPr>
              <w:t>13736252233</w:t>
            </w:r>
          </w:p>
        </w:tc>
      </w:tr>
      <w:tr w14:paraId="3D208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5AD95CC2">
            <w:pPr>
              <w:jc w:val="center"/>
              <w:rPr>
                <w:rFonts w:ascii="宋体" w:hAnsi="宋体" w:cs="宋体"/>
                <w:color w:val="auto"/>
                <w:szCs w:val="21"/>
                <w:highlight w:val="none"/>
              </w:rPr>
            </w:pPr>
            <w:r>
              <w:rPr>
                <w:rFonts w:hint="eastAsia" w:ascii="宋体" w:hAnsi="宋体" w:cs="宋体"/>
                <w:color w:val="auto"/>
                <w:szCs w:val="21"/>
                <w:highlight w:val="none"/>
              </w:rPr>
              <w:t>泰隆银行开发区支行</w:t>
            </w:r>
          </w:p>
        </w:tc>
        <w:tc>
          <w:tcPr>
            <w:tcW w:w="1334" w:type="dxa"/>
            <w:vAlign w:val="center"/>
          </w:tcPr>
          <w:p w14:paraId="22035EDC">
            <w:pPr>
              <w:jc w:val="center"/>
              <w:rPr>
                <w:rFonts w:ascii="宋体" w:hAnsi="宋体" w:cs="宋体"/>
                <w:color w:val="auto"/>
                <w:szCs w:val="21"/>
                <w:highlight w:val="none"/>
              </w:rPr>
            </w:pPr>
            <w:r>
              <w:rPr>
                <w:rFonts w:hint="eastAsia" w:ascii="宋体" w:hAnsi="宋体" w:cs="宋体"/>
                <w:color w:val="auto"/>
                <w:szCs w:val="21"/>
                <w:highlight w:val="none"/>
              </w:rPr>
              <w:t>5.6%起</w:t>
            </w:r>
          </w:p>
        </w:tc>
        <w:tc>
          <w:tcPr>
            <w:tcW w:w="1688" w:type="dxa"/>
            <w:vAlign w:val="center"/>
          </w:tcPr>
          <w:p w14:paraId="6483DB37">
            <w:pPr>
              <w:jc w:val="center"/>
              <w:rPr>
                <w:rFonts w:ascii="宋体" w:hAnsi="宋体" w:cs="宋体"/>
                <w:color w:val="auto"/>
                <w:szCs w:val="21"/>
                <w:highlight w:val="none"/>
              </w:rPr>
            </w:pPr>
            <w:r>
              <w:rPr>
                <w:rFonts w:hint="eastAsia" w:ascii="宋体" w:hAnsi="宋体" w:cs="宋体"/>
                <w:color w:val="auto"/>
                <w:szCs w:val="21"/>
                <w:highlight w:val="none"/>
              </w:rPr>
              <w:t>梁宛莉</w:t>
            </w:r>
          </w:p>
        </w:tc>
        <w:tc>
          <w:tcPr>
            <w:tcW w:w="2131" w:type="dxa"/>
            <w:vAlign w:val="center"/>
          </w:tcPr>
          <w:p w14:paraId="122D184F">
            <w:pPr>
              <w:jc w:val="center"/>
              <w:rPr>
                <w:rFonts w:ascii="宋体" w:hAnsi="宋体" w:cs="宋体"/>
                <w:color w:val="auto"/>
                <w:szCs w:val="21"/>
                <w:highlight w:val="none"/>
              </w:rPr>
            </w:pPr>
            <w:r>
              <w:rPr>
                <w:rFonts w:hint="eastAsia" w:ascii="宋体" w:hAnsi="宋体" w:cs="宋体"/>
                <w:color w:val="auto"/>
                <w:szCs w:val="21"/>
                <w:highlight w:val="none"/>
              </w:rPr>
              <w:t>13306869100</w:t>
            </w:r>
          </w:p>
        </w:tc>
      </w:tr>
      <w:tr w14:paraId="731F4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260EB099">
            <w:pPr>
              <w:jc w:val="center"/>
              <w:rPr>
                <w:rFonts w:ascii="宋体" w:hAnsi="宋体" w:cs="宋体"/>
                <w:color w:val="auto"/>
                <w:szCs w:val="21"/>
                <w:highlight w:val="none"/>
              </w:rPr>
            </w:pPr>
            <w:r>
              <w:rPr>
                <w:rFonts w:hint="eastAsia" w:ascii="宋体" w:hAnsi="宋体" w:cs="宋体"/>
                <w:color w:val="auto"/>
                <w:szCs w:val="21"/>
                <w:highlight w:val="none"/>
              </w:rPr>
              <w:t>民泰银行椒江支行</w:t>
            </w:r>
          </w:p>
        </w:tc>
        <w:tc>
          <w:tcPr>
            <w:tcW w:w="1334" w:type="dxa"/>
            <w:vAlign w:val="center"/>
          </w:tcPr>
          <w:p w14:paraId="73B5FD16">
            <w:pPr>
              <w:jc w:val="center"/>
              <w:rPr>
                <w:rFonts w:ascii="宋体" w:hAnsi="宋体" w:cs="宋体"/>
                <w:color w:val="auto"/>
                <w:szCs w:val="21"/>
                <w:highlight w:val="none"/>
              </w:rPr>
            </w:pPr>
            <w:r>
              <w:rPr>
                <w:rFonts w:hint="eastAsia" w:ascii="宋体" w:hAnsi="宋体" w:cs="宋体"/>
                <w:color w:val="auto"/>
                <w:szCs w:val="21"/>
                <w:highlight w:val="none"/>
              </w:rPr>
              <w:t>5.8%起</w:t>
            </w:r>
          </w:p>
        </w:tc>
        <w:tc>
          <w:tcPr>
            <w:tcW w:w="1688" w:type="dxa"/>
            <w:vAlign w:val="center"/>
          </w:tcPr>
          <w:p w14:paraId="1D344E74">
            <w:pPr>
              <w:jc w:val="center"/>
              <w:rPr>
                <w:rFonts w:ascii="宋体" w:hAnsi="宋体" w:cs="宋体"/>
                <w:color w:val="auto"/>
                <w:szCs w:val="21"/>
                <w:highlight w:val="none"/>
              </w:rPr>
            </w:pPr>
            <w:r>
              <w:rPr>
                <w:rFonts w:hint="eastAsia" w:ascii="宋体" w:hAnsi="宋体" w:cs="宋体"/>
                <w:color w:val="auto"/>
                <w:szCs w:val="21"/>
                <w:highlight w:val="none"/>
              </w:rPr>
              <w:t>陈慧珠</w:t>
            </w:r>
          </w:p>
        </w:tc>
        <w:tc>
          <w:tcPr>
            <w:tcW w:w="2131" w:type="dxa"/>
            <w:vAlign w:val="center"/>
          </w:tcPr>
          <w:p w14:paraId="0C9DB7F3">
            <w:pPr>
              <w:jc w:val="center"/>
              <w:rPr>
                <w:rFonts w:ascii="宋体" w:hAnsi="宋体" w:cs="宋体"/>
                <w:color w:val="auto"/>
                <w:szCs w:val="21"/>
                <w:highlight w:val="none"/>
              </w:rPr>
            </w:pPr>
            <w:r>
              <w:rPr>
                <w:rFonts w:hint="eastAsia" w:ascii="宋体" w:hAnsi="宋体" w:cs="宋体"/>
                <w:color w:val="auto"/>
                <w:szCs w:val="21"/>
                <w:highlight w:val="none"/>
              </w:rPr>
              <w:t>13857699669</w:t>
            </w:r>
          </w:p>
        </w:tc>
      </w:tr>
      <w:tr w14:paraId="4AF0E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11A0B1EE">
            <w:pPr>
              <w:jc w:val="center"/>
              <w:rPr>
                <w:rFonts w:ascii="宋体" w:hAnsi="宋体" w:cs="宋体"/>
                <w:color w:val="auto"/>
                <w:szCs w:val="21"/>
                <w:highlight w:val="none"/>
              </w:rPr>
            </w:pPr>
            <w:r>
              <w:rPr>
                <w:rFonts w:hint="eastAsia" w:ascii="宋体" w:hAnsi="宋体" w:cs="宋体"/>
                <w:color w:val="auto"/>
                <w:szCs w:val="21"/>
                <w:highlight w:val="none"/>
              </w:rPr>
              <w:t>绍兴银行台州分行</w:t>
            </w:r>
          </w:p>
        </w:tc>
        <w:tc>
          <w:tcPr>
            <w:tcW w:w="1334" w:type="dxa"/>
            <w:vAlign w:val="center"/>
          </w:tcPr>
          <w:p w14:paraId="3B76C4A3">
            <w:pPr>
              <w:jc w:val="center"/>
              <w:rPr>
                <w:rFonts w:ascii="宋体" w:hAnsi="宋体" w:cs="宋体"/>
                <w:color w:val="auto"/>
                <w:szCs w:val="21"/>
                <w:highlight w:val="none"/>
              </w:rPr>
            </w:pPr>
            <w:r>
              <w:rPr>
                <w:rFonts w:hint="eastAsia" w:ascii="宋体" w:hAnsi="宋体" w:cs="宋体"/>
                <w:color w:val="auto"/>
                <w:szCs w:val="21"/>
                <w:highlight w:val="none"/>
              </w:rPr>
              <w:t>5.1%起</w:t>
            </w:r>
          </w:p>
        </w:tc>
        <w:tc>
          <w:tcPr>
            <w:tcW w:w="1688" w:type="dxa"/>
            <w:vAlign w:val="center"/>
          </w:tcPr>
          <w:p w14:paraId="63E1145E">
            <w:pPr>
              <w:jc w:val="center"/>
              <w:rPr>
                <w:rFonts w:ascii="宋体" w:hAnsi="宋体" w:cs="宋体"/>
                <w:color w:val="auto"/>
                <w:szCs w:val="21"/>
                <w:highlight w:val="none"/>
              </w:rPr>
            </w:pPr>
            <w:r>
              <w:rPr>
                <w:rFonts w:hint="eastAsia" w:ascii="宋体" w:hAnsi="宋体" w:cs="宋体"/>
                <w:color w:val="auto"/>
                <w:szCs w:val="21"/>
                <w:highlight w:val="none"/>
              </w:rPr>
              <w:t>郭庭斌</w:t>
            </w:r>
          </w:p>
        </w:tc>
        <w:tc>
          <w:tcPr>
            <w:tcW w:w="2131" w:type="dxa"/>
            <w:vAlign w:val="center"/>
          </w:tcPr>
          <w:p w14:paraId="0B708FB9">
            <w:pPr>
              <w:jc w:val="center"/>
              <w:rPr>
                <w:rFonts w:ascii="宋体" w:hAnsi="宋体" w:cs="宋体"/>
                <w:color w:val="auto"/>
                <w:szCs w:val="21"/>
                <w:highlight w:val="none"/>
              </w:rPr>
            </w:pPr>
            <w:r>
              <w:rPr>
                <w:rFonts w:hint="eastAsia" w:ascii="宋体" w:hAnsi="宋体" w:cs="宋体"/>
                <w:color w:val="auto"/>
                <w:szCs w:val="21"/>
                <w:highlight w:val="none"/>
              </w:rPr>
              <w:t>15958633119</w:t>
            </w:r>
          </w:p>
        </w:tc>
      </w:tr>
      <w:tr w14:paraId="1CF81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13743D2C">
            <w:pPr>
              <w:jc w:val="center"/>
              <w:rPr>
                <w:rFonts w:ascii="宋体" w:hAnsi="宋体" w:cs="宋体"/>
                <w:color w:val="auto"/>
                <w:szCs w:val="21"/>
                <w:highlight w:val="none"/>
              </w:rPr>
            </w:pPr>
            <w:r>
              <w:rPr>
                <w:rFonts w:hint="eastAsia" w:ascii="宋体" w:hAnsi="宋体" w:cs="宋体"/>
                <w:color w:val="auto"/>
                <w:szCs w:val="21"/>
                <w:highlight w:val="none"/>
              </w:rPr>
              <w:t>温州银行台州分行</w:t>
            </w:r>
          </w:p>
        </w:tc>
        <w:tc>
          <w:tcPr>
            <w:tcW w:w="1334" w:type="dxa"/>
            <w:vAlign w:val="center"/>
          </w:tcPr>
          <w:p w14:paraId="3FFAC13B">
            <w:pPr>
              <w:jc w:val="center"/>
              <w:rPr>
                <w:rFonts w:ascii="宋体" w:hAnsi="宋体" w:cs="宋体"/>
                <w:color w:val="auto"/>
                <w:szCs w:val="21"/>
                <w:highlight w:val="none"/>
              </w:rPr>
            </w:pPr>
            <w:r>
              <w:rPr>
                <w:rFonts w:hint="eastAsia" w:ascii="宋体" w:hAnsi="宋体" w:cs="宋体"/>
                <w:color w:val="auto"/>
                <w:szCs w:val="21"/>
                <w:highlight w:val="none"/>
              </w:rPr>
              <w:t>4.55%起</w:t>
            </w:r>
          </w:p>
        </w:tc>
        <w:tc>
          <w:tcPr>
            <w:tcW w:w="1688" w:type="dxa"/>
            <w:vAlign w:val="center"/>
          </w:tcPr>
          <w:p w14:paraId="68646EE8">
            <w:pPr>
              <w:jc w:val="center"/>
              <w:rPr>
                <w:rFonts w:ascii="宋体" w:hAnsi="宋体" w:cs="宋体"/>
                <w:color w:val="auto"/>
                <w:szCs w:val="21"/>
                <w:highlight w:val="none"/>
              </w:rPr>
            </w:pPr>
            <w:r>
              <w:rPr>
                <w:rFonts w:hint="eastAsia" w:ascii="宋体" w:hAnsi="宋体" w:cs="宋体"/>
                <w:color w:val="auto"/>
                <w:szCs w:val="21"/>
                <w:highlight w:val="none"/>
              </w:rPr>
              <w:t>王晓波</w:t>
            </w:r>
          </w:p>
        </w:tc>
        <w:tc>
          <w:tcPr>
            <w:tcW w:w="2131" w:type="dxa"/>
            <w:vAlign w:val="center"/>
          </w:tcPr>
          <w:p w14:paraId="6F11CA08">
            <w:pPr>
              <w:jc w:val="center"/>
              <w:rPr>
                <w:rFonts w:ascii="宋体" w:hAnsi="宋体" w:cs="宋体"/>
                <w:color w:val="auto"/>
                <w:szCs w:val="21"/>
                <w:highlight w:val="none"/>
              </w:rPr>
            </w:pPr>
            <w:r>
              <w:rPr>
                <w:rFonts w:hint="eastAsia" w:ascii="宋体" w:hAnsi="宋体" w:cs="宋体"/>
                <w:color w:val="auto"/>
                <w:szCs w:val="21"/>
                <w:highlight w:val="none"/>
              </w:rPr>
              <w:t>15824005475</w:t>
            </w:r>
          </w:p>
        </w:tc>
      </w:tr>
      <w:tr w14:paraId="477EC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23FDE7ED">
            <w:pPr>
              <w:jc w:val="center"/>
              <w:rPr>
                <w:rFonts w:ascii="宋体" w:hAnsi="宋体" w:cs="宋体"/>
                <w:color w:val="auto"/>
                <w:szCs w:val="21"/>
                <w:highlight w:val="none"/>
              </w:rPr>
            </w:pPr>
            <w:r>
              <w:rPr>
                <w:rFonts w:hint="eastAsia" w:ascii="宋体" w:hAnsi="宋体" w:cs="宋体"/>
                <w:color w:val="auto"/>
                <w:szCs w:val="21"/>
                <w:highlight w:val="none"/>
              </w:rPr>
              <w:t>平安银行台州分行</w:t>
            </w:r>
          </w:p>
        </w:tc>
        <w:tc>
          <w:tcPr>
            <w:tcW w:w="1334" w:type="dxa"/>
            <w:vAlign w:val="center"/>
          </w:tcPr>
          <w:p w14:paraId="111374AD">
            <w:pPr>
              <w:jc w:val="center"/>
              <w:rPr>
                <w:rFonts w:ascii="宋体" w:hAnsi="宋体" w:cs="宋体"/>
                <w:color w:val="auto"/>
                <w:szCs w:val="21"/>
                <w:highlight w:val="none"/>
              </w:rPr>
            </w:pPr>
            <w:r>
              <w:rPr>
                <w:rFonts w:hint="eastAsia" w:ascii="宋体" w:hAnsi="宋体" w:cs="宋体"/>
                <w:color w:val="auto"/>
                <w:szCs w:val="21"/>
                <w:highlight w:val="none"/>
              </w:rPr>
              <w:t>6.53%起</w:t>
            </w:r>
          </w:p>
        </w:tc>
        <w:tc>
          <w:tcPr>
            <w:tcW w:w="1688" w:type="dxa"/>
            <w:vAlign w:val="center"/>
          </w:tcPr>
          <w:p w14:paraId="008C54AA">
            <w:pPr>
              <w:jc w:val="center"/>
              <w:rPr>
                <w:rFonts w:ascii="宋体" w:hAnsi="宋体" w:cs="宋体"/>
                <w:color w:val="auto"/>
                <w:szCs w:val="21"/>
                <w:highlight w:val="none"/>
              </w:rPr>
            </w:pPr>
            <w:r>
              <w:rPr>
                <w:rFonts w:hint="eastAsia" w:ascii="宋体" w:hAnsi="宋体" w:cs="宋体"/>
                <w:color w:val="auto"/>
                <w:szCs w:val="21"/>
                <w:highlight w:val="none"/>
              </w:rPr>
              <w:t>李俊丽</w:t>
            </w:r>
          </w:p>
        </w:tc>
        <w:tc>
          <w:tcPr>
            <w:tcW w:w="2131" w:type="dxa"/>
            <w:vAlign w:val="center"/>
          </w:tcPr>
          <w:p w14:paraId="2FA2BAC6">
            <w:pPr>
              <w:jc w:val="center"/>
              <w:rPr>
                <w:rFonts w:ascii="宋体" w:hAnsi="宋体" w:cs="宋体"/>
                <w:color w:val="auto"/>
                <w:szCs w:val="21"/>
                <w:highlight w:val="none"/>
              </w:rPr>
            </w:pPr>
            <w:r>
              <w:rPr>
                <w:rFonts w:hint="eastAsia" w:ascii="宋体" w:hAnsi="宋体" w:cs="宋体"/>
                <w:color w:val="auto"/>
                <w:szCs w:val="21"/>
                <w:highlight w:val="none"/>
              </w:rPr>
              <w:t>15906861025</w:t>
            </w:r>
          </w:p>
        </w:tc>
      </w:tr>
      <w:tr w14:paraId="11C43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73706CB9">
            <w:pPr>
              <w:jc w:val="center"/>
              <w:rPr>
                <w:rFonts w:ascii="宋体" w:hAnsi="宋体" w:cs="宋体"/>
                <w:color w:val="auto"/>
                <w:szCs w:val="21"/>
                <w:highlight w:val="none"/>
              </w:rPr>
            </w:pPr>
            <w:r>
              <w:rPr>
                <w:rFonts w:hint="eastAsia" w:ascii="宋体" w:hAnsi="宋体" w:cs="宋体"/>
                <w:color w:val="auto"/>
                <w:szCs w:val="21"/>
                <w:highlight w:val="none"/>
              </w:rPr>
              <w:t>宁波银行台州分行</w:t>
            </w:r>
          </w:p>
        </w:tc>
        <w:tc>
          <w:tcPr>
            <w:tcW w:w="1334" w:type="dxa"/>
            <w:vAlign w:val="center"/>
          </w:tcPr>
          <w:p w14:paraId="683D81D5">
            <w:pPr>
              <w:jc w:val="center"/>
              <w:rPr>
                <w:rFonts w:ascii="宋体" w:hAnsi="宋体" w:cs="宋体"/>
                <w:color w:val="auto"/>
                <w:szCs w:val="21"/>
                <w:highlight w:val="none"/>
              </w:rPr>
            </w:pPr>
            <w:r>
              <w:rPr>
                <w:rFonts w:hint="eastAsia" w:ascii="宋体" w:hAnsi="宋体" w:cs="宋体"/>
                <w:color w:val="auto"/>
                <w:szCs w:val="21"/>
                <w:highlight w:val="none"/>
              </w:rPr>
              <w:t>4.35%起</w:t>
            </w:r>
          </w:p>
        </w:tc>
        <w:tc>
          <w:tcPr>
            <w:tcW w:w="1688" w:type="dxa"/>
            <w:vAlign w:val="center"/>
          </w:tcPr>
          <w:p w14:paraId="46CC7CAC">
            <w:pPr>
              <w:jc w:val="center"/>
              <w:rPr>
                <w:rFonts w:ascii="宋体" w:hAnsi="宋体" w:cs="宋体"/>
                <w:color w:val="auto"/>
                <w:szCs w:val="21"/>
                <w:highlight w:val="none"/>
              </w:rPr>
            </w:pPr>
            <w:r>
              <w:rPr>
                <w:rFonts w:hint="eastAsia" w:ascii="宋体" w:hAnsi="宋体" w:cs="宋体"/>
                <w:color w:val="auto"/>
                <w:szCs w:val="21"/>
                <w:highlight w:val="none"/>
              </w:rPr>
              <w:t>戴莉丽</w:t>
            </w:r>
          </w:p>
        </w:tc>
        <w:tc>
          <w:tcPr>
            <w:tcW w:w="2131" w:type="dxa"/>
            <w:vAlign w:val="center"/>
          </w:tcPr>
          <w:p w14:paraId="44106CB7">
            <w:pPr>
              <w:jc w:val="center"/>
              <w:rPr>
                <w:rFonts w:ascii="宋体" w:hAnsi="宋体" w:cs="宋体"/>
                <w:color w:val="auto"/>
                <w:szCs w:val="21"/>
                <w:highlight w:val="none"/>
              </w:rPr>
            </w:pPr>
            <w:r>
              <w:rPr>
                <w:rFonts w:hint="eastAsia" w:ascii="宋体" w:hAnsi="宋体" w:cs="宋体"/>
                <w:color w:val="auto"/>
                <w:szCs w:val="21"/>
                <w:highlight w:val="none"/>
              </w:rPr>
              <w:t>13566627207</w:t>
            </w:r>
          </w:p>
        </w:tc>
      </w:tr>
      <w:tr w14:paraId="2546B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56AF21A0">
            <w:pPr>
              <w:jc w:val="center"/>
              <w:rPr>
                <w:rFonts w:ascii="宋体" w:hAnsi="宋体" w:cs="宋体"/>
                <w:color w:val="auto"/>
                <w:szCs w:val="21"/>
                <w:highlight w:val="none"/>
              </w:rPr>
            </w:pPr>
            <w:r>
              <w:rPr>
                <w:rFonts w:hint="eastAsia" w:ascii="宋体" w:hAnsi="宋体" w:cs="宋体"/>
                <w:color w:val="auto"/>
                <w:szCs w:val="21"/>
                <w:highlight w:val="none"/>
              </w:rPr>
              <w:t>金华银行台州分行</w:t>
            </w:r>
          </w:p>
        </w:tc>
        <w:tc>
          <w:tcPr>
            <w:tcW w:w="1334" w:type="dxa"/>
            <w:vAlign w:val="center"/>
          </w:tcPr>
          <w:p w14:paraId="5D606FC0">
            <w:pPr>
              <w:jc w:val="center"/>
              <w:rPr>
                <w:rFonts w:ascii="宋体" w:hAnsi="宋体" w:cs="宋体"/>
                <w:color w:val="auto"/>
                <w:szCs w:val="21"/>
                <w:highlight w:val="none"/>
              </w:rPr>
            </w:pPr>
            <w:r>
              <w:rPr>
                <w:rFonts w:hint="eastAsia" w:ascii="宋体" w:hAnsi="宋体" w:cs="宋体"/>
                <w:color w:val="auto"/>
                <w:szCs w:val="21"/>
                <w:highlight w:val="none"/>
              </w:rPr>
              <w:t>4.05%起</w:t>
            </w:r>
          </w:p>
        </w:tc>
        <w:tc>
          <w:tcPr>
            <w:tcW w:w="1688" w:type="dxa"/>
            <w:vAlign w:val="center"/>
          </w:tcPr>
          <w:p w14:paraId="4F6AF93D">
            <w:pPr>
              <w:jc w:val="center"/>
              <w:rPr>
                <w:rFonts w:ascii="宋体" w:hAnsi="宋体" w:cs="宋体"/>
                <w:color w:val="auto"/>
                <w:szCs w:val="21"/>
                <w:highlight w:val="none"/>
              </w:rPr>
            </w:pPr>
            <w:r>
              <w:rPr>
                <w:rFonts w:hint="eastAsia" w:ascii="宋体" w:hAnsi="宋体" w:cs="宋体"/>
                <w:color w:val="auto"/>
                <w:szCs w:val="21"/>
                <w:highlight w:val="none"/>
              </w:rPr>
              <w:t>金雪婷</w:t>
            </w:r>
          </w:p>
        </w:tc>
        <w:tc>
          <w:tcPr>
            <w:tcW w:w="2131" w:type="dxa"/>
            <w:vAlign w:val="center"/>
          </w:tcPr>
          <w:p w14:paraId="5C5EC3AC">
            <w:pPr>
              <w:jc w:val="center"/>
              <w:rPr>
                <w:rFonts w:ascii="宋体" w:hAnsi="宋体" w:cs="宋体"/>
                <w:color w:val="auto"/>
                <w:szCs w:val="21"/>
                <w:highlight w:val="none"/>
              </w:rPr>
            </w:pPr>
            <w:r>
              <w:rPr>
                <w:rFonts w:hint="eastAsia" w:ascii="宋体" w:hAnsi="宋体" w:cs="宋体"/>
                <w:color w:val="auto"/>
                <w:szCs w:val="21"/>
                <w:highlight w:val="none"/>
              </w:rPr>
              <w:t>81886670</w:t>
            </w:r>
          </w:p>
          <w:p w14:paraId="0C99EAEE">
            <w:pPr>
              <w:jc w:val="center"/>
              <w:rPr>
                <w:rFonts w:ascii="宋体" w:hAnsi="宋体" w:cs="宋体"/>
                <w:color w:val="auto"/>
                <w:szCs w:val="21"/>
                <w:highlight w:val="none"/>
              </w:rPr>
            </w:pPr>
            <w:r>
              <w:rPr>
                <w:rFonts w:hint="eastAsia" w:ascii="宋体" w:hAnsi="宋体" w:cs="宋体"/>
                <w:color w:val="auto"/>
                <w:szCs w:val="21"/>
                <w:highlight w:val="none"/>
              </w:rPr>
              <w:t>15968661569</w:t>
            </w:r>
          </w:p>
        </w:tc>
      </w:tr>
      <w:tr w14:paraId="6BCB2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78665A67">
            <w:pPr>
              <w:jc w:val="center"/>
              <w:rPr>
                <w:rFonts w:ascii="宋体" w:hAnsi="宋体" w:cs="宋体"/>
                <w:color w:val="auto"/>
                <w:szCs w:val="21"/>
                <w:highlight w:val="none"/>
              </w:rPr>
            </w:pPr>
            <w:r>
              <w:rPr>
                <w:rFonts w:hint="eastAsia" w:ascii="宋体" w:hAnsi="宋体" w:cs="宋体"/>
                <w:color w:val="auto"/>
                <w:szCs w:val="21"/>
                <w:highlight w:val="none"/>
              </w:rPr>
              <w:t>台州银行</w:t>
            </w:r>
          </w:p>
        </w:tc>
        <w:tc>
          <w:tcPr>
            <w:tcW w:w="1334" w:type="dxa"/>
            <w:vAlign w:val="center"/>
          </w:tcPr>
          <w:p w14:paraId="2CCDA363">
            <w:pPr>
              <w:jc w:val="center"/>
              <w:rPr>
                <w:rFonts w:ascii="宋体" w:hAnsi="宋体" w:cs="宋体"/>
                <w:color w:val="auto"/>
                <w:szCs w:val="21"/>
                <w:highlight w:val="none"/>
              </w:rPr>
            </w:pPr>
            <w:r>
              <w:rPr>
                <w:rFonts w:hint="eastAsia" w:ascii="宋体" w:hAnsi="宋体" w:cs="宋体"/>
                <w:color w:val="auto"/>
                <w:szCs w:val="21"/>
                <w:highlight w:val="none"/>
              </w:rPr>
              <w:t>5.6%起</w:t>
            </w:r>
          </w:p>
        </w:tc>
        <w:tc>
          <w:tcPr>
            <w:tcW w:w="1688" w:type="dxa"/>
            <w:vAlign w:val="center"/>
          </w:tcPr>
          <w:p w14:paraId="1B6D8FCB">
            <w:pPr>
              <w:jc w:val="center"/>
              <w:rPr>
                <w:rFonts w:ascii="宋体" w:hAnsi="宋体" w:cs="宋体"/>
                <w:color w:val="auto"/>
                <w:szCs w:val="21"/>
                <w:highlight w:val="none"/>
              </w:rPr>
            </w:pPr>
            <w:r>
              <w:rPr>
                <w:rFonts w:hint="eastAsia" w:ascii="宋体" w:hAnsi="宋体" w:cs="宋体"/>
                <w:color w:val="auto"/>
                <w:szCs w:val="21"/>
                <w:highlight w:val="none"/>
              </w:rPr>
              <w:t>洪婷</w:t>
            </w:r>
          </w:p>
        </w:tc>
        <w:tc>
          <w:tcPr>
            <w:tcW w:w="2131" w:type="dxa"/>
            <w:vAlign w:val="center"/>
          </w:tcPr>
          <w:p w14:paraId="2F9BDDBC">
            <w:pPr>
              <w:jc w:val="center"/>
              <w:rPr>
                <w:rFonts w:ascii="宋体" w:hAnsi="宋体" w:cs="宋体"/>
                <w:color w:val="auto"/>
                <w:szCs w:val="21"/>
                <w:highlight w:val="none"/>
              </w:rPr>
            </w:pPr>
            <w:r>
              <w:rPr>
                <w:rFonts w:hint="eastAsia" w:ascii="宋体" w:hAnsi="宋体" w:cs="宋体"/>
                <w:color w:val="auto"/>
                <w:szCs w:val="21"/>
                <w:highlight w:val="none"/>
              </w:rPr>
              <w:t>15858624999</w:t>
            </w:r>
          </w:p>
        </w:tc>
      </w:tr>
      <w:tr w14:paraId="62B5C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30EC4223">
            <w:pPr>
              <w:jc w:val="center"/>
              <w:rPr>
                <w:rFonts w:ascii="宋体" w:hAnsi="宋体" w:cs="宋体"/>
                <w:color w:val="auto"/>
                <w:szCs w:val="21"/>
                <w:highlight w:val="none"/>
              </w:rPr>
            </w:pPr>
            <w:r>
              <w:rPr>
                <w:rFonts w:hint="eastAsia" w:ascii="宋体" w:hAnsi="宋体" w:cs="宋体"/>
                <w:color w:val="auto"/>
                <w:szCs w:val="21"/>
                <w:highlight w:val="none"/>
              </w:rPr>
              <w:t>邮储银行台州分行</w:t>
            </w:r>
          </w:p>
        </w:tc>
        <w:tc>
          <w:tcPr>
            <w:tcW w:w="1334" w:type="dxa"/>
            <w:vAlign w:val="center"/>
          </w:tcPr>
          <w:p w14:paraId="6C8F90B3">
            <w:pPr>
              <w:jc w:val="center"/>
              <w:rPr>
                <w:rFonts w:ascii="宋体" w:hAnsi="宋体" w:cs="宋体"/>
                <w:color w:val="auto"/>
                <w:szCs w:val="21"/>
                <w:highlight w:val="none"/>
              </w:rPr>
            </w:pPr>
            <w:r>
              <w:rPr>
                <w:rFonts w:hint="eastAsia" w:ascii="宋体" w:hAnsi="宋体" w:cs="宋体"/>
                <w:color w:val="auto"/>
                <w:szCs w:val="21"/>
                <w:highlight w:val="none"/>
              </w:rPr>
              <w:t>3.85%起</w:t>
            </w:r>
          </w:p>
        </w:tc>
        <w:tc>
          <w:tcPr>
            <w:tcW w:w="1688" w:type="dxa"/>
            <w:vAlign w:val="center"/>
          </w:tcPr>
          <w:p w14:paraId="62DE7C62">
            <w:pPr>
              <w:jc w:val="center"/>
              <w:rPr>
                <w:rFonts w:ascii="宋体" w:hAnsi="宋体" w:cs="宋体"/>
                <w:color w:val="auto"/>
                <w:szCs w:val="21"/>
                <w:highlight w:val="none"/>
              </w:rPr>
            </w:pPr>
            <w:r>
              <w:rPr>
                <w:rFonts w:hint="eastAsia" w:ascii="宋体" w:hAnsi="宋体" w:cs="宋体"/>
                <w:color w:val="auto"/>
                <w:szCs w:val="21"/>
                <w:highlight w:val="none"/>
              </w:rPr>
              <w:t>董庆</w:t>
            </w:r>
          </w:p>
        </w:tc>
        <w:tc>
          <w:tcPr>
            <w:tcW w:w="2131" w:type="dxa"/>
            <w:vAlign w:val="center"/>
          </w:tcPr>
          <w:p w14:paraId="35FC26BF">
            <w:pPr>
              <w:jc w:val="center"/>
              <w:rPr>
                <w:rFonts w:ascii="宋体" w:hAnsi="宋体" w:cs="宋体"/>
                <w:color w:val="auto"/>
                <w:szCs w:val="21"/>
                <w:highlight w:val="none"/>
              </w:rPr>
            </w:pPr>
            <w:r>
              <w:rPr>
                <w:rFonts w:hint="eastAsia" w:ascii="宋体" w:hAnsi="宋体" w:cs="宋体"/>
                <w:color w:val="auto"/>
                <w:szCs w:val="21"/>
                <w:highlight w:val="none"/>
              </w:rPr>
              <w:t>81888982</w:t>
            </w:r>
          </w:p>
          <w:p w14:paraId="4C675957">
            <w:pPr>
              <w:jc w:val="center"/>
              <w:rPr>
                <w:rFonts w:ascii="宋体" w:hAnsi="宋体" w:cs="宋体"/>
                <w:color w:val="auto"/>
                <w:szCs w:val="21"/>
                <w:highlight w:val="none"/>
              </w:rPr>
            </w:pPr>
            <w:r>
              <w:rPr>
                <w:rFonts w:hint="eastAsia" w:ascii="宋体" w:hAnsi="宋体" w:cs="宋体"/>
                <w:color w:val="auto"/>
                <w:szCs w:val="21"/>
                <w:highlight w:val="none"/>
              </w:rPr>
              <w:t>18957683735</w:t>
            </w:r>
          </w:p>
        </w:tc>
      </w:tr>
    </w:tbl>
    <w:p w14:paraId="310F1CF7">
      <w:pPr>
        <w:wordWrap w:val="0"/>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十一、采购（中标）公告发布媒体：</w:t>
      </w:r>
      <w:r>
        <w:rPr>
          <w:rFonts w:hint="eastAsia" w:ascii="宋体" w:hAnsi="宋体" w:cs="宋体"/>
          <w:color w:val="auto"/>
          <w:szCs w:val="21"/>
          <w:highlight w:val="none"/>
        </w:rPr>
        <w:t>浙江政府采购网（</w:t>
      </w:r>
      <w:r>
        <w:rPr>
          <w:color w:val="auto"/>
          <w:highlight w:val="none"/>
        </w:rPr>
        <w:fldChar w:fldCharType="begin"/>
      </w:r>
      <w:r>
        <w:rPr>
          <w:color w:val="auto"/>
          <w:highlight w:val="none"/>
        </w:rPr>
        <w:instrText xml:space="preserve"> HYPERLINK "http://www.zjzfcg.gov.cn/new/" </w:instrText>
      </w:r>
      <w:r>
        <w:rPr>
          <w:color w:val="auto"/>
          <w:highlight w:val="none"/>
        </w:rPr>
        <w:fldChar w:fldCharType="separate"/>
      </w:r>
      <w:r>
        <w:rPr>
          <w:rStyle w:val="27"/>
          <w:rFonts w:hint="eastAsia" w:ascii="宋体" w:hAnsi="宋体" w:cs="宋体"/>
          <w:color w:val="auto"/>
          <w:szCs w:val="21"/>
          <w:highlight w:val="none"/>
        </w:rPr>
        <w:t>http://zfcg.czt.zj.gov.cn</w:t>
      </w:r>
      <w:r>
        <w:rPr>
          <w:rStyle w:val="27"/>
          <w:rFonts w:hint="eastAsia" w:ascii="宋体" w:hAnsi="宋体" w:cs="宋体"/>
          <w:color w:val="auto"/>
          <w:szCs w:val="21"/>
          <w:highlight w:val="none"/>
        </w:rPr>
        <w:fldChar w:fldCharType="end"/>
      </w:r>
      <w:r>
        <w:rPr>
          <w:rFonts w:hint="eastAsia" w:ascii="宋体" w:hAnsi="宋体" w:cs="宋体"/>
          <w:color w:val="auto"/>
          <w:szCs w:val="21"/>
          <w:highlight w:val="none"/>
        </w:rPr>
        <w:t>）</w:t>
      </w:r>
    </w:p>
    <w:p w14:paraId="58B936D0">
      <w:pPr>
        <w:wordWrap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备注：请贵单位下载本次招标采购文件后，认真阅读各项内容，进行必要的准备工作，按文件的要求详细填写和编制响应文件，并按以上确定的时间、地点准时上传投标文件。</w:t>
      </w:r>
    </w:p>
    <w:p w14:paraId="7B2D881D">
      <w:pPr>
        <w:spacing w:line="360" w:lineRule="auto"/>
        <w:jc w:val="right"/>
        <w:rPr>
          <w:rFonts w:ascii="宋体" w:hAnsi="宋体" w:cs="宋体"/>
          <w:color w:val="auto"/>
          <w:szCs w:val="21"/>
          <w:highlight w:val="none"/>
        </w:rPr>
      </w:pPr>
      <w:r>
        <w:rPr>
          <w:rFonts w:hint="eastAsia" w:ascii="宋体" w:hAnsi="宋体" w:cs="宋体"/>
          <w:color w:val="auto"/>
          <w:szCs w:val="21"/>
          <w:highlight w:val="none"/>
        </w:rPr>
        <w:t>台州永安工程咨询有限公司</w:t>
      </w:r>
    </w:p>
    <w:p w14:paraId="674A261A">
      <w:pPr>
        <w:pStyle w:val="8"/>
        <w:spacing w:line="360" w:lineRule="auto"/>
        <w:jc w:val="right"/>
        <w:rPr>
          <w:rFonts w:ascii="宋体" w:hAnsi="宋体" w:cs="宋体"/>
          <w:color w:val="auto"/>
          <w:szCs w:val="21"/>
          <w:highlight w:val="none"/>
        </w:rPr>
      </w:pPr>
      <w:r>
        <w:rPr>
          <w:rFonts w:hint="eastAsia" w:ascii="宋体" w:hAnsi="宋体" w:cs="宋体"/>
          <w:color w:val="auto"/>
          <w:szCs w:val="21"/>
          <w:highlight w:val="none"/>
        </w:rPr>
        <w:t>二○二五年七月</w:t>
      </w:r>
    </w:p>
    <w:p w14:paraId="71375723">
      <w:pPr>
        <w:spacing w:line="360" w:lineRule="auto"/>
        <w:rPr>
          <w:rFonts w:ascii="宋体" w:hAnsi="宋体" w:cs="宋体"/>
          <w:b/>
          <w:color w:val="auto"/>
          <w:sz w:val="36"/>
          <w:szCs w:val="36"/>
          <w:highlight w:val="none"/>
        </w:rPr>
        <w:sectPr>
          <w:headerReference r:id="rId3" w:type="default"/>
          <w:footerReference r:id="rId4" w:type="default"/>
          <w:pgSz w:w="11906" w:h="16838"/>
          <w:pgMar w:top="1440" w:right="1440" w:bottom="1440" w:left="1803" w:header="851" w:footer="992" w:gutter="0"/>
          <w:cols w:space="0" w:num="1"/>
          <w:docGrid w:type="lines" w:linePitch="325" w:charSpace="0"/>
        </w:sectPr>
      </w:pPr>
    </w:p>
    <w:p w14:paraId="34C18964">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第二章 供应商须知</w:t>
      </w:r>
    </w:p>
    <w:p w14:paraId="3C39D4E4">
      <w:pPr>
        <w:spacing w:line="360" w:lineRule="auto"/>
        <w:jc w:val="center"/>
        <w:rPr>
          <w:rFonts w:ascii="宋体" w:hAnsi="宋体" w:cs="宋体"/>
          <w:b/>
          <w:color w:val="auto"/>
          <w:sz w:val="28"/>
          <w:szCs w:val="28"/>
          <w:highlight w:val="none"/>
        </w:rPr>
      </w:pPr>
      <w:r>
        <w:rPr>
          <w:rFonts w:hint="eastAsia" w:ascii="宋体" w:hAnsi="宋体" w:cs="宋体"/>
          <w:b/>
          <w:color w:val="auto"/>
          <w:sz w:val="28"/>
          <w:szCs w:val="28"/>
          <w:highlight w:val="none"/>
        </w:rPr>
        <w:t>前  附 表</w:t>
      </w:r>
    </w:p>
    <w:tbl>
      <w:tblPr>
        <w:tblStyle w:val="22"/>
        <w:tblW w:w="96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175"/>
        <w:gridCol w:w="6723"/>
      </w:tblGrid>
      <w:tr w14:paraId="30A67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1" w:type="dxa"/>
            <w:vAlign w:val="center"/>
          </w:tcPr>
          <w:p w14:paraId="5CAB7C3F">
            <w:pPr>
              <w:jc w:val="center"/>
              <w:rPr>
                <w:rFonts w:ascii="宋体" w:hAnsi="宋体" w:cs="宋体"/>
                <w:b/>
                <w:bCs/>
                <w:color w:val="auto"/>
                <w:szCs w:val="21"/>
                <w:highlight w:val="none"/>
              </w:rPr>
            </w:pPr>
            <w:r>
              <w:rPr>
                <w:rFonts w:hint="eastAsia" w:ascii="宋体" w:hAnsi="宋体" w:cs="宋体"/>
                <w:b/>
                <w:bCs/>
                <w:color w:val="auto"/>
                <w:szCs w:val="21"/>
                <w:highlight w:val="none"/>
              </w:rPr>
              <w:t>序号</w:t>
            </w:r>
          </w:p>
        </w:tc>
        <w:tc>
          <w:tcPr>
            <w:tcW w:w="2175" w:type="dxa"/>
            <w:vAlign w:val="center"/>
          </w:tcPr>
          <w:p w14:paraId="703F4E6F">
            <w:pPr>
              <w:jc w:val="center"/>
              <w:rPr>
                <w:rFonts w:ascii="宋体" w:hAnsi="宋体" w:cs="宋体"/>
                <w:b/>
                <w:bCs/>
                <w:color w:val="auto"/>
                <w:szCs w:val="21"/>
                <w:highlight w:val="none"/>
              </w:rPr>
            </w:pPr>
            <w:r>
              <w:rPr>
                <w:rFonts w:hint="eastAsia" w:ascii="宋体" w:hAnsi="宋体" w:cs="宋体"/>
                <w:b/>
                <w:bCs/>
                <w:color w:val="auto"/>
                <w:szCs w:val="21"/>
                <w:highlight w:val="none"/>
              </w:rPr>
              <w:t>项目</w:t>
            </w:r>
          </w:p>
        </w:tc>
        <w:tc>
          <w:tcPr>
            <w:tcW w:w="6723" w:type="dxa"/>
            <w:vAlign w:val="center"/>
          </w:tcPr>
          <w:p w14:paraId="354FA9D9">
            <w:pPr>
              <w:jc w:val="center"/>
              <w:rPr>
                <w:rFonts w:ascii="宋体" w:hAnsi="宋体" w:cs="宋体"/>
                <w:b/>
                <w:bCs/>
                <w:color w:val="auto"/>
                <w:szCs w:val="21"/>
                <w:highlight w:val="none"/>
              </w:rPr>
            </w:pPr>
            <w:r>
              <w:rPr>
                <w:rFonts w:hint="eastAsia" w:ascii="宋体" w:hAnsi="宋体" w:cs="宋体"/>
                <w:b/>
                <w:bCs/>
                <w:color w:val="auto"/>
                <w:szCs w:val="21"/>
                <w:highlight w:val="none"/>
              </w:rPr>
              <w:t>内容</w:t>
            </w:r>
          </w:p>
        </w:tc>
      </w:tr>
      <w:tr w14:paraId="7FF6B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1" w:type="dxa"/>
            <w:vAlign w:val="center"/>
          </w:tcPr>
          <w:p w14:paraId="54ACCF8D">
            <w:pPr>
              <w:jc w:val="center"/>
              <w:rPr>
                <w:rFonts w:ascii="宋体" w:hAnsi="宋体" w:cs="宋体"/>
                <w:color w:val="auto"/>
                <w:szCs w:val="21"/>
                <w:highlight w:val="none"/>
              </w:rPr>
            </w:pPr>
            <w:r>
              <w:rPr>
                <w:rFonts w:hint="eastAsia" w:ascii="宋体" w:hAnsi="宋体" w:cs="宋体"/>
                <w:color w:val="auto"/>
                <w:szCs w:val="21"/>
                <w:highlight w:val="none"/>
              </w:rPr>
              <w:t>1</w:t>
            </w:r>
          </w:p>
        </w:tc>
        <w:tc>
          <w:tcPr>
            <w:tcW w:w="2175" w:type="dxa"/>
            <w:vAlign w:val="center"/>
          </w:tcPr>
          <w:p w14:paraId="689FED49">
            <w:pPr>
              <w:jc w:val="center"/>
              <w:rPr>
                <w:rFonts w:ascii="宋体" w:hAnsi="宋体" w:cs="宋体"/>
                <w:color w:val="auto"/>
                <w:szCs w:val="21"/>
                <w:highlight w:val="none"/>
              </w:rPr>
            </w:pPr>
            <w:r>
              <w:rPr>
                <w:rFonts w:hint="eastAsia" w:ascii="宋体" w:hAnsi="宋体" w:cs="宋体"/>
                <w:color w:val="auto"/>
                <w:szCs w:val="21"/>
                <w:highlight w:val="none"/>
              </w:rPr>
              <w:t>项目说明</w:t>
            </w:r>
          </w:p>
        </w:tc>
        <w:tc>
          <w:tcPr>
            <w:tcW w:w="6723" w:type="dxa"/>
            <w:vAlign w:val="center"/>
          </w:tcPr>
          <w:p w14:paraId="7F83A6D2">
            <w:pPr>
              <w:rPr>
                <w:rFonts w:ascii="宋体" w:hAnsi="宋体" w:cs="宋体"/>
                <w:color w:val="auto"/>
                <w:szCs w:val="21"/>
                <w:highlight w:val="none"/>
              </w:rPr>
            </w:pPr>
            <w:r>
              <w:rPr>
                <w:rFonts w:hint="eastAsia" w:ascii="宋体" w:hAnsi="宋体" w:cs="宋体"/>
                <w:color w:val="auto"/>
                <w:szCs w:val="21"/>
                <w:highlight w:val="none"/>
              </w:rPr>
              <w:t>项目类别：服务类</w:t>
            </w:r>
          </w:p>
          <w:p w14:paraId="2E85B04A">
            <w:pPr>
              <w:rPr>
                <w:rFonts w:ascii="宋体" w:hAnsi="宋体" w:cs="宋体"/>
                <w:color w:val="auto"/>
                <w:szCs w:val="21"/>
                <w:highlight w:val="none"/>
              </w:rPr>
            </w:pPr>
            <w:r>
              <w:rPr>
                <w:rFonts w:hint="eastAsia" w:ascii="宋体" w:hAnsi="宋体" w:cs="宋体"/>
                <w:color w:val="auto"/>
                <w:szCs w:val="21"/>
                <w:highlight w:val="none"/>
              </w:rPr>
              <w:t>采购标的所属行业：根据《工业和信息化部、国家统计局、国家发展和改革委员会、财政部关于印发中小企业划型标准规定的通知》（工信部联企业[2011]300号）规定，本项目采购标的对应的中小企业划分标准所属行业为（十二）软件和信息技术服务业。</w:t>
            </w:r>
          </w:p>
        </w:tc>
      </w:tr>
      <w:tr w14:paraId="1C095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1" w:type="dxa"/>
            <w:vAlign w:val="center"/>
          </w:tcPr>
          <w:p w14:paraId="2910932B">
            <w:pPr>
              <w:jc w:val="center"/>
              <w:rPr>
                <w:rFonts w:ascii="宋体" w:hAnsi="宋体" w:cs="宋体"/>
                <w:color w:val="auto"/>
                <w:szCs w:val="21"/>
                <w:highlight w:val="none"/>
              </w:rPr>
            </w:pPr>
            <w:r>
              <w:rPr>
                <w:rFonts w:hint="eastAsia" w:ascii="宋体" w:hAnsi="宋体" w:cs="宋体"/>
                <w:color w:val="auto"/>
                <w:szCs w:val="21"/>
                <w:highlight w:val="none"/>
              </w:rPr>
              <w:t>2</w:t>
            </w:r>
          </w:p>
        </w:tc>
        <w:tc>
          <w:tcPr>
            <w:tcW w:w="2175" w:type="dxa"/>
            <w:vAlign w:val="center"/>
          </w:tcPr>
          <w:p w14:paraId="6D62E86B">
            <w:pPr>
              <w:jc w:val="center"/>
              <w:rPr>
                <w:rFonts w:ascii="宋体" w:hAnsi="宋体" w:cs="宋体"/>
                <w:color w:val="auto"/>
                <w:szCs w:val="21"/>
                <w:highlight w:val="none"/>
              </w:rPr>
            </w:pPr>
            <w:r>
              <w:rPr>
                <w:rFonts w:hint="eastAsia" w:ascii="宋体" w:hAnsi="宋体" w:cs="宋体"/>
                <w:color w:val="auto"/>
                <w:szCs w:val="21"/>
                <w:highlight w:val="none"/>
              </w:rPr>
              <w:t>供应商特定资格要求</w:t>
            </w:r>
          </w:p>
        </w:tc>
        <w:tc>
          <w:tcPr>
            <w:tcW w:w="6723" w:type="dxa"/>
            <w:vAlign w:val="center"/>
          </w:tcPr>
          <w:p w14:paraId="61393AF5">
            <w:pPr>
              <w:rPr>
                <w:rFonts w:ascii="宋体" w:hAnsi="宋体" w:cs="宋体"/>
                <w:color w:val="auto"/>
                <w:szCs w:val="21"/>
                <w:highlight w:val="none"/>
              </w:rPr>
            </w:pPr>
            <w:r>
              <w:rPr>
                <w:rFonts w:hint="eastAsia" w:ascii="宋体" w:hAnsi="宋体" w:cs="宋体"/>
                <w:color w:val="auto"/>
                <w:szCs w:val="21"/>
                <w:highlight w:val="none"/>
              </w:rPr>
              <w:t>符合竞争性磋商公告资格要求的供应商</w:t>
            </w:r>
          </w:p>
        </w:tc>
      </w:tr>
      <w:tr w14:paraId="16EF4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1" w:type="dxa"/>
            <w:vAlign w:val="center"/>
          </w:tcPr>
          <w:p w14:paraId="104AE10C">
            <w:pPr>
              <w:jc w:val="center"/>
              <w:rPr>
                <w:rFonts w:ascii="宋体" w:hAnsi="宋体" w:cs="宋体"/>
                <w:color w:val="auto"/>
                <w:szCs w:val="21"/>
                <w:highlight w:val="none"/>
              </w:rPr>
            </w:pPr>
            <w:r>
              <w:rPr>
                <w:rFonts w:hint="eastAsia" w:ascii="宋体" w:hAnsi="宋体" w:cs="宋体"/>
                <w:color w:val="auto"/>
                <w:szCs w:val="21"/>
                <w:highlight w:val="none"/>
              </w:rPr>
              <w:t>3</w:t>
            </w:r>
          </w:p>
        </w:tc>
        <w:tc>
          <w:tcPr>
            <w:tcW w:w="2175" w:type="dxa"/>
            <w:vAlign w:val="center"/>
          </w:tcPr>
          <w:p w14:paraId="4402B634">
            <w:pPr>
              <w:jc w:val="center"/>
              <w:rPr>
                <w:rFonts w:ascii="宋体" w:hAnsi="宋体" w:cs="宋体"/>
                <w:color w:val="auto"/>
                <w:szCs w:val="21"/>
                <w:highlight w:val="none"/>
              </w:rPr>
            </w:pPr>
            <w:r>
              <w:rPr>
                <w:rFonts w:hint="eastAsia" w:ascii="宋体" w:hAnsi="宋体" w:cs="宋体"/>
                <w:color w:val="auto"/>
                <w:szCs w:val="21"/>
                <w:highlight w:val="none"/>
              </w:rPr>
              <w:t>答疑会或现场踏勘</w:t>
            </w:r>
          </w:p>
        </w:tc>
        <w:tc>
          <w:tcPr>
            <w:tcW w:w="6723" w:type="dxa"/>
            <w:vAlign w:val="center"/>
          </w:tcPr>
          <w:p w14:paraId="604EBBE4">
            <w:pPr>
              <w:rPr>
                <w:rFonts w:ascii="宋体" w:hAnsi="宋体" w:cs="宋体"/>
                <w:color w:val="auto"/>
                <w:szCs w:val="21"/>
                <w:highlight w:val="none"/>
              </w:rPr>
            </w:pPr>
            <w:r>
              <w:rPr>
                <w:rFonts w:hint="eastAsia" w:ascii="宋体" w:hAnsi="宋体" w:cs="宋体"/>
                <w:color w:val="auto"/>
                <w:szCs w:val="21"/>
                <w:highlight w:val="none"/>
              </w:rPr>
              <w:t>无</w:t>
            </w:r>
          </w:p>
        </w:tc>
      </w:tr>
      <w:tr w14:paraId="401BF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1" w:type="dxa"/>
            <w:vAlign w:val="center"/>
          </w:tcPr>
          <w:p w14:paraId="07CA54B0">
            <w:pPr>
              <w:jc w:val="center"/>
              <w:rPr>
                <w:rFonts w:ascii="宋体" w:hAnsi="宋体" w:cs="宋体"/>
                <w:color w:val="auto"/>
                <w:szCs w:val="21"/>
                <w:highlight w:val="none"/>
              </w:rPr>
            </w:pPr>
            <w:r>
              <w:rPr>
                <w:rFonts w:hint="eastAsia" w:ascii="宋体" w:hAnsi="宋体" w:cs="宋体"/>
                <w:color w:val="auto"/>
                <w:szCs w:val="21"/>
                <w:highlight w:val="none"/>
              </w:rPr>
              <w:t>4</w:t>
            </w:r>
          </w:p>
        </w:tc>
        <w:tc>
          <w:tcPr>
            <w:tcW w:w="2175" w:type="dxa"/>
            <w:vAlign w:val="center"/>
          </w:tcPr>
          <w:p w14:paraId="4BB00738">
            <w:pPr>
              <w:jc w:val="center"/>
              <w:rPr>
                <w:rFonts w:ascii="宋体" w:hAnsi="宋体" w:cs="宋体"/>
                <w:color w:val="auto"/>
                <w:szCs w:val="21"/>
                <w:highlight w:val="none"/>
              </w:rPr>
            </w:pPr>
            <w:r>
              <w:rPr>
                <w:rFonts w:hint="eastAsia" w:ascii="宋体" w:hAnsi="宋体" w:cs="宋体"/>
                <w:color w:val="auto"/>
                <w:szCs w:val="21"/>
                <w:highlight w:val="none"/>
              </w:rPr>
              <w:t>磋商响应文件组成要求</w:t>
            </w:r>
          </w:p>
        </w:tc>
        <w:tc>
          <w:tcPr>
            <w:tcW w:w="6723" w:type="dxa"/>
            <w:vAlign w:val="center"/>
          </w:tcPr>
          <w:p w14:paraId="366960FF">
            <w:pPr>
              <w:rPr>
                <w:rFonts w:ascii="宋体" w:hAnsi="宋体" w:cs="宋体"/>
                <w:color w:val="auto"/>
                <w:szCs w:val="21"/>
                <w:highlight w:val="none"/>
              </w:rPr>
            </w:pPr>
            <w:r>
              <w:rPr>
                <w:rFonts w:hint="eastAsia" w:ascii="宋体" w:hAnsi="宋体" w:cs="宋体"/>
                <w:color w:val="auto"/>
                <w:szCs w:val="21"/>
                <w:highlight w:val="none"/>
              </w:rPr>
              <w:t>本项目实行电子投标，供应商应准备电子磋商响应文件、还可以提供以介质（U盘）存储的数据电文形式的备份磋商响应文件。</w:t>
            </w:r>
          </w:p>
          <w:p w14:paraId="240B636D">
            <w:pPr>
              <w:rPr>
                <w:rFonts w:ascii="宋体" w:hAnsi="宋体" w:cs="宋体"/>
                <w:color w:val="auto"/>
                <w:szCs w:val="21"/>
                <w:highlight w:val="none"/>
              </w:rPr>
            </w:pPr>
            <w:r>
              <w:rPr>
                <w:rFonts w:hint="eastAsia" w:ascii="宋体" w:hAnsi="宋体" w:cs="宋体"/>
                <w:color w:val="auto"/>
                <w:szCs w:val="21"/>
                <w:highlight w:val="none"/>
              </w:rPr>
              <w:t>1、电子磋商响应文件：指通过“政采云电子投标客户端”完成响应文件编制后生成并加密的数据电文形式的电子磋商响应文件。</w:t>
            </w:r>
          </w:p>
          <w:p w14:paraId="4D1ECEF3">
            <w:pPr>
              <w:rPr>
                <w:rFonts w:ascii="宋体" w:hAnsi="宋体" w:cs="宋体"/>
                <w:color w:val="auto"/>
                <w:szCs w:val="21"/>
                <w:highlight w:val="none"/>
              </w:rPr>
            </w:pPr>
            <w:r>
              <w:rPr>
                <w:rFonts w:hint="eastAsia" w:ascii="宋体" w:hAnsi="宋体" w:cs="宋体"/>
                <w:color w:val="auto"/>
                <w:szCs w:val="21"/>
                <w:highlight w:val="none"/>
              </w:rPr>
              <w:t>2、备份磋商响应文件：是指“电子响应文件”同时生成的数据电文形式的电子文件（备份标书），以U盘形式提供。</w:t>
            </w:r>
          </w:p>
          <w:p w14:paraId="6B110314">
            <w:pPr>
              <w:rPr>
                <w:rFonts w:ascii="宋体" w:hAnsi="宋体" w:cs="宋体"/>
                <w:color w:val="auto"/>
                <w:szCs w:val="21"/>
                <w:highlight w:val="none"/>
              </w:rPr>
            </w:pPr>
            <w:r>
              <w:rPr>
                <w:rFonts w:hint="eastAsia" w:ascii="宋体" w:hAnsi="宋体" w:cs="宋体"/>
                <w:color w:val="auto"/>
                <w:szCs w:val="21"/>
                <w:highlight w:val="none"/>
              </w:rPr>
              <w:t>以上两类响应文件均由资格证明文件、商务技术文件、报价文件三部分组成。</w:t>
            </w:r>
          </w:p>
        </w:tc>
      </w:tr>
      <w:tr w14:paraId="09214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1" w:type="dxa"/>
            <w:vAlign w:val="center"/>
          </w:tcPr>
          <w:p w14:paraId="43771A9A">
            <w:pPr>
              <w:jc w:val="center"/>
              <w:rPr>
                <w:rFonts w:ascii="宋体" w:hAnsi="宋体" w:cs="宋体"/>
                <w:color w:val="auto"/>
                <w:szCs w:val="21"/>
                <w:highlight w:val="none"/>
              </w:rPr>
            </w:pPr>
            <w:r>
              <w:rPr>
                <w:rFonts w:hint="eastAsia" w:ascii="宋体" w:hAnsi="宋体" w:cs="宋体"/>
                <w:color w:val="auto"/>
                <w:szCs w:val="21"/>
                <w:highlight w:val="none"/>
              </w:rPr>
              <w:t>5</w:t>
            </w:r>
          </w:p>
        </w:tc>
        <w:tc>
          <w:tcPr>
            <w:tcW w:w="2175" w:type="dxa"/>
            <w:vAlign w:val="center"/>
          </w:tcPr>
          <w:p w14:paraId="28808B1C">
            <w:pPr>
              <w:jc w:val="center"/>
              <w:rPr>
                <w:rFonts w:ascii="宋体" w:hAnsi="宋体" w:cs="宋体"/>
                <w:color w:val="auto"/>
                <w:szCs w:val="21"/>
                <w:highlight w:val="none"/>
              </w:rPr>
            </w:pPr>
            <w:r>
              <w:rPr>
                <w:rFonts w:hint="eastAsia" w:ascii="宋体" w:hAnsi="宋体" w:cs="宋体"/>
                <w:color w:val="auto"/>
                <w:szCs w:val="21"/>
                <w:highlight w:val="none"/>
              </w:rPr>
              <w:t>磋商响应文件有效期</w:t>
            </w:r>
          </w:p>
        </w:tc>
        <w:tc>
          <w:tcPr>
            <w:tcW w:w="6723" w:type="dxa"/>
            <w:vAlign w:val="center"/>
          </w:tcPr>
          <w:p w14:paraId="372066D6">
            <w:pPr>
              <w:rPr>
                <w:rFonts w:ascii="宋体" w:hAnsi="宋体" w:cs="宋体"/>
                <w:color w:val="auto"/>
                <w:szCs w:val="21"/>
                <w:highlight w:val="none"/>
              </w:rPr>
            </w:pPr>
            <w:r>
              <w:rPr>
                <w:rFonts w:hint="eastAsia" w:ascii="宋体" w:hAnsi="宋体" w:cs="宋体"/>
                <w:b/>
                <w:bCs/>
                <w:color w:val="auto"/>
                <w:kern w:val="0"/>
                <w:szCs w:val="21"/>
                <w:highlight w:val="none"/>
              </w:rPr>
              <w:t>▲</w:t>
            </w:r>
            <w:r>
              <w:rPr>
                <w:rFonts w:hint="eastAsia" w:ascii="宋体" w:hAnsi="宋体" w:cs="宋体"/>
                <w:color w:val="auto"/>
                <w:szCs w:val="21"/>
                <w:highlight w:val="none"/>
              </w:rPr>
              <w:t>磋商有效期为90天，磋商有效期从提交磋商响应文件的截止之日起算。</w:t>
            </w:r>
          </w:p>
        </w:tc>
      </w:tr>
      <w:tr w14:paraId="2DBA9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1" w:type="dxa"/>
            <w:vAlign w:val="center"/>
          </w:tcPr>
          <w:p w14:paraId="4BA5D911">
            <w:pPr>
              <w:jc w:val="center"/>
              <w:rPr>
                <w:rFonts w:ascii="宋体" w:hAnsi="宋体" w:cs="宋体"/>
                <w:color w:val="auto"/>
                <w:szCs w:val="21"/>
                <w:highlight w:val="none"/>
              </w:rPr>
            </w:pPr>
            <w:r>
              <w:rPr>
                <w:rFonts w:hint="eastAsia" w:ascii="宋体" w:hAnsi="宋体" w:cs="宋体"/>
                <w:color w:val="auto"/>
                <w:szCs w:val="21"/>
                <w:highlight w:val="none"/>
              </w:rPr>
              <w:t>6</w:t>
            </w:r>
          </w:p>
        </w:tc>
        <w:tc>
          <w:tcPr>
            <w:tcW w:w="2175" w:type="dxa"/>
            <w:vAlign w:val="center"/>
          </w:tcPr>
          <w:p w14:paraId="04DA437D">
            <w:pPr>
              <w:pStyle w:val="8"/>
              <w:jc w:val="center"/>
              <w:rPr>
                <w:rFonts w:ascii="宋体" w:hAnsi="宋体" w:cs="宋体"/>
                <w:color w:val="auto"/>
                <w:szCs w:val="21"/>
                <w:highlight w:val="none"/>
              </w:rPr>
            </w:pPr>
            <w:r>
              <w:rPr>
                <w:rFonts w:hint="eastAsia" w:ascii="宋体" w:hAnsi="宋体" w:cs="宋体"/>
                <w:color w:val="auto"/>
                <w:szCs w:val="21"/>
                <w:highlight w:val="none"/>
              </w:rPr>
              <w:t>电子投标响应文件的传输递交</w:t>
            </w:r>
          </w:p>
        </w:tc>
        <w:tc>
          <w:tcPr>
            <w:tcW w:w="6723" w:type="dxa"/>
            <w:vAlign w:val="center"/>
          </w:tcPr>
          <w:p w14:paraId="10D02489">
            <w:pPr>
              <w:rPr>
                <w:rFonts w:ascii="宋体" w:hAnsi="宋体" w:cs="宋体"/>
                <w:b/>
                <w:bCs/>
                <w:color w:val="auto"/>
                <w:szCs w:val="21"/>
                <w:highlight w:val="none"/>
                <w:u w:val="single"/>
              </w:rPr>
            </w:pPr>
            <w:r>
              <w:rPr>
                <w:rFonts w:hint="eastAsia" w:ascii="宋体" w:hAnsi="宋体" w:cs="宋体"/>
                <w:b/>
                <w:bCs/>
                <w:color w:val="auto"/>
                <w:szCs w:val="21"/>
                <w:highlight w:val="none"/>
              </w:rPr>
              <w:t>截止时间：</w:t>
            </w:r>
            <w:r>
              <w:rPr>
                <w:rFonts w:hint="eastAsia" w:ascii="宋体" w:hAnsi="宋体" w:cs="宋体"/>
                <w:color w:val="auto"/>
                <w:szCs w:val="21"/>
                <w:highlight w:val="none"/>
              </w:rPr>
              <w:t xml:space="preserve"> </w:t>
            </w:r>
            <w:r>
              <w:rPr>
                <w:rFonts w:hint="eastAsia" w:ascii="宋体" w:hAnsi="宋体" w:cs="宋体"/>
                <w:b/>
                <w:bCs/>
                <w:color w:val="auto"/>
                <w:szCs w:val="21"/>
                <w:highlight w:val="none"/>
                <w:u w:val="single"/>
                <w:lang w:eastAsia="zh-CN"/>
              </w:rPr>
              <w:t>2025年7月29日</w:t>
            </w:r>
            <w:r>
              <w:rPr>
                <w:rFonts w:hint="eastAsia" w:ascii="宋体" w:hAnsi="宋体" w:cs="宋体"/>
                <w:b/>
                <w:bCs/>
                <w:color w:val="auto"/>
                <w:szCs w:val="21"/>
                <w:highlight w:val="none"/>
                <w:u w:val="single"/>
              </w:rPr>
              <w:t>上午09:00整</w:t>
            </w:r>
          </w:p>
          <w:p w14:paraId="0D445C38">
            <w:pPr>
              <w:rPr>
                <w:rFonts w:ascii="宋体" w:hAnsi="宋体" w:cs="宋体"/>
                <w:color w:val="auto"/>
                <w:szCs w:val="21"/>
                <w:highlight w:val="none"/>
              </w:rPr>
            </w:pPr>
            <w:r>
              <w:rPr>
                <w:rFonts w:hint="eastAsia" w:ascii="宋体" w:hAnsi="宋体" w:cs="宋体"/>
                <w:color w:val="auto"/>
                <w:szCs w:val="21"/>
                <w:highlight w:val="none"/>
              </w:rPr>
              <w:t>▲供应商应当在磋商截止时间前完成电子磋商响应文件的传输递交，磋商截止时间前可以补充、修改或者撤回电子磋商响应文件。补充或者修改电子磋商响应文件的，应当先行撤回原文件，补充、修改后重新传输递交。磋商截止时间前未完成传输的，视为撤回磋商响应文件。磋商截止时间后寄达的磋商响应文件，将被拒收。</w:t>
            </w:r>
          </w:p>
        </w:tc>
      </w:tr>
      <w:tr w14:paraId="1A95D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1" w:type="dxa"/>
            <w:vAlign w:val="center"/>
          </w:tcPr>
          <w:p w14:paraId="03EC5214">
            <w:pPr>
              <w:jc w:val="center"/>
              <w:rPr>
                <w:rFonts w:ascii="宋体" w:hAnsi="宋体" w:cs="宋体"/>
                <w:color w:val="auto"/>
                <w:szCs w:val="21"/>
                <w:highlight w:val="none"/>
              </w:rPr>
            </w:pPr>
            <w:r>
              <w:rPr>
                <w:rFonts w:hint="eastAsia" w:ascii="宋体" w:hAnsi="宋体" w:cs="宋体"/>
                <w:color w:val="auto"/>
                <w:szCs w:val="21"/>
                <w:highlight w:val="none"/>
              </w:rPr>
              <w:t>7</w:t>
            </w:r>
          </w:p>
        </w:tc>
        <w:tc>
          <w:tcPr>
            <w:tcW w:w="2175" w:type="dxa"/>
            <w:vAlign w:val="center"/>
          </w:tcPr>
          <w:p w14:paraId="0DB5B3BF">
            <w:pPr>
              <w:jc w:val="center"/>
              <w:rPr>
                <w:rFonts w:ascii="宋体" w:hAnsi="宋体" w:cs="宋体"/>
                <w:color w:val="auto"/>
                <w:szCs w:val="21"/>
                <w:highlight w:val="none"/>
              </w:rPr>
            </w:pPr>
            <w:r>
              <w:rPr>
                <w:rFonts w:hint="eastAsia" w:ascii="宋体" w:hAnsi="宋体" w:cs="宋体"/>
                <w:color w:val="auto"/>
                <w:szCs w:val="21"/>
                <w:highlight w:val="none"/>
              </w:rPr>
              <w:t>备份磋商响应文件的递交</w:t>
            </w:r>
          </w:p>
        </w:tc>
        <w:tc>
          <w:tcPr>
            <w:tcW w:w="6723" w:type="dxa"/>
            <w:vAlign w:val="center"/>
          </w:tcPr>
          <w:p w14:paraId="48A59228">
            <w:pPr>
              <w:pStyle w:val="55"/>
              <w:snapToGrid w:val="0"/>
              <w:rPr>
                <w:rFonts w:ascii="宋体" w:hAnsi="宋体"/>
                <w:color w:val="auto"/>
                <w:kern w:val="2"/>
                <w:highlight w:val="none"/>
              </w:rPr>
            </w:pPr>
            <w:r>
              <w:rPr>
                <w:rFonts w:hint="eastAsia" w:ascii="宋体" w:hAnsi="宋体"/>
                <w:color w:val="auto"/>
                <w:kern w:val="2"/>
                <w:highlight w:val="none"/>
              </w:rPr>
              <w:t>供应商同时还可以提供经政采云平台加密处理的、以介质（U盘）存储的数据电文形式的备份磋商响应文件（不强制要求，未递交备份磋商响应文件的风险由供应商自行承担）。备份磋商响应文件应当在磋商截止时间前送达并按要求密封（备份磋商响应文件在密封袋的封口处应有磋商供应商公章或磋商授权委托代理人签字。封皮上写明项目编号、标段、招标项目名称、供应商名称，并注明“备份磋商响应文件”、“磋商时启封”字样）并建议采用顺丰邮寄（或直接递交）到</w:t>
            </w:r>
            <w:r>
              <w:rPr>
                <w:rFonts w:hint="eastAsia" w:ascii="宋体" w:hAnsi="宋体"/>
                <w:b/>
                <w:bCs/>
                <w:color w:val="auto"/>
                <w:kern w:val="2"/>
                <w:highlight w:val="none"/>
              </w:rPr>
              <w:t>台州市椒江区中环世纪6幢801室（交通银行台州分行楼上）收件人：俞雅琪</w:t>
            </w:r>
            <w:r>
              <w:rPr>
                <w:rFonts w:hint="eastAsia" w:ascii="宋体" w:hAnsi="宋体"/>
                <w:color w:val="auto"/>
                <w:kern w:val="2"/>
                <w:highlight w:val="none"/>
              </w:rPr>
              <w:t>；联系电话：15757696186，逾期寄达、到付或未按要求密封将被拒收。▲如供应商未在磋商截止时间前完成电子磋商响应文件的传输递交，其备份磋商响应文件也将为无效磋商响应文件。</w:t>
            </w:r>
          </w:p>
          <w:p w14:paraId="0BAD83D5">
            <w:pPr>
              <w:rPr>
                <w:rFonts w:ascii="宋体" w:hAnsi="宋体" w:cs="宋体"/>
                <w:color w:val="auto"/>
                <w:szCs w:val="21"/>
                <w:highlight w:val="none"/>
              </w:rPr>
            </w:pPr>
            <w:r>
              <w:rPr>
                <w:rFonts w:hint="eastAsia" w:ascii="宋体" w:hAnsi="宋体" w:cs="宋体"/>
                <w:b/>
                <w:bCs/>
                <w:color w:val="auto"/>
                <w:szCs w:val="21"/>
                <w:highlight w:val="none"/>
              </w:rPr>
              <w:t>截止时间：</w:t>
            </w:r>
            <w:r>
              <w:rPr>
                <w:rFonts w:hint="eastAsia" w:ascii="宋体" w:hAnsi="宋体" w:cs="宋体"/>
                <w:b/>
                <w:bCs/>
                <w:color w:val="auto"/>
                <w:szCs w:val="21"/>
                <w:highlight w:val="none"/>
                <w:u w:val="single"/>
              </w:rPr>
              <w:t xml:space="preserve"> </w:t>
            </w:r>
            <w:r>
              <w:rPr>
                <w:rFonts w:hint="eastAsia" w:ascii="宋体" w:hAnsi="宋体" w:cs="宋体"/>
                <w:b/>
                <w:bCs/>
                <w:color w:val="auto"/>
                <w:szCs w:val="21"/>
                <w:highlight w:val="none"/>
                <w:u w:val="single"/>
                <w:lang w:eastAsia="zh-CN"/>
              </w:rPr>
              <w:t>2025年7月29日</w:t>
            </w:r>
            <w:r>
              <w:rPr>
                <w:rFonts w:hint="eastAsia" w:ascii="宋体" w:hAnsi="宋体" w:cs="宋体"/>
                <w:b/>
                <w:bCs/>
                <w:color w:val="auto"/>
                <w:szCs w:val="21"/>
                <w:highlight w:val="none"/>
                <w:u w:val="single"/>
              </w:rPr>
              <w:t>上午09:00整</w:t>
            </w:r>
          </w:p>
        </w:tc>
      </w:tr>
      <w:tr w14:paraId="7658B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1" w:type="dxa"/>
            <w:vAlign w:val="center"/>
          </w:tcPr>
          <w:p w14:paraId="510806C6">
            <w:pPr>
              <w:jc w:val="center"/>
              <w:rPr>
                <w:rFonts w:ascii="宋体" w:hAnsi="宋体" w:cs="宋体"/>
                <w:color w:val="auto"/>
                <w:szCs w:val="21"/>
                <w:highlight w:val="none"/>
              </w:rPr>
            </w:pPr>
            <w:r>
              <w:rPr>
                <w:rFonts w:hint="eastAsia" w:ascii="宋体" w:hAnsi="宋体" w:cs="宋体"/>
                <w:color w:val="auto"/>
                <w:szCs w:val="21"/>
                <w:highlight w:val="none"/>
              </w:rPr>
              <w:t>8</w:t>
            </w:r>
          </w:p>
        </w:tc>
        <w:tc>
          <w:tcPr>
            <w:tcW w:w="2175" w:type="dxa"/>
            <w:vAlign w:val="center"/>
          </w:tcPr>
          <w:p w14:paraId="4C77F72F">
            <w:pPr>
              <w:jc w:val="center"/>
              <w:rPr>
                <w:rFonts w:ascii="宋体" w:hAnsi="宋体" w:cs="宋体"/>
                <w:color w:val="auto"/>
                <w:szCs w:val="21"/>
                <w:highlight w:val="none"/>
              </w:rPr>
            </w:pPr>
            <w:r>
              <w:rPr>
                <w:rFonts w:hint="eastAsia" w:ascii="宋体" w:hAnsi="宋体" w:cs="宋体"/>
                <w:color w:val="auto"/>
                <w:szCs w:val="21"/>
                <w:highlight w:val="none"/>
              </w:rPr>
              <w:t>备份磋商响应文件份数及密封要求</w:t>
            </w:r>
          </w:p>
        </w:tc>
        <w:tc>
          <w:tcPr>
            <w:tcW w:w="6723" w:type="dxa"/>
            <w:vAlign w:val="center"/>
          </w:tcPr>
          <w:p w14:paraId="01EF24DB">
            <w:pPr>
              <w:pStyle w:val="19"/>
              <w:spacing w:before="0" w:beforeAutospacing="0" w:after="0" w:afterAutospacing="0"/>
              <w:rPr>
                <w:rFonts w:cs="宋体"/>
                <w:color w:val="auto"/>
                <w:sz w:val="21"/>
                <w:szCs w:val="21"/>
                <w:highlight w:val="none"/>
              </w:rPr>
            </w:pPr>
            <w:r>
              <w:rPr>
                <w:rFonts w:hint="eastAsia" w:cs="宋体"/>
                <w:color w:val="auto"/>
                <w:sz w:val="21"/>
                <w:szCs w:val="21"/>
                <w:highlight w:val="none"/>
              </w:rPr>
              <w:t>一份，以U盘形式提供。</w:t>
            </w:r>
          </w:p>
          <w:p w14:paraId="709C2130">
            <w:pPr>
              <w:rPr>
                <w:rFonts w:ascii="宋体" w:hAnsi="宋体" w:cs="宋体"/>
                <w:bCs/>
                <w:color w:val="auto"/>
                <w:szCs w:val="21"/>
                <w:highlight w:val="none"/>
              </w:rPr>
            </w:pPr>
            <w:r>
              <w:rPr>
                <w:rFonts w:hint="eastAsia" w:ascii="宋体" w:hAnsi="宋体" w:cs="宋体"/>
                <w:bCs/>
                <w:color w:val="auto"/>
                <w:szCs w:val="21"/>
                <w:highlight w:val="none"/>
              </w:rPr>
              <w:t>备份磋商响应文件在密封袋的封口处加盖投标人公章、法定代表人代表或授权委托代理人印章或签字。封皮上写明项目编号、标项、招标项目名称、投标人名称，并注明“响应文件名称”、“开标时启封”字样。未按上述要求密封及加写标记</w:t>
            </w:r>
            <w:r>
              <w:rPr>
                <w:rFonts w:hint="eastAsia" w:ascii="宋体" w:hAnsi="宋体" w:cs="宋体"/>
                <w:color w:val="auto"/>
                <w:szCs w:val="21"/>
                <w:highlight w:val="none"/>
              </w:rPr>
              <w:t>将被拒收</w:t>
            </w:r>
            <w:r>
              <w:rPr>
                <w:rFonts w:hint="eastAsia" w:ascii="宋体" w:hAnsi="宋体" w:cs="宋体"/>
                <w:bCs/>
                <w:color w:val="auto"/>
                <w:szCs w:val="21"/>
                <w:highlight w:val="none"/>
              </w:rPr>
              <w:t>，采购代理机构对响应文件的误投和提前启封不负责任。</w:t>
            </w:r>
          </w:p>
          <w:p w14:paraId="7BF674CD">
            <w:pPr>
              <w:rPr>
                <w:rFonts w:ascii="宋体" w:hAnsi="宋体" w:cs="宋体"/>
                <w:b/>
                <w:bCs/>
                <w:color w:val="auto"/>
                <w:szCs w:val="21"/>
                <w:highlight w:val="none"/>
              </w:rPr>
            </w:pPr>
            <w:r>
              <w:rPr>
                <w:rFonts w:hint="eastAsia" w:ascii="宋体" w:hAnsi="宋体" w:cs="宋体"/>
                <w:color w:val="auto"/>
                <w:szCs w:val="21"/>
                <w:highlight w:val="none"/>
              </w:rPr>
              <w:t>如电子磋商响应文件解密成功，则备份磋商响应文件不再拆封。</w:t>
            </w:r>
          </w:p>
        </w:tc>
      </w:tr>
      <w:tr w14:paraId="7BB6F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1" w:type="dxa"/>
            <w:vAlign w:val="center"/>
          </w:tcPr>
          <w:p w14:paraId="2F7945E3">
            <w:pPr>
              <w:jc w:val="center"/>
              <w:rPr>
                <w:rFonts w:ascii="宋体" w:hAnsi="宋体" w:cs="宋体"/>
                <w:color w:val="auto"/>
                <w:szCs w:val="21"/>
                <w:highlight w:val="none"/>
              </w:rPr>
            </w:pPr>
            <w:r>
              <w:rPr>
                <w:rFonts w:hint="eastAsia" w:ascii="宋体" w:hAnsi="宋体" w:cs="宋体"/>
                <w:color w:val="auto"/>
                <w:szCs w:val="21"/>
                <w:highlight w:val="none"/>
              </w:rPr>
              <w:t>9</w:t>
            </w:r>
          </w:p>
        </w:tc>
        <w:tc>
          <w:tcPr>
            <w:tcW w:w="2175" w:type="dxa"/>
            <w:vAlign w:val="center"/>
          </w:tcPr>
          <w:p w14:paraId="4A07F1A1">
            <w:pPr>
              <w:jc w:val="center"/>
              <w:rPr>
                <w:rFonts w:ascii="宋体" w:hAnsi="宋体" w:cs="宋体"/>
                <w:color w:val="auto"/>
                <w:szCs w:val="21"/>
                <w:highlight w:val="none"/>
              </w:rPr>
            </w:pPr>
            <w:r>
              <w:rPr>
                <w:rFonts w:hint="eastAsia" w:ascii="宋体" w:hAnsi="宋体" w:cs="宋体"/>
                <w:color w:val="auto"/>
                <w:szCs w:val="21"/>
                <w:highlight w:val="none"/>
              </w:rPr>
              <w:t>电子投标响应文件解密时间及地点</w:t>
            </w:r>
          </w:p>
        </w:tc>
        <w:tc>
          <w:tcPr>
            <w:tcW w:w="6723" w:type="dxa"/>
            <w:vAlign w:val="center"/>
          </w:tcPr>
          <w:p w14:paraId="6AE710CE">
            <w:pPr>
              <w:rPr>
                <w:rFonts w:ascii="宋体" w:hAnsi="宋体" w:cs="宋体"/>
                <w:color w:val="auto"/>
                <w:szCs w:val="21"/>
                <w:highlight w:val="none"/>
              </w:rPr>
            </w:pPr>
            <w:r>
              <w:rPr>
                <w:rFonts w:hint="eastAsia" w:ascii="宋体" w:hAnsi="宋体" w:cs="宋体"/>
                <w:color w:val="auto"/>
                <w:szCs w:val="21"/>
                <w:highlight w:val="none"/>
              </w:rPr>
              <w:t>时间：</w:t>
            </w:r>
            <w:r>
              <w:rPr>
                <w:rFonts w:hint="eastAsia" w:ascii="宋体" w:hAnsi="宋体" w:cs="宋体"/>
                <w:color w:val="auto"/>
                <w:szCs w:val="21"/>
                <w:highlight w:val="none"/>
                <w:lang w:eastAsia="zh-CN"/>
              </w:rPr>
              <w:t>2025年7月29日</w:t>
            </w:r>
            <w:r>
              <w:rPr>
                <w:rFonts w:hint="eastAsia" w:ascii="宋体" w:hAnsi="宋体" w:cs="宋体"/>
                <w:color w:val="auto"/>
                <w:szCs w:val="21"/>
                <w:highlight w:val="none"/>
              </w:rPr>
              <w:t>上午09:00-09:30（北京时间）</w:t>
            </w:r>
          </w:p>
          <w:p w14:paraId="4A52C0BA">
            <w:pPr>
              <w:pStyle w:val="54"/>
              <w:spacing w:line="240" w:lineRule="auto"/>
              <w:rPr>
                <w:rFonts w:hAnsi="宋体" w:cs="宋体"/>
                <w:color w:val="auto"/>
                <w:sz w:val="21"/>
                <w:szCs w:val="21"/>
                <w:highlight w:val="none"/>
              </w:rPr>
            </w:pPr>
            <w:r>
              <w:rPr>
                <w:rFonts w:hint="eastAsia" w:hAnsi="宋体" w:cs="宋体"/>
                <w:color w:val="auto"/>
                <w:kern w:val="2"/>
                <w:sz w:val="21"/>
                <w:szCs w:val="21"/>
                <w:highlight w:val="none"/>
              </w:rPr>
              <w:t>地点：政采云平台（www.zcygov.cn）</w:t>
            </w:r>
          </w:p>
        </w:tc>
      </w:tr>
      <w:tr w14:paraId="27CF1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1" w:type="dxa"/>
            <w:vAlign w:val="center"/>
          </w:tcPr>
          <w:p w14:paraId="7FB746CA">
            <w:pPr>
              <w:jc w:val="center"/>
              <w:rPr>
                <w:rFonts w:ascii="宋体" w:hAnsi="宋体" w:cs="宋体"/>
                <w:color w:val="auto"/>
                <w:szCs w:val="21"/>
                <w:highlight w:val="none"/>
              </w:rPr>
            </w:pPr>
            <w:r>
              <w:rPr>
                <w:rFonts w:hint="eastAsia" w:ascii="宋体" w:hAnsi="宋体" w:cs="宋体"/>
                <w:color w:val="auto"/>
                <w:szCs w:val="21"/>
                <w:highlight w:val="none"/>
              </w:rPr>
              <w:t>10</w:t>
            </w:r>
          </w:p>
        </w:tc>
        <w:tc>
          <w:tcPr>
            <w:tcW w:w="2175" w:type="dxa"/>
            <w:vAlign w:val="center"/>
          </w:tcPr>
          <w:p w14:paraId="667BEC01">
            <w:pPr>
              <w:jc w:val="center"/>
              <w:rPr>
                <w:rFonts w:ascii="宋体" w:hAnsi="宋体" w:cs="宋体"/>
                <w:color w:val="auto"/>
                <w:szCs w:val="21"/>
                <w:highlight w:val="none"/>
                <w:lang w:val="zh-CN"/>
              </w:rPr>
            </w:pPr>
            <w:r>
              <w:rPr>
                <w:rFonts w:hint="eastAsia" w:ascii="宋体" w:hAnsi="宋体" w:cs="宋体"/>
                <w:color w:val="auto"/>
                <w:szCs w:val="21"/>
                <w:highlight w:val="none"/>
                <w:lang w:val="zh-CN"/>
              </w:rPr>
              <w:t>实质性条款</w:t>
            </w:r>
          </w:p>
        </w:tc>
        <w:tc>
          <w:tcPr>
            <w:tcW w:w="6723" w:type="dxa"/>
            <w:vAlign w:val="center"/>
          </w:tcPr>
          <w:p w14:paraId="08896556">
            <w:pPr>
              <w:rPr>
                <w:rFonts w:ascii="宋体" w:hAnsi="宋体" w:cs="宋体"/>
                <w:color w:val="auto"/>
                <w:szCs w:val="21"/>
                <w:highlight w:val="none"/>
                <w:lang w:val="zh-CN"/>
              </w:rPr>
            </w:pPr>
            <w:r>
              <w:rPr>
                <w:rFonts w:hint="eastAsia" w:ascii="宋体" w:hAnsi="宋体" w:cs="宋体"/>
                <w:color w:val="auto"/>
                <w:szCs w:val="21"/>
                <w:highlight w:val="none"/>
                <w:lang w:val="zh-CN"/>
              </w:rPr>
              <w:t>带“</w:t>
            </w:r>
            <w:r>
              <w:rPr>
                <w:rFonts w:hint="eastAsia" w:ascii="宋体" w:hAnsi="宋体" w:cs="宋体"/>
                <w:color w:val="auto"/>
                <w:szCs w:val="21"/>
                <w:highlight w:val="none"/>
              </w:rPr>
              <w:t>▲”的条款是实质性条款，磋商响应文件须作出实质性响应，否则终止磋商。</w:t>
            </w:r>
          </w:p>
        </w:tc>
      </w:tr>
      <w:tr w14:paraId="55435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1" w:type="dxa"/>
            <w:vAlign w:val="center"/>
          </w:tcPr>
          <w:p w14:paraId="110ACECA">
            <w:pPr>
              <w:jc w:val="center"/>
              <w:rPr>
                <w:rFonts w:ascii="宋体" w:hAnsi="宋体" w:cs="宋体"/>
                <w:color w:val="auto"/>
                <w:szCs w:val="21"/>
                <w:highlight w:val="none"/>
              </w:rPr>
            </w:pPr>
            <w:r>
              <w:rPr>
                <w:rFonts w:hint="eastAsia" w:ascii="宋体" w:hAnsi="宋体" w:cs="宋体"/>
                <w:color w:val="auto"/>
                <w:szCs w:val="21"/>
                <w:highlight w:val="none"/>
              </w:rPr>
              <w:t>11</w:t>
            </w:r>
          </w:p>
        </w:tc>
        <w:tc>
          <w:tcPr>
            <w:tcW w:w="2175" w:type="dxa"/>
            <w:vAlign w:val="center"/>
          </w:tcPr>
          <w:p w14:paraId="2F5A62F6">
            <w:pPr>
              <w:jc w:val="center"/>
              <w:rPr>
                <w:rFonts w:ascii="宋体" w:hAnsi="宋体" w:cs="宋体"/>
                <w:color w:val="auto"/>
                <w:szCs w:val="21"/>
                <w:highlight w:val="none"/>
              </w:rPr>
            </w:pPr>
            <w:r>
              <w:rPr>
                <w:rFonts w:hint="eastAsia" w:ascii="宋体" w:hAnsi="宋体" w:cs="宋体"/>
                <w:color w:val="auto"/>
                <w:szCs w:val="21"/>
                <w:highlight w:val="none"/>
              </w:rPr>
              <w:t>其他要求</w:t>
            </w:r>
          </w:p>
        </w:tc>
        <w:tc>
          <w:tcPr>
            <w:tcW w:w="6723" w:type="dxa"/>
            <w:vAlign w:val="center"/>
          </w:tcPr>
          <w:p w14:paraId="6ABEC841">
            <w:pPr>
              <w:jc w:val="left"/>
              <w:rPr>
                <w:rFonts w:ascii="宋体" w:hAnsi="宋体" w:cs="宋体"/>
                <w:color w:val="auto"/>
                <w:szCs w:val="21"/>
                <w:highlight w:val="none"/>
              </w:rPr>
            </w:pPr>
            <w:r>
              <w:rPr>
                <w:rFonts w:hint="eastAsia" w:ascii="宋体" w:hAnsi="宋体" w:cs="宋体"/>
                <w:color w:val="auto"/>
                <w:highlight w:val="none"/>
              </w:rPr>
              <w:t>1、踏勘现场时间及地点：不组织，各投标单位根据自己需要，自行前往勘察现场和周围环境，所产生的费用由投标单位自理。</w:t>
            </w:r>
            <w:r>
              <w:rPr>
                <w:rFonts w:hint="eastAsia" w:ascii="宋体" w:hAnsi="宋体" w:cs="宋体"/>
                <w:color w:val="auto"/>
                <w:szCs w:val="21"/>
                <w:highlight w:val="none"/>
              </w:rPr>
              <w:t>2、节能产品、环保产品：无要求；3、样品：无要求；4、现场演示：无要求。</w:t>
            </w:r>
          </w:p>
        </w:tc>
      </w:tr>
      <w:tr w14:paraId="7D7C9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1" w:type="dxa"/>
            <w:vAlign w:val="center"/>
          </w:tcPr>
          <w:p w14:paraId="3B6EECC5">
            <w:pPr>
              <w:jc w:val="center"/>
              <w:rPr>
                <w:rFonts w:ascii="宋体" w:hAnsi="宋体" w:cs="宋体"/>
                <w:color w:val="auto"/>
                <w:szCs w:val="21"/>
                <w:highlight w:val="none"/>
              </w:rPr>
            </w:pPr>
            <w:r>
              <w:rPr>
                <w:rFonts w:hint="eastAsia" w:ascii="宋体" w:hAnsi="宋体" w:cs="宋体"/>
                <w:color w:val="auto"/>
                <w:szCs w:val="21"/>
                <w:highlight w:val="none"/>
              </w:rPr>
              <w:t>12</w:t>
            </w:r>
          </w:p>
        </w:tc>
        <w:tc>
          <w:tcPr>
            <w:tcW w:w="2175" w:type="dxa"/>
            <w:vAlign w:val="center"/>
          </w:tcPr>
          <w:p w14:paraId="33E2A38C">
            <w:pPr>
              <w:jc w:val="center"/>
              <w:rPr>
                <w:rFonts w:ascii="宋体" w:hAnsi="宋体" w:cs="宋体"/>
                <w:color w:val="auto"/>
                <w:szCs w:val="21"/>
                <w:highlight w:val="none"/>
              </w:rPr>
            </w:pPr>
            <w:r>
              <w:rPr>
                <w:rFonts w:hint="eastAsia" w:ascii="宋体" w:hAnsi="宋体" w:cs="宋体"/>
                <w:color w:val="auto"/>
                <w:szCs w:val="21"/>
                <w:highlight w:val="none"/>
              </w:rPr>
              <w:t>中小企业扶持政策</w:t>
            </w:r>
          </w:p>
        </w:tc>
        <w:tc>
          <w:tcPr>
            <w:tcW w:w="6723" w:type="dxa"/>
            <w:vAlign w:val="center"/>
          </w:tcPr>
          <w:p w14:paraId="6D5A9F65">
            <w:pPr>
              <w:pStyle w:val="54"/>
              <w:spacing w:line="240" w:lineRule="auto"/>
              <w:rPr>
                <w:rFonts w:hAnsi="宋体" w:cs="宋体"/>
                <w:color w:val="auto"/>
                <w:sz w:val="21"/>
                <w:szCs w:val="21"/>
                <w:highlight w:val="none"/>
              </w:rPr>
            </w:pPr>
            <w:r>
              <w:rPr>
                <w:rFonts w:hint="eastAsia" w:hAnsi="宋体" w:cs="宋体"/>
                <w:color w:val="auto"/>
                <w:sz w:val="21"/>
                <w:szCs w:val="21"/>
                <w:highlight w:val="none"/>
              </w:rPr>
              <w:t>1、依据《政府采购促进中小企业发展管理办法》（财库【2020】46号）第十二条规定，享受扶持政策获得政府采购合同的，小微企业不得将合同分包给大中型企业，中型企业不得将合同分包给大型企业，否则按违约处理。</w:t>
            </w:r>
          </w:p>
        </w:tc>
      </w:tr>
      <w:tr w14:paraId="5B239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1" w:type="dxa"/>
            <w:vAlign w:val="center"/>
          </w:tcPr>
          <w:p w14:paraId="04E5B2F7">
            <w:pPr>
              <w:jc w:val="center"/>
              <w:rPr>
                <w:rFonts w:ascii="宋体" w:hAnsi="宋体" w:cs="宋体"/>
                <w:color w:val="auto"/>
                <w:szCs w:val="21"/>
                <w:highlight w:val="none"/>
              </w:rPr>
            </w:pPr>
            <w:r>
              <w:rPr>
                <w:rFonts w:hint="eastAsia" w:ascii="宋体" w:hAnsi="宋体" w:cs="宋体"/>
                <w:color w:val="auto"/>
                <w:szCs w:val="21"/>
                <w:highlight w:val="none"/>
              </w:rPr>
              <w:t>13</w:t>
            </w:r>
          </w:p>
        </w:tc>
        <w:tc>
          <w:tcPr>
            <w:tcW w:w="2175" w:type="dxa"/>
            <w:shd w:val="clear" w:color="auto" w:fill="auto"/>
            <w:vAlign w:val="center"/>
          </w:tcPr>
          <w:p w14:paraId="27F3DC52">
            <w:pPr>
              <w:jc w:val="center"/>
              <w:rPr>
                <w:rFonts w:ascii="宋体" w:hAnsi="宋体" w:cs="宋体"/>
                <w:color w:val="auto"/>
                <w:szCs w:val="21"/>
                <w:highlight w:val="none"/>
              </w:rPr>
            </w:pPr>
            <w:r>
              <w:rPr>
                <w:rFonts w:hint="eastAsia" w:ascii="宋体" w:hAnsi="宋体" w:cs="宋体"/>
                <w:color w:val="auto"/>
                <w:szCs w:val="21"/>
                <w:highlight w:val="none"/>
              </w:rPr>
              <w:t>其他</w:t>
            </w:r>
          </w:p>
        </w:tc>
        <w:tc>
          <w:tcPr>
            <w:tcW w:w="6723" w:type="dxa"/>
            <w:shd w:val="clear" w:color="auto" w:fill="auto"/>
            <w:vAlign w:val="center"/>
          </w:tcPr>
          <w:p w14:paraId="7D0CDA76">
            <w:pPr>
              <w:rPr>
                <w:rFonts w:ascii="宋体" w:hAnsi="宋体" w:cs="宋体"/>
                <w:color w:val="auto"/>
                <w:szCs w:val="21"/>
                <w:highlight w:val="none"/>
              </w:rPr>
            </w:pPr>
            <w:r>
              <w:rPr>
                <w:rFonts w:hint="eastAsia" w:ascii="宋体" w:hAnsi="宋体" w:cs="宋体"/>
                <w:color w:val="auto"/>
                <w:szCs w:val="21"/>
                <w:highlight w:val="none"/>
              </w:rPr>
              <w:t>1、各供应商自行在浙江政府采购网下载或查阅采购文件和相关更正公告等，不另行通知，如有遗漏采购人、采购代理机构概不负责。</w:t>
            </w:r>
          </w:p>
          <w:p w14:paraId="555643E4">
            <w:pPr>
              <w:rPr>
                <w:rFonts w:ascii="宋体" w:hAnsi="宋体" w:cs="宋体"/>
                <w:color w:val="auto"/>
                <w:szCs w:val="21"/>
                <w:highlight w:val="none"/>
              </w:rPr>
            </w:pPr>
            <w:r>
              <w:rPr>
                <w:rFonts w:hint="eastAsia" w:ascii="宋体" w:hAnsi="宋体" w:cs="宋体"/>
                <w:color w:val="auto"/>
                <w:szCs w:val="21"/>
                <w:highlight w:val="none"/>
              </w:rPr>
              <w:t>2、两家或两家以上供应商提供的投标文件出自同一终端设备的，或在相同Internet主机分配地址（相同IP地址）报名或网上投标的，后果由供应商自行承担。</w:t>
            </w:r>
          </w:p>
          <w:p w14:paraId="6C424EF2">
            <w:pPr>
              <w:rPr>
                <w:rFonts w:ascii="宋体" w:hAnsi="宋体" w:cs="宋体"/>
                <w:color w:val="auto"/>
                <w:szCs w:val="21"/>
                <w:highlight w:val="none"/>
              </w:rPr>
            </w:pPr>
            <w:r>
              <w:rPr>
                <w:rFonts w:hint="eastAsia" w:ascii="宋体" w:hAnsi="宋体" w:cs="宋体"/>
                <w:color w:val="auto"/>
                <w:szCs w:val="21"/>
                <w:highlight w:val="none"/>
              </w:rPr>
              <w:t>3、开标时间后30分钟内供应商须携带CA自备电脑登录“政采云”平台，用“项目采购-开标评标”功能解密投标文件，投标人未按时解密或解密失败的，其上传的电子投标文件自动失效。</w:t>
            </w:r>
          </w:p>
        </w:tc>
      </w:tr>
      <w:tr w14:paraId="33446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1" w:type="dxa"/>
            <w:vAlign w:val="center"/>
          </w:tcPr>
          <w:p w14:paraId="4E63A142">
            <w:pPr>
              <w:jc w:val="center"/>
              <w:rPr>
                <w:rFonts w:ascii="宋体" w:hAnsi="宋体" w:cs="宋体"/>
                <w:color w:val="auto"/>
                <w:szCs w:val="21"/>
                <w:highlight w:val="none"/>
              </w:rPr>
            </w:pPr>
            <w:r>
              <w:rPr>
                <w:rFonts w:hint="eastAsia" w:ascii="宋体" w:hAnsi="宋体" w:cs="宋体"/>
                <w:color w:val="auto"/>
                <w:szCs w:val="21"/>
                <w:highlight w:val="none"/>
              </w:rPr>
              <w:t>14</w:t>
            </w:r>
          </w:p>
        </w:tc>
        <w:tc>
          <w:tcPr>
            <w:tcW w:w="2175" w:type="dxa"/>
            <w:vAlign w:val="center"/>
          </w:tcPr>
          <w:p w14:paraId="53FA5652">
            <w:pPr>
              <w:jc w:val="center"/>
              <w:rPr>
                <w:rFonts w:ascii="宋体" w:hAnsi="宋体" w:cs="宋体"/>
                <w:color w:val="auto"/>
                <w:szCs w:val="21"/>
                <w:highlight w:val="none"/>
              </w:rPr>
            </w:pPr>
            <w:r>
              <w:rPr>
                <w:rFonts w:hint="eastAsia" w:ascii="宋体" w:hAnsi="宋体" w:cs="宋体"/>
                <w:color w:val="auto"/>
                <w:szCs w:val="21"/>
                <w:highlight w:val="none"/>
              </w:rPr>
              <w:t>解释权</w:t>
            </w:r>
          </w:p>
        </w:tc>
        <w:tc>
          <w:tcPr>
            <w:tcW w:w="6723" w:type="dxa"/>
            <w:vAlign w:val="center"/>
          </w:tcPr>
          <w:p w14:paraId="42FB26DE">
            <w:pPr>
              <w:rPr>
                <w:rFonts w:ascii="宋体" w:hAnsi="宋体" w:cs="宋体"/>
                <w:color w:val="auto"/>
                <w:szCs w:val="21"/>
                <w:highlight w:val="none"/>
              </w:rPr>
            </w:pPr>
            <w:r>
              <w:rPr>
                <w:rFonts w:hint="eastAsia" w:ascii="宋体" w:hAnsi="宋体" w:cs="宋体"/>
                <w:color w:val="auto"/>
                <w:szCs w:val="21"/>
                <w:highlight w:val="none"/>
              </w:rPr>
              <w:t>本采购文件的解释权属于</w:t>
            </w:r>
            <w:r>
              <w:rPr>
                <w:rFonts w:hint="eastAsia" w:ascii="宋体" w:hAnsi="宋体" w:cs="宋体"/>
                <w:b/>
                <w:color w:val="auto"/>
                <w:szCs w:val="21"/>
                <w:highlight w:val="none"/>
              </w:rPr>
              <w:t>台州永安工程咨询有限公司和采购人</w:t>
            </w:r>
          </w:p>
        </w:tc>
      </w:tr>
    </w:tbl>
    <w:p w14:paraId="4EA2C9B8">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一、总则</w:t>
      </w:r>
    </w:p>
    <w:p w14:paraId="09CB048E">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（一） 适用范围</w:t>
      </w:r>
    </w:p>
    <w:p w14:paraId="766C447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本磋商文件适用于本次项目的磋商、评审、确定成交供应商、验收、合同履约、付款等行为（法律、法规另有规定的，从其规定）。</w:t>
      </w:r>
    </w:p>
    <w:p w14:paraId="3A771504">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（二）定义</w:t>
      </w:r>
    </w:p>
    <w:p w14:paraId="5F231497">
      <w:pPr>
        <w:tabs>
          <w:tab w:val="left" w:pos="0"/>
          <w:tab w:val="left" w:pos="851"/>
        </w:tabs>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zh-CN"/>
        </w:rPr>
        <w:t>“采购组织机构”指采购人委托组织磋商的集中采购机构或采购代理机构。</w:t>
      </w:r>
    </w:p>
    <w:p w14:paraId="181AAFF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2、采购人：是指委托</w:t>
      </w:r>
      <w:r>
        <w:rPr>
          <w:rFonts w:hint="eastAsia" w:ascii="宋体" w:hAnsi="宋体" w:cs="宋体"/>
          <w:color w:val="auto"/>
          <w:szCs w:val="21"/>
          <w:highlight w:val="none"/>
          <w:lang w:val="zh-CN"/>
        </w:rPr>
        <w:t>集中采购机构或</w:t>
      </w:r>
      <w:r>
        <w:rPr>
          <w:rFonts w:hint="eastAsia" w:ascii="宋体" w:hAnsi="宋体" w:cs="宋体"/>
          <w:color w:val="auto"/>
          <w:szCs w:val="21"/>
          <w:highlight w:val="none"/>
        </w:rPr>
        <w:t>采购代理机构采购本次项目的国家机关、事业单位和团体组织。</w:t>
      </w:r>
    </w:p>
    <w:p w14:paraId="4C814889">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3、磋商供应商：是指向</w:t>
      </w:r>
      <w:r>
        <w:rPr>
          <w:rFonts w:hint="eastAsia" w:ascii="宋体" w:hAnsi="宋体" w:cs="宋体"/>
          <w:color w:val="auto"/>
          <w:szCs w:val="21"/>
          <w:highlight w:val="none"/>
          <w:lang w:val="zh-CN"/>
        </w:rPr>
        <w:t>采购组织机构</w:t>
      </w:r>
      <w:r>
        <w:rPr>
          <w:rFonts w:hint="eastAsia" w:ascii="宋体" w:hAnsi="宋体" w:cs="宋体"/>
          <w:color w:val="auto"/>
          <w:szCs w:val="21"/>
          <w:highlight w:val="none"/>
        </w:rPr>
        <w:t>提交磋商响应文件的单位或个人。</w:t>
      </w:r>
    </w:p>
    <w:p w14:paraId="1CE5CADD">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4、货物：是指各种形态和种类的物品，包括原材料、燃料、设备、产品等。</w:t>
      </w:r>
    </w:p>
    <w:p w14:paraId="7121D270">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5、服务：是指除货物和工程以外的政府采购对象，包括各类专业服务、信息网络开发服务、金融保险服务、运输服务，以及维修与维护服务等。</w:t>
      </w:r>
    </w:p>
    <w:p w14:paraId="5DA817AB">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6、“书面形式”包括信函、传真等。</w:t>
      </w:r>
    </w:p>
    <w:p w14:paraId="3684188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7、“▲”系指实质性要求条款。</w:t>
      </w:r>
    </w:p>
    <w:p w14:paraId="4063596B">
      <w:pPr>
        <w:spacing w:line="360" w:lineRule="auto"/>
        <w:ind w:firstLine="422" w:firstLineChars="200"/>
        <w:jc w:val="left"/>
        <w:rPr>
          <w:rFonts w:ascii="宋体" w:hAnsi="宋体" w:cs="宋体"/>
          <w:b/>
          <w:bCs/>
          <w:color w:val="auto"/>
          <w:szCs w:val="21"/>
          <w:highlight w:val="none"/>
        </w:rPr>
      </w:pPr>
      <w:r>
        <w:rPr>
          <w:rFonts w:hint="eastAsia" w:ascii="宋体" w:hAnsi="宋体" w:cs="宋体"/>
          <w:b/>
          <w:bCs/>
          <w:color w:val="auto"/>
          <w:szCs w:val="21"/>
          <w:highlight w:val="none"/>
        </w:rPr>
        <w:t>（三）磋商费用</w:t>
      </w:r>
    </w:p>
    <w:p w14:paraId="0165C77B">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不论磋商结果如何，供应商均应自行承担所有与磋商有关的全部费用（磋商文件有相关规定除外）。</w:t>
      </w:r>
    </w:p>
    <w:p w14:paraId="6F671DA6">
      <w:pPr>
        <w:spacing w:line="360" w:lineRule="auto"/>
        <w:ind w:firstLine="422" w:firstLineChars="200"/>
        <w:jc w:val="left"/>
        <w:rPr>
          <w:rFonts w:ascii="宋体" w:hAnsi="宋体" w:cs="宋体"/>
          <w:b/>
          <w:bCs/>
          <w:color w:val="auto"/>
          <w:szCs w:val="21"/>
          <w:highlight w:val="none"/>
        </w:rPr>
      </w:pPr>
      <w:r>
        <w:rPr>
          <w:rFonts w:hint="eastAsia" w:ascii="宋体" w:hAnsi="宋体" w:cs="宋体"/>
          <w:b/>
          <w:bCs/>
          <w:color w:val="auto"/>
          <w:szCs w:val="21"/>
          <w:highlight w:val="none"/>
        </w:rPr>
        <w:t>（四）特别说明</w:t>
      </w:r>
    </w:p>
    <w:p w14:paraId="01658DC5">
      <w:pPr>
        <w:pStyle w:val="12"/>
        <w:spacing w:line="360" w:lineRule="auto"/>
        <w:ind w:firstLine="420" w:firstLineChars="200"/>
        <w:rPr>
          <w:rFonts w:hAnsi="宋体" w:cs="宋体"/>
          <w:color w:val="auto"/>
          <w:szCs w:val="21"/>
          <w:highlight w:val="none"/>
        </w:rPr>
      </w:pPr>
      <w:r>
        <w:rPr>
          <w:rFonts w:hint="eastAsia" w:hAnsi="宋体" w:cs="宋体"/>
          <w:color w:val="auto"/>
          <w:szCs w:val="21"/>
          <w:highlight w:val="none"/>
        </w:rPr>
        <w:t>1、供应商磋商所使用的资格、信誉、荣誉、业绩与企业认证必须为本供应商所拥有。供应商磋商所使用的采购项目实施人员必须为本供应商员工。▲其中涉及资格条件的如非本法人所拥有，则投标无效。</w:t>
      </w:r>
    </w:p>
    <w:p w14:paraId="0AAAB9F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2、供应商所标产品除磋商文件中明确规定要求“提供官网截图或相应检测报告的证明材料”以外，所有技术参数描述均以磋商响应文件为准。</w:t>
      </w:r>
      <w:r>
        <w:rPr>
          <w:rFonts w:hint="eastAsia" w:ascii="宋体" w:hAnsi="宋体" w:cs="宋体"/>
          <w:b/>
          <w:bCs/>
          <w:color w:val="auto"/>
          <w:szCs w:val="21"/>
          <w:highlight w:val="none"/>
        </w:rPr>
        <w:t>磋商供应商对所标产品技术参数的真实性承担法律责任。</w:t>
      </w:r>
      <w:r>
        <w:rPr>
          <w:rFonts w:hint="eastAsia" w:ascii="宋体" w:hAnsi="宋体" w:cs="宋体"/>
          <w:color w:val="auto"/>
          <w:szCs w:val="21"/>
          <w:highlight w:val="none"/>
        </w:rPr>
        <w:t>项目磋商结束后、质疑期限内，如有质疑供应商认为成交供应商所标产品、磋商响应文件技术参数与采购需求存在重大偏离、错误、甚至造假的情况，应提供具体有效的证明材料。</w:t>
      </w:r>
      <w:r>
        <w:rPr>
          <w:rFonts w:hint="eastAsia" w:ascii="宋体" w:hAnsi="宋体" w:cs="宋体"/>
          <w:color w:val="auto"/>
          <w:szCs w:val="21"/>
          <w:highlight w:val="none"/>
        </w:rPr>
        <w:tab/>
      </w:r>
    </w:p>
    <w:p w14:paraId="603A5E06">
      <w:pPr>
        <w:pStyle w:val="56"/>
        <w:spacing w:line="360" w:lineRule="auto"/>
        <w:rPr>
          <w:rFonts w:ascii="宋体" w:hAnsi="宋体" w:cs="宋体"/>
          <w:color w:val="auto"/>
          <w:szCs w:val="21"/>
          <w:highlight w:val="none"/>
        </w:rPr>
      </w:pPr>
      <w:r>
        <w:rPr>
          <w:rFonts w:hint="eastAsia" w:ascii="宋体" w:hAnsi="宋体" w:cs="宋体"/>
          <w:color w:val="auto"/>
          <w:szCs w:val="21"/>
          <w:highlight w:val="none"/>
        </w:rPr>
        <w:t>▲3、供应商在磋商活动中提供任何虚假材料,其响应无效，并报监管部门查处；成交后发现的,成交人须依照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6C6E7762">
      <w:pPr>
        <w:pStyle w:val="56"/>
        <w:spacing w:line="360" w:lineRule="auto"/>
        <w:rPr>
          <w:rFonts w:ascii="宋体" w:hAnsi="宋体" w:cs="宋体"/>
          <w:color w:val="auto"/>
          <w:szCs w:val="21"/>
          <w:highlight w:val="none"/>
        </w:rPr>
      </w:pPr>
      <w:r>
        <w:rPr>
          <w:rFonts w:hint="eastAsia" w:ascii="宋体" w:hAnsi="宋体" w:cs="宋体"/>
          <w:color w:val="auto"/>
          <w:szCs w:val="21"/>
          <w:highlight w:val="none"/>
        </w:rPr>
        <w:t>▲4、供应商不得相互串通磋商报价，不得妨碍其他供应商的公平竞争，不得损害采购人或其他供应商的合法权益，供应商不得以向采购人、磋商小组成员行贿或者采取其他不正当手段谋取成交。</w:t>
      </w:r>
    </w:p>
    <w:p w14:paraId="0B902A7D">
      <w:pPr>
        <w:pStyle w:val="56"/>
        <w:spacing w:line="360" w:lineRule="auto"/>
        <w:rPr>
          <w:rFonts w:ascii="宋体" w:hAnsi="宋体" w:cs="宋体"/>
          <w:color w:val="auto"/>
          <w:szCs w:val="21"/>
          <w:highlight w:val="none"/>
        </w:rPr>
      </w:pPr>
      <w:r>
        <w:rPr>
          <w:rFonts w:hint="eastAsia" w:ascii="宋体" w:hAnsi="宋体" w:cs="宋体"/>
          <w:color w:val="auto"/>
          <w:szCs w:val="21"/>
          <w:highlight w:val="none"/>
        </w:rPr>
        <w:t>▲5、为采购项目提供整体设计、规范编制或者项目管理、监理、检测等服务的供应商，不得再参加该采购项目的其他采购活动。</w:t>
      </w:r>
    </w:p>
    <w:p w14:paraId="3EC7F331">
      <w:pPr>
        <w:pStyle w:val="56"/>
        <w:spacing w:line="360" w:lineRule="auto"/>
        <w:rPr>
          <w:rFonts w:ascii="宋体" w:hAnsi="宋体" w:cs="宋体"/>
          <w:color w:val="auto"/>
          <w:szCs w:val="21"/>
          <w:highlight w:val="none"/>
        </w:rPr>
      </w:pPr>
      <w:r>
        <w:rPr>
          <w:rFonts w:hint="eastAsia" w:ascii="宋体" w:hAnsi="宋体" w:cs="宋体"/>
          <w:color w:val="auto"/>
          <w:szCs w:val="21"/>
          <w:highlight w:val="none"/>
        </w:rPr>
        <w:t>6、磋商响应文件格式中的表格式样可以根据项目差别做适当调整,但应当保持表格样式基本形态不变。</w:t>
      </w:r>
    </w:p>
    <w:p w14:paraId="001436EB">
      <w:pPr>
        <w:tabs>
          <w:tab w:val="left" w:pos="851"/>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单位负责人为同一人或者存在直接控股、管理关系的不同供应商，不得参加同一合同项下的政府采购活动。电子交易平台运营机构，以及与该机构有直接控股或者管理关系可能影响采购公正性的任何单位和个人，不得在该平台进行的政府采购项目电子交易中投标、响应和代理政府采购项目。</w:t>
      </w:r>
    </w:p>
    <w:p w14:paraId="435B82C2">
      <w:pPr>
        <w:tabs>
          <w:tab w:val="left" w:pos="851"/>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投标人在参与政府采购活动中所签署的一切文件，包括但不限于签到表、《政府采购活动现场确认声明书》等文件，特别是有关利害关系应如实填写、如实披露，投标人授权参与政府采购的人员视为应当知道与招标人、其他投标人之间的利害关系。如未如实披露，则视为提供虚假材料，由投标人承担不利后果。</w:t>
      </w:r>
    </w:p>
    <w:p w14:paraId="459F40D4">
      <w:pPr>
        <w:tabs>
          <w:tab w:val="left" w:pos="851"/>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▲9、本项目不允许转包、分包。</w:t>
      </w:r>
    </w:p>
    <w:p w14:paraId="37A8AB28">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二、磋商响应文件</w:t>
      </w:r>
    </w:p>
    <w:p w14:paraId="7713625C">
      <w:pPr>
        <w:spacing w:line="360" w:lineRule="auto"/>
        <w:ind w:firstLine="422" w:firstLineChars="200"/>
        <w:rPr>
          <w:rFonts w:ascii="宋体" w:hAnsi="宋体" w:cs="宋体"/>
          <w:b/>
          <w:color w:val="auto"/>
          <w:szCs w:val="21"/>
          <w:highlight w:val="none"/>
        </w:rPr>
      </w:pPr>
      <w:r>
        <w:rPr>
          <w:rFonts w:hint="eastAsia" w:ascii="宋体" w:hAnsi="宋体" w:cs="宋体"/>
          <w:b/>
          <w:bCs/>
          <w:color w:val="auto"/>
          <w:szCs w:val="21"/>
          <w:highlight w:val="none"/>
        </w:rPr>
        <w:t>（一）磋商</w:t>
      </w:r>
      <w:r>
        <w:rPr>
          <w:rFonts w:hint="eastAsia" w:ascii="宋体" w:hAnsi="宋体" w:cs="宋体"/>
          <w:b/>
          <w:color w:val="auto"/>
          <w:szCs w:val="21"/>
          <w:highlight w:val="none"/>
        </w:rPr>
        <w:t>响应文件的形式和效力</w:t>
      </w:r>
    </w:p>
    <w:p w14:paraId="06244CEC">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本项目实行电子投标，供应商应准备电子磋商响应文件、还可以提供备份磋商响应文件。</w:t>
      </w:r>
    </w:p>
    <w:p w14:paraId="6B92B017">
      <w:pPr>
        <w:spacing w:line="36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1、</w:t>
      </w:r>
      <w:r>
        <w:rPr>
          <w:rFonts w:hint="eastAsia" w:ascii="宋体" w:hAnsi="宋体" w:cs="宋体"/>
          <w:color w:val="auto"/>
          <w:szCs w:val="21"/>
          <w:highlight w:val="none"/>
          <w:lang w:val="zh-CN"/>
        </w:rPr>
        <w:t>电子磋商响应文件按</w:t>
      </w:r>
      <w:r>
        <w:rPr>
          <w:rFonts w:hint="eastAsia" w:ascii="宋体" w:hAnsi="宋体" w:cs="宋体"/>
          <w:color w:val="auto"/>
          <w:szCs w:val="21"/>
          <w:highlight w:val="none"/>
        </w:rPr>
        <w:t>政府采购</w:t>
      </w:r>
      <w:r>
        <w:rPr>
          <w:rFonts w:hint="eastAsia" w:ascii="宋体" w:hAnsi="宋体" w:cs="宋体"/>
          <w:color w:val="auto"/>
          <w:szCs w:val="21"/>
          <w:highlight w:val="none"/>
          <w:lang w:val="zh-CN"/>
        </w:rPr>
        <w:t>云平台供应商项目采购-电子招</w:t>
      </w:r>
      <w:r>
        <w:rPr>
          <w:rFonts w:hint="eastAsia" w:ascii="宋体" w:hAnsi="宋体" w:cs="宋体"/>
          <w:color w:val="auto"/>
          <w:szCs w:val="21"/>
          <w:highlight w:val="none"/>
        </w:rPr>
        <w:t>投标</w:t>
      </w:r>
      <w:r>
        <w:rPr>
          <w:rFonts w:hint="eastAsia" w:ascii="宋体" w:hAnsi="宋体" w:cs="宋体"/>
          <w:color w:val="auto"/>
          <w:szCs w:val="21"/>
          <w:highlight w:val="none"/>
          <w:lang w:val="zh-CN"/>
        </w:rPr>
        <w:t>操作指南（网址：https://helpcenter.zcygov.cn/document/#/document/detail?siteCode=beijing&amp;manualId=359&amp;topicId=1447）及本磋商文件要求制作、加密并递交</w:t>
      </w:r>
      <w:r>
        <w:rPr>
          <w:rFonts w:hint="eastAsia" w:ascii="宋体" w:hAnsi="宋体" w:cs="宋体"/>
          <w:bCs/>
          <w:color w:val="auto"/>
          <w:szCs w:val="21"/>
          <w:highlight w:val="none"/>
          <w:lang w:val="zh-CN"/>
        </w:rPr>
        <w:t>。</w:t>
      </w:r>
    </w:p>
    <w:p w14:paraId="12745846">
      <w:pPr>
        <w:spacing w:line="360" w:lineRule="auto"/>
        <w:ind w:firstLine="420" w:firstLineChars="200"/>
        <w:jc w:val="left"/>
        <w:rPr>
          <w:rFonts w:ascii="宋体" w:hAnsi="宋体" w:cs="宋体"/>
          <w:bCs/>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zh-CN"/>
        </w:rPr>
        <w:t>备份磋商响应文件是指“电子</w:t>
      </w:r>
      <w:r>
        <w:rPr>
          <w:rFonts w:hint="eastAsia" w:ascii="宋体" w:hAnsi="宋体" w:cs="宋体"/>
          <w:color w:val="auto"/>
          <w:szCs w:val="21"/>
          <w:highlight w:val="none"/>
        </w:rPr>
        <w:t>响应</w:t>
      </w:r>
      <w:r>
        <w:rPr>
          <w:rFonts w:hint="eastAsia" w:ascii="宋体" w:hAnsi="宋体" w:cs="宋体"/>
          <w:color w:val="auto"/>
          <w:szCs w:val="21"/>
          <w:highlight w:val="none"/>
          <w:lang w:val="zh-CN"/>
        </w:rPr>
        <w:t>文件”同时生成的数据电文形式的电子文件（备份标书），以U盘形式提供。</w:t>
      </w:r>
    </w:p>
    <w:p w14:paraId="7F85DEC3">
      <w:pPr>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u w:val="single"/>
        </w:rPr>
        <w:t>3、磋商响应文件启用顺序和效力：磋商响应文件的启用，按先后顺位分别为电子磋商响应文件、备份磋商响应文件。如果某位供应商的电子磋商响应文件无法按时解密的，可启用以介质（U盘）存储的数据电文形式的备份磋商响应文件。</w:t>
      </w:r>
    </w:p>
    <w:p w14:paraId="47E05280">
      <w:pPr>
        <w:spacing w:line="360" w:lineRule="auto"/>
        <w:ind w:firstLine="420" w:firstLineChars="200"/>
        <w:jc w:val="left"/>
        <w:rPr>
          <w:rFonts w:ascii="宋体" w:hAnsi="宋体" w:cs="宋体"/>
          <w:color w:val="auto"/>
          <w:szCs w:val="21"/>
          <w:highlight w:val="none"/>
        </w:rPr>
      </w:pPr>
      <w:r>
        <w:rPr>
          <w:rFonts w:hint="eastAsia" w:ascii="宋体" w:hAnsi="宋体" w:cs="宋体"/>
          <w:bCs/>
          <w:color w:val="auto"/>
          <w:szCs w:val="21"/>
          <w:highlight w:val="none"/>
        </w:rPr>
        <w:t>▲未传输递交电子磋商响应文件，投标无效。</w:t>
      </w:r>
    </w:p>
    <w:p w14:paraId="650EBBA1">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（二）磋商响应文件的组成</w:t>
      </w:r>
    </w:p>
    <w:p w14:paraId="0966F28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应仔细阅读磋商采购文件的所有内容，按磋商采购文件的要求，详细编制磋商响应文件（包含电子响应文件和备份响应文件）。【特别提示：如有要求提供资料原件的，原件另行包装，并与磋商响应文件一起提交，磋商响应截止时间后所有原件不予接收。资料原件也可以用与原件相符的公证原件替代】</w:t>
      </w:r>
    </w:p>
    <w:p w14:paraId="13517E0C">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▲1、资格证明内容的组成：</w:t>
      </w:r>
    </w:p>
    <w:p w14:paraId="2D2963A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（1）磋商声明书；</w:t>
      </w:r>
    </w:p>
    <w:p w14:paraId="4AB552A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（2）授权委托书（法定代表人亲自办理投标事宜的，则无需提交)；</w:t>
      </w:r>
    </w:p>
    <w:p w14:paraId="7EC6EBE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（3）法人或者其他组织的营业执照等证明文件，法定代表人和授权代表的身份证明；</w:t>
      </w:r>
    </w:p>
    <w:p w14:paraId="2E04E4E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（4）供应商认为需要说明的其他材料；</w:t>
      </w:r>
    </w:p>
    <w:p w14:paraId="0F0988ED">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2、商务与技术内容的组成：</w:t>
      </w:r>
    </w:p>
    <w:p w14:paraId="3A13B90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（1）供应商企业情况介绍；</w:t>
      </w:r>
    </w:p>
    <w:p w14:paraId="7625B12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（2）磋商响应方案描述：</w:t>
      </w:r>
    </w:p>
    <w:p w14:paraId="5FD7E08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A.项目需求的理解与分析(供应商对项目现状及需求的理解情况，对项目现状和需求描述的全面性、准确性、针对性，对项目重点、难点的把握，解决方案及合理化建议)。</w:t>
      </w:r>
    </w:p>
    <w:p w14:paraId="5416186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B.项目组织实施方案（包括项目服务期、确保项目实施的措施或方案、项目实施进度安排、项目实施人员及项目负责人的资质、类似经验及社保证明等）。</w:t>
      </w:r>
    </w:p>
    <w:p w14:paraId="0E91AE3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C.验收方案（包括项目验收标准和验收方法等）和措施；</w:t>
      </w:r>
    </w:p>
    <w:p w14:paraId="2F65C88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（3）商务及技术响应表。</w:t>
      </w:r>
    </w:p>
    <w:p w14:paraId="68D28D1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（4）供应商通过的与本项目相关的认证证书或文件；</w:t>
      </w:r>
    </w:p>
    <w:p w14:paraId="2CABE21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（5）类似项目的成功案例（供应商类似项目实施情况一览表、合同复印件及其相应的发票、用户验收报告等）；</w:t>
      </w:r>
    </w:p>
    <w:p w14:paraId="13F4A27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（6）供应商认为需要提供的其他资料（包括可能影响供应商商务与技术内容评分的各类证明材料）。</w:t>
      </w:r>
    </w:p>
    <w:p w14:paraId="7375346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（7）售后服务描述及承诺：</w:t>
      </w:r>
    </w:p>
    <w:p w14:paraId="4793E26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A.距采购人最近的服务网点详细介绍（包括地理位置、资质资格、技术力量、工作业绩、服务内容及联系电话等）。</w:t>
      </w:r>
    </w:p>
    <w:p w14:paraId="40D6D4D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B.针对本项目的售后服务措施及承诺（售后技术服务方案、人员配备、服务响应时间、技术培训方案等）。</w:t>
      </w:r>
    </w:p>
    <w:p w14:paraId="4E4383BE">
      <w:pPr>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u w:val="single"/>
        </w:rPr>
        <w:t>注：若磋商文件中有专门标注的某关联点，并要求供应商在电子投标系统中作出磋商响应的，如供应商未对关联点进行响应或者在响应文件其它内容进行描述，造成电子评审不能查询的责任由供应商自行承担。</w:t>
      </w:r>
    </w:p>
    <w:p w14:paraId="75F3E8A6">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3、报价内容的组成</w:t>
      </w:r>
    </w:p>
    <w:p w14:paraId="585479DA">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（1）报价内容由开标一览表、报价明细表、中小企业声明函（如有），以及供应商认为其他需要说明的内容组成。</w:t>
      </w:r>
    </w:p>
    <w:p w14:paraId="573AD0D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▲（2）此报价为供应商针对本项目报出的唯一的首次报价，包含其它一切所要涉及到的费用，有选择、附条件的报价将被拒绝。</w:t>
      </w:r>
    </w:p>
    <w:p w14:paraId="1CE63FB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投标报价为完成本项目的所有费用，包括所有人员的人工费、交通费、住宿费、伙食费、办公设施费、管理费、利润、税金、合同包含的所有风险责任等各项费用及不可预见费等所需的全部费用，全部费用已包含在投标报价中。</w:t>
      </w:r>
    </w:p>
    <w:p w14:paraId="20F9BD1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（4）政府采购优惠政策相关资料。</w:t>
      </w:r>
    </w:p>
    <w:p w14:paraId="4D095DF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▲（5）相关报价表需打印或用不褪色的墨水填写， 磋商响应报价表不得涂改和增删，如有错漏必须修改，修改处须由同一签署人签字或盖章，未由同一签署人签字或盖章的修改无效。由于字迹模糊或表达不清引起的后果由供应商负责。</w:t>
      </w:r>
    </w:p>
    <w:p w14:paraId="3906544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（6）报价有关表格应按采购文件中相关附表格式填写。</w:t>
      </w:r>
    </w:p>
    <w:p w14:paraId="419EE4AA">
      <w:pPr>
        <w:pStyle w:val="32"/>
        <w:spacing w:line="360" w:lineRule="auto"/>
        <w:ind w:firstLine="420"/>
        <w:rPr>
          <w:rFonts w:ascii="宋体" w:hAnsi="宋体" w:cs="宋体"/>
          <w:color w:val="auto"/>
          <w:sz w:val="21"/>
          <w:szCs w:val="21"/>
          <w:highlight w:val="none"/>
        </w:rPr>
      </w:pPr>
      <w:r>
        <w:rPr>
          <w:rFonts w:hint="eastAsia" w:ascii="宋体" w:hAnsi="宋体" w:cs="宋体"/>
          <w:color w:val="auto"/>
          <w:sz w:val="21"/>
          <w:szCs w:val="21"/>
          <w:highlight w:val="none"/>
        </w:rPr>
        <w:t>（7）最后的磋商报价低于首次报价，除磋商内容发生实质性变更，其报价明细表（如有）中各项报价需另行明确以外，各项报价均按比例下调。</w:t>
      </w:r>
    </w:p>
    <w:p w14:paraId="23A386BE">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（三）磋商响应文件的制作、封装及递交要求</w:t>
      </w:r>
    </w:p>
    <w:p w14:paraId="3539357F">
      <w:pPr>
        <w:spacing w:line="360" w:lineRule="auto"/>
        <w:ind w:firstLine="422" w:firstLineChars="200"/>
        <w:jc w:val="left"/>
        <w:rPr>
          <w:rFonts w:ascii="宋体" w:hAnsi="宋体" w:cs="宋体"/>
          <w:b/>
          <w:color w:val="auto"/>
          <w:szCs w:val="21"/>
          <w:highlight w:val="none"/>
        </w:rPr>
      </w:pPr>
      <w:r>
        <w:rPr>
          <w:rFonts w:hint="eastAsia" w:ascii="宋体" w:hAnsi="宋体" w:cs="宋体"/>
          <w:b/>
          <w:color w:val="auto"/>
          <w:szCs w:val="21"/>
          <w:highlight w:val="none"/>
        </w:rPr>
        <w:t>1、磋商响应文件的签署</w:t>
      </w:r>
    </w:p>
    <w:p w14:paraId="59CDFDD5">
      <w:pPr>
        <w:spacing w:line="36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1）电子磋商响应文件中须加盖供应商公章部分均采用CA签章，并根据“政府采购云平台供应商项目采购-电子招投标操作指南”及本采购文件规定的格式和顺序编制电子磋商响应文件并进行关联定位，以便磋商委员会在评标时，点击评分项可直接定位到该评分项内容。如对采购文件的某项要求，供应商的电子磋商响应文件未能关联定位提供相应的内容与其对应，则磋商委员会在评审时如做出对供应商不利的评审由供应商自行承担。</w:t>
      </w:r>
    </w:p>
    <w:p w14:paraId="5E379EC6">
      <w:pPr>
        <w:spacing w:line="36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电子磋商响应文件如内容不完整、编排混乱导致磋商响应文件被误读、漏读，或者在按采购文件规定的部位查找不到相关内容的，由供应商自行承担。</w:t>
      </w:r>
    </w:p>
    <w:p w14:paraId="1054F833">
      <w:pPr>
        <w:spacing w:line="360" w:lineRule="auto"/>
        <w:ind w:firstLine="420" w:firstLineChars="200"/>
        <w:jc w:val="left"/>
        <w:rPr>
          <w:rFonts w:ascii="宋体" w:hAnsi="宋体" w:cs="宋体"/>
          <w:color w:val="auto"/>
          <w:szCs w:val="21"/>
          <w:highlight w:val="none"/>
        </w:rPr>
      </w:pPr>
      <w:r>
        <w:rPr>
          <w:rFonts w:hint="eastAsia" w:ascii="宋体" w:hAnsi="宋体" w:cs="宋体"/>
          <w:bCs/>
          <w:color w:val="auto"/>
          <w:szCs w:val="21"/>
          <w:highlight w:val="none"/>
        </w:rPr>
        <w:t>（2）</w:t>
      </w:r>
      <w:r>
        <w:rPr>
          <w:rFonts w:hint="eastAsia" w:ascii="宋体" w:hAnsi="宋体" w:cs="宋体"/>
          <w:color w:val="auto"/>
          <w:szCs w:val="21"/>
          <w:highlight w:val="none"/>
        </w:rPr>
        <w:t>温馨提醒：</w:t>
      </w:r>
      <w:r>
        <w:rPr>
          <w:rFonts w:hint="eastAsia" w:ascii="宋体" w:hAnsi="宋体" w:cs="宋体"/>
          <w:color w:val="auto"/>
          <w:szCs w:val="21"/>
          <w:highlight w:val="none"/>
          <w:u w:val="single"/>
        </w:rPr>
        <w:t>CA签章上目前没有法定代表人或授权代表签字信息，需要供应商联系浙江杭州汇信科技有限公司等相应公司进行办理，或在磋商响应文件中涉及到签字的位置线下签好字然后扫描或者拍照做成PDF的格式亦可。</w:t>
      </w:r>
    </w:p>
    <w:p w14:paraId="1FDE3F0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（3）▲磋商响应文件不得涂改，若有修改错漏处，须加盖单位公章或者法定代表人或授权委托人签字或盖章。磋商响应文件因字迹潦草或表达不清所引起的后果由供应商负责。</w:t>
      </w:r>
    </w:p>
    <w:p w14:paraId="222FE1A4">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2、磋商响应文件的制作要求</w:t>
      </w:r>
    </w:p>
    <w:p w14:paraId="543C942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（1）供应商应按照磋商响应文件组成内容及项目磋商需求制作磋商响应文件，不按采购文件要求制作磋商响应文件由此产生的责任由磋商供应商自行承担。</w:t>
      </w:r>
    </w:p>
    <w:p w14:paraId="32A15C3F">
      <w:pPr>
        <w:spacing w:line="360" w:lineRule="auto"/>
        <w:ind w:firstLine="420" w:firstLineChars="200"/>
        <w:textAlignment w:val="bottom"/>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zh-CN"/>
        </w:rPr>
        <w:t>响应文件（包含电子磋商响应文件和备份磋商响应文件），其中电子磋商响应文件中所须加盖公章部分均采用CA签章。备份磋商响应文件</w:t>
      </w:r>
      <w:r>
        <w:rPr>
          <w:rFonts w:hint="eastAsia" w:ascii="宋体" w:hAnsi="宋体" w:cs="宋体"/>
          <w:color w:val="auto"/>
          <w:szCs w:val="21"/>
          <w:highlight w:val="none"/>
        </w:rPr>
        <w:t>按要求密封，否则其响应文件将可能被拒绝。</w:t>
      </w:r>
    </w:p>
    <w:p w14:paraId="5A09DCD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供应商应对所提供的全部资料的真实性承担法律责任，磋商响应文件内容中有要求盖章或签字的地方，必须加盖磋商供应商的公章以及法定代表人或授权委托代理人的盖章或签字，其中所有证书类文件提供的复印件必须全部加盖单位公章且必须在有效期内的。</w:t>
      </w:r>
    </w:p>
    <w:p w14:paraId="098FC66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磋商响应文件以及磋商供应商与采购组织机构就有关磋商事宜的所有来往函电，均应以中文汉语书写。▲除签字、盖章、专用名称等特殊情形外，以中文汉语以外的文字表述的磋商响应文件视同未提供，如该文件未提供将影响投标有效性的，则视为投标无效。</w:t>
      </w:r>
    </w:p>
    <w:p w14:paraId="5EDE879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（4）磋商计量单位，磋商采购文件已有明确规定的，使用磋商采购文件规定的计量单位；磋商采购文件没有规定的，▲应采用中华人民共和国法定计量单位（货币单位：人民币元），否则视同未响应。</w:t>
      </w:r>
    </w:p>
    <w:p w14:paraId="02968F3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（5）若磋商供应商不按采购文件的要求提供资格审查材料，其风险由磋商供应商自行承担。</w:t>
      </w:r>
    </w:p>
    <w:p w14:paraId="48A4AB2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（6）与本次磋商无关的内容请不要制作在内，确保磋商响应文件有针对性、简洁明了，同时节约纸张；磋商响应文件统一以A4纸大小双面打印并装订。</w:t>
      </w:r>
    </w:p>
    <w:p w14:paraId="7D8DF5DF">
      <w:pPr>
        <w:spacing w:line="360" w:lineRule="auto"/>
        <w:ind w:firstLine="422" w:firstLineChars="200"/>
        <w:rPr>
          <w:rFonts w:ascii="宋体" w:hAnsi="宋体" w:cs="宋体"/>
          <w:color w:val="auto"/>
          <w:szCs w:val="21"/>
          <w:highlight w:val="none"/>
        </w:rPr>
      </w:pPr>
      <w:r>
        <w:rPr>
          <w:rFonts w:hint="eastAsia" w:ascii="宋体" w:hAnsi="宋体" w:cs="宋体"/>
          <w:b/>
          <w:bCs/>
          <w:color w:val="auto"/>
          <w:szCs w:val="21"/>
          <w:highlight w:val="none"/>
        </w:rPr>
        <w:t>3、磋商响应文件的封装要求</w:t>
      </w:r>
    </w:p>
    <w:p w14:paraId="2D492285">
      <w:pPr>
        <w:pStyle w:val="54"/>
        <w:adjustRightInd/>
        <w:spacing w:line="360" w:lineRule="auto"/>
        <w:ind w:firstLine="420" w:firstLineChars="200"/>
        <w:rPr>
          <w:rFonts w:hAnsi="宋体" w:cs="宋体"/>
          <w:color w:val="auto"/>
          <w:sz w:val="21"/>
          <w:szCs w:val="21"/>
          <w:highlight w:val="none"/>
        </w:rPr>
      </w:pPr>
      <w:r>
        <w:rPr>
          <w:rFonts w:hint="eastAsia" w:hAnsi="宋体" w:cs="宋体"/>
          <w:color w:val="auto"/>
          <w:sz w:val="21"/>
          <w:szCs w:val="21"/>
          <w:highlight w:val="none"/>
        </w:rPr>
        <w:t>（1）磋商文件的正本</w:t>
      </w:r>
      <w:r>
        <w:rPr>
          <w:rFonts w:hint="eastAsia" w:hAnsi="宋体" w:cs="宋体"/>
          <w:color w:val="auto"/>
          <w:sz w:val="21"/>
          <w:szCs w:val="21"/>
          <w:highlight w:val="none"/>
          <w:lang w:val="zh-CN"/>
        </w:rPr>
        <w:t>封面</w:t>
      </w:r>
      <w:r>
        <w:rPr>
          <w:rFonts w:hint="eastAsia" w:hAnsi="宋体" w:cs="宋体"/>
          <w:color w:val="auto"/>
          <w:sz w:val="21"/>
          <w:szCs w:val="21"/>
          <w:highlight w:val="none"/>
        </w:rPr>
        <w:t>需注明“正本”字样。▲除报价文件外其余一律不准出现数字报价。如有不同标项，请按标项号分别编制。</w:t>
      </w:r>
    </w:p>
    <w:p w14:paraId="1F3202E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所有磋商响应资料按采购文件的组成所列内容及顺序装订成册，并逐页连续标注页码。因磋商响应文件内容不完整、编排混乱导致磋商响应文件被误读、漏读或者查找不到相关内容的责任由供应商自行承担。</w:t>
      </w:r>
    </w:p>
    <w:p w14:paraId="2491EC3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备份磋商响应文件请在密封袋的封口处应有磋商供应商公章或磋商授权委托代理人签字。封皮上写明项目编号、标段、招标项目名称、供应商名称，并注明“磋商响应文件名称”、“磋商时启封”字样，未按上述要求密封及加写标记将被拒收，采购组织机构对磋商响应文件的误投和提前启封不负责任。</w:t>
      </w:r>
    </w:p>
    <w:p w14:paraId="3A589E8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（4）项目如分标段，各标段磋商响应文件必须分开编制。</w:t>
      </w:r>
    </w:p>
    <w:p w14:paraId="7922922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（5）因密封不严、标记不明而造成失密、拒收、过早启封等情况，采购组织机构概不负责。</w:t>
      </w:r>
    </w:p>
    <w:p w14:paraId="117DDF07">
      <w:pPr>
        <w:spacing w:line="360" w:lineRule="auto"/>
        <w:ind w:firstLine="422" w:firstLineChars="200"/>
        <w:rPr>
          <w:rFonts w:ascii="宋体" w:hAnsi="宋体" w:cs="宋体"/>
          <w:color w:val="auto"/>
          <w:szCs w:val="21"/>
          <w:highlight w:val="none"/>
        </w:rPr>
      </w:pPr>
      <w:r>
        <w:rPr>
          <w:rFonts w:hint="eastAsia" w:ascii="宋体" w:hAnsi="宋体" w:cs="宋体"/>
          <w:b/>
          <w:bCs/>
          <w:color w:val="auto"/>
          <w:szCs w:val="21"/>
          <w:highlight w:val="none"/>
        </w:rPr>
        <w:t>4、磋商响应文件的递交要求</w:t>
      </w:r>
    </w:p>
    <w:p w14:paraId="48CD7A57">
      <w:pPr>
        <w:tabs>
          <w:tab w:val="left" w:pos="1418"/>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供应商同时还可以提供经政采云平台加密处理的、以介质（U盘）存储的数据电文形式的备份磋商响应文件（不强制要求，未递交备份磋商响应文件的风险由供应商自行承担）。备份磋商响应文件应当在磋商截止时间前送达并按要求密封（备份磋商响应文件在密封袋的封口处应有磋商供应商公章或磋商授权委托代理人签字。封皮上写明项目编号、标段、招标项目名称、供应商名称，并注明“备份磋商响应文件”、“磋商时启封”字样）并建议采用顺丰邮寄（或直接递交）到</w:t>
      </w:r>
      <w:r>
        <w:rPr>
          <w:rFonts w:hint="eastAsia" w:ascii="宋体" w:hAnsi="宋体" w:cs="宋体"/>
          <w:b/>
          <w:bCs/>
          <w:color w:val="auto"/>
          <w:szCs w:val="21"/>
          <w:highlight w:val="none"/>
        </w:rPr>
        <w:t>台州市椒江区中环世纪6幢801室（交通银行台州分行楼上）收件人：俞雅琪；联系电话：15757696186</w:t>
      </w:r>
      <w:r>
        <w:rPr>
          <w:rFonts w:hint="eastAsia" w:ascii="宋体" w:hAnsi="宋体" w:cs="宋体"/>
          <w:color w:val="auto"/>
          <w:szCs w:val="21"/>
          <w:highlight w:val="none"/>
        </w:rPr>
        <w:t>。备份磋商响应文件在截止时间后提交、到付或未按要求密封的，采购代理机构将拒绝接收。▲如供应商未在磋商截止时间前完成电子磋商响应文件的传输递交，其备份磋商响应文件也将为无效备份磋商响应文件。</w:t>
      </w:r>
    </w:p>
    <w:p w14:paraId="751FC717">
      <w:pPr>
        <w:tabs>
          <w:tab w:val="left" w:pos="1418"/>
        </w:tabs>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（2）电子磋商响应文件的相关说明</w:t>
      </w:r>
    </w:p>
    <w:p w14:paraId="648FE50C">
      <w:pPr>
        <w:tabs>
          <w:tab w:val="left" w:pos="1418"/>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供应商进行电子投标应安装客户端软件，并按照采购文件和电子交易平台的要求编制并加密磋商响应文件。▲供应商未按规定加密的磋商响应文件，电子交易平台将拒收。</w:t>
      </w:r>
    </w:p>
    <w:p w14:paraId="59BE4F63">
      <w:pPr>
        <w:tabs>
          <w:tab w:val="left" w:pos="1418"/>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应当在磋商截止时间前完成磋商响应文件的传输递交，并可以补充、修改或者撤回磋商响应文件。补充或者修改磋商响应文件的，应当先行撤回原文件，补充、修改后重新传输递交。磋商截止时间前未完成传输的，视为撤回磋商响应文件。▲磋商截止时间后递交的磋商响应文件，电子交易平台将拒收。</w:t>
      </w:r>
    </w:p>
    <w:p w14:paraId="5DD5C750">
      <w:pPr>
        <w:tabs>
          <w:tab w:val="left" w:pos="1418"/>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供应商在电子交易平台传输递交磋商响应文件后，还可以在磋商截止时间前提交备份磋商响应文件，若供应商未提交备份磋商响应文件，其后果由供应商自行承担。</w:t>
      </w:r>
    </w:p>
    <w:p w14:paraId="06C72A55">
      <w:pPr>
        <w:tabs>
          <w:tab w:val="left" w:pos="1418"/>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▲供应商仅提交备份磋商响应文件的，投标无效。</w:t>
      </w:r>
    </w:p>
    <w:p w14:paraId="5233C94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（3）如有特殊情况，采购代理机构延长截止时间和开标时间，采购代理机构和供应商的权利和义务将受到新的截止时间和开标时间的约束。</w:t>
      </w:r>
    </w:p>
    <w:p w14:paraId="31C44AA8">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5、磋商响应文件的补充、修改和撤回。</w:t>
      </w:r>
    </w:p>
    <w:p w14:paraId="245BA4E6">
      <w:pPr>
        <w:tabs>
          <w:tab w:val="left" w:pos="1418"/>
        </w:tabs>
        <w:spacing w:line="360" w:lineRule="auto"/>
        <w:ind w:firstLine="420" w:firstLineChars="200"/>
        <w:rPr>
          <w:rFonts w:ascii="宋体" w:hAnsi="宋体" w:cs="宋体"/>
          <w:color w:val="auto"/>
          <w:szCs w:val="21"/>
          <w:highlight w:val="none"/>
          <w:lang w:val="en-GB"/>
        </w:rPr>
      </w:pPr>
      <w:r>
        <w:rPr>
          <w:rFonts w:hint="eastAsia" w:ascii="宋体" w:hAnsi="宋体" w:cs="宋体"/>
          <w:color w:val="auto"/>
          <w:szCs w:val="21"/>
          <w:highlight w:val="none"/>
        </w:rPr>
        <w:t>▲</w:t>
      </w:r>
      <w:r>
        <w:rPr>
          <w:rFonts w:hint="eastAsia" w:ascii="宋体" w:hAnsi="宋体" w:cs="宋体"/>
          <w:color w:val="auto"/>
          <w:szCs w:val="21"/>
          <w:highlight w:val="none"/>
          <w:lang w:val="en-GB"/>
        </w:rPr>
        <w:t>（</w:t>
      </w:r>
      <w:r>
        <w:rPr>
          <w:rFonts w:hint="eastAsia" w:ascii="宋体" w:hAnsi="宋体" w:cs="宋体"/>
          <w:color w:val="auto"/>
          <w:szCs w:val="21"/>
          <w:highlight w:val="none"/>
        </w:rPr>
        <w:t>1</w:t>
      </w:r>
      <w:r>
        <w:rPr>
          <w:rFonts w:hint="eastAsia" w:ascii="宋体" w:hAnsi="宋体" w:cs="宋体"/>
          <w:color w:val="auto"/>
          <w:szCs w:val="21"/>
          <w:highlight w:val="none"/>
          <w:lang w:val="en-GB"/>
        </w:rPr>
        <w:t>）</w:t>
      </w:r>
      <w:r>
        <w:rPr>
          <w:rFonts w:hint="eastAsia" w:ascii="宋体" w:hAnsi="宋体" w:cs="宋体"/>
          <w:color w:val="auto"/>
          <w:szCs w:val="21"/>
          <w:highlight w:val="none"/>
        </w:rPr>
        <w:t>供应商</w:t>
      </w:r>
      <w:r>
        <w:rPr>
          <w:rFonts w:hint="eastAsia" w:ascii="宋体" w:hAnsi="宋体" w:cs="宋体"/>
          <w:color w:val="auto"/>
          <w:szCs w:val="21"/>
          <w:highlight w:val="none"/>
          <w:lang w:val="en-GB"/>
        </w:rPr>
        <w:t>应当在投标截止时间前完成电子</w:t>
      </w:r>
      <w:r>
        <w:rPr>
          <w:rFonts w:hint="eastAsia" w:ascii="宋体" w:hAnsi="宋体" w:cs="宋体"/>
          <w:color w:val="auto"/>
          <w:szCs w:val="21"/>
          <w:highlight w:val="none"/>
        </w:rPr>
        <w:t>磋商响应</w:t>
      </w:r>
      <w:r>
        <w:rPr>
          <w:rFonts w:hint="eastAsia" w:ascii="宋体" w:hAnsi="宋体" w:cs="宋体"/>
          <w:color w:val="auto"/>
          <w:szCs w:val="21"/>
          <w:highlight w:val="none"/>
          <w:lang w:val="en-GB"/>
        </w:rPr>
        <w:t>文件的上传、递交，并可以补充、修改或者撤回</w:t>
      </w:r>
      <w:r>
        <w:rPr>
          <w:rFonts w:hint="eastAsia" w:ascii="宋体" w:hAnsi="宋体" w:cs="宋体"/>
          <w:color w:val="auto"/>
          <w:szCs w:val="21"/>
          <w:highlight w:val="none"/>
        </w:rPr>
        <w:t>电子磋商响应</w:t>
      </w:r>
      <w:r>
        <w:rPr>
          <w:rFonts w:hint="eastAsia" w:ascii="宋体" w:hAnsi="宋体" w:cs="宋体"/>
          <w:color w:val="auto"/>
          <w:szCs w:val="21"/>
          <w:highlight w:val="none"/>
          <w:lang w:val="en-GB"/>
        </w:rPr>
        <w:t>文件。补充或者修改</w:t>
      </w:r>
      <w:r>
        <w:rPr>
          <w:rFonts w:hint="eastAsia" w:ascii="宋体" w:hAnsi="宋体" w:cs="宋体"/>
          <w:color w:val="auto"/>
          <w:szCs w:val="21"/>
          <w:highlight w:val="none"/>
        </w:rPr>
        <w:t>电子磋商响应</w:t>
      </w:r>
      <w:r>
        <w:rPr>
          <w:rFonts w:hint="eastAsia" w:ascii="宋体" w:hAnsi="宋体" w:cs="宋体"/>
          <w:color w:val="auto"/>
          <w:szCs w:val="21"/>
          <w:highlight w:val="none"/>
          <w:lang w:val="en-GB"/>
        </w:rPr>
        <w:t>文件的，应当先行撤回原文件，补充、修改后重新上传、递交。投标截止时间前未完成上传、递交的，视为撤回</w:t>
      </w:r>
      <w:r>
        <w:rPr>
          <w:rFonts w:hint="eastAsia" w:ascii="宋体" w:hAnsi="宋体" w:cs="宋体"/>
          <w:color w:val="auto"/>
          <w:szCs w:val="21"/>
          <w:highlight w:val="none"/>
        </w:rPr>
        <w:t>电子磋商响应</w:t>
      </w:r>
      <w:r>
        <w:rPr>
          <w:rFonts w:hint="eastAsia" w:ascii="宋体" w:hAnsi="宋体" w:cs="宋体"/>
          <w:color w:val="auto"/>
          <w:szCs w:val="21"/>
          <w:highlight w:val="none"/>
          <w:lang w:val="en-GB"/>
        </w:rPr>
        <w:t>文件。投标截止时间后递交的</w:t>
      </w:r>
      <w:r>
        <w:rPr>
          <w:rFonts w:hint="eastAsia" w:ascii="宋体" w:hAnsi="宋体" w:cs="宋体"/>
          <w:color w:val="auto"/>
          <w:szCs w:val="21"/>
          <w:highlight w:val="none"/>
        </w:rPr>
        <w:t>电子磋商响应</w:t>
      </w:r>
      <w:r>
        <w:rPr>
          <w:rFonts w:hint="eastAsia" w:ascii="宋体" w:hAnsi="宋体" w:cs="宋体"/>
          <w:color w:val="auto"/>
          <w:szCs w:val="21"/>
          <w:highlight w:val="none"/>
          <w:lang w:val="en-GB"/>
        </w:rPr>
        <w:t>文件，“政府采购云平台”将予以拒收。</w:t>
      </w:r>
    </w:p>
    <w:p w14:paraId="4DC7E7B5">
      <w:pPr>
        <w:tabs>
          <w:tab w:val="left" w:pos="1418"/>
        </w:tabs>
        <w:spacing w:line="360" w:lineRule="auto"/>
        <w:ind w:firstLine="420" w:firstLineChars="200"/>
        <w:rPr>
          <w:rFonts w:ascii="宋体" w:hAnsi="宋体" w:cs="宋体"/>
          <w:color w:val="auto"/>
          <w:szCs w:val="21"/>
          <w:highlight w:val="none"/>
          <w:lang w:val="en-GB"/>
        </w:rPr>
      </w:pPr>
      <w:r>
        <w:rPr>
          <w:rFonts w:hint="eastAsia" w:ascii="宋体" w:hAnsi="宋体" w:cs="宋体"/>
          <w:color w:val="auto"/>
          <w:szCs w:val="21"/>
          <w:highlight w:val="none"/>
          <w:lang w:val="en-GB"/>
        </w:rPr>
        <w:t>（</w:t>
      </w:r>
      <w:r>
        <w:rPr>
          <w:rFonts w:hint="eastAsia" w:ascii="宋体" w:hAnsi="宋体" w:cs="宋体"/>
          <w:color w:val="auto"/>
          <w:szCs w:val="21"/>
          <w:highlight w:val="none"/>
        </w:rPr>
        <w:t>2</w:t>
      </w:r>
      <w:r>
        <w:rPr>
          <w:rFonts w:hint="eastAsia" w:ascii="宋体" w:hAnsi="宋体" w:cs="宋体"/>
          <w:color w:val="auto"/>
          <w:szCs w:val="21"/>
          <w:highlight w:val="none"/>
          <w:lang w:val="en-GB"/>
        </w:rPr>
        <w:t>）投标截止时间后，供应商不得撤回、修改</w:t>
      </w:r>
      <w:r>
        <w:rPr>
          <w:rFonts w:hint="eastAsia" w:ascii="宋体" w:hAnsi="宋体" w:cs="宋体"/>
          <w:color w:val="auto"/>
          <w:szCs w:val="21"/>
          <w:highlight w:val="none"/>
        </w:rPr>
        <w:t>磋商响应</w:t>
      </w:r>
      <w:r>
        <w:rPr>
          <w:rFonts w:hint="eastAsia" w:ascii="宋体" w:hAnsi="宋体" w:cs="宋体"/>
          <w:color w:val="auto"/>
          <w:szCs w:val="21"/>
          <w:highlight w:val="none"/>
          <w:lang w:val="en-GB"/>
        </w:rPr>
        <w:t>文件。</w:t>
      </w:r>
    </w:p>
    <w:p w14:paraId="57D5ED7F">
      <w:pPr>
        <w:tabs>
          <w:tab w:val="left" w:pos="1418"/>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w:t>
      </w:r>
      <w:r>
        <w:rPr>
          <w:rFonts w:hint="eastAsia" w:ascii="宋体" w:hAnsi="宋体" w:cs="宋体"/>
          <w:color w:val="auto"/>
          <w:szCs w:val="21"/>
          <w:highlight w:val="none"/>
          <w:lang w:val="en-GB"/>
        </w:rPr>
        <w:t>在开标后规定的投标有效期内，</w:t>
      </w:r>
      <w:r>
        <w:rPr>
          <w:rFonts w:hint="eastAsia" w:ascii="宋体" w:hAnsi="宋体" w:cs="宋体"/>
          <w:color w:val="auto"/>
          <w:szCs w:val="21"/>
          <w:highlight w:val="none"/>
        </w:rPr>
        <w:t>供应商</w:t>
      </w:r>
      <w:r>
        <w:rPr>
          <w:rFonts w:hint="eastAsia" w:ascii="宋体" w:hAnsi="宋体" w:cs="宋体"/>
          <w:color w:val="auto"/>
          <w:szCs w:val="21"/>
          <w:highlight w:val="none"/>
          <w:lang w:val="en-GB"/>
        </w:rPr>
        <w:t>不能撤销</w:t>
      </w:r>
      <w:r>
        <w:rPr>
          <w:rFonts w:hint="eastAsia" w:ascii="宋体" w:hAnsi="宋体" w:cs="宋体"/>
          <w:color w:val="auto"/>
          <w:szCs w:val="21"/>
          <w:highlight w:val="none"/>
        </w:rPr>
        <w:t>磋商响应</w:t>
      </w:r>
      <w:r>
        <w:rPr>
          <w:rFonts w:hint="eastAsia" w:ascii="宋体" w:hAnsi="宋体" w:cs="宋体"/>
          <w:color w:val="auto"/>
          <w:szCs w:val="21"/>
          <w:highlight w:val="none"/>
          <w:lang w:val="en-GB"/>
        </w:rPr>
        <w:t>文件。</w:t>
      </w:r>
    </w:p>
    <w:p w14:paraId="51204F1F">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（四）磋商响应文件的有效期</w:t>
      </w:r>
    </w:p>
    <w:p w14:paraId="03441D4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▲1、自磋商响应截止日起90天磋商响应文件应保持有效。有效期不足的磋商响应文件将被拒绝。</w:t>
      </w:r>
    </w:p>
    <w:p w14:paraId="68FC6F8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2、在符合相关法律法规规定的情况下，采购人可与磋商供应商协商延长磋商响应文件的有效期，这种要求和答复均以书面形式进行。</w:t>
      </w:r>
    </w:p>
    <w:p w14:paraId="07AA5A1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3、磋商供应商可拒绝接受延期要求。同意延长有效期的磋商供应商不能修改磋商响应文件。 </w:t>
      </w:r>
    </w:p>
    <w:p w14:paraId="336338D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▲4、成交供应商的磋商响应文件自磋商之日起至合同履行完毕均应保持有效。</w:t>
      </w:r>
    </w:p>
    <w:p w14:paraId="40F40237">
      <w:pPr>
        <w:tabs>
          <w:tab w:val="left" w:pos="1418"/>
        </w:tabs>
        <w:spacing w:line="360" w:lineRule="auto"/>
        <w:ind w:firstLine="422" w:firstLineChars="200"/>
        <w:rPr>
          <w:rFonts w:ascii="宋体" w:hAnsi="宋体" w:cs="宋体"/>
          <w:b/>
          <w:color w:val="auto"/>
          <w:kern w:val="0"/>
          <w:szCs w:val="21"/>
          <w:highlight w:val="none"/>
        </w:rPr>
      </w:pPr>
      <w:r>
        <w:rPr>
          <w:rFonts w:hint="eastAsia" w:ascii="宋体" w:hAnsi="宋体" w:cs="宋体"/>
          <w:b/>
          <w:bCs/>
          <w:color w:val="auto"/>
          <w:szCs w:val="21"/>
          <w:highlight w:val="none"/>
        </w:rPr>
        <w:t>三、磋商</w:t>
      </w:r>
    </w:p>
    <w:p w14:paraId="4530C049">
      <w:pPr>
        <w:tabs>
          <w:tab w:val="left" w:pos="1418"/>
        </w:tabs>
        <w:spacing w:line="360" w:lineRule="auto"/>
        <w:ind w:firstLine="422" w:firstLineChars="200"/>
        <w:rPr>
          <w:rFonts w:ascii="宋体" w:hAnsi="宋体" w:cs="宋体"/>
          <w:b/>
          <w:bCs/>
          <w:color w:val="auto"/>
          <w:szCs w:val="21"/>
          <w:highlight w:val="none"/>
        </w:rPr>
      </w:pPr>
      <w:r>
        <w:rPr>
          <w:rFonts w:hint="eastAsia" w:ascii="宋体" w:hAnsi="宋体" w:cs="宋体"/>
          <w:b/>
          <w:color w:val="auto"/>
          <w:szCs w:val="21"/>
          <w:highlight w:val="none"/>
        </w:rPr>
        <w:t>（一）磋商</w:t>
      </w:r>
      <w:r>
        <w:rPr>
          <w:rFonts w:hint="eastAsia" w:ascii="宋体" w:hAnsi="宋体" w:cs="宋体"/>
          <w:b/>
          <w:bCs/>
          <w:color w:val="auto"/>
          <w:szCs w:val="21"/>
          <w:highlight w:val="none"/>
        </w:rPr>
        <w:t>事项：</w:t>
      </w:r>
    </w:p>
    <w:p w14:paraId="767EE8D0">
      <w:pPr>
        <w:tabs>
          <w:tab w:val="left" w:pos="1418"/>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采购组织机构按照采购文件规定的时间通过电子交易平台组织磋商、开启响应文件，所有供应商均应当准时在线参加。</w:t>
      </w:r>
    </w:p>
    <w:p w14:paraId="249D3B94">
      <w:pPr>
        <w:tabs>
          <w:tab w:val="left" w:pos="1418"/>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磋商时，电子交易平台自动提取所有响应文件，提示采购组织机构和供应商按采购文件规定的方式和时间在线解密。</w:t>
      </w:r>
      <w:r>
        <w:rPr>
          <w:rFonts w:hint="eastAsia" w:ascii="宋体" w:hAnsi="宋体" w:cs="宋体"/>
          <w:b/>
          <w:bCs/>
          <w:color w:val="auto"/>
          <w:szCs w:val="21"/>
          <w:highlight w:val="none"/>
        </w:rPr>
        <w:t>给予供应商在线解密的时间为截止提交磋商响应文件后30分钟。</w:t>
      </w:r>
    </w:p>
    <w:p w14:paraId="6D41A481">
      <w:pPr>
        <w:tabs>
          <w:tab w:val="left" w:pos="1418"/>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▲响应文件未按时解密，供应商提供了备份磋商响应文件的，以备份磋商响应文件作为依据，否则视为响应文件撤回。响应文件已按时解密的，备份磋商响应文件不再拆封。</w:t>
      </w:r>
    </w:p>
    <w:p w14:paraId="6CFA3D57">
      <w:pPr>
        <w:numPr>
          <w:ilvl w:val="0"/>
          <w:numId w:val="3"/>
        </w:num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磋商委员会或磋商小组</w:t>
      </w:r>
    </w:p>
    <w:p w14:paraId="7B05E717">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 xml:space="preserve">磋商委员会或磋商小组（以下简称磋商委员会）成员由政府采购管理部门负责组织，对具备实质性响应的响应文件进行评估和比较。磋商委员会由招标人的代表、专家和其他有关方面的代表组成。 </w:t>
      </w:r>
    </w:p>
    <w:p w14:paraId="415350CB">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磋商委员会由采购人代表和评审专家共3人及以上单数组成，其中评审专家人数不得少于磋商小组成员总数的2/3。采购人代表不得以评审专家身份参加本部门或本单位采购项目的评审。采购代理机构人员不得参加本机构代理的采购项目的评审。</w:t>
      </w:r>
    </w:p>
    <w:p w14:paraId="0FDE6BC4">
      <w:pPr>
        <w:spacing w:line="360" w:lineRule="auto"/>
        <w:ind w:firstLine="422" w:firstLineChars="200"/>
        <w:rPr>
          <w:rFonts w:ascii="宋体" w:hAnsi="宋体" w:cs="宋体"/>
          <w:color w:val="auto"/>
          <w:kern w:val="0"/>
          <w:szCs w:val="21"/>
          <w:highlight w:val="none"/>
        </w:rPr>
      </w:pPr>
      <w:r>
        <w:rPr>
          <w:rFonts w:hint="eastAsia" w:ascii="宋体" w:hAnsi="宋体" w:cs="宋体"/>
          <w:b/>
          <w:color w:val="auto"/>
          <w:szCs w:val="21"/>
          <w:highlight w:val="none"/>
        </w:rPr>
        <w:t>（三）磋商程序</w:t>
      </w:r>
    </w:p>
    <w:p w14:paraId="48BE582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1、采购组织机构将在“磋商公告”规定的时间和地点进行磋商，磋商采购会议由采购组织机构工作人员主持，所有供应商均应准时在线参加磋商采购会议。</w:t>
      </w:r>
    </w:p>
    <w:p w14:paraId="60202A88">
      <w:pPr>
        <w:pStyle w:val="12"/>
        <w:spacing w:line="360" w:lineRule="auto"/>
        <w:ind w:firstLine="420" w:firstLineChars="200"/>
        <w:rPr>
          <w:rFonts w:hAnsi="宋体" w:cs="宋体"/>
          <w:color w:val="auto"/>
          <w:szCs w:val="21"/>
          <w:highlight w:val="none"/>
        </w:rPr>
      </w:pPr>
      <w:r>
        <w:rPr>
          <w:rFonts w:hint="eastAsia" w:hAnsi="宋体" w:cs="宋体"/>
          <w:color w:val="auto"/>
          <w:szCs w:val="21"/>
          <w:highlight w:val="none"/>
        </w:rPr>
        <w:t>2、 主持人宣布磋商采购会议开始，介绍磋商现场的人员情况，宣读提交磋商响应文件的供应商名单、磋商纪律、应当回避的情形等注意事项。</w:t>
      </w:r>
    </w:p>
    <w:p w14:paraId="5DFEA1BF">
      <w:pPr>
        <w:tabs>
          <w:tab w:val="left" w:pos="1418"/>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3、供应商登录政采云平台，用“项目采购-开标评标”功能对电子响应文件准备在线解密，在线解密电子响应文件时间为开启解密时间起30分钟内。</w:t>
      </w:r>
    </w:p>
    <w:p w14:paraId="38A8E2B3">
      <w:pPr>
        <w:tabs>
          <w:tab w:val="left" w:pos="1418"/>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电子磋商响应文件未按时解密，供应商提供了备份磋商响应文件的，以备份磋商响应文件作为依据，否则视为磋商响应文件撤回。电子磋商响应文件已按时解密的，备份磋商响应文件不再拆封。</w:t>
      </w:r>
    </w:p>
    <w:p w14:paraId="34D824E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4、采购组织机构点击【开启标书信息】，进入资格审查及符合性审查环节。</w:t>
      </w:r>
    </w:p>
    <w:p w14:paraId="0DFB461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磋商小组必须按照客观、公正、审慎的原则，根据磋商文件规定的评审程序、评审方法和评审标准进行独立评审。▲未实质性响应磋商文件的响应文件按无效响应处理，磋商小组应当告知提交响应文件的供应商。</w:t>
      </w:r>
    </w:p>
    <w:p w14:paraId="37129C3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（1）对响应文件的初审</w:t>
      </w:r>
    </w:p>
    <w:p w14:paraId="5470984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A.资格性检查：依据法律法规和磋商文件的规定，对响应文件中的资格条件进行审查，以确定磋商供应商是否具备投标资格。</w:t>
      </w:r>
    </w:p>
    <w:p w14:paraId="254DEB1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B.符合性检查：详细评标之前，磋商小组依据磋商文件的规定，对响应文件是否满足采购文件的实质性要求进行审查，以确定响应文件是否有效。</w:t>
      </w:r>
    </w:p>
    <w:p w14:paraId="22103F9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6、初审合格的供应商进入下一步的磋商活动。</w:t>
      </w:r>
    </w:p>
    <w:p w14:paraId="0986CC3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7、磋商小组所有成员集中与单一供应商分别进行磋商，并给予所有参加磋商的供应商平等的磋商机会。</w:t>
      </w:r>
    </w:p>
    <w:p w14:paraId="0EB4217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同时通知所有参加磋商的供应商。供应商应当按照磋商文件的变动情况和磋商小组的要求重新提交响应文件，并由其法定代表人或授权代表签字或者加盖公章。</w:t>
      </w:r>
    </w:p>
    <w:p w14:paraId="00A23EE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9、磋商文件能够详细列明采购标的的技术、服务要求的，磋商结束后，磋商小组将要求所有实质性响应的供应商在规定时间内提交最后报价。最后报价是供应商响应文件的有效组成部分。</w:t>
      </w:r>
    </w:p>
    <w:p w14:paraId="585527A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10、经磋商确定最终采购需求和提交最后报价的供应商后，由磋商小组采用综合评分法对提交最后报价的供应商的响应文件和最后报价进行综合评分。</w:t>
      </w:r>
    </w:p>
    <w:p w14:paraId="60C96765">
      <w:pPr>
        <w:pStyle w:val="12"/>
        <w:spacing w:line="360" w:lineRule="auto"/>
        <w:ind w:firstLine="420" w:firstLineChars="200"/>
        <w:rPr>
          <w:rFonts w:hAnsi="宋体" w:cs="宋体"/>
          <w:color w:val="auto"/>
          <w:szCs w:val="21"/>
          <w:highlight w:val="none"/>
        </w:rPr>
      </w:pPr>
      <w:r>
        <w:rPr>
          <w:rFonts w:hint="eastAsia" w:hAnsi="宋体" w:cs="宋体"/>
          <w:color w:val="auto"/>
          <w:szCs w:val="21"/>
          <w:highlight w:val="none"/>
        </w:rPr>
        <w:t>11、磋商小组根据综合评分情况，按照评审得分由高到低顺序确定成交候选供应商，编写评审报告。</w:t>
      </w:r>
    </w:p>
    <w:p w14:paraId="21F3A695">
      <w:pPr>
        <w:pStyle w:val="12"/>
        <w:spacing w:line="360" w:lineRule="auto"/>
        <w:ind w:firstLine="420" w:firstLineChars="200"/>
        <w:rPr>
          <w:rFonts w:hAnsi="宋体" w:cs="宋体"/>
          <w:color w:val="auto"/>
          <w:szCs w:val="21"/>
          <w:highlight w:val="none"/>
        </w:rPr>
      </w:pPr>
      <w:r>
        <w:rPr>
          <w:rFonts w:hint="eastAsia" w:hAnsi="宋体" w:cs="宋体"/>
          <w:color w:val="auto"/>
          <w:szCs w:val="21"/>
          <w:highlight w:val="none"/>
        </w:rPr>
        <w:t>12、采购组织机构对磋商小组专家成员进行评价；</w:t>
      </w:r>
    </w:p>
    <w:p w14:paraId="46A9D2FD">
      <w:pPr>
        <w:pStyle w:val="12"/>
        <w:spacing w:line="360" w:lineRule="auto"/>
        <w:ind w:firstLine="420" w:firstLineChars="200"/>
        <w:rPr>
          <w:rFonts w:hAnsi="宋体" w:cs="宋体"/>
          <w:color w:val="auto"/>
          <w:szCs w:val="21"/>
          <w:highlight w:val="none"/>
        </w:rPr>
      </w:pPr>
      <w:r>
        <w:rPr>
          <w:rFonts w:hint="eastAsia" w:hAnsi="宋体" w:cs="宋体"/>
          <w:color w:val="auto"/>
          <w:szCs w:val="21"/>
          <w:highlight w:val="none"/>
        </w:rPr>
        <w:t xml:space="preserve">13、主持人宣布磋商结果（含技术得分、最后报价、报价得分及总得分），磋商采购会议结束。    </w:t>
      </w:r>
    </w:p>
    <w:p w14:paraId="166F6845">
      <w:pPr>
        <w:pStyle w:val="12"/>
        <w:spacing w:line="360" w:lineRule="auto"/>
        <w:ind w:firstLine="422" w:firstLineChars="200"/>
        <w:rPr>
          <w:rFonts w:hAnsi="宋体" w:cs="宋体"/>
          <w:color w:val="auto"/>
          <w:szCs w:val="21"/>
          <w:highlight w:val="none"/>
        </w:rPr>
      </w:pPr>
      <w:r>
        <w:rPr>
          <w:rFonts w:hint="eastAsia" w:hAnsi="宋体" w:cs="宋体"/>
          <w:b/>
          <w:color w:val="auto"/>
          <w:szCs w:val="21"/>
          <w:highlight w:val="none"/>
        </w:rPr>
        <w:t>（四）澄清问题的形式</w:t>
      </w:r>
    </w:p>
    <w:p w14:paraId="376CEC4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磋商供应商的澄清、说明或者补正应当采用书面形式，并加盖公章，或者由法定代表人或授权委托代理人签字，并不得超出磋商响应文件的范围或者改变磋商响应文件的实质性内容。</w:t>
      </w:r>
    </w:p>
    <w:p w14:paraId="3E12EE58">
      <w:pPr>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（五）错误修正</w:t>
      </w:r>
    </w:p>
    <w:p w14:paraId="4CE07002">
      <w:pPr>
        <w:pStyle w:val="19"/>
        <w:widowControl w:val="0"/>
        <w:spacing w:before="0" w:beforeAutospacing="0" w:after="0" w:afterAutospacing="0" w:line="360" w:lineRule="auto"/>
        <w:ind w:firstLine="420" w:firstLineChars="200"/>
        <w:jc w:val="both"/>
        <w:rPr>
          <w:rFonts w:cs="宋体"/>
          <w:color w:val="auto"/>
          <w:sz w:val="21"/>
          <w:szCs w:val="21"/>
          <w:highlight w:val="none"/>
        </w:rPr>
      </w:pPr>
      <w:r>
        <w:rPr>
          <w:rFonts w:hint="eastAsia" w:cs="宋体"/>
          <w:color w:val="auto"/>
          <w:sz w:val="21"/>
          <w:szCs w:val="21"/>
          <w:highlight w:val="none"/>
        </w:rPr>
        <w:t>磋商响应文件报价出现前后不一致的，除</w:t>
      </w:r>
      <w:r>
        <w:rPr>
          <w:rFonts w:hint="eastAsia" w:cs="宋体"/>
          <w:bCs/>
          <w:color w:val="auto"/>
          <w:sz w:val="21"/>
          <w:szCs w:val="21"/>
          <w:highlight w:val="none"/>
        </w:rPr>
        <w:t>采购文件</w:t>
      </w:r>
      <w:r>
        <w:rPr>
          <w:rFonts w:hint="eastAsia" w:cs="宋体"/>
          <w:color w:val="auto"/>
          <w:sz w:val="21"/>
          <w:szCs w:val="21"/>
          <w:highlight w:val="none"/>
        </w:rPr>
        <w:t>另有规定外，按照下列规定修正：</w:t>
      </w:r>
    </w:p>
    <w:p w14:paraId="0B18E2DB">
      <w:pPr>
        <w:pStyle w:val="19"/>
        <w:widowControl w:val="0"/>
        <w:spacing w:before="0" w:beforeAutospacing="0" w:after="0" w:afterAutospacing="0" w:line="360" w:lineRule="auto"/>
        <w:ind w:firstLine="420" w:firstLineChars="200"/>
        <w:jc w:val="both"/>
        <w:rPr>
          <w:rFonts w:cs="宋体"/>
          <w:color w:val="auto"/>
          <w:sz w:val="21"/>
          <w:szCs w:val="21"/>
          <w:highlight w:val="none"/>
        </w:rPr>
      </w:pPr>
      <w:r>
        <w:rPr>
          <w:rFonts w:hint="eastAsia" w:cs="宋体"/>
          <w:color w:val="auto"/>
          <w:sz w:val="21"/>
          <w:szCs w:val="21"/>
          <w:highlight w:val="none"/>
        </w:rPr>
        <w:t>1、磋商响应文件中</w:t>
      </w:r>
      <w:bookmarkStart w:id="1" w:name="_Hlk61427222"/>
      <w:r>
        <w:rPr>
          <w:rFonts w:hint="eastAsia" w:cs="宋体"/>
          <w:color w:val="auto"/>
          <w:sz w:val="21"/>
          <w:szCs w:val="21"/>
          <w:highlight w:val="none"/>
        </w:rPr>
        <w:t>开标一览表</w:t>
      </w:r>
      <w:bookmarkEnd w:id="1"/>
      <w:r>
        <w:rPr>
          <w:rFonts w:hint="eastAsia" w:cs="宋体"/>
          <w:color w:val="auto"/>
          <w:sz w:val="21"/>
          <w:szCs w:val="21"/>
          <w:highlight w:val="none"/>
        </w:rPr>
        <w:t>内容与磋商响应文件中相应内容不一致的，以开标一览表为准。政采云平台开标一览表中填报的价格与上传的报价响应文件中开标一览表的报价不一致的，以上传的报价响应文件中开标一览表的价格为准，修正平台上的投标报价；</w:t>
      </w:r>
    </w:p>
    <w:p w14:paraId="639E93F9">
      <w:pPr>
        <w:pStyle w:val="19"/>
        <w:widowControl w:val="0"/>
        <w:spacing w:before="0" w:beforeAutospacing="0" w:after="0" w:afterAutospacing="0" w:line="360" w:lineRule="auto"/>
        <w:ind w:firstLine="420" w:firstLineChars="200"/>
        <w:jc w:val="both"/>
        <w:rPr>
          <w:rFonts w:cs="宋体"/>
          <w:color w:val="auto"/>
          <w:sz w:val="21"/>
          <w:szCs w:val="21"/>
          <w:highlight w:val="none"/>
        </w:rPr>
      </w:pPr>
      <w:r>
        <w:rPr>
          <w:rFonts w:hint="eastAsia" w:cs="宋体"/>
          <w:color w:val="auto"/>
          <w:sz w:val="21"/>
          <w:szCs w:val="21"/>
          <w:highlight w:val="none"/>
        </w:rPr>
        <w:t>2、大写金额和小写金额不一致的，以大写金额为准；</w:t>
      </w:r>
    </w:p>
    <w:p w14:paraId="0A7126D3">
      <w:pPr>
        <w:pStyle w:val="19"/>
        <w:widowControl w:val="0"/>
        <w:spacing w:before="0" w:beforeAutospacing="0" w:after="0" w:afterAutospacing="0" w:line="360" w:lineRule="auto"/>
        <w:ind w:firstLine="420" w:firstLineChars="200"/>
        <w:jc w:val="both"/>
        <w:rPr>
          <w:rFonts w:cs="宋体"/>
          <w:color w:val="auto"/>
          <w:sz w:val="21"/>
          <w:szCs w:val="21"/>
          <w:highlight w:val="none"/>
        </w:rPr>
      </w:pPr>
      <w:r>
        <w:rPr>
          <w:rFonts w:hint="eastAsia" w:cs="宋体"/>
          <w:color w:val="auto"/>
          <w:sz w:val="21"/>
          <w:szCs w:val="21"/>
          <w:highlight w:val="none"/>
        </w:rPr>
        <w:t>3、单价金额小数点或者百分比有明显错位的，以开标一览表的总价为准，并修改单价；</w:t>
      </w:r>
    </w:p>
    <w:p w14:paraId="536E585A">
      <w:pPr>
        <w:pStyle w:val="19"/>
        <w:widowControl w:val="0"/>
        <w:spacing w:before="0" w:beforeAutospacing="0" w:after="0" w:afterAutospacing="0" w:line="360" w:lineRule="auto"/>
        <w:ind w:firstLine="420" w:firstLineChars="200"/>
        <w:jc w:val="both"/>
        <w:rPr>
          <w:rFonts w:cs="宋体"/>
          <w:color w:val="auto"/>
          <w:sz w:val="21"/>
          <w:szCs w:val="21"/>
          <w:highlight w:val="none"/>
        </w:rPr>
      </w:pPr>
      <w:r>
        <w:rPr>
          <w:rFonts w:hint="eastAsia" w:cs="宋体"/>
          <w:color w:val="auto"/>
          <w:sz w:val="21"/>
          <w:szCs w:val="21"/>
          <w:highlight w:val="none"/>
        </w:rPr>
        <w:t>4、总价金额与按单价汇总金额不一致的，以单价金额计算结果为准。</w:t>
      </w:r>
    </w:p>
    <w:p w14:paraId="0DE355E3">
      <w:pPr>
        <w:pStyle w:val="19"/>
        <w:widowControl w:val="0"/>
        <w:spacing w:before="0" w:beforeAutospacing="0" w:after="0" w:afterAutospacing="0" w:line="360" w:lineRule="auto"/>
        <w:ind w:firstLine="420" w:firstLineChars="200"/>
        <w:jc w:val="both"/>
        <w:rPr>
          <w:rFonts w:cs="宋体"/>
          <w:color w:val="auto"/>
          <w:sz w:val="21"/>
          <w:szCs w:val="21"/>
          <w:highlight w:val="none"/>
        </w:rPr>
      </w:pPr>
      <w:r>
        <w:rPr>
          <w:rFonts w:hint="eastAsia" w:cs="宋体"/>
          <w:color w:val="auto"/>
          <w:sz w:val="21"/>
          <w:szCs w:val="21"/>
          <w:highlight w:val="none"/>
        </w:rPr>
        <w:t>▲同时出现两种以上不一致的，按照前款规定的顺序修正。修正应当采用书面形式，并加盖公章，或者由法定代表人或授权委托代理人签字。修正后的报价经磋商供应商确认后产生约束力，磋商供应商不确认或未在规定时间内进行有效澄清的，将终止磋商。</w:t>
      </w:r>
    </w:p>
    <w:p w14:paraId="7CFA0440">
      <w:pPr>
        <w:pStyle w:val="19"/>
        <w:widowControl w:val="0"/>
        <w:spacing w:before="0" w:beforeAutospacing="0" w:after="0" w:afterAutospacing="0" w:line="360" w:lineRule="auto"/>
        <w:ind w:firstLine="420" w:firstLineChars="200"/>
        <w:rPr>
          <w:rFonts w:cs="宋体"/>
          <w:color w:val="auto"/>
          <w:sz w:val="21"/>
          <w:szCs w:val="21"/>
          <w:highlight w:val="none"/>
        </w:rPr>
      </w:pPr>
      <w:r>
        <w:rPr>
          <w:rFonts w:hint="eastAsia" w:cs="宋体"/>
          <w:color w:val="auto"/>
          <w:sz w:val="21"/>
          <w:szCs w:val="21"/>
          <w:highlight w:val="none"/>
        </w:rPr>
        <w:t>▲</w:t>
      </w:r>
      <w:r>
        <w:rPr>
          <w:rFonts w:hint="eastAsia" w:cs="宋体"/>
          <w:b/>
          <w:bCs/>
          <w:color w:val="auto"/>
          <w:sz w:val="21"/>
          <w:szCs w:val="21"/>
          <w:highlight w:val="none"/>
        </w:rPr>
        <w:t>（六）</w:t>
      </w:r>
      <w:r>
        <w:rPr>
          <w:rFonts w:hint="eastAsia" w:cs="宋体"/>
          <w:b/>
          <w:color w:val="auto"/>
          <w:sz w:val="21"/>
          <w:szCs w:val="21"/>
          <w:highlight w:val="none"/>
        </w:rPr>
        <w:t>磋商供应商存在下列情况之一的，响应无效，终止磋商</w:t>
      </w:r>
    </w:p>
    <w:p w14:paraId="5FCA645D">
      <w:pPr>
        <w:spacing w:line="360" w:lineRule="auto"/>
        <w:ind w:firstLine="420" w:firstLineChars="200"/>
        <w:jc w:val="left"/>
        <w:rPr>
          <w:rFonts w:ascii="宋体" w:hAnsi="宋体" w:cs="宋体"/>
          <w:b/>
          <w:bCs/>
          <w:color w:val="auto"/>
          <w:szCs w:val="21"/>
          <w:highlight w:val="none"/>
        </w:rPr>
      </w:pPr>
      <w:r>
        <w:rPr>
          <w:rFonts w:hint="eastAsia" w:ascii="宋体" w:hAnsi="宋体" w:cs="宋体"/>
          <w:color w:val="auto"/>
          <w:kern w:val="0"/>
          <w:szCs w:val="21"/>
          <w:highlight w:val="none"/>
        </w:rPr>
        <w:t>1、磋商响应文件中的报价货物跟商务与技术内容中的供应货物出现重大偏差的；</w:t>
      </w:r>
    </w:p>
    <w:p w14:paraId="57D334F9">
      <w:pPr>
        <w:pStyle w:val="19"/>
        <w:widowControl w:val="0"/>
        <w:tabs>
          <w:tab w:val="left" w:pos="7380"/>
        </w:tabs>
        <w:spacing w:before="0" w:beforeAutospacing="0" w:after="0" w:afterAutospacing="0" w:line="360" w:lineRule="auto"/>
        <w:ind w:firstLine="420" w:firstLineChars="200"/>
        <w:rPr>
          <w:rFonts w:cs="宋体"/>
          <w:color w:val="auto"/>
          <w:sz w:val="21"/>
          <w:szCs w:val="21"/>
          <w:highlight w:val="none"/>
        </w:rPr>
      </w:pPr>
      <w:r>
        <w:rPr>
          <w:rFonts w:hint="eastAsia" w:cs="宋体"/>
          <w:color w:val="auto"/>
          <w:sz w:val="21"/>
          <w:szCs w:val="21"/>
          <w:highlight w:val="none"/>
        </w:rPr>
        <w:t>2、不具备采购文件中规定的资格要求的。</w:t>
      </w:r>
    </w:p>
    <w:p w14:paraId="0D669D84">
      <w:pPr>
        <w:pStyle w:val="19"/>
        <w:widowControl w:val="0"/>
        <w:spacing w:before="0" w:beforeAutospacing="0" w:after="0" w:afterAutospacing="0" w:line="360" w:lineRule="auto"/>
        <w:ind w:firstLine="420" w:firstLineChars="200"/>
        <w:rPr>
          <w:rFonts w:cs="宋体"/>
          <w:color w:val="auto"/>
          <w:sz w:val="21"/>
          <w:szCs w:val="21"/>
          <w:highlight w:val="none"/>
        </w:rPr>
      </w:pPr>
      <w:r>
        <w:rPr>
          <w:rFonts w:hint="eastAsia" w:cs="宋体"/>
          <w:color w:val="auto"/>
          <w:sz w:val="21"/>
          <w:szCs w:val="21"/>
          <w:highlight w:val="none"/>
        </w:rPr>
        <w:t>3、磋商响应文件含有采购人不能接受的附加条件的。</w:t>
      </w:r>
    </w:p>
    <w:p w14:paraId="0F8DB389">
      <w:pPr>
        <w:spacing w:line="360" w:lineRule="auto"/>
        <w:ind w:firstLine="420" w:firstLineChars="200"/>
        <w:jc w:val="left"/>
        <w:rPr>
          <w:rFonts w:ascii="宋体" w:hAnsi="宋体" w:cs="宋体"/>
          <w:bCs/>
          <w:color w:val="auto"/>
          <w:kern w:val="0"/>
          <w:szCs w:val="21"/>
          <w:highlight w:val="none"/>
        </w:rPr>
      </w:pPr>
      <w:r>
        <w:rPr>
          <w:rFonts w:hint="eastAsia" w:ascii="宋体" w:hAnsi="宋体" w:cs="宋体"/>
          <w:color w:val="auto"/>
          <w:szCs w:val="21"/>
          <w:highlight w:val="none"/>
        </w:rPr>
        <w:t>4、供应商代表人未能出具身份证明或与法定代表人授权委托人身份不符的（受疫情期间影响供应商代表人无需现场参加磋商会议）；</w:t>
      </w:r>
    </w:p>
    <w:p w14:paraId="1AAC1E77">
      <w:pPr>
        <w:pStyle w:val="19"/>
        <w:widowControl w:val="0"/>
        <w:spacing w:before="0" w:beforeAutospacing="0" w:after="0" w:afterAutospacing="0" w:line="360" w:lineRule="auto"/>
        <w:ind w:firstLine="420" w:firstLineChars="200"/>
        <w:rPr>
          <w:rFonts w:cs="宋体"/>
          <w:color w:val="auto"/>
          <w:sz w:val="21"/>
          <w:szCs w:val="21"/>
          <w:highlight w:val="none"/>
        </w:rPr>
      </w:pPr>
      <w:r>
        <w:rPr>
          <w:rFonts w:hint="eastAsia" w:cs="宋体"/>
          <w:color w:val="auto"/>
          <w:sz w:val="21"/>
          <w:szCs w:val="21"/>
          <w:highlight w:val="none"/>
        </w:rPr>
        <w:t>5、磋商小组认为供应商的报价明显低于其他通过符合性审查供应商的报价，有可能影响产品质量或者不能诚信履约的，应当要求其在评审现场合理的时间内提供书面说明，必要时提交相关证明材料；供应商不能证明其报价合理性的，磋商小组应当与其终止磋商。</w:t>
      </w:r>
    </w:p>
    <w:p w14:paraId="3784E106">
      <w:pPr>
        <w:pStyle w:val="19"/>
        <w:widowControl w:val="0"/>
        <w:spacing w:before="0" w:beforeAutospacing="0" w:after="0" w:afterAutospacing="0" w:line="360" w:lineRule="auto"/>
        <w:ind w:firstLine="420" w:firstLineChars="200"/>
        <w:rPr>
          <w:rFonts w:cs="宋体"/>
          <w:color w:val="auto"/>
          <w:sz w:val="21"/>
          <w:szCs w:val="21"/>
          <w:highlight w:val="none"/>
        </w:rPr>
      </w:pPr>
      <w:r>
        <w:rPr>
          <w:rFonts w:hint="eastAsia" w:cs="宋体"/>
          <w:color w:val="auto"/>
          <w:sz w:val="21"/>
          <w:szCs w:val="21"/>
          <w:highlight w:val="none"/>
        </w:rPr>
        <w:t>6、报价超过采购文件中规定的预算金额/最高限（单）价。</w:t>
      </w:r>
    </w:p>
    <w:p w14:paraId="655522E8">
      <w:pPr>
        <w:tabs>
          <w:tab w:val="left" w:pos="1898"/>
        </w:tabs>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7、磋商参数未如实填写，完全复制粘贴招标参数的。</w:t>
      </w:r>
    </w:p>
    <w:p w14:paraId="6BBC7805">
      <w:pPr>
        <w:tabs>
          <w:tab w:val="left" w:pos="1898"/>
        </w:tabs>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8、磋商响应文件提供虚假材料的。</w:t>
      </w:r>
    </w:p>
    <w:p w14:paraId="0161E8C4">
      <w:pPr>
        <w:tabs>
          <w:tab w:val="left" w:pos="1898"/>
        </w:tabs>
        <w:spacing w:line="360" w:lineRule="auto"/>
        <w:ind w:firstLine="420" w:firstLineChars="200"/>
        <w:jc w:val="left"/>
        <w:rPr>
          <w:rFonts w:ascii="宋体" w:hAnsi="宋体" w:cs="宋体"/>
          <w:color w:val="auto"/>
          <w:szCs w:val="21"/>
          <w:highlight w:val="none"/>
        </w:rPr>
      </w:pPr>
      <w:r>
        <w:rPr>
          <w:rFonts w:hint="eastAsia" w:ascii="宋体" w:hAnsi="宋体" w:cs="宋体"/>
          <w:color w:val="auto"/>
          <w:kern w:val="0"/>
          <w:szCs w:val="21"/>
          <w:highlight w:val="none"/>
        </w:rPr>
        <w:t>9、</w:t>
      </w:r>
      <w:r>
        <w:rPr>
          <w:rFonts w:hint="eastAsia" w:ascii="宋体" w:hAnsi="宋体" w:cs="宋体"/>
          <w:color w:val="auto"/>
          <w:szCs w:val="21"/>
          <w:highlight w:val="none"/>
        </w:rPr>
        <w:t>不同供应商的磋商响应文件由同一单位或者个人编制；</w:t>
      </w:r>
    </w:p>
    <w:p w14:paraId="170FE6E1">
      <w:pPr>
        <w:pStyle w:val="19"/>
        <w:widowControl w:val="0"/>
        <w:spacing w:before="0" w:beforeAutospacing="0" w:after="0" w:afterAutospacing="0" w:line="360" w:lineRule="auto"/>
        <w:ind w:firstLine="420" w:firstLineChars="200"/>
        <w:rPr>
          <w:rFonts w:cs="宋体"/>
          <w:color w:val="auto"/>
          <w:sz w:val="21"/>
          <w:szCs w:val="21"/>
          <w:highlight w:val="none"/>
        </w:rPr>
      </w:pPr>
      <w:r>
        <w:rPr>
          <w:rFonts w:hint="eastAsia" w:cs="宋体"/>
          <w:color w:val="auto"/>
          <w:sz w:val="21"/>
          <w:szCs w:val="21"/>
          <w:highlight w:val="none"/>
        </w:rPr>
        <w:t>10、不同供应商委托同一单位或者个人办理磋商事宜；</w:t>
      </w:r>
    </w:p>
    <w:p w14:paraId="55A808B5">
      <w:pPr>
        <w:pStyle w:val="19"/>
        <w:widowControl w:val="0"/>
        <w:spacing w:before="0" w:beforeAutospacing="0" w:after="0" w:afterAutospacing="0" w:line="360" w:lineRule="auto"/>
        <w:ind w:firstLine="420" w:firstLineChars="200"/>
        <w:rPr>
          <w:rFonts w:cs="宋体"/>
          <w:color w:val="auto"/>
          <w:sz w:val="21"/>
          <w:szCs w:val="21"/>
          <w:highlight w:val="none"/>
        </w:rPr>
      </w:pPr>
      <w:r>
        <w:rPr>
          <w:rFonts w:hint="eastAsia" w:cs="宋体"/>
          <w:color w:val="auto"/>
          <w:sz w:val="21"/>
          <w:szCs w:val="21"/>
          <w:highlight w:val="none"/>
        </w:rPr>
        <w:t>11、不同供应商的磋商响应文件载明的项目管理成员或者联系人员为同一人；</w:t>
      </w:r>
    </w:p>
    <w:p w14:paraId="0AD84B43">
      <w:pPr>
        <w:pStyle w:val="19"/>
        <w:widowControl w:val="0"/>
        <w:spacing w:before="0" w:beforeAutospacing="0" w:after="0" w:afterAutospacing="0" w:line="360" w:lineRule="auto"/>
        <w:ind w:firstLine="420" w:firstLineChars="200"/>
        <w:rPr>
          <w:rFonts w:cs="宋体"/>
          <w:color w:val="auto"/>
          <w:sz w:val="21"/>
          <w:szCs w:val="21"/>
          <w:highlight w:val="none"/>
        </w:rPr>
      </w:pPr>
      <w:r>
        <w:rPr>
          <w:rFonts w:hint="eastAsia" w:cs="宋体"/>
          <w:color w:val="auto"/>
          <w:sz w:val="21"/>
          <w:szCs w:val="21"/>
          <w:highlight w:val="none"/>
        </w:rPr>
        <w:t>12、不同供应商的磋商响应文件异常一致或者报价呈规律性差异；</w:t>
      </w:r>
    </w:p>
    <w:p w14:paraId="4024F74D">
      <w:pPr>
        <w:pStyle w:val="19"/>
        <w:widowControl w:val="0"/>
        <w:spacing w:before="0" w:beforeAutospacing="0" w:after="0" w:afterAutospacing="0" w:line="360" w:lineRule="auto"/>
        <w:ind w:firstLine="420" w:firstLineChars="200"/>
        <w:rPr>
          <w:rFonts w:cs="宋体"/>
          <w:color w:val="auto"/>
          <w:sz w:val="21"/>
          <w:szCs w:val="21"/>
          <w:highlight w:val="none"/>
        </w:rPr>
      </w:pPr>
      <w:r>
        <w:rPr>
          <w:rFonts w:hint="eastAsia" w:cs="宋体"/>
          <w:color w:val="auto"/>
          <w:sz w:val="21"/>
          <w:szCs w:val="21"/>
          <w:highlight w:val="none"/>
        </w:rPr>
        <w:t>13、不同供应商的磋商响应文件相互混装；</w:t>
      </w:r>
    </w:p>
    <w:p w14:paraId="2D7E369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14、不同供应商的电子投标（响应）文件上传计算机的网卡MAC地址或硬盘序列号等硬件信息相同且无法合理解释的；</w:t>
      </w:r>
    </w:p>
    <w:p w14:paraId="74CA1B0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15、上传的电子投标（响应）文件若出现使用本项目其他投标（响应）供应商的数字证书加密的，或者加盖本项目其他投标（响应）供应商的电子印章的；</w:t>
      </w:r>
    </w:p>
    <w:p w14:paraId="69E1365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16、不同供应商的投标（响应）文件的内容存在3处（含）以上错误一致的；</w:t>
      </w:r>
    </w:p>
    <w:p w14:paraId="1546C2C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17、不同供应商联系人为同一人或不同联系人的联系电话一致的。</w:t>
      </w:r>
    </w:p>
    <w:p w14:paraId="75BD6F8D">
      <w:pPr>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szCs w:val="21"/>
          <w:highlight w:val="none"/>
        </w:rPr>
        <w:t>18、</w:t>
      </w:r>
      <w:r>
        <w:rPr>
          <w:rFonts w:hint="eastAsia" w:ascii="宋体" w:hAnsi="宋体" w:cs="宋体"/>
          <w:color w:val="auto"/>
          <w:kern w:val="0"/>
          <w:szCs w:val="21"/>
          <w:highlight w:val="none"/>
        </w:rPr>
        <w:t>不符合法律、法规和采购文件中规定的其他实质性要求的（采购文件中打“▲”内容及被拒绝的条款）。</w:t>
      </w:r>
    </w:p>
    <w:p w14:paraId="0B4BC1CD">
      <w:pPr>
        <w:pStyle w:val="19"/>
        <w:widowControl w:val="0"/>
        <w:spacing w:before="0" w:beforeAutospacing="0" w:after="0" w:afterAutospacing="0" w:line="360" w:lineRule="auto"/>
        <w:ind w:firstLine="420" w:firstLineChars="200"/>
        <w:jc w:val="both"/>
        <w:rPr>
          <w:rFonts w:cs="宋体"/>
          <w:color w:val="auto"/>
          <w:kern w:val="2"/>
          <w:sz w:val="21"/>
          <w:szCs w:val="21"/>
          <w:highlight w:val="none"/>
        </w:rPr>
      </w:pPr>
      <w:r>
        <w:rPr>
          <w:rFonts w:hint="eastAsia" w:cs="宋体"/>
          <w:color w:val="auto"/>
          <w:kern w:val="2"/>
          <w:sz w:val="21"/>
          <w:szCs w:val="21"/>
          <w:highlight w:val="none"/>
        </w:rPr>
        <w:t>19、投标人的电子响应文件无法按时解密且本项目未达到启动备份文件条件的。</w:t>
      </w:r>
    </w:p>
    <w:p w14:paraId="3B95C124">
      <w:pPr>
        <w:pStyle w:val="19"/>
        <w:widowControl w:val="0"/>
        <w:spacing w:before="0" w:beforeAutospacing="0" w:after="0" w:afterAutospacing="0" w:line="360" w:lineRule="auto"/>
        <w:ind w:firstLine="420" w:firstLineChars="200"/>
        <w:jc w:val="both"/>
        <w:rPr>
          <w:rFonts w:cs="宋体"/>
          <w:color w:val="auto"/>
          <w:kern w:val="2"/>
          <w:sz w:val="21"/>
          <w:szCs w:val="21"/>
          <w:highlight w:val="none"/>
        </w:rPr>
      </w:pPr>
      <w:r>
        <w:rPr>
          <w:rFonts w:hint="eastAsia" w:cs="宋体"/>
          <w:color w:val="auto"/>
          <w:kern w:val="2"/>
          <w:sz w:val="21"/>
          <w:szCs w:val="21"/>
          <w:highlight w:val="none"/>
        </w:rPr>
        <w:t>20、电子响应文件解密失败的，且未在规定时间内提交备份响应文件的；</w:t>
      </w:r>
    </w:p>
    <w:p w14:paraId="4B1D0CC8">
      <w:pPr>
        <w:pStyle w:val="8"/>
        <w:spacing w:after="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21、电子响应文件未按规定要求提供电子签章的。</w:t>
      </w:r>
    </w:p>
    <w:p w14:paraId="1C037D0F">
      <w:pPr>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szCs w:val="21"/>
          <w:highlight w:val="none"/>
        </w:rPr>
        <w:t>▲</w:t>
      </w:r>
      <w:r>
        <w:rPr>
          <w:rFonts w:hint="eastAsia" w:ascii="宋体" w:hAnsi="宋体" w:cs="宋体"/>
          <w:b/>
          <w:color w:val="auto"/>
          <w:kern w:val="0"/>
          <w:szCs w:val="21"/>
          <w:highlight w:val="none"/>
        </w:rPr>
        <w:t>（七）有下列情况之一的，本次磋商终止</w:t>
      </w:r>
    </w:p>
    <w:p w14:paraId="1FB0ED3E">
      <w:pPr>
        <w:pStyle w:val="19"/>
        <w:widowControl w:val="0"/>
        <w:spacing w:before="0" w:beforeAutospacing="0" w:after="0" w:afterAutospacing="0" w:line="360" w:lineRule="auto"/>
        <w:ind w:firstLine="420" w:firstLineChars="200"/>
        <w:jc w:val="both"/>
        <w:rPr>
          <w:rFonts w:cs="宋体"/>
          <w:color w:val="auto"/>
          <w:sz w:val="21"/>
          <w:szCs w:val="21"/>
          <w:highlight w:val="none"/>
        </w:rPr>
      </w:pPr>
      <w:r>
        <w:rPr>
          <w:rFonts w:hint="eastAsia" w:cs="宋体"/>
          <w:color w:val="auto"/>
          <w:sz w:val="21"/>
          <w:szCs w:val="21"/>
          <w:highlight w:val="none"/>
        </w:rPr>
        <w:t>1、出现影响采购公正的违法、违规行为的；</w:t>
      </w:r>
    </w:p>
    <w:p w14:paraId="35A6EDB5">
      <w:pPr>
        <w:pStyle w:val="19"/>
        <w:widowControl w:val="0"/>
        <w:spacing w:before="0" w:beforeAutospacing="0" w:after="0" w:afterAutospacing="0" w:line="360" w:lineRule="auto"/>
        <w:ind w:firstLine="420" w:firstLineChars="200"/>
        <w:jc w:val="both"/>
        <w:rPr>
          <w:rFonts w:cs="宋体"/>
          <w:color w:val="auto"/>
          <w:sz w:val="21"/>
          <w:szCs w:val="21"/>
          <w:highlight w:val="none"/>
        </w:rPr>
      </w:pPr>
      <w:r>
        <w:rPr>
          <w:rFonts w:hint="eastAsia" w:cs="宋体"/>
          <w:color w:val="auto"/>
          <w:sz w:val="21"/>
          <w:szCs w:val="21"/>
          <w:highlight w:val="none"/>
        </w:rPr>
        <w:t xml:space="preserve">2、磋商小组发现磋商文件存在歧义、重大缺陷导致评审工作无法进行，或者磋商文件内容违反国家有关强制性规定的； </w:t>
      </w:r>
    </w:p>
    <w:p w14:paraId="4644ECCF">
      <w:pPr>
        <w:pStyle w:val="19"/>
        <w:widowControl w:val="0"/>
        <w:spacing w:before="0" w:beforeAutospacing="0" w:after="0" w:afterAutospacing="0" w:line="360" w:lineRule="auto"/>
        <w:ind w:firstLine="420" w:firstLineChars="200"/>
        <w:jc w:val="both"/>
        <w:rPr>
          <w:rFonts w:cs="宋体"/>
          <w:color w:val="auto"/>
          <w:sz w:val="21"/>
          <w:szCs w:val="21"/>
          <w:highlight w:val="none"/>
        </w:rPr>
      </w:pPr>
      <w:r>
        <w:rPr>
          <w:rFonts w:hint="eastAsia" w:cs="宋体"/>
          <w:color w:val="auto"/>
          <w:sz w:val="21"/>
          <w:szCs w:val="21"/>
          <w:highlight w:val="none"/>
        </w:rPr>
        <w:t>3、因重大变故，采购任务取消的；</w:t>
      </w:r>
    </w:p>
    <w:p w14:paraId="574DD2E2">
      <w:pPr>
        <w:pStyle w:val="19"/>
        <w:widowControl w:val="0"/>
        <w:spacing w:before="0" w:beforeAutospacing="0" w:after="0" w:afterAutospacing="0" w:line="360" w:lineRule="auto"/>
        <w:ind w:firstLine="420" w:firstLineChars="200"/>
        <w:jc w:val="both"/>
        <w:rPr>
          <w:rFonts w:cs="宋体"/>
          <w:color w:val="auto"/>
          <w:sz w:val="21"/>
          <w:szCs w:val="21"/>
          <w:highlight w:val="none"/>
        </w:rPr>
      </w:pPr>
      <w:r>
        <w:rPr>
          <w:rFonts w:hint="eastAsia" w:cs="宋体"/>
          <w:color w:val="auto"/>
          <w:sz w:val="21"/>
          <w:szCs w:val="21"/>
          <w:highlight w:val="none"/>
        </w:rPr>
        <w:t>4、法律、法规和磋商文件规定的其他导致评审结果无效的。</w:t>
      </w:r>
    </w:p>
    <w:p w14:paraId="10D8B2E3">
      <w:pPr>
        <w:tabs>
          <w:tab w:val="left" w:pos="720"/>
          <w:tab w:val="left" w:pos="1260"/>
          <w:tab w:val="left" w:pos="2160"/>
          <w:tab w:val="left" w:pos="2880"/>
          <w:tab w:val="left" w:pos="3600"/>
          <w:tab w:val="left" w:pos="4320"/>
          <w:tab w:val="left" w:pos="5040"/>
          <w:tab w:val="left" w:pos="5760"/>
          <w:tab w:val="left" w:pos="8280"/>
        </w:tabs>
        <w:spacing w:line="360" w:lineRule="auto"/>
        <w:ind w:firstLine="422" w:firstLineChars="200"/>
        <w:jc w:val="left"/>
        <w:rPr>
          <w:rFonts w:ascii="宋体" w:hAnsi="宋体" w:cs="宋体"/>
          <w:b/>
          <w:color w:val="auto"/>
          <w:kern w:val="0"/>
          <w:szCs w:val="21"/>
          <w:highlight w:val="none"/>
        </w:rPr>
      </w:pPr>
      <w:r>
        <w:rPr>
          <w:rFonts w:hint="eastAsia" w:ascii="宋体" w:hAnsi="宋体" w:cs="宋体"/>
          <w:b/>
          <w:color w:val="auto"/>
          <w:kern w:val="0"/>
          <w:szCs w:val="21"/>
          <w:highlight w:val="none"/>
        </w:rPr>
        <w:t>（八）磋商原则和方法</w:t>
      </w:r>
    </w:p>
    <w:p w14:paraId="0C0EDDB2">
      <w:pPr>
        <w:pStyle w:val="12"/>
        <w:spacing w:line="360" w:lineRule="auto"/>
        <w:ind w:firstLine="420" w:firstLineChars="200"/>
        <w:rPr>
          <w:rFonts w:hAnsi="宋体" w:cs="宋体"/>
          <w:color w:val="auto"/>
          <w:szCs w:val="21"/>
          <w:highlight w:val="none"/>
        </w:rPr>
      </w:pPr>
      <w:r>
        <w:rPr>
          <w:rFonts w:hint="eastAsia" w:hAnsi="宋体" w:cs="宋体"/>
          <w:color w:val="auto"/>
          <w:szCs w:val="21"/>
          <w:highlight w:val="none"/>
        </w:rPr>
        <w:t>1、磋商原则。磋商小组必须公平、公正、客观，不带任何倾向性和启发性；不得向外界透露任何与评审有关的内容；任何单位和个人不得干扰、影响评审的正常进行；磋商小组及有关工作人员不得私下与磋商供应商接触。</w:t>
      </w:r>
    </w:p>
    <w:p w14:paraId="22A917A7">
      <w:pPr>
        <w:pStyle w:val="12"/>
        <w:spacing w:line="360" w:lineRule="auto"/>
        <w:ind w:firstLine="420" w:firstLineChars="200"/>
        <w:rPr>
          <w:rFonts w:hAnsi="宋体" w:cs="宋体"/>
          <w:color w:val="auto"/>
          <w:szCs w:val="21"/>
          <w:highlight w:val="none"/>
        </w:rPr>
      </w:pPr>
      <w:r>
        <w:rPr>
          <w:rFonts w:hint="eastAsia" w:hAnsi="宋体" w:cs="宋体"/>
          <w:color w:val="auto"/>
          <w:szCs w:val="21"/>
          <w:highlight w:val="none"/>
        </w:rPr>
        <w:t>2、磋商办法。具体磋商内容及评分标准等详见《第三章：评审办法及评分标准》。</w:t>
      </w:r>
    </w:p>
    <w:p w14:paraId="4AA326A1">
      <w:pPr>
        <w:pStyle w:val="12"/>
        <w:spacing w:line="360" w:lineRule="auto"/>
        <w:ind w:firstLine="422" w:firstLineChars="200"/>
        <w:rPr>
          <w:rFonts w:hAnsi="宋体" w:cs="宋体"/>
          <w:color w:val="auto"/>
          <w:szCs w:val="21"/>
          <w:highlight w:val="none"/>
        </w:rPr>
      </w:pPr>
      <w:r>
        <w:rPr>
          <w:rFonts w:hint="eastAsia" w:hAnsi="宋体" w:cs="宋体"/>
          <w:b/>
          <w:color w:val="auto"/>
          <w:szCs w:val="21"/>
          <w:highlight w:val="none"/>
        </w:rPr>
        <w:t>（九）评审过程的监控</w:t>
      </w:r>
    </w:p>
    <w:p w14:paraId="63D35AC3">
      <w:pPr>
        <w:pStyle w:val="19"/>
        <w:widowControl w:val="0"/>
        <w:spacing w:before="0" w:beforeAutospacing="0" w:after="0" w:afterAutospacing="0" w:line="360" w:lineRule="auto"/>
        <w:ind w:firstLine="420" w:firstLineChars="200"/>
        <w:jc w:val="both"/>
        <w:rPr>
          <w:rFonts w:cs="宋体"/>
          <w:color w:val="auto"/>
          <w:sz w:val="21"/>
          <w:szCs w:val="21"/>
          <w:highlight w:val="none"/>
        </w:rPr>
      </w:pPr>
      <w:r>
        <w:rPr>
          <w:rFonts w:hint="eastAsia" w:cs="宋体"/>
          <w:color w:val="auto"/>
          <w:sz w:val="21"/>
          <w:szCs w:val="21"/>
          <w:highlight w:val="none"/>
        </w:rPr>
        <w:t>本项目评审过程实行全程录音、录像监控，政府采购监管部门视情进行现场监督，供应商在评审过程中所进行的试图影响评审结果的不公正活动，可能导致其被拒绝磋商。</w:t>
      </w:r>
    </w:p>
    <w:p w14:paraId="2C3C4CB2">
      <w:pPr>
        <w:spacing w:line="360" w:lineRule="auto"/>
        <w:ind w:firstLine="422" w:firstLineChars="200"/>
        <w:jc w:val="left"/>
        <w:rPr>
          <w:rFonts w:ascii="宋体" w:hAnsi="宋体" w:cs="宋体"/>
          <w:b/>
          <w:color w:val="auto"/>
          <w:szCs w:val="21"/>
          <w:highlight w:val="none"/>
        </w:rPr>
      </w:pPr>
      <w:r>
        <w:rPr>
          <w:rFonts w:hint="eastAsia" w:ascii="宋体" w:hAnsi="宋体" w:cs="宋体"/>
          <w:b/>
          <w:color w:val="auto"/>
          <w:szCs w:val="21"/>
          <w:highlight w:val="none"/>
        </w:rPr>
        <w:t>（十）电子交易异常情形处理</w:t>
      </w:r>
    </w:p>
    <w:p w14:paraId="507CF601">
      <w:pPr>
        <w:spacing w:line="36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采购过程中出现以下情形，导致电子交易平台无法正常运行，或者无法保证电子交易的公平、公正和安全时，采购组织机构可中止电子交易活动：</w:t>
      </w:r>
    </w:p>
    <w:p w14:paraId="3C8D9C46">
      <w:pPr>
        <w:spacing w:line="36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1、电子交易平台发生故障而无法登录访问的；</w:t>
      </w:r>
    </w:p>
    <w:p w14:paraId="57711D4C">
      <w:pPr>
        <w:spacing w:line="36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2、电子交易平台应用或数据库出现错误，不能进行正常操作的；</w:t>
      </w:r>
    </w:p>
    <w:p w14:paraId="27AAEDDB">
      <w:pPr>
        <w:spacing w:line="36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3、电子交易平台发现严重安全漏洞，有潜在泄密危险的；</w:t>
      </w:r>
    </w:p>
    <w:p w14:paraId="52A298B0">
      <w:pPr>
        <w:spacing w:line="36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4、病毒发作导致不能进行正常操作的；</w:t>
      </w:r>
    </w:p>
    <w:p w14:paraId="36223444">
      <w:pPr>
        <w:spacing w:line="36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5、其他无法保证电子交易的公平、公正和安全的情况。</w:t>
      </w:r>
    </w:p>
    <w:p w14:paraId="2D2044CE">
      <w:pPr>
        <w:spacing w:line="36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出现以上规定情形，不影响采购公平、公正性的，采购组织机构可以待上述情形消除后继续组织电子交易活动，也可以决定某些环节以纸质形式进行；影响或可能影响采购公平、公正性的，应当重新采购。</w:t>
      </w:r>
    </w:p>
    <w:p w14:paraId="449CF1FD">
      <w:pPr>
        <w:spacing w:line="360" w:lineRule="auto"/>
        <w:ind w:firstLine="422" w:firstLineChars="200"/>
        <w:jc w:val="left"/>
        <w:rPr>
          <w:rFonts w:ascii="宋体" w:hAnsi="宋体" w:cs="宋体"/>
          <w:color w:val="auto"/>
          <w:szCs w:val="21"/>
          <w:highlight w:val="none"/>
        </w:rPr>
      </w:pPr>
      <w:r>
        <w:rPr>
          <w:rFonts w:hint="eastAsia" w:ascii="宋体" w:hAnsi="宋体" w:cs="宋体"/>
          <w:b/>
          <w:color w:val="auto"/>
          <w:szCs w:val="21"/>
          <w:highlight w:val="none"/>
        </w:rPr>
        <w:t>四、磋商结果确定</w:t>
      </w:r>
    </w:p>
    <w:p w14:paraId="74CFA1B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确定成交供应商。磋商小组根据采购人的《授权意见确认书》，推荐成交候选供应商或直接确定成交供应商。其中推荐成交候选供应商的，采购组织机构在评审结束之日起2个工作日内将评审报告送交采购人，采购人自收到评审报告之日起5个工作日内在评审报告推荐的成交候选人中按顺序确定成交供应商。</w:t>
      </w:r>
    </w:p>
    <w:p w14:paraId="74CBDB1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2、发布成交结果公告。采购组织机构应当在成交供应商确定后2个工作日内，在省级以上财政部门指定的政府采购信息发布媒体及相关网站上公告成交结果，并将磋商文件随同公告。</w:t>
      </w:r>
    </w:p>
    <w:p w14:paraId="5B3213DE">
      <w:pPr>
        <w:spacing w:line="360" w:lineRule="auto"/>
        <w:ind w:firstLine="420" w:firstLineChars="200"/>
        <w:rPr>
          <w:rFonts w:ascii="宋体" w:hAnsi="宋体" w:cs="宋体"/>
          <w:color w:val="auto"/>
          <w:kern w:val="0"/>
          <w:szCs w:val="21"/>
          <w:highlight w:val="none"/>
        </w:rPr>
      </w:pPr>
      <w:r>
        <w:rPr>
          <w:rFonts w:hint="eastAsia" w:ascii="宋体" w:hAnsi="宋体" w:cs="宋体"/>
          <w:color w:val="auto"/>
          <w:szCs w:val="21"/>
          <w:highlight w:val="none"/>
        </w:rPr>
        <w:t>3、发出成交通知书。采购组织机构在发布成交结果同时，向成交供应商发出成交通知书。</w:t>
      </w:r>
    </w:p>
    <w:p w14:paraId="3845F6C1">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中标人在中标之后领取通知书之前，应向招标代理机构交纳招标代理服务费。若中标人未在约定时间内支付招标代理服务费，从逾期之日起按日利率千分之一承担违约金。若中标人未按上述规定办理，需承担招标代理机构为实现债权的所有费用（包括但不限于律师费、催讨车旅费、保全担保费等）。</w:t>
      </w:r>
    </w:p>
    <w:p w14:paraId="54345EE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招标代理费：按照中标通知书确定的中标金额，按下附表收费标准，采用差额累进算法向中标单位收取代理服务费。代理服务费结算不足陆仟元的，按定额陆仟元收取。该费用中标方须在领取中标通知书时一次性付清。（单位名称：台州永安工程咨询有限公司；人民币账号：530125998900015；开户行：台州银行黄岩工业园区支行）</w:t>
      </w:r>
    </w:p>
    <w:p w14:paraId="6F7E9AAA">
      <w:pPr>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附表：招标代理服务收费标准</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6"/>
        <w:gridCol w:w="2067"/>
      </w:tblGrid>
      <w:tr w14:paraId="11314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67" w:hRule="atLeast"/>
          <w:jc w:val="center"/>
        </w:trPr>
        <w:tc>
          <w:tcPr>
            <w:tcW w:w="2556" w:type="dxa"/>
          </w:tcPr>
          <w:p w14:paraId="4139BD27">
            <w:pPr>
              <w:ind w:firstLine="1470" w:firstLineChars="700"/>
              <w:rPr>
                <w:rFonts w:ascii="宋体" w:hAnsi="宋体" w:cs="宋体"/>
                <w:b/>
                <w:color w:val="auto"/>
                <w:szCs w:val="21"/>
                <w:highlight w:val="none"/>
              </w:rPr>
            </w:pPr>
            <w:r>
              <w:rPr>
                <w:rFonts w:ascii="宋体" w:hAnsi="宋体" w:cs="宋体"/>
                <w:color w:val="auto"/>
                <w:highlight w:val="none"/>
              </w:rPr>
              <w:pict>
                <v:line id="_x0000_s1026" o:spid="_x0000_s1026" o:spt="20" style="position:absolute;left:0pt;flip:x y;margin-left:-4.6pt;margin-top:7.35pt;height:57.1pt;width:127.5pt;z-index:251663360;mso-width-relative:page;mso-height-relative:page;" coordsize="21600,21600" o:gfxdata="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M9+eVfUAAAACAEAAA8AAAAAAAAAAQAg&#10;AAAAIgAAAGRycy9kb3ducmV2LnhtbFBLAQIUABQAAAAIAIdO4kBz4/Q4EgIAAAQEAAAOAAAAAAAA&#10;AAEAIAAAACMBAABkcnMvZTJvRG9jLnhtbFBLBQYAAAAABgAGAFkBAACnBQAAAAA=&#10;">
                  <v:path arrowok="t"/>
                  <v:fill focussize="0,0"/>
                  <v:stroke/>
                  <v:imagedata o:title=""/>
                  <o:lock v:ext="edit"/>
                </v:line>
              </w:pict>
            </w:r>
            <w:r>
              <w:rPr>
                <w:rFonts w:ascii="宋体" w:hAnsi="宋体" w:cs="宋体"/>
                <w:color w:val="auto"/>
                <w:highlight w:val="none"/>
              </w:rPr>
              <w:pict>
                <v:line id="_x0000_s1028" o:spid="_x0000_s1028" o:spt="20" style="position:absolute;left:0pt;margin-left:50.8pt;margin-top:0pt;height:58.25pt;width:72.65pt;z-index:251662336;mso-width-relative:page;mso-height-relative:page;" coordsize="21600,21600" o:gfxdata="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T4BhXtUAAAAIAQAADwAAAAAAAAABACAAAAAiAAAAZHJz&#10;L2Rvd25yZXYueG1sUEsBAhQAFAAAAAgAh07iQGx8WwoHAgAA8AMAAA4AAAAAAAAAAQAgAAAAJAEA&#10;AGRycy9lMm9Eb2MueG1sUEsFBgAAAAAGAAYAWQEAAJ0FAAAAAA==&#10;">
                  <v:path arrowok="t"/>
                  <v:fill focussize="0,0"/>
                  <v:stroke/>
                  <v:imagedata o:title=""/>
                  <o:lock v:ext="edit"/>
                </v:line>
              </w:pict>
            </w:r>
            <w:r>
              <w:rPr>
                <w:rFonts w:ascii="宋体" w:hAnsi="宋体" w:cs="宋体"/>
                <w:b/>
                <w:color w:val="auto"/>
                <w:szCs w:val="21"/>
                <w:highlight w:val="none"/>
              </w:rPr>
              <w:pict>
                <v:line id="_x0000_s1027" o:spid="_x0000_s1027" o:spt="20" style="position:absolute;left:0pt;margin-left:-9pt;margin-top:-0.5pt;height:0pt;width:0.05pt;z-index:251661312;mso-width-relative:page;mso-height-relative:page;" coordsize="21600,21600" o:allowincell="f"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a5HTftUAAAAJAQAADwAAAAAAAAABACAAAAAiAAAAZHJzL2Rvd25yZXYueG1sUEsBAhQAFAAAAAgA&#10;h07iQCx4TKvvAQAA5AMAAA4AAAAAAAAAAQAgAAAAJAEAAGRycy9lMm9Eb2MueG1sUEsFBgAAAAAG&#10;AAYAWQEAAIUFAAAAAA==&#10;">
                  <v:path arrowok="t"/>
                  <v:fill focussize="0,0"/>
                  <v:stroke/>
                  <v:imagedata o:title=""/>
                  <o:lock v:ext="edit"/>
                </v:line>
              </w:pict>
            </w:r>
            <w:r>
              <w:rPr>
                <w:rFonts w:hint="eastAsia" w:ascii="宋体" w:hAnsi="宋体" w:cs="宋体"/>
                <w:b/>
                <w:color w:val="auto"/>
                <w:szCs w:val="21"/>
                <w:highlight w:val="none"/>
              </w:rPr>
              <w:t>服务</w:t>
            </w:r>
          </w:p>
          <w:p w14:paraId="23FAC0BB">
            <w:pPr>
              <w:ind w:firstLine="1054" w:firstLineChars="500"/>
              <w:rPr>
                <w:rFonts w:ascii="宋体" w:hAnsi="宋体" w:cs="宋体"/>
                <w:b/>
                <w:color w:val="auto"/>
                <w:szCs w:val="21"/>
                <w:highlight w:val="none"/>
              </w:rPr>
            </w:pPr>
            <w:r>
              <w:rPr>
                <w:rFonts w:hint="eastAsia" w:ascii="宋体" w:hAnsi="宋体" w:cs="宋体"/>
                <w:b/>
                <w:color w:val="auto"/>
                <w:szCs w:val="21"/>
                <w:highlight w:val="none"/>
              </w:rPr>
              <w:t>费　　类型</w:t>
            </w:r>
          </w:p>
          <w:p w14:paraId="4C5C59FC">
            <w:pPr>
              <w:ind w:firstLine="1476" w:firstLineChars="700"/>
              <w:rPr>
                <w:rFonts w:ascii="宋体" w:hAnsi="宋体" w:cs="宋体"/>
                <w:b/>
                <w:color w:val="auto"/>
                <w:szCs w:val="21"/>
                <w:highlight w:val="none"/>
              </w:rPr>
            </w:pPr>
            <w:r>
              <w:rPr>
                <w:rFonts w:hint="eastAsia" w:ascii="宋体" w:hAnsi="宋体" w:cs="宋体"/>
                <w:b/>
                <w:color w:val="auto"/>
                <w:szCs w:val="21"/>
                <w:highlight w:val="none"/>
              </w:rPr>
              <w:t>率</w:t>
            </w:r>
          </w:p>
          <w:p w14:paraId="0997B81D">
            <w:pPr>
              <w:rPr>
                <w:rFonts w:ascii="宋体" w:hAnsi="宋体" w:cs="宋体"/>
                <w:b/>
                <w:color w:val="auto"/>
                <w:szCs w:val="21"/>
                <w:highlight w:val="none"/>
              </w:rPr>
            </w:pPr>
            <w:r>
              <w:rPr>
                <w:rFonts w:hint="eastAsia" w:ascii="宋体" w:hAnsi="宋体" w:cs="宋体"/>
                <w:b/>
                <w:color w:val="auto"/>
                <w:szCs w:val="21"/>
                <w:highlight w:val="none"/>
              </w:rPr>
              <w:t>中标金额（万元）</w:t>
            </w:r>
          </w:p>
        </w:tc>
        <w:tc>
          <w:tcPr>
            <w:tcW w:w="2067" w:type="dxa"/>
            <w:vAlign w:val="center"/>
          </w:tcPr>
          <w:p w14:paraId="6F4E3BAD">
            <w:pPr>
              <w:jc w:val="center"/>
              <w:rPr>
                <w:rFonts w:ascii="宋体" w:hAnsi="宋体" w:cs="宋体"/>
                <w:b/>
                <w:color w:val="auto"/>
                <w:szCs w:val="21"/>
                <w:highlight w:val="none"/>
              </w:rPr>
            </w:pPr>
            <w:r>
              <w:rPr>
                <w:rFonts w:hint="eastAsia" w:ascii="宋体" w:hAnsi="宋体" w:cs="宋体"/>
                <w:b/>
                <w:color w:val="auto"/>
                <w:szCs w:val="21"/>
                <w:highlight w:val="none"/>
              </w:rPr>
              <w:t>服务招标</w:t>
            </w:r>
          </w:p>
        </w:tc>
      </w:tr>
      <w:tr w14:paraId="66C41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2556" w:type="dxa"/>
          </w:tcPr>
          <w:p w14:paraId="14ACFD4C">
            <w:pPr>
              <w:jc w:val="center"/>
              <w:rPr>
                <w:rFonts w:ascii="宋体" w:hAnsi="宋体" w:cs="宋体"/>
                <w:color w:val="auto"/>
                <w:szCs w:val="21"/>
                <w:highlight w:val="none"/>
              </w:rPr>
            </w:pPr>
            <w:r>
              <w:rPr>
                <w:rFonts w:hint="eastAsia" w:ascii="宋体" w:hAnsi="宋体" w:cs="宋体"/>
                <w:color w:val="auto"/>
                <w:szCs w:val="21"/>
                <w:highlight w:val="none"/>
              </w:rPr>
              <w:t>100以下</w:t>
            </w:r>
          </w:p>
        </w:tc>
        <w:tc>
          <w:tcPr>
            <w:tcW w:w="2067" w:type="dxa"/>
          </w:tcPr>
          <w:p w14:paraId="4A5532E7">
            <w:pPr>
              <w:jc w:val="center"/>
              <w:rPr>
                <w:rFonts w:ascii="宋体" w:hAnsi="宋体" w:cs="宋体"/>
                <w:color w:val="auto"/>
                <w:szCs w:val="21"/>
                <w:highlight w:val="none"/>
              </w:rPr>
            </w:pPr>
            <w:r>
              <w:rPr>
                <w:rFonts w:hint="eastAsia" w:ascii="宋体" w:hAnsi="宋体" w:cs="宋体"/>
                <w:color w:val="auto"/>
                <w:szCs w:val="21"/>
                <w:highlight w:val="none"/>
              </w:rPr>
              <w:t>1.5%</w:t>
            </w:r>
          </w:p>
        </w:tc>
      </w:tr>
      <w:tr w14:paraId="6F084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2556" w:type="dxa"/>
          </w:tcPr>
          <w:p w14:paraId="0EB1F739">
            <w:pPr>
              <w:jc w:val="center"/>
              <w:rPr>
                <w:rFonts w:ascii="宋体" w:hAnsi="宋体" w:cs="宋体"/>
                <w:color w:val="auto"/>
                <w:szCs w:val="21"/>
                <w:highlight w:val="none"/>
              </w:rPr>
            </w:pPr>
            <w:r>
              <w:rPr>
                <w:rFonts w:hint="eastAsia" w:ascii="宋体" w:hAnsi="宋体" w:cs="宋体"/>
                <w:color w:val="auto"/>
                <w:szCs w:val="21"/>
                <w:highlight w:val="none"/>
              </w:rPr>
              <w:t>100-500</w:t>
            </w:r>
          </w:p>
        </w:tc>
        <w:tc>
          <w:tcPr>
            <w:tcW w:w="2067" w:type="dxa"/>
          </w:tcPr>
          <w:p w14:paraId="6534BDB5">
            <w:pPr>
              <w:jc w:val="center"/>
              <w:rPr>
                <w:rFonts w:ascii="宋体" w:hAnsi="宋体" w:cs="宋体"/>
                <w:color w:val="auto"/>
                <w:szCs w:val="21"/>
                <w:highlight w:val="none"/>
              </w:rPr>
            </w:pPr>
            <w:r>
              <w:rPr>
                <w:rFonts w:hint="eastAsia" w:ascii="宋体" w:hAnsi="宋体" w:cs="宋体"/>
                <w:color w:val="auto"/>
                <w:szCs w:val="21"/>
                <w:highlight w:val="none"/>
              </w:rPr>
              <w:t>0.8%</w:t>
            </w:r>
          </w:p>
        </w:tc>
      </w:tr>
      <w:tr w14:paraId="55E2F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2556" w:type="dxa"/>
          </w:tcPr>
          <w:p w14:paraId="787461CE">
            <w:pPr>
              <w:jc w:val="center"/>
              <w:rPr>
                <w:rFonts w:ascii="宋体" w:hAnsi="宋体" w:cs="宋体"/>
                <w:color w:val="auto"/>
                <w:szCs w:val="21"/>
                <w:highlight w:val="none"/>
              </w:rPr>
            </w:pPr>
            <w:r>
              <w:rPr>
                <w:rFonts w:hint="eastAsia" w:ascii="宋体" w:hAnsi="宋体" w:cs="宋体"/>
                <w:color w:val="auto"/>
                <w:szCs w:val="21"/>
                <w:highlight w:val="none"/>
              </w:rPr>
              <w:t>500-1000</w:t>
            </w:r>
          </w:p>
        </w:tc>
        <w:tc>
          <w:tcPr>
            <w:tcW w:w="2067" w:type="dxa"/>
          </w:tcPr>
          <w:p w14:paraId="1654EDFB">
            <w:pPr>
              <w:jc w:val="center"/>
              <w:rPr>
                <w:rFonts w:ascii="宋体" w:hAnsi="宋体" w:cs="宋体"/>
                <w:color w:val="auto"/>
                <w:szCs w:val="21"/>
                <w:highlight w:val="none"/>
              </w:rPr>
            </w:pPr>
            <w:r>
              <w:rPr>
                <w:rFonts w:hint="eastAsia" w:ascii="宋体" w:hAnsi="宋体" w:cs="宋体"/>
                <w:color w:val="auto"/>
                <w:szCs w:val="21"/>
                <w:highlight w:val="none"/>
              </w:rPr>
              <w:t>0.45%</w:t>
            </w:r>
          </w:p>
        </w:tc>
      </w:tr>
      <w:tr w14:paraId="5AFD9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2556" w:type="dxa"/>
          </w:tcPr>
          <w:p w14:paraId="6E1AE389">
            <w:pPr>
              <w:jc w:val="center"/>
              <w:rPr>
                <w:rFonts w:ascii="宋体" w:hAnsi="宋体" w:cs="宋体"/>
                <w:color w:val="auto"/>
                <w:szCs w:val="21"/>
                <w:highlight w:val="none"/>
              </w:rPr>
            </w:pPr>
            <w:r>
              <w:rPr>
                <w:rFonts w:hint="eastAsia" w:ascii="宋体" w:hAnsi="宋体" w:cs="宋体"/>
                <w:color w:val="auto"/>
                <w:szCs w:val="21"/>
                <w:highlight w:val="none"/>
              </w:rPr>
              <w:t>1000-5000</w:t>
            </w:r>
          </w:p>
        </w:tc>
        <w:tc>
          <w:tcPr>
            <w:tcW w:w="2067" w:type="dxa"/>
          </w:tcPr>
          <w:p w14:paraId="2F3AB821">
            <w:pPr>
              <w:jc w:val="center"/>
              <w:rPr>
                <w:rFonts w:ascii="宋体" w:hAnsi="宋体" w:cs="宋体"/>
                <w:color w:val="auto"/>
                <w:szCs w:val="21"/>
                <w:highlight w:val="none"/>
              </w:rPr>
            </w:pPr>
            <w:r>
              <w:rPr>
                <w:rFonts w:hint="eastAsia" w:ascii="宋体" w:hAnsi="宋体" w:cs="宋体"/>
                <w:color w:val="auto"/>
                <w:szCs w:val="21"/>
                <w:highlight w:val="none"/>
              </w:rPr>
              <w:t>0.25%</w:t>
            </w:r>
          </w:p>
        </w:tc>
      </w:tr>
      <w:tr w14:paraId="7079F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2556" w:type="dxa"/>
          </w:tcPr>
          <w:p w14:paraId="248890C5">
            <w:pPr>
              <w:jc w:val="center"/>
              <w:rPr>
                <w:rFonts w:ascii="宋体" w:hAnsi="宋体" w:cs="宋体"/>
                <w:color w:val="auto"/>
                <w:szCs w:val="21"/>
                <w:highlight w:val="none"/>
              </w:rPr>
            </w:pPr>
            <w:r>
              <w:rPr>
                <w:rFonts w:hint="eastAsia" w:ascii="宋体" w:hAnsi="宋体" w:cs="宋体"/>
                <w:color w:val="auto"/>
                <w:szCs w:val="21"/>
                <w:highlight w:val="none"/>
              </w:rPr>
              <w:t>5000-10000</w:t>
            </w:r>
          </w:p>
        </w:tc>
        <w:tc>
          <w:tcPr>
            <w:tcW w:w="2067" w:type="dxa"/>
          </w:tcPr>
          <w:p w14:paraId="744748B0">
            <w:pPr>
              <w:jc w:val="center"/>
              <w:rPr>
                <w:rFonts w:ascii="宋体" w:hAnsi="宋体" w:cs="宋体"/>
                <w:color w:val="auto"/>
                <w:szCs w:val="21"/>
                <w:highlight w:val="none"/>
              </w:rPr>
            </w:pPr>
            <w:r>
              <w:rPr>
                <w:rFonts w:hint="eastAsia" w:ascii="宋体" w:hAnsi="宋体" w:cs="宋体"/>
                <w:color w:val="auto"/>
                <w:szCs w:val="21"/>
                <w:highlight w:val="none"/>
              </w:rPr>
              <w:t>0.1%</w:t>
            </w:r>
          </w:p>
        </w:tc>
      </w:tr>
      <w:tr w14:paraId="1709E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2556" w:type="dxa"/>
          </w:tcPr>
          <w:p w14:paraId="185654B2">
            <w:pPr>
              <w:jc w:val="center"/>
              <w:rPr>
                <w:rFonts w:ascii="宋体" w:hAnsi="宋体" w:cs="宋体"/>
                <w:color w:val="auto"/>
                <w:szCs w:val="21"/>
                <w:highlight w:val="none"/>
              </w:rPr>
            </w:pPr>
            <w:r>
              <w:rPr>
                <w:rFonts w:hint="eastAsia" w:ascii="宋体" w:hAnsi="宋体" w:cs="宋体"/>
                <w:color w:val="auto"/>
                <w:szCs w:val="21"/>
                <w:highlight w:val="none"/>
              </w:rPr>
              <w:t>10000-100000</w:t>
            </w:r>
          </w:p>
        </w:tc>
        <w:tc>
          <w:tcPr>
            <w:tcW w:w="2067" w:type="dxa"/>
          </w:tcPr>
          <w:p w14:paraId="435BD9B0">
            <w:pPr>
              <w:jc w:val="center"/>
              <w:rPr>
                <w:rFonts w:ascii="宋体" w:hAnsi="宋体" w:cs="宋体"/>
                <w:color w:val="auto"/>
                <w:szCs w:val="21"/>
                <w:highlight w:val="none"/>
              </w:rPr>
            </w:pPr>
            <w:r>
              <w:rPr>
                <w:rFonts w:hint="eastAsia" w:ascii="宋体" w:hAnsi="宋体" w:cs="宋体"/>
                <w:color w:val="auto"/>
                <w:szCs w:val="21"/>
                <w:highlight w:val="none"/>
              </w:rPr>
              <w:t>0.05%</w:t>
            </w:r>
          </w:p>
        </w:tc>
      </w:tr>
      <w:tr w14:paraId="69725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2556" w:type="dxa"/>
          </w:tcPr>
          <w:p w14:paraId="7CAC4B59">
            <w:pPr>
              <w:jc w:val="center"/>
              <w:rPr>
                <w:rFonts w:ascii="宋体" w:hAnsi="宋体" w:cs="宋体"/>
                <w:color w:val="auto"/>
                <w:szCs w:val="21"/>
                <w:highlight w:val="none"/>
              </w:rPr>
            </w:pPr>
            <w:r>
              <w:rPr>
                <w:rFonts w:hint="eastAsia" w:ascii="宋体" w:hAnsi="宋体" w:cs="宋体"/>
                <w:color w:val="auto"/>
                <w:szCs w:val="21"/>
                <w:highlight w:val="none"/>
              </w:rPr>
              <w:t>100000以上</w:t>
            </w:r>
          </w:p>
        </w:tc>
        <w:tc>
          <w:tcPr>
            <w:tcW w:w="2067" w:type="dxa"/>
          </w:tcPr>
          <w:p w14:paraId="5C34E718">
            <w:pPr>
              <w:jc w:val="center"/>
              <w:rPr>
                <w:rFonts w:ascii="宋体" w:hAnsi="宋体" w:cs="宋体"/>
                <w:color w:val="auto"/>
                <w:szCs w:val="21"/>
                <w:highlight w:val="none"/>
              </w:rPr>
            </w:pPr>
            <w:r>
              <w:rPr>
                <w:rFonts w:hint="eastAsia" w:ascii="宋体" w:hAnsi="宋体" w:cs="宋体"/>
                <w:color w:val="auto"/>
                <w:szCs w:val="21"/>
                <w:highlight w:val="none"/>
              </w:rPr>
              <w:t>0.01%</w:t>
            </w:r>
          </w:p>
        </w:tc>
      </w:tr>
    </w:tbl>
    <w:p w14:paraId="33EF69AA">
      <w:pPr>
        <w:spacing w:line="360" w:lineRule="auto"/>
        <w:rPr>
          <w:rFonts w:ascii="宋体" w:hAnsi="宋体" w:cs="宋体"/>
          <w:color w:val="auto"/>
          <w:szCs w:val="21"/>
          <w:highlight w:val="none"/>
        </w:rPr>
      </w:pPr>
    </w:p>
    <w:p w14:paraId="0285B2E6">
      <w:pPr>
        <w:spacing w:line="360" w:lineRule="auto"/>
        <w:ind w:firstLine="422" w:firstLineChars="200"/>
        <w:rPr>
          <w:rFonts w:ascii="宋体" w:hAnsi="宋体" w:cs="宋体"/>
          <w:b/>
          <w:color w:val="auto"/>
          <w:kern w:val="0"/>
          <w:szCs w:val="21"/>
          <w:highlight w:val="none"/>
        </w:rPr>
      </w:pPr>
      <w:r>
        <w:rPr>
          <w:rFonts w:hint="eastAsia" w:ascii="宋体" w:hAnsi="宋体" w:cs="宋体"/>
          <w:b/>
          <w:color w:val="auto"/>
          <w:kern w:val="0"/>
          <w:szCs w:val="21"/>
          <w:highlight w:val="none"/>
        </w:rPr>
        <w:t>五、合同签订及公告</w:t>
      </w:r>
    </w:p>
    <w:p w14:paraId="4FB9D050">
      <w:pPr>
        <w:pStyle w:val="10"/>
        <w:tabs>
          <w:tab w:val="left" w:pos="720"/>
          <w:tab w:val="left" w:pos="1260"/>
          <w:tab w:val="left" w:pos="2160"/>
          <w:tab w:val="left" w:pos="2880"/>
          <w:tab w:val="left" w:pos="3600"/>
          <w:tab w:val="left" w:pos="4320"/>
          <w:tab w:val="left" w:pos="5040"/>
          <w:tab w:val="left" w:pos="5760"/>
        </w:tabs>
        <w:spacing w:after="0" w:line="360" w:lineRule="auto"/>
        <w:ind w:left="0" w:leftChars="0" w:firstLine="422" w:firstLineChars="200"/>
        <w:rPr>
          <w:rFonts w:ascii="宋体" w:hAnsi="宋体" w:cs="宋体"/>
          <w:b/>
          <w:color w:val="auto"/>
          <w:szCs w:val="21"/>
          <w:highlight w:val="none"/>
        </w:rPr>
      </w:pPr>
      <w:r>
        <w:rPr>
          <w:rFonts w:hint="eastAsia" w:ascii="宋体" w:hAnsi="宋体" w:cs="宋体"/>
          <w:b/>
          <w:color w:val="auto"/>
          <w:szCs w:val="21"/>
          <w:highlight w:val="none"/>
        </w:rPr>
        <w:t>（一）签订合同</w:t>
      </w:r>
    </w:p>
    <w:p w14:paraId="6A9D7190">
      <w:pPr>
        <w:pStyle w:val="19"/>
        <w:widowControl w:val="0"/>
        <w:spacing w:before="0" w:beforeAutospacing="0" w:after="0" w:afterAutospacing="0" w:line="360" w:lineRule="auto"/>
        <w:ind w:firstLine="420" w:firstLineChars="200"/>
        <w:jc w:val="both"/>
        <w:rPr>
          <w:rFonts w:cs="宋体"/>
          <w:color w:val="auto"/>
          <w:sz w:val="21"/>
          <w:szCs w:val="21"/>
          <w:highlight w:val="none"/>
        </w:rPr>
      </w:pPr>
      <w:r>
        <w:rPr>
          <w:rFonts w:hint="eastAsia" w:cs="宋体"/>
          <w:color w:val="auto"/>
          <w:sz w:val="21"/>
          <w:szCs w:val="21"/>
          <w:highlight w:val="none"/>
        </w:rPr>
        <w:t>1、采购人应当自成交通知书发出之日起30日内，按照磋商采购文件确定的合同文本以及采购标的、规格型号、采购金额、采购数量和服务要求等事项签订政府采购合同。</w:t>
      </w:r>
    </w:p>
    <w:p w14:paraId="11FAEDC5">
      <w:pPr>
        <w:pStyle w:val="19"/>
        <w:widowControl w:val="0"/>
        <w:spacing w:before="0" w:beforeAutospacing="0" w:after="0" w:afterAutospacing="0" w:line="360" w:lineRule="auto"/>
        <w:ind w:firstLine="420" w:firstLineChars="200"/>
        <w:jc w:val="both"/>
        <w:rPr>
          <w:rFonts w:cs="宋体"/>
          <w:color w:val="auto"/>
          <w:sz w:val="21"/>
          <w:szCs w:val="21"/>
          <w:highlight w:val="none"/>
        </w:rPr>
      </w:pPr>
      <w:r>
        <w:rPr>
          <w:rFonts w:hint="eastAsia" w:cs="宋体"/>
          <w:color w:val="auto"/>
          <w:sz w:val="21"/>
          <w:szCs w:val="21"/>
          <w:highlight w:val="none"/>
        </w:rPr>
        <w:t>2、采购人不得向成交供应商提出超出磋商文件以外的任何要求作为签订合同的条件，不得与成交供应商订立背离磋商文件确定的合同文本以及采购标的、规格型号、采购金额、采购数量和服务要求等实质性内容的协议。</w:t>
      </w:r>
    </w:p>
    <w:p w14:paraId="3115C87A">
      <w:pPr>
        <w:pStyle w:val="19"/>
        <w:widowControl w:val="0"/>
        <w:spacing w:before="0" w:beforeAutospacing="0" w:after="0" w:afterAutospacing="0" w:line="360" w:lineRule="auto"/>
        <w:ind w:firstLine="420" w:firstLineChars="200"/>
        <w:jc w:val="both"/>
        <w:rPr>
          <w:rFonts w:cs="宋体"/>
          <w:color w:val="auto"/>
          <w:sz w:val="21"/>
          <w:szCs w:val="21"/>
          <w:highlight w:val="none"/>
        </w:rPr>
      </w:pPr>
      <w:r>
        <w:rPr>
          <w:rFonts w:hint="eastAsia" w:cs="宋体"/>
          <w:color w:val="auto"/>
          <w:sz w:val="21"/>
          <w:szCs w:val="21"/>
          <w:highlight w:val="none"/>
        </w:rPr>
        <w:t>3、成交供应商无故拖延、拒签合同的,取消成交资格。</w:t>
      </w:r>
    </w:p>
    <w:p w14:paraId="1EE85BE8">
      <w:pPr>
        <w:pStyle w:val="19"/>
        <w:widowControl w:val="0"/>
        <w:spacing w:before="0" w:beforeAutospacing="0" w:after="0" w:afterAutospacing="0" w:line="360" w:lineRule="auto"/>
        <w:ind w:firstLine="420" w:firstLineChars="200"/>
        <w:jc w:val="both"/>
        <w:rPr>
          <w:rFonts w:cs="宋体"/>
          <w:color w:val="auto"/>
          <w:sz w:val="21"/>
          <w:szCs w:val="21"/>
          <w:highlight w:val="none"/>
        </w:rPr>
      </w:pPr>
      <w:r>
        <w:rPr>
          <w:rFonts w:hint="eastAsia" w:cs="宋体"/>
          <w:color w:val="auto"/>
          <w:sz w:val="21"/>
          <w:szCs w:val="21"/>
          <w:highlight w:val="none"/>
        </w:rPr>
        <w:t>4、成交供应商拒绝与采购人签订合同的，采购人可以按照评审报告推荐的成交候选供应商名单排序，确定下一候选供应商为成交供应商，也可以重新开展政府采购活动。同时，拒绝与采购人签订合同的供应商，由同级财政部门依法作出处理。</w:t>
      </w:r>
    </w:p>
    <w:p w14:paraId="26D876F5">
      <w:pPr>
        <w:pStyle w:val="19"/>
        <w:widowControl w:val="0"/>
        <w:spacing w:before="0" w:beforeAutospacing="0" w:after="0" w:afterAutospacing="0" w:line="360" w:lineRule="auto"/>
        <w:ind w:firstLine="420" w:firstLineChars="200"/>
        <w:jc w:val="both"/>
        <w:rPr>
          <w:rFonts w:cs="宋体"/>
          <w:color w:val="auto"/>
          <w:sz w:val="21"/>
          <w:szCs w:val="21"/>
          <w:highlight w:val="none"/>
        </w:rPr>
      </w:pPr>
      <w:r>
        <w:rPr>
          <w:rFonts w:hint="eastAsia" w:cs="宋体"/>
          <w:color w:val="auto"/>
          <w:sz w:val="21"/>
          <w:szCs w:val="21"/>
          <w:highlight w:val="none"/>
        </w:rPr>
        <w:t>5、询问或者质疑事项可能影响成交结果的，采购人应当暂停签订合同，已经签订合同的，应当中止履行合同（成交结果的质疑期为成交结果公告期限届满之日起七个工作日）。</w:t>
      </w:r>
    </w:p>
    <w:p w14:paraId="55DECE32">
      <w:pPr>
        <w:pStyle w:val="19"/>
        <w:widowControl w:val="0"/>
        <w:spacing w:before="0" w:beforeAutospacing="0" w:after="0" w:afterAutospacing="0" w:line="360" w:lineRule="auto"/>
        <w:ind w:firstLine="422" w:firstLineChars="200"/>
        <w:jc w:val="both"/>
        <w:rPr>
          <w:rFonts w:cs="宋体"/>
          <w:b/>
          <w:color w:val="auto"/>
          <w:sz w:val="21"/>
          <w:szCs w:val="21"/>
          <w:highlight w:val="none"/>
        </w:rPr>
      </w:pPr>
      <w:r>
        <w:rPr>
          <w:rFonts w:hint="eastAsia" w:cs="宋体"/>
          <w:b/>
          <w:color w:val="auto"/>
          <w:sz w:val="21"/>
          <w:szCs w:val="21"/>
          <w:highlight w:val="none"/>
        </w:rPr>
        <w:t>（二）合同公告及备案</w:t>
      </w:r>
    </w:p>
    <w:p w14:paraId="347C9723">
      <w:pPr>
        <w:pStyle w:val="8"/>
        <w:spacing w:after="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1、采购人应当自政府采购合同签订之日起2个工作日内，在省级以上财政部门指定的政府采购信息发布媒体及相关网站上公告。</w:t>
      </w:r>
    </w:p>
    <w:p w14:paraId="4CE64AFF">
      <w:pPr>
        <w:pStyle w:val="8"/>
        <w:spacing w:after="0" w:line="360" w:lineRule="auto"/>
        <w:ind w:firstLine="420" w:firstLineChars="200"/>
        <w:rPr>
          <w:rFonts w:ascii="宋体" w:hAnsi="宋体" w:cs="宋体"/>
          <w:b/>
          <w:color w:val="auto"/>
          <w:szCs w:val="21"/>
          <w:highlight w:val="none"/>
        </w:rPr>
      </w:pPr>
      <w:r>
        <w:rPr>
          <w:rFonts w:hint="eastAsia" w:ascii="宋体" w:hAnsi="宋体" w:cs="宋体"/>
          <w:color w:val="auto"/>
          <w:szCs w:val="21"/>
          <w:highlight w:val="none"/>
        </w:rPr>
        <w:t>2、采购人应当自政府采购合同签订之日起7个工作日内，将政府采购合同副本报同级人民政府财政部门备案以及采购组织机构存档。</w:t>
      </w:r>
    </w:p>
    <w:p w14:paraId="258DABC4">
      <w:pPr>
        <w:spacing w:line="360" w:lineRule="auto"/>
        <w:jc w:val="center"/>
        <w:outlineLvl w:val="0"/>
        <w:rPr>
          <w:rFonts w:ascii="宋体" w:hAnsi="宋体" w:cs="宋体"/>
          <w:b/>
          <w:color w:val="auto"/>
          <w:sz w:val="36"/>
          <w:szCs w:val="36"/>
          <w:highlight w:val="none"/>
        </w:rPr>
        <w:sectPr>
          <w:pgSz w:w="11906" w:h="16838"/>
          <w:pgMar w:top="1440" w:right="1440" w:bottom="1440" w:left="1803" w:header="851" w:footer="992" w:gutter="0"/>
          <w:cols w:space="0" w:num="1"/>
          <w:docGrid w:type="lines" w:linePitch="325" w:charSpace="0"/>
        </w:sectPr>
      </w:pPr>
    </w:p>
    <w:p w14:paraId="538C3620">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第三章 评审办法及评审标准</w:t>
      </w:r>
    </w:p>
    <w:p w14:paraId="5116F4F3">
      <w:pPr>
        <w:autoSpaceDE w:val="0"/>
        <w:autoSpaceDN w:val="0"/>
        <w:spacing w:line="360" w:lineRule="auto"/>
        <w:ind w:firstLine="420" w:firstLineChars="200"/>
        <w:rPr>
          <w:rFonts w:ascii="宋体" w:hAnsi="宋体" w:cs="宋体"/>
          <w:b/>
          <w:i/>
          <w:color w:val="auto"/>
          <w:kern w:val="0"/>
          <w:szCs w:val="21"/>
          <w:highlight w:val="none"/>
        </w:rPr>
      </w:pPr>
      <w:r>
        <w:rPr>
          <w:rFonts w:hint="eastAsia" w:ascii="宋体" w:hAnsi="宋体" w:cs="宋体"/>
          <w:color w:val="auto"/>
          <w:kern w:val="0"/>
          <w:szCs w:val="21"/>
          <w:highlight w:val="none"/>
        </w:rPr>
        <w:t>一、采购组织机构将组织</w:t>
      </w:r>
      <w:r>
        <w:rPr>
          <w:rFonts w:hint="eastAsia" w:ascii="宋体" w:hAnsi="宋体" w:cs="宋体"/>
          <w:color w:val="auto"/>
          <w:szCs w:val="21"/>
          <w:highlight w:val="none"/>
        </w:rPr>
        <w:t>磋商小组</w:t>
      </w:r>
      <w:r>
        <w:rPr>
          <w:rFonts w:hint="eastAsia" w:ascii="宋体" w:hAnsi="宋体" w:cs="宋体"/>
          <w:color w:val="auto"/>
          <w:kern w:val="0"/>
          <w:szCs w:val="21"/>
          <w:highlight w:val="none"/>
        </w:rPr>
        <w:t>，对</w:t>
      </w:r>
      <w:r>
        <w:rPr>
          <w:rFonts w:hint="eastAsia" w:ascii="宋体" w:hAnsi="宋体" w:cs="宋体"/>
          <w:color w:val="auto"/>
          <w:szCs w:val="21"/>
          <w:highlight w:val="none"/>
        </w:rPr>
        <w:t>供应商</w:t>
      </w:r>
      <w:r>
        <w:rPr>
          <w:rFonts w:hint="eastAsia" w:ascii="宋体" w:hAnsi="宋体" w:cs="宋体"/>
          <w:color w:val="auto"/>
          <w:kern w:val="0"/>
          <w:szCs w:val="21"/>
          <w:highlight w:val="none"/>
        </w:rPr>
        <w:t>提供的</w:t>
      </w:r>
      <w:r>
        <w:rPr>
          <w:rFonts w:hint="eastAsia" w:ascii="宋体" w:hAnsi="宋体" w:cs="宋体"/>
          <w:color w:val="auto"/>
          <w:szCs w:val="21"/>
          <w:highlight w:val="none"/>
        </w:rPr>
        <w:t>磋商响应文件</w:t>
      </w:r>
      <w:r>
        <w:rPr>
          <w:rFonts w:hint="eastAsia" w:ascii="宋体" w:hAnsi="宋体" w:cs="宋体"/>
          <w:color w:val="auto"/>
          <w:kern w:val="0"/>
          <w:szCs w:val="21"/>
          <w:highlight w:val="none"/>
        </w:rPr>
        <w:t xml:space="preserve">进行综合评审。   </w:t>
      </w:r>
    </w:p>
    <w:p w14:paraId="585A58BC">
      <w:pPr>
        <w:autoSpaceDE w:val="0"/>
        <w:autoSpaceDN w:val="0"/>
        <w:adjustRightInd w:val="0"/>
        <w:spacing w:line="360" w:lineRule="auto"/>
        <w:ind w:firstLine="420" w:firstLineChars="200"/>
        <w:jc w:val="left"/>
        <w:rPr>
          <w:rFonts w:ascii="宋体" w:hAnsi="宋体" w:cs="宋体"/>
          <w:color w:val="auto"/>
          <w:highlight w:val="none"/>
        </w:rPr>
      </w:pPr>
      <w:r>
        <w:rPr>
          <w:rFonts w:hint="eastAsia" w:ascii="宋体" w:hAnsi="宋体" w:cs="宋体"/>
          <w:color w:val="auto"/>
          <w:kern w:val="0"/>
          <w:szCs w:val="21"/>
          <w:highlight w:val="none"/>
        </w:rPr>
        <w:t>二、本次磋商项目的评审方法为</w:t>
      </w:r>
      <w:r>
        <w:rPr>
          <w:rFonts w:hint="eastAsia" w:ascii="宋体" w:hAnsi="宋体" w:cs="宋体"/>
          <w:b/>
          <w:color w:val="auto"/>
          <w:kern w:val="0"/>
          <w:szCs w:val="21"/>
          <w:highlight w:val="none"/>
        </w:rPr>
        <w:t>综合评分法</w:t>
      </w:r>
      <w:r>
        <w:rPr>
          <w:rFonts w:hint="eastAsia" w:ascii="宋体" w:hAnsi="宋体" w:cs="宋体"/>
          <w:color w:val="auto"/>
          <w:kern w:val="0"/>
          <w:szCs w:val="21"/>
          <w:highlight w:val="none"/>
        </w:rPr>
        <w:t>，总计100分，</w:t>
      </w:r>
      <w:r>
        <w:rPr>
          <w:rFonts w:hint="eastAsia" w:ascii="宋体" w:hAnsi="宋体" w:cs="宋体"/>
          <w:color w:val="auto"/>
          <w:szCs w:val="21"/>
          <w:highlight w:val="none"/>
        </w:rPr>
        <w:t>其中</w:t>
      </w:r>
      <w:r>
        <w:rPr>
          <w:rFonts w:hint="eastAsia" w:ascii="宋体" w:hAnsi="宋体" w:cs="宋体"/>
          <w:color w:val="auto"/>
          <w:szCs w:val="21"/>
          <w:highlight w:val="none"/>
          <w:lang w:val="zh-CN"/>
        </w:rPr>
        <w:t>商务技术分值</w:t>
      </w:r>
      <w:r>
        <w:rPr>
          <w:rFonts w:hint="eastAsia" w:ascii="宋体" w:hAnsi="宋体" w:cs="宋体"/>
          <w:color w:val="auto"/>
          <w:szCs w:val="21"/>
          <w:highlight w:val="none"/>
        </w:rPr>
        <w:t>70</w:t>
      </w:r>
      <w:r>
        <w:rPr>
          <w:rFonts w:hint="eastAsia" w:ascii="宋体" w:hAnsi="宋体" w:cs="宋体"/>
          <w:color w:val="auto"/>
          <w:szCs w:val="21"/>
          <w:highlight w:val="none"/>
          <w:lang w:val="zh-CN"/>
        </w:rPr>
        <w:t>分，投标报价分值</w:t>
      </w:r>
      <w:r>
        <w:rPr>
          <w:rFonts w:hint="eastAsia" w:ascii="宋体" w:hAnsi="宋体" w:cs="宋体"/>
          <w:color w:val="auto"/>
          <w:szCs w:val="21"/>
          <w:highlight w:val="none"/>
        </w:rPr>
        <w:t>30</w:t>
      </w:r>
      <w:r>
        <w:rPr>
          <w:rFonts w:hint="eastAsia" w:ascii="宋体" w:hAnsi="宋体" w:cs="宋体"/>
          <w:color w:val="auto"/>
          <w:szCs w:val="21"/>
          <w:highlight w:val="none"/>
          <w:lang w:val="zh-CN"/>
        </w:rPr>
        <w:t>分</w:t>
      </w:r>
      <w:r>
        <w:rPr>
          <w:rFonts w:hint="eastAsia" w:ascii="宋体" w:hAnsi="宋体" w:cs="宋体"/>
          <w:color w:val="auto"/>
          <w:szCs w:val="21"/>
          <w:highlight w:val="none"/>
        </w:rPr>
        <w:t>。</w:t>
      </w:r>
      <w:r>
        <w:rPr>
          <w:rFonts w:hint="eastAsia" w:ascii="宋体" w:hAnsi="宋体" w:cs="宋体"/>
          <w:color w:val="auto"/>
          <w:kern w:val="0"/>
          <w:szCs w:val="21"/>
          <w:highlight w:val="none"/>
        </w:rPr>
        <w:t>评审标准按评分细化条款及分值进行评审。</w:t>
      </w:r>
    </w:p>
    <w:p w14:paraId="798B0389">
      <w:pPr>
        <w:autoSpaceDE w:val="0"/>
        <w:autoSpaceDN w:val="0"/>
        <w:adjustRightInd w:val="0"/>
        <w:spacing w:line="360" w:lineRule="auto"/>
        <w:ind w:right="84" w:firstLine="472"/>
        <w:rPr>
          <w:rFonts w:ascii="宋体" w:hAnsi="宋体" w:cs="宋体"/>
          <w:bCs/>
          <w:color w:val="auto"/>
          <w:szCs w:val="21"/>
          <w:highlight w:val="none"/>
          <w:lang w:val="zh-CN"/>
        </w:rPr>
      </w:pPr>
      <w:r>
        <w:rPr>
          <w:rFonts w:hint="eastAsia" w:ascii="宋体" w:hAnsi="宋体" w:cs="宋体"/>
          <w:bCs/>
          <w:color w:val="auto"/>
          <w:szCs w:val="21"/>
          <w:highlight w:val="none"/>
          <w:lang w:val="zh-CN"/>
        </w:rPr>
        <w:t>（一）商务技术文件中的客观分</w:t>
      </w:r>
      <w:r>
        <w:rPr>
          <w:rFonts w:hint="eastAsia" w:ascii="宋体" w:hAnsi="宋体" w:cs="宋体"/>
          <w:color w:val="auto"/>
          <w:szCs w:val="21"/>
          <w:highlight w:val="none"/>
          <w:lang w:val="zh-CN"/>
        </w:rPr>
        <w:t>应由评审小组成员独立评审，</w:t>
      </w:r>
      <w:r>
        <w:rPr>
          <w:rFonts w:hint="eastAsia" w:ascii="宋体" w:hAnsi="宋体" w:cs="宋体"/>
          <w:color w:val="auto"/>
          <w:szCs w:val="21"/>
          <w:highlight w:val="none"/>
        </w:rPr>
        <w:t>但客观分打分应一致</w:t>
      </w:r>
      <w:r>
        <w:rPr>
          <w:rFonts w:hint="eastAsia" w:ascii="宋体" w:hAnsi="宋体" w:cs="宋体"/>
          <w:bCs/>
          <w:color w:val="auto"/>
          <w:szCs w:val="21"/>
          <w:highlight w:val="none"/>
          <w:lang w:val="zh-CN"/>
        </w:rPr>
        <w:t>；</w:t>
      </w:r>
      <w:r>
        <w:rPr>
          <w:rFonts w:hint="eastAsia" w:ascii="宋体" w:hAnsi="宋体" w:cs="宋体"/>
          <w:color w:val="auto"/>
          <w:szCs w:val="21"/>
          <w:highlight w:val="none"/>
          <w:lang w:val="zh-CN"/>
        </w:rPr>
        <w:t>客观分不一致时，由评审委员会复核或书面说明理由，</w:t>
      </w:r>
      <w:r>
        <w:rPr>
          <w:rFonts w:hint="eastAsia" w:ascii="宋体" w:hAnsi="宋体" w:cs="宋体"/>
          <w:bCs/>
          <w:color w:val="auto"/>
          <w:szCs w:val="21"/>
          <w:highlight w:val="none"/>
          <w:lang w:val="zh-CN"/>
        </w:rPr>
        <w:t>其余在规定的分值内单独评定打分</w:t>
      </w:r>
      <w:r>
        <w:rPr>
          <w:rFonts w:hint="eastAsia" w:ascii="宋体" w:hAnsi="宋体" w:cs="宋体"/>
          <w:color w:val="auto"/>
          <w:szCs w:val="21"/>
          <w:highlight w:val="none"/>
        </w:rPr>
        <w:t>（小数点后保留1位）</w:t>
      </w:r>
      <w:r>
        <w:rPr>
          <w:rFonts w:hint="eastAsia" w:ascii="宋体" w:hAnsi="宋体" w:cs="宋体"/>
          <w:bCs/>
          <w:color w:val="auto"/>
          <w:szCs w:val="21"/>
          <w:highlight w:val="none"/>
          <w:lang w:val="zh-CN"/>
        </w:rPr>
        <w:t>。</w:t>
      </w:r>
    </w:p>
    <w:p w14:paraId="157F0BB9">
      <w:pPr>
        <w:autoSpaceDE w:val="0"/>
        <w:autoSpaceDN w:val="0"/>
        <w:adjustRightInd w:val="0"/>
        <w:spacing w:line="360" w:lineRule="auto"/>
        <w:ind w:right="84" w:firstLine="472"/>
        <w:rPr>
          <w:rFonts w:ascii="宋体" w:hAnsi="宋体" w:cs="宋体"/>
          <w:bCs/>
          <w:color w:val="auto"/>
          <w:szCs w:val="21"/>
          <w:highlight w:val="none"/>
          <w:shd w:val="clear" w:color="FFFFFF" w:fill="D9D9D9"/>
          <w:lang w:val="zh-CN"/>
        </w:rPr>
      </w:pPr>
      <w:r>
        <w:rPr>
          <w:rFonts w:hint="eastAsia" w:ascii="宋体" w:hAnsi="宋体" w:cs="宋体"/>
          <w:bCs/>
          <w:color w:val="auto"/>
          <w:szCs w:val="21"/>
          <w:highlight w:val="none"/>
          <w:lang w:val="zh-CN"/>
        </w:rPr>
        <w:t>（二）各磋商供应商商务技术文件</w:t>
      </w:r>
      <w:r>
        <w:rPr>
          <w:rFonts w:hint="eastAsia" w:ascii="宋体" w:hAnsi="宋体" w:cs="宋体"/>
          <w:color w:val="auto"/>
          <w:kern w:val="0"/>
          <w:szCs w:val="21"/>
          <w:highlight w:val="none"/>
          <w:lang w:val="zh-CN"/>
        </w:rPr>
        <w:t>得分按照</w:t>
      </w:r>
      <w:r>
        <w:rPr>
          <w:rFonts w:hint="eastAsia" w:ascii="宋体" w:hAnsi="宋体" w:cs="宋体"/>
          <w:color w:val="auto"/>
          <w:szCs w:val="21"/>
          <w:highlight w:val="none"/>
        </w:rPr>
        <w:t>磋商小组</w:t>
      </w:r>
      <w:r>
        <w:rPr>
          <w:rFonts w:hint="eastAsia" w:ascii="宋体" w:hAnsi="宋体" w:cs="宋体"/>
          <w:color w:val="auto"/>
          <w:kern w:val="0"/>
          <w:szCs w:val="21"/>
          <w:highlight w:val="none"/>
          <w:lang w:val="zh-CN"/>
        </w:rPr>
        <w:t>成</w:t>
      </w:r>
      <w:r>
        <w:rPr>
          <w:rFonts w:hint="eastAsia" w:ascii="宋体" w:hAnsi="宋体" w:cs="宋体"/>
          <w:bCs/>
          <w:color w:val="auto"/>
          <w:szCs w:val="21"/>
          <w:highlight w:val="none"/>
          <w:lang w:val="zh-CN"/>
        </w:rPr>
        <w:t>员的独立评分结果汇总后的算术平均分计算</w:t>
      </w:r>
      <w:r>
        <w:rPr>
          <w:rFonts w:hint="eastAsia" w:ascii="宋体" w:hAnsi="宋体" w:cs="宋体"/>
          <w:color w:val="auto"/>
          <w:szCs w:val="21"/>
          <w:highlight w:val="none"/>
        </w:rPr>
        <w:t>（小数点后保留2位，四舍五入）</w:t>
      </w:r>
      <w:r>
        <w:rPr>
          <w:rFonts w:hint="eastAsia" w:ascii="宋体" w:hAnsi="宋体" w:cs="宋体"/>
          <w:bCs/>
          <w:color w:val="auto"/>
          <w:szCs w:val="21"/>
          <w:highlight w:val="none"/>
          <w:lang w:val="zh-CN"/>
        </w:rPr>
        <w:t>，计算公式为：</w:t>
      </w:r>
    </w:p>
    <w:p w14:paraId="54F854B7">
      <w:pPr>
        <w:autoSpaceDE w:val="0"/>
        <w:autoSpaceDN w:val="0"/>
        <w:adjustRightInd w:val="0"/>
        <w:spacing w:line="360" w:lineRule="auto"/>
        <w:ind w:right="84" w:firstLine="472"/>
        <w:rPr>
          <w:rFonts w:ascii="宋体" w:hAnsi="宋体" w:cs="宋体"/>
          <w:bCs/>
          <w:color w:val="auto"/>
          <w:szCs w:val="21"/>
          <w:highlight w:val="none"/>
          <w:shd w:val="clear" w:color="FFFFFF" w:fill="D9D9D9"/>
          <w:lang w:val="zh-CN"/>
        </w:rPr>
      </w:pPr>
      <w:r>
        <w:rPr>
          <w:rFonts w:hint="eastAsia" w:ascii="宋体" w:hAnsi="宋体" w:cs="宋体"/>
          <w:color w:val="auto"/>
          <w:szCs w:val="21"/>
          <w:highlight w:val="none"/>
        </w:rPr>
        <w:t>商务技术文件得分</w:t>
      </w:r>
      <w:r>
        <w:rPr>
          <w:rFonts w:hint="eastAsia" w:ascii="宋体" w:hAnsi="宋体" w:cs="宋体"/>
          <w:bCs/>
          <w:color w:val="auto"/>
          <w:szCs w:val="21"/>
          <w:highlight w:val="none"/>
          <w:lang w:val="zh-CN"/>
        </w:rPr>
        <w:t>=</w:t>
      </w:r>
      <w:r>
        <w:rPr>
          <w:rFonts w:hint="eastAsia" w:ascii="宋体" w:hAnsi="宋体" w:cs="宋体"/>
          <w:color w:val="auto"/>
          <w:szCs w:val="21"/>
          <w:highlight w:val="none"/>
        </w:rPr>
        <w:t>磋商小组</w:t>
      </w:r>
      <w:r>
        <w:rPr>
          <w:rFonts w:hint="eastAsia" w:ascii="宋体" w:hAnsi="宋体" w:cs="宋体"/>
          <w:bCs/>
          <w:color w:val="auto"/>
          <w:szCs w:val="21"/>
          <w:highlight w:val="none"/>
          <w:lang w:val="zh-CN"/>
        </w:rPr>
        <w:t>所有成员评分合计数/</w:t>
      </w:r>
      <w:r>
        <w:rPr>
          <w:rFonts w:hint="eastAsia" w:ascii="宋体" w:hAnsi="宋体" w:cs="宋体"/>
          <w:color w:val="auto"/>
          <w:szCs w:val="21"/>
          <w:highlight w:val="none"/>
        </w:rPr>
        <w:t>磋商小组</w:t>
      </w:r>
      <w:r>
        <w:rPr>
          <w:rFonts w:hint="eastAsia" w:ascii="宋体" w:hAnsi="宋体" w:cs="宋体"/>
          <w:bCs/>
          <w:color w:val="auto"/>
          <w:szCs w:val="21"/>
          <w:highlight w:val="none"/>
          <w:lang w:val="zh-CN"/>
        </w:rPr>
        <w:t>组成人员数。</w:t>
      </w:r>
    </w:p>
    <w:p w14:paraId="0132536E">
      <w:pPr>
        <w:autoSpaceDE w:val="0"/>
        <w:autoSpaceDN w:val="0"/>
        <w:adjustRightInd w:val="0"/>
        <w:spacing w:line="360" w:lineRule="auto"/>
        <w:ind w:right="85" w:firstLine="420" w:firstLineChars="200"/>
        <w:rPr>
          <w:rFonts w:ascii="宋体" w:hAnsi="宋体" w:cs="宋体"/>
          <w:color w:val="auto"/>
          <w:szCs w:val="21"/>
          <w:highlight w:val="none"/>
          <w:lang w:val="zh-CN"/>
        </w:rPr>
      </w:pPr>
      <w:r>
        <w:rPr>
          <w:rFonts w:hint="eastAsia" w:ascii="宋体" w:hAnsi="宋体" w:cs="宋体"/>
          <w:bCs/>
          <w:color w:val="auto"/>
          <w:szCs w:val="21"/>
          <w:highlight w:val="none"/>
          <w:lang w:val="zh-CN"/>
        </w:rPr>
        <w:t>（三）</w:t>
      </w:r>
      <w:r>
        <w:rPr>
          <w:rFonts w:hint="eastAsia" w:ascii="宋体" w:hAnsi="宋体" w:cs="宋体"/>
          <w:color w:val="auto"/>
          <w:szCs w:val="21"/>
          <w:highlight w:val="none"/>
          <w:u w:val="single"/>
        </w:rPr>
        <w:t>综合评分法中的价格分统一</w:t>
      </w:r>
      <w:r>
        <w:rPr>
          <w:rFonts w:hint="eastAsia" w:ascii="宋体" w:hAnsi="宋体" w:cs="宋体"/>
          <w:color w:val="auto"/>
          <w:szCs w:val="21"/>
          <w:highlight w:val="none"/>
          <w:lang w:val="zh-CN"/>
        </w:rPr>
        <w:t>采用低价优先法计算</w:t>
      </w:r>
      <w:r>
        <w:rPr>
          <w:rFonts w:hint="eastAsia" w:ascii="宋体" w:hAnsi="宋体" w:cs="宋体"/>
          <w:color w:val="auto"/>
          <w:szCs w:val="21"/>
          <w:highlight w:val="none"/>
        </w:rPr>
        <w:t>（小数点后保留2位，四舍五入）</w:t>
      </w:r>
      <w:r>
        <w:rPr>
          <w:rFonts w:hint="eastAsia" w:ascii="宋体" w:hAnsi="宋体" w:cs="宋体"/>
          <w:color w:val="auto"/>
          <w:szCs w:val="21"/>
          <w:highlight w:val="none"/>
          <w:lang w:val="zh-CN"/>
        </w:rPr>
        <w:t>，即满足磋商文件要求且最后报价最低的供应商的价格作为磋商基准价，其报价得满分。其他供应商的价格分统一按照下列公式计算：</w:t>
      </w:r>
    </w:p>
    <w:p w14:paraId="641493ED">
      <w:pPr>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u w:val="single"/>
        </w:rPr>
        <w:t>磋商报价得分=(</w:t>
      </w:r>
      <w:r>
        <w:rPr>
          <w:rFonts w:hint="eastAsia" w:ascii="宋体" w:hAnsi="宋体" w:cs="宋体"/>
          <w:color w:val="auto"/>
          <w:szCs w:val="21"/>
          <w:highlight w:val="none"/>
          <w:u w:val="single"/>
          <w:lang w:val="zh-CN"/>
        </w:rPr>
        <w:t>磋商基准价</w:t>
      </w:r>
      <w:r>
        <w:rPr>
          <w:rFonts w:hint="eastAsia" w:ascii="宋体" w:hAnsi="宋体" w:cs="宋体"/>
          <w:color w:val="auto"/>
          <w:szCs w:val="21"/>
          <w:highlight w:val="none"/>
          <w:u w:val="single"/>
        </w:rPr>
        <w:t>／最后磋商报价)×30%×100 。</w:t>
      </w:r>
    </w:p>
    <w:p w14:paraId="37E8FBFF">
      <w:pPr>
        <w:spacing w:line="360" w:lineRule="auto"/>
        <w:ind w:firstLine="420" w:firstLineChars="200"/>
        <w:rPr>
          <w:rFonts w:ascii="宋体" w:hAnsi="宋体" w:cs="宋体"/>
          <w:color w:val="auto"/>
          <w:szCs w:val="21"/>
          <w:highlight w:val="none"/>
          <w:u w:val="single"/>
        </w:rPr>
      </w:pPr>
      <w:r>
        <w:rPr>
          <w:rFonts w:hint="eastAsia" w:asciiTheme="minorEastAsia" w:hAnsiTheme="minorEastAsia" w:eastAsiaTheme="minorEastAsia" w:cstheme="minorEastAsia"/>
          <w:color w:val="auto"/>
          <w:szCs w:val="21"/>
          <w:highlight w:val="none"/>
          <w:lang w:val="zh-CN"/>
        </w:rPr>
        <w:t>（四）</w:t>
      </w:r>
      <w:r>
        <w:rPr>
          <w:rFonts w:hint="eastAsia" w:ascii="宋体" w:hAnsi="宋体" w:cs="宋体"/>
          <w:bCs/>
          <w:color w:val="auto"/>
          <w:szCs w:val="21"/>
          <w:highlight w:val="none"/>
          <w:lang w:val="zh-CN"/>
        </w:rPr>
        <w:t>磋商供应商</w:t>
      </w:r>
      <w:r>
        <w:rPr>
          <w:rFonts w:hint="eastAsia" w:asciiTheme="minorEastAsia" w:hAnsiTheme="minorEastAsia" w:eastAsiaTheme="minorEastAsia" w:cstheme="minorEastAsia"/>
          <w:color w:val="auto"/>
          <w:szCs w:val="21"/>
          <w:highlight w:val="none"/>
          <w:lang w:val="zh-CN"/>
        </w:rPr>
        <w:t>综合得分＝商务技术文件得分＋投标报价得分。</w:t>
      </w:r>
    </w:p>
    <w:p w14:paraId="75786750">
      <w:pPr>
        <w:spacing w:line="360" w:lineRule="auto"/>
        <w:ind w:firstLine="420" w:firstLineChars="200"/>
        <w:rPr>
          <w:rFonts w:ascii="宋体" w:hAnsi="宋体" w:cs="宋体"/>
          <w:color w:val="auto"/>
          <w:szCs w:val="21"/>
          <w:highlight w:val="none"/>
          <w:lang w:val="zh-CN"/>
        </w:rPr>
      </w:pPr>
      <w:r>
        <w:rPr>
          <w:rFonts w:hint="eastAsia" w:ascii="宋体" w:hAnsi="宋体" w:cs="宋体"/>
          <w:color w:val="auto"/>
          <w:szCs w:val="21"/>
          <w:highlight w:val="none"/>
          <w:lang w:val="zh-CN"/>
        </w:rPr>
        <w:t>（</w:t>
      </w:r>
      <w:r>
        <w:rPr>
          <w:rFonts w:hint="eastAsia" w:ascii="宋体" w:hAnsi="宋体" w:cs="宋体"/>
          <w:color w:val="auto"/>
          <w:szCs w:val="21"/>
          <w:highlight w:val="none"/>
        </w:rPr>
        <w:t>五</w:t>
      </w:r>
      <w:r>
        <w:rPr>
          <w:rFonts w:hint="eastAsia" w:ascii="宋体" w:hAnsi="宋体" w:cs="宋体"/>
          <w:color w:val="auto"/>
          <w:szCs w:val="21"/>
          <w:highlight w:val="none"/>
          <w:lang w:val="zh-CN"/>
        </w:rPr>
        <w:t>）政府采购政策及优惠：</w:t>
      </w:r>
      <w:r>
        <w:rPr>
          <w:rFonts w:hint="eastAsia" w:ascii="宋体" w:hAnsi="宋体" w:cs="宋体"/>
          <w:color w:val="auto"/>
          <w:szCs w:val="21"/>
          <w:highlight w:val="none"/>
        </w:rPr>
        <w:t>1、</w:t>
      </w:r>
      <w:r>
        <w:rPr>
          <w:rFonts w:hint="eastAsia" w:ascii="宋体" w:hAnsi="宋体" w:cs="宋体"/>
          <w:color w:val="auto"/>
          <w:szCs w:val="21"/>
          <w:highlight w:val="none"/>
          <w:lang w:val="zh-CN"/>
        </w:rPr>
        <w:t>关于小型、微型企业（简称小微企业）磋商：①根据</w:t>
      </w:r>
      <w:r>
        <w:rPr>
          <w:rFonts w:hint="eastAsia" w:ascii="宋体" w:hAnsi="宋体" w:cs="宋体"/>
          <w:color w:val="auto"/>
          <w:szCs w:val="21"/>
          <w:highlight w:val="none"/>
        </w:rPr>
        <w:t>浙江省财政厅</w:t>
      </w:r>
      <w:r>
        <w:rPr>
          <w:rFonts w:hint="eastAsia" w:ascii="宋体" w:hAnsi="宋体" w:cs="宋体"/>
          <w:color w:val="auto"/>
          <w:szCs w:val="21"/>
          <w:highlight w:val="none"/>
          <w:lang w:val="zh-CN"/>
        </w:rPr>
        <w:t>发布的《浙江省财政厅关于进一步发挥政府采购政策功能全力推动经济稳进提质的通知》【</w:t>
      </w:r>
      <w:r>
        <w:rPr>
          <w:rFonts w:hint="eastAsia" w:ascii="宋体" w:hAnsi="宋体" w:cs="宋体"/>
          <w:color w:val="auto"/>
          <w:szCs w:val="21"/>
          <w:highlight w:val="none"/>
        </w:rPr>
        <w:t>浙财采监</w:t>
      </w:r>
      <w:r>
        <w:rPr>
          <w:rFonts w:hint="eastAsia" w:ascii="宋体" w:hAnsi="宋体" w:cs="宋体"/>
          <w:color w:val="auto"/>
          <w:szCs w:val="21"/>
          <w:highlight w:val="none"/>
          <w:lang w:val="zh-CN"/>
        </w:rPr>
        <w:t>（202</w:t>
      </w:r>
      <w:r>
        <w:rPr>
          <w:rFonts w:hint="eastAsia" w:ascii="宋体" w:hAnsi="宋体" w:cs="宋体"/>
          <w:color w:val="auto"/>
          <w:szCs w:val="21"/>
          <w:highlight w:val="none"/>
        </w:rPr>
        <w:t>2</w:t>
      </w:r>
      <w:r>
        <w:rPr>
          <w:rFonts w:hint="eastAsia" w:ascii="宋体" w:hAnsi="宋体" w:cs="宋体"/>
          <w:color w:val="auto"/>
          <w:szCs w:val="21"/>
          <w:highlight w:val="none"/>
          <w:lang w:val="zh-CN"/>
        </w:rPr>
        <w:t>）</w:t>
      </w:r>
      <w:r>
        <w:rPr>
          <w:rFonts w:hint="eastAsia" w:ascii="宋体" w:hAnsi="宋体" w:cs="宋体"/>
          <w:color w:val="auto"/>
          <w:szCs w:val="21"/>
          <w:highlight w:val="none"/>
        </w:rPr>
        <w:t>3</w:t>
      </w:r>
      <w:r>
        <w:rPr>
          <w:rFonts w:hint="eastAsia" w:ascii="宋体" w:hAnsi="宋体" w:cs="宋体"/>
          <w:color w:val="auto"/>
          <w:szCs w:val="21"/>
          <w:highlight w:val="none"/>
          <w:lang w:val="zh-CN"/>
        </w:rPr>
        <w:t>号】规定，对于经主管预算单位统筹后未预留份额专门面向中小企业采购的采购项目，以及预留份额项目中的非预留部分采购包，采购人、采购代理机构应当对符合本办法规定的小微企业报价给予</w:t>
      </w:r>
      <w:r>
        <w:rPr>
          <w:rFonts w:hint="eastAsia" w:ascii="宋体" w:hAnsi="宋体" w:cs="宋体"/>
          <w:color w:val="auto"/>
          <w:szCs w:val="21"/>
          <w:highlight w:val="none"/>
        </w:rPr>
        <w:t>10</w:t>
      </w:r>
      <w:r>
        <w:rPr>
          <w:rFonts w:hint="eastAsia" w:ascii="宋体" w:hAnsi="宋体" w:cs="宋体"/>
          <w:color w:val="auto"/>
          <w:szCs w:val="21"/>
          <w:highlight w:val="none"/>
          <w:lang w:val="zh-CN"/>
        </w:rPr>
        <w:t>%的扣除，用扣除后的价格参加评审。②小微企业是指符合《中小企业划型标准规定》的供应商，通过磋商提供本企业制造的货物、承担的工程或者服务，或者提供其他小微企业制造的货物。本项所指货物不包括使用大、中型企业注册商标的货物；</w:t>
      </w:r>
      <w:r>
        <w:rPr>
          <w:rFonts w:hint="eastAsia" w:ascii="宋体" w:hAnsi="宋体" w:cs="宋体"/>
          <w:color w:val="auto"/>
          <w:szCs w:val="21"/>
          <w:highlight w:val="none"/>
        </w:rPr>
        <w:t>2、</w:t>
      </w:r>
      <w:r>
        <w:rPr>
          <w:rFonts w:hint="eastAsia" w:ascii="宋体" w:hAnsi="宋体" w:cs="宋体"/>
          <w:color w:val="auto"/>
          <w:szCs w:val="21"/>
          <w:highlight w:val="none"/>
          <w:lang w:val="zh-CN"/>
        </w:rPr>
        <w:t>监狱企业参加政府采购活动时，应当提供由省级以上监狱管理局、戒毒管理局（含新疆生产建设兵团）出具的属于监狱企业的证明文件，视同小型、微型企业，享受小微企业政府采购优惠政策；</w:t>
      </w:r>
      <w:r>
        <w:rPr>
          <w:rFonts w:hint="eastAsia" w:ascii="宋体" w:hAnsi="宋体" w:cs="宋体"/>
          <w:color w:val="auto"/>
          <w:szCs w:val="21"/>
          <w:highlight w:val="none"/>
        </w:rPr>
        <w:t>3、</w:t>
      </w:r>
      <w:r>
        <w:rPr>
          <w:rFonts w:hint="eastAsia" w:ascii="宋体" w:hAnsi="宋体" w:cs="宋体"/>
          <w:color w:val="auto"/>
          <w:szCs w:val="21"/>
          <w:highlight w:val="none"/>
          <w:lang w:val="zh-CN"/>
        </w:rPr>
        <w:t>残疾人福利性单位在参加政府采购活动时，应提供《残疾人福利性单位声明函》（见附件），视同小型、微型企业，享受小微企业政府采购优惠政策。</w:t>
      </w:r>
    </w:p>
    <w:p w14:paraId="53B3E04E">
      <w:pPr>
        <w:autoSpaceDE w:val="0"/>
        <w:autoSpaceDN w:val="0"/>
        <w:adjustRightInd w:val="0"/>
        <w:spacing w:line="360" w:lineRule="auto"/>
        <w:ind w:right="85" w:firstLine="420" w:firstLineChars="200"/>
        <w:rPr>
          <w:rFonts w:ascii="宋体" w:hAnsi="宋体" w:cs="宋体"/>
          <w:color w:val="auto"/>
          <w:szCs w:val="21"/>
          <w:highlight w:val="none"/>
          <w:lang w:val="zh-CN"/>
        </w:rPr>
      </w:pPr>
      <w:r>
        <w:rPr>
          <w:rFonts w:hint="eastAsia" w:ascii="宋体" w:hAnsi="宋体" w:cs="宋体"/>
          <w:color w:val="auto"/>
          <w:szCs w:val="21"/>
          <w:highlight w:val="none"/>
          <w:lang w:val="zh-CN"/>
        </w:rPr>
        <w:t>具体优惠：对于非联合体投标，小型微型企业产品的价格给予</w:t>
      </w:r>
      <w:r>
        <w:rPr>
          <w:rFonts w:hint="eastAsia" w:ascii="宋体" w:hAnsi="宋体" w:cs="宋体"/>
          <w:color w:val="auto"/>
          <w:szCs w:val="21"/>
          <w:highlight w:val="none"/>
        </w:rPr>
        <w:t>10</w:t>
      </w:r>
      <w:r>
        <w:rPr>
          <w:rFonts w:hint="eastAsia" w:ascii="宋体" w:hAnsi="宋体" w:cs="宋体"/>
          <w:color w:val="auto"/>
          <w:szCs w:val="21"/>
          <w:highlight w:val="none"/>
          <w:lang w:val="zh-CN"/>
        </w:rPr>
        <w:t>%的扣除，用扣除后的价格计算评标基准价和投标报价。对于联合体投标，小型、微型企业的协议合同金额占到联合体协议合同总金额30%以上的，可给予联合体</w:t>
      </w:r>
      <w:r>
        <w:rPr>
          <w:rFonts w:hint="eastAsia" w:ascii="宋体" w:hAnsi="宋体" w:cs="宋体"/>
          <w:color w:val="auto"/>
          <w:szCs w:val="21"/>
          <w:highlight w:val="none"/>
        </w:rPr>
        <w:t>6</w:t>
      </w:r>
      <w:r>
        <w:rPr>
          <w:rFonts w:hint="eastAsia" w:ascii="宋体" w:hAnsi="宋体" w:cs="宋体"/>
          <w:color w:val="auto"/>
          <w:szCs w:val="21"/>
          <w:highlight w:val="none"/>
          <w:lang w:val="zh-CN"/>
        </w:rPr>
        <w:t>%的价格扣除。联合体各方均为小型、微型企业的，联合体视同为小型、微型企业享受扶持政策，对于小型微型企业产品的价格给予</w:t>
      </w:r>
      <w:r>
        <w:rPr>
          <w:rFonts w:hint="eastAsia" w:ascii="宋体" w:hAnsi="宋体" w:cs="宋体"/>
          <w:color w:val="auto"/>
          <w:szCs w:val="21"/>
          <w:highlight w:val="none"/>
        </w:rPr>
        <w:t>10</w:t>
      </w:r>
      <w:r>
        <w:rPr>
          <w:rFonts w:hint="eastAsia" w:ascii="宋体" w:hAnsi="宋体" w:cs="宋体"/>
          <w:color w:val="auto"/>
          <w:szCs w:val="21"/>
          <w:highlight w:val="none"/>
          <w:lang w:val="zh-CN"/>
        </w:rPr>
        <w:t>%的扣除，用扣除后的价格计算评标基准价和响应报价。同一投标人（包括联合体），小微企业、监狱企业、残疾人福利性单位价格扣除优惠只享受一次，不得重复享受。</w:t>
      </w:r>
    </w:p>
    <w:p w14:paraId="44940028">
      <w:pPr>
        <w:autoSpaceDE w:val="0"/>
        <w:autoSpaceDN w:val="0"/>
        <w:adjustRightInd w:val="0"/>
        <w:spacing w:line="360" w:lineRule="auto"/>
        <w:ind w:right="85" w:firstLine="420" w:firstLineChars="200"/>
        <w:rPr>
          <w:rFonts w:ascii="宋体" w:hAnsi="宋体" w:cs="宋体"/>
          <w:color w:val="auto"/>
          <w:szCs w:val="21"/>
          <w:highlight w:val="none"/>
          <w:lang w:val="zh-CN"/>
        </w:rPr>
      </w:pPr>
      <w:r>
        <w:rPr>
          <w:rFonts w:hint="eastAsia" w:ascii="宋体" w:hAnsi="宋体" w:cs="宋体"/>
          <w:color w:val="auto"/>
          <w:szCs w:val="21"/>
          <w:highlight w:val="none"/>
          <w:lang w:val="zh-CN"/>
        </w:rPr>
        <w:t>注：得分以系统计算为准，保留2位小数。</w:t>
      </w:r>
    </w:p>
    <w:p w14:paraId="4FB1577E">
      <w:pPr>
        <w:autoSpaceDE w:val="0"/>
        <w:autoSpaceDN w:val="0"/>
        <w:adjustRightInd w:val="0"/>
        <w:spacing w:line="360" w:lineRule="auto"/>
        <w:ind w:right="85" w:firstLine="422" w:firstLineChars="200"/>
        <w:rPr>
          <w:rFonts w:ascii="宋体" w:hAnsi="宋体" w:cs="宋体"/>
          <w:b/>
          <w:bCs/>
          <w:color w:val="auto"/>
          <w:szCs w:val="21"/>
          <w:highlight w:val="none"/>
          <w:lang w:val="zh-CN"/>
        </w:rPr>
      </w:pPr>
      <w:r>
        <w:rPr>
          <w:rFonts w:hint="eastAsia" w:ascii="宋体" w:hAnsi="宋体" w:cs="宋体"/>
          <w:b/>
          <w:bCs/>
          <w:color w:val="auto"/>
          <w:szCs w:val="21"/>
          <w:highlight w:val="none"/>
          <w:lang w:val="zh-CN"/>
        </w:rPr>
        <w:t>*以上证明材料不提供或提供不全的视为自动放弃优惠政策。</w:t>
      </w:r>
    </w:p>
    <w:p w14:paraId="37098514">
      <w:pPr>
        <w:autoSpaceDE w:val="0"/>
        <w:autoSpaceDN w:val="0"/>
        <w:adjustRightInd w:val="0"/>
        <w:spacing w:line="360" w:lineRule="auto"/>
        <w:ind w:right="85" w:firstLine="420" w:firstLineChars="200"/>
        <w:rPr>
          <w:rFonts w:ascii="宋体" w:hAnsi="宋体" w:cs="宋体"/>
          <w:color w:val="auto"/>
          <w:szCs w:val="21"/>
          <w:highlight w:val="none"/>
          <w:lang w:val="zh-CN"/>
        </w:rPr>
      </w:pPr>
      <w:r>
        <w:rPr>
          <w:rFonts w:hint="eastAsia" w:ascii="宋体" w:hAnsi="宋体" w:cs="宋体"/>
          <w:color w:val="auto"/>
          <w:szCs w:val="21"/>
          <w:highlight w:val="none"/>
          <w:lang w:val="zh-CN"/>
        </w:rPr>
        <w:t>三、在最大限度地满足磋商文件实质性要求前提下，</w:t>
      </w:r>
      <w:r>
        <w:rPr>
          <w:rFonts w:hint="eastAsia" w:ascii="宋体" w:hAnsi="宋体" w:cs="宋体"/>
          <w:color w:val="auto"/>
          <w:szCs w:val="21"/>
          <w:highlight w:val="none"/>
        </w:rPr>
        <w:t>磋商小组</w:t>
      </w:r>
      <w:r>
        <w:rPr>
          <w:rFonts w:hint="eastAsia" w:ascii="宋体" w:hAnsi="宋体" w:cs="宋体"/>
          <w:color w:val="auto"/>
          <w:szCs w:val="21"/>
          <w:highlight w:val="none"/>
          <w:lang w:val="zh-CN"/>
        </w:rPr>
        <w:t>按照磋商文件中规定的各项因素进行综合评审后，以评审总得分最高的供应商为第一成交候选供应商，评审总得分次高的供应商为第二成交候选供应商，评审总得分第三高的为第三成交候选供应商。</w:t>
      </w:r>
    </w:p>
    <w:p w14:paraId="21DBD2DC">
      <w:pPr>
        <w:spacing w:line="360" w:lineRule="auto"/>
        <w:ind w:firstLine="420" w:firstLineChars="200"/>
        <w:rPr>
          <w:rFonts w:ascii="宋体" w:hAnsi="宋体" w:cs="宋体"/>
          <w:color w:val="auto"/>
          <w:szCs w:val="21"/>
          <w:highlight w:val="none"/>
          <w:lang w:val="zh-CN"/>
        </w:rPr>
      </w:pPr>
      <w:r>
        <w:rPr>
          <w:rFonts w:hint="eastAsia" w:ascii="宋体" w:hAnsi="宋体" w:cs="宋体"/>
          <w:color w:val="auto"/>
          <w:szCs w:val="21"/>
          <w:highlight w:val="none"/>
          <w:lang w:val="zh-CN"/>
        </w:rPr>
        <w:t>四、如综合得分相同，最后报价低者为先；如综合得分且最后报价相同的，以</w:t>
      </w:r>
      <w:r>
        <w:rPr>
          <w:rFonts w:hint="eastAsia" w:ascii="宋体" w:hAnsi="宋体" w:cs="宋体"/>
          <w:color w:val="auto"/>
          <w:szCs w:val="21"/>
          <w:highlight w:val="none"/>
        </w:rPr>
        <w:t>商务分</w:t>
      </w:r>
      <w:r>
        <w:rPr>
          <w:rFonts w:hint="eastAsia" w:ascii="宋体" w:hAnsi="宋体" w:cs="宋体"/>
          <w:color w:val="auto"/>
          <w:szCs w:val="21"/>
          <w:highlight w:val="none"/>
          <w:lang w:val="zh-CN"/>
        </w:rPr>
        <w:t>得分较高者为先，</w:t>
      </w:r>
      <w:r>
        <w:rPr>
          <w:rFonts w:hint="eastAsia" w:ascii="宋体" w:hAnsi="宋体" w:cs="宋体"/>
          <w:color w:val="auto"/>
          <w:szCs w:val="21"/>
          <w:highlight w:val="none"/>
        </w:rPr>
        <w:t>商务分</w:t>
      </w:r>
      <w:r>
        <w:rPr>
          <w:rFonts w:hint="eastAsia" w:ascii="宋体" w:hAnsi="宋体" w:cs="宋体"/>
          <w:color w:val="auto"/>
          <w:szCs w:val="21"/>
          <w:highlight w:val="none"/>
          <w:lang w:val="zh-CN"/>
        </w:rPr>
        <w:t>得分也相同的则抽签决定。</w:t>
      </w:r>
    </w:p>
    <w:p w14:paraId="1A51EB29">
      <w:pPr>
        <w:spacing w:line="360" w:lineRule="auto"/>
        <w:ind w:firstLine="420" w:firstLineChars="200"/>
        <w:rPr>
          <w:rFonts w:ascii="宋体" w:hAnsi="宋体" w:cs="宋体"/>
          <w:color w:val="auto"/>
          <w:highlight w:val="none"/>
        </w:rPr>
      </w:pPr>
      <w:r>
        <w:rPr>
          <w:rFonts w:hint="eastAsia" w:ascii="宋体" w:hAnsi="宋体" w:cs="宋体"/>
          <w:color w:val="auto"/>
          <w:szCs w:val="21"/>
          <w:highlight w:val="none"/>
        </w:rPr>
        <w:t>五、</w:t>
      </w:r>
      <w:r>
        <w:rPr>
          <w:rFonts w:hint="eastAsia" w:ascii="宋体" w:hAnsi="宋体" w:cs="宋体"/>
          <w:color w:val="auto"/>
          <w:szCs w:val="21"/>
          <w:highlight w:val="none"/>
          <w:lang w:val="zh-CN"/>
        </w:rPr>
        <w:t>中标候选人放弃中标、拒绝与采购人签订合同、因不可抗力提出不能履行合同的，采购人可以按照评审报告推荐的中标或者成交候选人名单排序，确定下一候选人为中标或者成交供应商，也可以重新开展政府采购活动。评标办法的解释权归招标人。</w:t>
      </w:r>
    </w:p>
    <w:p w14:paraId="6E12006D">
      <w:pPr>
        <w:autoSpaceDE w:val="0"/>
        <w:autoSpaceDN w:val="0"/>
        <w:adjustRightIn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六、本次评分具体分值细化条款如下表：</w:t>
      </w:r>
    </w:p>
    <w:p w14:paraId="177FEA46">
      <w:pPr>
        <w:spacing w:line="360" w:lineRule="auto"/>
        <w:ind w:firstLine="422" w:firstLineChars="200"/>
        <w:jc w:val="center"/>
        <w:rPr>
          <w:rFonts w:ascii="宋体" w:hAnsi="宋体" w:cs="宋体"/>
          <w:b/>
          <w:color w:val="auto"/>
          <w:szCs w:val="21"/>
          <w:highlight w:val="none"/>
        </w:rPr>
      </w:pPr>
      <w:r>
        <w:rPr>
          <w:rFonts w:hint="eastAsia" w:ascii="宋体" w:hAnsi="宋体" w:cs="宋体"/>
          <w:b/>
          <w:color w:val="auto"/>
          <w:szCs w:val="21"/>
          <w:highlight w:val="none"/>
        </w:rPr>
        <w:t>评标打分标准表</w:t>
      </w:r>
    </w:p>
    <w:tbl>
      <w:tblPr>
        <w:tblStyle w:val="22"/>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
        <w:gridCol w:w="1210"/>
        <w:gridCol w:w="7045"/>
        <w:gridCol w:w="667"/>
      </w:tblGrid>
      <w:tr w14:paraId="70B88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2206" w:type="dxa"/>
            <w:gridSpan w:val="2"/>
            <w:vAlign w:val="center"/>
          </w:tcPr>
          <w:p w14:paraId="1BB334C6">
            <w:pPr>
              <w:adjustRightInd w:val="0"/>
              <w:snapToGrid w:val="0"/>
              <w:jc w:val="center"/>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评标因素</w:t>
            </w:r>
          </w:p>
        </w:tc>
        <w:tc>
          <w:tcPr>
            <w:tcW w:w="7045" w:type="dxa"/>
            <w:vAlign w:val="center"/>
          </w:tcPr>
          <w:p w14:paraId="6585B2A1">
            <w:pPr>
              <w:adjustRightInd w:val="0"/>
              <w:snapToGrid w:val="0"/>
              <w:jc w:val="center"/>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评分标准</w:t>
            </w:r>
          </w:p>
        </w:tc>
        <w:tc>
          <w:tcPr>
            <w:tcW w:w="667" w:type="dxa"/>
            <w:vAlign w:val="center"/>
          </w:tcPr>
          <w:p w14:paraId="3C55758C">
            <w:pPr>
              <w:adjustRightInd w:val="0"/>
              <w:snapToGrid w:val="0"/>
              <w:jc w:val="center"/>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分值</w:t>
            </w:r>
          </w:p>
        </w:tc>
      </w:tr>
      <w:tr w14:paraId="5E32F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996" w:type="dxa"/>
            <w:vMerge w:val="restart"/>
            <w:vAlign w:val="center"/>
          </w:tcPr>
          <w:p w14:paraId="3C242E45">
            <w:pPr>
              <w:adjustRightInd w:val="0"/>
              <w:snapToGrid w:val="0"/>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商务分（13分）</w:t>
            </w:r>
          </w:p>
        </w:tc>
        <w:tc>
          <w:tcPr>
            <w:tcW w:w="1210" w:type="dxa"/>
            <w:vMerge w:val="restart"/>
            <w:vAlign w:val="center"/>
          </w:tcPr>
          <w:p w14:paraId="506F852C">
            <w:pPr>
              <w:autoSpaceDE w:val="0"/>
              <w:autoSpaceDN w:val="0"/>
              <w:adjustRightInd w:val="0"/>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企业综合实力</w:t>
            </w:r>
          </w:p>
        </w:tc>
        <w:tc>
          <w:tcPr>
            <w:tcW w:w="7045" w:type="dxa"/>
          </w:tcPr>
          <w:p w14:paraId="1BBE6B70">
            <w:pP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投标人具有</w:t>
            </w:r>
            <w:r>
              <w:rPr>
                <w:rFonts w:hint="eastAsia" w:ascii="宋体" w:hAnsi="宋体" w:cs="宋体"/>
                <w:color w:val="auto"/>
                <w:szCs w:val="21"/>
                <w:highlight w:val="none"/>
              </w:rPr>
              <w:t>ITSS信息技术服务运行维护资质、信息安全服务资质的</w:t>
            </w:r>
            <w:r>
              <w:rPr>
                <w:rFonts w:hint="eastAsia" w:asciiTheme="minorEastAsia" w:hAnsiTheme="minorEastAsia" w:eastAsiaTheme="minorEastAsia" w:cstheme="minorEastAsia"/>
                <w:color w:val="auto"/>
                <w:szCs w:val="21"/>
                <w:highlight w:val="none"/>
              </w:rPr>
              <w:t>，每个资质证书得1分，本项最高得2分。</w:t>
            </w:r>
          </w:p>
          <w:p w14:paraId="520E372C">
            <w:pP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bCs/>
                <w:color w:val="auto"/>
                <w:szCs w:val="21"/>
                <w:highlight w:val="none"/>
              </w:rPr>
              <w:t>（须提供相应的证书扫描件（相关证书应在有效期内）加盖投标人公章编入投标文件中，未提供的不得分）</w:t>
            </w:r>
          </w:p>
        </w:tc>
        <w:tc>
          <w:tcPr>
            <w:tcW w:w="667" w:type="dxa"/>
            <w:vAlign w:val="center"/>
          </w:tcPr>
          <w:p w14:paraId="2E19C135">
            <w:pPr>
              <w:spacing w:before="100" w:beforeAutospacing="1" w:after="100" w:afterAutospacing="1"/>
              <w:jc w:val="center"/>
              <w:rPr>
                <w:rFonts w:asciiTheme="minorEastAsia" w:hAnsiTheme="minorEastAsia" w:eastAsiaTheme="minorEastAsia" w:cstheme="minorEastAsia"/>
                <w:color w:val="auto"/>
                <w:spacing w:val="-4"/>
                <w:szCs w:val="21"/>
                <w:highlight w:val="none"/>
              </w:rPr>
            </w:pPr>
            <w:r>
              <w:rPr>
                <w:rFonts w:hint="eastAsia" w:asciiTheme="minorEastAsia" w:hAnsiTheme="minorEastAsia" w:eastAsiaTheme="minorEastAsia" w:cstheme="minorEastAsia"/>
                <w:color w:val="auto"/>
                <w:spacing w:val="-4"/>
                <w:szCs w:val="21"/>
                <w:highlight w:val="none"/>
              </w:rPr>
              <w:t>2</w:t>
            </w:r>
          </w:p>
        </w:tc>
      </w:tr>
      <w:tr w14:paraId="0F1E9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996" w:type="dxa"/>
            <w:vMerge w:val="continue"/>
            <w:vAlign w:val="center"/>
          </w:tcPr>
          <w:p w14:paraId="4EBD343C">
            <w:pPr>
              <w:adjustRightInd w:val="0"/>
              <w:snapToGrid w:val="0"/>
              <w:jc w:val="center"/>
              <w:rPr>
                <w:rFonts w:asciiTheme="minorEastAsia" w:hAnsiTheme="minorEastAsia" w:eastAsiaTheme="minorEastAsia" w:cstheme="minorEastAsia"/>
                <w:color w:val="auto"/>
                <w:szCs w:val="21"/>
                <w:highlight w:val="none"/>
              </w:rPr>
            </w:pPr>
          </w:p>
        </w:tc>
        <w:tc>
          <w:tcPr>
            <w:tcW w:w="1210" w:type="dxa"/>
            <w:vMerge w:val="continue"/>
            <w:vAlign w:val="center"/>
          </w:tcPr>
          <w:p w14:paraId="78273CD4">
            <w:pPr>
              <w:autoSpaceDE w:val="0"/>
              <w:autoSpaceDN w:val="0"/>
              <w:adjustRightInd w:val="0"/>
              <w:jc w:val="center"/>
              <w:rPr>
                <w:rFonts w:asciiTheme="minorEastAsia" w:hAnsiTheme="minorEastAsia" w:eastAsiaTheme="minorEastAsia" w:cstheme="minorEastAsia"/>
                <w:color w:val="auto"/>
                <w:szCs w:val="21"/>
                <w:highlight w:val="none"/>
              </w:rPr>
            </w:pPr>
          </w:p>
        </w:tc>
        <w:tc>
          <w:tcPr>
            <w:tcW w:w="7045" w:type="dxa"/>
          </w:tcPr>
          <w:p w14:paraId="4F64731E">
            <w:pP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投标人</w:t>
            </w:r>
            <w:r>
              <w:rPr>
                <w:rFonts w:hint="eastAsia" w:ascii="宋体" w:hAnsi="宋体" w:cs="宋体"/>
                <w:color w:val="auto"/>
                <w:szCs w:val="21"/>
                <w:highlight w:val="none"/>
              </w:rPr>
              <w:t>具有国家认证认可监督管理委员会批准认可的认证机构颁发的，且在有效期内的</w:t>
            </w:r>
            <w:r>
              <w:rPr>
                <w:rFonts w:hint="eastAsia" w:asciiTheme="minorEastAsia" w:hAnsiTheme="minorEastAsia" w:eastAsiaTheme="minorEastAsia" w:cstheme="minorEastAsia"/>
                <w:color w:val="auto"/>
                <w:szCs w:val="21"/>
                <w:highlight w:val="none"/>
              </w:rPr>
              <w:t>信息安全管理体系认证、信息技术服务管理体系认证的，每个认证证书得</w:t>
            </w:r>
            <w:r>
              <w:rPr>
                <w:rFonts w:asciiTheme="minorEastAsia" w:hAnsiTheme="minorEastAsia" w:eastAsiaTheme="minorEastAsia" w:cstheme="minorEastAsia"/>
                <w:color w:val="auto"/>
                <w:szCs w:val="21"/>
                <w:highlight w:val="none"/>
              </w:rPr>
              <w:t>1</w:t>
            </w:r>
            <w:r>
              <w:rPr>
                <w:rFonts w:hint="eastAsia" w:asciiTheme="minorEastAsia" w:hAnsiTheme="minorEastAsia" w:eastAsiaTheme="minorEastAsia" w:cstheme="minorEastAsia"/>
                <w:color w:val="auto"/>
                <w:szCs w:val="21"/>
                <w:highlight w:val="none"/>
              </w:rPr>
              <w:t>分，本项最高得</w:t>
            </w:r>
            <w:r>
              <w:rPr>
                <w:rFonts w:asciiTheme="minorEastAsia" w:hAnsiTheme="minorEastAsia" w:eastAsiaTheme="minorEastAsia" w:cstheme="minorEastAsia"/>
                <w:color w:val="auto"/>
                <w:szCs w:val="21"/>
                <w:highlight w:val="none"/>
              </w:rPr>
              <w:t>2</w:t>
            </w:r>
            <w:r>
              <w:rPr>
                <w:rFonts w:hint="eastAsia" w:asciiTheme="minorEastAsia" w:hAnsiTheme="minorEastAsia" w:eastAsiaTheme="minorEastAsia" w:cstheme="minorEastAsia"/>
                <w:color w:val="auto"/>
                <w:szCs w:val="21"/>
                <w:highlight w:val="none"/>
              </w:rPr>
              <w:t>分。</w:t>
            </w:r>
          </w:p>
          <w:p w14:paraId="55C2D1A1">
            <w:pPr>
              <w:rPr>
                <w:rFonts w:asciiTheme="minorEastAsia" w:hAnsiTheme="minorEastAsia" w:eastAsiaTheme="minorEastAsia" w:cstheme="minorEastAsia"/>
                <w:color w:val="auto"/>
                <w:szCs w:val="21"/>
                <w:highlight w:val="none"/>
              </w:rPr>
            </w:pPr>
            <w:r>
              <w:rPr>
                <w:rFonts w:hint="eastAsia" w:ascii="宋体" w:hAnsi="宋体" w:cs="宋体"/>
                <w:b/>
                <w:bCs/>
                <w:color w:val="auto"/>
                <w:szCs w:val="21"/>
                <w:highlight w:val="none"/>
              </w:rPr>
              <w:t>（须提供相关证书扫描件及</w:t>
            </w:r>
            <w:r>
              <w:rPr>
                <w:color w:val="auto"/>
                <w:highlight w:val="none"/>
              </w:rPr>
              <w:fldChar w:fldCharType="begin"/>
            </w:r>
            <w:r>
              <w:rPr>
                <w:color w:val="auto"/>
                <w:highlight w:val="none"/>
              </w:rPr>
              <w:instrText xml:space="preserve"> HYPERLINK "https://www.so.com/link?m=bgeKa5pUJ7jqGvX1HhllAJLNiphU7TZFNQwb4+7ZUZpVLH3/mqlCJ7rNGXZ5/YNpLh7l1an07AVpzdd+DNfDz03MHubLsbYxQOzT8llEFb57FaGuLm6gSmMhBy2lLDBrTFSNNDZqVzwQMcexMhSdw5Kuw+3MXS7HQcV4Anm9Fs1KmUyptcyDigHMKmFQMXtO7xSEBzzl+542xjBTD4X4Ft///zWSTHNTKcszTMLGSmT541nhMntevTSaKintmdBbT4YHZJEfW00MedhN8WiQ3A1LHjOM=" \t "https://www.so.com/_blank" </w:instrText>
            </w:r>
            <w:r>
              <w:rPr>
                <w:color w:val="auto"/>
                <w:highlight w:val="none"/>
              </w:rPr>
              <w:fldChar w:fldCharType="separate"/>
            </w:r>
            <w:r>
              <w:rPr>
                <w:rFonts w:hint="eastAsia" w:ascii="宋体" w:hAnsi="宋体" w:cs="宋体"/>
                <w:b/>
                <w:bCs/>
                <w:color w:val="auto"/>
                <w:szCs w:val="21"/>
                <w:highlight w:val="none"/>
              </w:rPr>
              <w:t>全国认证认可信息公共服务平台</w:t>
            </w:r>
            <w:r>
              <w:rPr>
                <w:rFonts w:hint="eastAsia" w:ascii="宋体" w:hAnsi="宋体" w:cs="宋体"/>
                <w:b/>
                <w:bCs/>
                <w:color w:val="auto"/>
                <w:szCs w:val="21"/>
                <w:highlight w:val="none"/>
              </w:rPr>
              <w:fldChar w:fldCharType="end"/>
            </w:r>
            <w:r>
              <w:rPr>
                <w:rFonts w:hint="eastAsia" w:ascii="宋体" w:hAnsi="宋体" w:cs="宋体"/>
                <w:b/>
                <w:bCs/>
                <w:color w:val="auto"/>
                <w:szCs w:val="21"/>
                <w:highlight w:val="none"/>
              </w:rPr>
              <w:t>网站截图并加盖投标人公章编入投标文件中，未提供或提供不全的不得分）</w:t>
            </w:r>
          </w:p>
        </w:tc>
        <w:tc>
          <w:tcPr>
            <w:tcW w:w="667" w:type="dxa"/>
            <w:vAlign w:val="center"/>
          </w:tcPr>
          <w:p w14:paraId="1974C438">
            <w:pPr>
              <w:spacing w:before="100" w:beforeAutospacing="1" w:after="100" w:afterAutospacing="1"/>
              <w:jc w:val="center"/>
              <w:rPr>
                <w:rFonts w:asciiTheme="minorEastAsia" w:hAnsiTheme="minorEastAsia" w:eastAsiaTheme="minorEastAsia" w:cstheme="minorEastAsia"/>
                <w:color w:val="auto"/>
                <w:spacing w:val="-4"/>
                <w:szCs w:val="21"/>
                <w:highlight w:val="none"/>
              </w:rPr>
            </w:pPr>
            <w:r>
              <w:rPr>
                <w:rFonts w:hint="eastAsia" w:asciiTheme="minorEastAsia" w:hAnsiTheme="minorEastAsia" w:eastAsiaTheme="minorEastAsia" w:cstheme="minorEastAsia"/>
                <w:color w:val="auto"/>
                <w:spacing w:val="-4"/>
                <w:szCs w:val="21"/>
                <w:highlight w:val="none"/>
              </w:rPr>
              <w:t>2</w:t>
            </w:r>
          </w:p>
        </w:tc>
      </w:tr>
      <w:tr w14:paraId="49A2B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5" w:hRule="atLeast"/>
          <w:jc w:val="center"/>
        </w:trPr>
        <w:tc>
          <w:tcPr>
            <w:tcW w:w="996" w:type="dxa"/>
            <w:vMerge w:val="continue"/>
            <w:vAlign w:val="center"/>
          </w:tcPr>
          <w:p w14:paraId="3A706479">
            <w:pPr>
              <w:adjustRightInd w:val="0"/>
              <w:snapToGrid w:val="0"/>
              <w:jc w:val="center"/>
              <w:rPr>
                <w:rFonts w:asciiTheme="minorEastAsia" w:hAnsiTheme="minorEastAsia" w:eastAsiaTheme="minorEastAsia" w:cstheme="minorEastAsia"/>
                <w:color w:val="auto"/>
                <w:szCs w:val="21"/>
                <w:highlight w:val="none"/>
              </w:rPr>
            </w:pPr>
          </w:p>
        </w:tc>
        <w:tc>
          <w:tcPr>
            <w:tcW w:w="1210" w:type="dxa"/>
            <w:vMerge w:val="restart"/>
            <w:vAlign w:val="center"/>
          </w:tcPr>
          <w:p w14:paraId="650BD43F">
            <w:pPr>
              <w:autoSpaceDE w:val="0"/>
              <w:autoSpaceDN w:val="0"/>
              <w:adjustRightInd w:val="0"/>
              <w:jc w:val="center"/>
              <w:rPr>
                <w:rFonts w:asciiTheme="minorEastAsia" w:hAnsiTheme="minorEastAsia" w:eastAsiaTheme="minorEastAsia" w:cstheme="minorEastAsia"/>
                <w:color w:val="auto"/>
                <w:szCs w:val="21"/>
                <w:highlight w:val="none"/>
              </w:rPr>
            </w:pPr>
            <w:r>
              <w:rPr>
                <w:rStyle w:val="59"/>
                <w:rFonts w:hint="eastAsia" w:asciiTheme="minorEastAsia" w:hAnsiTheme="minorEastAsia" w:eastAsiaTheme="minorEastAsia" w:cstheme="minorEastAsia"/>
                <w:color w:val="auto"/>
                <w:szCs w:val="21"/>
                <w:highlight w:val="none"/>
              </w:rPr>
              <w:t>项目组人员配置情况</w:t>
            </w:r>
          </w:p>
        </w:tc>
        <w:tc>
          <w:tcPr>
            <w:tcW w:w="7045" w:type="dxa"/>
          </w:tcPr>
          <w:p w14:paraId="64257EA5">
            <w:pPr>
              <w:tabs>
                <w:tab w:val="left" w:pos="2061"/>
              </w:tabs>
              <w:rPr>
                <w:rFonts w:ascii="宋体" w:hAnsi="宋体" w:cs="宋体"/>
                <w:color w:val="auto"/>
                <w:szCs w:val="21"/>
                <w:highlight w:val="none"/>
              </w:rPr>
            </w:pPr>
            <w:r>
              <w:rPr>
                <w:rFonts w:hint="eastAsia" w:asciiTheme="minorEastAsia" w:hAnsiTheme="minorEastAsia" w:eastAsiaTheme="minorEastAsia" w:cstheme="minorEastAsia"/>
                <w:color w:val="auto"/>
                <w:szCs w:val="21"/>
                <w:highlight w:val="none"/>
              </w:rPr>
              <w:t>拟投入本项目的项目负责人：</w:t>
            </w:r>
            <w:r>
              <w:rPr>
                <w:rFonts w:hint="eastAsia" w:ascii="宋体" w:hAnsi="宋体" w:cs="宋体"/>
                <w:color w:val="auto"/>
                <w:szCs w:val="21"/>
                <w:highlight w:val="none"/>
              </w:rPr>
              <w:t>具有信息系统项目管理师（软考）证书、信息安全工程师（软考）证书、CISP认证证书的，每提供1个得1分，本项最高得2分。</w:t>
            </w:r>
          </w:p>
          <w:p w14:paraId="397BAF4D">
            <w:pPr>
              <w:tabs>
                <w:tab w:val="left" w:pos="2061"/>
              </w:tabs>
              <w:rPr>
                <w:rFonts w:asciiTheme="minorEastAsia" w:hAnsiTheme="minorEastAsia" w:cstheme="minorEastAsia"/>
                <w:color w:val="auto"/>
                <w:szCs w:val="21"/>
                <w:highlight w:val="none"/>
              </w:rPr>
            </w:pPr>
            <w:r>
              <w:rPr>
                <w:rFonts w:hint="eastAsia" w:asciiTheme="minorEastAsia" w:hAnsiTheme="minorEastAsia" w:eastAsiaTheme="minorEastAsia" w:cstheme="minorEastAsia"/>
                <w:b/>
                <w:bCs/>
                <w:color w:val="auto"/>
                <w:szCs w:val="21"/>
                <w:highlight w:val="none"/>
              </w:rPr>
              <w:t>（须提供相应的证书扫描件（相关证书应在有效期内）和投标人为其缴纳的近3个月社保证明加盖投标人公章编入投标文件中，未提供或提供不全的不得分）</w:t>
            </w:r>
          </w:p>
        </w:tc>
        <w:tc>
          <w:tcPr>
            <w:tcW w:w="667" w:type="dxa"/>
            <w:vAlign w:val="center"/>
          </w:tcPr>
          <w:p w14:paraId="58B6190F">
            <w:pPr>
              <w:spacing w:before="100" w:beforeAutospacing="1" w:after="100" w:afterAutospacing="1"/>
              <w:jc w:val="center"/>
              <w:rPr>
                <w:rFonts w:asciiTheme="minorEastAsia" w:hAnsiTheme="minorEastAsia" w:eastAsiaTheme="minorEastAsia" w:cstheme="minorEastAsia"/>
                <w:color w:val="auto"/>
                <w:spacing w:val="-4"/>
                <w:szCs w:val="21"/>
                <w:highlight w:val="none"/>
              </w:rPr>
            </w:pPr>
            <w:r>
              <w:rPr>
                <w:rFonts w:hint="eastAsia" w:asciiTheme="minorEastAsia" w:hAnsiTheme="minorEastAsia" w:eastAsiaTheme="minorEastAsia" w:cstheme="minorEastAsia"/>
                <w:color w:val="auto"/>
                <w:spacing w:val="-4"/>
                <w:szCs w:val="21"/>
                <w:highlight w:val="none"/>
              </w:rPr>
              <w:t>2</w:t>
            </w:r>
          </w:p>
        </w:tc>
      </w:tr>
      <w:tr w14:paraId="3126F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996" w:type="dxa"/>
            <w:vMerge w:val="continue"/>
            <w:vAlign w:val="center"/>
          </w:tcPr>
          <w:p w14:paraId="281E1E60">
            <w:pPr>
              <w:tabs>
                <w:tab w:val="left" w:pos="2061"/>
              </w:tabs>
              <w:rPr>
                <w:color w:val="auto"/>
                <w:highlight w:val="none"/>
              </w:rPr>
            </w:pPr>
          </w:p>
        </w:tc>
        <w:tc>
          <w:tcPr>
            <w:tcW w:w="1210" w:type="dxa"/>
            <w:vMerge w:val="continue"/>
            <w:vAlign w:val="center"/>
          </w:tcPr>
          <w:p w14:paraId="4A177EF1">
            <w:pPr>
              <w:tabs>
                <w:tab w:val="left" w:pos="2061"/>
              </w:tabs>
              <w:rPr>
                <w:color w:val="auto"/>
                <w:highlight w:val="none"/>
              </w:rPr>
            </w:pPr>
          </w:p>
        </w:tc>
        <w:tc>
          <w:tcPr>
            <w:tcW w:w="7045" w:type="dxa"/>
          </w:tcPr>
          <w:p w14:paraId="66083591">
            <w:pPr>
              <w:tabs>
                <w:tab w:val="left" w:pos="2061"/>
              </w:tabs>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根据驻场服务技术人员（1名）的专业资质和从业经验情况进行打分。</w:t>
            </w:r>
          </w:p>
          <w:p w14:paraId="06C4B6DB">
            <w:pPr>
              <w:tabs>
                <w:tab w:val="left" w:pos="2061"/>
              </w:tabs>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1、专业资质优秀的得1分，资质一般的得0.5分，未提及此项不得分。</w:t>
            </w:r>
          </w:p>
          <w:p w14:paraId="7C574B61">
            <w:pPr>
              <w:tabs>
                <w:tab w:val="left" w:pos="2061"/>
              </w:tabs>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2、从业经验丰富的得1分，经验一般的得0.5分，未提及此项不得分。</w:t>
            </w:r>
          </w:p>
          <w:p w14:paraId="04918343">
            <w:pPr>
              <w:tabs>
                <w:tab w:val="left" w:pos="2061"/>
              </w:tabs>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本项最高得2分。</w:t>
            </w:r>
          </w:p>
          <w:p w14:paraId="7B348634">
            <w:pPr>
              <w:tabs>
                <w:tab w:val="left" w:pos="2061"/>
              </w:tabs>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（须提供投标人为其缴纳的近3个月社保证明加盖投标人公章编入投标文件中，未提供的不得分）</w:t>
            </w:r>
          </w:p>
        </w:tc>
        <w:tc>
          <w:tcPr>
            <w:tcW w:w="667" w:type="dxa"/>
            <w:vAlign w:val="center"/>
          </w:tcPr>
          <w:p w14:paraId="3CBAD59B">
            <w:pPr>
              <w:tabs>
                <w:tab w:val="left" w:pos="2061"/>
              </w:tabs>
              <w:jc w:val="center"/>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color w:val="auto"/>
                <w:szCs w:val="21"/>
                <w:highlight w:val="none"/>
              </w:rPr>
              <w:t>2</w:t>
            </w:r>
          </w:p>
        </w:tc>
      </w:tr>
      <w:tr w14:paraId="4B562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996" w:type="dxa"/>
            <w:vMerge w:val="continue"/>
            <w:vAlign w:val="center"/>
          </w:tcPr>
          <w:p w14:paraId="600D4E3B">
            <w:pPr>
              <w:tabs>
                <w:tab w:val="left" w:pos="2061"/>
              </w:tabs>
              <w:rPr>
                <w:color w:val="auto"/>
                <w:highlight w:val="none"/>
              </w:rPr>
            </w:pPr>
          </w:p>
        </w:tc>
        <w:tc>
          <w:tcPr>
            <w:tcW w:w="1210" w:type="dxa"/>
            <w:vMerge w:val="continue"/>
            <w:vAlign w:val="center"/>
          </w:tcPr>
          <w:p w14:paraId="4633CF38">
            <w:pPr>
              <w:tabs>
                <w:tab w:val="left" w:pos="2061"/>
              </w:tabs>
              <w:rPr>
                <w:color w:val="auto"/>
                <w:highlight w:val="none"/>
              </w:rPr>
            </w:pPr>
          </w:p>
        </w:tc>
        <w:tc>
          <w:tcPr>
            <w:tcW w:w="7045" w:type="dxa"/>
          </w:tcPr>
          <w:p w14:paraId="4D859043">
            <w:pPr>
              <w:tabs>
                <w:tab w:val="left" w:pos="2061"/>
              </w:tabs>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根据本地化服务团队支撑技术人员的专业资质和从业经验等情况进行打分。团队整体专业资质优秀，从业经验丰富的得2分，资质和经验一般的得1分，资质和经验有待加强的得0.5分，未提及此项不得分。</w:t>
            </w:r>
          </w:p>
          <w:p w14:paraId="26E6C3A5">
            <w:pPr>
              <w:tabs>
                <w:tab w:val="left" w:pos="2061"/>
              </w:tabs>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（须提供投标人为相关人员缴纳的近3个月社保证明加盖投标人公章编入投标文件中，未提供或提供不全的不得分）</w:t>
            </w:r>
          </w:p>
        </w:tc>
        <w:tc>
          <w:tcPr>
            <w:tcW w:w="667" w:type="dxa"/>
            <w:vAlign w:val="center"/>
          </w:tcPr>
          <w:p w14:paraId="4D3037F2">
            <w:pPr>
              <w:tabs>
                <w:tab w:val="left" w:pos="2061"/>
              </w:tabs>
              <w:jc w:val="center"/>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color w:val="auto"/>
                <w:szCs w:val="21"/>
                <w:highlight w:val="none"/>
              </w:rPr>
              <w:t>2</w:t>
            </w:r>
          </w:p>
        </w:tc>
      </w:tr>
      <w:tr w14:paraId="4E798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996" w:type="dxa"/>
            <w:vMerge w:val="continue"/>
            <w:vAlign w:val="center"/>
          </w:tcPr>
          <w:p w14:paraId="6B5594C0">
            <w:pPr>
              <w:jc w:val="center"/>
              <w:rPr>
                <w:rFonts w:asciiTheme="minorEastAsia" w:hAnsiTheme="minorEastAsia" w:eastAsiaTheme="minorEastAsia" w:cstheme="minorEastAsia"/>
                <w:color w:val="auto"/>
                <w:szCs w:val="21"/>
                <w:highlight w:val="none"/>
              </w:rPr>
            </w:pPr>
          </w:p>
        </w:tc>
        <w:tc>
          <w:tcPr>
            <w:tcW w:w="1210" w:type="dxa"/>
            <w:vAlign w:val="center"/>
          </w:tcPr>
          <w:p w14:paraId="095D39B9">
            <w:pPr>
              <w:jc w:val="center"/>
              <w:rPr>
                <w:rStyle w:val="59"/>
                <w:rFonts w:asciiTheme="minorEastAsia" w:hAnsiTheme="minorEastAsia" w:eastAsiaTheme="minorEastAsia" w:cstheme="minorEastAsia"/>
                <w:color w:val="auto"/>
                <w:szCs w:val="21"/>
                <w:highlight w:val="none"/>
              </w:rPr>
            </w:pPr>
            <w:r>
              <w:rPr>
                <w:rStyle w:val="59"/>
                <w:rFonts w:hint="eastAsia" w:asciiTheme="minorEastAsia" w:hAnsiTheme="minorEastAsia" w:eastAsiaTheme="minorEastAsia" w:cstheme="minorEastAsia"/>
                <w:color w:val="auto"/>
                <w:szCs w:val="21"/>
                <w:highlight w:val="none"/>
              </w:rPr>
              <w:t>承接经验</w:t>
            </w:r>
          </w:p>
        </w:tc>
        <w:tc>
          <w:tcPr>
            <w:tcW w:w="7045" w:type="dxa"/>
            <w:vAlign w:val="center"/>
          </w:tcPr>
          <w:p w14:paraId="6F3BF7A0">
            <w:pP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szCs w:val="21"/>
                <w:highlight w:val="none"/>
              </w:rPr>
              <w:t>投标人自2022年7月1日</w:t>
            </w:r>
            <w:r>
              <w:rPr>
                <w:rFonts w:hint="eastAsia" w:asciiTheme="minorEastAsia" w:hAnsiTheme="minorEastAsia" w:eastAsiaTheme="minorEastAsia" w:cstheme="minorEastAsia"/>
                <w:color w:val="auto"/>
                <w:kern w:val="0"/>
                <w:szCs w:val="21"/>
                <w:highlight w:val="none"/>
                <w:lang w:val="zh-CN"/>
              </w:rPr>
              <w:t>（以合同签订时间为准）</w:t>
            </w:r>
            <w:r>
              <w:rPr>
                <w:rFonts w:hint="eastAsia" w:asciiTheme="minorEastAsia" w:hAnsiTheme="minorEastAsia" w:eastAsiaTheme="minorEastAsia" w:cstheme="minorEastAsia"/>
                <w:color w:val="auto"/>
                <w:szCs w:val="21"/>
                <w:highlight w:val="none"/>
              </w:rPr>
              <w:t>以来</w:t>
            </w:r>
            <w:r>
              <w:rPr>
                <w:rFonts w:hint="eastAsia" w:asciiTheme="minorEastAsia" w:hAnsiTheme="minorEastAsia" w:eastAsiaTheme="minorEastAsia" w:cstheme="minorEastAsia"/>
                <w:color w:val="auto"/>
                <w:kern w:val="0"/>
                <w:szCs w:val="21"/>
                <w:highlight w:val="none"/>
                <w:lang w:val="zh-CN"/>
              </w:rPr>
              <w:t>，</w:t>
            </w:r>
            <w:r>
              <w:rPr>
                <w:rFonts w:hint="eastAsia" w:asciiTheme="minorEastAsia" w:hAnsiTheme="minorEastAsia" w:eastAsiaTheme="minorEastAsia" w:cstheme="minorEastAsia"/>
                <w:color w:val="auto"/>
                <w:kern w:val="0"/>
                <w:szCs w:val="21"/>
                <w:highlight w:val="none"/>
              </w:rPr>
              <w:t>承接过类似项目的，每提供一个项目合同得1分，最高得3分。</w:t>
            </w:r>
          </w:p>
          <w:p w14:paraId="146BCAF4">
            <w:pP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bCs/>
                <w:color w:val="auto"/>
                <w:szCs w:val="21"/>
                <w:highlight w:val="none"/>
              </w:rPr>
              <w:t>（须提供合同扫描件并加盖投标人公章编入投标文件中，未提供的不得分）</w:t>
            </w:r>
          </w:p>
        </w:tc>
        <w:tc>
          <w:tcPr>
            <w:tcW w:w="667" w:type="dxa"/>
            <w:vAlign w:val="center"/>
          </w:tcPr>
          <w:p w14:paraId="421EB54C">
            <w:pPr>
              <w:pStyle w:val="12"/>
              <w:snapToGrid w:val="0"/>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w:t>
            </w:r>
          </w:p>
        </w:tc>
      </w:tr>
      <w:tr w14:paraId="13361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996" w:type="dxa"/>
            <w:vMerge w:val="restart"/>
            <w:vAlign w:val="center"/>
          </w:tcPr>
          <w:p w14:paraId="27C31A33">
            <w:pPr>
              <w:adjustRightInd w:val="0"/>
              <w:snapToGrid w:val="0"/>
              <w:jc w:val="center"/>
              <w:rPr>
                <w:rFonts w:asciiTheme="minorEastAsia" w:hAnsiTheme="minorEastAsia" w:eastAsiaTheme="minorEastAsia" w:cstheme="minorEastAsia"/>
                <w:color w:val="auto"/>
                <w:szCs w:val="21"/>
                <w:highlight w:val="none"/>
              </w:rPr>
            </w:pPr>
          </w:p>
          <w:p w14:paraId="5A1CE71A">
            <w:pPr>
              <w:adjustRightInd w:val="0"/>
              <w:snapToGrid w:val="0"/>
              <w:jc w:val="center"/>
              <w:rPr>
                <w:rFonts w:asciiTheme="minorEastAsia" w:hAnsiTheme="minorEastAsia" w:eastAsiaTheme="minorEastAsia" w:cstheme="minorEastAsia"/>
                <w:color w:val="auto"/>
                <w:szCs w:val="21"/>
                <w:highlight w:val="none"/>
              </w:rPr>
            </w:pPr>
          </w:p>
          <w:p w14:paraId="60A3478F">
            <w:pPr>
              <w:adjustRightInd w:val="0"/>
              <w:snapToGrid w:val="0"/>
              <w:jc w:val="center"/>
              <w:rPr>
                <w:rFonts w:asciiTheme="minorEastAsia" w:hAnsiTheme="minorEastAsia" w:eastAsiaTheme="minorEastAsia" w:cstheme="minorEastAsia"/>
                <w:color w:val="auto"/>
                <w:szCs w:val="21"/>
                <w:highlight w:val="none"/>
              </w:rPr>
            </w:pPr>
          </w:p>
          <w:p w14:paraId="7E2C4E96">
            <w:pPr>
              <w:adjustRightInd w:val="0"/>
              <w:snapToGrid w:val="0"/>
              <w:jc w:val="center"/>
              <w:rPr>
                <w:rFonts w:asciiTheme="minorEastAsia" w:hAnsiTheme="minorEastAsia" w:eastAsiaTheme="minorEastAsia" w:cstheme="minorEastAsia"/>
                <w:color w:val="auto"/>
                <w:szCs w:val="21"/>
                <w:highlight w:val="none"/>
              </w:rPr>
            </w:pPr>
          </w:p>
          <w:p w14:paraId="4708C503">
            <w:pPr>
              <w:adjustRightInd w:val="0"/>
              <w:snapToGrid w:val="0"/>
              <w:jc w:val="center"/>
              <w:rPr>
                <w:rFonts w:asciiTheme="minorEastAsia" w:hAnsiTheme="minorEastAsia" w:eastAsiaTheme="minorEastAsia" w:cstheme="minorEastAsia"/>
                <w:color w:val="auto"/>
                <w:szCs w:val="21"/>
                <w:highlight w:val="none"/>
              </w:rPr>
            </w:pPr>
          </w:p>
          <w:p w14:paraId="3B5F06B8">
            <w:pPr>
              <w:adjustRightInd w:val="0"/>
              <w:snapToGrid w:val="0"/>
              <w:jc w:val="center"/>
              <w:rPr>
                <w:rFonts w:asciiTheme="minorEastAsia" w:hAnsiTheme="minorEastAsia" w:eastAsiaTheme="minorEastAsia" w:cstheme="minorEastAsia"/>
                <w:color w:val="auto"/>
                <w:szCs w:val="21"/>
                <w:highlight w:val="none"/>
              </w:rPr>
            </w:pPr>
          </w:p>
          <w:p w14:paraId="152F2CFF">
            <w:pPr>
              <w:adjustRightInd w:val="0"/>
              <w:snapToGrid w:val="0"/>
              <w:jc w:val="center"/>
              <w:rPr>
                <w:rFonts w:asciiTheme="minorEastAsia" w:hAnsiTheme="minorEastAsia" w:eastAsiaTheme="minorEastAsia" w:cstheme="minorEastAsia"/>
                <w:color w:val="auto"/>
                <w:szCs w:val="21"/>
                <w:highlight w:val="none"/>
              </w:rPr>
            </w:pPr>
          </w:p>
          <w:p w14:paraId="63B2964C">
            <w:pPr>
              <w:adjustRightInd w:val="0"/>
              <w:snapToGrid w:val="0"/>
              <w:jc w:val="center"/>
              <w:rPr>
                <w:rFonts w:asciiTheme="minorEastAsia" w:hAnsiTheme="minorEastAsia" w:eastAsiaTheme="minorEastAsia" w:cstheme="minorEastAsia"/>
                <w:color w:val="auto"/>
                <w:szCs w:val="21"/>
                <w:highlight w:val="none"/>
              </w:rPr>
            </w:pPr>
          </w:p>
          <w:p w14:paraId="0AA4327E">
            <w:pPr>
              <w:adjustRightInd w:val="0"/>
              <w:snapToGrid w:val="0"/>
              <w:jc w:val="center"/>
              <w:rPr>
                <w:rFonts w:asciiTheme="minorEastAsia" w:hAnsiTheme="minorEastAsia" w:eastAsiaTheme="minorEastAsia" w:cstheme="minorEastAsia"/>
                <w:color w:val="auto"/>
                <w:szCs w:val="21"/>
                <w:highlight w:val="none"/>
              </w:rPr>
            </w:pPr>
          </w:p>
          <w:p w14:paraId="117AA5D4">
            <w:pPr>
              <w:adjustRightInd w:val="0"/>
              <w:snapToGrid w:val="0"/>
              <w:jc w:val="center"/>
              <w:rPr>
                <w:rFonts w:asciiTheme="minorEastAsia" w:hAnsiTheme="minorEastAsia" w:eastAsiaTheme="minorEastAsia" w:cstheme="minorEastAsia"/>
                <w:color w:val="auto"/>
                <w:szCs w:val="21"/>
                <w:highlight w:val="none"/>
              </w:rPr>
            </w:pPr>
          </w:p>
          <w:p w14:paraId="1512D5F3">
            <w:pPr>
              <w:adjustRightInd w:val="0"/>
              <w:snapToGrid w:val="0"/>
              <w:jc w:val="center"/>
              <w:rPr>
                <w:rFonts w:asciiTheme="minorEastAsia" w:hAnsiTheme="minorEastAsia" w:eastAsiaTheme="minorEastAsia" w:cstheme="minorEastAsia"/>
                <w:color w:val="auto"/>
                <w:szCs w:val="21"/>
                <w:highlight w:val="none"/>
              </w:rPr>
            </w:pPr>
          </w:p>
          <w:p w14:paraId="715471BD">
            <w:pPr>
              <w:pStyle w:val="8"/>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技术分（57分）</w:t>
            </w:r>
          </w:p>
          <w:p w14:paraId="35118670">
            <w:pPr>
              <w:pStyle w:val="9"/>
              <w:ind w:left="5250" w:firstLine="0" w:firstLineChars="0"/>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（54分）</w:t>
            </w:r>
          </w:p>
        </w:tc>
        <w:tc>
          <w:tcPr>
            <w:tcW w:w="1210" w:type="dxa"/>
            <w:vAlign w:val="center"/>
          </w:tcPr>
          <w:p w14:paraId="57F4430C">
            <w:pPr>
              <w:autoSpaceDE w:val="0"/>
              <w:autoSpaceDN w:val="0"/>
              <w:adjustRightInd w:val="0"/>
              <w:jc w:val="center"/>
              <w:rPr>
                <w:rFonts w:asciiTheme="minorEastAsia" w:hAnsiTheme="minorEastAsia" w:eastAsiaTheme="minorEastAsia" w:cstheme="minorEastAsia"/>
                <w:color w:val="auto"/>
                <w:szCs w:val="21"/>
                <w:highlight w:val="none"/>
              </w:rPr>
            </w:pPr>
            <w:r>
              <w:rPr>
                <w:rFonts w:hint="eastAsia" w:ascii="宋体" w:hAnsi="宋体" w:cs="宋体"/>
                <w:color w:val="auto"/>
                <w:szCs w:val="21"/>
                <w:highlight w:val="none"/>
              </w:rPr>
              <w:t>现状分析</w:t>
            </w:r>
          </w:p>
        </w:tc>
        <w:tc>
          <w:tcPr>
            <w:tcW w:w="7045" w:type="dxa"/>
            <w:vAlign w:val="center"/>
          </w:tcPr>
          <w:p w14:paraId="2C3CE805">
            <w:pPr>
              <w:tabs>
                <w:tab w:val="left" w:pos="2061"/>
              </w:tabs>
              <w:rPr>
                <w:rFonts w:ascii="宋体" w:hAnsi="宋体" w:cs="宋体"/>
                <w:color w:val="auto"/>
                <w:szCs w:val="21"/>
                <w:highlight w:val="none"/>
              </w:rPr>
            </w:pPr>
            <w:r>
              <w:rPr>
                <w:rFonts w:hint="eastAsia" w:ascii="宋体" w:hAnsi="宋体" w:cs="宋体"/>
                <w:color w:val="auto"/>
                <w:szCs w:val="21"/>
                <w:highlight w:val="none"/>
              </w:rPr>
              <w:t>根据投标人对项目现状了解的情况进行打分。</w:t>
            </w:r>
          </w:p>
          <w:p w14:paraId="109662C7">
            <w:pPr>
              <w:tabs>
                <w:tab w:val="left" w:pos="2061"/>
              </w:tabs>
              <w:rPr>
                <w:rFonts w:ascii="宋体" w:hAnsi="宋体" w:cs="宋体"/>
                <w:color w:val="auto"/>
                <w:szCs w:val="21"/>
                <w:highlight w:val="none"/>
              </w:rPr>
            </w:pPr>
            <w:r>
              <w:rPr>
                <w:rFonts w:hint="eastAsia" w:ascii="宋体" w:hAnsi="宋体" w:cs="宋体"/>
                <w:color w:val="auto"/>
                <w:szCs w:val="21"/>
                <w:highlight w:val="none"/>
              </w:rPr>
              <w:t>现状分析深入，内容全面准确，见解到位的得5分；</w:t>
            </w:r>
          </w:p>
          <w:p w14:paraId="1D16460A">
            <w:pPr>
              <w:tabs>
                <w:tab w:val="left" w:pos="2061"/>
              </w:tabs>
              <w:rPr>
                <w:rFonts w:ascii="宋体" w:hAnsi="宋体" w:cs="宋体"/>
                <w:color w:val="auto"/>
                <w:szCs w:val="21"/>
                <w:highlight w:val="none"/>
              </w:rPr>
            </w:pPr>
            <w:r>
              <w:rPr>
                <w:rFonts w:hint="eastAsia" w:ascii="宋体" w:hAnsi="宋体" w:cs="宋体"/>
                <w:color w:val="auto"/>
                <w:szCs w:val="21"/>
                <w:highlight w:val="none"/>
              </w:rPr>
              <w:t>现状分析基本到位，内容基本全面准确的得4分；</w:t>
            </w:r>
          </w:p>
          <w:p w14:paraId="0B055032">
            <w:pPr>
              <w:tabs>
                <w:tab w:val="left" w:pos="2061"/>
              </w:tabs>
              <w:rPr>
                <w:rFonts w:ascii="宋体" w:hAnsi="宋体" w:cs="宋体"/>
                <w:color w:val="auto"/>
                <w:szCs w:val="21"/>
                <w:highlight w:val="none"/>
              </w:rPr>
            </w:pPr>
            <w:r>
              <w:rPr>
                <w:rFonts w:hint="eastAsia" w:ascii="宋体" w:hAnsi="宋体" w:cs="宋体"/>
                <w:color w:val="auto"/>
                <w:szCs w:val="21"/>
                <w:highlight w:val="none"/>
              </w:rPr>
              <w:t>现状分析内容一般，有欠缺的得3分；</w:t>
            </w:r>
          </w:p>
          <w:p w14:paraId="5C68E1FB">
            <w:pPr>
              <w:tabs>
                <w:tab w:val="left" w:pos="2061"/>
              </w:tabs>
              <w:rPr>
                <w:rFonts w:ascii="宋体" w:hAnsi="宋体" w:cs="宋体"/>
                <w:color w:val="auto"/>
                <w:szCs w:val="21"/>
                <w:highlight w:val="none"/>
              </w:rPr>
            </w:pPr>
            <w:r>
              <w:rPr>
                <w:rFonts w:hint="eastAsia" w:ascii="宋体" w:hAnsi="宋体" w:cs="宋体"/>
                <w:color w:val="auto"/>
                <w:szCs w:val="21"/>
                <w:highlight w:val="none"/>
              </w:rPr>
              <w:t>现状分析基本提及的得1分；</w:t>
            </w:r>
          </w:p>
          <w:p w14:paraId="2EB5B7BC">
            <w:pPr>
              <w:tabs>
                <w:tab w:val="left" w:pos="2061"/>
              </w:tabs>
              <w:rPr>
                <w:rFonts w:asciiTheme="minorEastAsia" w:hAnsiTheme="minorEastAsia" w:eastAsiaTheme="minorEastAsia" w:cstheme="minorEastAsia"/>
                <w:color w:val="auto"/>
                <w:szCs w:val="21"/>
                <w:highlight w:val="none"/>
              </w:rPr>
            </w:pPr>
            <w:r>
              <w:rPr>
                <w:rFonts w:hint="eastAsia" w:ascii="宋体" w:hAnsi="宋体" w:cs="宋体"/>
                <w:color w:val="auto"/>
                <w:szCs w:val="21"/>
                <w:highlight w:val="none"/>
              </w:rPr>
              <w:t>未提及此项不得分。</w:t>
            </w:r>
          </w:p>
        </w:tc>
        <w:tc>
          <w:tcPr>
            <w:tcW w:w="667" w:type="dxa"/>
            <w:vAlign w:val="center"/>
          </w:tcPr>
          <w:p w14:paraId="74E2841C">
            <w:pPr>
              <w:autoSpaceDE w:val="0"/>
              <w:autoSpaceDN w:val="0"/>
              <w:adjustRightInd w:val="0"/>
              <w:jc w:val="center"/>
              <w:rPr>
                <w:rFonts w:asciiTheme="minorEastAsia" w:hAnsiTheme="minorEastAsia" w:eastAsiaTheme="minorEastAsia" w:cstheme="minorEastAsia"/>
                <w:color w:val="auto"/>
                <w:szCs w:val="21"/>
                <w:highlight w:val="none"/>
              </w:rPr>
            </w:pPr>
            <w:r>
              <w:rPr>
                <w:rFonts w:hint="eastAsia" w:ascii="宋体" w:hAnsi="宋体" w:cs="宋体"/>
                <w:color w:val="auto"/>
                <w:szCs w:val="21"/>
                <w:highlight w:val="none"/>
              </w:rPr>
              <w:t>5</w:t>
            </w:r>
          </w:p>
        </w:tc>
      </w:tr>
      <w:tr w14:paraId="72A39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996" w:type="dxa"/>
            <w:vMerge w:val="continue"/>
            <w:vAlign w:val="center"/>
          </w:tcPr>
          <w:p w14:paraId="2ADC23F4">
            <w:pPr>
              <w:pStyle w:val="9"/>
              <w:ind w:left="5250" w:firstLine="0" w:firstLineChars="0"/>
              <w:jc w:val="center"/>
              <w:rPr>
                <w:rFonts w:asciiTheme="minorEastAsia" w:hAnsiTheme="minorEastAsia" w:eastAsiaTheme="minorEastAsia" w:cstheme="minorEastAsia"/>
                <w:color w:val="auto"/>
                <w:szCs w:val="21"/>
                <w:highlight w:val="none"/>
              </w:rPr>
            </w:pPr>
          </w:p>
        </w:tc>
        <w:tc>
          <w:tcPr>
            <w:tcW w:w="1210" w:type="dxa"/>
            <w:vAlign w:val="center"/>
          </w:tcPr>
          <w:p w14:paraId="1FF2CA58">
            <w:pPr>
              <w:autoSpaceDE w:val="0"/>
              <w:autoSpaceDN w:val="0"/>
              <w:adjustRightInd w:val="0"/>
              <w:jc w:val="center"/>
              <w:rPr>
                <w:rFonts w:asciiTheme="minorEastAsia" w:hAnsiTheme="minorEastAsia" w:eastAsiaTheme="minorEastAsia" w:cstheme="minorEastAsia"/>
                <w:color w:val="auto"/>
                <w:szCs w:val="21"/>
                <w:highlight w:val="none"/>
              </w:rPr>
            </w:pPr>
            <w:r>
              <w:rPr>
                <w:rFonts w:hint="eastAsia" w:ascii="宋体" w:hAnsi="宋体" w:cs="宋体"/>
                <w:color w:val="auto"/>
                <w:szCs w:val="21"/>
                <w:highlight w:val="none"/>
              </w:rPr>
              <w:t>项目建设思路</w:t>
            </w:r>
          </w:p>
        </w:tc>
        <w:tc>
          <w:tcPr>
            <w:tcW w:w="7045" w:type="dxa"/>
            <w:vAlign w:val="center"/>
          </w:tcPr>
          <w:p w14:paraId="6F3A71CA">
            <w:pPr>
              <w:tabs>
                <w:tab w:val="left" w:pos="2061"/>
              </w:tabs>
              <w:rPr>
                <w:rFonts w:ascii="宋体" w:hAnsi="宋体" w:cs="宋体"/>
                <w:color w:val="auto"/>
                <w:szCs w:val="21"/>
                <w:highlight w:val="none"/>
              </w:rPr>
            </w:pPr>
            <w:r>
              <w:rPr>
                <w:rFonts w:hint="eastAsia" w:ascii="宋体" w:hAnsi="宋体" w:cs="宋体"/>
                <w:color w:val="auto"/>
                <w:szCs w:val="21"/>
                <w:highlight w:val="none"/>
              </w:rPr>
              <w:t>根据投标人对本项目建设思路的理解、重难点的把握进行打分。</w:t>
            </w:r>
          </w:p>
          <w:p w14:paraId="6E637B1F">
            <w:pPr>
              <w:tabs>
                <w:tab w:val="left" w:pos="2061"/>
              </w:tabs>
              <w:rPr>
                <w:rFonts w:ascii="宋体" w:hAnsi="宋体" w:cs="宋体"/>
                <w:color w:val="auto"/>
                <w:szCs w:val="21"/>
                <w:highlight w:val="none"/>
              </w:rPr>
            </w:pPr>
            <w:r>
              <w:rPr>
                <w:rFonts w:hint="eastAsia" w:ascii="宋体" w:hAnsi="宋体" w:cs="宋体"/>
                <w:color w:val="auto"/>
                <w:szCs w:val="21"/>
                <w:highlight w:val="none"/>
              </w:rPr>
              <w:t>思路清晰，重难点把握准确，理解深入的得5分；</w:t>
            </w:r>
          </w:p>
          <w:p w14:paraId="79B677EE">
            <w:pPr>
              <w:tabs>
                <w:tab w:val="left" w:pos="2061"/>
              </w:tabs>
              <w:rPr>
                <w:rFonts w:ascii="宋体" w:hAnsi="宋体" w:cs="宋体"/>
                <w:color w:val="auto"/>
                <w:szCs w:val="21"/>
                <w:highlight w:val="none"/>
              </w:rPr>
            </w:pPr>
            <w:r>
              <w:rPr>
                <w:rFonts w:hint="eastAsia" w:ascii="宋体" w:hAnsi="宋体" w:cs="宋体"/>
                <w:color w:val="auto"/>
                <w:szCs w:val="21"/>
                <w:highlight w:val="none"/>
              </w:rPr>
              <w:t>思路基本清晰，重难点把握基本准确，理解基本深入的得4分；</w:t>
            </w:r>
          </w:p>
          <w:p w14:paraId="52516452">
            <w:pPr>
              <w:tabs>
                <w:tab w:val="left" w:pos="2061"/>
              </w:tabs>
              <w:rPr>
                <w:rFonts w:ascii="宋体" w:hAnsi="宋体" w:cs="宋体"/>
                <w:color w:val="auto"/>
                <w:szCs w:val="21"/>
                <w:highlight w:val="none"/>
              </w:rPr>
            </w:pPr>
            <w:r>
              <w:rPr>
                <w:rFonts w:hint="eastAsia" w:ascii="宋体" w:hAnsi="宋体" w:cs="宋体"/>
                <w:color w:val="auto"/>
                <w:szCs w:val="21"/>
                <w:highlight w:val="none"/>
              </w:rPr>
              <w:t>思路模糊，重难点把握及定位不够准确的得3分；</w:t>
            </w:r>
          </w:p>
          <w:p w14:paraId="5F4F57B8">
            <w:pPr>
              <w:tabs>
                <w:tab w:val="left" w:pos="2061"/>
              </w:tabs>
              <w:rPr>
                <w:rFonts w:ascii="宋体" w:hAnsi="宋体" w:cs="宋体"/>
                <w:color w:val="auto"/>
                <w:szCs w:val="21"/>
                <w:highlight w:val="none"/>
              </w:rPr>
            </w:pPr>
            <w:r>
              <w:rPr>
                <w:rFonts w:hint="eastAsia" w:ascii="宋体" w:hAnsi="宋体" w:cs="宋体"/>
                <w:color w:val="auto"/>
                <w:szCs w:val="21"/>
                <w:highlight w:val="none"/>
              </w:rPr>
              <w:t>建设思路基本提及的得1分；</w:t>
            </w:r>
          </w:p>
          <w:p w14:paraId="04262664">
            <w:pPr>
              <w:tabs>
                <w:tab w:val="left" w:pos="2061"/>
              </w:tabs>
              <w:rPr>
                <w:rFonts w:asciiTheme="minorEastAsia" w:hAnsiTheme="minorEastAsia" w:eastAsiaTheme="minorEastAsia" w:cstheme="minorEastAsia"/>
                <w:color w:val="auto"/>
                <w:szCs w:val="21"/>
                <w:highlight w:val="none"/>
              </w:rPr>
            </w:pPr>
            <w:r>
              <w:rPr>
                <w:rFonts w:hint="eastAsia" w:ascii="宋体" w:hAnsi="宋体" w:cs="宋体"/>
                <w:color w:val="auto"/>
                <w:szCs w:val="21"/>
                <w:highlight w:val="none"/>
              </w:rPr>
              <w:t>未提及此项不得分。</w:t>
            </w:r>
          </w:p>
        </w:tc>
        <w:tc>
          <w:tcPr>
            <w:tcW w:w="667" w:type="dxa"/>
            <w:vAlign w:val="center"/>
          </w:tcPr>
          <w:p w14:paraId="6345DB1E">
            <w:pPr>
              <w:autoSpaceDE w:val="0"/>
              <w:autoSpaceDN w:val="0"/>
              <w:adjustRightInd w:val="0"/>
              <w:jc w:val="center"/>
              <w:rPr>
                <w:rFonts w:asciiTheme="minorEastAsia" w:hAnsiTheme="minorEastAsia" w:eastAsiaTheme="minorEastAsia" w:cstheme="minorEastAsia"/>
                <w:color w:val="auto"/>
                <w:szCs w:val="21"/>
                <w:highlight w:val="none"/>
              </w:rPr>
            </w:pPr>
            <w:r>
              <w:rPr>
                <w:rFonts w:hint="eastAsia" w:ascii="宋体" w:hAnsi="宋体" w:cs="宋体"/>
                <w:color w:val="auto"/>
                <w:szCs w:val="21"/>
                <w:highlight w:val="none"/>
              </w:rPr>
              <w:t>5</w:t>
            </w:r>
          </w:p>
        </w:tc>
      </w:tr>
      <w:tr w14:paraId="73109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996" w:type="dxa"/>
            <w:vMerge w:val="continue"/>
            <w:vAlign w:val="center"/>
          </w:tcPr>
          <w:p w14:paraId="674CE987">
            <w:pPr>
              <w:pStyle w:val="9"/>
              <w:ind w:left="5250" w:firstLine="0" w:firstLineChars="0"/>
              <w:jc w:val="center"/>
              <w:rPr>
                <w:rFonts w:asciiTheme="minorEastAsia" w:hAnsiTheme="minorEastAsia" w:eastAsiaTheme="minorEastAsia" w:cstheme="minorEastAsia"/>
                <w:color w:val="auto"/>
                <w:szCs w:val="21"/>
                <w:highlight w:val="none"/>
              </w:rPr>
            </w:pPr>
          </w:p>
        </w:tc>
        <w:tc>
          <w:tcPr>
            <w:tcW w:w="1210" w:type="dxa"/>
            <w:vAlign w:val="center"/>
          </w:tcPr>
          <w:p w14:paraId="493BC736">
            <w:pPr>
              <w:autoSpaceDE w:val="0"/>
              <w:autoSpaceDN w:val="0"/>
              <w:adjustRightInd w:val="0"/>
              <w:jc w:val="center"/>
              <w:rPr>
                <w:rFonts w:asciiTheme="minorEastAsia" w:hAnsiTheme="minorEastAsia" w:eastAsiaTheme="minorEastAsia" w:cstheme="minorEastAsia"/>
                <w:color w:val="auto"/>
                <w:szCs w:val="21"/>
                <w:highlight w:val="none"/>
              </w:rPr>
            </w:pPr>
            <w:r>
              <w:rPr>
                <w:rFonts w:hint="eastAsia" w:ascii="宋体" w:hAnsi="宋体" w:cs="宋体"/>
                <w:color w:val="auto"/>
                <w:szCs w:val="21"/>
                <w:highlight w:val="none"/>
              </w:rPr>
              <w:t>技术方案</w:t>
            </w:r>
          </w:p>
        </w:tc>
        <w:tc>
          <w:tcPr>
            <w:tcW w:w="7045" w:type="dxa"/>
            <w:vAlign w:val="center"/>
          </w:tcPr>
          <w:p w14:paraId="38DC390B">
            <w:pPr>
              <w:widowControl/>
              <w:rPr>
                <w:rFonts w:ascii="宋体" w:hAnsi="宋体" w:cs="宋体"/>
                <w:color w:val="auto"/>
                <w:szCs w:val="21"/>
                <w:highlight w:val="none"/>
              </w:rPr>
            </w:pPr>
            <w:r>
              <w:rPr>
                <w:rFonts w:hint="eastAsia" w:ascii="宋体" w:hAnsi="宋体" w:cs="宋体"/>
                <w:color w:val="auto"/>
                <w:szCs w:val="21"/>
                <w:highlight w:val="none"/>
              </w:rPr>
              <w:t>根据投标人技术方案与本项目需求的吻合程度进行打分。</w:t>
            </w:r>
          </w:p>
          <w:p w14:paraId="4B7624CF">
            <w:pPr>
              <w:widowControl/>
              <w:rPr>
                <w:rFonts w:ascii="宋体" w:hAnsi="宋体" w:cs="宋体"/>
                <w:color w:val="auto"/>
                <w:szCs w:val="21"/>
                <w:highlight w:val="none"/>
              </w:rPr>
            </w:pPr>
            <w:r>
              <w:rPr>
                <w:rFonts w:hint="eastAsia" w:ascii="宋体" w:hAnsi="宋体" w:cs="宋体"/>
                <w:color w:val="auto"/>
                <w:szCs w:val="21"/>
                <w:highlight w:val="none"/>
              </w:rPr>
              <w:t>方案详细、完善、科学合理，适用本项目需求的得5分；</w:t>
            </w:r>
          </w:p>
          <w:p w14:paraId="713D0EDA">
            <w:pPr>
              <w:widowControl/>
              <w:rPr>
                <w:rFonts w:ascii="宋体" w:hAnsi="宋体" w:cs="宋体"/>
                <w:color w:val="auto"/>
                <w:szCs w:val="21"/>
                <w:highlight w:val="none"/>
              </w:rPr>
            </w:pPr>
            <w:r>
              <w:rPr>
                <w:rFonts w:hint="eastAsia" w:ascii="宋体" w:hAnsi="宋体" w:cs="宋体"/>
                <w:color w:val="auto"/>
                <w:szCs w:val="21"/>
                <w:highlight w:val="none"/>
              </w:rPr>
              <w:t>方案比较详细完善，基本满足本项目需求的得4分；</w:t>
            </w:r>
          </w:p>
          <w:p w14:paraId="3EAAA6A7">
            <w:pPr>
              <w:widowControl/>
              <w:rPr>
                <w:rFonts w:ascii="宋体" w:hAnsi="宋体" w:cs="宋体"/>
                <w:color w:val="auto"/>
                <w:szCs w:val="21"/>
                <w:highlight w:val="none"/>
              </w:rPr>
            </w:pPr>
            <w:r>
              <w:rPr>
                <w:rFonts w:hint="eastAsia" w:ascii="宋体" w:hAnsi="宋体" w:cs="宋体"/>
                <w:color w:val="auto"/>
                <w:szCs w:val="21"/>
                <w:highlight w:val="none"/>
              </w:rPr>
              <w:t>方案内容欠佳，不够详细的得3分；</w:t>
            </w:r>
          </w:p>
          <w:p w14:paraId="46235182">
            <w:pPr>
              <w:widowControl/>
              <w:rPr>
                <w:rFonts w:ascii="宋体" w:hAnsi="宋体" w:cs="宋体"/>
                <w:color w:val="auto"/>
                <w:szCs w:val="21"/>
                <w:highlight w:val="none"/>
              </w:rPr>
            </w:pPr>
            <w:r>
              <w:rPr>
                <w:rFonts w:hint="eastAsia" w:ascii="宋体" w:hAnsi="宋体" w:cs="宋体"/>
                <w:color w:val="auto"/>
                <w:szCs w:val="21"/>
                <w:highlight w:val="none"/>
              </w:rPr>
              <w:t>技术方案简单提及的得1分；</w:t>
            </w:r>
          </w:p>
          <w:p w14:paraId="2B07193D">
            <w:pPr>
              <w:widowControl/>
              <w:rPr>
                <w:rFonts w:asciiTheme="minorEastAsia" w:hAnsiTheme="minorEastAsia" w:eastAsiaTheme="minorEastAsia" w:cstheme="minorEastAsia"/>
                <w:color w:val="auto"/>
                <w:szCs w:val="21"/>
                <w:highlight w:val="none"/>
              </w:rPr>
            </w:pPr>
            <w:r>
              <w:rPr>
                <w:rFonts w:hint="eastAsia" w:ascii="宋体" w:hAnsi="宋体" w:cs="宋体"/>
                <w:color w:val="auto"/>
                <w:szCs w:val="21"/>
                <w:highlight w:val="none"/>
              </w:rPr>
              <w:t>未提及此项不得分。</w:t>
            </w:r>
          </w:p>
        </w:tc>
        <w:tc>
          <w:tcPr>
            <w:tcW w:w="667" w:type="dxa"/>
            <w:vAlign w:val="center"/>
          </w:tcPr>
          <w:p w14:paraId="5419E087">
            <w:pPr>
              <w:autoSpaceDE w:val="0"/>
              <w:autoSpaceDN w:val="0"/>
              <w:adjustRightInd w:val="0"/>
              <w:jc w:val="center"/>
              <w:rPr>
                <w:rFonts w:asciiTheme="minorEastAsia" w:hAnsiTheme="minorEastAsia" w:eastAsiaTheme="minorEastAsia" w:cstheme="minorEastAsia"/>
                <w:color w:val="auto"/>
                <w:szCs w:val="21"/>
                <w:highlight w:val="none"/>
              </w:rPr>
            </w:pPr>
            <w:r>
              <w:rPr>
                <w:rFonts w:hint="eastAsia" w:ascii="宋体" w:hAnsi="宋体" w:cs="宋体"/>
                <w:color w:val="auto"/>
                <w:szCs w:val="21"/>
                <w:highlight w:val="none"/>
              </w:rPr>
              <w:t>5</w:t>
            </w:r>
          </w:p>
        </w:tc>
      </w:tr>
      <w:tr w14:paraId="735BB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996" w:type="dxa"/>
            <w:vMerge w:val="continue"/>
            <w:vAlign w:val="center"/>
          </w:tcPr>
          <w:p w14:paraId="5F3E1DCF">
            <w:pPr>
              <w:pStyle w:val="9"/>
              <w:ind w:left="5250" w:firstLine="0" w:firstLineChars="0"/>
              <w:jc w:val="center"/>
              <w:rPr>
                <w:rFonts w:asciiTheme="minorEastAsia" w:hAnsiTheme="minorEastAsia" w:eastAsiaTheme="minorEastAsia" w:cstheme="minorEastAsia"/>
                <w:color w:val="auto"/>
                <w:szCs w:val="21"/>
                <w:highlight w:val="none"/>
              </w:rPr>
            </w:pPr>
          </w:p>
        </w:tc>
        <w:tc>
          <w:tcPr>
            <w:tcW w:w="1210" w:type="dxa"/>
            <w:vMerge w:val="restart"/>
            <w:vAlign w:val="center"/>
          </w:tcPr>
          <w:p w14:paraId="20B1F059">
            <w:pPr>
              <w:autoSpaceDE w:val="0"/>
              <w:autoSpaceDN w:val="0"/>
              <w:adjustRightInd w:val="0"/>
              <w:jc w:val="center"/>
              <w:rPr>
                <w:rFonts w:asciiTheme="minorEastAsia" w:hAnsiTheme="minorEastAsia" w:eastAsiaTheme="minorEastAsia" w:cstheme="minorEastAsia"/>
                <w:color w:val="auto"/>
                <w:szCs w:val="21"/>
                <w:highlight w:val="none"/>
              </w:rPr>
            </w:pPr>
            <w:r>
              <w:rPr>
                <w:rFonts w:hint="eastAsia" w:ascii="宋体" w:hAnsi="宋体" w:cs="宋体"/>
                <w:color w:val="auto"/>
                <w:szCs w:val="21"/>
                <w:highlight w:val="none"/>
              </w:rPr>
              <w:t>技术参数响应</w:t>
            </w:r>
          </w:p>
        </w:tc>
        <w:tc>
          <w:tcPr>
            <w:tcW w:w="7045" w:type="dxa"/>
            <w:vAlign w:val="center"/>
          </w:tcPr>
          <w:p w14:paraId="2569A644">
            <w:pPr>
              <w:tabs>
                <w:tab w:val="left" w:pos="2061"/>
              </w:tabs>
              <w:rPr>
                <w:rFonts w:asciiTheme="minorEastAsia" w:hAnsiTheme="minorEastAsia" w:eastAsiaTheme="minorEastAsia" w:cstheme="minorEastAsia"/>
                <w:color w:val="auto"/>
                <w:szCs w:val="21"/>
                <w:highlight w:val="none"/>
              </w:rPr>
            </w:pPr>
            <w:r>
              <w:rPr>
                <w:rFonts w:hint="eastAsia" w:ascii="宋体" w:hAnsi="宋体" w:cs="宋体"/>
                <w:color w:val="auto"/>
                <w:szCs w:val="21"/>
                <w:highlight w:val="none"/>
              </w:rPr>
              <w:t>根据投标人所提供的设备技术指标与需求全部满足采购文件要求的得满分18分，负偏离或不满足的一项扣1分，扣完为止。</w:t>
            </w:r>
          </w:p>
        </w:tc>
        <w:tc>
          <w:tcPr>
            <w:tcW w:w="667" w:type="dxa"/>
            <w:vAlign w:val="center"/>
          </w:tcPr>
          <w:p w14:paraId="161473C1">
            <w:pPr>
              <w:autoSpaceDE w:val="0"/>
              <w:autoSpaceDN w:val="0"/>
              <w:adjustRightInd w:val="0"/>
              <w:jc w:val="center"/>
              <w:rPr>
                <w:rFonts w:asciiTheme="minorEastAsia" w:hAnsiTheme="minorEastAsia" w:eastAsiaTheme="minorEastAsia" w:cstheme="minorEastAsia"/>
                <w:color w:val="auto"/>
                <w:szCs w:val="21"/>
                <w:highlight w:val="none"/>
              </w:rPr>
            </w:pPr>
            <w:r>
              <w:rPr>
                <w:rFonts w:hint="eastAsia" w:ascii="宋体" w:hAnsi="宋体" w:cs="宋体"/>
                <w:color w:val="auto"/>
                <w:szCs w:val="21"/>
                <w:highlight w:val="none"/>
              </w:rPr>
              <w:t>18</w:t>
            </w:r>
          </w:p>
        </w:tc>
      </w:tr>
      <w:tr w14:paraId="5B886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996" w:type="dxa"/>
            <w:vMerge w:val="continue"/>
            <w:vAlign w:val="center"/>
          </w:tcPr>
          <w:p w14:paraId="7BA27B77">
            <w:pPr>
              <w:pStyle w:val="9"/>
              <w:ind w:left="5250" w:firstLine="0" w:firstLineChars="0"/>
              <w:jc w:val="center"/>
              <w:rPr>
                <w:rFonts w:asciiTheme="minorEastAsia" w:hAnsiTheme="minorEastAsia" w:eastAsiaTheme="minorEastAsia" w:cstheme="minorEastAsia"/>
                <w:color w:val="auto"/>
                <w:szCs w:val="21"/>
                <w:highlight w:val="none"/>
              </w:rPr>
            </w:pPr>
          </w:p>
        </w:tc>
        <w:tc>
          <w:tcPr>
            <w:tcW w:w="1210" w:type="dxa"/>
            <w:vMerge w:val="continue"/>
            <w:vAlign w:val="center"/>
          </w:tcPr>
          <w:p w14:paraId="2972B4A8">
            <w:pPr>
              <w:autoSpaceDE w:val="0"/>
              <w:autoSpaceDN w:val="0"/>
              <w:adjustRightInd w:val="0"/>
              <w:jc w:val="center"/>
              <w:rPr>
                <w:rFonts w:asciiTheme="minorEastAsia" w:hAnsiTheme="minorEastAsia" w:eastAsiaTheme="minorEastAsia" w:cstheme="minorEastAsia"/>
                <w:color w:val="auto"/>
                <w:szCs w:val="21"/>
                <w:highlight w:val="none"/>
              </w:rPr>
            </w:pPr>
          </w:p>
        </w:tc>
        <w:tc>
          <w:tcPr>
            <w:tcW w:w="7045" w:type="dxa"/>
            <w:vAlign w:val="center"/>
          </w:tcPr>
          <w:p w14:paraId="627F8AA4">
            <w:pPr>
              <w:widowControl/>
              <w:tabs>
                <w:tab w:val="right" w:pos="4937"/>
              </w:tabs>
              <w:jc w:val="left"/>
              <w:rPr>
                <w:rFonts w:asciiTheme="minorEastAsia" w:hAnsiTheme="minorEastAsia" w:eastAsiaTheme="minorEastAsia" w:cstheme="minorEastAsia"/>
                <w:snapToGrid w:val="0"/>
                <w:color w:val="auto"/>
                <w:kern w:val="0"/>
                <w:szCs w:val="21"/>
                <w:highlight w:val="none"/>
              </w:rPr>
            </w:pPr>
            <w:r>
              <w:rPr>
                <w:rFonts w:hint="eastAsia" w:ascii="宋体" w:hAnsi="宋体" w:cs="宋体"/>
                <w:color w:val="auto"/>
                <w:szCs w:val="21"/>
                <w:highlight w:val="none"/>
              </w:rPr>
              <w:t>根据投标人所提供的服务全部满足采购文件要求的得满分10分，负偏离或不满足的一项扣1分，扣完为止。</w:t>
            </w:r>
          </w:p>
        </w:tc>
        <w:tc>
          <w:tcPr>
            <w:tcW w:w="667" w:type="dxa"/>
            <w:vAlign w:val="center"/>
          </w:tcPr>
          <w:p w14:paraId="20B51814">
            <w:pPr>
              <w:autoSpaceDE w:val="0"/>
              <w:autoSpaceDN w:val="0"/>
              <w:adjustRightInd w:val="0"/>
              <w:jc w:val="center"/>
              <w:rPr>
                <w:rFonts w:asciiTheme="minorEastAsia" w:hAnsiTheme="minorEastAsia" w:eastAsiaTheme="minorEastAsia" w:cstheme="minorEastAsia"/>
                <w:color w:val="auto"/>
                <w:szCs w:val="21"/>
                <w:highlight w:val="none"/>
              </w:rPr>
            </w:pPr>
            <w:r>
              <w:rPr>
                <w:rFonts w:hint="eastAsia" w:ascii="宋体" w:hAnsi="宋体" w:cs="宋体"/>
                <w:color w:val="auto"/>
                <w:szCs w:val="21"/>
                <w:highlight w:val="none"/>
              </w:rPr>
              <w:t>10</w:t>
            </w:r>
          </w:p>
        </w:tc>
      </w:tr>
      <w:tr w14:paraId="171FC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996" w:type="dxa"/>
            <w:vMerge w:val="continue"/>
            <w:vAlign w:val="center"/>
          </w:tcPr>
          <w:p w14:paraId="223620AD">
            <w:pPr>
              <w:pStyle w:val="9"/>
              <w:ind w:left="5250" w:firstLine="0" w:firstLineChars="0"/>
              <w:jc w:val="center"/>
              <w:rPr>
                <w:rFonts w:asciiTheme="minorEastAsia" w:hAnsiTheme="minorEastAsia" w:eastAsiaTheme="minorEastAsia" w:cstheme="minorEastAsia"/>
                <w:color w:val="auto"/>
                <w:szCs w:val="21"/>
                <w:highlight w:val="none"/>
              </w:rPr>
            </w:pPr>
          </w:p>
        </w:tc>
        <w:tc>
          <w:tcPr>
            <w:tcW w:w="1210" w:type="dxa"/>
            <w:vAlign w:val="center"/>
          </w:tcPr>
          <w:p w14:paraId="32397749">
            <w:pPr>
              <w:snapToGrid w:val="0"/>
              <w:jc w:val="center"/>
              <w:rPr>
                <w:rFonts w:asciiTheme="minorEastAsia" w:hAnsiTheme="minorEastAsia" w:eastAsiaTheme="minorEastAsia" w:cstheme="minorEastAsia"/>
                <w:color w:val="auto"/>
                <w:szCs w:val="21"/>
                <w:highlight w:val="none"/>
              </w:rPr>
            </w:pPr>
            <w:r>
              <w:rPr>
                <w:rFonts w:hint="eastAsia" w:ascii="宋体" w:hAnsi="宋体" w:cs="宋体"/>
                <w:color w:val="auto"/>
                <w:szCs w:val="21"/>
                <w:highlight w:val="none"/>
              </w:rPr>
              <w:t>实施方案</w:t>
            </w:r>
          </w:p>
        </w:tc>
        <w:tc>
          <w:tcPr>
            <w:tcW w:w="7045" w:type="dxa"/>
            <w:vAlign w:val="center"/>
          </w:tcPr>
          <w:p w14:paraId="256A5337">
            <w:pPr>
              <w:tabs>
                <w:tab w:val="left" w:pos="2061"/>
              </w:tabs>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根据投标人提供的组织实施方案，包括产品供货、验货、安装调试、调优、验收等内容进行打分。</w:t>
            </w:r>
          </w:p>
          <w:p w14:paraId="1542A8E6">
            <w:pPr>
              <w:tabs>
                <w:tab w:val="left" w:pos="2061"/>
              </w:tabs>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方案详实、内容完整、供货安排操作性强，进度详细有保障，验收标准符合行业标准且有针对性的得5分；</w:t>
            </w:r>
          </w:p>
          <w:p w14:paraId="648EA105">
            <w:pPr>
              <w:tabs>
                <w:tab w:val="left" w:pos="2061"/>
              </w:tabs>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方案基本详实、内容基本完整、供货安排操作性比较强强，进度安排基本合理，验收标准基本符合行业标准的得</w:t>
            </w:r>
            <w:r>
              <w:rPr>
                <w:rFonts w:hint="eastAsia" w:ascii="宋体" w:hAnsi="宋体" w:cs="宋体"/>
                <w:color w:val="auto"/>
                <w:szCs w:val="21"/>
                <w:highlight w:val="none"/>
              </w:rPr>
              <w:t>4</w:t>
            </w:r>
            <w:r>
              <w:rPr>
                <w:rFonts w:hint="eastAsia" w:ascii="宋体" w:hAnsi="宋体" w:cs="宋体"/>
                <w:snapToGrid w:val="0"/>
                <w:color w:val="auto"/>
                <w:kern w:val="0"/>
                <w:szCs w:val="21"/>
                <w:highlight w:val="none"/>
              </w:rPr>
              <w:t>分；</w:t>
            </w:r>
          </w:p>
          <w:p w14:paraId="43AF254A">
            <w:pPr>
              <w:tabs>
                <w:tab w:val="left" w:pos="2061"/>
              </w:tabs>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方案粗糙、内容缺漏、供货安排操作性一般，保障性和合理性有待加强的得</w:t>
            </w:r>
            <w:r>
              <w:rPr>
                <w:rFonts w:hint="eastAsia" w:ascii="宋体" w:hAnsi="宋体" w:cs="宋体"/>
                <w:color w:val="auto"/>
                <w:szCs w:val="21"/>
                <w:highlight w:val="none"/>
              </w:rPr>
              <w:t>3</w:t>
            </w:r>
            <w:r>
              <w:rPr>
                <w:rFonts w:hint="eastAsia" w:ascii="宋体" w:hAnsi="宋体" w:cs="宋体"/>
                <w:snapToGrid w:val="0"/>
                <w:color w:val="auto"/>
                <w:kern w:val="0"/>
                <w:szCs w:val="21"/>
                <w:highlight w:val="none"/>
              </w:rPr>
              <w:t>分；</w:t>
            </w:r>
          </w:p>
          <w:p w14:paraId="4AFAB7FA">
            <w:pPr>
              <w:tabs>
                <w:tab w:val="left" w:pos="2061"/>
              </w:tabs>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实施方案简单提及的得1分；</w:t>
            </w:r>
          </w:p>
          <w:p w14:paraId="5CB3A7FB">
            <w:pPr>
              <w:tabs>
                <w:tab w:val="left" w:pos="2061"/>
              </w:tabs>
              <w:rPr>
                <w:rFonts w:asciiTheme="minorEastAsia" w:hAnsiTheme="minorEastAsia" w:eastAsiaTheme="minorEastAsia" w:cstheme="minorEastAsia"/>
                <w:snapToGrid w:val="0"/>
                <w:color w:val="auto"/>
                <w:kern w:val="0"/>
                <w:szCs w:val="21"/>
                <w:highlight w:val="none"/>
              </w:rPr>
            </w:pPr>
            <w:r>
              <w:rPr>
                <w:rFonts w:hint="eastAsia" w:ascii="宋体" w:hAnsi="宋体" w:cs="宋体"/>
                <w:color w:val="auto"/>
                <w:szCs w:val="21"/>
                <w:highlight w:val="none"/>
              </w:rPr>
              <w:t>未提及此项不得分。</w:t>
            </w:r>
          </w:p>
        </w:tc>
        <w:tc>
          <w:tcPr>
            <w:tcW w:w="667" w:type="dxa"/>
            <w:vAlign w:val="center"/>
          </w:tcPr>
          <w:p w14:paraId="23E42088">
            <w:pPr>
              <w:autoSpaceDE w:val="0"/>
              <w:autoSpaceDN w:val="0"/>
              <w:adjustRightInd w:val="0"/>
              <w:jc w:val="center"/>
              <w:rPr>
                <w:rFonts w:asciiTheme="minorEastAsia" w:hAnsiTheme="minorEastAsia" w:eastAsiaTheme="minorEastAsia" w:cstheme="minorEastAsia"/>
                <w:color w:val="auto"/>
                <w:szCs w:val="21"/>
                <w:highlight w:val="none"/>
              </w:rPr>
            </w:pPr>
            <w:r>
              <w:rPr>
                <w:rFonts w:hint="eastAsia" w:ascii="宋体" w:hAnsi="宋体" w:cs="宋体"/>
                <w:color w:val="auto"/>
                <w:szCs w:val="21"/>
                <w:highlight w:val="none"/>
              </w:rPr>
              <w:t>5</w:t>
            </w:r>
          </w:p>
        </w:tc>
      </w:tr>
      <w:tr w14:paraId="3D056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996" w:type="dxa"/>
            <w:vMerge w:val="continue"/>
            <w:vAlign w:val="center"/>
          </w:tcPr>
          <w:p w14:paraId="14B12572">
            <w:pPr>
              <w:pStyle w:val="9"/>
              <w:ind w:left="5250" w:firstLine="0" w:firstLineChars="0"/>
              <w:jc w:val="center"/>
              <w:rPr>
                <w:rFonts w:asciiTheme="minorEastAsia" w:hAnsiTheme="minorEastAsia" w:eastAsiaTheme="minorEastAsia" w:cstheme="minorEastAsia"/>
                <w:color w:val="auto"/>
                <w:szCs w:val="21"/>
                <w:highlight w:val="none"/>
              </w:rPr>
            </w:pPr>
          </w:p>
        </w:tc>
        <w:tc>
          <w:tcPr>
            <w:tcW w:w="1210" w:type="dxa"/>
            <w:vAlign w:val="center"/>
          </w:tcPr>
          <w:p w14:paraId="414C1BB6">
            <w:pPr>
              <w:snapToGrid w:val="0"/>
              <w:jc w:val="center"/>
              <w:rPr>
                <w:rFonts w:asciiTheme="minorEastAsia" w:hAnsiTheme="minorEastAsia" w:eastAsiaTheme="minorEastAsia" w:cstheme="minorEastAsia"/>
                <w:color w:val="auto"/>
                <w:szCs w:val="21"/>
                <w:highlight w:val="none"/>
              </w:rPr>
            </w:pPr>
            <w:r>
              <w:rPr>
                <w:rFonts w:hint="eastAsia" w:ascii="宋体" w:hAnsi="宋体" w:cs="宋体"/>
                <w:color w:val="auto"/>
                <w:szCs w:val="21"/>
                <w:highlight w:val="none"/>
              </w:rPr>
              <w:t>培训方案</w:t>
            </w:r>
          </w:p>
        </w:tc>
        <w:tc>
          <w:tcPr>
            <w:tcW w:w="7045" w:type="dxa"/>
            <w:vAlign w:val="center"/>
          </w:tcPr>
          <w:p w14:paraId="75BD3E1E">
            <w:pPr>
              <w:tabs>
                <w:tab w:val="left" w:pos="2061"/>
              </w:tabs>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根据投标人针对本项目制定的培训方案的合理性、科学性、可行性等情况进行打分。</w:t>
            </w:r>
          </w:p>
          <w:p w14:paraId="3F305EE7">
            <w:pPr>
              <w:tabs>
                <w:tab w:val="left" w:pos="2061"/>
              </w:tabs>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培训方案内容齐全，可操作性强的得4分；</w:t>
            </w:r>
          </w:p>
          <w:p w14:paraId="6C74F2C1">
            <w:pPr>
              <w:tabs>
                <w:tab w:val="left" w:pos="2061"/>
              </w:tabs>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培训方案内容基本齐全，可操作性比较强的得3分；</w:t>
            </w:r>
          </w:p>
          <w:p w14:paraId="32F68ADB">
            <w:pPr>
              <w:tabs>
                <w:tab w:val="left" w:pos="2061"/>
              </w:tabs>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培训方案内容一般，可操作性一般的得2分；</w:t>
            </w:r>
          </w:p>
          <w:p w14:paraId="2066FA61">
            <w:pPr>
              <w:tabs>
                <w:tab w:val="left" w:pos="2061"/>
              </w:tabs>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培训方案不够周全、可操作性有待加强的得1分；</w:t>
            </w:r>
          </w:p>
          <w:p w14:paraId="1FE3D539">
            <w:pPr>
              <w:tabs>
                <w:tab w:val="left" w:pos="2061"/>
              </w:tabs>
              <w:rPr>
                <w:rFonts w:asciiTheme="minorEastAsia" w:hAnsiTheme="minorEastAsia" w:eastAsiaTheme="minorEastAsia" w:cstheme="minorEastAsia"/>
                <w:snapToGrid w:val="0"/>
                <w:color w:val="auto"/>
                <w:kern w:val="0"/>
                <w:szCs w:val="21"/>
                <w:highlight w:val="none"/>
              </w:rPr>
            </w:pPr>
            <w:r>
              <w:rPr>
                <w:rFonts w:hint="eastAsia" w:ascii="宋体" w:hAnsi="宋体" w:cs="宋体"/>
                <w:color w:val="auto"/>
                <w:szCs w:val="21"/>
                <w:highlight w:val="none"/>
              </w:rPr>
              <w:t>未提及此项不得分。</w:t>
            </w:r>
          </w:p>
        </w:tc>
        <w:tc>
          <w:tcPr>
            <w:tcW w:w="667" w:type="dxa"/>
            <w:vAlign w:val="center"/>
          </w:tcPr>
          <w:p w14:paraId="15F30C3B">
            <w:pPr>
              <w:autoSpaceDE w:val="0"/>
              <w:autoSpaceDN w:val="0"/>
              <w:adjustRightInd w:val="0"/>
              <w:jc w:val="center"/>
              <w:rPr>
                <w:rFonts w:asciiTheme="minorEastAsia" w:hAnsiTheme="minorEastAsia" w:eastAsiaTheme="minorEastAsia" w:cstheme="minorEastAsia"/>
                <w:color w:val="auto"/>
                <w:szCs w:val="21"/>
                <w:highlight w:val="none"/>
              </w:rPr>
            </w:pPr>
            <w:r>
              <w:rPr>
                <w:rFonts w:hint="eastAsia" w:ascii="宋体" w:hAnsi="宋体" w:cs="宋体"/>
                <w:color w:val="auto"/>
                <w:szCs w:val="21"/>
                <w:highlight w:val="none"/>
              </w:rPr>
              <w:t>4</w:t>
            </w:r>
          </w:p>
        </w:tc>
      </w:tr>
      <w:tr w14:paraId="3D611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996" w:type="dxa"/>
            <w:vMerge w:val="continue"/>
            <w:vAlign w:val="center"/>
          </w:tcPr>
          <w:p w14:paraId="7C03A22C">
            <w:pPr>
              <w:pStyle w:val="9"/>
              <w:ind w:left="5250" w:firstLine="0" w:firstLineChars="0"/>
              <w:jc w:val="center"/>
              <w:rPr>
                <w:rFonts w:asciiTheme="minorEastAsia" w:hAnsiTheme="minorEastAsia" w:eastAsiaTheme="minorEastAsia" w:cstheme="minorEastAsia"/>
                <w:color w:val="auto"/>
                <w:szCs w:val="21"/>
                <w:highlight w:val="none"/>
              </w:rPr>
            </w:pPr>
          </w:p>
        </w:tc>
        <w:tc>
          <w:tcPr>
            <w:tcW w:w="1210" w:type="dxa"/>
            <w:vAlign w:val="center"/>
          </w:tcPr>
          <w:p w14:paraId="1758AAFE">
            <w:pPr>
              <w:snapToGrid w:val="0"/>
              <w:jc w:val="center"/>
              <w:rPr>
                <w:rFonts w:asciiTheme="minorEastAsia" w:hAnsiTheme="minorEastAsia" w:eastAsiaTheme="minorEastAsia" w:cstheme="minorEastAsia"/>
                <w:color w:val="auto"/>
                <w:szCs w:val="21"/>
                <w:highlight w:val="none"/>
              </w:rPr>
            </w:pPr>
            <w:r>
              <w:rPr>
                <w:rFonts w:hint="eastAsia" w:ascii="宋体" w:hAnsi="宋体" w:cs="宋体"/>
                <w:color w:val="auto"/>
                <w:szCs w:val="21"/>
                <w:highlight w:val="none"/>
              </w:rPr>
              <w:t>应急处置方案</w:t>
            </w:r>
          </w:p>
        </w:tc>
        <w:tc>
          <w:tcPr>
            <w:tcW w:w="7045" w:type="dxa"/>
            <w:vAlign w:val="center"/>
          </w:tcPr>
          <w:p w14:paraId="657C7D48">
            <w:pPr>
              <w:tabs>
                <w:tab w:val="left" w:pos="2061"/>
              </w:tabs>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根据投标人结合本项目的特点，对网络信息安全中可能出现的突发情况分析以及应急处置方案的完整性、合理性、针对性等因素进行打分。</w:t>
            </w:r>
          </w:p>
          <w:p w14:paraId="646DA836">
            <w:pPr>
              <w:tabs>
                <w:tab w:val="left" w:pos="2061"/>
              </w:tabs>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方案说明详细、考虑齐全、科学合理，与本项目吻合的得5分；</w:t>
            </w:r>
          </w:p>
          <w:p w14:paraId="7D07F1FF">
            <w:pPr>
              <w:tabs>
                <w:tab w:val="left" w:pos="2061"/>
              </w:tabs>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方案说明内容一般，基本科学合理，基本满足需求的得</w:t>
            </w:r>
            <w:r>
              <w:rPr>
                <w:rFonts w:hint="eastAsia" w:ascii="宋体" w:hAnsi="宋体" w:cs="宋体"/>
                <w:color w:val="auto"/>
                <w:szCs w:val="21"/>
                <w:highlight w:val="none"/>
              </w:rPr>
              <w:t>4</w:t>
            </w:r>
            <w:r>
              <w:rPr>
                <w:rFonts w:hint="eastAsia" w:ascii="宋体" w:hAnsi="宋体" w:cs="宋体"/>
                <w:snapToGrid w:val="0"/>
                <w:color w:val="auto"/>
                <w:kern w:val="0"/>
                <w:szCs w:val="21"/>
                <w:highlight w:val="none"/>
              </w:rPr>
              <w:t>分；</w:t>
            </w:r>
          </w:p>
          <w:p w14:paraId="455A3C8F">
            <w:pPr>
              <w:tabs>
                <w:tab w:val="left" w:pos="2061"/>
              </w:tabs>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方案说明内容欠佳，不够详细的得</w:t>
            </w:r>
            <w:r>
              <w:rPr>
                <w:rFonts w:hint="eastAsia" w:ascii="宋体" w:hAnsi="宋体" w:cs="宋体"/>
                <w:color w:val="auto"/>
                <w:szCs w:val="21"/>
                <w:highlight w:val="none"/>
              </w:rPr>
              <w:t>3</w:t>
            </w:r>
            <w:r>
              <w:rPr>
                <w:rFonts w:hint="eastAsia" w:ascii="宋体" w:hAnsi="宋体" w:cs="宋体"/>
                <w:snapToGrid w:val="0"/>
                <w:color w:val="auto"/>
                <w:kern w:val="0"/>
                <w:szCs w:val="21"/>
                <w:highlight w:val="none"/>
              </w:rPr>
              <w:t>分；</w:t>
            </w:r>
          </w:p>
          <w:p w14:paraId="55843242">
            <w:pPr>
              <w:tabs>
                <w:tab w:val="left" w:pos="2061"/>
              </w:tabs>
              <w:rPr>
                <w:rFonts w:ascii="宋体" w:hAnsi="宋体" w:cs="宋体"/>
                <w:color w:val="auto"/>
                <w:szCs w:val="21"/>
                <w:highlight w:val="none"/>
              </w:rPr>
            </w:pPr>
            <w:r>
              <w:rPr>
                <w:rFonts w:hint="eastAsia" w:ascii="宋体" w:hAnsi="宋体" w:cs="宋体"/>
                <w:color w:val="auto"/>
                <w:szCs w:val="21"/>
                <w:highlight w:val="none"/>
              </w:rPr>
              <w:t>应急方案简单提及的得1分；</w:t>
            </w:r>
          </w:p>
          <w:p w14:paraId="561AF7D6">
            <w:pPr>
              <w:tabs>
                <w:tab w:val="left" w:pos="2061"/>
              </w:tabs>
              <w:rPr>
                <w:rFonts w:asciiTheme="minorEastAsia" w:hAnsiTheme="minorEastAsia" w:eastAsiaTheme="minorEastAsia" w:cstheme="minorEastAsia"/>
                <w:color w:val="auto"/>
                <w:szCs w:val="21"/>
                <w:highlight w:val="none"/>
              </w:rPr>
            </w:pPr>
            <w:r>
              <w:rPr>
                <w:rFonts w:hint="eastAsia" w:ascii="宋体" w:hAnsi="宋体" w:cs="宋体"/>
                <w:color w:val="auto"/>
                <w:szCs w:val="21"/>
                <w:highlight w:val="none"/>
              </w:rPr>
              <w:t>未提及此项不得分。</w:t>
            </w:r>
          </w:p>
        </w:tc>
        <w:tc>
          <w:tcPr>
            <w:tcW w:w="667" w:type="dxa"/>
            <w:vAlign w:val="center"/>
          </w:tcPr>
          <w:p w14:paraId="2B13AB0B">
            <w:pPr>
              <w:autoSpaceDE w:val="0"/>
              <w:autoSpaceDN w:val="0"/>
              <w:adjustRightInd w:val="0"/>
              <w:jc w:val="center"/>
              <w:rPr>
                <w:rFonts w:asciiTheme="minorEastAsia" w:hAnsiTheme="minorEastAsia" w:eastAsiaTheme="minorEastAsia" w:cstheme="minorEastAsia"/>
                <w:color w:val="auto"/>
                <w:szCs w:val="21"/>
                <w:highlight w:val="none"/>
              </w:rPr>
            </w:pPr>
            <w:r>
              <w:rPr>
                <w:rFonts w:hint="eastAsia" w:ascii="宋体" w:hAnsi="宋体" w:cs="宋体"/>
                <w:color w:val="auto"/>
                <w:szCs w:val="21"/>
                <w:highlight w:val="none"/>
              </w:rPr>
              <w:t>5</w:t>
            </w:r>
          </w:p>
        </w:tc>
      </w:tr>
      <w:tr w14:paraId="52DC0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06" w:type="dxa"/>
            <w:gridSpan w:val="2"/>
            <w:vAlign w:val="center"/>
          </w:tcPr>
          <w:p w14:paraId="5699E528">
            <w:pPr>
              <w:jc w:val="center"/>
              <w:rPr>
                <w:rStyle w:val="59"/>
                <w:rFonts w:asciiTheme="minorEastAsia" w:hAnsiTheme="minorEastAsia" w:eastAsiaTheme="minorEastAsia" w:cstheme="minorEastAsia"/>
                <w:color w:val="auto"/>
                <w:kern w:val="0"/>
                <w:szCs w:val="21"/>
                <w:highlight w:val="none"/>
              </w:rPr>
            </w:pPr>
            <w:r>
              <w:rPr>
                <w:rStyle w:val="59"/>
                <w:rFonts w:hint="eastAsia" w:asciiTheme="minorEastAsia" w:hAnsiTheme="minorEastAsia" w:eastAsiaTheme="minorEastAsia" w:cstheme="minorEastAsia"/>
                <w:color w:val="auto"/>
                <w:kern w:val="0"/>
                <w:szCs w:val="21"/>
                <w:highlight w:val="none"/>
              </w:rPr>
              <w:t>价格</w:t>
            </w:r>
          </w:p>
          <w:p w14:paraId="2787F825">
            <w:pPr>
              <w:jc w:val="center"/>
              <w:rPr>
                <w:rFonts w:asciiTheme="minorEastAsia" w:hAnsiTheme="minorEastAsia" w:eastAsiaTheme="minorEastAsia" w:cstheme="minorEastAsia"/>
                <w:color w:val="auto"/>
                <w:kern w:val="0"/>
                <w:szCs w:val="21"/>
                <w:highlight w:val="none"/>
              </w:rPr>
            </w:pPr>
            <w:r>
              <w:rPr>
                <w:rStyle w:val="59"/>
                <w:rFonts w:hint="eastAsia" w:asciiTheme="minorEastAsia" w:hAnsiTheme="minorEastAsia" w:eastAsiaTheme="minorEastAsia" w:cstheme="minorEastAsia"/>
                <w:color w:val="auto"/>
                <w:kern w:val="0"/>
                <w:szCs w:val="21"/>
                <w:highlight w:val="none"/>
              </w:rPr>
              <w:t>（30分）</w:t>
            </w:r>
          </w:p>
        </w:tc>
        <w:tc>
          <w:tcPr>
            <w:tcW w:w="7045" w:type="dxa"/>
            <w:vAlign w:val="center"/>
          </w:tcPr>
          <w:p w14:paraId="177DEFD5">
            <w:pPr>
              <w:rPr>
                <w:rFonts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rPr>
              <w:t>取投标合格供应商的投标最终报价最低价</w:t>
            </w:r>
            <w:r>
              <w:rPr>
                <w:rFonts w:hint="eastAsia" w:asciiTheme="minorEastAsia" w:hAnsiTheme="minorEastAsia" w:eastAsiaTheme="minorEastAsia" w:cstheme="minorEastAsia"/>
                <w:color w:val="auto"/>
                <w:szCs w:val="21"/>
                <w:highlight w:val="none"/>
                <w:lang w:val="zh-CN"/>
              </w:rPr>
              <w:t>为评标基准价，</w:t>
            </w:r>
            <w:r>
              <w:rPr>
                <w:rFonts w:hint="eastAsia" w:asciiTheme="minorEastAsia" w:hAnsiTheme="minorEastAsia" w:eastAsiaTheme="minorEastAsia" w:cstheme="minorEastAsia"/>
                <w:color w:val="auto"/>
                <w:szCs w:val="21"/>
                <w:highlight w:val="none"/>
              </w:rPr>
              <w:t>基准价为30分</w:t>
            </w:r>
            <w:r>
              <w:rPr>
                <w:rFonts w:hint="eastAsia" w:asciiTheme="minorEastAsia" w:hAnsiTheme="minorEastAsia" w:eastAsiaTheme="minorEastAsia" w:cstheme="minorEastAsia"/>
                <w:color w:val="auto"/>
                <w:szCs w:val="21"/>
                <w:highlight w:val="none"/>
                <w:lang w:val="zh-CN"/>
              </w:rPr>
              <w:t>。</w:t>
            </w:r>
          </w:p>
          <w:p w14:paraId="10476641">
            <w:pPr>
              <w:rPr>
                <w:rFonts w:asciiTheme="minorEastAsia" w:hAnsiTheme="minorEastAsia" w:eastAsiaTheme="minorEastAsia" w:cstheme="minorEastAsia"/>
                <w:color w:val="auto"/>
                <w:spacing w:val="-4"/>
                <w:kern w:val="0"/>
                <w:szCs w:val="21"/>
                <w:highlight w:val="none"/>
              </w:rPr>
            </w:pPr>
            <w:r>
              <w:rPr>
                <w:rFonts w:hint="eastAsia" w:asciiTheme="minorEastAsia" w:hAnsiTheme="minorEastAsia" w:eastAsiaTheme="minorEastAsia" w:cstheme="minorEastAsia"/>
                <w:color w:val="auto"/>
                <w:szCs w:val="21"/>
                <w:highlight w:val="none"/>
                <w:lang w:val="zh-CN"/>
              </w:rPr>
              <w:t>投标报价得分=(评标基准价／投标报价)×</w:t>
            </w:r>
            <w:r>
              <w:rPr>
                <w:rFonts w:hint="eastAsia" w:asciiTheme="minorEastAsia" w:hAnsiTheme="minorEastAsia" w:eastAsiaTheme="minorEastAsia" w:cstheme="minorEastAsia"/>
                <w:color w:val="auto"/>
                <w:szCs w:val="21"/>
                <w:highlight w:val="none"/>
              </w:rPr>
              <w:t>30</w:t>
            </w:r>
            <w:r>
              <w:rPr>
                <w:rFonts w:hint="eastAsia" w:asciiTheme="minorEastAsia" w:hAnsiTheme="minorEastAsia" w:eastAsiaTheme="minorEastAsia" w:cstheme="minorEastAsia"/>
                <w:color w:val="auto"/>
                <w:szCs w:val="21"/>
                <w:highlight w:val="none"/>
                <w:lang w:val="zh-CN"/>
              </w:rPr>
              <w:t>%×100 。（</w:t>
            </w:r>
            <w:r>
              <w:rPr>
                <w:rFonts w:hint="eastAsia" w:asciiTheme="minorEastAsia" w:hAnsiTheme="minorEastAsia" w:eastAsiaTheme="minorEastAsia" w:cstheme="minorEastAsia"/>
                <w:color w:val="auto"/>
                <w:szCs w:val="21"/>
                <w:highlight w:val="none"/>
              </w:rPr>
              <w:t>小数点后保留2位小数</w:t>
            </w:r>
            <w:r>
              <w:rPr>
                <w:rFonts w:hint="eastAsia" w:asciiTheme="minorEastAsia" w:hAnsiTheme="minorEastAsia" w:eastAsiaTheme="minorEastAsia" w:cstheme="minorEastAsia"/>
                <w:color w:val="auto"/>
                <w:szCs w:val="21"/>
                <w:highlight w:val="none"/>
                <w:lang w:val="zh-CN"/>
              </w:rPr>
              <w:t>）。</w:t>
            </w:r>
          </w:p>
        </w:tc>
        <w:tc>
          <w:tcPr>
            <w:tcW w:w="667" w:type="dxa"/>
            <w:vAlign w:val="center"/>
          </w:tcPr>
          <w:p w14:paraId="145B258B">
            <w:pPr>
              <w:adjustRightInd w:val="0"/>
              <w:snapToGrid w:val="0"/>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30</w:t>
            </w:r>
          </w:p>
        </w:tc>
      </w:tr>
    </w:tbl>
    <w:p w14:paraId="23902FE6">
      <w:pPr>
        <w:pStyle w:val="9"/>
        <w:spacing w:line="360" w:lineRule="auto"/>
        <w:ind w:firstLine="0" w:firstLineChars="0"/>
        <w:rPr>
          <w:rFonts w:ascii="宋体" w:hAnsi="宋体" w:cs="宋体"/>
          <w:color w:val="auto"/>
          <w:highlight w:val="none"/>
        </w:rPr>
        <w:sectPr>
          <w:pgSz w:w="11906" w:h="16838"/>
          <w:pgMar w:top="1440" w:right="1440" w:bottom="1440" w:left="1803" w:header="851" w:footer="992" w:gutter="0"/>
          <w:cols w:space="0" w:num="1"/>
          <w:docGrid w:type="lines" w:linePitch="325" w:charSpace="0"/>
        </w:sectPr>
      </w:pPr>
    </w:p>
    <w:p w14:paraId="020DF924">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第四章 项目需求</w:t>
      </w:r>
    </w:p>
    <w:p w14:paraId="3130C4A7">
      <w:pPr>
        <w:pStyle w:val="12"/>
        <w:tabs>
          <w:tab w:val="right" w:pos="8306"/>
        </w:tabs>
        <w:snapToGrid w:val="0"/>
        <w:spacing w:line="360" w:lineRule="auto"/>
        <w:ind w:firstLine="422" w:firstLineChars="200"/>
        <w:outlineLvl w:val="0"/>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一、采购项目一览表</w:t>
      </w:r>
    </w:p>
    <w:tbl>
      <w:tblPr>
        <w:tblStyle w:val="22"/>
        <w:tblW w:w="98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2141"/>
        <w:gridCol w:w="1676"/>
        <w:gridCol w:w="817"/>
        <w:gridCol w:w="800"/>
        <w:gridCol w:w="1033"/>
        <w:gridCol w:w="1305"/>
        <w:gridCol w:w="1305"/>
      </w:tblGrid>
      <w:tr w14:paraId="04BF3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765" w:type="dxa"/>
            <w:vAlign w:val="center"/>
          </w:tcPr>
          <w:p w14:paraId="6A693E0F">
            <w:pPr>
              <w:tabs>
                <w:tab w:val="left" w:pos="8280"/>
              </w:tabs>
              <w:autoSpaceDE w:val="0"/>
              <w:autoSpaceDN w:val="0"/>
              <w:adjustRightInd w:val="0"/>
              <w:ind w:right="25"/>
              <w:jc w:val="center"/>
              <w:rPr>
                <w:rFonts w:ascii="宋体" w:hAnsi="宋体" w:cs="宋体"/>
                <w:b/>
                <w:color w:val="auto"/>
                <w:szCs w:val="21"/>
                <w:highlight w:val="none"/>
              </w:rPr>
            </w:pPr>
            <w:r>
              <w:rPr>
                <w:rFonts w:hint="eastAsia" w:ascii="宋体" w:hAnsi="宋体" w:cs="宋体"/>
                <w:b/>
                <w:color w:val="auto"/>
                <w:szCs w:val="21"/>
                <w:highlight w:val="none"/>
              </w:rPr>
              <w:t>序号</w:t>
            </w:r>
          </w:p>
        </w:tc>
        <w:tc>
          <w:tcPr>
            <w:tcW w:w="2141" w:type="dxa"/>
            <w:vAlign w:val="center"/>
          </w:tcPr>
          <w:p w14:paraId="25962B6A">
            <w:pPr>
              <w:tabs>
                <w:tab w:val="left" w:pos="8280"/>
              </w:tabs>
              <w:autoSpaceDE w:val="0"/>
              <w:autoSpaceDN w:val="0"/>
              <w:adjustRightInd w:val="0"/>
              <w:ind w:right="25"/>
              <w:jc w:val="center"/>
              <w:rPr>
                <w:rFonts w:ascii="宋体" w:hAnsi="宋体" w:cs="宋体"/>
                <w:b/>
                <w:color w:val="auto"/>
                <w:szCs w:val="21"/>
                <w:highlight w:val="none"/>
              </w:rPr>
            </w:pPr>
            <w:r>
              <w:rPr>
                <w:rFonts w:hint="eastAsia" w:ascii="宋体" w:hAnsi="宋体" w:cs="宋体"/>
                <w:b/>
                <w:color w:val="auto"/>
                <w:szCs w:val="21"/>
                <w:highlight w:val="none"/>
              </w:rPr>
              <w:t>项目名称</w:t>
            </w:r>
          </w:p>
        </w:tc>
        <w:tc>
          <w:tcPr>
            <w:tcW w:w="1676" w:type="dxa"/>
            <w:vAlign w:val="center"/>
          </w:tcPr>
          <w:p w14:paraId="3F060613">
            <w:pPr>
              <w:tabs>
                <w:tab w:val="left" w:pos="8280"/>
              </w:tabs>
              <w:autoSpaceDE w:val="0"/>
              <w:autoSpaceDN w:val="0"/>
              <w:adjustRightInd w:val="0"/>
              <w:ind w:right="25"/>
              <w:jc w:val="center"/>
              <w:rPr>
                <w:rFonts w:ascii="宋体" w:hAnsi="宋体" w:cs="宋体"/>
                <w:b/>
                <w:color w:val="auto"/>
                <w:szCs w:val="21"/>
                <w:highlight w:val="none"/>
              </w:rPr>
            </w:pPr>
            <w:r>
              <w:rPr>
                <w:rFonts w:hint="eastAsia" w:ascii="宋体" w:hAnsi="宋体" w:cs="宋体"/>
                <w:b/>
                <w:color w:val="auto"/>
                <w:kern w:val="0"/>
                <w:szCs w:val="21"/>
                <w:highlight w:val="none"/>
              </w:rPr>
              <w:t>简要技术要求</w:t>
            </w:r>
          </w:p>
        </w:tc>
        <w:tc>
          <w:tcPr>
            <w:tcW w:w="817" w:type="dxa"/>
            <w:vAlign w:val="center"/>
          </w:tcPr>
          <w:p w14:paraId="2C4DEFD3">
            <w:pPr>
              <w:tabs>
                <w:tab w:val="left" w:pos="8280"/>
              </w:tabs>
              <w:autoSpaceDE w:val="0"/>
              <w:autoSpaceDN w:val="0"/>
              <w:adjustRightInd w:val="0"/>
              <w:ind w:right="25"/>
              <w:jc w:val="center"/>
              <w:rPr>
                <w:rFonts w:ascii="宋体" w:hAnsi="宋体" w:cs="宋体"/>
                <w:b/>
                <w:color w:val="auto"/>
                <w:szCs w:val="21"/>
                <w:highlight w:val="none"/>
              </w:rPr>
            </w:pPr>
            <w:r>
              <w:rPr>
                <w:rFonts w:hint="eastAsia" w:ascii="宋体" w:hAnsi="宋体" w:cs="宋体"/>
                <w:b/>
                <w:color w:val="auto"/>
                <w:szCs w:val="21"/>
                <w:highlight w:val="none"/>
              </w:rPr>
              <w:t>数量</w:t>
            </w:r>
          </w:p>
        </w:tc>
        <w:tc>
          <w:tcPr>
            <w:tcW w:w="800" w:type="dxa"/>
            <w:vAlign w:val="center"/>
          </w:tcPr>
          <w:p w14:paraId="1039A187">
            <w:pPr>
              <w:tabs>
                <w:tab w:val="left" w:pos="8280"/>
              </w:tabs>
              <w:autoSpaceDE w:val="0"/>
              <w:autoSpaceDN w:val="0"/>
              <w:adjustRightInd w:val="0"/>
              <w:ind w:right="25"/>
              <w:jc w:val="center"/>
              <w:rPr>
                <w:rFonts w:ascii="宋体" w:hAnsi="宋体" w:cs="宋体"/>
                <w:b/>
                <w:color w:val="auto"/>
                <w:szCs w:val="21"/>
                <w:highlight w:val="none"/>
              </w:rPr>
            </w:pPr>
            <w:r>
              <w:rPr>
                <w:rFonts w:hint="eastAsia" w:ascii="宋体" w:hAnsi="宋体" w:cs="宋体"/>
                <w:b/>
                <w:color w:val="auto"/>
                <w:szCs w:val="21"/>
                <w:highlight w:val="none"/>
              </w:rPr>
              <w:t>单位</w:t>
            </w:r>
          </w:p>
        </w:tc>
        <w:tc>
          <w:tcPr>
            <w:tcW w:w="1033" w:type="dxa"/>
            <w:vAlign w:val="center"/>
          </w:tcPr>
          <w:p w14:paraId="05970284">
            <w:pPr>
              <w:tabs>
                <w:tab w:val="left" w:pos="8280"/>
              </w:tabs>
              <w:autoSpaceDE w:val="0"/>
              <w:autoSpaceDN w:val="0"/>
              <w:adjustRightInd w:val="0"/>
              <w:ind w:right="25"/>
              <w:jc w:val="center"/>
              <w:rPr>
                <w:rFonts w:ascii="宋体" w:hAnsi="宋体" w:cs="宋体"/>
                <w:b/>
                <w:color w:val="auto"/>
                <w:szCs w:val="21"/>
                <w:highlight w:val="none"/>
              </w:rPr>
            </w:pPr>
            <w:r>
              <w:rPr>
                <w:rFonts w:hint="eastAsia" w:ascii="宋体" w:hAnsi="宋体" w:cs="宋体"/>
                <w:b/>
                <w:color w:val="auto"/>
                <w:szCs w:val="21"/>
                <w:highlight w:val="none"/>
              </w:rPr>
              <w:t>预算</w:t>
            </w:r>
          </w:p>
          <w:p w14:paraId="622CC332">
            <w:pPr>
              <w:tabs>
                <w:tab w:val="left" w:pos="8280"/>
              </w:tabs>
              <w:autoSpaceDE w:val="0"/>
              <w:autoSpaceDN w:val="0"/>
              <w:adjustRightInd w:val="0"/>
              <w:ind w:right="25"/>
              <w:jc w:val="center"/>
              <w:rPr>
                <w:rFonts w:ascii="宋体" w:hAnsi="宋体" w:cs="宋体"/>
                <w:b/>
                <w:color w:val="auto"/>
                <w:szCs w:val="21"/>
                <w:highlight w:val="none"/>
              </w:rPr>
            </w:pPr>
            <w:r>
              <w:rPr>
                <w:rFonts w:hint="eastAsia" w:ascii="宋体" w:hAnsi="宋体" w:cs="宋体"/>
                <w:b/>
                <w:color w:val="auto"/>
                <w:szCs w:val="21"/>
                <w:highlight w:val="none"/>
              </w:rPr>
              <w:t>（万元）</w:t>
            </w:r>
          </w:p>
        </w:tc>
        <w:tc>
          <w:tcPr>
            <w:tcW w:w="1305" w:type="dxa"/>
            <w:vAlign w:val="center"/>
          </w:tcPr>
          <w:p w14:paraId="3F1665B8">
            <w:pPr>
              <w:tabs>
                <w:tab w:val="left" w:pos="8280"/>
              </w:tabs>
              <w:autoSpaceDE w:val="0"/>
              <w:autoSpaceDN w:val="0"/>
              <w:adjustRightInd w:val="0"/>
              <w:ind w:right="25" w:rightChars="0"/>
              <w:jc w:val="center"/>
              <w:rPr>
                <w:rFonts w:hint="eastAsia" w:ascii="宋体" w:hAnsi="宋体" w:cs="宋体"/>
                <w:b/>
                <w:color w:val="auto"/>
                <w:szCs w:val="21"/>
                <w:highlight w:val="none"/>
              </w:rPr>
            </w:pPr>
            <w:r>
              <w:rPr>
                <w:rFonts w:hint="eastAsia" w:ascii="宋体" w:hAnsi="宋体" w:cs="宋体"/>
                <w:b/>
                <w:color w:val="auto"/>
                <w:szCs w:val="21"/>
                <w:highlight w:val="none"/>
                <w:lang w:val="en-US" w:eastAsia="zh-CN"/>
              </w:rPr>
              <w:t>最高限价</w:t>
            </w:r>
            <w:r>
              <w:rPr>
                <w:rFonts w:hint="eastAsia" w:ascii="宋体" w:hAnsi="宋体" w:cs="宋体"/>
                <w:b/>
                <w:color w:val="auto"/>
                <w:szCs w:val="21"/>
                <w:highlight w:val="none"/>
              </w:rPr>
              <w:t>（万元）</w:t>
            </w:r>
          </w:p>
        </w:tc>
        <w:tc>
          <w:tcPr>
            <w:tcW w:w="1305" w:type="dxa"/>
            <w:vAlign w:val="center"/>
          </w:tcPr>
          <w:p w14:paraId="2C592DB2">
            <w:pPr>
              <w:tabs>
                <w:tab w:val="left" w:pos="8280"/>
              </w:tabs>
              <w:autoSpaceDE w:val="0"/>
              <w:autoSpaceDN w:val="0"/>
              <w:adjustRightInd w:val="0"/>
              <w:ind w:right="25"/>
              <w:jc w:val="center"/>
              <w:rPr>
                <w:rFonts w:ascii="宋体" w:hAnsi="宋体" w:cs="宋体"/>
                <w:b/>
                <w:color w:val="auto"/>
                <w:szCs w:val="21"/>
                <w:highlight w:val="none"/>
              </w:rPr>
            </w:pPr>
            <w:r>
              <w:rPr>
                <w:rFonts w:hint="eastAsia" w:ascii="宋体" w:hAnsi="宋体" w:cs="宋体"/>
                <w:b/>
                <w:color w:val="auto"/>
                <w:szCs w:val="21"/>
                <w:highlight w:val="none"/>
              </w:rPr>
              <w:t>备注</w:t>
            </w:r>
          </w:p>
        </w:tc>
      </w:tr>
      <w:tr w14:paraId="5BEB8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jc w:val="center"/>
        </w:trPr>
        <w:tc>
          <w:tcPr>
            <w:tcW w:w="765" w:type="dxa"/>
            <w:vAlign w:val="center"/>
          </w:tcPr>
          <w:p w14:paraId="7979DB55">
            <w:pPr>
              <w:tabs>
                <w:tab w:val="left" w:pos="8280"/>
              </w:tabs>
              <w:autoSpaceDE w:val="0"/>
              <w:autoSpaceDN w:val="0"/>
              <w:adjustRightInd w:val="0"/>
              <w:spacing w:line="360" w:lineRule="auto"/>
              <w:ind w:right="25"/>
              <w:jc w:val="center"/>
              <w:rPr>
                <w:rFonts w:ascii="宋体" w:hAnsi="宋体" w:cs="宋体"/>
                <w:color w:val="auto"/>
                <w:szCs w:val="21"/>
                <w:highlight w:val="none"/>
              </w:rPr>
            </w:pPr>
            <w:r>
              <w:rPr>
                <w:rFonts w:hint="eastAsia" w:ascii="宋体" w:hAnsi="宋体" w:cs="宋体"/>
                <w:color w:val="auto"/>
                <w:szCs w:val="21"/>
                <w:highlight w:val="none"/>
              </w:rPr>
              <w:t>1</w:t>
            </w:r>
          </w:p>
        </w:tc>
        <w:tc>
          <w:tcPr>
            <w:tcW w:w="2141" w:type="dxa"/>
            <w:vAlign w:val="center"/>
          </w:tcPr>
          <w:p w14:paraId="5F0AABCA">
            <w:pPr>
              <w:tabs>
                <w:tab w:val="left" w:pos="8280"/>
              </w:tabs>
              <w:autoSpaceDE w:val="0"/>
              <w:autoSpaceDN w:val="0"/>
              <w:adjustRightInd w:val="0"/>
              <w:spacing w:line="360" w:lineRule="auto"/>
              <w:ind w:right="25"/>
              <w:jc w:val="center"/>
              <w:rPr>
                <w:rFonts w:ascii="宋体" w:hAnsi="宋体" w:cs="宋体"/>
                <w:color w:val="auto"/>
                <w:szCs w:val="21"/>
                <w:highlight w:val="none"/>
              </w:rPr>
            </w:pPr>
            <w:r>
              <w:rPr>
                <w:rFonts w:hint="eastAsia" w:ascii="宋体" w:hAnsi="宋体" w:cs="宋体"/>
                <w:color w:val="auto"/>
                <w:szCs w:val="21"/>
                <w:highlight w:val="none"/>
              </w:rPr>
              <w:t>信息安全运维服务项目</w:t>
            </w:r>
          </w:p>
        </w:tc>
        <w:tc>
          <w:tcPr>
            <w:tcW w:w="1676" w:type="dxa"/>
            <w:vAlign w:val="center"/>
          </w:tcPr>
          <w:p w14:paraId="56C507E8">
            <w:pPr>
              <w:tabs>
                <w:tab w:val="left" w:pos="8280"/>
              </w:tabs>
              <w:autoSpaceDE w:val="0"/>
              <w:autoSpaceDN w:val="0"/>
              <w:adjustRightInd w:val="0"/>
              <w:spacing w:line="360" w:lineRule="auto"/>
              <w:ind w:right="25"/>
              <w:jc w:val="center"/>
              <w:rPr>
                <w:rFonts w:ascii="宋体" w:hAnsi="宋体" w:cs="宋体"/>
                <w:color w:val="auto"/>
                <w:szCs w:val="21"/>
                <w:highlight w:val="none"/>
              </w:rPr>
            </w:pPr>
            <w:r>
              <w:rPr>
                <w:rFonts w:hint="eastAsia" w:ascii="宋体" w:hAnsi="宋体" w:cs="宋体"/>
                <w:color w:val="auto"/>
                <w:szCs w:val="21"/>
                <w:highlight w:val="none"/>
              </w:rPr>
              <w:t>详见项目需求</w:t>
            </w:r>
          </w:p>
        </w:tc>
        <w:tc>
          <w:tcPr>
            <w:tcW w:w="817" w:type="dxa"/>
            <w:vAlign w:val="center"/>
          </w:tcPr>
          <w:p w14:paraId="4547F0B7">
            <w:pPr>
              <w:tabs>
                <w:tab w:val="left" w:pos="8280"/>
              </w:tabs>
              <w:autoSpaceDE w:val="0"/>
              <w:autoSpaceDN w:val="0"/>
              <w:adjustRightInd w:val="0"/>
              <w:spacing w:line="360" w:lineRule="auto"/>
              <w:ind w:right="25"/>
              <w:jc w:val="center"/>
              <w:rPr>
                <w:rFonts w:ascii="宋体" w:hAnsi="宋体" w:cs="宋体"/>
                <w:color w:val="auto"/>
                <w:szCs w:val="21"/>
                <w:highlight w:val="none"/>
              </w:rPr>
            </w:pPr>
            <w:r>
              <w:rPr>
                <w:rFonts w:hint="eastAsia" w:ascii="宋体" w:hAnsi="宋体" w:cs="宋体"/>
                <w:color w:val="auto"/>
                <w:szCs w:val="21"/>
                <w:highlight w:val="none"/>
              </w:rPr>
              <w:t>1</w:t>
            </w:r>
          </w:p>
        </w:tc>
        <w:tc>
          <w:tcPr>
            <w:tcW w:w="800" w:type="dxa"/>
            <w:vAlign w:val="center"/>
          </w:tcPr>
          <w:p w14:paraId="2FBB9D07">
            <w:pPr>
              <w:widowControl/>
              <w:spacing w:line="360" w:lineRule="auto"/>
              <w:jc w:val="center"/>
              <w:rPr>
                <w:rFonts w:ascii="宋体" w:hAnsi="宋体" w:cs="宋体"/>
                <w:color w:val="auto"/>
                <w:szCs w:val="21"/>
                <w:highlight w:val="none"/>
              </w:rPr>
            </w:pPr>
            <w:r>
              <w:rPr>
                <w:rFonts w:hint="eastAsia" w:ascii="宋体" w:hAnsi="宋体" w:cs="宋体"/>
                <w:color w:val="auto"/>
                <w:szCs w:val="21"/>
                <w:highlight w:val="none"/>
              </w:rPr>
              <w:t>项</w:t>
            </w:r>
          </w:p>
        </w:tc>
        <w:tc>
          <w:tcPr>
            <w:tcW w:w="1033" w:type="dxa"/>
            <w:vAlign w:val="center"/>
          </w:tcPr>
          <w:p w14:paraId="764EAE06">
            <w:pPr>
              <w:tabs>
                <w:tab w:val="left" w:pos="8280"/>
              </w:tabs>
              <w:autoSpaceDE w:val="0"/>
              <w:autoSpaceDN w:val="0"/>
              <w:adjustRightInd w:val="0"/>
              <w:spacing w:line="360" w:lineRule="auto"/>
              <w:ind w:right="25"/>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67</w:t>
            </w:r>
          </w:p>
        </w:tc>
        <w:tc>
          <w:tcPr>
            <w:tcW w:w="1305" w:type="dxa"/>
            <w:vAlign w:val="center"/>
          </w:tcPr>
          <w:p w14:paraId="5083D919">
            <w:pPr>
              <w:tabs>
                <w:tab w:val="left" w:pos="8280"/>
              </w:tabs>
              <w:autoSpaceDE w:val="0"/>
              <w:autoSpaceDN w:val="0"/>
              <w:adjustRightInd w:val="0"/>
              <w:spacing w:line="360" w:lineRule="auto"/>
              <w:ind w:right="25" w:rightChars="0"/>
              <w:jc w:val="center"/>
              <w:rPr>
                <w:rFonts w:hint="eastAsia" w:ascii="宋体" w:hAnsi="宋体" w:cs="宋体"/>
                <w:color w:val="auto"/>
                <w:szCs w:val="21"/>
                <w:highlight w:val="none"/>
              </w:rPr>
            </w:pPr>
            <w:r>
              <w:rPr>
                <w:rFonts w:hint="eastAsia" w:ascii="宋体" w:hAnsi="宋体" w:cs="宋体"/>
                <w:color w:val="auto"/>
                <w:szCs w:val="21"/>
                <w:highlight w:val="none"/>
              </w:rPr>
              <w:t>66.8</w:t>
            </w:r>
          </w:p>
        </w:tc>
        <w:tc>
          <w:tcPr>
            <w:tcW w:w="1305" w:type="dxa"/>
            <w:vAlign w:val="center"/>
          </w:tcPr>
          <w:p w14:paraId="06A6A82B">
            <w:pPr>
              <w:tabs>
                <w:tab w:val="left" w:pos="8280"/>
              </w:tabs>
              <w:autoSpaceDE w:val="0"/>
              <w:autoSpaceDN w:val="0"/>
              <w:adjustRightInd w:val="0"/>
              <w:spacing w:line="360" w:lineRule="auto"/>
              <w:ind w:right="25"/>
              <w:jc w:val="center"/>
              <w:rPr>
                <w:rFonts w:ascii="宋体" w:hAnsi="宋体" w:cs="宋体"/>
                <w:color w:val="auto"/>
                <w:szCs w:val="21"/>
                <w:highlight w:val="none"/>
              </w:rPr>
            </w:pPr>
          </w:p>
        </w:tc>
      </w:tr>
    </w:tbl>
    <w:p w14:paraId="4882E3D5">
      <w:pPr>
        <w:keepNext/>
        <w:keepLines/>
        <w:spacing w:line="360" w:lineRule="auto"/>
        <w:ind w:firstLine="422" w:firstLineChars="200"/>
        <w:outlineLvl w:val="0"/>
        <w:rPr>
          <w:rFonts w:ascii="宋体" w:hAnsi="宋体" w:cs="宋体"/>
          <w:b/>
          <w:color w:val="auto"/>
          <w:kern w:val="44"/>
          <w:szCs w:val="21"/>
          <w:highlight w:val="none"/>
        </w:rPr>
      </w:pPr>
      <w:r>
        <w:rPr>
          <w:rFonts w:hint="eastAsia" w:ascii="宋体" w:hAnsi="宋体" w:cs="宋体"/>
          <w:b/>
          <w:color w:val="auto"/>
          <w:kern w:val="44"/>
          <w:szCs w:val="21"/>
          <w:highlight w:val="none"/>
        </w:rPr>
        <w:t>二、技术需求</w:t>
      </w:r>
    </w:p>
    <w:p w14:paraId="2BE08273">
      <w:pPr>
        <w:tabs>
          <w:tab w:val="left" w:pos="8280"/>
        </w:tabs>
        <w:autoSpaceDE w:val="0"/>
        <w:autoSpaceDN w:val="0"/>
        <w:adjustRightInd w:val="0"/>
        <w:spacing w:line="360" w:lineRule="auto"/>
        <w:ind w:right="25" w:firstLine="422" w:firstLineChars="200"/>
        <w:rPr>
          <w:rFonts w:ascii="宋体" w:hAnsi="宋体" w:cs="宋体"/>
          <w:b/>
          <w:color w:val="auto"/>
          <w:szCs w:val="21"/>
          <w:highlight w:val="none"/>
        </w:rPr>
      </w:pPr>
      <w:r>
        <w:rPr>
          <w:rFonts w:hint="eastAsia" w:ascii="宋体" w:hAnsi="宋体" w:cs="宋体"/>
          <w:b/>
          <w:color w:val="auto"/>
          <w:szCs w:val="21"/>
          <w:highlight w:val="none"/>
        </w:rPr>
        <w:t>（一）安全服务内容</w:t>
      </w:r>
    </w:p>
    <w:p w14:paraId="27FA78C9">
      <w:pPr>
        <w:spacing w:line="360" w:lineRule="auto"/>
        <w:ind w:firstLine="420" w:firstLineChars="200"/>
        <w:rPr>
          <w:rFonts w:ascii="宋体" w:hAnsi="宋体" w:cs="宋体"/>
          <w:color w:val="auto"/>
          <w:szCs w:val="21"/>
          <w:highlight w:val="none"/>
          <w:lang w:val="zh-TW"/>
        </w:rPr>
      </w:pPr>
      <w:r>
        <w:rPr>
          <w:rFonts w:hint="eastAsia" w:ascii="宋体" w:hAnsi="宋体" w:cs="宋体"/>
          <w:color w:val="auto"/>
          <w:szCs w:val="21"/>
          <w:highlight w:val="none"/>
        </w:rPr>
        <w:t>1、</w:t>
      </w:r>
      <w:r>
        <w:rPr>
          <w:rFonts w:hint="eastAsia" w:ascii="宋体" w:hAnsi="宋体" w:cs="宋体"/>
          <w:color w:val="auto"/>
          <w:szCs w:val="21"/>
          <w:highlight w:val="none"/>
          <w:lang w:val="zh-TW"/>
        </w:rPr>
        <w:t>投标人以服务模式提供安全软硬件平台给采购方使用，采购方每年支付服务费用。</w:t>
      </w:r>
    </w:p>
    <w:p w14:paraId="135AAB3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zh-TW"/>
        </w:rPr>
        <w:t>投标人提供安全软硬件平台的安装调试、试运行、设备维护、项目验收以及技术培训和售后现场技术服务等。</w:t>
      </w:r>
    </w:p>
    <w:p w14:paraId="555724B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投标人需要根据本招标文件的要求为采购方提供安全运维服务：包括安全规划、漏洞扫描服务、渗透测试服务、安全系统配置、协助加固、安全巡检、安全培训、应急响应等，并协助采购方建立建全网络安全管理制度和应急响应制度。所提供的服务范围包括台州市中级人民法院及9个基层法院的信息系统。</w:t>
      </w:r>
    </w:p>
    <w:p w14:paraId="676EA476">
      <w:pPr>
        <w:spacing w:line="360" w:lineRule="auto"/>
        <w:ind w:firstLine="420" w:firstLineChars="200"/>
        <w:rPr>
          <w:rFonts w:ascii="宋体" w:hAnsi="宋体" w:cs="宋体"/>
          <w:b/>
          <w:bCs/>
          <w:color w:val="auto"/>
          <w:kern w:val="0"/>
          <w:szCs w:val="21"/>
          <w:highlight w:val="none"/>
          <w:u w:val="single"/>
        </w:rPr>
      </w:pPr>
      <w:r>
        <w:rPr>
          <w:rFonts w:hint="eastAsia" w:ascii="宋体" w:hAnsi="宋体" w:cs="宋体"/>
          <w:color w:val="auto"/>
          <w:szCs w:val="21"/>
          <w:highlight w:val="none"/>
          <w:u w:val="single"/>
        </w:rPr>
        <w:t>▲</w:t>
      </w:r>
      <w:r>
        <w:rPr>
          <w:rFonts w:hint="eastAsia" w:ascii="宋体" w:hAnsi="宋体" w:cs="宋体"/>
          <w:b/>
          <w:bCs/>
          <w:color w:val="auto"/>
          <w:kern w:val="0"/>
          <w:szCs w:val="21"/>
          <w:highlight w:val="none"/>
          <w:u w:val="single"/>
        </w:rPr>
        <w:t>投标文件中可以使用网络拓扑示意图来阐述网络安全解决方案，但不允许出现采购人真实详细的网络拓扑图和IP地址。</w:t>
      </w:r>
    </w:p>
    <w:p w14:paraId="118D3EB8">
      <w:pPr>
        <w:widowControl/>
        <w:spacing w:line="360" w:lineRule="auto"/>
        <w:jc w:val="left"/>
        <w:rPr>
          <w:rFonts w:asciiTheme="minorEastAsia" w:hAnsiTheme="minorEastAsia" w:eastAsiaTheme="minorEastAsia" w:cstheme="minorEastAsia"/>
          <w:b/>
          <w:color w:val="auto"/>
          <w:szCs w:val="21"/>
          <w:highlight w:val="none"/>
        </w:rPr>
      </w:pPr>
      <w:bookmarkStart w:id="2" w:name="_Toc102662929"/>
      <w:r>
        <w:rPr>
          <w:rFonts w:hint="eastAsia" w:asciiTheme="minorEastAsia" w:hAnsiTheme="minorEastAsia" w:eastAsiaTheme="minorEastAsia" w:cstheme="minorEastAsia"/>
          <w:b/>
          <w:color w:val="auto"/>
          <w:szCs w:val="21"/>
          <w:highlight w:val="none"/>
        </w:rPr>
        <w:t>（二）安全运维服务清单</w:t>
      </w:r>
    </w:p>
    <w:p w14:paraId="4091B783">
      <w:pPr>
        <w:widowControl/>
        <w:spacing w:line="360" w:lineRule="auto"/>
        <w:ind w:firstLine="422" w:firstLineChars="200"/>
        <w:jc w:val="center"/>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服务清单</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7"/>
        <w:gridCol w:w="4105"/>
        <w:gridCol w:w="1699"/>
        <w:gridCol w:w="1608"/>
      </w:tblGrid>
      <w:tr w14:paraId="36F74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807" w:type="dxa"/>
            <w:vAlign w:val="center"/>
          </w:tcPr>
          <w:p w14:paraId="5CB67E01">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序号</w:t>
            </w:r>
          </w:p>
        </w:tc>
        <w:tc>
          <w:tcPr>
            <w:tcW w:w="4105" w:type="dxa"/>
            <w:vAlign w:val="center"/>
          </w:tcPr>
          <w:p w14:paraId="1F8D8A5B">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服务内容清单</w:t>
            </w:r>
          </w:p>
        </w:tc>
        <w:tc>
          <w:tcPr>
            <w:tcW w:w="1699" w:type="dxa"/>
            <w:vAlign w:val="center"/>
          </w:tcPr>
          <w:p w14:paraId="3C24576C">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数量</w:t>
            </w:r>
          </w:p>
        </w:tc>
        <w:tc>
          <w:tcPr>
            <w:tcW w:w="1608" w:type="dxa"/>
            <w:vAlign w:val="center"/>
          </w:tcPr>
          <w:p w14:paraId="493CE710">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单位</w:t>
            </w:r>
          </w:p>
        </w:tc>
      </w:tr>
      <w:tr w14:paraId="02181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8219" w:type="dxa"/>
            <w:gridSpan w:val="4"/>
            <w:vAlign w:val="center"/>
          </w:tcPr>
          <w:p w14:paraId="53D87705">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互联网安全服务</w:t>
            </w:r>
          </w:p>
        </w:tc>
      </w:tr>
      <w:tr w14:paraId="2F9B8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807" w:type="dxa"/>
            <w:vAlign w:val="center"/>
          </w:tcPr>
          <w:p w14:paraId="37DD2FDF">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4105" w:type="dxa"/>
            <w:vAlign w:val="center"/>
          </w:tcPr>
          <w:p w14:paraId="1DC67472">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互联网出口安全防护服务</w:t>
            </w:r>
          </w:p>
        </w:tc>
        <w:tc>
          <w:tcPr>
            <w:tcW w:w="1699" w:type="dxa"/>
            <w:vAlign w:val="center"/>
          </w:tcPr>
          <w:p w14:paraId="69F21AEC">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1608" w:type="dxa"/>
            <w:vAlign w:val="center"/>
          </w:tcPr>
          <w:p w14:paraId="08911FAE">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套</w:t>
            </w:r>
          </w:p>
        </w:tc>
      </w:tr>
      <w:tr w14:paraId="69A4A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807" w:type="dxa"/>
            <w:vAlign w:val="center"/>
          </w:tcPr>
          <w:p w14:paraId="68A646C6">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w:t>
            </w:r>
          </w:p>
        </w:tc>
        <w:tc>
          <w:tcPr>
            <w:tcW w:w="4105" w:type="dxa"/>
            <w:vAlign w:val="center"/>
          </w:tcPr>
          <w:p w14:paraId="0A6F28C6">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终端入网控制服务</w:t>
            </w:r>
          </w:p>
        </w:tc>
        <w:tc>
          <w:tcPr>
            <w:tcW w:w="1699" w:type="dxa"/>
            <w:vAlign w:val="center"/>
          </w:tcPr>
          <w:p w14:paraId="438CC8FC">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1608" w:type="dxa"/>
            <w:vAlign w:val="center"/>
          </w:tcPr>
          <w:p w14:paraId="1F330634">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套</w:t>
            </w:r>
          </w:p>
        </w:tc>
      </w:tr>
      <w:tr w14:paraId="4A50A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807" w:type="dxa"/>
            <w:vAlign w:val="center"/>
          </w:tcPr>
          <w:p w14:paraId="346C2E65">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w:t>
            </w:r>
          </w:p>
        </w:tc>
        <w:tc>
          <w:tcPr>
            <w:tcW w:w="4105" w:type="dxa"/>
            <w:vAlign w:val="center"/>
          </w:tcPr>
          <w:p w14:paraId="210D295B">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上网行为管理服务</w:t>
            </w:r>
          </w:p>
        </w:tc>
        <w:tc>
          <w:tcPr>
            <w:tcW w:w="1699" w:type="dxa"/>
            <w:vAlign w:val="center"/>
          </w:tcPr>
          <w:p w14:paraId="34D91E3C">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1608" w:type="dxa"/>
            <w:vAlign w:val="center"/>
          </w:tcPr>
          <w:p w14:paraId="6F5876B2">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套</w:t>
            </w:r>
          </w:p>
        </w:tc>
      </w:tr>
      <w:tr w14:paraId="3707C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807" w:type="dxa"/>
            <w:vAlign w:val="center"/>
          </w:tcPr>
          <w:p w14:paraId="32C74C05">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4</w:t>
            </w:r>
          </w:p>
        </w:tc>
        <w:tc>
          <w:tcPr>
            <w:tcW w:w="4105" w:type="dxa"/>
            <w:vAlign w:val="center"/>
          </w:tcPr>
          <w:p w14:paraId="5D78F206">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互联网大数据安全分析服务</w:t>
            </w:r>
          </w:p>
        </w:tc>
        <w:tc>
          <w:tcPr>
            <w:tcW w:w="1699" w:type="dxa"/>
            <w:vAlign w:val="center"/>
          </w:tcPr>
          <w:p w14:paraId="6A727EA7">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1608" w:type="dxa"/>
            <w:vAlign w:val="center"/>
          </w:tcPr>
          <w:p w14:paraId="5DD6A9EF">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套</w:t>
            </w:r>
          </w:p>
        </w:tc>
      </w:tr>
      <w:tr w14:paraId="75D8F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807" w:type="dxa"/>
            <w:vAlign w:val="center"/>
          </w:tcPr>
          <w:p w14:paraId="487CD26E">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5</w:t>
            </w:r>
          </w:p>
        </w:tc>
        <w:tc>
          <w:tcPr>
            <w:tcW w:w="4105" w:type="dxa"/>
            <w:vAlign w:val="center"/>
          </w:tcPr>
          <w:p w14:paraId="3957395A">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互联网主机安全及管理服务</w:t>
            </w:r>
          </w:p>
        </w:tc>
        <w:tc>
          <w:tcPr>
            <w:tcW w:w="1699" w:type="dxa"/>
            <w:vAlign w:val="center"/>
          </w:tcPr>
          <w:p w14:paraId="52D981BC">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1608" w:type="dxa"/>
            <w:vAlign w:val="center"/>
          </w:tcPr>
          <w:p w14:paraId="18B6EF1E">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套</w:t>
            </w:r>
          </w:p>
        </w:tc>
      </w:tr>
      <w:tr w14:paraId="6BF0C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8219" w:type="dxa"/>
            <w:gridSpan w:val="4"/>
            <w:vAlign w:val="center"/>
          </w:tcPr>
          <w:p w14:paraId="42BAA81C">
            <w:pPr>
              <w:spacing w:line="360" w:lineRule="auto"/>
              <w:jc w:val="center"/>
              <w:rPr>
                <w:rFonts w:ascii="宋体" w:hAnsi="宋体" w:cs="宋体"/>
                <w:color w:val="auto"/>
                <w:szCs w:val="21"/>
                <w:highlight w:val="none"/>
              </w:rPr>
            </w:pPr>
            <w:r>
              <w:rPr>
                <w:rFonts w:hint="eastAsia" w:ascii="宋体" w:hAnsi="宋体" w:cs="宋体"/>
                <w:b/>
                <w:bCs/>
                <w:color w:val="auto"/>
                <w:szCs w:val="21"/>
                <w:highlight w:val="none"/>
              </w:rPr>
              <w:t>法院专网安全服务</w:t>
            </w:r>
          </w:p>
        </w:tc>
      </w:tr>
      <w:tr w14:paraId="7484D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807" w:type="dxa"/>
            <w:vAlign w:val="center"/>
          </w:tcPr>
          <w:p w14:paraId="1EB47BD0">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6</w:t>
            </w:r>
          </w:p>
        </w:tc>
        <w:tc>
          <w:tcPr>
            <w:tcW w:w="4105" w:type="dxa"/>
            <w:vAlign w:val="center"/>
          </w:tcPr>
          <w:p w14:paraId="2087CB19">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专网运维审计系统服务</w:t>
            </w:r>
          </w:p>
        </w:tc>
        <w:tc>
          <w:tcPr>
            <w:tcW w:w="1699" w:type="dxa"/>
            <w:vAlign w:val="center"/>
          </w:tcPr>
          <w:p w14:paraId="408A60F7">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1608" w:type="dxa"/>
            <w:vAlign w:val="center"/>
          </w:tcPr>
          <w:p w14:paraId="08961597">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套</w:t>
            </w:r>
          </w:p>
        </w:tc>
      </w:tr>
      <w:tr w14:paraId="4EAE4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807" w:type="dxa"/>
            <w:vAlign w:val="center"/>
          </w:tcPr>
          <w:p w14:paraId="02C49251">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7</w:t>
            </w:r>
          </w:p>
        </w:tc>
        <w:tc>
          <w:tcPr>
            <w:tcW w:w="4105" w:type="dxa"/>
            <w:vAlign w:val="center"/>
          </w:tcPr>
          <w:p w14:paraId="63CDCFAB">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专网综合日志审计系统服务</w:t>
            </w:r>
          </w:p>
        </w:tc>
        <w:tc>
          <w:tcPr>
            <w:tcW w:w="1699" w:type="dxa"/>
            <w:vAlign w:val="center"/>
          </w:tcPr>
          <w:p w14:paraId="258D4161">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1608" w:type="dxa"/>
            <w:vAlign w:val="center"/>
          </w:tcPr>
          <w:p w14:paraId="48A9D2BC">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套</w:t>
            </w:r>
          </w:p>
        </w:tc>
      </w:tr>
      <w:tr w14:paraId="48D4A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807" w:type="dxa"/>
            <w:vAlign w:val="center"/>
          </w:tcPr>
          <w:p w14:paraId="06A1309A">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8</w:t>
            </w:r>
          </w:p>
        </w:tc>
        <w:tc>
          <w:tcPr>
            <w:tcW w:w="4105" w:type="dxa"/>
            <w:vAlign w:val="center"/>
          </w:tcPr>
          <w:p w14:paraId="5045D41E">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专网APT预警平台服务</w:t>
            </w:r>
          </w:p>
        </w:tc>
        <w:tc>
          <w:tcPr>
            <w:tcW w:w="1699" w:type="dxa"/>
            <w:vAlign w:val="center"/>
          </w:tcPr>
          <w:p w14:paraId="3B5AA776">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1608" w:type="dxa"/>
            <w:vAlign w:val="center"/>
          </w:tcPr>
          <w:p w14:paraId="76468139">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套</w:t>
            </w:r>
          </w:p>
        </w:tc>
      </w:tr>
      <w:tr w14:paraId="1E009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807" w:type="dxa"/>
            <w:vAlign w:val="center"/>
          </w:tcPr>
          <w:p w14:paraId="28A4089B">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9</w:t>
            </w:r>
          </w:p>
        </w:tc>
        <w:tc>
          <w:tcPr>
            <w:tcW w:w="4105" w:type="dxa"/>
            <w:vAlign w:val="center"/>
          </w:tcPr>
          <w:p w14:paraId="4A4D47BD">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专网大数据安全管理平台服务</w:t>
            </w:r>
          </w:p>
        </w:tc>
        <w:tc>
          <w:tcPr>
            <w:tcW w:w="1699" w:type="dxa"/>
            <w:vAlign w:val="center"/>
          </w:tcPr>
          <w:p w14:paraId="663E420F">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1608" w:type="dxa"/>
            <w:vAlign w:val="center"/>
          </w:tcPr>
          <w:p w14:paraId="6705BEB4">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套</w:t>
            </w:r>
          </w:p>
        </w:tc>
      </w:tr>
      <w:tr w14:paraId="325CF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807" w:type="dxa"/>
            <w:vAlign w:val="center"/>
          </w:tcPr>
          <w:p w14:paraId="0C369AF6">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10</w:t>
            </w:r>
          </w:p>
        </w:tc>
        <w:tc>
          <w:tcPr>
            <w:tcW w:w="4105" w:type="dxa"/>
            <w:vAlign w:val="center"/>
          </w:tcPr>
          <w:p w14:paraId="4D18DB83">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专网数据库审计服务</w:t>
            </w:r>
          </w:p>
        </w:tc>
        <w:tc>
          <w:tcPr>
            <w:tcW w:w="1699" w:type="dxa"/>
            <w:vAlign w:val="center"/>
          </w:tcPr>
          <w:p w14:paraId="33B4C69E">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1608" w:type="dxa"/>
            <w:vAlign w:val="center"/>
          </w:tcPr>
          <w:p w14:paraId="54FAA795">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套</w:t>
            </w:r>
          </w:p>
        </w:tc>
      </w:tr>
      <w:tr w14:paraId="32AAD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807" w:type="dxa"/>
            <w:vAlign w:val="center"/>
          </w:tcPr>
          <w:p w14:paraId="6957827E">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11</w:t>
            </w:r>
          </w:p>
        </w:tc>
        <w:tc>
          <w:tcPr>
            <w:tcW w:w="4105" w:type="dxa"/>
            <w:vAlign w:val="center"/>
          </w:tcPr>
          <w:p w14:paraId="7BE2E0D2">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威胁情报分析服务</w:t>
            </w:r>
          </w:p>
        </w:tc>
        <w:tc>
          <w:tcPr>
            <w:tcW w:w="1699" w:type="dxa"/>
            <w:vAlign w:val="center"/>
          </w:tcPr>
          <w:p w14:paraId="7AECBE8C">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1608" w:type="dxa"/>
            <w:vAlign w:val="center"/>
          </w:tcPr>
          <w:p w14:paraId="7BBF8F4F">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套</w:t>
            </w:r>
          </w:p>
        </w:tc>
      </w:tr>
      <w:tr w14:paraId="3FFC9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807" w:type="dxa"/>
            <w:vAlign w:val="center"/>
          </w:tcPr>
          <w:p w14:paraId="4DE7ACC5">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12</w:t>
            </w:r>
          </w:p>
        </w:tc>
        <w:tc>
          <w:tcPr>
            <w:tcW w:w="4105" w:type="dxa"/>
            <w:vAlign w:val="center"/>
          </w:tcPr>
          <w:p w14:paraId="30B0A2BC">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威胁情报收集服务</w:t>
            </w:r>
          </w:p>
        </w:tc>
        <w:tc>
          <w:tcPr>
            <w:tcW w:w="1699" w:type="dxa"/>
            <w:vAlign w:val="center"/>
          </w:tcPr>
          <w:p w14:paraId="0455DAED">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1608" w:type="dxa"/>
            <w:vAlign w:val="center"/>
          </w:tcPr>
          <w:p w14:paraId="1F9E5432">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套</w:t>
            </w:r>
          </w:p>
        </w:tc>
      </w:tr>
      <w:tr w14:paraId="4764B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807" w:type="dxa"/>
            <w:vAlign w:val="center"/>
          </w:tcPr>
          <w:p w14:paraId="6D462B1E">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13</w:t>
            </w:r>
          </w:p>
        </w:tc>
        <w:tc>
          <w:tcPr>
            <w:tcW w:w="4105" w:type="dxa"/>
            <w:vAlign w:val="center"/>
          </w:tcPr>
          <w:p w14:paraId="455D3F20">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安全准入服务</w:t>
            </w:r>
          </w:p>
        </w:tc>
        <w:tc>
          <w:tcPr>
            <w:tcW w:w="1699" w:type="dxa"/>
            <w:vAlign w:val="center"/>
          </w:tcPr>
          <w:p w14:paraId="27651E56">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1608" w:type="dxa"/>
            <w:vAlign w:val="center"/>
          </w:tcPr>
          <w:p w14:paraId="364A31C3">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套</w:t>
            </w:r>
          </w:p>
        </w:tc>
      </w:tr>
      <w:tr w14:paraId="37974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8219" w:type="dxa"/>
            <w:gridSpan w:val="4"/>
            <w:vAlign w:val="center"/>
          </w:tcPr>
          <w:p w14:paraId="0D762CEE">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其他安全服务</w:t>
            </w:r>
          </w:p>
        </w:tc>
      </w:tr>
      <w:tr w14:paraId="56AD9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807" w:type="dxa"/>
            <w:vAlign w:val="center"/>
          </w:tcPr>
          <w:p w14:paraId="1D2448EB">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14</w:t>
            </w:r>
          </w:p>
        </w:tc>
        <w:tc>
          <w:tcPr>
            <w:tcW w:w="4105" w:type="dxa"/>
            <w:vAlign w:val="center"/>
          </w:tcPr>
          <w:p w14:paraId="5DA346E7">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安全培训服务</w:t>
            </w:r>
          </w:p>
        </w:tc>
        <w:tc>
          <w:tcPr>
            <w:tcW w:w="1699" w:type="dxa"/>
            <w:vAlign w:val="center"/>
          </w:tcPr>
          <w:p w14:paraId="1DD2B469">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1608" w:type="dxa"/>
          </w:tcPr>
          <w:p w14:paraId="3C514BEC">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年</w:t>
            </w:r>
          </w:p>
        </w:tc>
      </w:tr>
      <w:tr w14:paraId="3AD94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807" w:type="dxa"/>
            <w:vAlign w:val="center"/>
          </w:tcPr>
          <w:p w14:paraId="3815C36C">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15</w:t>
            </w:r>
          </w:p>
        </w:tc>
        <w:tc>
          <w:tcPr>
            <w:tcW w:w="4105" w:type="dxa"/>
            <w:vAlign w:val="center"/>
          </w:tcPr>
          <w:p w14:paraId="0DC4B32C">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应急演练服务</w:t>
            </w:r>
          </w:p>
        </w:tc>
        <w:tc>
          <w:tcPr>
            <w:tcW w:w="1699" w:type="dxa"/>
            <w:vAlign w:val="center"/>
          </w:tcPr>
          <w:p w14:paraId="5D5B04D7">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1608" w:type="dxa"/>
          </w:tcPr>
          <w:p w14:paraId="1505DDBC">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年</w:t>
            </w:r>
          </w:p>
        </w:tc>
      </w:tr>
      <w:tr w14:paraId="47E77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807" w:type="dxa"/>
            <w:vAlign w:val="center"/>
          </w:tcPr>
          <w:p w14:paraId="07780B4C">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16</w:t>
            </w:r>
          </w:p>
        </w:tc>
        <w:tc>
          <w:tcPr>
            <w:tcW w:w="4105" w:type="dxa"/>
            <w:vAlign w:val="center"/>
          </w:tcPr>
          <w:p w14:paraId="1BEC2B11">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网络安全专项检查服务</w:t>
            </w:r>
          </w:p>
        </w:tc>
        <w:tc>
          <w:tcPr>
            <w:tcW w:w="1699" w:type="dxa"/>
            <w:vAlign w:val="center"/>
          </w:tcPr>
          <w:p w14:paraId="69EF1CA3">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1608" w:type="dxa"/>
          </w:tcPr>
          <w:p w14:paraId="5B1D6ECD">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年</w:t>
            </w:r>
          </w:p>
        </w:tc>
      </w:tr>
      <w:tr w14:paraId="2B4FD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807" w:type="dxa"/>
            <w:vAlign w:val="center"/>
          </w:tcPr>
          <w:p w14:paraId="26A49BDA">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17</w:t>
            </w:r>
          </w:p>
        </w:tc>
        <w:tc>
          <w:tcPr>
            <w:tcW w:w="4105" w:type="dxa"/>
            <w:vAlign w:val="center"/>
          </w:tcPr>
          <w:p w14:paraId="29758AB3">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漏洞扫描服务</w:t>
            </w:r>
          </w:p>
        </w:tc>
        <w:tc>
          <w:tcPr>
            <w:tcW w:w="1699" w:type="dxa"/>
            <w:vAlign w:val="center"/>
          </w:tcPr>
          <w:p w14:paraId="01F65F39">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1608" w:type="dxa"/>
          </w:tcPr>
          <w:p w14:paraId="1C2C29CF">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年</w:t>
            </w:r>
          </w:p>
        </w:tc>
      </w:tr>
      <w:tr w14:paraId="73CC0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807" w:type="dxa"/>
            <w:vAlign w:val="center"/>
          </w:tcPr>
          <w:p w14:paraId="61673C5A">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18</w:t>
            </w:r>
          </w:p>
        </w:tc>
        <w:tc>
          <w:tcPr>
            <w:tcW w:w="4105" w:type="dxa"/>
            <w:vAlign w:val="center"/>
          </w:tcPr>
          <w:p w14:paraId="28FB2A79">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基线核查服务</w:t>
            </w:r>
          </w:p>
        </w:tc>
        <w:tc>
          <w:tcPr>
            <w:tcW w:w="1699" w:type="dxa"/>
            <w:vAlign w:val="center"/>
          </w:tcPr>
          <w:p w14:paraId="040B3360">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1608" w:type="dxa"/>
          </w:tcPr>
          <w:p w14:paraId="49CA8162">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年</w:t>
            </w:r>
          </w:p>
        </w:tc>
      </w:tr>
      <w:tr w14:paraId="58927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807" w:type="dxa"/>
            <w:vAlign w:val="center"/>
          </w:tcPr>
          <w:p w14:paraId="19A69E1B">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19</w:t>
            </w:r>
          </w:p>
        </w:tc>
        <w:tc>
          <w:tcPr>
            <w:tcW w:w="4105" w:type="dxa"/>
            <w:vAlign w:val="center"/>
          </w:tcPr>
          <w:p w14:paraId="131A3861">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渗透测试服务</w:t>
            </w:r>
          </w:p>
        </w:tc>
        <w:tc>
          <w:tcPr>
            <w:tcW w:w="1699" w:type="dxa"/>
            <w:vAlign w:val="center"/>
          </w:tcPr>
          <w:p w14:paraId="5EC7DB2E">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1608" w:type="dxa"/>
          </w:tcPr>
          <w:p w14:paraId="66C94DB5">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年</w:t>
            </w:r>
          </w:p>
        </w:tc>
      </w:tr>
      <w:tr w14:paraId="37D6B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807" w:type="dxa"/>
            <w:vAlign w:val="center"/>
          </w:tcPr>
          <w:p w14:paraId="629A6134">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20</w:t>
            </w:r>
          </w:p>
        </w:tc>
        <w:tc>
          <w:tcPr>
            <w:tcW w:w="4105" w:type="dxa"/>
            <w:vAlign w:val="center"/>
          </w:tcPr>
          <w:p w14:paraId="6BF2E080">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应用上线检查服务</w:t>
            </w:r>
          </w:p>
        </w:tc>
        <w:tc>
          <w:tcPr>
            <w:tcW w:w="1699" w:type="dxa"/>
            <w:vAlign w:val="center"/>
          </w:tcPr>
          <w:p w14:paraId="2A45B949">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1608" w:type="dxa"/>
          </w:tcPr>
          <w:p w14:paraId="1D8C0D10">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年</w:t>
            </w:r>
          </w:p>
        </w:tc>
      </w:tr>
      <w:tr w14:paraId="7D851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807" w:type="dxa"/>
            <w:vAlign w:val="center"/>
          </w:tcPr>
          <w:p w14:paraId="62A3AAE9">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21</w:t>
            </w:r>
          </w:p>
        </w:tc>
        <w:tc>
          <w:tcPr>
            <w:tcW w:w="4105" w:type="dxa"/>
            <w:vAlign w:val="center"/>
          </w:tcPr>
          <w:p w14:paraId="1ABFB4CB">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安全运维服务</w:t>
            </w:r>
          </w:p>
        </w:tc>
        <w:tc>
          <w:tcPr>
            <w:tcW w:w="1699" w:type="dxa"/>
            <w:vAlign w:val="center"/>
          </w:tcPr>
          <w:p w14:paraId="4889944D">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1608" w:type="dxa"/>
          </w:tcPr>
          <w:p w14:paraId="264F2765">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年</w:t>
            </w:r>
          </w:p>
        </w:tc>
      </w:tr>
      <w:tr w14:paraId="71CB5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807" w:type="dxa"/>
            <w:vAlign w:val="center"/>
          </w:tcPr>
          <w:p w14:paraId="0331AC1E">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22</w:t>
            </w:r>
          </w:p>
        </w:tc>
        <w:tc>
          <w:tcPr>
            <w:tcW w:w="4105" w:type="dxa"/>
            <w:vAlign w:val="center"/>
          </w:tcPr>
          <w:p w14:paraId="1E89FF43">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资产梳理服务</w:t>
            </w:r>
          </w:p>
        </w:tc>
        <w:tc>
          <w:tcPr>
            <w:tcW w:w="1699" w:type="dxa"/>
            <w:vAlign w:val="center"/>
          </w:tcPr>
          <w:p w14:paraId="512DCC3C">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1608" w:type="dxa"/>
            <w:vAlign w:val="center"/>
          </w:tcPr>
          <w:p w14:paraId="60444417">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年</w:t>
            </w:r>
          </w:p>
        </w:tc>
      </w:tr>
      <w:tr w14:paraId="39493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807" w:type="dxa"/>
            <w:vAlign w:val="center"/>
          </w:tcPr>
          <w:p w14:paraId="66C9B753">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23</w:t>
            </w:r>
          </w:p>
        </w:tc>
        <w:tc>
          <w:tcPr>
            <w:tcW w:w="4105" w:type="dxa"/>
            <w:vAlign w:val="center"/>
          </w:tcPr>
          <w:p w14:paraId="4E733670">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数据备份服务</w:t>
            </w:r>
          </w:p>
        </w:tc>
        <w:tc>
          <w:tcPr>
            <w:tcW w:w="1699" w:type="dxa"/>
            <w:vAlign w:val="center"/>
          </w:tcPr>
          <w:p w14:paraId="31448F84">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1608" w:type="dxa"/>
          </w:tcPr>
          <w:p w14:paraId="6B4F9C34">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年</w:t>
            </w:r>
          </w:p>
        </w:tc>
      </w:tr>
      <w:tr w14:paraId="4E5D4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807" w:type="dxa"/>
            <w:vAlign w:val="center"/>
          </w:tcPr>
          <w:p w14:paraId="524090E3">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24</w:t>
            </w:r>
          </w:p>
        </w:tc>
        <w:tc>
          <w:tcPr>
            <w:tcW w:w="4105" w:type="dxa"/>
            <w:vAlign w:val="center"/>
          </w:tcPr>
          <w:p w14:paraId="667A488F">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网络入侵攻击监测分析服务</w:t>
            </w:r>
          </w:p>
        </w:tc>
        <w:tc>
          <w:tcPr>
            <w:tcW w:w="1699" w:type="dxa"/>
            <w:vAlign w:val="center"/>
          </w:tcPr>
          <w:p w14:paraId="4517A76D">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1608" w:type="dxa"/>
          </w:tcPr>
          <w:p w14:paraId="0562852A">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年</w:t>
            </w:r>
          </w:p>
        </w:tc>
      </w:tr>
      <w:tr w14:paraId="7228A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807" w:type="dxa"/>
            <w:vAlign w:val="center"/>
          </w:tcPr>
          <w:p w14:paraId="6F13A56D">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25</w:t>
            </w:r>
          </w:p>
        </w:tc>
        <w:tc>
          <w:tcPr>
            <w:tcW w:w="4105" w:type="dxa"/>
            <w:vAlign w:val="center"/>
          </w:tcPr>
          <w:p w14:paraId="1588A571">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异常流量态势监测服务</w:t>
            </w:r>
          </w:p>
        </w:tc>
        <w:tc>
          <w:tcPr>
            <w:tcW w:w="1699" w:type="dxa"/>
            <w:vAlign w:val="center"/>
          </w:tcPr>
          <w:p w14:paraId="6D1D2B2B">
            <w:pPr>
              <w:spacing w:line="360" w:lineRule="auto"/>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w:t>
            </w:r>
          </w:p>
        </w:tc>
        <w:tc>
          <w:tcPr>
            <w:tcW w:w="1608" w:type="dxa"/>
          </w:tcPr>
          <w:p w14:paraId="2C6960E4">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年</w:t>
            </w:r>
          </w:p>
        </w:tc>
      </w:tr>
      <w:tr w14:paraId="0A9A3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807" w:type="dxa"/>
            <w:vAlign w:val="center"/>
          </w:tcPr>
          <w:p w14:paraId="17169274">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26</w:t>
            </w:r>
          </w:p>
        </w:tc>
        <w:tc>
          <w:tcPr>
            <w:tcW w:w="4105" w:type="dxa"/>
            <w:vAlign w:val="center"/>
          </w:tcPr>
          <w:p w14:paraId="4D982F0A">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安全隐患处置服务</w:t>
            </w:r>
          </w:p>
        </w:tc>
        <w:tc>
          <w:tcPr>
            <w:tcW w:w="1699" w:type="dxa"/>
            <w:vAlign w:val="center"/>
          </w:tcPr>
          <w:p w14:paraId="559F201D">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1608" w:type="dxa"/>
          </w:tcPr>
          <w:p w14:paraId="101C35E0">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年</w:t>
            </w:r>
          </w:p>
        </w:tc>
      </w:tr>
      <w:tr w14:paraId="0FEF5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807" w:type="dxa"/>
            <w:vAlign w:val="center"/>
          </w:tcPr>
          <w:p w14:paraId="4AB6B259">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27</w:t>
            </w:r>
          </w:p>
        </w:tc>
        <w:tc>
          <w:tcPr>
            <w:tcW w:w="4105" w:type="dxa"/>
            <w:vAlign w:val="center"/>
          </w:tcPr>
          <w:p w14:paraId="3974725D">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重大事件应急响应服务</w:t>
            </w:r>
          </w:p>
        </w:tc>
        <w:tc>
          <w:tcPr>
            <w:tcW w:w="1699" w:type="dxa"/>
            <w:vAlign w:val="center"/>
          </w:tcPr>
          <w:p w14:paraId="0C884003">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1608" w:type="dxa"/>
            <w:vAlign w:val="center"/>
          </w:tcPr>
          <w:p w14:paraId="4A179C79">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年</w:t>
            </w:r>
          </w:p>
        </w:tc>
      </w:tr>
      <w:tr w14:paraId="4F416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807" w:type="dxa"/>
            <w:vAlign w:val="center"/>
          </w:tcPr>
          <w:p w14:paraId="1AFC63AE">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28</w:t>
            </w:r>
          </w:p>
        </w:tc>
        <w:tc>
          <w:tcPr>
            <w:tcW w:w="4105" w:type="dxa"/>
            <w:vAlign w:val="center"/>
          </w:tcPr>
          <w:p w14:paraId="7EDAF6DE">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特殊时期的安全巡检和保障服务</w:t>
            </w:r>
          </w:p>
        </w:tc>
        <w:tc>
          <w:tcPr>
            <w:tcW w:w="1699" w:type="dxa"/>
            <w:vAlign w:val="center"/>
          </w:tcPr>
          <w:p w14:paraId="75F808C0">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1608" w:type="dxa"/>
          </w:tcPr>
          <w:p w14:paraId="5DA9F083">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年</w:t>
            </w:r>
          </w:p>
        </w:tc>
      </w:tr>
    </w:tbl>
    <w:p w14:paraId="740A7205">
      <w:pPr>
        <w:widowControl/>
        <w:spacing w:line="360" w:lineRule="auto"/>
        <w:ind w:firstLine="422" w:firstLineChars="200"/>
        <w:jc w:val="center"/>
        <w:rPr>
          <w:rFonts w:hint="eastAsia" w:asciiTheme="minorEastAsia" w:hAnsiTheme="minorEastAsia" w:eastAsiaTheme="minorEastAsia" w:cstheme="minorEastAsia"/>
          <w:b/>
          <w:color w:val="auto"/>
          <w:szCs w:val="21"/>
          <w:highlight w:val="none"/>
        </w:rPr>
      </w:pPr>
    </w:p>
    <w:p w14:paraId="5EA57D62">
      <w:pPr>
        <w:widowControl/>
        <w:spacing w:line="360" w:lineRule="auto"/>
        <w:ind w:firstLine="422" w:firstLineChars="200"/>
        <w:jc w:val="center"/>
        <w:rPr>
          <w:rFonts w:hint="eastAsia" w:asciiTheme="minorEastAsia" w:hAnsiTheme="minorEastAsia" w:eastAsiaTheme="minorEastAsia" w:cstheme="minorEastAsia"/>
          <w:b/>
          <w:color w:val="auto"/>
          <w:szCs w:val="21"/>
          <w:highlight w:val="none"/>
        </w:rPr>
      </w:pPr>
    </w:p>
    <w:p w14:paraId="3AE76281">
      <w:pPr>
        <w:widowControl/>
        <w:spacing w:line="360" w:lineRule="auto"/>
        <w:ind w:firstLine="422" w:firstLineChars="200"/>
        <w:jc w:val="center"/>
        <w:rPr>
          <w:rFonts w:hint="eastAsia" w:asciiTheme="minorEastAsia" w:hAnsiTheme="minorEastAsia" w:eastAsiaTheme="minorEastAsia" w:cstheme="minorEastAsia"/>
          <w:b/>
          <w:color w:val="auto"/>
          <w:szCs w:val="21"/>
          <w:highlight w:val="none"/>
        </w:rPr>
      </w:pPr>
    </w:p>
    <w:p w14:paraId="1E09FDD8">
      <w:pPr>
        <w:widowControl/>
        <w:spacing w:line="360" w:lineRule="auto"/>
        <w:ind w:firstLine="422" w:firstLineChars="200"/>
        <w:jc w:val="center"/>
        <w:rPr>
          <w:rFonts w:hint="eastAsia" w:asciiTheme="minorEastAsia" w:hAnsiTheme="minorEastAsia" w:eastAsiaTheme="minorEastAsia" w:cstheme="minorEastAsia"/>
          <w:b/>
          <w:color w:val="auto"/>
          <w:szCs w:val="21"/>
          <w:highlight w:val="none"/>
        </w:rPr>
      </w:pPr>
    </w:p>
    <w:p w14:paraId="03C06E78">
      <w:pPr>
        <w:widowControl/>
        <w:spacing w:line="360" w:lineRule="auto"/>
        <w:ind w:firstLine="422" w:firstLineChars="200"/>
        <w:jc w:val="center"/>
        <w:rPr>
          <w:rFonts w:hint="eastAsia" w:asciiTheme="minorEastAsia" w:hAnsiTheme="minorEastAsia" w:eastAsiaTheme="minorEastAsia" w:cstheme="minorEastAsia"/>
          <w:b/>
          <w:color w:val="auto"/>
          <w:szCs w:val="21"/>
          <w:highlight w:val="none"/>
        </w:rPr>
      </w:pPr>
    </w:p>
    <w:p w14:paraId="698A3AA0">
      <w:pPr>
        <w:widowControl/>
        <w:spacing w:line="360" w:lineRule="auto"/>
        <w:ind w:firstLine="422" w:firstLineChars="200"/>
        <w:jc w:val="center"/>
        <w:rPr>
          <w:rFonts w:hint="eastAsia" w:asciiTheme="minorEastAsia" w:hAnsiTheme="minorEastAsia" w:eastAsiaTheme="minorEastAsia" w:cstheme="minorEastAsia"/>
          <w:b/>
          <w:color w:val="auto"/>
          <w:szCs w:val="21"/>
          <w:highlight w:val="none"/>
        </w:rPr>
      </w:pPr>
    </w:p>
    <w:p w14:paraId="3E14D958">
      <w:pPr>
        <w:widowControl/>
        <w:spacing w:line="360" w:lineRule="auto"/>
        <w:ind w:firstLine="422" w:firstLineChars="200"/>
        <w:jc w:val="center"/>
        <w:rPr>
          <w:rFonts w:hint="eastAsia" w:asciiTheme="minorEastAsia" w:hAnsiTheme="minorEastAsia" w:eastAsiaTheme="minorEastAsia" w:cstheme="minorEastAsia"/>
          <w:b/>
          <w:color w:val="auto"/>
          <w:szCs w:val="21"/>
          <w:highlight w:val="none"/>
        </w:rPr>
      </w:pPr>
    </w:p>
    <w:p w14:paraId="36DA0F7A">
      <w:pPr>
        <w:widowControl/>
        <w:jc w:val="left"/>
        <w:rPr>
          <w:rFonts w:ascii="宋体" w:hAnsi="宋体" w:cs="宋体"/>
          <w:color w:val="auto"/>
          <w:szCs w:val="21"/>
          <w:highlight w:val="none"/>
        </w:rPr>
      </w:pPr>
      <w:r>
        <w:rPr>
          <w:rFonts w:hint="eastAsia" w:ascii="宋体" w:hAnsi="宋体" w:cs="宋体"/>
          <w:b/>
          <w:color w:val="auto"/>
          <w:szCs w:val="21"/>
          <w:highlight w:val="none"/>
        </w:rPr>
        <w:t>（三）具体清单</w:t>
      </w:r>
    </w:p>
    <w:bookmarkEnd w:id="2"/>
    <w:p w14:paraId="56012FB3">
      <w:pPr>
        <w:keepNext/>
        <w:keepLines/>
        <w:spacing w:line="360" w:lineRule="auto"/>
        <w:outlineLvl w:val="0"/>
        <w:rPr>
          <w:rFonts w:ascii="宋体" w:hAnsi="宋体" w:cs="宋体"/>
          <w:b/>
          <w:color w:val="auto"/>
          <w:szCs w:val="21"/>
          <w:highlight w:val="none"/>
        </w:rPr>
      </w:pPr>
      <w:r>
        <w:rPr>
          <w:rFonts w:hint="eastAsia" w:ascii="宋体" w:hAnsi="宋体" w:cs="宋体"/>
          <w:b/>
          <w:color w:val="auto"/>
          <w:szCs w:val="21"/>
          <w:highlight w:val="none"/>
        </w:rPr>
        <w:t>1．互联网出口安全防护服务</w:t>
      </w:r>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884"/>
        <w:gridCol w:w="1146"/>
        <w:gridCol w:w="6296"/>
      </w:tblGrid>
      <w:tr w14:paraId="6BCC6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219" w:type="pct"/>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6966736B">
            <w:pPr>
              <w:spacing w:line="360" w:lineRule="exact"/>
              <w:ind w:firstLine="211" w:firstLineChars="100"/>
              <w:jc w:val="center"/>
              <w:rPr>
                <w:rFonts w:ascii="宋体" w:hAnsi="宋体" w:cs="宋体"/>
                <w:b/>
                <w:color w:val="auto"/>
                <w:szCs w:val="21"/>
                <w:highlight w:val="none"/>
              </w:rPr>
            </w:pPr>
            <w:r>
              <w:rPr>
                <w:rFonts w:hint="eastAsia" w:ascii="宋体" w:hAnsi="宋体" w:cs="宋体"/>
                <w:b/>
                <w:color w:val="auto"/>
                <w:szCs w:val="21"/>
                <w:highlight w:val="none"/>
              </w:rPr>
              <w:t>技术指标</w:t>
            </w:r>
          </w:p>
        </w:tc>
        <w:tc>
          <w:tcPr>
            <w:tcW w:w="3781"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7E49BACF">
            <w:pPr>
              <w:spacing w:line="360" w:lineRule="exact"/>
              <w:jc w:val="center"/>
              <w:rPr>
                <w:rFonts w:ascii="宋体" w:hAnsi="宋体" w:cs="宋体"/>
                <w:b/>
                <w:color w:val="auto"/>
                <w:szCs w:val="21"/>
                <w:highlight w:val="none"/>
              </w:rPr>
            </w:pPr>
            <w:r>
              <w:rPr>
                <w:rFonts w:hint="eastAsia" w:ascii="宋体" w:hAnsi="宋体" w:cs="宋体"/>
                <w:b/>
                <w:color w:val="auto"/>
                <w:szCs w:val="21"/>
                <w:highlight w:val="none"/>
              </w:rPr>
              <w:t>技术要求</w:t>
            </w:r>
          </w:p>
        </w:tc>
      </w:tr>
      <w:tr w14:paraId="1EDD8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2" w:hRule="atLeast"/>
          <w:jc w:val="center"/>
        </w:trPr>
        <w:tc>
          <w:tcPr>
            <w:tcW w:w="1219" w:type="pct"/>
            <w:gridSpan w:val="2"/>
            <w:vMerge w:val="restart"/>
            <w:vAlign w:val="center"/>
          </w:tcPr>
          <w:p w14:paraId="55CAF9B5">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服务工具基本要求</w:t>
            </w:r>
          </w:p>
        </w:tc>
        <w:tc>
          <w:tcPr>
            <w:tcW w:w="3781" w:type="pct"/>
            <w:vAlign w:val="center"/>
          </w:tcPr>
          <w:p w14:paraId="50FD9EDE">
            <w:pPr>
              <w:spacing w:line="36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设备最大吞吐量≥6 Gbps，HTTP吞吐量≥2.65 Gbps，IPS吞吐量≥800 Mbps，AV吞吐量≥700 Mbps，IPSec VPN性能≥1 Gbps，最大并发连接数≥200万，每秒新建连接数≥5万，IPSec VPN隧道数≥1024，SSL VPN接入数≥400</w:t>
            </w:r>
            <w:r>
              <w:rPr>
                <w:rFonts w:hint="eastAsia" w:ascii="宋体" w:hAnsi="宋体" w:cs="宋体"/>
                <w:color w:val="auto"/>
                <w:szCs w:val="21"/>
                <w:highlight w:val="none"/>
                <w:lang w:eastAsia="zh-CN"/>
              </w:rPr>
              <w:t>。</w:t>
            </w:r>
          </w:p>
        </w:tc>
      </w:tr>
      <w:tr w14:paraId="0ED95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2" w:hRule="atLeast"/>
          <w:jc w:val="center"/>
        </w:trPr>
        <w:tc>
          <w:tcPr>
            <w:tcW w:w="1219" w:type="pct"/>
            <w:gridSpan w:val="2"/>
            <w:vMerge w:val="continue"/>
            <w:vAlign w:val="center"/>
          </w:tcPr>
          <w:p w14:paraId="44658600">
            <w:pPr>
              <w:spacing w:line="360" w:lineRule="exact"/>
              <w:jc w:val="center"/>
              <w:rPr>
                <w:rFonts w:ascii="宋体" w:hAnsi="宋体" w:cs="宋体"/>
                <w:color w:val="auto"/>
                <w:szCs w:val="21"/>
                <w:highlight w:val="none"/>
              </w:rPr>
            </w:pPr>
          </w:p>
        </w:tc>
        <w:tc>
          <w:tcPr>
            <w:tcW w:w="3781" w:type="pct"/>
            <w:vAlign w:val="center"/>
          </w:tcPr>
          <w:p w14:paraId="16C3A409">
            <w:pPr>
              <w:spacing w:line="360" w:lineRule="exact"/>
              <w:rPr>
                <w:rFonts w:ascii="宋体" w:hAnsi="宋体" w:cs="宋体"/>
                <w:color w:val="auto"/>
                <w:szCs w:val="21"/>
                <w:highlight w:val="none"/>
              </w:rPr>
            </w:pPr>
            <w:r>
              <w:rPr>
                <w:rFonts w:hint="eastAsia" w:ascii="宋体" w:hAnsi="宋体" w:cs="宋体"/>
                <w:color w:val="auto"/>
                <w:szCs w:val="21"/>
                <w:highlight w:val="none"/>
              </w:rPr>
              <w:t>标准1U专用千兆硬件平台，内置交流单电源，硬盘≥500GB HDD</w:t>
            </w:r>
            <w:r>
              <w:rPr>
                <w:rFonts w:hint="eastAsia" w:ascii="宋体" w:hAnsi="宋体" w:cs="宋体"/>
                <w:color w:val="auto"/>
                <w:szCs w:val="21"/>
                <w:highlight w:val="none"/>
                <w:lang w:eastAsia="zh-CN"/>
              </w:rPr>
              <w:t>。</w:t>
            </w:r>
          </w:p>
        </w:tc>
      </w:tr>
      <w:tr w14:paraId="67746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26" w:hRule="atLeast"/>
          <w:jc w:val="center"/>
        </w:trPr>
        <w:tc>
          <w:tcPr>
            <w:tcW w:w="1219" w:type="pct"/>
            <w:gridSpan w:val="2"/>
            <w:vMerge w:val="continue"/>
            <w:vAlign w:val="center"/>
          </w:tcPr>
          <w:p w14:paraId="1E4C785A">
            <w:pPr>
              <w:spacing w:line="360" w:lineRule="exact"/>
              <w:jc w:val="center"/>
              <w:rPr>
                <w:rFonts w:ascii="宋体" w:hAnsi="宋体" w:cs="宋体"/>
                <w:color w:val="auto"/>
                <w:szCs w:val="21"/>
                <w:highlight w:val="none"/>
              </w:rPr>
            </w:pPr>
          </w:p>
        </w:tc>
        <w:tc>
          <w:tcPr>
            <w:tcW w:w="3781" w:type="pct"/>
            <w:vAlign w:val="center"/>
          </w:tcPr>
          <w:p w14:paraId="099DDFDF">
            <w:pPr>
              <w:spacing w:line="360" w:lineRule="exact"/>
              <w:rPr>
                <w:rFonts w:ascii="宋体" w:hAnsi="宋体" w:cs="宋体"/>
                <w:color w:val="auto"/>
                <w:szCs w:val="21"/>
                <w:highlight w:val="none"/>
              </w:rPr>
            </w:pPr>
            <w:r>
              <w:rPr>
                <w:rFonts w:hint="eastAsia" w:ascii="宋体" w:hAnsi="宋体" w:cs="宋体"/>
                <w:color w:val="auto"/>
                <w:szCs w:val="21"/>
                <w:highlight w:val="none"/>
              </w:rPr>
              <w:t>10*GE电口，4*Combo口；支持千兆接口总数≥14个</w:t>
            </w:r>
            <w:r>
              <w:rPr>
                <w:rFonts w:hint="eastAsia" w:ascii="宋体" w:hAnsi="宋体" w:cs="宋体"/>
                <w:color w:val="auto"/>
                <w:szCs w:val="21"/>
                <w:highlight w:val="none"/>
                <w:lang w:eastAsia="zh-CN"/>
              </w:rPr>
              <w:t>。</w:t>
            </w:r>
          </w:p>
        </w:tc>
      </w:tr>
      <w:tr w14:paraId="5E69C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69" w:hRule="atLeast"/>
          <w:jc w:val="center"/>
        </w:trPr>
        <w:tc>
          <w:tcPr>
            <w:tcW w:w="1219" w:type="pct"/>
            <w:gridSpan w:val="2"/>
            <w:vAlign w:val="center"/>
          </w:tcPr>
          <w:p w14:paraId="53224860">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部署模式</w:t>
            </w:r>
          </w:p>
        </w:tc>
        <w:tc>
          <w:tcPr>
            <w:tcW w:w="3781" w:type="pct"/>
            <w:vAlign w:val="center"/>
          </w:tcPr>
          <w:p w14:paraId="6DE27B87">
            <w:pPr>
              <w:spacing w:line="360" w:lineRule="exact"/>
              <w:rPr>
                <w:rFonts w:ascii="宋体" w:hAnsi="宋体" w:cs="宋体"/>
                <w:color w:val="auto"/>
                <w:szCs w:val="21"/>
                <w:highlight w:val="none"/>
              </w:rPr>
            </w:pPr>
            <w:r>
              <w:rPr>
                <w:rFonts w:hint="eastAsia" w:ascii="宋体" w:hAnsi="宋体" w:cs="宋体"/>
                <w:color w:val="auto"/>
                <w:szCs w:val="21"/>
                <w:highlight w:val="none"/>
              </w:rPr>
              <w:t>支持网关模式、网桥模式、旁路模式、虚拟网线工作模式、混合模式；部署模式切换无需重启设备</w:t>
            </w:r>
            <w:r>
              <w:rPr>
                <w:rFonts w:hint="eastAsia" w:ascii="宋体" w:hAnsi="宋体" w:cs="宋体"/>
                <w:color w:val="auto"/>
                <w:szCs w:val="21"/>
                <w:highlight w:val="none"/>
                <w:lang w:eastAsia="zh-CN"/>
              </w:rPr>
              <w:t>。</w:t>
            </w:r>
          </w:p>
        </w:tc>
      </w:tr>
      <w:tr w14:paraId="5BD54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49" w:hRule="atLeast"/>
          <w:jc w:val="center"/>
        </w:trPr>
        <w:tc>
          <w:tcPr>
            <w:tcW w:w="531" w:type="pct"/>
            <w:vMerge w:val="restart"/>
            <w:vAlign w:val="center"/>
          </w:tcPr>
          <w:p w14:paraId="230F7CCE">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网络特性</w:t>
            </w:r>
          </w:p>
        </w:tc>
        <w:tc>
          <w:tcPr>
            <w:tcW w:w="688" w:type="pct"/>
            <w:vAlign w:val="center"/>
          </w:tcPr>
          <w:p w14:paraId="0F1241BA">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NAT</w:t>
            </w:r>
          </w:p>
        </w:tc>
        <w:tc>
          <w:tcPr>
            <w:tcW w:w="3781" w:type="pct"/>
            <w:vAlign w:val="center"/>
          </w:tcPr>
          <w:p w14:paraId="016413F2">
            <w:pPr>
              <w:spacing w:line="360" w:lineRule="exact"/>
              <w:rPr>
                <w:rFonts w:ascii="宋体" w:hAnsi="宋体" w:cs="宋体"/>
                <w:color w:val="auto"/>
                <w:szCs w:val="21"/>
                <w:highlight w:val="none"/>
              </w:rPr>
            </w:pPr>
            <w:r>
              <w:rPr>
                <w:rFonts w:hint="eastAsia" w:ascii="宋体" w:hAnsi="宋体" w:cs="宋体"/>
                <w:color w:val="auto"/>
                <w:szCs w:val="21"/>
                <w:highlight w:val="none"/>
              </w:rPr>
              <w:t>支持IPv4/IPv6双栈协议的源地址转换、目的地址转换、双向NAT、NAT44、NAT66、NAT46、NAT64等地址转换。</w:t>
            </w:r>
          </w:p>
        </w:tc>
      </w:tr>
      <w:tr w14:paraId="5F764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9" w:hRule="atLeast"/>
          <w:jc w:val="center"/>
        </w:trPr>
        <w:tc>
          <w:tcPr>
            <w:tcW w:w="531" w:type="pct"/>
            <w:vMerge w:val="continue"/>
            <w:vAlign w:val="center"/>
          </w:tcPr>
          <w:p w14:paraId="6F75770D">
            <w:pPr>
              <w:spacing w:line="360" w:lineRule="exact"/>
              <w:jc w:val="center"/>
              <w:rPr>
                <w:rFonts w:ascii="宋体" w:hAnsi="宋体" w:cs="宋体"/>
                <w:color w:val="auto"/>
                <w:szCs w:val="21"/>
                <w:highlight w:val="none"/>
              </w:rPr>
            </w:pPr>
          </w:p>
        </w:tc>
        <w:tc>
          <w:tcPr>
            <w:tcW w:w="688" w:type="pct"/>
            <w:vAlign w:val="center"/>
          </w:tcPr>
          <w:p w14:paraId="6409B8C2">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链路负载均衡</w:t>
            </w:r>
          </w:p>
        </w:tc>
        <w:tc>
          <w:tcPr>
            <w:tcW w:w="3781" w:type="pct"/>
            <w:vAlign w:val="center"/>
          </w:tcPr>
          <w:p w14:paraId="42E06622">
            <w:pPr>
              <w:spacing w:line="360" w:lineRule="exact"/>
              <w:rPr>
                <w:rFonts w:ascii="宋体" w:hAnsi="宋体" w:cs="宋体"/>
                <w:color w:val="auto"/>
                <w:szCs w:val="21"/>
                <w:highlight w:val="none"/>
              </w:rPr>
            </w:pPr>
            <w:r>
              <w:rPr>
                <w:rFonts w:hint="eastAsia" w:ascii="宋体" w:hAnsi="宋体" w:cs="宋体"/>
                <w:color w:val="auto"/>
                <w:szCs w:val="21"/>
                <w:highlight w:val="none"/>
              </w:rPr>
              <w:t>支持基于负载链路的出接口的DNS请求，主动完成DNS服务器替换，解决用户主机配置DNS解析结果与实际转发运营商链路解析结果有冲突，从而导致跨运营商访问慢的问题；支持进行DNS探测，针对探测失败情况，可选择禁用DNS-DNAT功能或禁用负载链路出接口。</w:t>
            </w:r>
          </w:p>
        </w:tc>
      </w:tr>
      <w:tr w14:paraId="6C11C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3" w:hRule="atLeast"/>
          <w:jc w:val="center"/>
        </w:trPr>
        <w:tc>
          <w:tcPr>
            <w:tcW w:w="531" w:type="pct"/>
            <w:vMerge w:val="continue"/>
            <w:vAlign w:val="center"/>
          </w:tcPr>
          <w:p w14:paraId="3B4ABB31">
            <w:pPr>
              <w:spacing w:line="360" w:lineRule="exact"/>
              <w:jc w:val="center"/>
              <w:rPr>
                <w:rFonts w:ascii="宋体" w:hAnsi="宋体" w:cs="宋体"/>
                <w:color w:val="auto"/>
                <w:szCs w:val="21"/>
                <w:highlight w:val="none"/>
              </w:rPr>
            </w:pPr>
          </w:p>
        </w:tc>
        <w:tc>
          <w:tcPr>
            <w:tcW w:w="688" w:type="pct"/>
            <w:vAlign w:val="center"/>
          </w:tcPr>
          <w:p w14:paraId="0446AA8F">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DNS</w:t>
            </w:r>
          </w:p>
        </w:tc>
        <w:tc>
          <w:tcPr>
            <w:tcW w:w="3781" w:type="pct"/>
            <w:vAlign w:val="center"/>
          </w:tcPr>
          <w:p w14:paraId="1BE0B8D4">
            <w:pPr>
              <w:spacing w:line="360" w:lineRule="exact"/>
              <w:rPr>
                <w:rFonts w:ascii="宋体" w:hAnsi="宋体" w:cs="宋体"/>
                <w:color w:val="auto"/>
                <w:szCs w:val="21"/>
                <w:highlight w:val="none"/>
              </w:rPr>
            </w:pPr>
            <w:r>
              <w:rPr>
                <w:rFonts w:hint="eastAsia" w:ascii="宋体" w:hAnsi="宋体" w:cs="宋体"/>
                <w:color w:val="auto"/>
                <w:szCs w:val="21"/>
                <w:highlight w:val="none"/>
              </w:rPr>
              <w:t>支持DNS透明代理，支持指定DNS或继承链路DNS配置，针对多链路支持基于优先级、权重、流量算法进行DNS负载。</w:t>
            </w:r>
          </w:p>
        </w:tc>
      </w:tr>
      <w:tr w14:paraId="6C6CA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3" w:hRule="atLeast"/>
          <w:jc w:val="center"/>
        </w:trPr>
        <w:tc>
          <w:tcPr>
            <w:tcW w:w="531" w:type="pct"/>
            <w:vMerge w:val="restart"/>
            <w:vAlign w:val="center"/>
          </w:tcPr>
          <w:p w14:paraId="38DB41BB">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安全防护</w:t>
            </w:r>
          </w:p>
        </w:tc>
        <w:tc>
          <w:tcPr>
            <w:tcW w:w="688" w:type="pct"/>
            <w:vMerge w:val="restart"/>
            <w:vAlign w:val="center"/>
          </w:tcPr>
          <w:p w14:paraId="2A224B5E">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入侵防御</w:t>
            </w:r>
          </w:p>
        </w:tc>
        <w:tc>
          <w:tcPr>
            <w:tcW w:w="3781" w:type="pct"/>
            <w:vAlign w:val="center"/>
          </w:tcPr>
          <w:p w14:paraId="2544B246">
            <w:pPr>
              <w:spacing w:line="360" w:lineRule="exact"/>
              <w:rPr>
                <w:rFonts w:ascii="宋体" w:hAnsi="宋体" w:cs="宋体"/>
                <w:color w:val="auto"/>
                <w:szCs w:val="21"/>
                <w:highlight w:val="none"/>
              </w:rPr>
            </w:pPr>
            <w:r>
              <w:rPr>
                <w:rFonts w:hint="eastAsia" w:ascii="宋体" w:hAnsi="宋体" w:cs="宋体"/>
                <w:color w:val="auto"/>
                <w:szCs w:val="21"/>
                <w:highlight w:val="none"/>
              </w:rPr>
              <w:t>系统定义超过8600+条主流攻击规则，包含用户提权、任意代码执行、木马、后门、挖矿、Web序列化、Webshell等主流防护类型；以及对应IPS规则的攻击类型、严重程度、CVE编号、CNNVD编号、协议、操作系统、发布年份、漏洞厂商等详细信息。</w:t>
            </w:r>
          </w:p>
        </w:tc>
      </w:tr>
      <w:tr w14:paraId="71C1B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3" w:hRule="atLeast"/>
          <w:jc w:val="center"/>
        </w:trPr>
        <w:tc>
          <w:tcPr>
            <w:tcW w:w="531" w:type="pct"/>
            <w:vMerge w:val="continue"/>
            <w:vAlign w:val="center"/>
          </w:tcPr>
          <w:p w14:paraId="705F1824">
            <w:pPr>
              <w:spacing w:line="360" w:lineRule="exact"/>
              <w:jc w:val="center"/>
              <w:rPr>
                <w:rFonts w:ascii="宋体" w:hAnsi="宋体" w:cs="宋体"/>
                <w:color w:val="auto"/>
                <w:szCs w:val="21"/>
                <w:highlight w:val="none"/>
              </w:rPr>
            </w:pPr>
          </w:p>
        </w:tc>
        <w:tc>
          <w:tcPr>
            <w:tcW w:w="688" w:type="pct"/>
            <w:vMerge w:val="continue"/>
            <w:vAlign w:val="center"/>
          </w:tcPr>
          <w:p w14:paraId="7CB8B22C">
            <w:pPr>
              <w:spacing w:line="360" w:lineRule="exact"/>
              <w:jc w:val="center"/>
              <w:rPr>
                <w:rFonts w:ascii="宋体" w:hAnsi="宋体" w:cs="宋体"/>
                <w:color w:val="auto"/>
                <w:szCs w:val="21"/>
                <w:highlight w:val="none"/>
              </w:rPr>
            </w:pPr>
          </w:p>
        </w:tc>
        <w:tc>
          <w:tcPr>
            <w:tcW w:w="3781" w:type="pct"/>
            <w:vAlign w:val="center"/>
          </w:tcPr>
          <w:p w14:paraId="4904725B">
            <w:pPr>
              <w:spacing w:line="360" w:lineRule="exact"/>
              <w:rPr>
                <w:rFonts w:ascii="宋体" w:hAnsi="宋体" w:cs="宋体"/>
                <w:color w:val="auto"/>
                <w:szCs w:val="21"/>
                <w:highlight w:val="none"/>
              </w:rPr>
            </w:pPr>
            <w:r>
              <w:rPr>
                <w:rFonts w:hint="eastAsia" w:ascii="宋体" w:hAnsi="宋体" w:cs="宋体"/>
                <w:color w:val="auto"/>
                <w:szCs w:val="21"/>
                <w:highlight w:val="none"/>
              </w:rPr>
              <w:t>支持IPS高阶告警功能，可以配置多种告警条件，达到告警规则可通过邮件或者SYSLOG告警，不同告警规则可以发送给不同的用户。</w:t>
            </w:r>
          </w:p>
        </w:tc>
      </w:tr>
      <w:tr w14:paraId="5CE91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0" w:hRule="atLeast"/>
          <w:jc w:val="center"/>
        </w:trPr>
        <w:tc>
          <w:tcPr>
            <w:tcW w:w="531" w:type="pct"/>
            <w:vMerge w:val="continue"/>
            <w:vAlign w:val="center"/>
          </w:tcPr>
          <w:p w14:paraId="50920949">
            <w:pPr>
              <w:spacing w:line="360" w:lineRule="exact"/>
              <w:jc w:val="center"/>
              <w:rPr>
                <w:rFonts w:ascii="宋体" w:hAnsi="宋体" w:cs="宋体"/>
                <w:color w:val="auto"/>
                <w:szCs w:val="21"/>
                <w:highlight w:val="none"/>
              </w:rPr>
            </w:pPr>
          </w:p>
        </w:tc>
        <w:tc>
          <w:tcPr>
            <w:tcW w:w="688" w:type="pct"/>
            <w:vAlign w:val="center"/>
          </w:tcPr>
          <w:p w14:paraId="07EA9733">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病毒防护</w:t>
            </w:r>
          </w:p>
        </w:tc>
        <w:tc>
          <w:tcPr>
            <w:tcW w:w="3781" w:type="pct"/>
            <w:vAlign w:val="center"/>
          </w:tcPr>
          <w:p w14:paraId="516DCA42">
            <w:pPr>
              <w:spacing w:line="360" w:lineRule="exact"/>
              <w:rPr>
                <w:rFonts w:ascii="宋体" w:hAnsi="宋体" w:cs="宋体"/>
                <w:color w:val="auto"/>
                <w:szCs w:val="21"/>
                <w:highlight w:val="none"/>
              </w:rPr>
            </w:pPr>
            <w:r>
              <w:rPr>
                <w:rFonts w:hint="eastAsia" w:ascii="宋体" w:hAnsi="宋体" w:cs="宋体"/>
                <w:color w:val="auto"/>
                <w:szCs w:val="21"/>
                <w:highlight w:val="none"/>
              </w:rPr>
              <w:t>支持对最多10级的压缩文件进行解压查杀。</w:t>
            </w:r>
          </w:p>
        </w:tc>
      </w:tr>
      <w:tr w14:paraId="4E8A5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3" w:hRule="atLeast"/>
          <w:jc w:val="center"/>
        </w:trPr>
        <w:tc>
          <w:tcPr>
            <w:tcW w:w="531" w:type="pct"/>
            <w:vMerge w:val="continue"/>
            <w:vAlign w:val="center"/>
          </w:tcPr>
          <w:p w14:paraId="519F522E">
            <w:pPr>
              <w:spacing w:line="360" w:lineRule="exact"/>
              <w:jc w:val="center"/>
              <w:rPr>
                <w:rFonts w:ascii="宋体" w:hAnsi="宋体" w:cs="宋体"/>
                <w:color w:val="auto"/>
                <w:szCs w:val="21"/>
                <w:highlight w:val="none"/>
              </w:rPr>
            </w:pPr>
          </w:p>
        </w:tc>
        <w:tc>
          <w:tcPr>
            <w:tcW w:w="688" w:type="pct"/>
            <w:vAlign w:val="center"/>
          </w:tcPr>
          <w:p w14:paraId="23D6AAA9">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威胁情报</w:t>
            </w:r>
          </w:p>
        </w:tc>
        <w:tc>
          <w:tcPr>
            <w:tcW w:w="3781" w:type="pct"/>
            <w:vAlign w:val="center"/>
          </w:tcPr>
          <w:p w14:paraId="31480CD9">
            <w:pPr>
              <w:spacing w:line="360" w:lineRule="exact"/>
              <w:rPr>
                <w:rFonts w:ascii="宋体" w:hAnsi="宋体" w:cs="宋体"/>
                <w:color w:val="auto"/>
                <w:szCs w:val="21"/>
                <w:highlight w:val="none"/>
              </w:rPr>
            </w:pPr>
            <w:r>
              <w:rPr>
                <w:rFonts w:hint="eastAsia" w:ascii="宋体" w:hAnsi="宋体" w:cs="宋体"/>
                <w:color w:val="auto"/>
                <w:szCs w:val="21"/>
                <w:highlight w:val="none"/>
              </w:rPr>
              <w:t>支持与多个威胁情报中心订阅，帮助产品实现检测、预警和防御。</w:t>
            </w:r>
          </w:p>
        </w:tc>
      </w:tr>
      <w:tr w14:paraId="38B32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3" w:hRule="atLeast"/>
          <w:jc w:val="center"/>
        </w:trPr>
        <w:tc>
          <w:tcPr>
            <w:tcW w:w="531" w:type="pct"/>
            <w:vMerge w:val="continue"/>
            <w:vAlign w:val="center"/>
          </w:tcPr>
          <w:p w14:paraId="70033D8D">
            <w:pPr>
              <w:spacing w:line="360" w:lineRule="exact"/>
              <w:jc w:val="center"/>
              <w:rPr>
                <w:rFonts w:ascii="宋体" w:hAnsi="宋体" w:cs="宋体"/>
                <w:color w:val="auto"/>
                <w:szCs w:val="21"/>
                <w:highlight w:val="none"/>
              </w:rPr>
            </w:pPr>
          </w:p>
        </w:tc>
        <w:tc>
          <w:tcPr>
            <w:tcW w:w="688" w:type="pct"/>
            <w:vMerge w:val="restart"/>
            <w:vAlign w:val="center"/>
          </w:tcPr>
          <w:p w14:paraId="3CC77BEC">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协同防御</w:t>
            </w:r>
          </w:p>
        </w:tc>
        <w:tc>
          <w:tcPr>
            <w:tcW w:w="3781" w:type="pct"/>
            <w:vAlign w:val="center"/>
          </w:tcPr>
          <w:p w14:paraId="3DAE56DD">
            <w:pPr>
              <w:spacing w:line="360" w:lineRule="exact"/>
              <w:rPr>
                <w:rFonts w:ascii="宋体" w:hAnsi="宋体" w:cs="宋体"/>
                <w:color w:val="auto"/>
                <w:szCs w:val="21"/>
                <w:highlight w:val="none"/>
              </w:rPr>
            </w:pPr>
            <w:r>
              <w:rPr>
                <w:rFonts w:hint="eastAsia" w:ascii="宋体" w:hAnsi="宋体" w:cs="宋体"/>
                <w:color w:val="auto"/>
                <w:szCs w:val="21"/>
                <w:highlight w:val="none"/>
              </w:rPr>
              <w:t>支持与本方案所投的EDR产品协同工作，实现终端在访问特定IP/网段时必须安装EDR，否则拒绝访问并重定向EDR的安装页面；可实时阻断EDR同步的风险主机的访问；并在与EDR产品联动后，增强防火墙对木马特征、内网资产的识别能力。</w:t>
            </w:r>
          </w:p>
        </w:tc>
      </w:tr>
      <w:tr w14:paraId="40E64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3" w:hRule="atLeast"/>
          <w:jc w:val="center"/>
        </w:trPr>
        <w:tc>
          <w:tcPr>
            <w:tcW w:w="531" w:type="pct"/>
            <w:vMerge w:val="continue"/>
            <w:vAlign w:val="center"/>
          </w:tcPr>
          <w:p w14:paraId="51F39FAF">
            <w:pPr>
              <w:spacing w:line="360" w:lineRule="exact"/>
              <w:rPr>
                <w:rFonts w:ascii="宋体" w:hAnsi="宋体" w:cs="宋体"/>
                <w:color w:val="auto"/>
                <w:szCs w:val="21"/>
                <w:highlight w:val="none"/>
              </w:rPr>
            </w:pPr>
          </w:p>
        </w:tc>
        <w:tc>
          <w:tcPr>
            <w:tcW w:w="688" w:type="pct"/>
            <w:vMerge w:val="continue"/>
            <w:vAlign w:val="center"/>
          </w:tcPr>
          <w:p w14:paraId="147B7211">
            <w:pPr>
              <w:spacing w:line="360" w:lineRule="exact"/>
              <w:rPr>
                <w:rFonts w:ascii="宋体" w:hAnsi="宋体" w:cs="宋体"/>
                <w:color w:val="auto"/>
                <w:szCs w:val="21"/>
                <w:highlight w:val="none"/>
              </w:rPr>
            </w:pPr>
          </w:p>
        </w:tc>
        <w:tc>
          <w:tcPr>
            <w:tcW w:w="3781" w:type="pct"/>
            <w:vAlign w:val="center"/>
          </w:tcPr>
          <w:p w14:paraId="043148F5">
            <w:pPr>
              <w:spacing w:line="360" w:lineRule="exact"/>
              <w:rPr>
                <w:rFonts w:ascii="宋体" w:hAnsi="宋体" w:cs="宋体"/>
                <w:color w:val="auto"/>
                <w:szCs w:val="21"/>
                <w:highlight w:val="none"/>
              </w:rPr>
            </w:pPr>
            <w:r>
              <w:rPr>
                <w:rFonts w:hint="eastAsia" w:ascii="宋体" w:hAnsi="宋体" w:cs="宋体"/>
                <w:color w:val="auto"/>
                <w:szCs w:val="21"/>
                <w:highlight w:val="none"/>
              </w:rPr>
              <w:t>支持与本方案所投的APT产品协同工作，实现将APT分析到的SMB远程溢出攻击、扫描行为、Web后门访问、隐蔽信道通信、暴力破解、挖矿、远控工具利用、Web特征攻击等外部攻击源IP同步到本设备，通过本设备的黑名单功能实现自动阻断</w:t>
            </w:r>
            <w:r>
              <w:rPr>
                <w:rFonts w:hint="eastAsia" w:ascii="宋体" w:hAnsi="宋体" w:cs="宋体"/>
                <w:color w:val="auto"/>
                <w:szCs w:val="21"/>
                <w:highlight w:val="none"/>
                <w:lang w:eastAsia="zh-CN"/>
              </w:rPr>
              <w:t>。</w:t>
            </w:r>
          </w:p>
        </w:tc>
      </w:tr>
      <w:tr w14:paraId="14436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8" w:hRule="atLeast"/>
          <w:jc w:val="center"/>
        </w:trPr>
        <w:tc>
          <w:tcPr>
            <w:tcW w:w="531" w:type="pct"/>
            <w:vAlign w:val="center"/>
          </w:tcPr>
          <w:p w14:paraId="2B8EA0F8">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应用缓存加速</w:t>
            </w:r>
          </w:p>
        </w:tc>
        <w:tc>
          <w:tcPr>
            <w:tcW w:w="4469" w:type="pct"/>
            <w:gridSpan w:val="2"/>
            <w:vAlign w:val="center"/>
          </w:tcPr>
          <w:p w14:paraId="5A336C5C">
            <w:pPr>
              <w:spacing w:line="360" w:lineRule="exact"/>
              <w:rPr>
                <w:rFonts w:ascii="宋体" w:hAnsi="宋体" w:cs="宋体"/>
                <w:color w:val="auto"/>
                <w:szCs w:val="21"/>
                <w:highlight w:val="none"/>
              </w:rPr>
            </w:pPr>
            <w:r>
              <w:rPr>
                <w:rFonts w:hint="eastAsia" w:ascii="宋体" w:hAnsi="宋体" w:cs="宋体"/>
                <w:color w:val="auto"/>
                <w:szCs w:val="21"/>
                <w:highlight w:val="none"/>
              </w:rPr>
              <w:t>支持文件缓存，缓存文件形式不限于视频、APP等；设备智能解析用户流量，针对域名或者文件请求，设备推送文件至终端，帮助用户缓解互联网出口压力，实现文件下载加速的效果。</w:t>
            </w:r>
          </w:p>
        </w:tc>
      </w:tr>
    </w:tbl>
    <w:p w14:paraId="1A166443">
      <w:pPr>
        <w:keepNext/>
        <w:keepLines/>
        <w:spacing w:line="360" w:lineRule="auto"/>
        <w:outlineLvl w:val="0"/>
        <w:rPr>
          <w:rFonts w:ascii="宋体" w:hAnsi="宋体" w:cs="宋体"/>
          <w:b/>
          <w:color w:val="auto"/>
          <w:szCs w:val="21"/>
          <w:highlight w:val="none"/>
        </w:rPr>
      </w:pPr>
      <w:r>
        <w:rPr>
          <w:rFonts w:hint="eastAsia" w:ascii="宋体" w:hAnsi="宋体" w:cs="宋体"/>
          <w:b/>
          <w:color w:val="auto"/>
          <w:szCs w:val="21"/>
          <w:highlight w:val="none"/>
        </w:rPr>
        <w:t>2．终端入网控制服务</w:t>
      </w:r>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884"/>
        <w:gridCol w:w="1146"/>
        <w:gridCol w:w="6296"/>
      </w:tblGrid>
      <w:tr w14:paraId="34E13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219" w:type="pct"/>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7E7EB545">
            <w:pPr>
              <w:spacing w:line="360" w:lineRule="exact"/>
              <w:jc w:val="center"/>
              <w:rPr>
                <w:rFonts w:ascii="宋体" w:hAnsi="宋体" w:cs="宋体"/>
                <w:b/>
                <w:color w:val="auto"/>
                <w:szCs w:val="21"/>
                <w:highlight w:val="none"/>
              </w:rPr>
            </w:pPr>
            <w:r>
              <w:rPr>
                <w:rFonts w:hint="eastAsia" w:ascii="宋体" w:hAnsi="宋体" w:cs="宋体"/>
                <w:b/>
                <w:color w:val="auto"/>
                <w:szCs w:val="21"/>
                <w:highlight w:val="none"/>
              </w:rPr>
              <w:t>技术指标</w:t>
            </w:r>
          </w:p>
        </w:tc>
        <w:tc>
          <w:tcPr>
            <w:tcW w:w="3781"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3CD253B6">
            <w:pPr>
              <w:spacing w:line="360" w:lineRule="exact"/>
              <w:jc w:val="center"/>
              <w:rPr>
                <w:rFonts w:ascii="宋体" w:hAnsi="宋体" w:cs="宋体"/>
                <w:b/>
                <w:color w:val="auto"/>
                <w:szCs w:val="21"/>
                <w:highlight w:val="none"/>
              </w:rPr>
            </w:pPr>
            <w:r>
              <w:rPr>
                <w:rFonts w:hint="eastAsia" w:ascii="宋体" w:hAnsi="宋体" w:cs="宋体"/>
                <w:b/>
                <w:color w:val="auto"/>
                <w:szCs w:val="21"/>
                <w:highlight w:val="none"/>
              </w:rPr>
              <w:t>技术要求</w:t>
            </w:r>
          </w:p>
        </w:tc>
      </w:tr>
      <w:tr w14:paraId="00B5B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2" w:hRule="atLeast"/>
          <w:jc w:val="center"/>
        </w:trPr>
        <w:tc>
          <w:tcPr>
            <w:tcW w:w="1219" w:type="pct"/>
            <w:gridSpan w:val="2"/>
            <w:vMerge w:val="restart"/>
            <w:vAlign w:val="center"/>
          </w:tcPr>
          <w:p w14:paraId="7B207240">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服务工具基本要求</w:t>
            </w:r>
          </w:p>
        </w:tc>
        <w:tc>
          <w:tcPr>
            <w:tcW w:w="3781" w:type="pct"/>
            <w:vAlign w:val="center"/>
          </w:tcPr>
          <w:p w14:paraId="6E415840">
            <w:pPr>
              <w:spacing w:line="360" w:lineRule="exact"/>
              <w:rPr>
                <w:rFonts w:ascii="宋体" w:hAnsi="宋体" w:cs="宋体"/>
                <w:color w:val="auto"/>
                <w:szCs w:val="21"/>
                <w:highlight w:val="none"/>
              </w:rPr>
            </w:pPr>
            <w:r>
              <w:rPr>
                <w:rFonts w:hint="eastAsia" w:ascii="宋体" w:hAnsi="宋体" w:cs="宋体"/>
                <w:color w:val="auto"/>
                <w:szCs w:val="21"/>
                <w:highlight w:val="none"/>
              </w:rPr>
              <w:t>支持500台以上无代理软件设备安全管理，同时支持瘦终端、IoT设备、ICS设备。</w:t>
            </w:r>
          </w:p>
        </w:tc>
      </w:tr>
      <w:tr w14:paraId="577CE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87" w:hRule="atLeast"/>
          <w:jc w:val="center"/>
        </w:trPr>
        <w:tc>
          <w:tcPr>
            <w:tcW w:w="1219" w:type="pct"/>
            <w:gridSpan w:val="2"/>
            <w:vMerge w:val="continue"/>
            <w:vAlign w:val="center"/>
          </w:tcPr>
          <w:p w14:paraId="670FE0E0">
            <w:pPr>
              <w:spacing w:line="360" w:lineRule="exact"/>
              <w:jc w:val="center"/>
              <w:rPr>
                <w:rFonts w:ascii="宋体" w:hAnsi="宋体" w:cs="宋体"/>
                <w:color w:val="auto"/>
                <w:szCs w:val="21"/>
                <w:highlight w:val="none"/>
              </w:rPr>
            </w:pPr>
          </w:p>
        </w:tc>
        <w:tc>
          <w:tcPr>
            <w:tcW w:w="3781" w:type="pct"/>
            <w:vAlign w:val="center"/>
          </w:tcPr>
          <w:p w14:paraId="5A152A67">
            <w:pPr>
              <w:spacing w:line="360" w:lineRule="exact"/>
              <w:rPr>
                <w:rFonts w:ascii="宋体" w:hAnsi="宋体" w:cs="宋体"/>
                <w:color w:val="auto"/>
                <w:szCs w:val="21"/>
                <w:highlight w:val="none"/>
              </w:rPr>
            </w:pPr>
            <w:r>
              <w:rPr>
                <w:rFonts w:hint="eastAsia" w:ascii="宋体" w:hAnsi="宋体" w:cs="宋体"/>
                <w:color w:val="auto"/>
                <w:szCs w:val="21"/>
                <w:highlight w:val="none"/>
              </w:rPr>
              <w:t>1U硬件设备，2核4线程，6个千兆电口，16GB</w:t>
            </w:r>
            <w:r>
              <w:rPr>
                <w:rFonts w:hint="eastAsia" w:ascii="宋体" w:hAnsi="宋体" w:cs="宋体"/>
                <w:color w:val="auto"/>
                <w:szCs w:val="21"/>
                <w:highlight w:val="none"/>
                <w:lang w:eastAsia="zh-CN"/>
              </w:rPr>
              <w:t>。</w:t>
            </w:r>
          </w:p>
        </w:tc>
      </w:tr>
      <w:tr w14:paraId="47CAF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298" w:hRule="atLeast"/>
          <w:jc w:val="center"/>
        </w:trPr>
        <w:tc>
          <w:tcPr>
            <w:tcW w:w="1219" w:type="pct"/>
            <w:gridSpan w:val="2"/>
            <w:vAlign w:val="center"/>
          </w:tcPr>
          <w:p w14:paraId="27FB914C">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准入控制方式</w:t>
            </w:r>
          </w:p>
        </w:tc>
        <w:tc>
          <w:tcPr>
            <w:tcW w:w="3781" w:type="pct"/>
            <w:vAlign w:val="center"/>
          </w:tcPr>
          <w:p w14:paraId="1E3942ED">
            <w:pPr>
              <w:spacing w:line="360" w:lineRule="exact"/>
              <w:rPr>
                <w:rFonts w:ascii="宋体" w:hAnsi="宋体" w:cs="宋体"/>
                <w:color w:val="auto"/>
                <w:szCs w:val="21"/>
                <w:highlight w:val="none"/>
              </w:rPr>
            </w:pPr>
            <w:r>
              <w:rPr>
                <w:rFonts w:hint="eastAsia" w:ascii="宋体" w:hAnsi="宋体" w:cs="宋体"/>
                <w:color w:val="auto"/>
                <w:szCs w:val="21"/>
                <w:highlight w:val="none"/>
              </w:rPr>
              <w:t>支持802.1x、EOU、Portal、端口镜像、策略路由、设备指纹准入等多种控制方式，并可以混合使用，且支持无代理方式，适应有线、无线、远程分支机构接入、NAT等多种复杂网络环境。</w:t>
            </w:r>
          </w:p>
        </w:tc>
      </w:tr>
      <w:tr w14:paraId="7869D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49" w:hRule="atLeast"/>
          <w:jc w:val="center"/>
        </w:trPr>
        <w:tc>
          <w:tcPr>
            <w:tcW w:w="531" w:type="pct"/>
            <w:vMerge w:val="restart"/>
            <w:vAlign w:val="center"/>
          </w:tcPr>
          <w:p w14:paraId="48FC688A">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网络准入控制</w:t>
            </w:r>
          </w:p>
        </w:tc>
        <w:tc>
          <w:tcPr>
            <w:tcW w:w="688" w:type="pct"/>
            <w:vAlign w:val="center"/>
          </w:tcPr>
          <w:p w14:paraId="522C8203">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网络控制规则</w:t>
            </w:r>
          </w:p>
        </w:tc>
        <w:tc>
          <w:tcPr>
            <w:tcW w:w="3781" w:type="pct"/>
            <w:vAlign w:val="center"/>
          </w:tcPr>
          <w:p w14:paraId="13C2858E">
            <w:pPr>
              <w:spacing w:line="360" w:lineRule="exact"/>
              <w:rPr>
                <w:rFonts w:ascii="宋体" w:hAnsi="宋体" w:cs="宋体"/>
                <w:color w:val="auto"/>
                <w:szCs w:val="21"/>
                <w:highlight w:val="none"/>
              </w:rPr>
            </w:pPr>
            <w:r>
              <w:rPr>
                <w:rFonts w:hint="eastAsia" w:ascii="宋体" w:hAnsi="宋体" w:cs="宋体"/>
                <w:color w:val="auto"/>
                <w:szCs w:val="21"/>
                <w:highlight w:val="none"/>
              </w:rPr>
              <w:t>支持自动识别指定AD域和邮件服务器的PC，自动准入发现并下发权限控制策略。</w:t>
            </w:r>
          </w:p>
        </w:tc>
      </w:tr>
      <w:tr w14:paraId="44CE0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9" w:hRule="atLeast"/>
          <w:jc w:val="center"/>
        </w:trPr>
        <w:tc>
          <w:tcPr>
            <w:tcW w:w="531" w:type="pct"/>
            <w:vMerge w:val="continue"/>
            <w:vAlign w:val="center"/>
          </w:tcPr>
          <w:p w14:paraId="57433AFC">
            <w:pPr>
              <w:spacing w:line="360" w:lineRule="exact"/>
              <w:jc w:val="center"/>
              <w:rPr>
                <w:rFonts w:ascii="宋体" w:hAnsi="宋体" w:cs="宋体"/>
                <w:color w:val="auto"/>
                <w:szCs w:val="21"/>
                <w:highlight w:val="none"/>
              </w:rPr>
            </w:pPr>
          </w:p>
        </w:tc>
        <w:tc>
          <w:tcPr>
            <w:tcW w:w="688" w:type="pct"/>
            <w:vAlign w:val="center"/>
          </w:tcPr>
          <w:p w14:paraId="53DCFCF6">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安全控件入网安全检查</w:t>
            </w:r>
          </w:p>
        </w:tc>
        <w:tc>
          <w:tcPr>
            <w:tcW w:w="3781" w:type="pct"/>
            <w:vAlign w:val="center"/>
          </w:tcPr>
          <w:p w14:paraId="29507F51">
            <w:pPr>
              <w:spacing w:line="360" w:lineRule="exact"/>
              <w:rPr>
                <w:rFonts w:ascii="宋体" w:hAnsi="宋体" w:cs="宋体"/>
                <w:color w:val="auto"/>
                <w:szCs w:val="21"/>
                <w:highlight w:val="none"/>
              </w:rPr>
            </w:pPr>
            <w:r>
              <w:rPr>
                <w:rFonts w:hint="eastAsia" w:ascii="宋体" w:hAnsi="宋体" w:cs="宋体"/>
                <w:color w:val="auto"/>
                <w:szCs w:val="21"/>
                <w:highlight w:val="none"/>
              </w:rPr>
              <w:t>支持Windows设备安全检查，其中包括防病毒软件检查、终端启用Guest账号检查、终端弱口令账号检查、终端是否加域检查、终端共享目录检查、终端系统补丁检查、终端系统版本检查、终端服务安装检查、终端防火墙检测和终端主机名检查。</w:t>
            </w:r>
          </w:p>
        </w:tc>
      </w:tr>
      <w:tr w14:paraId="5AB8A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2" w:hRule="atLeast"/>
          <w:jc w:val="center"/>
        </w:trPr>
        <w:tc>
          <w:tcPr>
            <w:tcW w:w="531" w:type="pct"/>
            <w:vMerge w:val="continue"/>
            <w:vAlign w:val="center"/>
          </w:tcPr>
          <w:p w14:paraId="26D9D93D">
            <w:pPr>
              <w:spacing w:line="360" w:lineRule="exact"/>
              <w:rPr>
                <w:rFonts w:ascii="宋体" w:hAnsi="宋体" w:cs="宋体"/>
                <w:color w:val="auto"/>
                <w:szCs w:val="21"/>
                <w:highlight w:val="none"/>
              </w:rPr>
            </w:pPr>
          </w:p>
        </w:tc>
        <w:tc>
          <w:tcPr>
            <w:tcW w:w="4469" w:type="pct"/>
            <w:gridSpan w:val="2"/>
            <w:vAlign w:val="center"/>
          </w:tcPr>
          <w:p w14:paraId="0BD95088">
            <w:pPr>
              <w:spacing w:line="360" w:lineRule="exact"/>
              <w:rPr>
                <w:rFonts w:ascii="宋体" w:hAnsi="宋体" w:cs="宋体"/>
                <w:color w:val="auto"/>
                <w:szCs w:val="21"/>
                <w:highlight w:val="none"/>
              </w:rPr>
            </w:pPr>
            <w:r>
              <w:rPr>
                <w:rFonts w:hint="eastAsia" w:ascii="宋体" w:hAnsi="宋体" w:cs="宋体"/>
                <w:color w:val="auto"/>
                <w:szCs w:val="21"/>
                <w:highlight w:val="none"/>
              </w:rPr>
              <w:t>支持对操作系统、设备信息、流量关系等进行识别，同时支持自定义添加资产指纹，可根据扫描到的资产字段添加资产指纹识别规则。</w:t>
            </w:r>
          </w:p>
        </w:tc>
      </w:tr>
      <w:tr w14:paraId="4744A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2" w:hRule="atLeast"/>
          <w:jc w:val="center"/>
        </w:trPr>
        <w:tc>
          <w:tcPr>
            <w:tcW w:w="531" w:type="pct"/>
            <w:vMerge w:val="continue"/>
            <w:vAlign w:val="center"/>
          </w:tcPr>
          <w:p w14:paraId="1082E0D1">
            <w:pPr>
              <w:spacing w:line="360" w:lineRule="exact"/>
              <w:rPr>
                <w:rFonts w:ascii="宋体" w:hAnsi="宋体" w:cs="宋体"/>
                <w:color w:val="auto"/>
                <w:szCs w:val="21"/>
                <w:highlight w:val="none"/>
              </w:rPr>
            </w:pPr>
          </w:p>
        </w:tc>
        <w:tc>
          <w:tcPr>
            <w:tcW w:w="4469" w:type="pct"/>
            <w:gridSpan w:val="2"/>
            <w:vAlign w:val="center"/>
          </w:tcPr>
          <w:p w14:paraId="30DDCE5C">
            <w:pPr>
              <w:spacing w:line="360" w:lineRule="exact"/>
              <w:rPr>
                <w:rFonts w:ascii="宋体" w:hAnsi="宋体" w:cs="宋体"/>
                <w:color w:val="auto"/>
                <w:szCs w:val="21"/>
                <w:highlight w:val="none"/>
              </w:rPr>
            </w:pPr>
            <w:r>
              <w:rPr>
                <w:rFonts w:hint="eastAsia" w:ascii="宋体" w:hAnsi="宋体" w:cs="宋体"/>
                <w:color w:val="auto"/>
                <w:szCs w:val="21"/>
                <w:highlight w:val="none"/>
              </w:rPr>
              <w:t>支持以图表的方式展现IP资源的实际使用情况，包括已使用、未使用IP地址以及每个IP地址的终端类型，协助管理员对IP资源进行整体规划，快速完成IP地址资源分配和回收登记管理。</w:t>
            </w:r>
          </w:p>
        </w:tc>
      </w:tr>
    </w:tbl>
    <w:p w14:paraId="23806F4C">
      <w:pPr>
        <w:keepNext/>
        <w:keepLines/>
        <w:spacing w:line="360" w:lineRule="auto"/>
        <w:outlineLvl w:val="0"/>
        <w:rPr>
          <w:rFonts w:ascii="宋体" w:hAnsi="宋体" w:cs="宋体"/>
          <w:b/>
          <w:color w:val="auto"/>
          <w:szCs w:val="21"/>
          <w:highlight w:val="none"/>
        </w:rPr>
      </w:pPr>
      <w:r>
        <w:rPr>
          <w:rFonts w:hint="eastAsia" w:ascii="宋体" w:hAnsi="宋体" w:cs="宋体"/>
          <w:b/>
          <w:color w:val="auto"/>
          <w:szCs w:val="21"/>
          <w:highlight w:val="none"/>
        </w:rPr>
        <w:t>3．上网行为管理服务</w:t>
      </w:r>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884"/>
        <w:gridCol w:w="961"/>
        <w:gridCol w:w="6481"/>
      </w:tblGrid>
      <w:tr w14:paraId="7387D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108" w:type="pct"/>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5AFFBDEF">
            <w:pPr>
              <w:spacing w:line="360" w:lineRule="exact"/>
              <w:jc w:val="center"/>
              <w:rPr>
                <w:rFonts w:ascii="宋体" w:hAnsi="宋体" w:cs="宋体"/>
                <w:b/>
                <w:color w:val="auto"/>
                <w:szCs w:val="21"/>
                <w:highlight w:val="none"/>
              </w:rPr>
            </w:pPr>
            <w:r>
              <w:rPr>
                <w:rFonts w:hint="eastAsia" w:ascii="宋体" w:hAnsi="宋体" w:cs="宋体"/>
                <w:b/>
                <w:color w:val="auto"/>
                <w:szCs w:val="21"/>
                <w:highlight w:val="none"/>
              </w:rPr>
              <w:t>技术指标</w:t>
            </w:r>
          </w:p>
        </w:tc>
        <w:tc>
          <w:tcPr>
            <w:tcW w:w="3892"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325A8005">
            <w:pPr>
              <w:spacing w:line="360" w:lineRule="exact"/>
              <w:jc w:val="center"/>
              <w:rPr>
                <w:rFonts w:ascii="宋体" w:hAnsi="宋体" w:cs="宋体"/>
                <w:b/>
                <w:color w:val="auto"/>
                <w:szCs w:val="21"/>
                <w:highlight w:val="none"/>
              </w:rPr>
            </w:pPr>
            <w:r>
              <w:rPr>
                <w:rFonts w:hint="eastAsia" w:ascii="宋体" w:hAnsi="宋体" w:cs="宋体"/>
                <w:b/>
                <w:color w:val="auto"/>
                <w:szCs w:val="21"/>
                <w:highlight w:val="none"/>
              </w:rPr>
              <w:t>技术要求</w:t>
            </w:r>
          </w:p>
        </w:tc>
      </w:tr>
      <w:tr w14:paraId="677B5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2" w:hRule="atLeast"/>
          <w:jc w:val="center"/>
        </w:trPr>
        <w:tc>
          <w:tcPr>
            <w:tcW w:w="1108" w:type="pct"/>
            <w:gridSpan w:val="2"/>
            <w:vMerge w:val="restart"/>
            <w:vAlign w:val="center"/>
          </w:tcPr>
          <w:p w14:paraId="29DEBE0B">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服务工具基本要求</w:t>
            </w:r>
          </w:p>
        </w:tc>
        <w:tc>
          <w:tcPr>
            <w:tcW w:w="3892" w:type="pct"/>
            <w:vAlign w:val="center"/>
          </w:tcPr>
          <w:p w14:paraId="23E43D4F">
            <w:pPr>
              <w:spacing w:line="360" w:lineRule="exact"/>
              <w:rPr>
                <w:rFonts w:ascii="宋体" w:hAnsi="宋体" w:cs="宋体"/>
                <w:color w:val="auto"/>
                <w:szCs w:val="21"/>
                <w:highlight w:val="none"/>
              </w:rPr>
            </w:pPr>
            <w:r>
              <w:rPr>
                <w:rFonts w:hint="eastAsia" w:ascii="宋体" w:hAnsi="宋体" w:cs="宋体"/>
                <w:color w:val="auto"/>
                <w:szCs w:val="21"/>
                <w:highlight w:val="none"/>
              </w:rPr>
              <w:t>网络层吞吐量≥3Gbps，应用层吞吐量≥1 Gbps</w:t>
            </w:r>
            <w:r>
              <w:rPr>
                <w:rFonts w:hint="eastAsia" w:ascii="宋体" w:hAnsi="宋体" w:cs="宋体"/>
                <w:color w:val="auto"/>
                <w:szCs w:val="21"/>
                <w:highlight w:val="none"/>
                <w:lang w:eastAsia="zh-CN"/>
              </w:rPr>
              <w:t>。</w:t>
            </w:r>
          </w:p>
        </w:tc>
      </w:tr>
      <w:tr w14:paraId="3EED7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49" w:hRule="atLeast"/>
          <w:jc w:val="center"/>
        </w:trPr>
        <w:tc>
          <w:tcPr>
            <w:tcW w:w="1108" w:type="pct"/>
            <w:gridSpan w:val="2"/>
            <w:vMerge w:val="continue"/>
            <w:vAlign w:val="center"/>
          </w:tcPr>
          <w:p w14:paraId="1A5C1E3C">
            <w:pPr>
              <w:spacing w:line="360" w:lineRule="exact"/>
              <w:jc w:val="center"/>
              <w:rPr>
                <w:rFonts w:ascii="宋体" w:hAnsi="宋体" w:cs="宋体"/>
                <w:color w:val="auto"/>
                <w:szCs w:val="21"/>
                <w:highlight w:val="none"/>
              </w:rPr>
            </w:pPr>
          </w:p>
        </w:tc>
        <w:tc>
          <w:tcPr>
            <w:tcW w:w="3892" w:type="pct"/>
            <w:vAlign w:val="center"/>
          </w:tcPr>
          <w:p w14:paraId="4C66A142">
            <w:pPr>
              <w:spacing w:line="360" w:lineRule="exact"/>
              <w:rPr>
                <w:rFonts w:ascii="宋体" w:hAnsi="宋体" w:cs="宋体"/>
                <w:color w:val="auto"/>
                <w:szCs w:val="21"/>
                <w:highlight w:val="none"/>
              </w:rPr>
            </w:pPr>
            <w:r>
              <w:rPr>
                <w:rFonts w:hint="eastAsia" w:ascii="宋体" w:hAnsi="宋体" w:cs="宋体"/>
                <w:color w:val="auto"/>
                <w:szCs w:val="21"/>
                <w:highlight w:val="none"/>
              </w:rPr>
              <w:t>≥4*GE电口</w:t>
            </w:r>
            <w:r>
              <w:rPr>
                <w:rFonts w:hint="eastAsia" w:ascii="宋体" w:hAnsi="宋体" w:cs="宋体"/>
                <w:color w:val="auto"/>
                <w:szCs w:val="21"/>
                <w:highlight w:val="none"/>
                <w:lang w:eastAsia="zh-CN"/>
              </w:rPr>
              <w:t>。</w:t>
            </w:r>
          </w:p>
        </w:tc>
      </w:tr>
      <w:tr w14:paraId="36A57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69" w:hRule="atLeast"/>
          <w:jc w:val="center"/>
        </w:trPr>
        <w:tc>
          <w:tcPr>
            <w:tcW w:w="1108" w:type="pct"/>
            <w:gridSpan w:val="2"/>
            <w:vAlign w:val="center"/>
          </w:tcPr>
          <w:p w14:paraId="1CF31438">
            <w:pPr>
              <w:spacing w:line="360" w:lineRule="exact"/>
              <w:ind w:firstLine="480"/>
              <w:jc w:val="center"/>
              <w:rPr>
                <w:rFonts w:ascii="宋体" w:hAnsi="宋体" w:cs="宋体"/>
                <w:color w:val="auto"/>
                <w:szCs w:val="21"/>
                <w:highlight w:val="none"/>
              </w:rPr>
            </w:pPr>
            <w:r>
              <w:rPr>
                <w:rFonts w:hint="eastAsia" w:ascii="宋体" w:hAnsi="宋体" w:cs="宋体"/>
                <w:color w:val="auto"/>
                <w:szCs w:val="21"/>
                <w:highlight w:val="none"/>
              </w:rPr>
              <w:t>路由支持</w:t>
            </w:r>
          </w:p>
        </w:tc>
        <w:tc>
          <w:tcPr>
            <w:tcW w:w="3892" w:type="pct"/>
            <w:vAlign w:val="center"/>
          </w:tcPr>
          <w:p w14:paraId="1CE6648D">
            <w:pPr>
              <w:spacing w:line="360" w:lineRule="exact"/>
              <w:rPr>
                <w:rFonts w:ascii="宋体" w:hAnsi="宋体" w:cs="宋体"/>
                <w:color w:val="auto"/>
                <w:szCs w:val="21"/>
                <w:highlight w:val="none"/>
              </w:rPr>
            </w:pPr>
            <w:r>
              <w:rPr>
                <w:rFonts w:hint="eastAsia" w:ascii="宋体" w:hAnsi="宋体" w:cs="宋体"/>
                <w:color w:val="auto"/>
                <w:szCs w:val="21"/>
                <w:highlight w:val="none"/>
              </w:rPr>
              <w:t>支持基于入接口、源地址、目标地址、用户、服务、应用、时间、域名的策略路由，提供Web配置界面截图。</w:t>
            </w:r>
          </w:p>
        </w:tc>
      </w:tr>
      <w:tr w14:paraId="49924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49" w:hRule="atLeast"/>
          <w:jc w:val="center"/>
        </w:trPr>
        <w:tc>
          <w:tcPr>
            <w:tcW w:w="531" w:type="pct"/>
            <w:vMerge w:val="restart"/>
            <w:vAlign w:val="center"/>
          </w:tcPr>
          <w:p w14:paraId="6C90635F">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行为管理</w:t>
            </w:r>
          </w:p>
        </w:tc>
        <w:tc>
          <w:tcPr>
            <w:tcW w:w="577" w:type="pct"/>
            <w:vMerge w:val="restart"/>
            <w:vAlign w:val="center"/>
          </w:tcPr>
          <w:p w14:paraId="7F47AD30">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应用识别</w:t>
            </w:r>
          </w:p>
        </w:tc>
        <w:tc>
          <w:tcPr>
            <w:tcW w:w="3892" w:type="pct"/>
            <w:vAlign w:val="center"/>
          </w:tcPr>
          <w:p w14:paraId="35A7D11E">
            <w:pPr>
              <w:spacing w:line="360" w:lineRule="exact"/>
              <w:rPr>
                <w:rFonts w:ascii="宋体" w:hAnsi="宋体" w:cs="宋体"/>
                <w:color w:val="auto"/>
                <w:szCs w:val="21"/>
                <w:highlight w:val="none"/>
              </w:rPr>
            </w:pPr>
            <w:r>
              <w:rPr>
                <w:rFonts w:hint="eastAsia" w:ascii="宋体" w:hAnsi="宋体" w:cs="宋体"/>
                <w:color w:val="auto"/>
                <w:szCs w:val="21"/>
                <w:highlight w:val="none"/>
              </w:rPr>
              <w:t>应用特征不少于5000个，移动应用不少于2000个。</w:t>
            </w:r>
          </w:p>
        </w:tc>
      </w:tr>
      <w:tr w14:paraId="41C9F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34" w:hRule="atLeast"/>
          <w:jc w:val="center"/>
        </w:trPr>
        <w:tc>
          <w:tcPr>
            <w:tcW w:w="531" w:type="pct"/>
            <w:vMerge w:val="continue"/>
            <w:vAlign w:val="center"/>
          </w:tcPr>
          <w:p w14:paraId="659A7F9C">
            <w:pPr>
              <w:spacing w:line="360" w:lineRule="exact"/>
              <w:jc w:val="center"/>
              <w:rPr>
                <w:rFonts w:ascii="宋体" w:hAnsi="宋体" w:cs="宋体"/>
                <w:color w:val="auto"/>
                <w:szCs w:val="21"/>
                <w:highlight w:val="none"/>
              </w:rPr>
            </w:pPr>
          </w:p>
        </w:tc>
        <w:tc>
          <w:tcPr>
            <w:tcW w:w="577" w:type="pct"/>
            <w:vMerge w:val="continue"/>
            <w:vAlign w:val="center"/>
          </w:tcPr>
          <w:p w14:paraId="3079E7CA">
            <w:pPr>
              <w:spacing w:line="360" w:lineRule="exact"/>
              <w:jc w:val="center"/>
              <w:rPr>
                <w:rFonts w:ascii="宋体" w:hAnsi="宋体" w:cs="宋体"/>
                <w:color w:val="auto"/>
                <w:szCs w:val="21"/>
                <w:highlight w:val="none"/>
              </w:rPr>
            </w:pPr>
          </w:p>
        </w:tc>
        <w:tc>
          <w:tcPr>
            <w:tcW w:w="3892" w:type="pct"/>
            <w:vAlign w:val="center"/>
          </w:tcPr>
          <w:p w14:paraId="4F6C8C87">
            <w:pPr>
              <w:spacing w:line="360" w:lineRule="exact"/>
              <w:rPr>
                <w:rFonts w:ascii="宋体" w:hAnsi="宋体" w:cs="宋体"/>
                <w:color w:val="auto"/>
                <w:szCs w:val="21"/>
                <w:highlight w:val="none"/>
              </w:rPr>
            </w:pPr>
            <w:r>
              <w:rPr>
                <w:rFonts w:hint="eastAsia" w:ascii="宋体" w:hAnsi="宋体" w:cs="宋体"/>
                <w:color w:val="auto"/>
                <w:szCs w:val="21"/>
                <w:highlight w:val="none"/>
              </w:rPr>
              <w:t>支持智能识别模式和快速识别模式，在智能识别模式下应用引擎尽可能地用各种方式识别网络流量，在快速识别模式下应用引擎将关闭部分智能分析功能以提高性能。</w:t>
            </w:r>
          </w:p>
        </w:tc>
      </w:tr>
      <w:tr w14:paraId="5FB21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9" w:hRule="atLeast"/>
          <w:jc w:val="center"/>
        </w:trPr>
        <w:tc>
          <w:tcPr>
            <w:tcW w:w="531" w:type="pct"/>
            <w:vMerge w:val="continue"/>
            <w:vAlign w:val="center"/>
          </w:tcPr>
          <w:p w14:paraId="307E88AD">
            <w:pPr>
              <w:spacing w:line="360" w:lineRule="exact"/>
              <w:jc w:val="center"/>
              <w:rPr>
                <w:rFonts w:ascii="宋体" w:hAnsi="宋体" w:cs="宋体"/>
                <w:color w:val="auto"/>
                <w:szCs w:val="21"/>
                <w:highlight w:val="none"/>
              </w:rPr>
            </w:pPr>
          </w:p>
        </w:tc>
        <w:tc>
          <w:tcPr>
            <w:tcW w:w="577" w:type="pct"/>
            <w:vMerge w:val="restart"/>
            <w:vAlign w:val="center"/>
          </w:tcPr>
          <w:p w14:paraId="0FC41837">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应用控制</w:t>
            </w:r>
          </w:p>
        </w:tc>
        <w:tc>
          <w:tcPr>
            <w:tcW w:w="3892" w:type="pct"/>
            <w:vAlign w:val="center"/>
          </w:tcPr>
          <w:p w14:paraId="4A44AC40">
            <w:pPr>
              <w:spacing w:line="360" w:lineRule="exact"/>
              <w:rPr>
                <w:rFonts w:ascii="宋体" w:hAnsi="宋体" w:cs="宋体"/>
                <w:color w:val="auto"/>
                <w:szCs w:val="21"/>
                <w:highlight w:val="none"/>
              </w:rPr>
            </w:pPr>
            <w:r>
              <w:rPr>
                <w:rFonts w:hint="eastAsia" w:ascii="宋体" w:hAnsi="宋体" w:cs="宋体"/>
                <w:color w:val="auto"/>
                <w:szCs w:val="21"/>
                <w:highlight w:val="none"/>
              </w:rPr>
              <w:t>支持针对搜索引擎、HTTP、网页内容进行关键字过滤并实时生成日志记录，日志级别包括但不少于紧急、告警、严重、通知、信息、调试、不记录等，方便管理员快速区分用户上网行为属性和定位日志级别。</w:t>
            </w:r>
          </w:p>
        </w:tc>
      </w:tr>
      <w:tr w14:paraId="0799D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3" w:hRule="atLeast"/>
          <w:jc w:val="center"/>
        </w:trPr>
        <w:tc>
          <w:tcPr>
            <w:tcW w:w="531" w:type="pct"/>
            <w:vMerge w:val="continue"/>
            <w:vAlign w:val="center"/>
          </w:tcPr>
          <w:p w14:paraId="5F6284B1">
            <w:pPr>
              <w:spacing w:line="360" w:lineRule="exact"/>
              <w:jc w:val="center"/>
              <w:rPr>
                <w:rFonts w:ascii="宋体" w:hAnsi="宋体" w:cs="宋体"/>
                <w:color w:val="auto"/>
                <w:szCs w:val="21"/>
                <w:highlight w:val="none"/>
              </w:rPr>
            </w:pPr>
          </w:p>
        </w:tc>
        <w:tc>
          <w:tcPr>
            <w:tcW w:w="577" w:type="pct"/>
            <w:vMerge w:val="continue"/>
            <w:vAlign w:val="center"/>
          </w:tcPr>
          <w:p w14:paraId="1BD2EF72">
            <w:pPr>
              <w:spacing w:line="360" w:lineRule="exact"/>
              <w:jc w:val="center"/>
              <w:rPr>
                <w:rFonts w:ascii="宋体" w:hAnsi="宋体" w:cs="宋体"/>
                <w:color w:val="auto"/>
                <w:szCs w:val="21"/>
                <w:highlight w:val="none"/>
              </w:rPr>
            </w:pPr>
          </w:p>
        </w:tc>
        <w:tc>
          <w:tcPr>
            <w:tcW w:w="3892" w:type="pct"/>
            <w:vAlign w:val="center"/>
          </w:tcPr>
          <w:p w14:paraId="5F8C90F6">
            <w:pPr>
              <w:spacing w:line="360" w:lineRule="exact"/>
              <w:rPr>
                <w:rFonts w:ascii="宋体" w:hAnsi="宋体" w:cs="宋体"/>
                <w:color w:val="auto"/>
                <w:szCs w:val="21"/>
                <w:highlight w:val="none"/>
              </w:rPr>
            </w:pPr>
            <w:r>
              <w:rPr>
                <w:rFonts w:hint="eastAsia" w:ascii="宋体" w:hAnsi="宋体" w:cs="宋体"/>
                <w:color w:val="auto"/>
                <w:szCs w:val="21"/>
                <w:highlight w:val="none"/>
              </w:rPr>
              <w:t>可识别多种文件类型，包括电影、音频、文本、图片、压缩文件（ZIP、RAR、GZ、BZ2、Z、THZ、TBZ、7Z、CAB、BZ等）、应用程序、OFFICE系列等；并支持对应用的文件传输行为进行上传、下载、双向的文件类型过滤。</w:t>
            </w:r>
          </w:p>
        </w:tc>
      </w:tr>
      <w:tr w14:paraId="26BC1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3" w:hRule="atLeast"/>
          <w:jc w:val="center"/>
        </w:trPr>
        <w:tc>
          <w:tcPr>
            <w:tcW w:w="531" w:type="pct"/>
            <w:vMerge w:val="continue"/>
            <w:vAlign w:val="center"/>
          </w:tcPr>
          <w:p w14:paraId="4FEA7396">
            <w:pPr>
              <w:spacing w:line="360" w:lineRule="exact"/>
              <w:jc w:val="center"/>
              <w:rPr>
                <w:rFonts w:ascii="宋体" w:hAnsi="宋体" w:cs="宋体"/>
                <w:color w:val="auto"/>
                <w:szCs w:val="21"/>
                <w:highlight w:val="none"/>
              </w:rPr>
            </w:pPr>
          </w:p>
        </w:tc>
        <w:tc>
          <w:tcPr>
            <w:tcW w:w="577" w:type="pct"/>
            <w:vMerge w:val="restart"/>
            <w:vAlign w:val="center"/>
          </w:tcPr>
          <w:p w14:paraId="224603AF">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防私接路由</w:t>
            </w:r>
          </w:p>
        </w:tc>
        <w:tc>
          <w:tcPr>
            <w:tcW w:w="3892" w:type="pct"/>
            <w:vAlign w:val="center"/>
          </w:tcPr>
          <w:p w14:paraId="5570B821">
            <w:pPr>
              <w:spacing w:line="360" w:lineRule="exact"/>
              <w:rPr>
                <w:rFonts w:ascii="宋体" w:hAnsi="宋体" w:cs="宋体"/>
                <w:color w:val="auto"/>
                <w:szCs w:val="21"/>
                <w:highlight w:val="none"/>
              </w:rPr>
            </w:pPr>
            <w:r>
              <w:rPr>
                <w:rFonts w:hint="eastAsia" w:ascii="宋体" w:hAnsi="宋体" w:cs="宋体"/>
                <w:color w:val="auto"/>
                <w:szCs w:val="21"/>
                <w:highlight w:val="none"/>
              </w:rPr>
              <w:t>支持防网络共享行为，针对私接路由器和非法无线热点行为进行识别和阻断；检测方式包括但不限于时间戳、UA识别、应用特征、Flash Cookie、微信长连接等。</w:t>
            </w:r>
          </w:p>
        </w:tc>
      </w:tr>
      <w:tr w14:paraId="364E8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3" w:hRule="atLeast"/>
          <w:jc w:val="center"/>
        </w:trPr>
        <w:tc>
          <w:tcPr>
            <w:tcW w:w="531" w:type="pct"/>
            <w:vMerge w:val="continue"/>
            <w:vAlign w:val="center"/>
          </w:tcPr>
          <w:p w14:paraId="56764D09">
            <w:pPr>
              <w:spacing w:line="360" w:lineRule="exact"/>
              <w:jc w:val="center"/>
              <w:rPr>
                <w:rFonts w:ascii="宋体" w:hAnsi="宋体" w:cs="宋体"/>
                <w:color w:val="auto"/>
                <w:szCs w:val="21"/>
                <w:highlight w:val="none"/>
              </w:rPr>
            </w:pPr>
          </w:p>
        </w:tc>
        <w:tc>
          <w:tcPr>
            <w:tcW w:w="577" w:type="pct"/>
            <w:vMerge w:val="continue"/>
            <w:vAlign w:val="center"/>
          </w:tcPr>
          <w:p w14:paraId="19A0F292">
            <w:pPr>
              <w:spacing w:line="360" w:lineRule="exact"/>
              <w:jc w:val="center"/>
              <w:rPr>
                <w:rFonts w:ascii="宋体" w:hAnsi="宋体" w:cs="宋体"/>
                <w:color w:val="auto"/>
                <w:szCs w:val="21"/>
                <w:highlight w:val="none"/>
              </w:rPr>
            </w:pPr>
          </w:p>
        </w:tc>
        <w:tc>
          <w:tcPr>
            <w:tcW w:w="3892" w:type="pct"/>
            <w:vAlign w:val="center"/>
          </w:tcPr>
          <w:p w14:paraId="04D5FF16">
            <w:pPr>
              <w:spacing w:line="360" w:lineRule="exact"/>
              <w:rPr>
                <w:rFonts w:ascii="宋体" w:hAnsi="宋体" w:cs="宋体"/>
                <w:color w:val="auto"/>
                <w:szCs w:val="21"/>
                <w:highlight w:val="none"/>
              </w:rPr>
            </w:pPr>
            <w:r>
              <w:rPr>
                <w:rFonts w:hint="eastAsia" w:ascii="宋体" w:hAnsi="宋体" w:cs="宋体"/>
                <w:color w:val="auto"/>
                <w:szCs w:val="21"/>
                <w:highlight w:val="none"/>
              </w:rPr>
              <w:t>针对私接网络行为，惩罚方式包括但不限于无操作、阻断和限速，阻断和限速支持自定义惩罚时长。</w:t>
            </w:r>
          </w:p>
        </w:tc>
      </w:tr>
      <w:tr w14:paraId="50329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3" w:hRule="atLeast"/>
          <w:jc w:val="center"/>
        </w:trPr>
        <w:tc>
          <w:tcPr>
            <w:tcW w:w="531" w:type="pct"/>
            <w:vMerge w:val="continue"/>
            <w:vAlign w:val="center"/>
          </w:tcPr>
          <w:p w14:paraId="68E7B4A7">
            <w:pPr>
              <w:spacing w:line="360" w:lineRule="exact"/>
              <w:jc w:val="center"/>
              <w:rPr>
                <w:rFonts w:ascii="宋体" w:hAnsi="宋体" w:cs="宋体"/>
                <w:color w:val="auto"/>
                <w:szCs w:val="21"/>
                <w:highlight w:val="none"/>
              </w:rPr>
            </w:pPr>
          </w:p>
        </w:tc>
        <w:tc>
          <w:tcPr>
            <w:tcW w:w="577" w:type="pct"/>
            <w:vAlign w:val="center"/>
          </w:tcPr>
          <w:p w14:paraId="33315879">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数据分析</w:t>
            </w:r>
          </w:p>
        </w:tc>
        <w:tc>
          <w:tcPr>
            <w:tcW w:w="3892" w:type="pct"/>
            <w:vAlign w:val="center"/>
          </w:tcPr>
          <w:p w14:paraId="3EDBD7F1">
            <w:pPr>
              <w:spacing w:line="360" w:lineRule="exact"/>
              <w:rPr>
                <w:rFonts w:ascii="宋体" w:hAnsi="宋体" w:cs="宋体"/>
                <w:color w:val="auto"/>
                <w:szCs w:val="21"/>
                <w:highlight w:val="none"/>
              </w:rPr>
            </w:pPr>
            <w:r>
              <w:rPr>
                <w:rFonts w:hint="eastAsia" w:ascii="宋体" w:hAnsi="宋体" w:cs="宋体"/>
                <w:color w:val="auto"/>
                <w:szCs w:val="21"/>
                <w:highlight w:val="none"/>
              </w:rPr>
              <w:t>支持用户全天行为分析，一个界面同时展示用户名、用户组、在线时长、虚拟身份（如QQ号码、微博账号等）、日志关联情况、全天流量使用分布、网站访问类别分布、全天关键网络行为轴等信息。</w:t>
            </w:r>
          </w:p>
        </w:tc>
      </w:tr>
      <w:tr w14:paraId="56774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3" w:hRule="atLeast"/>
          <w:jc w:val="center"/>
        </w:trPr>
        <w:tc>
          <w:tcPr>
            <w:tcW w:w="531" w:type="pct"/>
            <w:vMerge w:val="continue"/>
            <w:vAlign w:val="center"/>
          </w:tcPr>
          <w:p w14:paraId="1642B2EC">
            <w:pPr>
              <w:spacing w:line="360" w:lineRule="exact"/>
              <w:jc w:val="center"/>
              <w:rPr>
                <w:rFonts w:ascii="宋体" w:hAnsi="宋体" w:cs="宋体"/>
                <w:color w:val="auto"/>
                <w:szCs w:val="21"/>
                <w:highlight w:val="none"/>
              </w:rPr>
            </w:pPr>
          </w:p>
        </w:tc>
        <w:tc>
          <w:tcPr>
            <w:tcW w:w="577" w:type="pct"/>
            <w:vAlign w:val="center"/>
          </w:tcPr>
          <w:p w14:paraId="6303A4F9">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流量管理</w:t>
            </w:r>
          </w:p>
        </w:tc>
        <w:tc>
          <w:tcPr>
            <w:tcW w:w="3892" w:type="pct"/>
            <w:vAlign w:val="center"/>
          </w:tcPr>
          <w:p w14:paraId="0EBB71DF">
            <w:pPr>
              <w:spacing w:line="360" w:lineRule="exact"/>
              <w:rPr>
                <w:rFonts w:ascii="宋体" w:hAnsi="宋体" w:cs="宋体"/>
                <w:color w:val="auto"/>
                <w:szCs w:val="21"/>
                <w:highlight w:val="none"/>
              </w:rPr>
            </w:pPr>
            <w:r>
              <w:rPr>
                <w:rFonts w:hint="eastAsia" w:ascii="宋体" w:hAnsi="宋体" w:cs="宋体"/>
                <w:color w:val="auto"/>
                <w:szCs w:val="21"/>
                <w:highlight w:val="none"/>
              </w:rPr>
              <w:t>支持基于线路和多层通道嵌套的带宽管理和流量控制功能，提供至少四层管道嵌套；支持基于地址、用户、服务、应用、时间、终端型号、VLAN、DSCP等匹配条件进行流量控制；并支持配置保障带宽、最大带宽、每IP带宽、每用户带宽、带宽优先级等QoS动作。</w:t>
            </w:r>
          </w:p>
        </w:tc>
      </w:tr>
    </w:tbl>
    <w:p w14:paraId="6BE47B7B">
      <w:pPr>
        <w:keepNext/>
        <w:keepLines/>
        <w:spacing w:line="360" w:lineRule="auto"/>
        <w:outlineLvl w:val="0"/>
        <w:rPr>
          <w:rFonts w:ascii="宋体" w:hAnsi="宋体" w:cs="宋体"/>
          <w:b/>
          <w:color w:val="auto"/>
          <w:szCs w:val="21"/>
          <w:highlight w:val="none"/>
        </w:rPr>
      </w:pPr>
      <w:r>
        <w:rPr>
          <w:rFonts w:hint="eastAsia" w:ascii="宋体" w:hAnsi="宋体" w:cs="宋体"/>
          <w:b/>
          <w:color w:val="auto"/>
          <w:szCs w:val="21"/>
          <w:highlight w:val="none"/>
        </w:rPr>
        <w:t>4．互联网大数据安全分析服务</w:t>
      </w:r>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886"/>
        <w:gridCol w:w="1399"/>
        <w:gridCol w:w="6041"/>
      </w:tblGrid>
      <w:tr w14:paraId="6CA7E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372" w:type="pct"/>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19838442">
            <w:pPr>
              <w:spacing w:line="360" w:lineRule="exact"/>
              <w:jc w:val="center"/>
              <w:rPr>
                <w:rFonts w:ascii="宋体" w:hAnsi="宋体" w:cs="宋体"/>
                <w:b/>
                <w:color w:val="auto"/>
                <w:szCs w:val="21"/>
                <w:highlight w:val="none"/>
              </w:rPr>
            </w:pPr>
            <w:r>
              <w:rPr>
                <w:rFonts w:hint="eastAsia" w:ascii="宋体" w:hAnsi="宋体" w:cs="宋体"/>
                <w:b/>
                <w:color w:val="auto"/>
                <w:szCs w:val="21"/>
                <w:highlight w:val="none"/>
              </w:rPr>
              <w:t>技术指标</w:t>
            </w:r>
          </w:p>
        </w:tc>
        <w:tc>
          <w:tcPr>
            <w:tcW w:w="3627"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1241A54B">
            <w:pPr>
              <w:spacing w:line="360" w:lineRule="exact"/>
              <w:jc w:val="center"/>
              <w:rPr>
                <w:rFonts w:ascii="宋体" w:hAnsi="宋体" w:cs="宋体"/>
                <w:b/>
                <w:color w:val="auto"/>
                <w:szCs w:val="21"/>
                <w:highlight w:val="none"/>
              </w:rPr>
            </w:pPr>
            <w:r>
              <w:rPr>
                <w:rFonts w:hint="eastAsia" w:ascii="宋体" w:hAnsi="宋体" w:cs="宋体"/>
                <w:b/>
                <w:color w:val="auto"/>
                <w:szCs w:val="21"/>
                <w:highlight w:val="none"/>
              </w:rPr>
              <w:t>技术要求</w:t>
            </w:r>
          </w:p>
        </w:tc>
      </w:tr>
      <w:tr w14:paraId="309D5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2" w:hRule="atLeast"/>
          <w:jc w:val="center"/>
        </w:trPr>
        <w:tc>
          <w:tcPr>
            <w:tcW w:w="1372" w:type="pct"/>
            <w:gridSpan w:val="2"/>
            <w:vMerge w:val="restart"/>
            <w:vAlign w:val="center"/>
          </w:tcPr>
          <w:p w14:paraId="1B45F3B2">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服务工具基本要求</w:t>
            </w:r>
          </w:p>
        </w:tc>
        <w:tc>
          <w:tcPr>
            <w:tcW w:w="3627" w:type="pct"/>
            <w:vAlign w:val="center"/>
          </w:tcPr>
          <w:p w14:paraId="6A8C29D8">
            <w:pPr>
              <w:spacing w:line="360" w:lineRule="exact"/>
              <w:rPr>
                <w:rFonts w:ascii="宋体" w:hAnsi="宋体" w:cs="宋体"/>
                <w:color w:val="auto"/>
                <w:szCs w:val="21"/>
                <w:highlight w:val="none"/>
              </w:rPr>
            </w:pPr>
            <w:r>
              <w:rPr>
                <w:rFonts w:hint="eastAsia" w:ascii="宋体" w:hAnsi="宋体" w:cs="宋体"/>
                <w:color w:val="auto"/>
                <w:szCs w:val="21"/>
                <w:highlight w:val="none"/>
              </w:rPr>
              <w:t>CPU10核20线程 ，内存96GB，硬盘：16T，千兆电口*4。</w:t>
            </w:r>
          </w:p>
        </w:tc>
      </w:tr>
      <w:tr w14:paraId="0004C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37" w:hRule="atLeast"/>
          <w:jc w:val="center"/>
        </w:trPr>
        <w:tc>
          <w:tcPr>
            <w:tcW w:w="1372" w:type="pct"/>
            <w:gridSpan w:val="2"/>
            <w:vMerge w:val="continue"/>
            <w:vAlign w:val="center"/>
          </w:tcPr>
          <w:p w14:paraId="6E05942C">
            <w:pPr>
              <w:spacing w:line="360" w:lineRule="exact"/>
              <w:jc w:val="center"/>
              <w:rPr>
                <w:rFonts w:ascii="宋体" w:hAnsi="宋体" w:cs="宋体"/>
                <w:color w:val="auto"/>
                <w:szCs w:val="21"/>
                <w:highlight w:val="none"/>
              </w:rPr>
            </w:pPr>
          </w:p>
        </w:tc>
        <w:tc>
          <w:tcPr>
            <w:tcW w:w="3627" w:type="pct"/>
            <w:vAlign w:val="center"/>
          </w:tcPr>
          <w:p w14:paraId="1ACD305A">
            <w:pPr>
              <w:spacing w:line="360" w:lineRule="exact"/>
              <w:rPr>
                <w:rFonts w:ascii="宋体" w:hAnsi="宋体" w:cs="宋体"/>
                <w:color w:val="auto"/>
                <w:szCs w:val="21"/>
                <w:highlight w:val="none"/>
              </w:rPr>
            </w:pPr>
            <w:r>
              <w:rPr>
                <w:rFonts w:hint="eastAsia" w:ascii="宋体" w:hAnsi="宋体" w:cs="宋体"/>
                <w:color w:val="auto"/>
                <w:szCs w:val="21"/>
                <w:highlight w:val="none"/>
              </w:rPr>
              <w:t>数据采集和处理性能≥5000EPS，每条数据大小&gt;1KB；</w:t>
            </w:r>
          </w:p>
          <w:p w14:paraId="1E8F0F78">
            <w:pPr>
              <w:spacing w:line="360" w:lineRule="exact"/>
              <w:rPr>
                <w:rFonts w:ascii="宋体" w:hAnsi="宋体" w:cs="宋体"/>
                <w:color w:val="auto"/>
                <w:szCs w:val="21"/>
                <w:highlight w:val="none"/>
              </w:rPr>
            </w:pPr>
            <w:r>
              <w:rPr>
                <w:rFonts w:hint="eastAsia" w:ascii="宋体" w:hAnsi="宋体" w:cs="宋体"/>
                <w:color w:val="auto"/>
                <w:szCs w:val="21"/>
                <w:highlight w:val="none"/>
              </w:rPr>
              <w:t>10亿数据关键字查询结果响应时间&lt;2秒。</w:t>
            </w:r>
          </w:p>
        </w:tc>
      </w:tr>
      <w:tr w14:paraId="3437D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0" w:hRule="atLeast"/>
          <w:jc w:val="center"/>
        </w:trPr>
        <w:tc>
          <w:tcPr>
            <w:tcW w:w="1372" w:type="pct"/>
            <w:gridSpan w:val="2"/>
            <w:vMerge w:val="continue"/>
            <w:vAlign w:val="center"/>
          </w:tcPr>
          <w:p w14:paraId="015FA5EB">
            <w:pPr>
              <w:spacing w:line="360" w:lineRule="exact"/>
              <w:jc w:val="center"/>
              <w:rPr>
                <w:rFonts w:ascii="宋体" w:hAnsi="宋体" w:cs="宋体"/>
                <w:color w:val="auto"/>
                <w:szCs w:val="21"/>
                <w:highlight w:val="none"/>
              </w:rPr>
            </w:pPr>
          </w:p>
        </w:tc>
        <w:tc>
          <w:tcPr>
            <w:tcW w:w="3627" w:type="pct"/>
            <w:vAlign w:val="center"/>
          </w:tcPr>
          <w:p w14:paraId="7B2190BD">
            <w:pPr>
              <w:spacing w:line="360" w:lineRule="exact"/>
              <w:rPr>
                <w:rFonts w:ascii="宋体" w:hAnsi="宋体" w:cs="宋体"/>
                <w:color w:val="auto"/>
                <w:szCs w:val="21"/>
                <w:highlight w:val="none"/>
              </w:rPr>
            </w:pPr>
            <w:r>
              <w:rPr>
                <w:rFonts w:hint="eastAsia" w:ascii="宋体" w:hAnsi="宋体" w:cs="宋体"/>
                <w:color w:val="auto"/>
                <w:szCs w:val="21"/>
                <w:highlight w:val="none"/>
              </w:rPr>
              <w:t>大数据分析平台中的安全数据，包括告警数据、资产数据、工单等至少20种可共享给第三方系统，实现数据共享和交换。</w:t>
            </w:r>
          </w:p>
        </w:tc>
      </w:tr>
      <w:tr w14:paraId="59636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69" w:hRule="atLeast"/>
          <w:jc w:val="center"/>
        </w:trPr>
        <w:tc>
          <w:tcPr>
            <w:tcW w:w="532" w:type="pct"/>
            <w:vMerge w:val="restart"/>
            <w:vAlign w:val="center"/>
          </w:tcPr>
          <w:p w14:paraId="5B2F6194">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安全检测能力</w:t>
            </w:r>
          </w:p>
        </w:tc>
        <w:tc>
          <w:tcPr>
            <w:tcW w:w="840" w:type="pct"/>
            <w:vAlign w:val="center"/>
          </w:tcPr>
          <w:p w14:paraId="5FCFA8E2">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行为审计与可疑通信检测</w:t>
            </w:r>
          </w:p>
        </w:tc>
        <w:tc>
          <w:tcPr>
            <w:tcW w:w="3627" w:type="pct"/>
            <w:vAlign w:val="center"/>
          </w:tcPr>
          <w:p w14:paraId="77FEE4E8">
            <w:pPr>
              <w:spacing w:line="360" w:lineRule="exact"/>
              <w:rPr>
                <w:rFonts w:ascii="宋体" w:hAnsi="宋体" w:cs="宋体"/>
                <w:color w:val="auto"/>
                <w:szCs w:val="21"/>
                <w:highlight w:val="none"/>
              </w:rPr>
            </w:pPr>
            <w:r>
              <w:rPr>
                <w:rFonts w:hint="eastAsia" w:ascii="宋体" w:hAnsi="宋体" w:cs="宋体"/>
                <w:color w:val="auto"/>
                <w:szCs w:val="21"/>
                <w:highlight w:val="none"/>
              </w:rPr>
              <w:t>支持违规操作、违规访问、违规应用、违规外发等300种以上行为审计检测规则，可针对任意单条规则进行启用和禁用。</w:t>
            </w:r>
          </w:p>
        </w:tc>
      </w:tr>
      <w:tr w14:paraId="125BF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49" w:hRule="atLeast"/>
          <w:jc w:val="center"/>
        </w:trPr>
        <w:tc>
          <w:tcPr>
            <w:tcW w:w="532" w:type="pct"/>
            <w:vMerge w:val="continue"/>
            <w:vAlign w:val="center"/>
          </w:tcPr>
          <w:p w14:paraId="5D48D9F5">
            <w:pPr>
              <w:spacing w:line="360" w:lineRule="exact"/>
              <w:jc w:val="center"/>
              <w:rPr>
                <w:rFonts w:ascii="宋体" w:hAnsi="宋体" w:cs="宋体"/>
                <w:color w:val="auto"/>
                <w:szCs w:val="21"/>
                <w:highlight w:val="none"/>
              </w:rPr>
            </w:pPr>
          </w:p>
        </w:tc>
        <w:tc>
          <w:tcPr>
            <w:tcW w:w="840" w:type="pct"/>
            <w:vAlign w:val="center"/>
          </w:tcPr>
          <w:p w14:paraId="6B6879B1">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扫描探查检测</w:t>
            </w:r>
          </w:p>
        </w:tc>
        <w:tc>
          <w:tcPr>
            <w:tcW w:w="3627" w:type="pct"/>
            <w:vAlign w:val="center"/>
          </w:tcPr>
          <w:p w14:paraId="135A0078">
            <w:pPr>
              <w:spacing w:line="360" w:lineRule="exact"/>
              <w:rPr>
                <w:rFonts w:ascii="宋体" w:hAnsi="宋体" w:cs="宋体"/>
                <w:color w:val="auto"/>
                <w:szCs w:val="21"/>
                <w:highlight w:val="none"/>
              </w:rPr>
            </w:pPr>
            <w:r>
              <w:rPr>
                <w:rFonts w:hint="eastAsia" w:ascii="宋体" w:hAnsi="宋体" w:cs="宋体"/>
                <w:color w:val="auto"/>
                <w:szCs w:val="21"/>
                <w:highlight w:val="none"/>
              </w:rPr>
              <w:t>支持端口扫描、服务扫描、Web扫描、扫描器指纹检测等300种以上的扫描探查检测规则，可针对任意单条规则进行启用和禁用</w:t>
            </w:r>
          </w:p>
        </w:tc>
      </w:tr>
      <w:tr w14:paraId="51B75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34" w:hRule="atLeast"/>
          <w:jc w:val="center"/>
        </w:trPr>
        <w:tc>
          <w:tcPr>
            <w:tcW w:w="532" w:type="pct"/>
            <w:vMerge w:val="continue"/>
            <w:vAlign w:val="center"/>
          </w:tcPr>
          <w:p w14:paraId="1CE82D6E">
            <w:pPr>
              <w:spacing w:line="360" w:lineRule="exact"/>
              <w:jc w:val="center"/>
              <w:rPr>
                <w:rFonts w:ascii="宋体" w:hAnsi="宋体" w:cs="宋体"/>
                <w:color w:val="auto"/>
                <w:szCs w:val="21"/>
                <w:highlight w:val="none"/>
              </w:rPr>
            </w:pPr>
          </w:p>
        </w:tc>
        <w:tc>
          <w:tcPr>
            <w:tcW w:w="840" w:type="pct"/>
            <w:vAlign w:val="center"/>
          </w:tcPr>
          <w:p w14:paraId="58F3D82C">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恶意文件检测</w:t>
            </w:r>
          </w:p>
        </w:tc>
        <w:tc>
          <w:tcPr>
            <w:tcW w:w="3627" w:type="pct"/>
            <w:vAlign w:val="center"/>
          </w:tcPr>
          <w:p w14:paraId="4E6BE6F3">
            <w:pPr>
              <w:spacing w:line="360" w:lineRule="exact"/>
              <w:rPr>
                <w:rFonts w:ascii="宋体" w:hAnsi="宋体" w:cs="宋体"/>
                <w:color w:val="auto"/>
                <w:szCs w:val="21"/>
                <w:highlight w:val="none"/>
              </w:rPr>
            </w:pPr>
            <w:r>
              <w:rPr>
                <w:rFonts w:hint="eastAsia" w:ascii="宋体" w:hAnsi="宋体" w:cs="宋体"/>
                <w:color w:val="auto"/>
                <w:szCs w:val="21"/>
                <w:highlight w:val="none"/>
              </w:rPr>
              <w:t>支持挖矿活动、流氓软件、可疑文件、勒索软件、僵木蠕、Webshell等18000种以上恶意程序检测规则，可针对任意单条规则进行启用和禁用。</w:t>
            </w:r>
          </w:p>
        </w:tc>
      </w:tr>
      <w:tr w14:paraId="6B240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34" w:hRule="atLeast"/>
          <w:jc w:val="center"/>
        </w:trPr>
        <w:tc>
          <w:tcPr>
            <w:tcW w:w="532" w:type="pct"/>
            <w:vMerge w:val="restart"/>
            <w:vAlign w:val="center"/>
          </w:tcPr>
          <w:p w14:paraId="066A000C">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安全检测能力</w:t>
            </w:r>
          </w:p>
        </w:tc>
        <w:tc>
          <w:tcPr>
            <w:tcW w:w="840" w:type="pct"/>
            <w:vAlign w:val="center"/>
          </w:tcPr>
          <w:p w14:paraId="4EC70D76">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终端溯源</w:t>
            </w:r>
          </w:p>
        </w:tc>
        <w:tc>
          <w:tcPr>
            <w:tcW w:w="3627" w:type="pct"/>
            <w:vAlign w:val="center"/>
          </w:tcPr>
          <w:p w14:paraId="0D63D6EF">
            <w:pPr>
              <w:spacing w:line="360" w:lineRule="exact"/>
              <w:rPr>
                <w:rFonts w:ascii="宋体" w:hAnsi="宋体" w:cs="宋体"/>
                <w:color w:val="auto"/>
                <w:szCs w:val="21"/>
                <w:highlight w:val="none"/>
              </w:rPr>
            </w:pPr>
            <w:r>
              <w:rPr>
                <w:rFonts w:hint="eastAsia" w:ascii="宋体" w:hAnsi="宋体" w:cs="宋体"/>
                <w:color w:val="auto"/>
                <w:szCs w:val="21"/>
                <w:highlight w:val="none"/>
              </w:rPr>
              <w:t>能够对威胁告警事件提供全面的可视化溯源能力。从事件关联的设备、涉及到的恶意进程的父子关系，到每个进程运行时间、详细路径、文件安全等级、网络访问关系、进程调用关系等清晰呈现，最终追溯到恶意事件根源，还原威胁真实目的、了解入侵路径、评估响应范围。</w:t>
            </w:r>
          </w:p>
        </w:tc>
      </w:tr>
      <w:tr w14:paraId="5B3D2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34" w:hRule="atLeast"/>
          <w:jc w:val="center"/>
        </w:trPr>
        <w:tc>
          <w:tcPr>
            <w:tcW w:w="532" w:type="pct"/>
            <w:vMerge w:val="continue"/>
            <w:vAlign w:val="center"/>
          </w:tcPr>
          <w:p w14:paraId="6EB093C3">
            <w:pPr>
              <w:spacing w:line="360" w:lineRule="exact"/>
              <w:jc w:val="center"/>
              <w:rPr>
                <w:rFonts w:ascii="宋体" w:hAnsi="宋体" w:cs="宋体"/>
                <w:color w:val="auto"/>
                <w:szCs w:val="21"/>
                <w:highlight w:val="none"/>
              </w:rPr>
            </w:pPr>
          </w:p>
        </w:tc>
        <w:tc>
          <w:tcPr>
            <w:tcW w:w="840" w:type="pct"/>
            <w:vAlign w:val="center"/>
          </w:tcPr>
          <w:p w14:paraId="3532BD9F">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远程处置</w:t>
            </w:r>
          </w:p>
        </w:tc>
        <w:tc>
          <w:tcPr>
            <w:tcW w:w="3627" w:type="pct"/>
            <w:vAlign w:val="center"/>
          </w:tcPr>
          <w:p w14:paraId="76445BC7">
            <w:pPr>
              <w:spacing w:line="360" w:lineRule="exact"/>
              <w:rPr>
                <w:rFonts w:ascii="宋体" w:hAnsi="宋体" w:cs="宋体"/>
                <w:color w:val="auto"/>
                <w:szCs w:val="21"/>
                <w:highlight w:val="none"/>
              </w:rPr>
            </w:pPr>
            <w:r>
              <w:rPr>
                <w:rFonts w:hint="eastAsia" w:ascii="宋体" w:hAnsi="宋体" w:cs="宋体"/>
                <w:color w:val="auto"/>
                <w:szCs w:val="21"/>
                <w:highlight w:val="none"/>
              </w:rPr>
              <w:t>支持多种终端处置动作，如进程隔离、文件隔离、进程结束、网络隔离等，支持命令行方式操作终端操作系统。</w:t>
            </w:r>
          </w:p>
        </w:tc>
      </w:tr>
      <w:tr w14:paraId="39325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34" w:hRule="atLeast"/>
          <w:jc w:val="center"/>
        </w:trPr>
        <w:tc>
          <w:tcPr>
            <w:tcW w:w="532" w:type="pct"/>
            <w:vMerge w:val="restart"/>
            <w:vAlign w:val="center"/>
          </w:tcPr>
          <w:p w14:paraId="70202F97">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安全分析能力</w:t>
            </w:r>
          </w:p>
        </w:tc>
        <w:tc>
          <w:tcPr>
            <w:tcW w:w="840" w:type="pct"/>
            <w:vAlign w:val="center"/>
          </w:tcPr>
          <w:p w14:paraId="0C915DD6">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AI高级分析</w:t>
            </w:r>
          </w:p>
        </w:tc>
        <w:tc>
          <w:tcPr>
            <w:tcW w:w="3627" w:type="pct"/>
            <w:vAlign w:val="center"/>
          </w:tcPr>
          <w:p w14:paraId="2342501A">
            <w:pPr>
              <w:spacing w:line="360" w:lineRule="exact"/>
              <w:rPr>
                <w:rFonts w:ascii="宋体" w:hAnsi="宋体" w:cs="宋体"/>
                <w:color w:val="auto"/>
                <w:szCs w:val="21"/>
                <w:highlight w:val="none"/>
              </w:rPr>
            </w:pPr>
            <w:r>
              <w:rPr>
                <w:rFonts w:hint="eastAsia" w:ascii="宋体" w:hAnsi="宋体" w:cs="宋体"/>
                <w:color w:val="auto"/>
                <w:szCs w:val="21"/>
                <w:highlight w:val="none"/>
              </w:rPr>
              <w:t>平台内置不少于3种机器学习分析场景模型，可Web攻击检测分析、DGA域名检测分析、钓鱼邮件检测分析等特定场景条件下的安全态势异常。</w:t>
            </w:r>
          </w:p>
        </w:tc>
      </w:tr>
      <w:tr w14:paraId="6DD0F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34" w:hRule="atLeast"/>
          <w:jc w:val="center"/>
        </w:trPr>
        <w:tc>
          <w:tcPr>
            <w:tcW w:w="532" w:type="pct"/>
            <w:vMerge w:val="continue"/>
            <w:vAlign w:val="center"/>
          </w:tcPr>
          <w:p w14:paraId="416477D5">
            <w:pPr>
              <w:spacing w:line="360" w:lineRule="exact"/>
              <w:jc w:val="center"/>
              <w:rPr>
                <w:rFonts w:ascii="宋体" w:hAnsi="宋体" w:cs="宋体"/>
                <w:color w:val="auto"/>
                <w:szCs w:val="21"/>
                <w:highlight w:val="none"/>
              </w:rPr>
            </w:pPr>
          </w:p>
        </w:tc>
        <w:tc>
          <w:tcPr>
            <w:tcW w:w="840" w:type="pct"/>
            <w:vAlign w:val="center"/>
          </w:tcPr>
          <w:p w14:paraId="0B22D448">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威胁情报分析</w:t>
            </w:r>
          </w:p>
        </w:tc>
        <w:tc>
          <w:tcPr>
            <w:tcW w:w="3627" w:type="pct"/>
            <w:vAlign w:val="center"/>
          </w:tcPr>
          <w:p w14:paraId="7A0D0921">
            <w:pPr>
              <w:spacing w:line="360" w:lineRule="exact"/>
              <w:rPr>
                <w:rFonts w:ascii="宋体" w:hAnsi="宋体" w:cs="宋体"/>
                <w:color w:val="auto"/>
                <w:szCs w:val="21"/>
                <w:highlight w:val="none"/>
              </w:rPr>
            </w:pPr>
            <w:r>
              <w:rPr>
                <w:rFonts w:hint="eastAsia" w:ascii="宋体" w:hAnsi="宋体" w:cs="宋体"/>
                <w:color w:val="auto"/>
                <w:szCs w:val="21"/>
                <w:highlight w:val="none"/>
              </w:rPr>
              <w:t>支持对接威胁情报中心，支持情报离线更新及在线更新，支持查看情报源中有效情报数、最近更新条数、最近更新时间、今日更新情报数、昨日命中情报数等；支持对接第三方威胁情报平台，支持配置情报碰撞接口及查询接口，支持查看请求接口数、今日情报请次数、昨日命中情报数，支持设置接口请求频率阈值，进行接口请求限制。</w:t>
            </w:r>
          </w:p>
        </w:tc>
      </w:tr>
      <w:tr w14:paraId="303EE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34" w:hRule="atLeast"/>
          <w:jc w:val="center"/>
        </w:trPr>
        <w:tc>
          <w:tcPr>
            <w:tcW w:w="532" w:type="pct"/>
            <w:vMerge w:val="continue"/>
            <w:vAlign w:val="center"/>
          </w:tcPr>
          <w:p w14:paraId="7BF829D6">
            <w:pPr>
              <w:spacing w:line="360" w:lineRule="exact"/>
              <w:jc w:val="center"/>
              <w:rPr>
                <w:rFonts w:ascii="宋体" w:hAnsi="宋体" w:cs="宋体"/>
                <w:color w:val="auto"/>
                <w:szCs w:val="21"/>
                <w:highlight w:val="none"/>
              </w:rPr>
            </w:pPr>
          </w:p>
        </w:tc>
        <w:tc>
          <w:tcPr>
            <w:tcW w:w="840" w:type="pct"/>
            <w:vAlign w:val="center"/>
          </w:tcPr>
          <w:p w14:paraId="1780FB7B">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威胁狩猎</w:t>
            </w:r>
          </w:p>
        </w:tc>
        <w:tc>
          <w:tcPr>
            <w:tcW w:w="3627" w:type="pct"/>
            <w:vAlign w:val="center"/>
          </w:tcPr>
          <w:p w14:paraId="3FCC78FB">
            <w:pPr>
              <w:spacing w:line="360" w:lineRule="exact"/>
              <w:rPr>
                <w:rFonts w:ascii="宋体" w:hAnsi="宋体" w:cs="宋体"/>
                <w:color w:val="auto"/>
                <w:szCs w:val="21"/>
                <w:highlight w:val="none"/>
              </w:rPr>
            </w:pPr>
            <w:r>
              <w:rPr>
                <w:rFonts w:hint="eastAsia" w:ascii="宋体" w:hAnsi="宋体" w:cs="宋体"/>
                <w:color w:val="auto"/>
                <w:szCs w:val="21"/>
                <w:highlight w:val="none"/>
              </w:rPr>
              <w:t>实现实体间网络互访关系的多级钻取，支持通过端口、协议、异常访问类型、攻击链等过滤关联关系，支持通过一键溯源进行威胁关系的自动拓展。</w:t>
            </w:r>
          </w:p>
        </w:tc>
      </w:tr>
      <w:tr w14:paraId="701D3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34" w:hRule="atLeast"/>
          <w:jc w:val="center"/>
        </w:trPr>
        <w:tc>
          <w:tcPr>
            <w:tcW w:w="532" w:type="pct"/>
            <w:vMerge w:val="continue"/>
            <w:vAlign w:val="center"/>
          </w:tcPr>
          <w:p w14:paraId="0835685C">
            <w:pPr>
              <w:spacing w:line="360" w:lineRule="exact"/>
              <w:jc w:val="center"/>
              <w:rPr>
                <w:rFonts w:ascii="宋体" w:hAnsi="宋体" w:cs="宋体"/>
                <w:color w:val="auto"/>
                <w:szCs w:val="21"/>
                <w:highlight w:val="none"/>
              </w:rPr>
            </w:pPr>
          </w:p>
        </w:tc>
        <w:tc>
          <w:tcPr>
            <w:tcW w:w="840" w:type="pct"/>
            <w:vAlign w:val="center"/>
          </w:tcPr>
          <w:p w14:paraId="51B87777">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设备联动</w:t>
            </w:r>
          </w:p>
        </w:tc>
        <w:tc>
          <w:tcPr>
            <w:tcW w:w="3627" w:type="pct"/>
            <w:vAlign w:val="center"/>
          </w:tcPr>
          <w:p w14:paraId="2243B548">
            <w:pPr>
              <w:spacing w:line="360" w:lineRule="exact"/>
              <w:rPr>
                <w:rFonts w:ascii="宋体" w:hAnsi="宋体" w:cs="宋体"/>
                <w:color w:val="auto"/>
                <w:szCs w:val="21"/>
                <w:highlight w:val="none"/>
              </w:rPr>
            </w:pPr>
            <w:r>
              <w:rPr>
                <w:rFonts w:hint="eastAsia" w:ascii="宋体" w:hAnsi="宋体" w:cs="宋体"/>
                <w:color w:val="auto"/>
                <w:szCs w:val="21"/>
                <w:highlight w:val="none"/>
              </w:rPr>
              <w:t>支持对接同厂商EDR同步资产指纹信息及脆弱性信息，支持与EDR集成联动，一键查杀木马病毒，访问封禁。</w:t>
            </w:r>
          </w:p>
        </w:tc>
      </w:tr>
      <w:tr w14:paraId="1D449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34" w:hRule="atLeast"/>
          <w:jc w:val="center"/>
        </w:trPr>
        <w:tc>
          <w:tcPr>
            <w:tcW w:w="532" w:type="pct"/>
            <w:vMerge w:val="restart"/>
            <w:vAlign w:val="center"/>
          </w:tcPr>
          <w:p w14:paraId="148735A5">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可视化安全分析</w:t>
            </w:r>
          </w:p>
        </w:tc>
        <w:tc>
          <w:tcPr>
            <w:tcW w:w="840" w:type="pct"/>
            <w:vAlign w:val="center"/>
          </w:tcPr>
          <w:p w14:paraId="5A959698">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安全态势可视化</w:t>
            </w:r>
          </w:p>
        </w:tc>
        <w:tc>
          <w:tcPr>
            <w:tcW w:w="3627" w:type="pct"/>
            <w:vAlign w:val="center"/>
          </w:tcPr>
          <w:p w14:paraId="23751269">
            <w:pPr>
              <w:spacing w:line="360" w:lineRule="exact"/>
              <w:rPr>
                <w:rFonts w:ascii="宋体" w:hAnsi="宋体" w:cs="宋体"/>
                <w:color w:val="auto"/>
                <w:szCs w:val="21"/>
                <w:highlight w:val="none"/>
              </w:rPr>
            </w:pPr>
            <w:r>
              <w:rPr>
                <w:rFonts w:hint="eastAsia" w:ascii="宋体" w:hAnsi="宋体" w:cs="宋体"/>
                <w:color w:val="auto"/>
                <w:szCs w:val="21"/>
                <w:highlight w:val="none"/>
              </w:rPr>
              <w:t>支持立体、平面、球面等多种维度的网络实体关系透视，可在大屏上展示不同实体的标签属性，包括但不限于DNS服务器、监管单位、邮件服务器、黑客组织、WEB服务器等。</w:t>
            </w:r>
          </w:p>
        </w:tc>
      </w:tr>
      <w:tr w14:paraId="486D8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34" w:hRule="atLeast"/>
          <w:jc w:val="center"/>
        </w:trPr>
        <w:tc>
          <w:tcPr>
            <w:tcW w:w="532" w:type="pct"/>
            <w:vMerge w:val="continue"/>
            <w:vAlign w:val="center"/>
          </w:tcPr>
          <w:p w14:paraId="1246BD40">
            <w:pPr>
              <w:spacing w:line="360" w:lineRule="exact"/>
              <w:jc w:val="center"/>
              <w:rPr>
                <w:rFonts w:ascii="宋体" w:hAnsi="宋体" w:cs="宋体"/>
                <w:color w:val="auto"/>
                <w:szCs w:val="21"/>
                <w:highlight w:val="none"/>
              </w:rPr>
            </w:pPr>
          </w:p>
        </w:tc>
        <w:tc>
          <w:tcPr>
            <w:tcW w:w="840" w:type="pct"/>
            <w:vAlign w:val="center"/>
          </w:tcPr>
          <w:p w14:paraId="03B23985">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资产管理</w:t>
            </w:r>
          </w:p>
        </w:tc>
        <w:tc>
          <w:tcPr>
            <w:tcW w:w="3627" w:type="pct"/>
            <w:vAlign w:val="center"/>
          </w:tcPr>
          <w:p w14:paraId="7309DE45">
            <w:pPr>
              <w:spacing w:line="360" w:lineRule="exact"/>
              <w:rPr>
                <w:rFonts w:ascii="宋体" w:hAnsi="宋体" w:cs="宋体"/>
                <w:color w:val="auto"/>
                <w:szCs w:val="21"/>
                <w:highlight w:val="none"/>
              </w:rPr>
            </w:pPr>
            <w:r>
              <w:rPr>
                <w:rFonts w:hint="eastAsia" w:ascii="宋体" w:hAnsi="宋体" w:cs="宋体"/>
                <w:color w:val="auto"/>
                <w:szCs w:val="21"/>
                <w:highlight w:val="none"/>
              </w:rPr>
              <w:t>支持通过流量无侵入式自动发现资产，支持发现终端、Web服务器、DNS服务器、邮件服务器、FTP文件服务器等类型≥5种，其中web服务器支持自动识别服务域名和服务站点名称。</w:t>
            </w:r>
          </w:p>
        </w:tc>
      </w:tr>
    </w:tbl>
    <w:p w14:paraId="70524609">
      <w:pPr>
        <w:keepNext/>
        <w:keepLines/>
        <w:spacing w:line="360" w:lineRule="auto"/>
        <w:outlineLvl w:val="0"/>
        <w:rPr>
          <w:rFonts w:ascii="宋体" w:hAnsi="宋体" w:cs="宋体"/>
          <w:b/>
          <w:color w:val="auto"/>
          <w:szCs w:val="21"/>
          <w:highlight w:val="none"/>
        </w:rPr>
      </w:pPr>
      <w:r>
        <w:rPr>
          <w:rFonts w:hint="eastAsia" w:ascii="宋体" w:hAnsi="宋体" w:cs="宋体"/>
          <w:b/>
          <w:color w:val="auto"/>
          <w:szCs w:val="21"/>
          <w:highlight w:val="none"/>
        </w:rPr>
        <w:t>5．互联网主机安全及管理服务</w:t>
      </w:r>
    </w:p>
    <w:tbl>
      <w:tblPr>
        <w:tblStyle w:val="22"/>
        <w:tblW w:w="503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1966"/>
        <w:gridCol w:w="6423"/>
      </w:tblGrid>
      <w:tr w14:paraId="26AC1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72"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49CA0338">
            <w:pPr>
              <w:spacing w:line="360" w:lineRule="exact"/>
              <w:jc w:val="center"/>
              <w:rPr>
                <w:rFonts w:ascii="宋体" w:hAnsi="宋体" w:cs="宋体"/>
                <w:b/>
                <w:color w:val="auto"/>
                <w:szCs w:val="21"/>
                <w:highlight w:val="none"/>
              </w:rPr>
            </w:pPr>
            <w:r>
              <w:rPr>
                <w:rFonts w:hint="eastAsia" w:ascii="宋体" w:hAnsi="宋体" w:cs="宋体"/>
                <w:b/>
                <w:color w:val="auto"/>
                <w:szCs w:val="21"/>
                <w:highlight w:val="none"/>
              </w:rPr>
              <w:t>技术指标</w:t>
            </w:r>
          </w:p>
        </w:tc>
        <w:tc>
          <w:tcPr>
            <w:tcW w:w="3828"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52EB181C">
            <w:pPr>
              <w:spacing w:line="360" w:lineRule="exact"/>
              <w:jc w:val="center"/>
              <w:rPr>
                <w:rFonts w:ascii="宋体" w:hAnsi="宋体" w:cs="宋体"/>
                <w:b/>
                <w:color w:val="auto"/>
                <w:szCs w:val="21"/>
                <w:highlight w:val="none"/>
              </w:rPr>
            </w:pPr>
            <w:r>
              <w:rPr>
                <w:rFonts w:hint="eastAsia" w:ascii="宋体" w:hAnsi="宋体" w:cs="宋体"/>
                <w:b/>
                <w:color w:val="auto"/>
                <w:szCs w:val="21"/>
                <w:highlight w:val="none"/>
              </w:rPr>
              <w:t>技术要求</w:t>
            </w:r>
          </w:p>
        </w:tc>
      </w:tr>
      <w:tr w14:paraId="4512D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2" w:type="pct"/>
            <w:tcBorders>
              <w:top w:val="single" w:color="auto" w:sz="4" w:space="0"/>
              <w:left w:val="single" w:color="auto" w:sz="4" w:space="0"/>
              <w:bottom w:val="single" w:color="auto" w:sz="4" w:space="0"/>
              <w:right w:val="single" w:color="auto" w:sz="4" w:space="0"/>
            </w:tcBorders>
            <w:vAlign w:val="center"/>
          </w:tcPr>
          <w:p w14:paraId="5EFE6808">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授权要求</w:t>
            </w:r>
          </w:p>
        </w:tc>
        <w:tc>
          <w:tcPr>
            <w:tcW w:w="3828" w:type="pct"/>
            <w:tcBorders>
              <w:top w:val="single" w:color="auto" w:sz="4" w:space="0"/>
              <w:left w:val="single" w:color="auto" w:sz="4" w:space="0"/>
              <w:bottom w:val="single" w:color="auto" w:sz="4" w:space="0"/>
              <w:right w:val="single" w:color="auto" w:sz="4" w:space="0"/>
            </w:tcBorders>
            <w:vAlign w:val="center"/>
          </w:tcPr>
          <w:p w14:paraId="11079359">
            <w:pPr>
              <w:spacing w:line="360" w:lineRule="exact"/>
              <w:rPr>
                <w:rFonts w:ascii="宋体" w:hAnsi="宋体" w:cs="宋体"/>
                <w:color w:val="auto"/>
                <w:szCs w:val="21"/>
                <w:highlight w:val="none"/>
              </w:rPr>
            </w:pPr>
            <w:r>
              <w:rPr>
                <w:rFonts w:hint="eastAsia" w:ascii="宋体" w:hAnsi="宋体" w:cs="宋体"/>
                <w:color w:val="auto"/>
                <w:szCs w:val="21"/>
                <w:highlight w:val="none"/>
              </w:rPr>
              <w:t>150台PC终端防护授权。</w:t>
            </w:r>
          </w:p>
        </w:tc>
      </w:tr>
      <w:tr w14:paraId="2565F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2" w:type="pct"/>
            <w:tcBorders>
              <w:top w:val="single" w:color="auto" w:sz="4" w:space="0"/>
              <w:left w:val="single" w:color="auto" w:sz="4" w:space="0"/>
              <w:bottom w:val="single" w:color="auto" w:sz="4" w:space="0"/>
              <w:right w:val="single" w:color="auto" w:sz="4" w:space="0"/>
            </w:tcBorders>
            <w:vAlign w:val="center"/>
          </w:tcPr>
          <w:p w14:paraId="75DFB383">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全网风险可视</w:t>
            </w:r>
          </w:p>
        </w:tc>
        <w:tc>
          <w:tcPr>
            <w:tcW w:w="3828" w:type="pct"/>
            <w:tcBorders>
              <w:top w:val="single" w:color="auto" w:sz="4" w:space="0"/>
              <w:left w:val="single" w:color="auto" w:sz="4" w:space="0"/>
              <w:bottom w:val="single" w:color="auto" w:sz="4" w:space="0"/>
              <w:right w:val="single" w:color="auto" w:sz="4" w:space="0"/>
            </w:tcBorders>
            <w:vAlign w:val="center"/>
          </w:tcPr>
          <w:p w14:paraId="1F7872F1">
            <w:pPr>
              <w:spacing w:line="360" w:lineRule="exact"/>
              <w:rPr>
                <w:rFonts w:ascii="宋体" w:hAnsi="宋体" w:cs="宋体"/>
                <w:color w:val="auto"/>
                <w:szCs w:val="21"/>
                <w:highlight w:val="none"/>
              </w:rPr>
            </w:pPr>
            <w:r>
              <w:rPr>
                <w:rFonts w:hint="eastAsia" w:ascii="宋体" w:hAnsi="宋体" w:cs="宋体"/>
                <w:color w:val="auto"/>
                <w:szCs w:val="21"/>
                <w:highlight w:val="none"/>
              </w:rPr>
              <w:t>支持当前待处理高危风险展示，包括弱口令、待处理病毒、待处理漏洞数据，并支持一键跳转到对应处理页面；</w:t>
            </w:r>
          </w:p>
          <w:p w14:paraId="0AC8F607">
            <w:pPr>
              <w:spacing w:line="360" w:lineRule="exact"/>
              <w:rPr>
                <w:rFonts w:ascii="宋体" w:hAnsi="宋体" w:cs="宋体"/>
                <w:b/>
                <w:color w:val="auto"/>
                <w:szCs w:val="21"/>
                <w:highlight w:val="none"/>
              </w:rPr>
            </w:pPr>
            <w:r>
              <w:rPr>
                <w:rFonts w:hint="eastAsia" w:ascii="宋体" w:hAnsi="宋体" w:cs="宋体"/>
                <w:color w:val="auto"/>
                <w:szCs w:val="21"/>
                <w:highlight w:val="none"/>
              </w:rPr>
              <w:t>支持查看当前top 5 风险资产、top 5 威胁ip、top 5 威胁区域。</w:t>
            </w:r>
          </w:p>
        </w:tc>
      </w:tr>
      <w:tr w14:paraId="08430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2" w:type="pct"/>
            <w:tcBorders>
              <w:top w:val="single" w:color="auto" w:sz="4" w:space="0"/>
              <w:left w:val="single" w:color="auto" w:sz="4" w:space="0"/>
              <w:bottom w:val="single" w:color="auto" w:sz="4" w:space="0"/>
              <w:right w:val="single" w:color="auto" w:sz="4" w:space="0"/>
            </w:tcBorders>
            <w:vAlign w:val="center"/>
          </w:tcPr>
          <w:p w14:paraId="46C255B2">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系统性能监控服务</w:t>
            </w:r>
          </w:p>
        </w:tc>
        <w:tc>
          <w:tcPr>
            <w:tcW w:w="3828" w:type="pct"/>
            <w:tcBorders>
              <w:top w:val="single" w:color="auto" w:sz="4" w:space="0"/>
              <w:left w:val="single" w:color="auto" w:sz="4" w:space="0"/>
              <w:bottom w:val="single" w:color="auto" w:sz="4" w:space="0"/>
              <w:right w:val="single" w:color="auto" w:sz="4" w:space="0"/>
            </w:tcBorders>
            <w:vAlign w:val="center"/>
          </w:tcPr>
          <w:p w14:paraId="01C3B1AE">
            <w:pPr>
              <w:spacing w:line="360" w:lineRule="exact"/>
              <w:rPr>
                <w:rFonts w:ascii="宋体" w:hAnsi="宋体" w:cs="宋体"/>
                <w:b/>
                <w:color w:val="auto"/>
                <w:szCs w:val="21"/>
                <w:highlight w:val="none"/>
              </w:rPr>
            </w:pPr>
            <w:r>
              <w:rPr>
                <w:rFonts w:hint="eastAsia" w:ascii="宋体" w:hAnsi="宋体" w:cs="宋体"/>
                <w:color w:val="auto"/>
                <w:szCs w:val="21"/>
                <w:highlight w:val="none"/>
              </w:rPr>
              <w:t>支持对CPU、内存、磁盘读写、网络上下行流量达到配置阈值时告警。支持对CPU、内存达到一定阈值时客户端进行熔断。</w:t>
            </w:r>
          </w:p>
        </w:tc>
      </w:tr>
      <w:tr w14:paraId="1DF43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2" w:type="pct"/>
            <w:tcBorders>
              <w:top w:val="single" w:color="auto" w:sz="4" w:space="0"/>
              <w:left w:val="single" w:color="auto" w:sz="4" w:space="0"/>
              <w:bottom w:val="single" w:color="auto" w:sz="4" w:space="0"/>
              <w:right w:val="single" w:color="auto" w:sz="4" w:space="0"/>
            </w:tcBorders>
            <w:vAlign w:val="center"/>
          </w:tcPr>
          <w:p w14:paraId="572C8AC1">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高级威胁防护服务</w:t>
            </w:r>
          </w:p>
        </w:tc>
        <w:tc>
          <w:tcPr>
            <w:tcW w:w="3828" w:type="pct"/>
            <w:tcBorders>
              <w:top w:val="single" w:color="auto" w:sz="4" w:space="0"/>
              <w:left w:val="single" w:color="auto" w:sz="4" w:space="0"/>
              <w:bottom w:val="single" w:color="auto" w:sz="4" w:space="0"/>
              <w:right w:val="single" w:color="auto" w:sz="4" w:space="0"/>
            </w:tcBorders>
            <w:vAlign w:val="center"/>
          </w:tcPr>
          <w:p w14:paraId="53413EB1">
            <w:pPr>
              <w:spacing w:line="360" w:lineRule="exact"/>
              <w:rPr>
                <w:rFonts w:ascii="宋体" w:hAnsi="宋体" w:cs="宋体"/>
                <w:color w:val="auto"/>
                <w:szCs w:val="21"/>
                <w:highlight w:val="none"/>
              </w:rPr>
            </w:pPr>
            <w:r>
              <w:rPr>
                <w:rFonts w:hint="eastAsia" w:ascii="宋体" w:hAnsi="宋体" w:cs="宋体"/>
                <w:color w:val="auto"/>
                <w:szCs w:val="21"/>
                <w:highlight w:val="none"/>
              </w:rPr>
              <w:t>支持对本机的扩展行为（信息收集、权限提升）进行监测，防止提权行为和信息泄露。</w:t>
            </w:r>
          </w:p>
          <w:p w14:paraId="05FB26D4">
            <w:pPr>
              <w:spacing w:line="360" w:lineRule="exact"/>
              <w:rPr>
                <w:rFonts w:ascii="宋体" w:hAnsi="宋体" w:cs="宋体"/>
                <w:color w:val="auto"/>
                <w:szCs w:val="21"/>
                <w:highlight w:val="none"/>
              </w:rPr>
            </w:pPr>
            <w:r>
              <w:rPr>
                <w:rFonts w:hint="eastAsia" w:ascii="宋体" w:hAnsi="宋体" w:cs="宋体"/>
                <w:color w:val="auto"/>
                <w:szCs w:val="21"/>
                <w:highlight w:val="none"/>
              </w:rPr>
              <w:t>识别渗透过程中的隧道代理（端口映射、端口转发、内网代理），可阻断隧道代理搭建行为。</w:t>
            </w:r>
          </w:p>
          <w:p w14:paraId="3742D377">
            <w:pPr>
              <w:spacing w:line="360" w:lineRule="exact"/>
              <w:rPr>
                <w:rFonts w:ascii="宋体" w:hAnsi="宋体" w:cs="宋体"/>
                <w:color w:val="auto"/>
                <w:szCs w:val="21"/>
                <w:highlight w:val="none"/>
              </w:rPr>
            </w:pPr>
            <w:r>
              <w:rPr>
                <w:rFonts w:hint="eastAsia" w:ascii="宋体" w:hAnsi="宋体" w:cs="宋体"/>
                <w:color w:val="auto"/>
                <w:szCs w:val="21"/>
                <w:highlight w:val="none"/>
              </w:rPr>
              <w:t>对失陷后主机远控持久化行为进行检测（反弹Shell、远程控制），可阻断远控。</w:t>
            </w:r>
          </w:p>
          <w:p w14:paraId="4A954C8E">
            <w:pPr>
              <w:spacing w:line="360" w:lineRule="exact"/>
              <w:rPr>
                <w:rFonts w:ascii="宋体" w:hAnsi="宋体" w:cs="宋体"/>
                <w:color w:val="auto"/>
                <w:szCs w:val="21"/>
                <w:highlight w:val="none"/>
              </w:rPr>
            </w:pPr>
            <w:r>
              <w:rPr>
                <w:rFonts w:hint="eastAsia" w:ascii="宋体" w:hAnsi="宋体" w:cs="宋体"/>
                <w:color w:val="auto"/>
                <w:szCs w:val="21"/>
                <w:highlight w:val="none"/>
              </w:rPr>
              <w:t>对内网的恶意攻击行为进行识别（漏洞利用、横向移动），可阻断恶意探测行为。</w:t>
            </w:r>
          </w:p>
          <w:p w14:paraId="3F4EF394">
            <w:pPr>
              <w:spacing w:line="360" w:lineRule="exact"/>
              <w:rPr>
                <w:rFonts w:ascii="宋体" w:hAnsi="宋体" w:cs="宋体"/>
                <w:color w:val="auto"/>
                <w:szCs w:val="21"/>
                <w:highlight w:val="none"/>
              </w:rPr>
            </w:pPr>
            <w:r>
              <w:rPr>
                <w:rFonts w:hint="eastAsia" w:ascii="宋体" w:hAnsi="宋体" w:cs="宋体"/>
                <w:color w:val="auto"/>
                <w:szCs w:val="21"/>
                <w:highlight w:val="none"/>
              </w:rPr>
              <w:t>可对渗透的收尾阶段的数据清除行为进行识别和阻断。</w:t>
            </w:r>
          </w:p>
        </w:tc>
      </w:tr>
      <w:tr w14:paraId="597C3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2" w:type="pct"/>
            <w:tcBorders>
              <w:top w:val="single" w:color="auto" w:sz="4" w:space="0"/>
              <w:left w:val="single" w:color="auto" w:sz="4" w:space="0"/>
              <w:bottom w:val="single" w:color="auto" w:sz="4" w:space="0"/>
              <w:right w:val="single" w:color="auto" w:sz="4" w:space="0"/>
            </w:tcBorders>
            <w:vAlign w:val="center"/>
          </w:tcPr>
          <w:p w14:paraId="6C00D7A9">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系统安全性服务</w:t>
            </w:r>
          </w:p>
        </w:tc>
        <w:tc>
          <w:tcPr>
            <w:tcW w:w="3828" w:type="pct"/>
            <w:tcBorders>
              <w:top w:val="single" w:color="auto" w:sz="4" w:space="0"/>
              <w:left w:val="single" w:color="auto" w:sz="4" w:space="0"/>
              <w:bottom w:val="single" w:color="auto" w:sz="4" w:space="0"/>
              <w:right w:val="single" w:color="auto" w:sz="4" w:space="0"/>
            </w:tcBorders>
            <w:vAlign w:val="center"/>
          </w:tcPr>
          <w:p w14:paraId="0995A37B">
            <w:pPr>
              <w:spacing w:line="360" w:lineRule="exact"/>
              <w:rPr>
                <w:rFonts w:ascii="宋体" w:hAnsi="宋体" w:cs="宋体"/>
                <w:color w:val="auto"/>
                <w:szCs w:val="21"/>
                <w:highlight w:val="none"/>
              </w:rPr>
            </w:pPr>
            <w:r>
              <w:rPr>
                <w:rFonts w:hint="eastAsia" w:ascii="宋体" w:hAnsi="宋体" w:cs="宋体"/>
                <w:color w:val="auto"/>
                <w:szCs w:val="21"/>
                <w:highlight w:val="none"/>
              </w:rPr>
              <w:t>支持防端口扫描，锁定恶意的端口扫描，并记录告警。</w:t>
            </w:r>
          </w:p>
          <w:p w14:paraId="1421C74A">
            <w:pPr>
              <w:spacing w:line="360" w:lineRule="exact"/>
              <w:rPr>
                <w:rFonts w:ascii="宋体" w:hAnsi="宋体" w:cs="宋体"/>
                <w:color w:val="auto"/>
                <w:szCs w:val="21"/>
                <w:highlight w:val="none"/>
              </w:rPr>
            </w:pPr>
            <w:r>
              <w:rPr>
                <w:rFonts w:hint="eastAsia" w:ascii="宋体" w:hAnsi="宋体" w:cs="宋体"/>
                <w:color w:val="auto"/>
                <w:szCs w:val="21"/>
                <w:highlight w:val="none"/>
              </w:rPr>
              <w:t>违规外联支持黑、白名单双模式，白名单模式可配置是否允许访问特定的网站和地址；黑名单模式可自定义恶意IP，支持黑名单告警和阻断。</w:t>
            </w:r>
          </w:p>
          <w:p w14:paraId="3B9CD329">
            <w:pPr>
              <w:spacing w:line="360" w:lineRule="exact"/>
              <w:rPr>
                <w:rFonts w:ascii="宋体" w:hAnsi="宋体" w:cs="宋体"/>
                <w:color w:val="auto"/>
                <w:szCs w:val="21"/>
                <w:highlight w:val="none"/>
              </w:rPr>
            </w:pPr>
            <w:r>
              <w:rPr>
                <w:rFonts w:hint="eastAsia" w:ascii="宋体" w:hAnsi="宋体" w:cs="宋体"/>
                <w:color w:val="auto"/>
                <w:szCs w:val="21"/>
                <w:highlight w:val="none"/>
              </w:rPr>
              <w:t>支持登录防护，包括以系统账号为粒度的异常登录防护、支持五个任意维度（任意IP，任意域名，任意计算机名，任意时间）的系统登录访问策略设置。</w:t>
            </w:r>
          </w:p>
        </w:tc>
      </w:tr>
      <w:tr w14:paraId="7AE71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2" w:type="pct"/>
            <w:tcBorders>
              <w:top w:val="single" w:color="auto" w:sz="4" w:space="0"/>
              <w:left w:val="single" w:color="auto" w:sz="4" w:space="0"/>
              <w:bottom w:val="single" w:color="auto" w:sz="4" w:space="0"/>
              <w:right w:val="single" w:color="auto" w:sz="4" w:space="0"/>
            </w:tcBorders>
            <w:vAlign w:val="center"/>
          </w:tcPr>
          <w:p w14:paraId="640E21C7">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防病毒服务</w:t>
            </w:r>
          </w:p>
        </w:tc>
        <w:tc>
          <w:tcPr>
            <w:tcW w:w="3828" w:type="pct"/>
            <w:tcBorders>
              <w:top w:val="single" w:color="auto" w:sz="4" w:space="0"/>
              <w:left w:val="single" w:color="auto" w:sz="4" w:space="0"/>
              <w:bottom w:val="single" w:color="auto" w:sz="4" w:space="0"/>
              <w:right w:val="single" w:color="auto" w:sz="4" w:space="0"/>
            </w:tcBorders>
            <w:vAlign w:val="center"/>
          </w:tcPr>
          <w:p w14:paraId="0A9C25BD">
            <w:pPr>
              <w:spacing w:line="360" w:lineRule="exact"/>
              <w:rPr>
                <w:rFonts w:ascii="宋体" w:hAnsi="宋体" w:cs="宋体"/>
                <w:color w:val="auto"/>
                <w:szCs w:val="21"/>
                <w:highlight w:val="none"/>
              </w:rPr>
            </w:pPr>
            <w:r>
              <w:rPr>
                <w:rFonts w:hint="eastAsia" w:ascii="宋体" w:hAnsi="宋体" w:cs="宋体"/>
                <w:color w:val="auto"/>
                <w:szCs w:val="21"/>
                <w:highlight w:val="none"/>
              </w:rPr>
              <w:t>支持多引擎设置，包括默认引擎、深度扫描引擎。</w:t>
            </w:r>
          </w:p>
          <w:p w14:paraId="0144F9B1">
            <w:pPr>
              <w:spacing w:line="360" w:lineRule="exact"/>
              <w:rPr>
                <w:rFonts w:ascii="宋体" w:hAnsi="宋体" w:cs="宋体"/>
                <w:color w:val="auto"/>
                <w:szCs w:val="21"/>
                <w:highlight w:val="none"/>
              </w:rPr>
            </w:pPr>
            <w:r>
              <w:rPr>
                <w:rFonts w:hint="eastAsia" w:ascii="宋体" w:hAnsi="宋体" w:cs="宋体"/>
                <w:color w:val="auto"/>
                <w:szCs w:val="21"/>
                <w:highlight w:val="none"/>
              </w:rPr>
              <w:t>对内网的恶意攻击行为进行识别（漏洞利用、横向移动），可阻断恶意探测行为。</w:t>
            </w:r>
          </w:p>
          <w:p w14:paraId="52C52CDF">
            <w:pPr>
              <w:spacing w:line="360" w:lineRule="exact"/>
              <w:rPr>
                <w:rFonts w:ascii="宋体" w:hAnsi="宋体" w:cs="宋体"/>
                <w:color w:val="auto"/>
                <w:szCs w:val="21"/>
                <w:highlight w:val="none"/>
              </w:rPr>
            </w:pPr>
            <w:r>
              <w:rPr>
                <w:rFonts w:hint="eastAsia" w:ascii="宋体" w:hAnsi="宋体" w:cs="宋体"/>
                <w:color w:val="auto"/>
                <w:szCs w:val="21"/>
                <w:highlight w:val="none"/>
              </w:rPr>
              <w:t>提供专门的针对已知勒索病毒的防御引擎，并提供功能开关项。对于已知勒索病毒确保进程无法启动。</w:t>
            </w:r>
          </w:p>
          <w:p w14:paraId="7405298C">
            <w:pPr>
              <w:spacing w:line="360" w:lineRule="exact"/>
              <w:rPr>
                <w:rFonts w:ascii="宋体" w:hAnsi="宋体" w:cs="宋体"/>
                <w:color w:val="auto"/>
                <w:szCs w:val="21"/>
                <w:highlight w:val="none"/>
              </w:rPr>
            </w:pPr>
            <w:r>
              <w:rPr>
                <w:rFonts w:hint="eastAsia" w:ascii="宋体" w:hAnsi="宋体" w:cs="宋体"/>
                <w:color w:val="auto"/>
                <w:szCs w:val="21"/>
                <w:highlight w:val="none"/>
              </w:rPr>
              <w:t>提供专门的针对未知勒索病毒的防御引擎，并提供功能开关项。对于未知勒索病毒确保无法加密。同时支持白名单设置。</w:t>
            </w:r>
          </w:p>
          <w:p w14:paraId="54A9273C">
            <w:pPr>
              <w:spacing w:line="360" w:lineRule="exact"/>
              <w:rPr>
                <w:rFonts w:ascii="宋体" w:hAnsi="宋体" w:cs="宋体"/>
                <w:color w:val="auto"/>
                <w:szCs w:val="21"/>
                <w:highlight w:val="none"/>
              </w:rPr>
            </w:pPr>
            <w:r>
              <w:rPr>
                <w:rFonts w:hint="eastAsia" w:ascii="宋体" w:hAnsi="宋体" w:cs="宋体"/>
                <w:color w:val="auto"/>
                <w:szCs w:val="21"/>
                <w:highlight w:val="none"/>
              </w:rPr>
              <w:t>支持病毒立即处理，对于无法普通隔离的病毒文件进行处理并加入隔离区，或动态移动到信任区。</w:t>
            </w:r>
          </w:p>
          <w:p w14:paraId="3ABDCFC3">
            <w:pPr>
              <w:spacing w:line="360" w:lineRule="exact"/>
              <w:rPr>
                <w:rFonts w:ascii="宋体" w:hAnsi="宋体" w:cs="宋体"/>
                <w:color w:val="auto"/>
                <w:szCs w:val="21"/>
                <w:highlight w:val="none"/>
              </w:rPr>
            </w:pPr>
            <w:r>
              <w:rPr>
                <w:rFonts w:hint="eastAsia" w:ascii="宋体" w:hAnsi="宋体" w:cs="宋体"/>
                <w:color w:val="auto"/>
                <w:szCs w:val="21"/>
                <w:highlight w:val="none"/>
              </w:rPr>
              <w:t>支持部分病毒感染文件的修复功能，对于二进制文件可剥离感染部分，保证应用正常使用。</w:t>
            </w:r>
          </w:p>
        </w:tc>
      </w:tr>
      <w:tr w14:paraId="3A0B9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2" w:type="pct"/>
            <w:tcBorders>
              <w:top w:val="single" w:color="auto" w:sz="4" w:space="0"/>
              <w:left w:val="single" w:color="auto" w:sz="4" w:space="0"/>
              <w:bottom w:val="single" w:color="auto" w:sz="4" w:space="0"/>
              <w:right w:val="single" w:color="auto" w:sz="4" w:space="0"/>
            </w:tcBorders>
            <w:vAlign w:val="center"/>
          </w:tcPr>
          <w:p w14:paraId="1E849DFF">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文件推送</w:t>
            </w:r>
          </w:p>
        </w:tc>
        <w:tc>
          <w:tcPr>
            <w:tcW w:w="3828" w:type="pct"/>
            <w:tcBorders>
              <w:top w:val="single" w:color="auto" w:sz="4" w:space="0"/>
              <w:left w:val="single" w:color="auto" w:sz="4" w:space="0"/>
              <w:bottom w:val="single" w:color="auto" w:sz="4" w:space="0"/>
              <w:right w:val="single" w:color="auto" w:sz="4" w:space="0"/>
            </w:tcBorders>
            <w:vAlign w:val="center"/>
          </w:tcPr>
          <w:p w14:paraId="6CD3C62F">
            <w:pPr>
              <w:spacing w:line="360" w:lineRule="exact"/>
              <w:rPr>
                <w:rFonts w:ascii="宋体" w:hAnsi="宋体" w:cs="宋体"/>
                <w:color w:val="auto"/>
                <w:szCs w:val="21"/>
                <w:highlight w:val="none"/>
              </w:rPr>
            </w:pPr>
            <w:r>
              <w:rPr>
                <w:rFonts w:hint="eastAsia" w:ascii="宋体" w:hAnsi="宋体" w:cs="宋体"/>
                <w:color w:val="auto"/>
                <w:szCs w:val="21"/>
                <w:highlight w:val="none"/>
              </w:rPr>
              <w:t>支持下发文件、安装应用程序、远程执行命令。</w:t>
            </w:r>
          </w:p>
        </w:tc>
      </w:tr>
      <w:tr w14:paraId="797CA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2" w:type="pct"/>
            <w:tcBorders>
              <w:top w:val="single" w:color="auto" w:sz="4" w:space="0"/>
              <w:left w:val="single" w:color="auto" w:sz="4" w:space="0"/>
              <w:bottom w:val="single" w:color="auto" w:sz="4" w:space="0"/>
              <w:right w:val="single" w:color="auto" w:sz="4" w:space="0"/>
            </w:tcBorders>
            <w:vAlign w:val="center"/>
          </w:tcPr>
          <w:p w14:paraId="4BC630F7">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屏幕水印功能</w:t>
            </w:r>
          </w:p>
        </w:tc>
        <w:tc>
          <w:tcPr>
            <w:tcW w:w="3828" w:type="pct"/>
            <w:tcBorders>
              <w:top w:val="single" w:color="auto" w:sz="4" w:space="0"/>
              <w:left w:val="single" w:color="auto" w:sz="4" w:space="0"/>
              <w:bottom w:val="single" w:color="auto" w:sz="4" w:space="0"/>
              <w:right w:val="single" w:color="auto" w:sz="4" w:space="0"/>
            </w:tcBorders>
            <w:vAlign w:val="center"/>
          </w:tcPr>
          <w:p w14:paraId="5E76021D">
            <w:pPr>
              <w:spacing w:line="360" w:lineRule="exact"/>
              <w:rPr>
                <w:rFonts w:ascii="宋体" w:hAnsi="宋体" w:cs="宋体"/>
                <w:color w:val="auto"/>
                <w:szCs w:val="21"/>
                <w:highlight w:val="none"/>
              </w:rPr>
            </w:pPr>
            <w:r>
              <w:rPr>
                <w:rFonts w:hint="eastAsia" w:ascii="宋体" w:hAnsi="宋体" w:cs="宋体"/>
                <w:color w:val="auto"/>
                <w:szCs w:val="21"/>
                <w:highlight w:val="none"/>
              </w:rPr>
              <w:t>支持对屏幕拍照泄密数据的行为进行溯源。</w:t>
            </w:r>
          </w:p>
        </w:tc>
      </w:tr>
      <w:tr w14:paraId="0FF66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2" w:type="pct"/>
            <w:tcBorders>
              <w:top w:val="single" w:color="auto" w:sz="4" w:space="0"/>
              <w:left w:val="single" w:color="auto" w:sz="4" w:space="0"/>
              <w:bottom w:val="single" w:color="auto" w:sz="4" w:space="0"/>
              <w:right w:val="single" w:color="auto" w:sz="4" w:space="0"/>
            </w:tcBorders>
            <w:vAlign w:val="center"/>
          </w:tcPr>
          <w:p w14:paraId="0D664053">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集中管控服务</w:t>
            </w:r>
          </w:p>
        </w:tc>
        <w:tc>
          <w:tcPr>
            <w:tcW w:w="3828" w:type="pct"/>
            <w:tcBorders>
              <w:top w:val="single" w:color="auto" w:sz="4" w:space="0"/>
              <w:left w:val="single" w:color="auto" w:sz="4" w:space="0"/>
              <w:bottom w:val="single" w:color="auto" w:sz="4" w:space="0"/>
              <w:right w:val="single" w:color="auto" w:sz="4" w:space="0"/>
            </w:tcBorders>
            <w:vAlign w:val="center"/>
          </w:tcPr>
          <w:p w14:paraId="0D090D58">
            <w:pPr>
              <w:spacing w:line="360" w:lineRule="exact"/>
              <w:rPr>
                <w:rFonts w:ascii="宋体" w:hAnsi="宋体" w:cs="宋体"/>
                <w:color w:val="auto"/>
                <w:szCs w:val="21"/>
                <w:highlight w:val="none"/>
              </w:rPr>
            </w:pPr>
            <w:r>
              <w:rPr>
                <w:rFonts w:hint="eastAsia" w:ascii="宋体" w:hAnsi="宋体" w:cs="宋体"/>
                <w:color w:val="auto"/>
                <w:szCs w:val="21"/>
                <w:highlight w:val="none"/>
              </w:rPr>
              <w:t>能够通过统一的管理中心对多个服务器或主机进行监控。</w:t>
            </w:r>
          </w:p>
          <w:p w14:paraId="667D3272">
            <w:pPr>
              <w:spacing w:line="360" w:lineRule="exact"/>
              <w:rPr>
                <w:rFonts w:ascii="宋体" w:hAnsi="宋体" w:cs="宋体"/>
                <w:color w:val="auto"/>
                <w:szCs w:val="21"/>
                <w:highlight w:val="none"/>
              </w:rPr>
            </w:pPr>
            <w:r>
              <w:rPr>
                <w:rFonts w:hint="eastAsia" w:ascii="宋体" w:hAnsi="宋体" w:cs="宋体"/>
                <w:color w:val="auto"/>
                <w:szCs w:val="21"/>
                <w:highlight w:val="none"/>
              </w:rPr>
              <w:t>支持通过web页面进行客户端推广部署，推广页面支持自定义。</w:t>
            </w:r>
          </w:p>
        </w:tc>
      </w:tr>
      <w:tr w14:paraId="42DEE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2" w:type="pct"/>
            <w:tcBorders>
              <w:top w:val="single" w:color="auto" w:sz="4" w:space="0"/>
              <w:left w:val="single" w:color="auto" w:sz="4" w:space="0"/>
              <w:bottom w:val="single" w:color="auto" w:sz="4" w:space="0"/>
              <w:right w:val="single" w:color="auto" w:sz="4" w:space="0"/>
            </w:tcBorders>
            <w:vAlign w:val="center"/>
          </w:tcPr>
          <w:p w14:paraId="64D60753">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用户管理服务</w:t>
            </w:r>
          </w:p>
        </w:tc>
        <w:tc>
          <w:tcPr>
            <w:tcW w:w="3828" w:type="pct"/>
            <w:tcBorders>
              <w:top w:val="single" w:color="auto" w:sz="4" w:space="0"/>
              <w:left w:val="single" w:color="auto" w:sz="4" w:space="0"/>
              <w:bottom w:val="single" w:color="auto" w:sz="4" w:space="0"/>
              <w:right w:val="single" w:color="auto" w:sz="4" w:space="0"/>
            </w:tcBorders>
            <w:vAlign w:val="center"/>
          </w:tcPr>
          <w:p w14:paraId="7EF6218D">
            <w:pPr>
              <w:spacing w:line="360" w:lineRule="exact"/>
              <w:rPr>
                <w:rFonts w:ascii="宋体" w:hAnsi="宋体" w:cs="宋体"/>
                <w:color w:val="auto"/>
                <w:szCs w:val="21"/>
                <w:highlight w:val="none"/>
              </w:rPr>
            </w:pPr>
            <w:r>
              <w:rPr>
                <w:rFonts w:hint="eastAsia" w:ascii="宋体" w:hAnsi="宋体" w:cs="宋体"/>
                <w:color w:val="auto"/>
                <w:szCs w:val="21"/>
                <w:highlight w:val="none"/>
              </w:rPr>
              <w:t>支持自定义创建用户角色以及权限。至少支持以下帐号管理功能：帐号创建、帐号授权、帐号属性修改和帐号删除。</w:t>
            </w:r>
          </w:p>
        </w:tc>
      </w:tr>
    </w:tbl>
    <w:p w14:paraId="1CE414D0">
      <w:pPr>
        <w:keepNext/>
        <w:keepLines/>
        <w:spacing w:line="360" w:lineRule="auto"/>
        <w:outlineLvl w:val="0"/>
        <w:rPr>
          <w:rFonts w:ascii="宋体" w:hAnsi="宋体" w:cs="宋体"/>
          <w:b/>
          <w:color w:val="auto"/>
          <w:szCs w:val="21"/>
          <w:highlight w:val="none"/>
        </w:rPr>
      </w:pPr>
      <w:r>
        <w:rPr>
          <w:rFonts w:hint="eastAsia" w:ascii="宋体" w:hAnsi="宋体" w:cs="宋体"/>
          <w:b/>
          <w:color w:val="auto"/>
          <w:szCs w:val="21"/>
          <w:highlight w:val="none"/>
        </w:rPr>
        <w:t>6．专网运维审计系统服务</w:t>
      </w:r>
    </w:p>
    <w:tbl>
      <w:tblPr>
        <w:tblStyle w:val="22"/>
        <w:tblW w:w="503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1418"/>
        <w:gridCol w:w="6971"/>
      </w:tblGrid>
      <w:tr w14:paraId="61052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45"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19B66784">
            <w:pPr>
              <w:spacing w:line="360" w:lineRule="exact"/>
              <w:jc w:val="center"/>
              <w:rPr>
                <w:rFonts w:ascii="宋体" w:hAnsi="宋体" w:cs="宋体"/>
                <w:b/>
                <w:color w:val="auto"/>
                <w:szCs w:val="21"/>
                <w:highlight w:val="none"/>
              </w:rPr>
            </w:pPr>
            <w:r>
              <w:rPr>
                <w:rFonts w:hint="eastAsia" w:ascii="宋体" w:hAnsi="宋体" w:cs="宋体"/>
                <w:b/>
                <w:color w:val="auto"/>
                <w:szCs w:val="21"/>
                <w:highlight w:val="none"/>
              </w:rPr>
              <w:t>技术指标</w:t>
            </w:r>
          </w:p>
        </w:tc>
        <w:tc>
          <w:tcPr>
            <w:tcW w:w="4155"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4A2F874B">
            <w:pPr>
              <w:spacing w:line="360" w:lineRule="exact"/>
              <w:jc w:val="center"/>
              <w:rPr>
                <w:rFonts w:ascii="宋体" w:hAnsi="宋体" w:cs="宋体"/>
                <w:b/>
                <w:color w:val="auto"/>
                <w:szCs w:val="21"/>
                <w:highlight w:val="none"/>
              </w:rPr>
            </w:pPr>
            <w:r>
              <w:rPr>
                <w:rFonts w:hint="eastAsia" w:ascii="宋体" w:hAnsi="宋体" w:cs="宋体"/>
                <w:b/>
                <w:color w:val="auto"/>
                <w:szCs w:val="21"/>
                <w:highlight w:val="none"/>
              </w:rPr>
              <w:t>技术要求</w:t>
            </w:r>
          </w:p>
        </w:tc>
      </w:tr>
      <w:tr w14:paraId="09839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845" w:type="pct"/>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13089466">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服务工具基本要求</w:t>
            </w:r>
          </w:p>
        </w:tc>
        <w:tc>
          <w:tcPr>
            <w:tcW w:w="4155"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529AFC0C">
            <w:pPr>
              <w:spacing w:line="360" w:lineRule="exact"/>
              <w:rPr>
                <w:rFonts w:ascii="宋体" w:hAnsi="宋体" w:cs="宋体"/>
                <w:color w:val="auto"/>
                <w:szCs w:val="21"/>
                <w:highlight w:val="none"/>
              </w:rPr>
            </w:pPr>
            <w:r>
              <w:rPr>
                <w:rFonts w:hint="eastAsia" w:ascii="宋体" w:hAnsi="宋体" w:cs="宋体"/>
                <w:color w:val="auto"/>
                <w:szCs w:val="21"/>
                <w:highlight w:val="none"/>
              </w:rPr>
              <w:t>至少配备6个100/1000M自适应电口，CPU：≥4核4线程，内存：≥8GB，硬盘：≥2T*2。</w:t>
            </w:r>
          </w:p>
        </w:tc>
      </w:tr>
      <w:tr w14:paraId="06AC8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845" w:type="pct"/>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7EA84FB2">
            <w:pPr>
              <w:spacing w:line="360" w:lineRule="exact"/>
              <w:jc w:val="center"/>
              <w:rPr>
                <w:rFonts w:ascii="宋体" w:hAnsi="宋体" w:cs="宋体"/>
                <w:color w:val="auto"/>
                <w:szCs w:val="21"/>
                <w:highlight w:val="none"/>
              </w:rPr>
            </w:pPr>
          </w:p>
        </w:tc>
        <w:tc>
          <w:tcPr>
            <w:tcW w:w="4155"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58A3CF1B">
            <w:pPr>
              <w:spacing w:line="360" w:lineRule="exact"/>
              <w:rPr>
                <w:rFonts w:ascii="宋体" w:hAnsi="宋体" w:cs="宋体"/>
                <w:color w:val="auto"/>
                <w:szCs w:val="21"/>
                <w:highlight w:val="none"/>
              </w:rPr>
            </w:pPr>
            <w:r>
              <w:rPr>
                <w:rFonts w:hint="eastAsia" w:ascii="宋体" w:hAnsi="宋体" w:cs="宋体"/>
                <w:color w:val="auto"/>
                <w:szCs w:val="21"/>
                <w:highlight w:val="none"/>
              </w:rPr>
              <w:t>可管理设备数量≥500个，运维用户无限制。</w:t>
            </w:r>
          </w:p>
        </w:tc>
      </w:tr>
      <w:tr w14:paraId="79409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845" w:type="pct"/>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46115CF8">
            <w:pPr>
              <w:spacing w:line="360" w:lineRule="exact"/>
              <w:jc w:val="center"/>
              <w:rPr>
                <w:rFonts w:ascii="宋体" w:hAnsi="宋体" w:cs="宋体"/>
                <w:color w:val="auto"/>
                <w:szCs w:val="21"/>
                <w:highlight w:val="none"/>
              </w:rPr>
            </w:pPr>
          </w:p>
        </w:tc>
        <w:tc>
          <w:tcPr>
            <w:tcW w:w="4155"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3CEFD1F0">
            <w:pPr>
              <w:spacing w:line="360" w:lineRule="exact"/>
              <w:rPr>
                <w:rFonts w:ascii="宋体" w:hAnsi="宋体" w:cs="宋体"/>
                <w:color w:val="auto"/>
                <w:szCs w:val="21"/>
                <w:highlight w:val="none"/>
              </w:rPr>
            </w:pPr>
            <w:r>
              <w:rPr>
                <w:rFonts w:hint="eastAsia" w:ascii="宋体" w:hAnsi="宋体" w:cs="宋体"/>
                <w:color w:val="auto"/>
                <w:szCs w:val="21"/>
                <w:highlight w:val="none"/>
              </w:rPr>
              <w:t>单台堡垒机字符类并发会话≥500个、图形类并发会话≥100个。</w:t>
            </w:r>
          </w:p>
        </w:tc>
      </w:tr>
      <w:tr w14:paraId="12493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845" w:type="pct"/>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79BD6855">
            <w:pPr>
              <w:spacing w:line="360" w:lineRule="exact"/>
              <w:jc w:val="center"/>
              <w:rPr>
                <w:rFonts w:ascii="宋体" w:hAnsi="宋体" w:cs="宋体"/>
                <w:color w:val="auto"/>
                <w:szCs w:val="21"/>
                <w:highlight w:val="none"/>
              </w:rPr>
            </w:pPr>
          </w:p>
        </w:tc>
        <w:tc>
          <w:tcPr>
            <w:tcW w:w="4155"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313F1BDE">
            <w:pPr>
              <w:spacing w:line="360" w:lineRule="exact"/>
              <w:rPr>
                <w:rFonts w:ascii="宋体" w:hAnsi="宋体" w:cs="宋体"/>
                <w:color w:val="auto"/>
                <w:szCs w:val="21"/>
                <w:highlight w:val="none"/>
              </w:rPr>
            </w:pPr>
            <w:r>
              <w:rPr>
                <w:rFonts w:hint="eastAsia" w:ascii="宋体" w:hAnsi="宋体" w:cs="宋体"/>
                <w:color w:val="auto"/>
                <w:szCs w:val="21"/>
                <w:highlight w:val="none"/>
              </w:rPr>
              <w:t>设备采用旁路部署，不得影响业务环境；须支持HA主备模式，管理口和心跳口须支持多链路端口绑定功能，防止单网卡或单线故障。</w:t>
            </w:r>
          </w:p>
        </w:tc>
      </w:tr>
      <w:tr w14:paraId="1F0B1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845" w:type="pct"/>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080D6A11">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用户管理要求</w:t>
            </w:r>
          </w:p>
        </w:tc>
        <w:tc>
          <w:tcPr>
            <w:tcW w:w="4155"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62D43F92">
            <w:pPr>
              <w:spacing w:line="360" w:lineRule="exact"/>
              <w:rPr>
                <w:rFonts w:ascii="宋体" w:hAnsi="宋体" w:cs="宋体"/>
                <w:color w:val="auto"/>
                <w:szCs w:val="21"/>
                <w:highlight w:val="none"/>
              </w:rPr>
            </w:pPr>
            <w:r>
              <w:rPr>
                <w:rFonts w:hint="eastAsia" w:ascii="宋体" w:hAnsi="宋体" w:cs="宋体"/>
                <w:color w:val="auto"/>
                <w:szCs w:val="21"/>
                <w:highlight w:val="none"/>
              </w:rPr>
              <w:t>支持用户多角色划分功能，如系统管理员、部门管理员、运维员、审计管理员、密码管理员等，对各类角色需要进行细粒度的权限管理。</w:t>
            </w:r>
          </w:p>
        </w:tc>
      </w:tr>
      <w:tr w14:paraId="32AEE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845" w:type="pct"/>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7865A519">
            <w:pPr>
              <w:spacing w:line="360" w:lineRule="exact"/>
              <w:jc w:val="center"/>
              <w:rPr>
                <w:rFonts w:ascii="宋体" w:hAnsi="宋体" w:cs="宋体"/>
                <w:color w:val="auto"/>
                <w:szCs w:val="21"/>
                <w:highlight w:val="none"/>
              </w:rPr>
            </w:pPr>
          </w:p>
        </w:tc>
        <w:tc>
          <w:tcPr>
            <w:tcW w:w="4155"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3826F912">
            <w:pPr>
              <w:spacing w:line="360" w:lineRule="exact"/>
              <w:rPr>
                <w:rFonts w:ascii="宋体" w:hAnsi="宋体" w:cs="宋体"/>
                <w:color w:val="auto"/>
                <w:szCs w:val="21"/>
                <w:highlight w:val="none"/>
              </w:rPr>
            </w:pPr>
            <w:r>
              <w:rPr>
                <w:rFonts w:hint="eastAsia" w:ascii="宋体" w:hAnsi="宋体" w:cs="宋体"/>
                <w:color w:val="auto"/>
                <w:szCs w:val="21"/>
                <w:highlight w:val="none"/>
              </w:rPr>
              <w:t>支持用户的批量导入/导出，按用户类型等分组方式；支持用户安全策略功能，如密码锁定次数、密码有效期、密码复杂度、用户有效期、用户登录时间限制、用户登录IP范围等。</w:t>
            </w:r>
          </w:p>
        </w:tc>
      </w:tr>
      <w:tr w14:paraId="55719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845" w:type="pct"/>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56E0F88D">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身份认证要求</w:t>
            </w:r>
          </w:p>
        </w:tc>
        <w:tc>
          <w:tcPr>
            <w:tcW w:w="4155"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4B680816">
            <w:pPr>
              <w:spacing w:line="360" w:lineRule="exact"/>
              <w:rPr>
                <w:rFonts w:ascii="宋体" w:hAnsi="宋体" w:cs="宋体"/>
                <w:color w:val="auto"/>
                <w:szCs w:val="21"/>
                <w:highlight w:val="none"/>
              </w:rPr>
            </w:pPr>
            <w:r>
              <w:rPr>
                <w:rFonts w:hint="eastAsia" w:ascii="宋体" w:hAnsi="宋体" w:cs="宋体"/>
                <w:color w:val="auto"/>
                <w:szCs w:val="21"/>
                <w:highlight w:val="none"/>
              </w:rPr>
              <w:t>支持与get、post、soap发送方式的http短信网关平台进行联动，实现短信动态口令双因素认证机制。</w:t>
            </w:r>
          </w:p>
        </w:tc>
      </w:tr>
      <w:tr w14:paraId="0F640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845" w:type="pct"/>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7BA83B9C">
            <w:pPr>
              <w:spacing w:line="360" w:lineRule="exact"/>
              <w:jc w:val="center"/>
              <w:rPr>
                <w:rFonts w:ascii="宋体" w:hAnsi="宋体" w:cs="宋体"/>
                <w:color w:val="auto"/>
                <w:szCs w:val="21"/>
                <w:highlight w:val="none"/>
              </w:rPr>
            </w:pPr>
          </w:p>
        </w:tc>
        <w:tc>
          <w:tcPr>
            <w:tcW w:w="4155"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3085BED6">
            <w:pPr>
              <w:spacing w:line="360" w:lineRule="exact"/>
              <w:rPr>
                <w:rFonts w:ascii="宋体" w:hAnsi="宋体" w:cs="宋体"/>
                <w:color w:val="auto"/>
                <w:szCs w:val="21"/>
                <w:highlight w:val="none"/>
              </w:rPr>
            </w:pPr>
            <w:r>
              <w:rPr>
                <w:rFonts w:hint="eastAsia" w:ascii="宋体" w:hAnsi="宋体" w:cs="宋体"/>
                <w:color w:val="auto"/>
                <w:szCs w:val="21"/>
                <w:highlight w:val="none"/>
              </w:rPr>
              <w:t>支持手机APP动态口令认证方式登录堡垒机，新用户首次登录后需强制绑定APP动态口令；支持AD、LDAP、RADIUS、吉大正元、北京CA、深圳CA认证系统联动登录堡垒机；支持多个AD域认证源；支持自动同步AD/LDAP用户。</w:t>
            </w:r>
          </w:p>
        </w:tc>
      </w:tr>
      <w:tr w14:paraId="65ACC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845" w:type="pct"/>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6B223F03">
            <w:pPr>
              <w:spacing w:line="360" w:lineRule="exact"/>
              <w:jc w:val="center"/>
              <w:rPr>
                <w:rFonts w:ascii="宋体" w:hAnsi="宋体" w:cs="宋体"/>
                <w:color w:val="auto"/>
                <w:szCs w:val="21"/>
                <w:highlight w:val="none"/>
              </w:rPr>
            </w:pPr>
          </w:p>
        </w:tc>
        <w:tc>
          <w:tcPr>
            <w:tcW w:w="4155"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477C2226">
            <w:pPr>
              <w:spacing w:line="360" w:lineRule="exact"/>
              <w:rPr>
                <w:rFonts w:ascii="宋体" w:hAnsi="宋体" w:cs="宋体"/>
                <w:color w:val="auto"/>
                <w:szCs w:val="21"/>
                <w:highlight w:val="none"/>
              </w:rPr>
            </w:pPr>
            <w:r>
              <w:rPr>
                <w:rFonts w:hint="eastAsia" w:ascii="宋体" w:hAnsi="宋体" w:cs="宋体"/>
                <w:color w:val="auto"/>
                <w:szCs w:val="21"/>
                <w:highlight w:val="none"/>
              </w:rPr>
              <w:t>内嵌动态令牌和usbkey认证引擎，可同时使用动态令牌和USBkey。</w:t>
            </w:r>
          </w:p>
        </w:tc>
      </w:tr>
      <w:tr w14:paraId="21752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845" w:type="pct"/>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1C5930E2">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设备管理要求</w:t>
            </w:r>
          </w:p>
        </w:tc>
        <w:tc>
          <w:tcPr>
            <w:tcW w:w="4155"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11D987E0">
            <w:pPr>
              <w:spacing w:line="360" w:lineRule="exact"/>
              <w:rPr>
                <w:rFonts w:ascii="宋体" w:hAnsi="宋体" w:cs="宋体"/>
                <w:color w:val="auto"/>
                <w:szCs w:val="21"/>
                <w:highlight w:val="none"/>
              </w:rPr>
            </w:pPr>
            <w:r>
              <w:rPr>
                <w:rFonts w:hint="eastAsia" w:ascii="宋体" w:hAnsi="宋体" w:cs="宋体"/>
                <w:color w:val="auto"/>
                <w:szCs w:val="21"/>
                <w:highlight w:val="none"/>
              </w:rPr>
              <w:t>支持常用的运维协议：SSH、TELNET、RDP、VNC、FTP、SFTP、rlogin；可通过应用发布的方式进行协议扩展，支持本地资源的映射及私有协议传输。</w:t>
            </w:r>
          </w:p>
        </w:tc>
      </w:tr>
      <w:tr w14:paraId="307F4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845" w:type="pct"/>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64713886">
            <w:pPr>
              <w:spacing w:line="360" w:lineRule="exact"/>
              <w:jc w:val="center"/>
              <w:rPr>
                <w:rFonts w:ascii="宋体" w:hAnsi="宋体" w:cs="宋体"/>
                <w:color w:val="auto"/>
                <w:szCs w:val="21"/>
                <w:highlight w:val="none"/>
              </w:rPr>
            </w:pPr>
          </w:p>
        </w:tc>
        <w:tc>
          <w:tcPr>
            <w:tcW w:w="4155"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169652F4">
            <w:pPr>
              <w:spacing w:line="360" w:lineRule="exact"/>
              <w:rPr>
                <w:rFonts w:ascii="宋体" w:hAnsi="宋体" w:cs="宋体"/>
                <w:color w:val="auto"/>
                <w:szCs w:val="21"/>
                <w:highlight w:val="none"/>
              </w:rPr>
            </w:pPr>
            <w:r>
              <w:rPr>
                <w:rFonts w:hint="eastAsia" w:ascii="宋体" w:hAnsi="宋体" w:cs="宋体"/>
                <w:color w:val="auto"/>
                <w:szCs w:val="21"/>
                <w:highlight w:val="none"/>
              </w:rPr>
              <w:t>支持对设备进行按设备类型分组、按部门分组，支持设备批量导入/导出。</w:t>
            </w:r>
          </w:p>
        </w:tc>
      </w:tr>
      <w:tr w14:paraId="24B11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845" w:type="pct"/>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6DF494A1">
            <w:pPr>
              <w:spacing w:line="360" w:lineRule="exact"/>
              <w:jc w:val="center"/>
              <w:rPr>
                <w:rFonts w:ascii="宋体" w:hAnsi="宋体" w:cs="宋体"/>
                <w:color w:val="auto"/>
                <w:szCs w:val="21"/>
                <w:highlight w:val="none"/>
              </w:rPr>
            </w:pPr>
          </w:p>
        </w:tc>
        <w:tc>
          <w:tcPr>
            <w:tcW w:w="4155"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45DC51E3">
            <w:pPr>
              <w:spacing w:line="360" w:lineRule="exact"/>
              <w:rPr>
                <w:rFonts w:ascii="宋体" w:hAnsi="宋体" w:cs="宋体"/>
                <w:color w:val="auto"/>
                <w:szCs w:val="21"/>
                <w:highlight w:val="none"/>
              </w:rPr>
            </w:pPr>
            <w:r>
              <w:rPr>
                <w:rFonts w:hint="eastAsia" w:ascii="宋体" w:hAnsi="宋体" w:cs="宋体"/>
                <w:color w:val="auto"/>
                <w:szCs w:val="21"/>
                <w:highlight w:val="none"/>
              </w:rPr>
              <w:t>支持设备帐户和密码的自动登录、手工登录、二次自动登录模式。</w:t>
            </w:r>
          </w:p>
        </w:tc>
      </w:tr>
      <w:tr w14:paraId="18DF6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845" w:type="pct"/>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6D57FA49">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自动改密要求</w:t>
            </w:r>
          </w:p>
        </w:tc>
        <w:tc>
          <w:tcPr>
            <w:tcW w:w="4155"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05179CB0">
            <w:pPr>
              <w:spacing w:line="360" w:lineRule="exact"/>
              <w:rPr>
                <w:rFonts w:ascii="宋体" w:hAnsi="宋体" w:cs="宋体"/>
                <w:color w:val="auto"/>
                <w:szCs w:val="21"/>
                <w:highlight w:val="none"/>
              </w:rPr>
            </w:pPr>
            <w:r>
              <w:rPr>
                <w:rFonts w:hint="eastAsia" w:ascii="宋体" w:hAnsi="宋体" w:cs="宋体"/>
                <w:color w:val="auto"/>
                <w:szCs w:val="21"/>
                <w:highlight w:val="none"/>
              </w:rPr>
              <w:t>支持定期自动修改windows服务器、网络设备、安全设备、linux/unix等目标设备密码功能，支持自动密码恢复、手工验证密码、密码强度控制等。</w:t>
            </w:r>
          </w:p>
        </w:tc>
      </w:tr>
      <w:tr w14:paraId="0B13D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845" w:type="pct"/>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0C8E5D2A">
            <w:pPr>
              <w:spacing w:line="360" w:lineRule="exact"/>
              <w:jc w:val="center"/>
              <w:rPr>
                <w:rFonts w:ascii="宋体" w:hAnsi="宋体" w:cs="宋体"/>
                <w:color w:val="auto"/>
                <w:szCs w:val="21"/>
                <w:highlight w:val="none"/>
              </w:rPr>
            </w:pPr>
          </w:p>
        </w:tc>
        <w:tc>
          <w:tcPr>
            <w:tcW w:w="4155"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4F6D2B45">
            <w:pPr>
              <w:spacing w:line="360" w:lineRule="exact"/>
              <w:rPr>
                <w:rFonts w:ascii="宋体" w:hAnsi="宋体" w:cs="宋体"/>
                <w:color w:val="auto"/>
                <w:szCs w:val="21"/>
                <w:highlight w:val="none"/>
              </w:rPr>
            </w:pPr>
            <w:r>
              <w:rPr>
                <w:rFonts w:hint="eastAsia" w:ascii="宋体" w:hAnsi="宋体" w:cs="宋体"/>
                <w:color w:val="auto"/>
                <w:szCs w:val="21"/>
                <w:highlight w:val="none"/>
              </w:rPr>
              <w:t>支持完善的自动改密安全保护机制，包括：改密前备份、备份失败不改密、改密后备份、密码文件加密；支持发送方式，包括邮件、FTP、SFTP等。</w:t>
            </w:r>
          </w:p>
        </w:tc>
      </w:tr>
      <w:tr w14:paraId="0C58B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jc w:val="center"/>
        </w:trPr>
        <w:tc>
          <w:tcPr>
            <w:tcW w:w="845" w:type="pct"/>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54688F9A">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运维方式要求</w:t>
            </w:r>
          </w:p>
        </w:tc>
        <w:tc>
          <w:tcPr>
            <w:tcW w:w="4155"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080F84BA">
            <w:pPr>
              <w:spacing w:line="360" w:lineRule="exact"/>
              <w:rPr>
                <w:rFonts w:ascii="宋体" w:hAnsi="宋体" w:cs="宋体"/>
                <w:color w:val="auto"/>
                <w:szCs w:val="21"/>
                <w:highlight w:val="none"/>
              </w:rPr>
            </w:pPr>
            <w:r>
              <w:rPr>
                <w:rFonts w:hint="eastAsia" w:ascii="宋体" w:hAnsi="宋体" w:cs="宋体"/>
                <w:color w:val="auto"/>
                <w:szCs w:val="21"/>
                <w:highlight w:val="none"/>
              </w:rPr>
              <w:t>支持通过堡垒机页面直接调用本地Windows系统里的plsql、sqlplus、toad、sqlwb、ssms、mysql.exe等数据库客户端工具。</w:t>
            </w:r>
          </w:p>
        </w:tc>
      </w:tr>
      <w:tr w14:paraId="50A08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845" w:type="pct"/>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1397AF38">
            <w:pPr>
              <w:spacing w:line="360" w:lineRule="exact"/>
              <w:jc w:val="center"/>
              <w:rPr>
                <w:rFonts w:ascii="宋体" w:hAnsi="宋体" w:cs="宋体"/>
                <w:color w:val="auto"/>
                <w:szCs w:val="21"/>
                <w:highlight w:val="none"/>
              </w:rPr>
            </w:pPr>
          </w:p>
        </w:tc>
        <w:tc>
          <w:tcPr>
            <w:tcW w:w="4155"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63549E7B">
            <w:pPr>
              <w:spacing w:line="360" w:lineRule="exact"/>
              <w:rPr>
                <w:rFonts w:ascii="宋体" w:hAnsi="宋体" w:cs="宋体"/>
                <w:color w:val="auto"/>
                <w:szCs w:val="21"/>
                <w:highlight w:val="none"/>
              </w:rPr>
            </w:pPr>
            <w:r>
              <w:rPr>
                <w:rFonts w:hint="eastAsia" w:ascii="宋体" w:hAnsi="宋体" w:cs="宋体"/>
                <w:color w:val="auto"/>
                <w:szCs w:val="21"/>
                <w:highlight w:val="none"/>
              </w:rPr>
              <w:t>客户端访问方式：支持使用本地的mstsc/Xshell/SecureCRT/Putty等客户端工具登录堡垒机访问图形或字符设备，视图界面一致性、搜索能力。</w:t>
            </w:r>
          </w:p>
        </w:tc>
      </w:tr>
      <w:tr w14:paraId="3C819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845" w:type="pct"/>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15A2499A">
            <w:pPr>
              <w:spacing w:line="360" w:lineRule="exact"/>
              <w:jc w:val="center"/>
              <w:rPr>
                <w:rFonts w:ascii="宋体" w:hAnsi="宋体" w:cs="宋体"/>
                <w:color w:val="auto"/>
                <w:szCs w:val="21"/>
                <w:highlight w:val="none"/>
              </w:rPr>
            </w:pPr>
          </w:p>
        </w:tc>
        <w:tc>
          <w:tcPr>
            <w:tcW w:w="4155"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1435F761">
            <w:pPr>
              <w:spacing w:line="360" w:lineRule="exact"/>
              <w:rPr>
                <w:rFonts w:ascii="宋体" w:hAnsi="宋体" w:cs="宋体"/>
                <w:color w:val="auto"/>
                <w:szCs w:val="21"/>
                <w:highlight w:val="none"/>
              </w:rPr>
            </w:pPr>
            <w:r>
              <w:rPr>
                <w:rFonts w:hint="eastAsia" w:ascii="宋体" w:hAnsi="宋体" w:cs="宋体"/>
                <w:color w:val="auto"/>
                <w:szCs w:val="21"/>
                <w:highlight w:val="none"/>
              </w:rPr>
              <w:t>支持批量登录字符设备功能：能自动生成SecurCRT/Xshell工具的批量登录文件，实现在工具中批量自动登录多台设备。</w:t>
            </w:r>
          </w:p>
        </w:tc>
      </w:tr>
      <w:tr w14:paraId="366D4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845" w:type="pct"/>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3F4354DA">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审计日志要求</w:t>
            </w:r>
          </w:p>
        </w:tc>
        <w:tc>
          <w:tcPr>
            <w:tcW w:w="4155"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6EEE7551">
            <w:pPr>
              <w:spacing w:line="360" w:lineRule="exact"/>
              <w:rPr>
                <w:rFonts w:ascii="宋体" w:hAnsi="宋体" w:cs="宋体"/>
                <w:color w:val="auto"/>
                <w:szCs w:val="21"/>
                <w:highlight w:val="none"/>
              </w:rPr>
            </w:pPr>
            <w:r>
              <w:rPr>
                <w:rFonts w:hint="eastAsia" w:ascii="宋体" w:hAnsi="宋体" w:cs="宋体"/>
                <w:color w:val="auto"/>
                <w:szCs w:val="21"/>
                <w:highlight w:val="none"/>
              </w:rPr>
              <w:t>支持对运维操作会话的在线监控、实时阻断、日志回放、起止时间、来源用户、来源IP、目标设备、协议/应用类型、命令记录、操作内容（如对文件的上传、下载、删除、修改等操作等）的详细行为日志，本机能保存半年以上日志。</w:t>
            </w:r>
          </w:p>
        </w:tc>
      </w:tr>
      <w:tr w14:paraId="0B998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845" w:type="pct"/>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6CFD9DC8">
            <w:pPr>
              <w:spacing w:line="360" w:lineRule="exact"/>
              <w:jc w:val="center"/>
              <w:rPr>
                <w:rFonts w:ascii="宋体" w:hAnsi="宋体" w:cs="宋体"/>
                <w:color w:val="auto"/>
                <w:szCs w:val="21"/>
                <w:highlight w:val="none"/>
              </w:rPr>
            </w:pPr>
          </w:p>
        </w:tc>
        <w:tc>
          <w:tcPr>
            <w:tcW w:w="4155"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13477628">
            <w:pPr>
              <w:spacing w:line="360" w:lineRule="exact"/>
              <w:rPr>
                <w:rFonts w:ascii="宋体" w:hAnsi="宋体" w:cs="宋体"/>
                <w:color w:val="auto"/>
                <w:szCs w:val="21"/>
                <w:highlight w:val="none"/>
              </w:rPr>
            </w:pPr>
            <w:r>
              <w:rPr>
                <w:rFonts w:hint="eastAsia" w:ascii="宋体" w:hAnsi="宋体" w:cs="宋体"/>
                <w:color w:val="auto"/>
                <w:szCs w:val="21"/>
                <w:highlight w:val="none"/>
              </w:rPr>
              <w:t>支持保存SSH传输，SFTP/FTP，RDP传输的原始文件。</w:t>
            </w:r>
          </w:p>
        </w:tc>
      </w:tr>
      <w:tr w14:paraId="12731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845" w:type="pct"/>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65CB47D1">
            <w:pPr>
              <w:spacing w:line="360" w:lineRule="exact"/>
              <w:jc w:val="center"/>
              <w:rPr>
                <w:rFonts w:ascii="宋体" w:hAnsi="宋体" w:cs="宋体"/>
                <w:color w:val="auto"/>
                <w:szCs w:val="21"/>
                <w:highlight w:val="none"/>
              </w:rPr>
            </w:pPr>
          </w:p>
        </w:tc>
        <w:tc>
          <w:tcPr>
            <w:tcW w:w="4155"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40D9CF12">
            <w:pPr>
              <w:spacing w:line="360" w:lineRule="exact"/>
              <w:rPr>
                <w:rFonts w:ascii="宋体" w:hAnsi="宋体" w:cs="宋体"/>
                <w:color w:val="auto"/>
                <w:szCs w:val="21"/>
                <w:highlight w:val="none"/>
              </w:rPr>
            </w:pPr>
            <w:r>
              <w:rPr>
                <w:rFonts w:hint="eastAsia" w:ascii="宋体" w:hAnsi="宋体" w:cs="宋体"/>
                <w:color w:val="auto"/>
                <w:szCs w:val="21"/>
                <w:highlight w:val="none"/>
              </w:rPr>
              <w:t>支持审计主流数据库（如DB2、oracle、mysql、sql server）运维中的SQL语句，可进行关键信息定位查询。</w:t>
            </w:r>
          </w:p>
        </w:tc>
      </w:tr>
      <w:tr w14:paraId="1D9F0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845" w:type="pct"/>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2C747BB9">
            <w:pPr>
              <w:spacing w:line="360" w:lineRule="exact"/>
              <w:jc w:val="center"/>
              <w:rPr>
                <w:rFonts w:ascii="宋体" w:hAnsi="宋体" w:cs="宋体"/>
                <w:color w:val="auto"/>
                <w:szCs w:val="21"/>
                <w:highlight w:val="none"/>
              </w:rPr>
            </w:pPr>
          </w:p>
        </w:tc>
        <w:tc>
          <w:tcPr>
            <w:tcW w:w="4155"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4B7FE5B8">
            <w:pPr>
              <w:spacing w:line="360" w:lineRule="exact"/>
              <w:rPr>
                <w:rFonts w:ascii="宋体" w:hAnsi="宋体" w:cs="宋体"/>
                <w:color w:val="auto"/>
                <w:szCs w:val="21"/>
                <w:highlight w:val="none"/>
              </w:rPr>
            </w:pPr>
            <w:r>
              <w:rPr>
                <w:rFonts w:hint="eastAsia" w:ascii="宋体" w:hAnsi="宋体" w:cs="宋体"/>
                <w:color w:val="auto"/>
                <w:szCs w:val="21"/>
                <w:highlight w:val="none"/>
              </w:rPr>
              <w:t>支持全局搜索审计日志，无需区分图形/字符/文件/应用类型，只需通过关键信息直接搜索定位。</w:t>
            </w:r>
          </w:p>
        </w:tc>
      </w:tr>
      <w:tr w14:paraId="1F441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845" w:type="pct"/>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29604291">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安全策略要求</w:t>
            </w:r>
          </w:p>
        </w:tc>
        <w:tc>
          <w:tcPr>
            <w:tcW w:w="4155"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56F70037">
            <w:pPr>
              <w:pStyle w:val="8"/>
              <w:rPr>
                <w:rFonts w:ascii="宋体" w:hAnsi="宋体" w:cs="宋体"/>
                <w:b/>
                <w:color w:val="auto"/>
                <w:szCs w:val="21"/>
                <w:highlight w:val="none"/>
              </w:rPr>
            </w:pPr>
            <w:r>
              <w:rPr>
                <w:rFonts w:hint="eastAsia" w:ascii="宋体" w:hAnsi="宋体" w:cs="宋体"/>
                <w:b/>
                <w:color w:val="auto"/>
                <w:szCs w:val="21"/>
                <w:highlight w:val="none"/>
              </w:rPr>
              <w:t>支持对重要命令进行审核：运维人员执行命令后，须等到管理员审批通过后才可执行成功。（提供截图证明）</w:t>
            </w:r>
          </w:p>
        </w:tc>
      </w:tr>
      <w:tr w14:paraId="0A4E6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845" w:type="pct"/>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131E58E2">
            <w:pPr>
              <w:spacing w:line="360" w:lineRule="exact"/>
              <w:jc w:val="center"/>
              <w:rPr>
                <w:rFonts w:ascii="宋体" w:hAnsi="宋体" w:cs="宋体"/>
                <w:color w:val="auto"/>
                <w:szCs w:val="21"/>
                <w:highlight w:val="none"/>
              </w:rPr>
            </w:pPr>
          </w:p>
        </w:tc>
        <w:tc>
          <w:tcPr>
            <w:tcW w:w="4155"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30AFF78B">
            <w:pPr>
              <w:spacing w:line="360" w:lineRule="exact"/>
              <w:rPr>
                <w:rFonts w:ascii="宋体" w:hAnsi="宋体" w:cs="宋体"/>
                <w:color w:val="auto"/>
                <w:szCs w:val="21"/>
                <w:highlight w:val="none"/>
              </w:rPr>
            </w:pPr>
            <w:r>
              <w:rPr>
                <w:rFonts w:hint="eastAsia" w:ascii="宋体" w:hAnsi="宋体" w:cs="宋体"/>
                <w:color w:val="auto"/>
                <w:szCs w:val="21"/>
                <w:highlight w:val="none"/>
              </w:rPr>
              <w:t>支持自动推送脚本任务，如可自动备份交换机/路由器的配置信息、可自动执行周期任务；并将结果以邮件/FTP/SFTP的方式发送给相关管理员。</w:t>
            </w:r>
          </w:p>
        </w:tc>
      </w:tr>
      <w:tr w14:paraId="3D320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845" w:type="pct"/>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2078FCBF">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报表统计要求</w:t>
            </w:r>
          </w:p>
        </w:tc>
        <w:tc>
          <w:tcPr>
            <w:tcW w:w="4155"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21E64801">
            <w:pPr>
              <w:spacing w:line="360" w:lineRule="exact"/>
              <w:rPr>
                <w:rFonts w:ascii="宋体" w:hAnsi="宋体" w:cs="宋体"/>
                <w:color w:val="auto"/>
                <w:szCs w:val="21"/>
                <w:highlight w:val="none"/>
              </w:rPr>
            </w:pPr>
            <w:r>
              <w:rPr>
                <w:rFonts w:hint="eastAsia" w:ascii="宋体" w:hAnsi="宋体" w:cs="宋体"/>
                <w:color w:val="auto"/>
                <w:szCs w:val="21"/>
                <w:highlight w:val="none"/>
              </w:rPr>
              <w:t>内置丰富的报表统计模板，可点击柱状图、饼状图或曲线图进行数据钻取分析，且支持PDF、doc、html格式导出。</w:t>
            </w:r>
          </w:p>
        </w:tc>
      </w:tr>
      <w:tr w14:paraId="1241B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845" w:type="pct"/>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557070AF">
            <w:pPr>
              <w:spacing w:line="360" w:lineRule="exact"/>
              <w:jc w:val="center"/>
              <w:rPr>
                <w:rFonts w:ascii="宋体" w:hAnsi="宋体" w:cs="宋体"/>
                <w:color w:val="auto"/>
                <w:szCs w:val="21"/>
                <w:highlight w:val="none"/>
              </w:rPr>
            </w:pPr>
          </w:p>
        </w:tc>
        <w:tc>
          <w:tcPr>
            <w:tcW w:w="4155"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32887D09">
            <w:pPr>
              <w:spacing w:line="360" w:lineRule="exact"/>
              <w:rPr>
                <w:rFonts w:ascii="宋体" w:hAnsi="宋体" w:cs="宋体"/>
                <w:color w:val="auto"/>
                <w:szCs w:val="21"/>
                <w:highlight w:val="none"/>
              </w:rPr>
            </w:pPr>
            <w:r>
              <w:rPr>
                <w:rFonts w:hint="eastAsia" w:ascii="宋体" w:hAnsi="宋体" w:cs="宋体"/>
                <w:color w:val="auto"/>
                <w:szCs w:val="21"/>
                <w:highlight w:val="none"/>
              </w:rPr>
              <w:t>支持一键导出符合等级保护要求的综合分析报告。</w:t>
            </w:r>
          </w:p>
        </w:tc>
      </w:tr>
      <w:tr w14:paraId="610EF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845" w:type="pct"/>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197277D1">
            <w:pPr>
              <w:spacing w:line="360" w:lineRule="exact"/>
              <w:jc w:val="center"/>
              <w:rPr>
                <w:rFonts w:ascii="宋体" w:hAnsi="宋体" w:cs="宋体"/>
                <w:color w:val="auto"/>
                <w:szCs w:val="21"/>
                <w:highlight w:val="none"/>
              </w:rPr>
            </w:pPr>
          </w:p>
        </w:tc>
        <w:tc>
          <w:tcPr>
            <w:tcW w:w="4155"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197FD3F6">
            <w:pPr>
              <w:spacing w:line="360" w:lineRule="exact"/>
              <w:rPr>
                <w:rFonts w:ascii="宋体" w:hAnsi="宋体" w:cs="宋体"/>
                <w:color w:val="auto"/>
                <w:szCs w:val="21"/>
                <w:highlight w:val="none"/>
              </w:rPr>
            </w:pPr>
            <w:r>
              <w:rPr>
                <w:rFonts w:hint="eastAsia" w:ascii="宋体" w:hAnsi="宋体" w:cs="宋体"/>
                <w:color w:val="auto"/>
                <w:szCs w:val="21"/>
                <w:highlight w:val="none"/>
              </w:rPr>
              <w:t>内置根据运维人员和组生成各种维度的分析报表，维度包含总为运维次数、时长、活动时长、会话起止时间、会话大小、命令数、上传下载文件数，分别从全局及平均值、最大值、最小值、单次运维、单个会话等角度提供非常有价值有意义的报表。</w:t>
            </w:r>
          </w:p>
        </w:tc>
      </w:tr>
      <w:tr w14:paraId="559A5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845" w:type="pct"/>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11FE16FB">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系统管理要求</w:t>
            </w:r>
          </w:p>
        </w:tc>
        <w:tc>
          <w:tcPr>
            <w:tcW w:w="4155"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7C8D0937">
            <w:pPr>
              <w:spacing w:line="360" w:lineRule="exact"/>
              <w:rPr>
                <w:rFonts w:ascii="宋体" w:hAnsi="宋体" w:cs="宋体"/>
                <w:color w:val="auto"/>
                <w:szCs w:val="21"/>
                <w:highlight w:val="none"/>
              </w:rPr>
            </w:pPr>
            <w:r>
              <w:rPr>
                <w:rFonts w:hint="eastAsia" w:ascii="宋体" w:hAnsi="宋体" w:cs="宋体"/>
                <w:color w:val="auto"/>
                <w:szCs w:val="21"/>
                <w:highlight w:val="none"/>
              </w:rPr>
              <w:t>支持自身审计，包括但不限于：系统状态检测、登录日志、用户配置日志、设备配置日志、授权配置日志、策略配置日志、运维访问日志、系统配置日志等。</w:t>
            </w:r>
          </w:p>
        </w:tc>
      </w:tr>
      <w:tr w14:paraId="0AD2B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845" w:type="pct"/>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3FDD63EC">
            <w:pPr>
              <w:spacing w:line="360" w:lineRule="exact"/>
              <w:jc w:val="center"/>
              <w:rPr>
                <w:rFonts w:ascii="宋体" w:hAnsi="宋体" w:cs="宋体"/>
                <w:color w:val="auto"/>
                <w:szCs w:val="21"/>
                <w:highlight w:val="none"/>
              </w:rPr>
            </w:pPr>
          </w:p>
        </w:tc>
        <w:tc>
          <w:tcPr>
            <w:tcW w:w="4155"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5C252D7C">
            <w:pPr>
              <w:spacing w:line="360" w:lineRule="exact"/>
              <w:rPr>
                <w:rFonts w:ascii="宋体" w:hAnsi="宋体" w:cs="宋体"/>
                <w:b/>
                <w:color w:val="auto"/>
                <w:szCs w:val="21"/>
                <w:highlight w:val="none"/>
              </w:rPr>
            </w:pPr>
            <w:r>
              <w:rPr>
                <w:rFonts w:hint="eastAsia" w:ascii="宋体" w:hAnsi="宋体" w:cs="宋体"/>
                <w:bCs/>
                <w:color w:val="auto"/>
                <w:szCs w:val="21"/>
                <w:highlight w:val="none"/>
              </w:rPr>
              <w:t>支持和同品牌的SOC系统进行联动，对绕过堡垒机而登录主机的行为，SOC进行实时告警，并且与SOC进行日志关联性分析</w:t>
            </w:r>
            <w:r>
              <w:rPr>
                <w:rFonts w:hint="eastAsia" w:ascii="宋体" w:hAnsi="宋体" w:cs="宋体"/>
                <w:color w:val="auto"/>
                <w:szCs w:val="21"/>
                <w:highlight w:val="none"/>
              </w:rPr>
              <w:t>。</w:t>
            </w:r>
          </w:p>
        </w:tc>
      </w:tr>
      <w:tr w14:paraId="2A861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845"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7A2AA6D5">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产品资质</w:t>
            </w:r>
          </w:p>
        </w:tc>
        <w:tc>
          <w:tcPr>
            <w:tcW w:w="4155" w:type="pct"/>
            <w:tcBorders>
              <w:top w:val="single" w:color="000000" w:sz="8" w:space="0"/>
              <w:left w:val="single" w:color="000000" w:sz="8" w:space="0"/>
              <w:right w:val="single" w:color="000000" w:sz="8" w:space="0"/>
            </w:tcBorders>
            <w:shd w:val="clear" w:color="auto" w:fill="FFFFFF"/>
            <w:vAlign w:val="center"/>
          </w:tcPr>
          <w:p w14:paraId="5F911F98">
            <w:pPr>
              <w:spacing w:line="360" w:lineRule="exact"/>
              <w:rPr>
                <w:rFonts w:ascii="宋体" w:hAnsi="宋体" w:cs="宋体"/>
                <w:color w:val="auto"/>
                <w:szCs w:val="21"/>
                <w:highlight w:val="none"/>
              </w:rPr>
            </w:pPr>
            <w:r>
              <w:rPr>
                <w:rFonts w:hint="eastAsia" w:ascii="宋体" w:hAnsi="宋体" w:cs="宋体"/>
                <w:color w:val="auto"/>
                <w:szCs w:val="21"/>
                <w:highlight w:val="none"/>
              </w:rPr>
              <w:t>产品通过中国信息安全认证中心检测并获得证书。</w:t>
            </w:r>
          </w:p>
        </w:tc>
      </w:tr>
    </w:tbl>
    <w:p w14:paraId="06C5622C">
      <w:pPr>
        <w:keepNext/>
        <w:keepLines/>
        <w:spacing w:line="360" w:lineRule="auto"/>
        <w:outlineLvl w:val="0"/>
        <w:rPr>
          <w:rFonts w:ascii="宋体" w:hAnsi="宋体" w:cs="宋体"/>
          <w:b/>
          <w:color w:val="auto"/>
          <w:szCs w:val="21"/>
          <w:highlight w:val="none"/>
        </w:rPr>
      </w:pPr>
      <w:r>
        <w:rPr>
          <w:rFonts w:hint="eastAsia" w:ascii="宋体" w:hAnsi="宋体" w:cs="宋体"/>
          <w:b/>
          <w:color w:val="auto"/>
          <w:szCs w:val="21"/>
          <w:highlight w:val="none"/>
        </w:rPr>
        <w:t>7．专网综合日志审计系统服务</w:t>
      </w:r>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9"/>
        <w:gridCol w:w="6893"/>
      </w:tblGrid>
      <w:tr w14:paraId="40566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0" w:hRule="atLeast"/>
          <w:jc w:val="center"/>
        </w:trPr>
        <w:tc>
          <w:tcPr>
            <w:tcW w:w="956" w:type="pct"/>
            <w:tcBorders>
              <w:top w:val="single" w:color="000000" w:sz="8" w:space="0"/>
              <w:left w:val="single" w:color="000000" w:sz="8" w:space="0"/>
              <w:bottom w:val="single" w:color="000000" w:sz="8" w:space="0"/>
              <w:right w:val="single" w:color="000000" w:sz="8" w:space="0"/>
            </w:tcBorders>
            <w:shd w:val="clear" w:color="000000" w:fill="FFFFFF"/>
            <w:vAlign w:val="center"/>
          </w:tcPr>
          <w:p w14:paraId="16EFE91D">
            <w:pPr>
              <w:spacing w:line="360" w:lineRule="exact"/>
              <w:jc w:val="center"/>
              <w:rPr>
                <w:rFonts w:ascii="宋体" w:hAnsi="宋体" w:cs="宋体"/>
                <w:b/>
                <w:bCs/>
                <w:color w:val="auto"/>
                <w:szCs w:val="21"/>
                <w:highlight w:val="none"/>
              </w:rPr>
            </w:pPr>
            <w:r>
              <w:rPr>
                <w:rFonts w:hint="eastAsia" w:ascii="宋体" w:hAnsi="宋体" w:cs="宋体"/>
                <w:b/>
                <w:bCs/>
                <w:color w:val="auto"/>
                <w:szCs w:val="21"/>
                <w:highlight w:val="none"/>
              </w:rPr>
              <w:t>技术指标</w:t>
            </w:r>
          </w:p>
        </w:tc>
        <w:tc>
          <w:tcPr>
            <w:tcW w:w="4044"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0DD34C23">
            <w:pPr>
              <w:spacing w:line="360" w:lineRule="exact"/>
              <w:jc w:val="center"/>
              <w:rPr>
                <w:rFonts w:ascii="宋体" w:hAnsi="宋体" w:cs="宋体"/>
                <w:b/>
                <w:bCs/>
                <w:color w:val="auto"/>
                <w:szCs w:val="21"/>
                <w:highlight w:val="none"/>
              </w:rPr>
            </w:pPr>
            <w:r>
              <w:rPr>
                <w:rFonts w:hint="eastAsia" w:ascii="宋体" w:hAnsi="宋体" w:cs="宋体"/>
                <w:b/>
                <w:bCs/>
                <w:color w:val="auto"/>
                <w:szCs w:val="21"/>
                <w:highlight w:val="none"/>
              </w:rPr>
              <w:t>技术要求</w:t>
            </w:r>
          </w:p>
        </w:tc>
      </w:tr>
      <w:tr w14:paraId="388EE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956" w:type="pct"/>
            <w:shd w:val="clear" w:color="auto" w:fill="auto"/>
            <w:vAlign w:val="center"/>
          </w:tcPr>
          <w:p w14:paraId="47327BB8">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服务工具基本要求</w:t>
            </w:r>
          </w:p>
        </w:tc>
        <w:tc>
          <w:tcPr>
            <w:tcW w:w="4044" w:type="pct"/>
            <w:shd w:val="clear" w:color="auto" w:fill="auto"/>
            <w:vAlign w:val="center"/>
          </w:tcPr>
          <w:p w14:paraId="4CACE583">
            <w:pPr>
              <w:spacing w:line="360" w:lineRule="exact"/>
              <w:rPr>
                <w:rFonts w:ascii="宋体" w:hAnsi="宋体" w:cs="宋体"/>
                <w:color w:val="auto"/>
                <w:szCs w:val="21"/>
                <w:highlight w:val="none"/>
              </w:rPr>
            </w:pPr>
            <w:r>
              <w:rPr>
                <w:rFonts w:hint="eastAsia" w:ascii="宋体" w:hAnsi="宋体" w:cs="宋体"/>
                <w:color w:val="auto"/>
                <w:szCs w:val="21"/>
                <w:highlight w:val="none"/>
              </w:rPr>
              <w:t>CPU规格：≥4核；内存容量：≥8GB*2；硬盘接口：2T；网口类型：≥4个千兆电口，≥4个千兆光口(配2个多模SFP光纤模块)，1个console口，电源配置：双电源；日志源授权：≥1000个。</w:t>
            </w:r>
          </w:p>
        </w:tc>
      </w:tr>
      <w:tr w14:paraId="06DB8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956" w:type="pct"/>
            <w:vMerge w:val="restart"/>
            <w:shd w:val="clear" w:color="auto" w:fill="auto"/>
            <w:vAlign w:val="center"/>
          </w:tcPr>
          <w:p w14:paraId="10F8A53C">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工作模式</w:t>
            </w:r>
          </w:p>
        </w:tc>
        <w:tc>
          <w:tcPr>
            <w:tcW w:w="4044" w:type="pct"/>
            <w:shd w:val="clear" w:color="auto" w:fill="auto"/>
            <w:vAlign w:val="center"/>
          </w:tcPr>
          <w:p w14:paraId="5159212C">
            <w:pPr>
              <w:spacing w:line="360" w:lineRule="exact"/>
              <w:rPr>
                <w:rFonts w:ascii="宋体" w:hAnsi="宋体" w:cs="宋体"/>
                <w:color w:val="auto"/>
                <w:szCs w:val="21"/>
                <w:highlight w:val="none"/>
              </w:rPr>
            </w:pPr>
            <w:r>
              <w:rPr>
                <w:rFonts w:hint="eastAsia" w:ascii="宋体" w:hAnsi="宋体" w:cs="宋体"/>
                <w:color w:val="auto"/>
                <w:szCs w:val="21"/>
                <w:highlight w:val="none"/>
              </w:rPr>
              <w:t>独立完成审计日志采集，不依赖于设备或系统自身的日志系统。</w:t>
            </w:r>
          </w:p>
        </w:tc>
      </w:tr>
      <w:tr w14:paraId="20B11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956" w:type="pct"/>
            <w:vMerge w:val="continue"/>
            <w:shd w:val="clear" w:color="auto" w:fill="auto"/>
            <w:vAlign w:val="center"/>
          </w:tcPr>
          <w:p w14:paraId="0E64D572">
            <w:pPr>
              <w:spacing w:line="360" w:lineRule="exact"/>
              <w:jc w:val="center"/>
              <w:rPr>
                <w:rFonts w:ascii="宋体" w:hAnsi="宋体" w:cs="宋体"/>
                <w:color w:val="auto"/>
                <w:szCs w:val="21"/>
                <w:highlight w:val="none"/>
              </w:rPr>
            </w:pPr>
          </w:p>
        </w:tc>
        <w:tc>
          <w:tcPr>
            <w:tcW w:w="4044" w:type="pct"/>
            <w:shd w:val="clear" w:color="auto" w:fill="auto"/>
            <w:vAlign w:val="center"/>
          </w:tcPr>
          <w:p w14:paraId="5043BC8A">
            <w:pPr>
              <w:spacing w:line="360" w:lineRule="exact"/>
              <w:rPr>
                <w:rFonts w:ascii="宋体" w:hAnsi="宋体" w:cs="宋体"/>
                <w:color w:val="auto"/>
                <w:szCs w:val="21"/>
                <w:highlight w:val="none"/>
              </w:rPr>
            </w:pPr>
            <w:r>
              <w:rPr>
                <w:rFonts w:hint="eastAsia" w:ascii="宋体" w:hAnsi="宋体" w:cs="宋体"/>
                <w:color w:val="auto"/>
                <w:szCs w:val="21"/>
                <w:highlight w:val="none"/>
              </w:rPr>
              <w:t>审计工作不影响被审计对象的性能、稳定性或日常管理流程。</w:t>
            </w:r>
          </w:p>
        </w:tc>
      </w:tr>
      <w:tr w14:paraId="4BDC5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956" w:type="pct"/>
            <w:vMerge w:val="restart"/>
            <w:shd w:val="clear" w:color="auto" w:fill="auto"/>
            <w:vAlign w:val="center"/>
          </w:tcPr>
          <w:p w14:paraId="554FA8AE">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日志收集</w:t>
            </w:r>
          </w:p>
        </w:tc>
        <w:tc>
          <w:tcPr>
            <w:tcW w:w="4044" w:type="pct"/>
            <w:shd w:val="clear" w:color="auto" w:fill="auto"/>
            <w:vAlign w:val="center"/>
          </w:tcPr>
          <w:p w14:paraId="2643A982">
            <w:pPr>
              <w:spacing w:line="360" w:lineRule="exact"/>
              <w:rPr>
                <w:rFonts w:ascii="宋体" w:hAnsi="宋体" w:cs="宋体"/>
                <w:color w:val="auto"/>
                <w:szCs w:val="21"/>
                <w:highlight w:val="none"/>
              </w:rPr>
            </w:pPr>
            <w:r>
              <w:rPr>
                <w:rFonts w:hint="eastAsia" w:ascii="宋体" w:hAnsi="宋体" w:cs="宋体"/>
                <w:color w:val="auto"/>
                <w:szCs w:val="21"/>
                <w:highlight w:val="none"/>
              </w:rPr>
              <w:t>包括且不限于Syslog、SNMP Trap、HTTP、ODBC/JDBC、WMI、FTP、SFTP等常见的网络、操作系统、数据库、中间件等日志收集。</w:t>
            </w:r>
          </w:p>
        </w:tc>
      </w:tr>
      <w:tr w14:paraId="7675B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956" w:type="pct"/>
            <w:vMerge w:val="continue"/>
            <w:shd w:val="clear" w:color="auto" w:fill="auto"/>
            <w:vAlign w:val="center"/>
          </w:tcPr>
          <w:p w14:paraId="1767974A">
            <w:pPr>
              <w:spacing w:line="360" w:lineRule="exact"/>
              <w:jc w:val="center"/>
              <w:rPr>
                <w:rFonts w:ascii="宋体" w:hAnsi="宋体" w:cs="宋体"/>
                <w:color w:val="auto"/>
                <w:szCs w:val="21"/>
                <w:highlight w:val="none"/>
              </w:rPr>
            </w:pPr>
          </w:p>
        </w:tc>
        <w:tc>
          <w:tcPr>
            <w:tcW w:w="4044" w:type="pct"/>
            <w:shd w:val="clear" w:color="auto" w:fill="auto"/>
            <w:vAlign w:val="center"/>
          </w:tcPr>
          <w:p w14:paraId="762F0443">
            <w:pPr>
              <w:spacing w:line="360" w:lineRule="exact"/>
              <w:rPr>
                <w:rFonts w:ascii="宋体" w:hAnsi="宋体" w:cs="宋体"/>
                <w:color w:val="auto"/>
                <w:szCs w:val="21"/>
                <w:highlight w:val="none"/>
              </w:rPr>
            </w:pPr>
            <w:r>
              <w:rPr>
                <w:rFonts w:hint="eastAsia" w:ascii="宋体" w:hAnsi="宋体" w:cs="宋体"/>
                <w:color w:val="auto"/>
                <w:szCs w:val="21"/>
                <w:highlight w:val="none"/>
              </w:rPr>
              <w:t>支持使用代理（Agent）方式提取日志并收集，安装包支持界面下载，且安装支持可视化向导。</w:t>
            </w:r>
          </w:p>
        </w:tc>
      </w:tr>
      <w:tr w14:paraId="71111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956" w:type="pct"/>
            <w:vMerge w:val="continue"/>
            <w:shd w:val="clear" w:color="auto" w:fill="auto"/>
            <w:vAlign w:val="center"/>
          </w:tcPr>
          <w:p w14:paraId="54699DF2">
            <w:pPr>
              <w:spacing w:line="360" w:lineRule="exact"/>
              <w:jc w:val="center"/>
              <w:rPr>
                <w:rFonts w:ascii="宋体" w:hAnsi="宋体" w:cs="宋体"/>
                <w:color w:val="auto"/>
                <w:szCs w:val="21"/>
                <w:highlight w:val="none"/>
              </w:rPr>
            </w:pPr>
          </w:p>
        </w:tc>
        <w:tc>
          <w:tcPr>
            <w:tcW w:w="4044" w:type="pct"/>
            <w:shd w:val="clear" w:color="auto" w:fill="auto"/>
            <w:vAlign w:val="center"/>
          </w:tcPr>
          <w:p w14:paraId="5F2DE403">
            <w:pPr>
              <w:spacing w:line="360" w:lineRule="exact"/>
              <w:rPr>
                <w:rFonts w:ascii="宋体" w:hAnsi="宋体" w:cs="宋体"/>
                <w:color w:val="auto"/>
                <w:szCs w:val="21"/>
                <w:highlight w:val="none"/>
              </w:rPr>
            </w:pPr>
            <w:r>
              <w:rPr>
                <w:rFonts w:hint="eastAsia" w:ascii="宋体" w:hAnsi="宋体" w:cs="宋体"/>
                <w:color w:val="auto"/>
                <w:szCs w:val="21"/>
                <w:highlight w:val="none"/>
              </w:rPr>
              <w:t>支持的设备厂家包括但不限于：Cisco(思科)、Juniper、联想网御/网御神州、F5、华为、H3C、微软、绿盟、飞塔(Fortinet)、Foundry、天融信、启明星辰、天网、趋势、东软、Nokia、CheckPoint、Hillstone(山石)、安恒信息、珠海伟思、BEA、中国电信、安氏、帕拉迪、APC、Arbor、Clam、戴尔（Dell）、Digium等。</w:t>
            </w:r>
          </w:p>
        </w:tc>
      </w:tr>
      <w:tr w14:paraId="681F3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956" w:type="pct"/>
            <w:vMerge w:val="continue"/>
            <w:shd w:val="clear" w:color="auto" w:fill="auto"/>
            <w:vAlign w:val="center"/>
          </w:tcPr>
          <w:p w14:paraId="5E2DB309">
            <w:pPr>
              <w:spacing w:line="360" w:lineRule="exact"/>
              <w:jc w:val="center"/>
              <w:rPr>
                <w:rFonts w:ascii="宋体" w:hAnsi="宋体" w:cs="宋体"/>
                <w:color w:val="auto"/>
                <w:szCs w:val="21"/>
                <w:highlight w:val="none"/>
              </w:rPr>
            </w:pPr>
          </w:p>
        </w:tc>
        <w:tc>
          <w:tcPr>
            <w:tcW w:w="4044" w:type="pct"/>
            <w:shd w:val="clear" w:color="auto" w:fill="auto"/>
            <w:vAlign w:val="center"/>
          </w:tcPr>
          <w:p w14:paraId="5971BFB0">
            <w:pPr>
              <w:spacing w:line="360" w:lineRule="exact"/>
              <w:rPr>
                <w:rFonts w:ascii="宋体" w:hAnsi="宋体" w:cs="宋体"/>
                <w:color w:val="auto"/>
                <w:szCs w:val="21"/>
                <w:highlight w:val="none"/>
              </w:rPr>
            </w:pPr>
            <w:r>
              <w:rPr>
                <w:rFonts w:hint="eastAsia" w:ascii="宋体" w:hAnsi="宋体" w:cs="宋体"/>
                <w:color w:val="auto"/>
                <w:szCs w:val="21"/>
                <w:highlight w:val="none"/>
              </w:rPr>
              <w:t>支持常见的虚拟机环境日志收集，包括Xen、VMWare、Hyper-V等。</w:t>
            </w:r>
          </w:p>
        </w:tc>
      </w:tr>
      <w:tr w14:paraId="17F1F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956" w:type="pct"/>
            <w:vMerge w:val="continue"/>
            <w:shd w:val="clear" w:color="auto" w:fill="auto"/>
            <w:vAlign w:val="center"/>
          </w:tcPr>
          <w:p w14:paraId="04EADDCF">
            <w:pPr>
              <w:spacing w:line="360" w:lineRule="exact"/>
              <w:jc w:val="center"/>
              <w:rPr>
                <w:rFonts w:ascii="宋体" w:hAnsi="宋体" w:cs="宋体"/>
                <w:color w:val="auto"/>
                <w:szCs w:val="21"/>
                <w:highlight w:val="none"/>
              </w:rPr>
            </w:pPr>
          </w:p>
        </w:tc>
        <w:tc>
          <w:tcPr>
            <w:tcW w:w="4044" w:type="pct"/>
            <w:shd w:val="clear" w:color="auto" w:fill="auto"/>
            <w:vAlign w:val="center"/>
          </w:tcPr>
          <w:p w14:paraId="30FEE6FA">
            <w:pPr>
              <w:spacing w:line="360" w:lineRule="exact"/>
              <w:rPr>
                <w:rFonts w:ascii="宋体" w:hAnsi="宋体" w:cs="宋体"/>
                <w:color w:val="auto"/>
                <w:szCs w:val="21"/>
                <w:highlight w:val="none"/>
              </w:rPr>
            </w:pPr>
            <w:r>
              <w:rPr>
                <w:rFonts w:hint="eastAsia" w:ascii="宋体" w:hAnsi="宋体" w:cs="宋体"/>
                <w:b/>
                <w:bCs/>
                <w:color w:val="auto"/>
                <w:szCs w:val="21"/>
                <w:highlight w:val="none"/>
                <w:u w:val="single"/>
              </w:rPr>
              <w:t>▲须满足业主方实际日志源的收集需求。</w:t>
            </w:r>
          </w:p>
        </w:tc>
      </w:tr>
      <w:tr w14:paraId="7ADBB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956" w:type="pct"/>
            <w:vMerge w:val="restart"/>
            <w:shd w:val="clear" w:color="auto" w:fill="auto"/>
            <w:vAlign w:val="center"/>
          </w:tcPr>
          <w:p w14:paraId="1312C860">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日志分析</w:t>
            </w:r>
          </w:p>
        </w:tc>
        <w:tc>
          <w:tcPr>
            <w:tcW w:w="4044" w:type="pct"/>
            <w:shd w:val="clear" w:color="auto" w:fill="auto"/>
            <w:vAlign w:val="center"/>
          </w:tcPr>
          <w:p w14:paraId="3E826F10">
            <w:pPr>
              <w:spacing w:line="360" w:lineRule="exact"/>
              <w:rPr>
                <w:rFonts w:ascii="宋体" w:hAnsi="宋体" w:cs="宋体"/>
                <w:color w:val="auto"/>
                <w:szCs w:val="21"/>
                <w:highlight w:val="none"/>
              </w:rPr>
            </w:pPr>
            <w:r>
              <w:rPr>
                <w:rFonts w:hint="eastAsia" w:ascii="宋体" w:hAnsi="宋体" w:cs="宋体"/>
                <w:color w:val="auto"/>
                <w:szCs w:val="21"/>
                <w:highlight w:val="none"/>
              </w:rPr>
              <w:t>支持解析规则性能以界面列表形式显示，可了解解析耗时、解析成功或失败次数等信息。</w:t>
            </w:r>
          </w:p>
        </w:tc>
      </w:tr>
      <w:tr w14:paraId="143C3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956" w:type="pct"/>
            <w:vMerge w:val="continue"/>
            <w:shd w:val="clear" w:color="auto" w:fill="auto"/>
            <w:vAlign w:val="center"/>
          </w:tcPr>
          <w:p w14:paraId="47DEB039">
            <w:pPr>
              <w:spacing w:line="360" w:lineRule="exact"/>
              <w:jc w:val="center"/>
              <w:rPr>
                <w:rFonts w:ascii="宋体" w:hAnsi="宋体" w:cs="宋体"/>
                <w:color w:val="auto"/>
                <w:szCs w:val="21"/>
                <w:highlight w:val="none"/>
              </w:rPr>
            </w:pPr>
          </w:p>
        </w:tc>
        <w:tc>
          <w:tcPr>
            <w:tcW w:w="4044" w:type="pct"/>
            <w:shd w:val="clear" w:color="auto" w:fill="auto"/>
            <w:vAlign w:val="center"/>
          </w:tcPr>
          <w:p w14:paraId="0C6B90B7">
            <w:pPr>
              <w:spacing w:line="360" w:lineRule="exact"/>
              <w:rPr>
                <w:rFonts w:ascii="宋体" w:hAnsi="宋体" w:cs="宋体"/>
                <w:bCs/>
                <w:color w:val="auto"/>
                <w:szCs w:val="21"/>
                <w:highlight w:val="none"/>
              </w:rPr>
            </w:pPr>
            <w:r>
              <w:rPr>
                <w:rFonts w:hint="eastAsia" w:ascii="宋体" w:hAnsi="宋体" w:cs="宋体"/>
                <w:bCs/>
                <w:color w:val="auto"/>
                <w:szCs w:val="21"/>
                <w:highlight w:val="none"/>
              </w:rPr>
              <w:t>具备安全评估模型，评估模型基于设备故障、认证登录、攻击威胁、可用性、系统脆弱性等纬度加权平均计算总体安全指数。安全评估模型可以显示总体评分、历史评分趋势。安全评估模型各项指标可钻取具体的评分扣分事件。</w:t>
            </w:r>
          </w:p>
        </w:tc>
      </w:tr>
      <w:tr w14:paraId="348A5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956" w:type="pct"/>
            <w:vMerge w:val="continue"/>
            <w:shd w:val="clear" w:color="auto" w:fill="auto"/>
            <w:vAlign w:val="center"/>
          </w:tcPr>
          <w:p w14:paraId="027E954C">
            <w:pPr>
              <w:spacing w:line="360" w:lineRule="exact"/>
              <w:jc w:val="center"/>
              <w:rPr>
                <w:rFonts w:ascii="宋体" w:hAnsi="宋体" w:cs="宋体"/>
                <w:color w:val="auto"/>
                <w:szCs w:val="21"/>
                <w:highlight w:val="none"/>
              </w:rPr>
            </w:pPr>
          </w:p>
        </w:tc>
        <w:tc>
          <w:tcPr>
            <w:tcW w:w="4044" w:type="pct"/>
            <w:shd w:val="clear" w:color="auto" w:fill="auto"/>
            <w:vAlign w:val="center"/>
          </w:tcPr>
          <w:p w14:paraId="58019352">
            <w:pPr>
              <w:spacing w:line="360" w:lineRule="exact"/>
              <w:rPr>
                <w:rFonts w:ascii="宋体" w:hAnsi="宋体" w:cs="宋体"/>
                <w:bCs/>
                <w:color w:val="auto"/>
                <w:szCs w:val="21"/>
                <w:highlight w:val="none"/>
              </w:rPr>
            </w:pPr>
            <w:r>
              <w:rPr>
                <w:rFonts w:hint="eastAsia" w:ascii="宋体" w:hAnsi="宋体" w:cs="宋体"/>
                <w:bCs/>
                <w:color w:val="auto"/>
                <w:szCs w:val="21"/>
                <w:highlight w:val="none"/>
              </w:rPr>
              <w:t>内置设备异常、漏洞利用、横向渗透、权限提升、命令执行、可疑行为6大类50+子类的安全分析场景。</w:t>
            </w:r>
          </w:p>
        </w:tc>
      </w:tr>
      <w:tr w14:paraId="6A005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956" w:type="pct"/>
            <w:vMerge w:val="continue"/>
            <w:shd w:val="clear" w:color="auto" w:fill="auto"/>
            <w:vAlign w:val="center"/>
          </w:tcPr>
          <w:p w14:paraId="45E571D2">
            <w:pPr>
              <w:spacing w:line="360" w:lineRule="exact"/>
              <w:jc w:val="center"/>
              <w:rPr>
                <w:rFonts w:ascii="宋体" w:hAnsi="宋体" w:cs="宋体"/>
                <w:color w:val="auto"/>
                <w:szCs w:val="21"/>
                <w:highlight w:val="none"/>
              </w:rPr>
            </w:pPr>
          </w:p>
        </w:tc>
        <w:tc>
          <w:tcPr>
            <w:tcW w:w="4044" w:type="pct"/>
            <w:shd w:val="clear" w:color="auto" w:fill="auto"/>
            <w:vAlign w:val="center"/>
          </w:tcPr>
          <w:p w14:paraId="61924731">
            <w:pPr>
              <w:spacing w:line="360" w:lineRule="exact"/>
              <w:rPr>
                <w:rFonts w:ascii="宋体" w:hAnsi="宋体" w:cs="宋体"/>
                <w:bCs/>
                <w:color w:val="auto"/>
                <w:szCs w:val="21"/>
                <w:highlight w:val="none"/>
              </w:rPr>
            </w:pPr>
            <w:r>
              <w:rPr>
                <w:rFonts w:hint="eastAsia" w:ascii="宋体" w:hAnsi="宋体" w:cs="宋体"/>
                <w:bCs/>
                <w:color w:val="auto"/>
                <w:szCs w:val="21"/>
                <w:highlight w:val="none"/>
              </w:rPr>
              <w:t>三维关联分析；支持通过资产、安全知识库、弱点库三个维度分析事件是否存在威胁，并形成关联事件。</w:t>
            </w:r>
          </w:p>
        </w:tc>
      </w:tr>
      <w:tr w14:paraId="7DF7D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956" w:type="pct"/>
            <w:vMerge w:val="restart"/>
            <w:shd w:val="clear" w:color="auto" w:fill="auto"/>
            <w:vAlign w:val="center"/>
          </w:tcPr>
          <w:p w14:paraId="54BDEED9">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日志查询</w:t>
            </w:r>
          </w:p>
        </w:tc>
        <w:tc>
          <w:tcPr>
            <w:tcW w:w="4044" w:type="pct"/>
            <w:shd w:val="clear" w:color="auto" w:fill="auto"/>
            <w:vAlign w:val="center"/>
          </w:tcPr>
          <w:p w14:paraId="61277E1A">
            <w:pPr>
              <w:spacing w:line="360" w:lineRule="exact"/>
              <w:rPr>
                <w:rFonts w:ascii="宋体" w:hAnsi="宋体" w:cs="宋体"/>
                <w:color w:val="auto"/>
                <w:szCs w:val="21"/>
                <w:highlight w:val="none"/>
              </w:rPr>
            </w:pPr>
            <w:r>
              <w:rPr>
                <w:rFonts w:hint="eastAsia" w:ascii="宋体" w:hAnsi="宋体" w:cs="宋体"/>
                <w:color w:val="auto"/>
                <w:szCs w:val="21"/>
                <w:highlight w:val="none"/>
              </w:rPr>
              <w:t>支持B/S模式管理，支持SSL加密模式访问。</w:t>
            </w:r>
          </w:p>
        </w:tc>
      </w:tr>
      <w:tr w14:paraId="77C9C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956" w:type="pct"/>
            <w:vMerge w:val="continue"/>
            <w:shd w:val="clear" w:color="auto" w:fill="auto"/>
            <w:vAlign w:val="center"/>
          </w:tcPr>
          <w:p w14:paraId="2A4818C8">
            <w:pPr>
              <w:spacing w:line="360" w:lineRule="exact"/>
              <w:jc w:val="center"/>
              <w:rPr>
                <w:rFonts w:ascii="宋体" w:hAnsi="宋体" w:cs="宋体"/>
                <w:color w:val="auto"/>
                <w:szCs w:val="21"/>
                <w:highlight w:val="none"/>
              </w:rPr>
            </w:pPr>
          </w:p>
        </w:tc>
        <w:tc>
          <w:tcPr>
            <w:tcW w:w="4044" w:type="pct"/>
            <w:shd w:val="clear" w:color="auto" w:fill="auto"/>
            <w:vAlign w:val="center"/>
          </w:tcPr>
          <w:p w14:paraId="71BFA2A4">
            <w:pPr>
              <w:spacing w:line="360" w:lineRule="exact"/>
              <w:rPr>
                <w:rFonts w:ascii="宋体" w:hAnsi="宋体" w:cs="宋体"/>
                <w:color w:val="auto"/>
                <w:szCs w:val="21"/>
                <w:highlight w:val="none"/>
              </w:rPr>
            </w:pPr>
            <w:r>
              <w:rPr>
                <w:rFonts w:hint="eastAsia" w:ascii="宋体" w:hAnsi="宋体" w:cs="宋体"/>
                <w:color w:val="auto"/>
                <w:szCs w:val="21"/>
                <w:highlight w:val="none"/>
              </w:rPr>
              <w:t>支持按日期、时间、设备类型、日志类型、日志来源、威胁值、源地址、目的地址、事件类型、时间范围、操作对象、技术方式、技术动作、技术效果、攻击类型、地理城市等参数进行过滤查询。</w:t>
            </w:r>
          </w:p>
        </w:tc>
      </w:tr>
      <w:tr w14:paraId="73786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956" w:type="pct"/>
            <w:vMerge w:val="continue"/>
            <w:shd w:val="clear" w:color="auto" w:fill="auto"/>
            <w:vAlign w:val="center"/>
          </w:tcPr>
          <w:p w14:paraId="77AA93F2">
            <w:pPr>
              <w:spacing w:line="360" w:lineRule="exact"/>
              <w:jc w:val="center"/>
              <w:rPr>
                <w:rFonts w:ascii="宋体" w:hAnsi="宋体" w:cs="宋体"/>
                <w:color w:val="auto"/>
                <w:szCs w:val="21"/>
                <w:highlight w:val="none"/>
              </w:rPr>
            </w:pPr>
          </w:p>
        </w:tc>
        <w:tc>
          <w:tcPr>
            <w:tcW w:w="4044" w:type="pct"/>
            <w:shd w:val="clear" w:color="auto" w:fill="auto"/>
            <w:vAlign w:val="center"/>
          </w:tcPr>
          <w:p w14:paraId="33083845">
            <w:pPr>
              <w:spacing w:line="360" w:lineRule="exact"/>
              <w:rPr>
                <w:rFonts w:ascii="宋体" w:hAnsi="宋体" w:cs="宋体"/>
                <w:color w:val="auto"/>
                <w:szCs w:val="21"/>
                <w:highlight w:val="none"/>
              </w:rPr>
            </w:pPr>
            <w:r>
              <w:rPr>
                <w:rFonts w:hint="eastAsia" w:ascii="宋体" w:hAnsi="宋体" w:cs="宋体"/>
                <w:color w:val="auto"/>
                <w:szCs w:val="21"/>
                <w:highlight w:val="none"/>
              </w:rPr>
              <w:t>支持亿级的日志里根据做任意的关键字及其它的检索条件，在秒级里返回查询结果。</w:t>
            </w:r>
          </w:p>
        </w:tc>
      </w:tr>
      <w:tr w14:paraId="6CF86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956" w:type="pct"/>
            <w:vMerge w:val="restart"/>
            <w:shd w:val="clear" w:color="auto" w:fill="auto"/>
            <w:vAlign w:val="center"/>
          </w:tcPr>
          <w:p w14:paraId="02B3A021">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应用性能监控</w:t>
            </w:r>
          </w:p>
          <w:p w14:paraId="73AA361D">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（APM）</w:t>
            </w:r>
          </w:p>
        </w:tc>
        <w:tc>
          <w:tcPr>
            <w:tcW w:w="4044" w:type="pct"/>
            <w:shd w:val="clear" w:color="auto" w:fill="auto"/>
            <w:vAlign w:val="center"/>
          </w:tcPr>
          <w:p w14:paraId="05D3345C">
            <w:pPr>
              <w:spacing w:line="360" w:lineRule="exact"/>
              <w:rPr>
                <w:rFonts w:ascii="宋体" w:hAnsi="宋体" w:cs="宋体"/>
                <w:color w:val="auto"/>
                <w:szCs w:val="21"/>
                <w:highlight w:val="none"/>
              </w:rPr>
            </w:pPr>
            <w:r>
              <w:rPr>
                <w:rFonts w:hint="eastAsia" w:ascii="宋体" w:hAnsi="宋体" w:cs="宋体"/>
                <w:color w:val="auto"/>
                <w:szCs w:val="21"/>
                <w:highlight w:val="none"/>
              </w:rPr>
              <w:t>支持监控设备自身CPU、内存、磁盘等工作运行状况。</w:t>
            </w:r>
          </w:p>
        </w:tc>
      </w:tr>
      <w:tr w14:paraId="6AB83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956" w:type="pct"/>
            <w:vMerge w:val="continue"/>
            <w:shd w:val="clear" w:color="auto" w:fill="auto"/>
            <w:vAlign w:val="center"/>
          </w:tcPr>
          <w:p w14:paraId="3FE784C3">
            <w:pPr>
              <w:spacing w:line="360" w:lineRule="exact"/>
              <w:jc w:val="center"/>
              <w:rPr>
                <w:rFonts w:ascii="宋体" w:hAnsi="宋体" w:cs="宋体"/>
                <w:color w:val="auto"/>
                <w:szCs w:val="21"/>
                <w:highlight w:val="none"/>
              </w:rPr>
            </w:pPr>
          </w:p>
        </w:tc>
        <w:tc>
          <w:tcPr>
            <w:tcW w:w="4044" w:type="pct"/>
            <w:shd w:val="clear" w:color="auto" w:fill="auto"/>
            <w:vAlign w:val="center"/>
          </w:tcPr>
          <w:p w14:paraId="2AF2B710">
            <w:pPr>
              <w:pStyle w:val="8"/>
              <w:rPr>
                <w:rFonts w:ascii="宋体" w:hAnsi="宋体" w:cs="宋体"/>
                <w:b/>
                <w:color w:val="auto"/>
                <w:szCs w:val="21"/>
                <w:highlight w:val="none"/>
              </w:rPr>
            </w:pPr>
            <w:r>
              <w:rPr>
                <w:rFonts w:hint="eastAsia" w:ascii="宋体" w:hAnsi="宋体" w:cs="宋体"/>
                <w:b/>
                <w:color w:val="auto"/>
                <w:szCs w:val="21"/>
                <w:highlight w:val="none"/>
              </w:rPr>
              <w:t>通过在目标主机上安装Agent程序，</w:t>
            </w:r>
            <w:r>
              <w:rPr>
                <w:rFonts w:hint="eastAsia" w:ascii="宋体" w:hAnsi="宋体" w:cs="宋体"/>
                <w:b/>
                <w:bCs/>
                <w:color w:val="auto"/>
                <w:szCs w:val="21"/>
                <w:highlight w:val="none"/>
              </w:rPr>
              <w:t>支持监测目标主机的CPU利用率、内存使用率、磁盘使用率、磁盘使用情况、流量等信息。</w:t>
            </w:r>
            <w:r>
              <w:rPr>
                <w:rFonts w:hint="eastAsia" w:ascii="宋体" w:hAnsi="宋体" w:cs="宋体"/>
                <w:b/>
                <w:color w:val="auto"/>
                <w:szCs w:val="21"/>
                <w:highlight w:val="none"/>
              </w:rPr>
              <w:t>（提供截图证明）</w:t>
            </w:r>
          </w:p>
        </w:tc>
      </w:tr>
      <w:tr w14:paraId="33DA5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956" w:type="pct"/>
            <w:vMerge w:val="restart"/>
            <w:shd w:val="clear" w:color="auto" w:fill="auto"/>
            <w:vAlign w:val="center"/>
          </w:tcPr>
          <w:p w14:paraId="1709BACA">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综合查询及报表管理</w:t>
            </w:r>
          </w:p>
        </w:tc>
        <w:tc>
          <w:tcPr>
            <w:tcW w:w="4044" w:type="pct"/>
            <w:shd w:val="clear" w:color="auto" w:fill="auto"/>
            <w:vAlign w:val="center"/>
          </w:tcPr>
          <w:p w14:paraId="2D841997">
            <w:pPr>
              <w:spacing w:line="360" w:lineRule="exact"/>
              <w:rPr>
                <w:rFonts w:ascii="宋体" w:hAnsi="宋体" w:cs="宋体"/>
                <w:color w:val="auto"/>
                <w:szCs w:val="21"/>
                <w:highlight w:val="none"/>
              </w:rPr>
            </w:pPr>
            <w:r>
              <w:rPr>
                <w:rFonts w:hint="eastAsia" w:ascii="宋体" w:hAnsi="宋体" w:cs="宋体"/>
                <w:color w:val="auto"/>
                <w:szCs w:val="21"/>
                <w:highlight w:val="none"/>
              </w:rPr>
              <w:t>内置合规性报表。</w:t>
            </w:r>
          </w:p>
        </w:tc>
      </w:tr>
      <w:tr w14:paraId="0776A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956" w:type="pct"/>
            <w:vMerge w:val="continue"/>
            <w:shd w:val="clear" w:color="auto" w:fill="auto"/>
            <w:vAlign w:val="center"/>
          </w:tcPr>
          <w:p w14:paraId="441D1F68">
            <w:pPr>
              <w:spacing w:line="360" w:lineRule="exact"/>
              <w:jc w:val="center"/>
              <w:rPr>
                <w:rFonts w:ascii="宋体" w:hAnsi="宋体" w:cs="宋体"/>
                <w:color w:val="auto"/>
                <w:szCs w:val="21"/>
                <w:highlight w:val="none"/>
              </w:rPr>
            </w:pPr>
          </w:p>
        </w:tc>
        <w:tc>
          <w:tcPr>
            <w:tcW w:w="4044" w:type="pct"/>
            <w:shd w:val="clear" w:color="auto" w:fill="auto"/>
            <w:vAlign w:val="center"/>
          </w:tcPr>
          <w:p w14:paraId="6B8322CD">
            <w:pPr>
              <w:spacing w:line="360" w:lineRule="exact"/>
              <w:rPr>
                <w:rFonts w:ascii="宋体" w:hAnsi="宋体" w:cs="宋体"/>
                <w:color w:val="auto"/>
                <w:szCs w:val="21"/>
                <w:highlight w:val="none"/>
              </w:rPr>
            </w:pPr>
            <w:r>
              <w:rPr>
                <w:rFonts w:hint="eastAsia" w:ascii="宋体" w:hAnsi="宋体" w:cs="宋体"/>
                <w:color w:val="auto"/>
                <w:szCs w:val="21"/>
                <w:highlight w:val="none"/>
              </w:rPr>
              <w:t>内置完善的等级保护合规报表。</w:t>
            </w:r>
          </w:p>
        </w:tc>
      </w:tr>
      <w:tr w14:paraId="4991B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956" w:type="pct"/>
            <w:vMerge w:val="restart"/>
            <w:shd w:val="clear" w:color="auto" w:fill="auto"/>
            <w:vAlign w:val="center"/>
          </w:tcPr>
          <w:p w14:paraId="13948427">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用户管理</w:t>
            </w:r>
          </w:p>
        </w:tc>
        <w:tc>
          <w:tcPr>
            <w:tcW w:w="4044" w:type="pct"/>
            <w:shd w:val="clear" w:color="auto" w:fill="auto"/>
            <w:vAlign w:val="center"/>
          </w:tcPr>
          <w:p w14:paraId="54D2BF24">
            <w:pPr>
              <w:spacing w:line="360" w:lineRule="exact"/>
              <w:rPr>
                <w:rFonts w:ascii="宋体" w:hAnsi="宋体" w:cs="宋体"/>
                <w:color w:val="auto"/>
                <w:szCs w:val="21"/>
                <w:highlight w:val="none"/>
              </w:rPr>
            </w:pPr>
            <w:r>
              <w:rPr>
                <w:rFonts w:hint="eastAsia" w:ascii="宋体" w:hAnsi="宋体" w:cs="宋体"/>
                <w:color w:val="auto"/>
                <w:szCs w:val="21"/>
                <w:highlight w:val="none"/>
              </w:rPr>
              <w:t>根据三权分立的原则和要求进行职、权分离，对系统本身进行分角色定义，如管理员只负责完成设备的初始配置，规则配置员只负责审计规则的建立，审计员只负责查看相关的审计结果及告警内容；日志员只负责完成对系统本身的用户操作日志管理。</w:t>
            </w:r>
          </w:p>
        </w:tc>
      </w:tr>
      <w:tr w14:paraId="6B2B3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956" w:type="pct"/>
            <w:vMerge w:val="continue"/>
            <w:shd w:val="clear" w:color="auto" w:fill="auto"/>
            <w:vAlign w:val="center"/>
          </w:tcPr>
          <w:p w14:paraId="5F6E69FF">
            <w:pPr>
              <w:spacing w:line="360" w:lineRule="exact"/>
              <w:jc w:val="center"/>
              <w:rPr>
                <w:rFonts w:ascii="宋体" w:hAnsi="宋体" w:cs="宋体"/>
                <w:color w:val="auto"/>
                <w:szCs w:val="21"/>
                <w:highlight w:val="none"/>
              </w:rPr>
            </w:pPr>
          </w:p>
        </w:tc>
        <w:tc>
          <w:tcPr>
            <w:tcW w:w="4044" w:type="pct"/>
            <w:shd w:val="clear" w:color="auto" w:fill="auto"/>
            <w:vAlign w:val="center"/>
          </w:tcPr>
          <w:p w14:paraId="145373F7">
            <w:pPr>
              <w:spacing w:line="360" w:lineRule="exact"/>
              <w:rPr>
                <w:rFonts w:ascii="宋体" w:hAnsi="宋体" w:cs="宋体"/>
                <w:color w:val="auto"/>
                <w:szCs w:val="21"/>
                <w:highlight w:val="none"/>
              </w:rPr>
            </w:pPr>
            <w:r>
              <w:rPr>
                <w:rFonts w:hint="eastAsia" w:ascii="宋体" w:hAnsi="宋体" w:cs="宋体"/>
                <w:color w:val="auto"/>
                <w:szCs w:val="21"/>
                <w:highlight w:val="none"/>
              </w:rPr>
              <w:t>用户支持双因子认证登录，双因子认证令牌支持绑定至具体用户。</w:t>
            </w:r>
          </w:p>
        </w:tc>
      </w:tr>
      <w:tr w14:paraId="2876E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956" w:type="pct"/>
            <w:vMerge w:val="restart"/>
            <w:shd w:val="clear" w:color="auto" w:fill="auto"/>
            <w:vAlign w:val="center"/>
          </w:tcPr>
          <w:p w14:paraId="5FC23B39">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资产管理</w:t>
            </w:r>
          </w:p>
        </w:tc>
        <w:tc>
          <w:tcPr>
            <w:tcW w:w="4044" w:type="pct"/>
            <w:shd w:val="clear" w:color="auto" w:fill="auto"/>
            <w:vAlign w:val="center"/>
          </w:tcPr>
          <w:p w14:paraId="55064C19">
            <w:pPr>
              <w:spacing w:line="360" w:lineRule="exact"/>
              <w:rPr>
                <w:rFonts w:ascii="宋体" w:hAnsi="宋体" w:cs="宋体"/>
                <w:color w:val="auto"/>
                <w:szCs w:val="21"/>
                <w:highlight w:val="none"/>
              </w:rPr>
            </w:pPr>
            <w:r>
              <w:rPr>
                <w:rFonts w:hint="eastAsia" w:ascii="宋体" w:hAnsi="宋体" w:cs="宋体"/>
                <w:color w:val="auto"/>
                <w:szCs w:val="21"/>
                <w:highlight w:val="none"/>
              </w:rPr>
              <w:t>注册用户资产时，提供自动发现识别能力。</w:t>
            </w:r>
          </w:p>
        </w:tc>
      </w:tr>
      <w:tr w14:paraId="57AEC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956" w:type="pct"/>
            <w:vMerge w:val="continue"/>
            <w:shd w:val="clear" w:color="auto" w:fill="auto"/>
            <w:vAlign w:val="center"/>
          </w:tcPr>
          <w:p w14:paraId="66199D8E">
            <w:pPr>
              <w:spacing w:line="360" w:lineRule="exact"/>
              <w:jc w:val="center"/>
              <w:rPr>
                <w:rFonts w:ascii="宋体" w:hAnsi="宋体" w:cs="宋体"/>
                <w:color w:val="auto"/>
                <w:szCs w:val="21"/>
                <w:highlight w:val="none"/>
              </w:rPr>
            </w:pPr>
          </w:p>
        </w:tc>
        <w:tc>
          <w:tcPr>
            <w:tcW w:w="4044" w:type="pct"/>
            <w:shd w:val="clear" w:color="auto" w:fill="auto"/>
            <w:vAlign w:val="center"/>
          </w:tcPr>
          <w:p w14:paraId="4E142BE9">
            <w:pPr>
              <w:spacing w:line="360" w:lineRule="exact"/>
              <w:rPr>
                <w:rFonts w:ascii="宋体" w:hAnsi="宋体" w:cs="宋体"/>
                <w:color w:val="auto"/>
                <w:szCs w:val="21"/>
                <w:highlight w:val="none"/>
              </w:rPr>
            </w:pPr>
            <w:r>
              <w:rPr>
                <w:rFonts w:hint="eastAsia" w:ascii="宋体" w:hAnsi="宋体" w:cs="宋体"/>
                <w:color w:val="auto"/>
                <w:szCs w:val="21"/>
                <w:highlight w:val="none"/>
              </w:rPr>
              <w:t>资产拓扑支持按照实际的用户环境进行编辑发布并可以和资产进行绑定，拓扑可以显示资产采集的事件数量被采集资产的状态等信息。</w:t>
            </w:r>
          </w:p>
        </w:tc>
      </w:tr>
      <w:tr w14:paraId="39522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956" w:type="pct"/>
            <w:shd w:val="clear" w:color="auto" w:fill="auto"/>
            <w:vAlign w:val="center"/>
          </w:tcPr>
          <w:p w14:paraId="62C23F65">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产品资质</w:t>
            </w:r>
          </w:p>
        </w:tc>
        <w:tc>
          <w:tcPr>
            <w:tcW w:w="4044" w:type="pct"/>
            <w:shd w:val="clear" w:color="auto" w:fill="auto"/>
            <w:vAlign w:val="center"/>
          </w:tcPr>
          <w:p w14:paraId="6D0B3967">
            <w:pPr>
              <w:spacing w:line="360" w:lineRule="exact"/>
              <w:rPr>
                <w:rFonts w:ascii="宋体" w:hAnsi="宋体" w:cs="宋体"/>
                <w:color w:val="auto"/>
                <w:szCs w:val="21"/>
                <w:highlight w:val="none"/>
              </w:rPr>
            </w:pPr>
            <w:r>
              <w:rPr>
                <w:rFonts w:hint="eastAsia" w:ascii="宋体" w:hAnsi="宋体" w:cs="宋体"/>
                <w:color w:val="auto"/>
                <w:szCs w:val="21"/>
                <w:highlight w:val="none"/>
              </w:rPr>
              <w:t>产品获得中国网络安全审查技术与认证中心颁发的《中国国家信息安全产品认证证书》。</w:t>
            </w:r>
          </w:p>
        </w:tc>
      </w:tr>
    </w:tbl>
    <w:p w14:paraId="5D3A35D7">
      <w:pPr>
        <w:keepNext/>
        <w:keepLines/>
        <w:spacing w:line="360" w:lineRule="auto"/>
        <w:outlineLvl w:val="0"/>
        <w:rPr>
          <w:rFonts w:ascii="宋体" w:hAnsi="宋体" w:cs="宋体"/>
          <w:b/>
          <w:color w:val="auto"/>
          <w:szCs w:val="21"/>
          <w:highlight w:val="none"/>
        </w:rPr>
      </w:pPr>
      <w:r>
        <w:rPr>
          <w:rFonts w:hint="eastAsia" w:ascii="宋体" w:hAnsi="宋体" w:cs="宋体"/>
          <w:b/>
          <w:color w:val="auto"/>
          <w:szCs w:val="21"/>
          <w:highlight w:val="none"/>
        </w:rPr>
        <w:t>8．专网APT预警平台服务</w:t>
      </w:r>
    </w:p>
    <w:tbl>
      <w:tblPr>
        <w:tblStyle w:val="22"/>
        <w:tblW w:w="495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7"/>
        <w:gridCol w:w="6855"/>
      </w:tblGrid>
      <w:tr w14:paraId="1C4A8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597" w:type="dxa"/>
            <w:tcBorders>
              <w:top w:val="single" w:color="000000" w:sz="8" w:space="0"/>
              <w:left w:val="single" w:color="000000" w:sz="8" w:space="0"/>
              <w:bottom w:val="single" w:color="000000" w:sz="8" w:space="0"/>
              <w:right w:val="single" w:color="000000" w:sz="8" w:space="0"/>
            </w:tcBorders>
            <w:shd w:val="clear" w:color="000000" w:fill="FFFFFF"/>
            <w:vAlign w:val="center"/>
          </w:tcPr>
          <w:p w14:paraId="4A941087">
            <w:pPr>
              <w:spacing w:line="360" w:lineRule="exact"/>
              <w:jc w:val="center"/>
              <w:rPr>
                <w:rFonts w:ascii="宋体" w:hAnsi="宋体" w:cs="宋体"/>
                <w:b/>
                <w:bCs/>
                <w:color w:val="auto"/>
                <w:kern w:val="0"/>
                <w:szCs w:val="21"/>
                <w:highlight w:val="none"/>
              </w:rPr>
            </w:pPr>
            <w:r>
              <w:rPr>
                <w:rFonts w:hint="eastAsia" w:ascii="宋体" w:hAnsi="宋体" w:cs="宋体"/>
                <w:b/>
                <w:bCs/>
                <w:color w:val="auto"/>
                <w:szCs w:val="21"/>
                <w:highlight w:val="none"/>
              </w:rPr>
              <w:t>技术指标</w:t>
            </w:r>
          </w:p>
        </w:tc>
        <w:tc>
          <w:tcPr>
            <w:tcW w:w="6855"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BD55364">
            <w:pPr>
              <w:spacing w:line="360" w:lineRule="exact"/>
              <w:jc w:val="center"/>
              <w:rPr>
                <w:rFonts w:ascii="宋体" w:hAnsi="宋体" w:cs="宋体"/>
                <w:b/>
                <w:bCs/>
                <w:color w:val="auto"/>
                <w:kern w:val="0"/>
                <w:szCs w:val="21"/>
                <w:highlight w:val="none"/>
              </w:rPr>
            </w:pPr>
            <w:r>
              <w:rPr>
                <w:rFonts w:hint="eastAsia" w:ascii="宋体" w:hAnsi="宋体" w:cs="宋体"/>
                <w:b/>
                <w:bCs/>
                <w:color w:val="auto"/>
                <w:szCs w:val="21"/>
                <w:highlight w:val="none"/>
              </w:rPr>
              <w:t>技术要求</w:t>
            </w:r>
          </w:p>
        </w:tc>
      </w:tr>
      <w:tr w14:paraId="360D7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0" w:hRule="atLeast"/>
          <w:jc w:val="center"/>
        </w:trPr>
        <w:tc>
          <w:tcPr>
            <w:tcW w:w="945"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669325B1">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服务工具基本要求</w:t>
            </w:r>
          </w:p>
        </w:tc>
        <w:tc>
          <w:tcPr>
            <w:tcW w:w="4055"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30A90DF4">
            <w:pPr>
              <w:spacing w:line="360" w:lineRule="exact"/>
              <w:rPr>
                <w:rFonts w:ascii="宋体" w:hAnsi="宋体" w:cs="宋体"/>
                <w:color w:val="auto"/>
                <w:szCs w:val="21"/>
                <w:highlight w:val="none"/>
              </w:rPr>
            </w:pPr>
            <w:r>
              <w:rPr>
                <w:rFonts w:hint="eastAsia" w:ascii="宋体" w:hAnsi="宋体" w:cs="宋体"/>
                <w:color w:val="auto"/>
                <w:szCs w:val="21"/>
                <w:highlight w:val="none"/>
              </w:rPr>
              <w:t>MTBF 大于65000，小时吞吐率：≥网络层5Gbps；WEB检测：≥HTTP最大并发数10万；秒邮件检测：邮件处理数: ≥200万封/24小时；文件检测：≥10万个/24小时；电源：1+1冗余电源；CPU：≥10核20线程；内存：≥64G硬盘容量：≥2T*2，；接口类型：≥千兆RJ45网口*4；≥千兆业务SFP光口*4（配置千兆多模光模块*2）。</w:t>
            </w:r>
          </w:p>
        </w:tc>
      </w:tr>
      <w:tr w14:paraId="61C24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0" w:hRule="atLeast"/>
          <w:jc w:val="center"/>
        </w:trPr>
        <w:tc>
          <w:tcPr>
            <w:tcW w:w="945"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48DE65B1">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部署方式</w:t>
            </w:r>
          </w:p>
        </w:tc>
        <w:tc>
          <w:tcPr>
            <w:tcW w:w="4055"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0BB13FCF">
            <w:pPr>
              <w:spacing w:line="360" w:lineRule="exact"/>
              <w:rPr>
                <w:rFonts w:ascii="宋体" w:hAnsi="宋体" w:cs="宋体"/>
                <w:color w:val="auto"/>
                <w:szCs w:val="21"/>
                <w:highlight w:val="none"/>
              </w:rPr>
            </w:pPr>
            <w:r>
              <w:rPr>
                <w:rFonts w:hint="eastAsia" w:ascii="宋体" w:hAnsi="宋体" w:cs="宋体"/>
                <w:color w:val="auto"/>
                <w:szCs w:val="21"/>
                <w:highlight w:val="none"/>
              </w:rPr>
              <w:t>旁路镜像模式部署，不影响服务器处理性能和网络架构。</w:t>
            </w:r>
          </w:p>
        </w:tc>
      </w:tr>
      <w:tr w14:paraId="58564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0" w:hRule="atLeast"/>
          <w:jc w:val="center"/>
        </w:trPr>
        <w:tc>
          <w:tcPr>
            <w:tcW w:w="945"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502745AB">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全流量检测</w:t>
            </w:r>
          </w:p>
        </w:tc>
        <w:tc>
          <w:tcPr>
            <w:tcW w:w="4055"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212E3985">
            <w:pPr>
              <w:spacing w:line="360" w:lineRule="exact"/>
              <w:rPr>
                <w:rFonts w:ascii="宋体" w:hAnsi="宋体" w:cs="宋体"/>
                <w:color w:val="auto"/>
                <w:szCs w:val="21"/>
                <w:highlight w:val="none"/>
              </w:rPr>
            </w:pPr>
            <w:r>
              <w:rPr>
                <w:rFonts w:hint="eastAsia" w:ascii="宋体" w:hAnsi="宋体" w:cs="宋体"/>
                <w:color w:val="auto"/>
                <w:szCs w:val="21"/>
                <w:highlight w:val="none"/>
              </w:rPr>
              <w:t>支持全流量检测。</w:t>
            </w:r>
          </w:p>
          <w:p w14:paraId="76C22ACF">
            <w:pPr>
              <w:spacing w:line="360" w:lineRule="exact"/>
              <w:rPr>
                <w:rFonts w:ascii="宋体" w:hAnsi="宋体" w:cs="宋体"/>
                <w:color w:val="auto"/>
                <w:szCs w:val="21"/>
                <w:highlight w:val="none"/>
              </w:rPr>
            </w:pPr>
            <w:r>
              <w:rPr>
                <w:rFonts w:hint="eastAsia" w:ascii="宋体" w:hAnsi="宋体" w:cs="宋体"/>
                <w:color w:val="auto"/>
                <w:szCs w:val="21"/>
                <w:highlight w:val="none"/>
              </w:rPr>
              <w:t>支持双向流量审计，可对请求和响应内容进行审计。</w:t>
            </w:r>
          </w:p>
        </w:tc>
      </w:tr>
      <w:tr w14:paraId="36857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0" w:hRule="atLeast"/>
          <w:jc w:val="center"/>
        </w:trPr>
        <w:tc>
          <w:tcPr>
            <w:tcW w:w="945"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7CCF62A9">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IPv4 &amp; IPv6网络</w:t>
            </w:r>
          </w:p>
        </w:tc>
        <w:tc>
          <w:tcPr>
            <w:tcW w:w="4055"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0BE4AFF3">
            <w:pPr>
              <w:spacing w:line="360" w:lineRule="exact"/>
              <w:rPr>
                <w:rFonts w:ascii="宋体" w:hAnsi="宋体" w:cs="宋体"/>
                <w:color w:val="auto"/>
                <w:szCs w:val="21"/>
                <w:highlight w:val="none"/>
              </w:rPr>
            </w:pPr>
            <w:r>
              <w:rPr>
                <w:rFonts w:hint="eastAsia" w:ascii="宋体" w:hAnsi="宋体" w:cs="宋体"/>
                <w:color w:val="auto"/>
                <w:szCs w:val="21"/>
                <w:highlight w:val="none"/>
              </w:rPr>
              <w:t>支持IPv4和IPv6网络环境下的部署，可同时对IPv4和IPv6网络流量分析检测。</w:t>
            </w:r>
          </w:p>
        </w:tc>
      </w:tr>
      <w:tr w14:paraId="5BA52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405" w:hRule="atLeast"/>
          <w:jc w:val="center"/>
        </w:trPr>
        <w:tc>
          <w:tcPr>
            <w:tcW w:w="945"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45FFB53D">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检测风险类别</w:t>
            </w:r>
          </w:p>
        </w:tc>
        <w:tc>
          <w:tcPr>
            <w:tcW w:w="4055"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6D2D0CF3">
            <w:pPr>
              <w:spacing w:line="360" w:lineRule="exact"/>
              <w:rPr>
                <w:rFonts w:ascii="宋体" w:hAnsi="宋体" w:cs="宋体"/>
                <w:color w:val="auto"/>
                <w:szCs w:val="21"/>
                <w:highlight w:val="none"/>
              </w:rPr>
            </w:pPr>
            <w:r>
              <w:rPr>
                <w:rFonts w:hint="eastAsia" w:ascii="宋体" w:hAnsi="宋体" w:cs="宋体"/>
                <w:color w:val="auto"/>
                <w:szCs w:val="21"/>
                <w:highlight w:val="none"/>
              </w:rPr>
              <w:t>支持检测WEB攻击、恶意文件攻击、远程控制、WEB后门访问、行为分析、DGA域名请求、SMB远程溢出攻击、弱口令、拒绝服务攻击、隧道通信、暴力破解、挖矿、恶意工具利用、扫描行为、漏洞利用、邮件社工攻击、ARP欺骗、密码明文形式传输等行为。</w:t>
            </w:r>
          </w:p>
        </w:tc>
      </w:tr>
      <w:tr w14:paraId="304C0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0" w:hRule="atLeast"/>
          <w:jc w:val="center"/>
        </w:trPr>
        <w:tc>
          <w:tcPr>
            <w:tcW w:w="945"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3AE5D781">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弱口令风险检测</w:t>
            </w:r>
          </w:p>
        </w:tc>
        <w:tc>
          <w:tcPr>
            <w:tcW w:w="4055"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19A68E56">
            <w:pPr>
              <w:spacing w:line="360" w:lineRule="exact"/>
              <w:rPr>
                <w:rFonts w:ascii="宋体" w:hAnsi="宋体" w:cs="宋体"/>
                <w:color w:val="auto"/>
                <w:szCs w:val="21"/>
                <w:highlight w:val="none"/>
              </w:rPr>
            </w:pPr>
            <w:r>
              <w:rPr>
                <w:rFonts w:hint="eastAsia" w:ascii="宋体" w:hAnsi="宋体" w:cs="宋体"/>
                <w:color w:val="auto"/>
                <w:szCs w:val="21"/>
                <w:highlight w:val="none"/>
              </w:rPr>
              <w:t>支持对HTTP、IMAP、SMTP、POP3、Redis、Telnet、FTP、PostgreSQL、MQTT等协议的弱口令检测。</w:t>
            </w:r>
          </w:p>
          <w:p w14:paraId="7291B6E8">
            <w:pPr>
              <w:spacing w:line="360" w:lineRule="exact"/>
              <w:rPr>
                <w:rFonts w:ascii="宋体" w:hAnsi="宋体" w:cs="宋体"/>
                <w:color w:val="auto"/>
                <w:szCs w:val="21"/>
                <w:highlight w:val="none"/>
              </w:rPr>
            </w:pPr>
            <w:r>
              <w:rPr>
                <w:rFonts w:hint="eastAsia" w:ascii="宋体" w:hAnsi="宋体" w:cs="宋体"/>
                <w:color w:val="auto"/>
                <w:szCs w:val="21"/>
                <w:highlight w:val="none"/>
              </w:rPr>
              <w:t>支持自定义弱口令规则配置（最短口令长度、最少字符类型数），自定义新增弱密码及其检测类型。</w:t>
            </w:r>
          </w:p>
          <w:p w14:paraId="511A2A48">
            <w:pPr>
              <w:spacing w:line="360" w:lineRule="exact"/>
              <w:rPr>
                <w:rFonts w:ascii="宋体" w:hAnsi="宋体" w:cs="宋体"/>
                <w:color w:val="auto"/>
                <w:szCs w:val="21"/>
                <w:highlight w:val="none"/>
              </w:rPr>
            </w:pPr>
            <w:r>
              <w:rPr>
                <w:rFonts w:hint="eastAsia" w:ascii="宋体" w:hAnsi="宋体" w:cs="宋体"/>
                <w:color w:val="auto"/>
                <w:szCs w:val="21"/>
                <w:highlight w:val="none"/>
              </w:rPr>
              <w:t>支持对HTTP协议请求头中用户认证弱口令、对JSON格式(逗号分割和冒号区分键值)的用户信息提取和弱口令、明文口令和MD5加密口令碰撞的弱口令、BASE64加密口令的弱口令等进行检测。</w:t>
            </w:r>
          </w:p>
        </w:tc>
      </w:tr>
      <w:tr w14:paraId="5C930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0" w:hRule="atLeast"/>
          <w:jc w:val="center"/>
        </w:trPr>
        <w:tc>
          <w:tcPr>
            <w:tcW w:w="945"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4F88442C">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WEB登录</w:t>
            </w:r>
          </w:p>
        </w:tc>
        <w:tc>
          <w:tcPr>
            <w:tcW w:w="4055"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53137588">
            <w:pPr>
              <w:spacing w:line="360" w:lineRule="exact"/>
              <w:rPr>
                <w:rFonts w:ascii="宋体" w:hAnsi="宋体" w:cs="宋体"/>
                <w:color w:val="auto"/>
                <w:szCs w:val="21"/>
                <w:highlight w:val="none"/>
              </w:rPr>
            </w:pPr>
            <w:r>
              <w:rPr>
                <w:rFonts w:hint="eastAsia" w:ascii="宋体" w:hAnsi="宋体" w:cs="宋体"/>
                <w:color w:val="auto"/>
                <w:szCs w:val="21"/>
                <w:highlight w:val="none"/>
              </w:rPr>
              <w:t>支持自定义HTTP登录行为关键字，包括用户名和密码。</w:t>
            </w:r>
          </w:p>
        </w:tc>
      </w:tr>
      <w:tr w14:paraId="2EEF7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0" w:hRule="atLeast"/>
          <w:jc w:val="center"/>
        </w:trPr>
        <w:tc>
          <w:tcPr>
            <w:tcW w:w="945"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03FCD8F7">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主机威胁分析</w:t>
            </w:r>
          </w:p>
        </w:tc>
        <w:tc>
          <w:tcPr>
            <w:tcW w:w="4055"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006685B9">
            <w:pPr>
              <w:spacing w:line="360" w:lineRule="exact"/>
              <w:rPr>
                <w:rFonts w:ascii="宋体" w:hAnsi="宋体" w:cs="宋体"/>
                <w:color w:val="auto"/>
                <w:szCs w:val="21"/>
                <w:highlight w:val="none"/>
              </w:rPr>
            </w:pPr>
            <w:r>
              <w:rPr>
                <w:rFonts w:hint="eastAsia" w:ascii="宋体" w:hAnsi="宋体" w:cs="宋体"/>
                <w:color w:val="auto"/>
                <w:szCs w:val="21"/>
                <w:highlight w:val="none"/>
              </w:rPr>
              <w:t>支持对内网主机进行主机威胁分析，详细展示具体的威胁等级、威胁次数、攻击开始时间、攻击结束时间、威胁性指数统计等可按攻击链阶段（弱点探测、渗透入侵、获取权限、命令与控制、数据盗取）详细展示主机相关事件数量。</w:t>
            </w:r>
          </w:p>
        </w:tc>
      </w:tr>
      <w:tr w14:paraId="60856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0" w:hRule="atLeast"/>
          <w:jc w:val="center"/>
        </w:trPr>
        <w:tc>
          <w:tcPr>
            <w:tcW w:w="945"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10C1D69E">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流量异常监控</w:t>
            </w:r>
          </w:p>
        </w:tc>
        <w:tc>
          <w:tcPr>
            <w:tcW w:w="4055"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293F0763">
            <w:pPr>
              <w:spacing w:line="360" w:lineRule="exact"/>
              <w:rPr>
                <w:rFonts w:ascii="宋体" w:hAnsi="宋体" w:cs="宋体"/>
                <w:color w:val="auto"/>
                <w:szCs w:val="21"/>
                <w:highlight w:val="none"/>
              </w:rPr>
            </w:pPr>
            <w:r>
              <w:rPr>
                <w:rFonts w:hint="eastAsia" w:ascii="宋体" w:hAnsi="宋体" w:cs="宋体"/>
                <w:color w:val="auto"/>
                <w:szCs w:val="21"/>
                <w:highlight w:val="none"/>
              </w:rPr>
              <w:t>支持对流量大小进行监控，接入流量超过物理网络带宽上限时报警。</w:t>
            </w:r>
          </w:p>
          <w:p w14:paraId="15820613">
            <w:pPr>
              <w:spacing w:line="360" w:lineRule="exact"/>
              <w:rPr>
                <w:rFonts w:ascii="宋体" w:hAnsi="宋体" w:cs="宋体"/>
                <w:color w:val="auto"/>
                <w:szCs w:val="21"/>
                <w:highlight w:val="none"/>
              </w:rPr>
            </w:pPr>
            <w:r>
              <w:rPr>
                <w:rFonts w:hint="eastAsia" w:ascii="宋体" w:hAnsi="宋体" w:cs="宋体"/>
                <w:color w:val="auto"/>
                <w:szCs w:val="21"/>
                <w:highlight w:val="none"/>
              </w:rPr>
              <w:t>支持对流量中的数据包、会话连接、重传包、网络报文等状态进行检测，可对业务网络流量传输异常告警。</w:t>
            </w:r>
          </w:p>
        </w:tc>
      </w:tr>
      <w:tr w14:paraId="13753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0" w:hRule="atLeast"/>
          <w:jc w:val="center"/>
        </w:trPr>
        <w:tc>
          <w:tcPr>
            <w:tcW w:w="945"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3BA904F9">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协议解析</w:t>
            </w:r>
          </w:p>
        </w:tc>
        <w:tc>
          <w:tcPr>
            <w:tcW w:w="4055"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116AB925">
            <w:pPr>
              <w:spacing w:line="360" w:lineRule="exact"/>
              <w:rPr>
                <w:rFonts w:ascii="宋体" w:hAnsi="宋体" w:cs="宋体"/>
                <w:color w:val="auto"/>
                <w:szCs w:val="21"/>
                <w:highlight w:val="none"/>
              </w:rPr>
            </w:pPr>
            <w:r>
              <w:rPr>
                <w:rFonts w:hint="eastAsia" w:ascii="宋体" w:hAnsi="宋体" w:cs="宋体"/>
                <w:color w:val="auto"/>
                <w:szCs w:val="21"/>
                <w:highlight w:val="none"/>
              </w:rPr>
              <w:t>支持 HTTP、HTTPS（需要导入服务器私钥证书）协议解析，检测WEB攻击</w:t>
            </w:r>
          </w:p>
        </w:tc>
      </w:tr>
      <w:tr w14:paraId="34629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0" w:hRule="atLeast"/>
          <w:jc w:val="center"/>
        </w:trPr>
        <w:tc>
          <w:tcPr>
            <w:tcW w:w="945"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35199A5B">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攻击检测</w:t>
            </w:r>
          </w:p>
        </w:tc>
        <w:tc>
          <w:tcPr>
            <w:tcW w:w="4055"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734DB389">
            <w:pPr>
              <w:spacing w:line="360" w:lineRule="exact"/>
              <w:rPr>
                <w:rFonts w:ascii="宋体" w:hAnsi="宋体" w:cs="宋体"/>
                <w:color w:val="auto"/>
                <w:szCs w:val="21"/>
                <w:highlight w:val="none"/>
              </w:rPr>
            </w:pPr>
            <w:r>
              <w:rPr>
                <w:rFonts w:hint="eastAsia" w:ascii="宋体" w:hAnsi="宋体" w:cs="宋体"/>
                <w:color w:val="auto"/>
                <w:szCs w:val="21"/>
                <w:highlight w:val="none"/>
              </w:rPr>
              <w:t>支持30个以上的深度检测模块，对流量进行二次分析，提高攻击检测的准确性</w:t>
            </w:r>
          </w:p>
        </w:tc>
      </w:tr>
      <w:tr w14:paraId="04BCC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0" w:hRule="atLeast"/>
          <w:jc w:val="center"/>
        </w:trPr>
        <w:tc>
          <w:tcPr>
            <w:tcW w:w="945"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6D628A6B">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WEBSHELL检测</w:t>
            </w:r>
          </w:p>
        </w:tc>
        <w:tc>
          <w:tcPr>
            <w:tcW w:w="4055"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52769E47">
            <w:pPr>
              <w:spacing w:line="360" w:lineRule="exact"/>
              <w:rPr>
                <w:rFonts w:ascii="宋体" w:hAnsi="宋体" w:cs="宋体"/>
                <w:color w:val="auto"/>
                <w:szCs w:val="21"/>
                <w:highlight w:val="none"/>
              </w:rPr>
            </w:pPr>
            <w:r>
              <w:rPr>
                <w:rFonts w:hint="eastAsia" w:ascii="宋体" w:hAnsi="宋体" w:cs="宋体"/>
                <w:color w:val="auto"/>
                <w:szCs w:val="21"/>
                <w:highlight w:val="none"/>
              </w:rPr>
              <w:t>支持WEBSHELL检测，可检测访问webshell的行为，包含具体对应的URL、返回码、返回数据包内容等，可显示一句话类webshell后门是否植入成功。</w:t>
            </w:r>
          </w:p>
        </w:tc>
      </w:tr>
      <w:tr w14:paraId="4C4C8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0" w:hRule="atLeast"/>
          <w:jc w:val="center"/>
        </w:trPr>
        <w:tc>
          <w:tcPr>
            <w:tcW w:w="945"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0E4933AB">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子文件扫描</w:t>
            </w:r>
          </w:p>
        </w:tc>
        <w:tc>
          <w:tcPr>
            <w:tcW w:w="4055"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530D9CA9">
            <w:pPr>
              <w:spacing w:line="360" w:lineRule="exact"/>
              <w:rPr>
                <w:rFonts w:ascii="宋体" w:hAnsi="宋体" w:cs="宋体"/>
                <w:color w:val="auto"/>
                <w:szCs w:val="21"/>
                <w:highlight w:val="none"/>
              </w:rPr>
            </w:pPr>
            <w:r>
              <w:rPr>
                <w:rFonts w:hint="eastAsia" w:ascii="宋体" w:hAnsi="宋体" w:cs="宋体"/>
                <w:color w:val="auto"/>
                <w:szCs w:val="21"/>
                <w:highlight w:val="none"/>
              </w:rPr>
              <w:t>对文件内部嵌入的子文件可进行二次扫描，分析安全性。</w:t>
            </w:r>
          </w:p>
        </w:tc>
      </w:tr>
      <w:tr w14:paraId="30080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0" w:hRule="atLeast"/>
          <w:jc w:val="center"/>
        </w:trPr>
        <w:tc>
          <w:tcPr>
            <w:tcW w:w="945"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621FBA77">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本地威胁情报</w:t>
            </w:r>
          </w:p>
        </w:tc>
        <w:tc>
          <w:tcPr>
            <w:tcW w:w="4055"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3E8157AD">
            <w:pPr>
              <w:spacing w:line="360" w:lineRule="exact"/>
              <w:rPr>
                <w:rFonts w:ascii="宋体" w:hAnsi="宋体" w:cs="宋体"/>
                <w:color w:val="auto"/>
                <w:szCs w:val="21"/>
                <w:highlight w:val="none"/>
              </w:rPr>
            </w:pPr>
            <w:r>
              <w:rPr>
                <w:rFonts w:hint="eastAsia" w:ascii="宋体" w:hAnsi="宋体" w:cs="宋体"/>
                <w:color w:val="auto"/>
                <w:szCs w:val="21"/>
                <w:highlight w:val="none"/>
              </w:rPr>
              <w:t>设备集成离线的高可用威胁情报库，支持离线环境下，根据威胁情报进行检测，增量威胁情报随策略升级包升级。</w:t>
            </w:r>
          </w:p>
        </w:tc>
      </w:tr>
      <w:tr w14:paraId="62B9C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0" w:hRule="atLeast"/>
          <w:jc w:val="center"/>
        </w:trPr>
        <w:tc>
          <w:tcPr>
            <w:tcW w:w="945"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781FB7E2">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威胁情报检索</w:t>
            </w:r>
          </w:p>
        </w:tc>
        <w:tc>
          <w:tcPr>
            <w:tcW w:w="4055"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33D7B6C3">
            <w:pPr>
              <w:spacing w:line="360" w:lineRule="exact"/>
              <w:rPr>
                <w:rFonts w:ascii="宋体" w:hAnsi="宋体" w:cs="宋体"/>
                <w:color w:val="auto"/>
                <w:szCs w:val="21"/>
                <w:highlight w:val="none"/>
              </w:rPr>
            </w:pPr>
            <w:r>
              <w:rPr>
                <w:rFonts w:hint="eastAsia" w:ascii="宋体" w:hAnsi="宋体" w:cs="宋体"/>
                <w:color w:val="auto"/>
                <w:szCs w:val="21"/>
                <w:highlight w:val="none"/>
              </w:rPr>
              <w:t>支持对IP、域名、恶意文件SHA256进行威胁情报检索，或跳转第三方链接（安恒情报分析、Whois、VirusTotal）进行检索。</w:t>
            </w:r>
          </w:p>
          <w:p w14:paraId="393181CF">
            <w:pPr>
              <w:spacing w:line="360" w:lineRule="exact"/>
              <w:rPr>
                <w:rFonts w:ascii="宋体" w:hAnsi="宋体" w:cs="宋体"/>
                <w:color w:val="auto"/>
                <w:szCs w:val="21"/>
                <w:highlight w:val="none"/>
              </w:rPr>
            </w:pPr>
            <w:r>
              <w:rPr>
                <w:rFonts w:hint="eastAsia" w:ascii="宋体" w:hAnsi="宋体" w:cs="宋体"/>
                <w:color w:val="auto"/>
                <w:szCs w:val="21"/>
                <w:highlight w:val="none"/>
              </w:rPr>
              <w:t>支持在告警详情页面直接查询与告警IP、域名相关的威胁情报，获取样本通信记录、情报画像等信息。</w:t>
            </w:r>
          </w:p>
        </w:tc>
      </w:tr>
      <w:tr w14:paraId="43196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0" w:hRule="atLeast"/>
          <w:jc w:val="center"/>
        </w:trPr>
        <w:tc>
          <w:tcPr>
            <w:tcW w:w="945"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3C3DAA43">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代理服务</w:t>
            </w:r>
          </w:p>
        </w:tc>
        <w:tc>
          <w:tcPr>
            <w:tcW w:w="4055"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452A04AD">
            <w:pPr>
              <w:spacing w:line="360" w:lineRule="exact"/>
              <w:rPr>
                <w:rFonts w:ascii="宋体" w:hAnsi="宋体" w:cs="宋体"/>
                <w:color w:val="auto"/>
                <w:szCs w:val="21"/>
                <w:highlight w:val="none"/>
              </w:rPr>
            </w:pPr>
            <w:r>
              <w:rPr>
                <w:rFonts w:hint="eastAsia" w:ascii="宋体" w:hAnsi="宋体" w:cs="宋体"/>
                <w:color w:val="auto"/>
                <w:szCs w:val="21"/>
                <w:highlight w:val="none"/>
              </w:rPr>
              <w:t>支持使用代理服务器访问云端；支持代理服务器认证。</w:t>
            </w:r>
          </w:p>
        </w:tc>
      </w:tr>
      <w:tr w14:paraId="169A8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0" w:hRule="atLeast"/>
          <w:jc w:val="center"/>
        </w:trPr>
        <w:tc>
          <w:tcPr>
            <w:tcW w:w="945"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56827935">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可视化展示</w:t>
            </w:r>
          </w:p>
        </w:tc>
        <w:tc>
          <w:tcPr>
            <w:tcW w:w="4055"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4B2F9C4F">
            <w:pPr>
              <w:spacing w:line="360" w:lineRule="exact"/>
              <w:rPr>
                <w:rFonts w:ascii="宋体" w:hAnsi="宋体" w:cs="宋体"/>
                <w:color w:val="auto"/>
                <w:szCs w:val="21"/>
                <w:highlight w:val="none"/>
              </w:rPr>
            </w:pPr>
            <w:r>
              <w:rPr>
                <w:rFonts w:hint="eastAsia" w:ascii="宋体" w:hAnsi="宋体" w:cs="宋体"/>
                <w:color w:val="auto"/>
                <w:szCs w:val="21"/>
                <w:highlight w:val="none"/>
              </w:rPr>
              <w:t>攻击溯源：支持大屏展示风险较为严重的事件，并进行攻击溯源，包括攻击主机个数最多的情报事件TOP10、威胁情报告警类型分布、3D攻击关系图、威胁活动（弱点探测、渗透入侵、获取权限、命令与控制、数据盗取）；支持按IP搜索关联的攻击事件，包括攻击拓扑图、攻击者基本信息、被攻击者信息、攻击过程（攻击过程列表内容包括时间、攻击者、被攻击者、攻击链阶段、风险标签、攻击次数）。</w:t>
            </w:r>
          </w:p>
        </w:tc>
      </w:tr>
      <w:tr w14:paraId="78F4C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0" w:hRule="atLeast"/>
          <w:jc w:val="center"/>
        </w:trPr>
        <w:tc>
          <w:tcPr>
            <w:tcW w:w="945" w:type="pct"/>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1CD2BB5F">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告警与报表</w:t>
            </w:r>
          </w:p>
        </w:tc>
        <w:tc>
          <w:tcPr>
            <w:tcW w:w="4055"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74E2E880">
            <w:pPr>
              <w:spacing w:line="360" w:lineRule="exact"/>
              <w:rPr>
                <w:rFonts w:ascii="宋体" w:hAnsi="宋体" w:cs="宋体"/>
                <w:color w:val="auto"/>
                <w:szCs w:val="21"/>
                <w:highlight w:val="none"/>
              </w:rPr>
            </w:pPr>
            <w:r>
              <w:rPr>
                <w:rFonts w:hint="eastAsia" w:ascii="宋体" w:hAnsi="宋体" w:cs="宋体"/>
                <w:color w:val="auto"/>
                <w:szCs w:val="21"/>
                <w:highlight w:val="none"/>
              </w:rPr>
              <w:t>告警可详细展示风险级别、发生时间、告警名称、客户端IP、服务器IP、ATT&amp;CK矩阵、报文内容（URL、请求头、请求参数、请求内容）。</w:t>
            </w:r>
          </w:p>
        </w:tc>
      </w:tr>
      <w:tr w14:paraId="0543F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0" w:hRule="atLeast"/>
          <w:jc w:val="center"/>
        </w:trPr>
        <w:tc>
          <w:tcPr>
            <w:tcW w:w="945" w:type="pct"/>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55EB60DC">
            <w:pPr>
              <w:spacing w:line="360" w:lineRule="exact"/>
              <w:rPr>
                <w:rFonts w:ascii="宋体" w:hAnsi="宋体" w:cs="宋体"/>
                <w:color w:val="auto"/>
                <w:szCs w:val="21"/>
                <w:highlight w:val="none"/>
              </w:rPr>
            </w:pPr>
          </w:p>
        </w:tc>
        <w:tc>
          <w:tcPr>
            <w:tcW w:w="4055"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10D682E8">
            <w:pPr>
              <w:spacing w:line="360" w:lineRule="exact"/>
              <w:rPr>
                <w:rFonts w:ascii="宋体" w:hAnsi="宋体" w:cs="宋体"/>
                <w:color w:val="auto"/>
                <w:szCs w:val="21"/>
                <w:highlight w:val="none"/>
              </w:rPr>
            </w:pPr>
            <w:r>
              <w:rPr>
                <w:rFonts w:hint="eastAsia" w:ascii="宋体" w:hAnsi="宋体" w:cs="宋体"/>
                <w:color w:val="auto"/>
                <w:szCs w:val="21"/>
                <w:highlight w:val="none"/>
              </w:rPr>
              <w:t>KAFKA服务器配置支持SASL认证和Kerberos认证；KAFKA数据传输支持明文或SSL加密。</w:t>
            </w:r>
          </w:p>
        </w:tc>
      </w:tr>
    </w:tbl>
    <w:p w14:paraId="39AEB8A8">
      <w:pPr>
        <w:keepNext/>
        <w:keepLines/>
        <w:spacing w:line="360" w:lineRule="auto"/>
        <w:outlineLvl w:val="0"/>
        <w:rPr>
          <w:rFonts w:ascii="宋体" w:hAnsi="宋体" w:cs="宋体"/>
          <w:b/>
          <w:color w:val="auto"/>
          <w:szCs w:val="21"/>
          <w:highlight w:val="none"/>
        </w:rPr>
      </w:pPr>
      <w:r>
        <w:rPr>
          <w:rFonts w:hint="eastAsia" w:ascii="宋体" w:hAnsi="宋体" w:cs="宋体"/>
          <w:b/>
          <w:color w:val="auto"/>
          <w:szCs w:val="21"/>
          <w:highlight w:val="none"/>
        </w:rPr>
        <w:t>9．专网大数据安全管理平台服务</w:t>
      </w:r>
    </w:p>
    <w:tbl>
      <w:tblPr>
        <w:tblStyle w:val="22"/>
        <w:tblW w:w="495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1"/>
        <w:gridCol w:w="7016"/>
      </w:tblGrid>
      <w:tr w14:paraId="6879E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421" w:type="dxa"/>
            <w:tcBorders>
              <w:top w:val="single" w:color="000000" w:sz="8" w:space="0"/>
              <w:left w:val="single" w:color="000000" w:sz="8" w:space="0"/>
              <w:bottom w:val="single" w:color="000000" w:sz="8" w:space="0"/>
              <w:right w:val="single" w:color="000000" w:sz="8" w:space="0"/>
            </w:tcBorders>
            <w:shd w:val="clear" w:color="000000" w:fill="FFFFFF"/>
            <w:vAlign w:val="center"/>
          </w:tcPr>
          <w:p w14:paraId="2E7C1E5F">
            <w:pPr>
              <w:spacing w:line="360" w:lineRule="exact"/>
              <w:jc w:val="center"/>
              <w:rPr>
                <w:rFonts w:ascii="宋体" w:hAnsi="宋体" w:cs="宋体"/>
                <w:bCs/>
                <w:color w:val="auto"/>
                <w:szCs w:val="21"/>
                <w:highlight w:val="none"/>
              </w:rPr>
            </w:pPr>
            <w:r>
              <w:rPr>
                <w:rFonts w:hint="eastAsia" w:ascii="宋体" w:hAnsi="宋体" w:cs="宋体"/>
                <w:b/>
                <w:bCs/>
                <w:color w:val="auto"/>
                <w:szCs w:val="21"/>
                <w:highlight w:val="none"/>
              </w:rPr>
              <w:t>技术指标</w:t>
            </w:r>
          </w:p>
        </w:tc>
        <w:tc>
          <w:tcPr>
            <w:tcW w:w="701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D8EF7DF">
            <w:pPr>
              <w:spacing w:line="360" w:lineRule="exact"/>
              <w:jc w:val="center"/>
              <w:rPr>
                <w:rFonts w:ascii="宋体" w:hAnsi="宋体" w:cs="宋体"/>
                <w:bCs/>
                <w:color w:val="auto"/>
                <w:szCs w:val="21"/>
                <w:highlight w:val="none"/>
              </w:rPr>
            </w:pPr>
            <w:r>
              <w:rPr>
                <w:rFonts w:hint="eastAsia" w:ascii="宋体" w:hAnsi="宋体" w:cs="宋体"/>
                <w:b/>
                <w:bCs/>
                <w:color w:val="auto"/>
                <w:szCs w:val="21"/>
                <w:highlight w:val="none"/>
              </w:rPr>
              <w:t>技术要求</w:t>
            </w:r>
          </w:p>
        </w:tc>
      </w:tr>
      <w:tr w14:paraId="298B9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42"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220FAC01">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服务工具基本要求</w:t>
            </w:r>
          </w:p>
        </w:tc>
        <w:tc>
          <w:tcPr>
            <w:tcW w:w="4158"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756291E4">
            <w:pPr>
              <w:spacing w:line="360" w:lineRule="exact"/>
              <w:rPr>
                <w:rFonts w:ascii="宋体" w:hAnsi="宋体" w:cs="宋体"/>
                <w:color w:val="auto"/>
                <w:szCs w:val="21"/>
                <w:highlight w:val="none"/>
              </w:rPr>
            </w:pPr>
            <w:r>
              <w:rPr>
                <w:rFonts w:hint="eastAsia" w:ascii="宋体" w:hAnsi="宋体" w:cs="宋体"/>
                <w:color w:val="auto"/>
                <w:szCs w:val="21"/>
                <w:highlight w:val="none"/>
              </w:rPr>
              <w:t>数据采集和处理性能≥15000EPS，每条数据大小&gt;1KB；</w:t>
            </w:r>
          </w:p>
          <w:p w14:paraId="4A2CC733">
            <w:pPr>
              <w:spacing w:line="360" w:lineRule="exact"/>
              <w:rPr>
                <w:rFonts w:ascii="宋体" w:hAnsi="宋体" w:cs="宋体"/>
                <w:color w:val="auto"/>
                <w:szCs w:val="21"/>
                <w:highlight w:val="none"/>
              </w:rPr>
            </w:pPr>
            <w:r>
              <w:rPr>
                <w:rFonts w:hint="eastAsia" w:ascii="宋体" w:hAnsi="宋体" w:cs="宋体"/>
                <w:color w:val="auto"/>
                <w:szCs w:val="21"/>
                <w:highlight w:val="none"/>
              </w:rPr>
              <w:t>10亿数据关键字查询结果响应时间&lt;2秒。</w:t>
            </w:r>
          </w:p>
          <w:p w14:paraId="57180760">
            <w:pPr>
              <w:spacing w:line="360" w:lineRule="exact"/>
              <w:rPr>
                <w:rFonts w:ascii="宋体" w:hAnsi="宋体" w:cs="宋体"/>
                <w:color w:val="auto"/>
                <w:szCs w:val="21"/>
                <w:highlight w:val="none"/>
              </w:rPr>
            </w:pPr>
            <w:r>
              <w:rPr>
                <w:rFonts w:hint="eastAsia" w:ascii="宋体" w:hAnsi="宋体" w:cs="宋体"/>
                <w:color w:val="auto"/>
                <w:szCs w:val="21"/>
                <w:highlight w:val="none"/>
              </w:rPr>
              <w:t>CPU ≥12核*2 ，内存 ≥256GB，总容量≥64TB；</w:t>
            </w:r>
          </w:p>
          <w:p w14:paraId="1A6B5D3A">
            <w:pPr>
              <w:spacing w:line="360" w:lineRule="exact"/>
              <w:rPr>
                <w:rFonts w:ascii="宋体" w:hAnsi="宋体" w:cs="宋体"/>
                <w:color w:val="auto"/>
                <w:szCs w:val="21"/>
                <w:highlight w:val="none"/>
              </w:rPr>
            </w:pPr>
            <w:r>
              <w:rPr>
                <w:rFonts w:hint="eastAsia" w:ascii="宋体" w:hAnsi="宋体" w:cs="宋体"/>
                <w:color w:val="auto"/>
                <w:szCs w:val="21"/>
                <w:highlight w:val="none"/>
              </w:rPr>
              <w:t>网口要求：≥千兆电口*4，≥万兆光口*2。</w:t>
            </w:r>
          </w:p>
        </w:tc>
      </w:tr>
      <w:tr w14:paraId="6CE11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42"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55DB51A4">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工作台</w:t>
            </w:r>
          </w:p>
        </w:tc>
        <w:tc>
          <w:tcPr>
            <w:tcW w:w="4158"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30A699A0">
            <w:pPr>
              <w:spacing w:line="360" w:lineRule="exact"/>
              <w:rPr>
                <w:rFonts w:ascii="宋体" w:hAnsi="宋体" w:cs="宋体"/>
                <w:color w:val="auto"/>
                <w:szCs w:val="21"/>
                <w:highlight w:val="none"/>
              </w:rPr>
            </w:pPr>
            <w:r>
              <w:rPr>
                <w:rFonts w:hint="eastAsia" w:ascii="宋体" w:hAnsi="宋体" w:cs="宋体"/>
                <w:color w:val="auto"/>
                <w:szCs w:val="21"/>
                <w:highlight w:val="none"/>
              </w:rPr>
              <w:t>工作台首页支持自定义个性化配置，支持以拖拽方式进行画布页面设置，页面可选组件包括原始告警、资产管理、组件管理、风险资产、安全事件、安全日志、平台概览、快速搜索、安全设备、SOAR、系统消息、通报预警、工单、告警监控等，可选组件不少于36个，每个组件均支持点击“收藏”按钮进行自定义收藏。</w:t>
            </w:r>
          </w:p>
        </w:tc>
      </w:tr>
      <w:tr w14:paraId="357EE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42"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122C0E01">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菜单管理</w:t>
            </w:r>
          </w:p>
        </w:tc>
        <w:tc>
          <w:tcPr>
            <w:tcW w:w="4158"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469E5CE3">
            <w:pPr>
              <w:spacing w:line="360" w:lineRule="exact"/>
              <w:rPr>
                <w:rFonts w:ascii="宋体" w:hAnsi="宋体" w:cs="宋体"/>
                <w:color w:val="auto"/>
                <w:szCs w:val="21"/>
                <w:highlight w:val="none"/>
              </w:rPr>
            </w:pPr>
            <w:r>
              <w:rPr>
                <w:rFonts w:hint="eastAsia" w:ascii="宋体" w:hAnsi="宋体" w:cs="宋体"/>
                <w:color w:val="auto"/>
                <w:szCs w:val="21"/>
                <w:highlight w:val="none"/>
              </w:rPr>
              <w:t>支持菜单栏一页全局预览，菜单名称支持匹配检索，用户可点击菜单“收藏”按钮自定义收藏菜单和查看最近访问的菜单以便快速访问。</w:t>
            </w:r>
          </w:p>
        </w:tc>
      </w:tr>
      <w:tr w14:paraId="6A69E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42"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5BD0B3FF">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安全态势可视化</w:t>
            </w:r>
          </w:p>
        </w:tc>
        <w:tc>
          <w:tcPr>
            <w:tcW w:w="4158"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6894365A">
            <w:pPr>
              <w:spacing w:line="360" w:lineRule="exact"/>
              <w:rPr>
                <w:rFonts w:ascii="宋体" w:hAnsi="宋体" w:cs="宋体"/>
                <w:color w:val="auto"/>
                <w:szCs w:val="21"/>
                <w:highlight w:val="none"/>
              </w:rPr>
            </w:pPr>
            <w:r>
              <w:rPr>
                <w:rFonts w:hint="eastAsia" w:ascii="宋体" w:hAnsi="宋体" w:cs="宋体"/>
                <w:color w:val="auto"/>
                <w:szCs w:val="21"/>
                <w:highlight w:val="none"/>
              </w:rPr>
              <w:t>支持立体、平面、球面等多种维度的网络实体关系透视，点击每个实体可展示资产名称、风险评级、告警TOP3、最近异常发生时间等，点击实体间的访问连线可展示实体间访问方向、访问类型、累计流量、最近访问时间等。</w:t>
            </w:r>
          </w:p>
        </w:tc>
      </w:tr>
      <w:tr w14:paraId="301FD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42" w:type="pct"/>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38F6565F">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分析中心</w:t>
            </w:r>
          </w:p>
        </w:tc>
        <w:tc>
          <w:tcPr>
            <w:tcW w:w="4158"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32B7FB89">
            <w:pPr>
              <w:spacing w:line="360" w:lineRule="exact"/>
              <w:rPr>
                <w:rFonts w:ascii="宋体" w:hAnsi="宋体" w:cs="宋体"/>
                <w:color w:val="auto"/>
                <w:szCs w:val="21"/>
                <w:highlight w:val="none"/>
              </w:rPr>
            </w:pPr>
            <w:r>
              <w:rPr>
                <w:rFonts w:hint="eastAsia" w:ascii="宋体" w:hAnsi="宋体" w:cs="宋体"/>
                <w:color w:val="auto"/>
                <w:szCs w:val="21"/>
                <w:highlight w:val="none"/>
              </w:rPr>
              <w:t>应内置包括规则模型、关联模型、统计模型、情报模型等多种安全分析模型。</w:t>
            </w:r>
          </w:p>
        </w:tc>
      </w:tr>
      <w:tr w14:paraId="29402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42" w:type="pct"/>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5309FB63">
            <w:pPr>
              <w:spacing w:line="360" w:lineRule="exact"/>
              <w:jc w:val="center"/>
              <w:rPr>
                <w:rFonts w:ascii="宋体" w:hAnsi="宋体" w:cs="宋体"/>
                <w:color w:val="auto"/>
                <w:szCs w:val="21"/>
                <w:highlight w:val="none"/>
              </w:rPr>
            </w:pPr>
          </w:p>
        </w:tc>
        <w:tc>
          <w:tcPr>
            <w:tcW w:w="4158"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0CACCBCC">
            <w:pPr>
              <w:spacing w:line="360" w:lineRule="exact"/>
              <w:rPr>
                <w:rFonts w:ascii="宋体" w:hAnsi="宋体" w:cs="宋体"/>
                <w:color w:val="auto"/>
                <w:szCs w:val="21"/>
                <w:highlight w:val="none"/>
              </w:rPr>
            </w:pPr>
            <w:r>
              <w:rPr>
                <w:rFonts w:hint="eastAsia" w:ascii="宋体" w:hAnsi="宋体" w:cs="宋体"/>
                <w:color w:val="auto"/>
                <w:szCs w:val="21"/>
                <w:highlight w:val="none"/>
              </w:rPr>
              <w:t>安全分析模型支持自定义创建，可通过字段映射、静态值、模板、表达式等多种方式自由定义分析模型的告警名称、威胁等级、告警类型、攻击链、可选字段、告警描述、处置建议等内容。</w:t>
            </w:r>
          </w:p>
        </w:tc>
      </w:tr>
      <w:tr w14:paraId="78AE7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842" w:type="pct"/>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097B58BA">
            <w:pPr>
              <w:spacing w:line="360" w:lineRule="exact"/>
              <w:jc w:val="center"/>
              <w:rPr>
                <w:rFonts w:ascii="宋体" w:hAnsi="宋体" w:cs="宋体"/>
                <w:color w:val="auto"/>
                <w:szCs w:val="21"/>
                <w:highlight w:val="none"/>
              </w:rPr>
            </w:pPr>
          </w:p>
        </w:tc>
        <w:tc>
          <w:tcPr>
            <w:tcW w:w="4158"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357982E3">
            <w:pPr>
              <w:spacing w:line="360" w:lineRule="exact"/>
              <w:rPr>
                <w:rFonts w:ascii="宋体" w:hAnsi="宋体" w:cs="宋体"/>
                <w:color w:val="auto"/>
                <w:szCs w:val="21"/>
                <w:highlight w:val="none"/>
              </w:rPr>
            </w:pPr>
            <w:r>
              <w:rPr>
                <w:rFonts w:hint="eastAsia" w:ascii="宋体" w:hAnsi="宋体" w:cs="宋体"/>
                <w:color w:val="auto"/>
                <w:szCs w:val="21"/>
                <w:highlight w:val="none"/>
              </w:rPr>
              <w:t>支持智能检索语句分析，支持检索语句的中文、英文、拼音智能联想，支持逻辑运算符与字段值的自动提示补全；检索语句支持快速保存，保留检索语句历史记录；检索语句可直接发布成统计指标、规则模型、关联模型、情报模型，对实时数据进行分析与告警。</w:t>
            </w:r>
          </w:p>
        </w:tc>
      </w:tr>
      <w:tr w14:paraId="234B9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42" w:type="pct"/>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338C653F">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响应中心</w:t>
            </w:r>
          </w:p>
        </w:tc>
        <w:tc>
          <w:tcPr>
            <w:tcW w:w="4158"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3D7AFF73">
            <w:pPr>
              <w:spacing w:line="360" w:lineRule="exact"/>
              <w:rPr>
                <w:rFonts w:ascii="宋体" w:hAnsi="宋体" w:cs="宋体"/>
                <w:color w:val="auto"/>
                <w:szCs w:val="21"/>
                <w:highlight w:val="none"/>
              </w:rPr>
            </w:pPr>
            <w:r>
              <w:rPr>
                <w:rFonts w:hint="eastAsia" w:ascii="宋体" w:hAnsi="宋体" w:cs="宋体"/>
                <w:color w:val="auto"/>
                <w:szCs w:val="21"/>
                <w:highlight w:val="none"/>
              </w:rPr>
              <w:t>支持通过单条告警、聚合告警添加白名单，快速过滤误报；白名单配置可自定义过滤条件及作用的组织架构，白名单生效时间设置包括长期生效和定期生效，新建白名单策略可将最近7天告警标记为已处置-误报；支持白名单策略状态的开启、关闭，并统计策略本日匹配次数。</w:t>
            </w:r>
          </w:p>
        </w:tc>
      </w:tr>
      <w:tr w14:paraId="75A05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42" w:type="pct"/>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01DE1DB0">
            <w:pPr>
              <w:spacing w:line="360" w:lineRule="exact"/>
              <w:jc w:val="center"/>
              <w:rPr>
                <w:rFonts w:ascii="宋体" w:hAnsi="宋体" w:cs="宋体"/>
                <w:color w:val="auto"/>
                <w:szCs w:val="21"/>
                <w:highlight w:val="none"/>
              </w:rPr>
            </w:pPr>
          </w:p>
        </w:tc>
        <w:tc>
          <w:tcPr>
            <w:tcW w:w="4158"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0F1B3E3B">
            <w:pPr>
              <w:spacing w:line="360" w:lineRule="exact"/>
              <w:rPr>
                <w:rFonts w:ascii="宋体" w:hAnsi="宋体" w:cs="宋体"/>
                <w:color w:val="auto"/>
                <w:szCs w:val="21"/>
                <w:highlight w:val="none"/>
              </w:rPr>
            </w:pPr>
            <w:r>
              <w:rPr>
                <w:rFonts w:hint="eastAsia" w:ascii="宋体" w:hAnsi="宋体" w:cs="宋体"/>
                <w:color w:val="auto"/>
                <w:szCs w:val="21"/>
                <w:highlight w:val="none"/>
              </w:rPr>
              <w:t>支持前端拖拽式交互设计安全风险分析研判策略和联动响应剧本，支持多种策略编排动作，包括但不限于数据源、分析组件、处置响应等，可自动判断策略编排是否合理并弹窗提示。</w:t>
            </w:r>
          </w:p>
        </w:tc>
      </w:tr>
      <w:tr w14:paraId="095E3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42" w:type="pct"/>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5577306C">
            <w:pPr>
              <w:spacing w:line="360" w:lineRule="exact"/>
              <w:jc w:val="center"/>
              <w:rPr>
                <w:rFonts w:ascii="宋体" w:hAnsi="宋体" w:cs="宋体"/>
                <w:color w:val="auto"/>
                <w:szCs w:val="21"/>
                <w:highlight w:val="none"/>
              </w:rPr>
            </w:pPr>
          </w:p>
        </w:tc>
        <w:tc>
          <w:tcPr>
            <w:tcW w:w="4158"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75587A5B">
            <w:pPr>
              <w:spacing w:line="360" w:lineRule="exact"/>
              <w:rPr>
                <w:rFonts w:ascii="宋体" w:hAnsi="宋体" w:cs="宋体"/>
                <w:color w:val="auto"/>
                <w:szCs w:val="21"/>
                <w:highlight w:val="none"/>
              </w:rPr>
            </w:pPr>
            <w:r>
              <w:rPr>
                <w:rFonts w:hint="eastAsia" w:ascii="宋体" w:hAnsi="宋体" w:cs="宋体"/>
                <w:color w:val="auto"/>
                <w:szCs w:val="21"/>
                <w:highlight w:val="none"/>
              </w:rPr>
              <w:t>支持通过任务看板查看自动响应任务的数量、状态、任务趋势；可查询并追踪每条自动化响应任务的运行阶段查看详细信息，任务执行过程中可加入安管人员查验环节，通过邮件、短信方式将告警和分析报告推送到对应用户。</w:t>
            </w:r>
          </w:p>
        </w:tc>
      </w:tr>
      <w:tr w14:paraId="60088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42" w:type="pct"/>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15DB9CA2">
            <w:pPr>
              <w:spacing w:line="360" w:lineRule="exact"/>
              <w:jc w:val="center"/>
              <w:rPr>
                <w:rFonts w:ascii="宋体" w:hAnsi="宋体" w:cs="宋体"/>
                <w:color w:val="auto"/>
                <w:szCs w:val="21"/>
                <w:highlight w:val="none"/>
              </w:rPr>
            </w:pPr>
          </w:p>
        </w:tc>
        <w:tc>
          <w:tcPr>
            <w:tcW w:w="4158"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5D666E0A">
            <w:pPr>
              <w:spacing w:line="360" w:lineRule="exact"/>
              <w:rPr>
                <w:rFonts w:ascii="宋体" w:hAnsi="宋体" w:cs="宋体"/>
                <w:color w:val="auto"/>
                <w:szCs w:val="21"/>
                <w:highlight w:val="none"/>
              </w:rPr>
            </w:pPr>
            <w:r>
              <w:rPr>
                <w:rFonts w:hint="eastAsia" w:ascii="宋体" w:hAnsi="宋体" w:cs="宋体"/>
                <w:color w:val="auto"/>
                <w:szCs w:val="21"/>
                <w:highlight w:val="none"/>
              </w:rPr>
              <w:t>支持钉钉、阿里云、腾讯云等进行消息通知。</w:t>
            </w:r>
          </w:p>
        </w:tc>
      </w:tr>
      <w:tr w14:paraId="480C2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842"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0F0D9AF4">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运营中心</w:t>
            </w:r>
          </w:p>
        </w:tc>
        <w:tc>
          <w:tcPr>
            <w:tcW w:w="4158"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4AB1633E">
            <w:pPr>
              <w:spacing w:line="360" w:lineRule="exact"/>
              <w:rPr>
                <w:rFonts w:ascii="宋体" w:hAnsi="宋体" w:cs="宋体"/>
                <w:color w:val="auto"/>
                <w:szCs w:val="21"/>
                <w:highlight w:val="none"/>
              </w:rPr>
            </w:pPr>
            <w:r>
              <w:rPr>
                <w:rFonts w:hint="eastAsia" w:ascii="宋体" w:hAnsi="宋体" w:cs="宋体"/>
                <w:color w:val="auto"/>
                <w:szCs w:val="21"/>
                <w:highlight w:val="none"/>
              </w:rPr>
              <w:t>平台具有统一的安全运营门户，作为重点关注功能的统一入口，如集成态势感知、Sherlock网络星空、通报预警、联动策略、运行监测等多个功能模块，实现平台功能的快速跳转；支持用户配置个人专属的统一门户，可配置项包括门户名称、菜单名称、应用图标等，且菜单内容支持自定义编辑，可链接平台以外的域名地址。</w:t>
            </w:r>
          </w:p>
        </w:tc>
      </w:tr>
      <w:tr w14:paraId="302F1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 w:hRule="atLeast"/>
          <w:jc w:val="center"/>
        </w:trPr>
        <w:tc>
          <w:tcPr>
            <w:tcW w:w="842"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0C5C58EF">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资产中心</w:t>
            </w:r>
          </w:p>
        </w:tc>
        <w:tc>
          <w:tcPr>
            <w:tcW w:w="4158"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0BF33AC5">
            <w:pPr>
              <w:spacing w:line="360" w:lineRule="exact"/>
              <w:rPr>
                <w:rFonts w:ascii="宋体" w:hAnsi="宋体" w:cs="宋体"/>
                <w:color w:val="auto"/>
                <w:szCs w:val="21"/>
                <w:highlight w:val="none"/>
              </w:rPr>
            </w:pPr>
            <w:r>
              <w:rPr>
                <w:rFonts w:hint="eastAsia" w:ascii="宋体" w:hAnsi="宋体" w:cs="宋体"/>
                <w:color w:val="auto"/>
                <w:szCs w:val="21"/>
                <w:highlight w:val="none"/>
              </w:rPr>
              <w:t>支持人工录入、流量自动发现、主动扫描、web自动发现、资产同步等不少于5种的资产数据接入方式；流量自动发现方式能自动识别资产类型，如Web服务器、DNS服务器、邮件服务器、FTP文件服务器等多种类型资产，支持web业务系统自动发现；支持批量确认流量发现的资产。</w:t>
            </w:r>
          </w:p>
        </w:tc>
      </w:tr>
      <w:tr w14:paraId="5AE8C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42" w:type="pct"/>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1FCF8683">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运维管理</w:t>
            </w:r>
          </w:p>
        </w:tc>
        <w:tc>
          <w:tcPr>
            <w:tcW w:w="4158" w:type="pct"/>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024DC901">
            <w:pPr>
              <w:spacing w:line="360" w:lineRule="exact"/>
              <w:rPr>
                <w:rFonts w:ascii="宋体" w:hAnsi="宋体" w:cs="宋体"/>
                <w:color w:val="auto"/>
                <w:szCs w:val="21"/>
                <w:highlight w:val="none"/>
              </w:rPr>
            </w:pPr>
            <w:r>
              <w:rPr>
                <w:rFonts w:hint="eastAsia" w:ascii="宋体" w:hAnsi="宋体" w:cs="宋体"/>
                <w:color w:val="auto"/>
                <w:szCs w:val="21"/>
                <w:highlight w:val="none"/>
              </w:rPr>
              <w:t>大数据平台支持一键巡检功能，检查项包含但不限于数据健康、探针健康检查、大数据集群健康、实时流计算引擎健康、管理服务健康、服务器节点健康等多种维度检查，提供巡检处置建议，并能将巡检结果导出PDF格式分析。</w:t>
            </w:r>
          </w:p>
        </w:tc>
      </w:tr>
      <w:tr w14:paraId="42718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42" w:type="pct"/>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70B070E1">
            <w:pPr>
              <w:spacing w:line="360" w:lineRule="exact"/>
              <w:jc w:val="center"/>
              <w:rPr>
                <w:rFonts w:ascii="宋体" w:hAnsi="宋体" w:cs="宋体"/>
                <w:color w:val="auto"/>
                <w:szCs w:val="21"/>
                <w:highlight w:val="none"/>
              </w:rPr>
            </w:pPr>
          </w:p>
        </w:tc>
        <w:tc>
          <w:tcPr>
            <w:tcW w:w="4158" w:type="pct"/>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019413F2">
            <w:pPr>
              <w:spacing w:line="360" w:lineRule="exact"/>
              <w:rPr>
                <w:rFonts w:ascii="宋体" w:hAnsi="宋体" w:cs="宋体"/>
                <w:color w:val="auto"/>
                <w:szCs w:val="21"/>
                <w:highlight w:val="none"/>
              </w:rPr>
            </w:pPr>
          </w:p>
        </w:tc>
      </w:tr>
      <w:tr w14:paraId="49CF6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42" w:type="pct"/>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1AFE0D63">
            <w:pPr>
              <w:spacing w:line="360" w:lineRule="exact"/>
              <w:jc w:val="center"/>
              <w:rPr>
                <w:rFonts w:ascii="宋体" w:hAnsi="宋体" w:cs="宋体"/>
                <w:color w:val="auto"/>
                <w:szCs w:val="21"/>
                <w:highlight w:val="none"/>
              </w:rPr>
            </w:pPr>
          </w:p>
        </w:tc>
        <w:tc>
          <w:tcPr>
            <w:tcW w:w="4158" w:type="pct"/>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3C673BB2">
            <w:pPr>
              <w:spacing w:line="360" w:lineRule="exact"/>
              <w:rPr>
                <w:rFonts w:ascii="宋体" w:hAnsi="宋体" w:cs="宋体"/>
                <w:color w:val="auto"/>
                <w:szCs w:val="21"/>
                <w:highlight w:val="none"/>
              </w:rPr>
            </w:pPr>
          </w:p>
        </w:tc>
      </w:tr>
      <w:tr w14:paraId="781A6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42" w:type="pct"/>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1892020D">
            <w:pPr>
              <w:spacing w:line="360" w:lineRule="exact"/>
              <w:jc w:val="center"/>
              <w:rPr>
                <w:rFonts w:ascii="宋体" w:hAnsi="宋体" w:cs="宋体"/>
                <w:color w:val="auto"/>
                <w:szCs w:val="21"/>
                <w:highlight w:val="none"/>
              </w:rPr>
            </w:pPr>
          </w:p>
        </w:tc>
        <w:tc>
          <w:tcPr>
            <w:tcW w:w="4158"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7BC17003">
            <w:pPr>
              <w:spacing w:line="360" w:lineRule="exact"/>
              <w:rPr>
                <w:rFonts w:ascii="宋体" w:hAnsi="宋体" w:cs="宋体"/>
                <w:color w:val="auto"/>
                <w:szCs w:val="21"/>
                <w:highlight w:val="none"/>
              </w:rPr>
            </w:pPr>
            <w:r>
              <w:rPr>
                <w:rFonts w:hint="eastAsia" w:ascii="宋体" w:hAnsi="宋体" w:cs="宋体"/>
                <w:color w:val="auto"/>
                <w:szCs w:val="21"/>
                <w:highlight w:val="none"/>
              </w:rPr>
              <w:t>支持对接入探针进行运行监控，包括探针注册时间、设备IP、版本信息、许可证信息、本日数据上送条数、CPU利用率、内存使用率、磁盘使用率、网络流量大小、数据上送条数等；支持导入许可及导出许可申请文件。</w:t>
            </w:r>
          </w:p>
        </w:tc>
      </w:tr>
      <w:tr w14:paraId="71C53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42" w:type="pct"/>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767DC330">
            <w:pPr>
              <w:spacing w:line="360" w:lineRule="exact"/>
              <w:jc w:val="center"/>
              <w:rPr>
                <w:rFonts w:ascii="宋体" w:hAnsi="宋体" w:cs="宋体"/>
                <w:color w:val="auto"/>
                <w:szCs w:val="21"/>
                <w:highlight w:val="none"/>
              </w:rPr>
            </w:pPr>
          </w:p>
        </w:tc>
        <w:tc>
          <w:tcPr>
            <w:tcW w:w="4158"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634E28A3">
            <w:pPr>
              <w:spacing w:line="360" w:lineRule="exact"/>
              <w:rPr>
                <w:rFonts w:ascii="宋体" w:hAnsi="宋体" w:cs="宋体"/>
                <w:color w:val="auto"/>
                <w:szCs w:val="21"/>
                <w:highlight w:val="none"/>
              </w:rPr>
            </w:pPr>
            <w:r>
              <w:rPr>
                <w:rFonts w:hint="eastAsia" w:ascii="宋体" w:hAnsi="宋体" w:cs="宋体"/>
                <w:color w:val="auto"/>
                <w:kern w:val="0"/>
                <w:szCs w:val="21"/>
                <w:highlight w:val="none"/>
              </w:rPr>
              <w:t>支持对接入探针进行统一管理，支持查看探针在线、离线、升级等状态，可对license已过期、即将过期探针进行预警，对内存长时间超出阈值、CPU长时间超出阈值探针进行预警；支持平台统一升级和配置探针，沙箱文件检测可配置安全文件大小、文件访问方向、检测配置、检测结果复用、真实格式识别、沙箱网络行为、沙箱操作系统配置等，流量探针可配置检测模式。</w:t>
            </w:r>
          </w:p>
        </w:tc>
      </w:tr>
      <w:tr w14:paraId="6697D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42" w:type="pct"/>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3F0B79F6">
            <w:pPr>
              <w:spacing w:line="360" w:lineRule="exact"/>
              <w:jc w:val="center"/>
              <w:rPr>
                <w:rFonts w:ascii="宋体" w:hAnsi="宋体" w:cs="宋体"/>
                <w:color w:val="auto"/>
                <w:szCs w:val="21"/>
                <w:highlight w:val="none"/>
              </w:rPr>
            </w:pPr>
          </w:p>
        </w:tc>
        <w:tc>
          <w:tcPr>
            <w:tcW w:w="4158"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5C6BDFDC">
            <w:pPr>
              <w:spacing w:line="360" w:lineRule="exact"/>
              <w:rPr>
                <w:rFonts w:ascii="宋体" w:hAnsi="宋体" w:cs="宋体"/>
                <w:color w:val="auto"/>
                <w:szCs w:val="21"/>
                <w:highlight w:val="none"/>
              </w:rPr>
            </w:pPr>
            <w:r>
              <w:rPr>
                <w:rFonts w:hint="eastAsia" w:ascii="宋体" w:hAnsi="宋体" w:cs="宋体"/>
                <w:color w:val="auto"/>
                <w:szCs w:val="21"/>
                <w:highlight w:val="none"/>
              </w:rPr>
              <w:t>支持自定义消息订阅，订阅方式包括机器人、短信、邮件、钉钉方式，消息类型包括告警通知、数据接入异常、系统资源使用超限、系统组件状态异常、探针状态消息、联动设备状态异常、系统配置异常、系统更新、日常运维等类型。</w:t>
            </w:r>
          </w:p>
        </w:tc>
      </w:tr>
      <w:tr w14:paraId="7CF68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42" w:type="pct"/>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19391E09">
            <w:pPr>
              <w:spacing w:line="360" w:lineRule="exact"/>
              <w:jc w:val="center"/>
              <w:rPr>
                <w:rFonts w:ascii="宋体" w:hAnsi="宋体" w:cs="宋体"/>
                <w:color w:val="auto"/>
                <w:szCs w:val="21"/>
                <w:highlight w:val="none"/>
              </w:rPr>
            </w:pPr>
          </w:p>
        </w:tc>
        <w:tc>
          <w:tcPr>
            <w:tcW w:w="4158"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033192EB">
            <w:pPr>
              <w:spacing w:line="360" w:lineRule="exact"/>
              <w:rPr>
                <w:rFonts w:ascii="宋体" w:hAnsi="宋体" w:cs="宋体"/>
                <w:color w:val="auto"/>
                <w:szCs w:val="21"/>
                <w:highlight w:val="none"/>
              </w:rPr>
            </w:pPr>
            <w:r>
              <w:rPr>
                <w:rFonts w:hint="eastAsia" w:ascii="宋体" w:hAnsi="宋体" w:cs="宋体"/>
                <w:color w:val="auto"/>
                <w:szCs w:val="21"/>
                <w:highlight w:val="none"/>
              </w:rPr>
              <w:t>支持系统消息声音播报，机器人弹窗提醒，支持按时间顺序及消息类型查看系统消息。</w:t>
            </w:r>
          </w:p>
        </w:tc>
      </w:tr>
      <w:tr w14:paraId="4126B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42"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49616200">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工单管理</w:t>
            </w:r>
          </w:p>
        </w:tc>
        <w:tc>
          <w:tcPr>
            <w:tcW w:w="4158"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195133F3">
            <w:pPr>
              <w:spacing w:line="360" w:lineRule="exact"/>
              <w:rPr>
                <w:rFonts w:ascii="宋体" w:hAnsi="宋体" w:cs="宋体"/>
                <w:color w:val="auto"/>
                <w:szCs w:val="21"/>
                <w:highlight w:val="none"/>
              </w:rPr>
            </w:pPr>
            <w:r>
              <w:rPr>
                <w:rFonts w:hint="eastAsia" w:ascii="宋体" w:hAnsi="宋体" w:cs="宋体"/>
                <w:color w:val="auto"/>
                <w:szCs w:val="21"/>
                <w:highlight w:val="none"/>
              </w:rPr>
              <w:t>支持按照组织架构进行绩效考核，总部管理员可查看全局或单个组织的工单处理情况，包括滞留工单情况、风险资产情况及风险资产概率等。</w:t>
            </w:r>
          </w:p>
        </w:tc>
      </w:tr>
      <w:tr w14:paraId="2B1DD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42"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699367C0">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驾驶舱</w:t>
            </w:r>
          </w:p>
        </w:tc>
        <w:tc>
          <w:tcPr>
            <w:tcW w:w="4158"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5E81E133">
            <w:pPr>
              <w:spacing w:line="360" w:lineRule="exact"/>
              <w:rPr>
                <w:rFonts w:ascii="宋体" w:hAnsi="宋体" w:cs="宋体"/>
                <w:color w:val="auto"/>
                <w:szCs w:val="21"/>
                <w:highlight w:val="none"/>
              </w:rPr>
            </w:pPr>
            <w:r>
              <w:rPr>
                <w:rFonts w:hint="eastAsia" w:ascii="宋体" w:hAnsi="宋体" w:cs="宋体"/>
                <w:color w:val="auto"/>
                <w:szCs w:val="21"/>
                <w:highlight w:val="none"/>
              </w:rPr>
              <w:t>支持驾驶舱功能，总部驾驶舱能够看到市法院内以及所有基层法院的安全资产威胁态势；同时基层法院具备自己的账号，能够独立展示基层法院自身安全威胁态势。</w:t>
            </w:r>
          </w:p>
        </w:tc>
      </w:tr>
    </w:tbl>
    <w:p w14:paraId="4BCB1ED0">
      <w:pPr>
        <w:keepNext/>
        <w:keepLines/>
        <w:spacing w:line="360" w:lineRule="auto"/>
        <w:outlineLvl w:val="0"/>
        <w:rPr>
          <w:rFonts w:ascii="宋体" w:hAnsi="宋体" w:cs="宋体"/>
          <w:b/>
          <w:color w:val="auto"/>
          <w:szCs w:val="21"/>
          <w:highlight w:val="none"/>
        </w:rPr>
      </w:pPr>
      <w:r>
        <w:rPr>
          <w:rFonts w:hint="eastAsia" w:ascii="宋体" w:hAnsi="宋体" w:cs="宋体"/>
          <w:b/>
          <w:color w:val="auto"/>
          <w:szCs w:val="21"/>
          <w:highlight w:val="none"/>
        </w:rPr>
        <w:t>10．专网数据库审计服务</w:t>
      </w:r>
    </w:p>
    <w:tbl>
      <w:tblPr>
        <w:tblStyle w:val="2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128"/>
        <w:gridCol w:w="6578"/>
      </w:tblGrid>
      <w:tr w14:paraId="08FED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4" w:type="dxa"/>
            <w:gridSpan w:val="2"/>
            <w:tcBorders>
              <w:top w:val="single" w:color="000000" w:sz="8" w:space="0"/>
              <w:left w:val="single" w:color="000000" w:sz="8" w:space="0"/>
              <w:bottom w:val="single" w:color="000000" w:sz="8" w:space="0"/>
              <w:right w:val="single" w:color="000000" w:sz="8" w:space="0"/>
            </w:tcBorders>
            <w:shd w:val="clear" w:color="000000" w:fill="FFFFFF"/>
            <w:noWrap/>
            <w:vAlign w:val="center"/>
          </w:tcPr>
          <w:p w14:paraId="77D3673F">
            <w:pPr>
              <w:spacing w:line="360" w:lineRule="exact"/>
              <w:jc w:val="center"/>
              <w:rPr>
                <w:rFonts w:ascii="宋体" w:hAnsi="宋体" w:cs="宋体"/>
                <w:color w:val="auto"/>
                <w:szCs w:val="21"/>
                <w:highlight w:val="none"/>
              </w:rPr>
            </w:pPr>
            <w:r>
              <w:rPr>
                <w:rFonts w:hint="eastAsia" w:ascii="宋体" w:hAnsi="宋体" w:cs="宋体"/>
                <w:b/>
                <w:bCs/>
                <w:color w:val="auto"/>
                <w:szCs w:val="21"/>
                <w:highlight w:val="none"/>
              </w:rPr>
              <w:t>技术指标</w:t>
            </w:r>
          </w:p>
        </w:tc>
        <w:tc>
          <w:tcPr>
            <w:tcW w:w="6578" w:type="dxa"/>
            <w:tcBorders>
              <w:top w:val="single" w:color="000000" w:sz="8" w:space="0"/>
              <w:left w:val="single" w:color="000000" w:sz="8" w:space="0"/>
              <w:bottom w:val="single" w:color="000000" w:sz="8" w:space="0"/>
              <w:right w:val="single" w:color="000000" w:sz="8" w:space="0"/>
            </w:tcBorders>
            <w:shd w:val="clear" w:color="000000" w:fill="FFFFFF"/>
            <w:noWrap/>
            <w:vAlign w:val="center"/>
          </w:tcPr>
          <w:p w14:paraId="7E3D2B19">
            <w:pPr>
              <w:spacing w:line="360" w:lineRule="exact"/>
              <w:jc w:val="center"/>
              <w:rPr>
                <w:rFonts w:ascii="宋体" w:hAnsi="宋体" w:cs="宋体"/>
                <w:color w:val="auto"/>
                <w:szCs w:val="21"/>
                <w:highlight w:val="none"/>
              </w:rPr>
            </w:pPr>
            <w:r>
              <w:rPr>
                <w:rFonts w:hint="eastAsia" w:ascii="宋体" w:hAnsi="宋体" w:cs="宋体"/>
                <w:b/>
                <w:bCs/>
                <w:color w:val="auto"/>
                <w:szCs w:val="21"/>
                <w:highlight w:val="none"/>
              </w:rPr>
              <w:t>技术要求</w:t>
            </w:r>
          </w:p>
        </w:tc>
      </w:tr>
      <w:tr w14:paraId="43796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4" w:type="dxa"/>
            <w:gridSpan w:val="2"/>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1991046E">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服务工具基本要求</w:t>
            </w:r>
          </w:p>
        </w:tc>
        <w:tc>
          <w:tcPr>
            <w:tcW w:w="6578"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3C87A3CA">
            <w:pPr>
              <w:spacing w:line="360" w:lineRule="exact"/>
              <w:rPr>
                <w:rFonts w:ascii="宋体" w:hAnsi="宋体" w:cs="宋体"/>
                <w:color w:val="auto"/>
                <w:szCs w:val="21"/>
                <w:highlight w:val="none"/>
              </w:rPr>
            </w:pPr>
            <w:r>
              <w:rPr>
                <w:rFonts w:hint="eastAsia" w:ascii="宋体" w:hAnsi="宋体" w:cs="宋体"/>
                <w:color w:val="auto"/>
                <w:szCs w:val="21"/>
                <w:highlight w:val="none"/>
              </w:rPr>
              <w:t>支持的数据库实例个数：≥50； 峰值SQL处理能力≥20000条/秒； 硬件最大吞吐量≥2000Mbps； 双向审计数据库流量≥200Mbps； 标配日志存储数≥20亿条； 审计日志检索能力≥1500万条/秒；CPU≥4核8线程；内存≥8GB*2；硬盘≥2TB*2；内置≥300W交流双电源；≥4个千兆电口；≥4个千兆光口。</w:t>
            </w:r>
          </w:p>
        </w:tc>
      </w:tr>
      <w:tr w14:paraId="50757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restart"/>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09CA6565">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功能项</w:t>
            </w:r>
          </w:p>
        </w:tc>
        <w:tc>
          <w:tcPr>
            <w:tcW w:w="1128" w:type="dxa"/>
            <w:vMerge w:val="restart"/>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51B067B6">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部署方式</w:t>
            </w:r>
          </w:p>
        </w:tc>
        <w:tc>
          <w:tcPr>
            <w:tcW w:w="6578"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3CEF0623">
            <w:pPr>
              <w:spacing w:line="360" w:lineRule="exact"/>
              <w:rPr>
                <w:rFonts w:ascii="宋体" w:hAnsi="宋体" w:cs="宋体"/>
                <w:color w:val="auto"/>
                <w:szCs w:val="21"/>
                <w:highlight w:val="none"/>
              </w:rPr>
            </w:pPr>
            <w:r>
              <w:rPr>
                <w:rFonts w:hint="eastAsia" w:ascii="宋体" w:hAnsi="宋体" w:cs="宋体"/>
                <w:color w:val="auto"/>
                <w:szCs w:val="21"/>
                <w:highlight w:val="none"/>
              </w:rPr>
              <w:t>旁路部署模式下无须在被审计数据库系统上安装任何代理即可实现审计。</w:t>
            </w:r>
          </w:p>
        </w:tc>
      </w:tr>
      <w:tr w14:paraId="078E1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2E86D069">
            <w:pPr>
              <w:spacing w:line="360" w:lineRule="exact"/>
              <w:jc w:val="center"/>
              <w:rPr>
                <w:rFonts w:ascii="宋体" w:hAnsi="宋体" w:cs="宋体"/>
                <w:color w:val="auto"/>
                <w:szCs w:val="21"/>
                <w:highlight w:val="none"/>
              </w:rPr>
            </w:pPr>
          </w:p>
        </w:tc>
        <w:tc>
          <w:tcPr>
            <w:tcW w:w="112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24AC8EC3">
            <w:pPr>
              <w:spacing w:line="360" w:lineRule="exact"/>
              <w:jc w:val="center"/>
              <w:rPr>
                <w:rFonts w:ascii="宋体" w:hAnsi="宋体" w:cs="宋体"/>
                <w:color w:val="auto"/>
                <w:szCs w:val="21"/>
                <w:highlight w:val="none"/>
              </w:rPr>
            </w:pPr>
          </w:p>
        </w:tc>
        <w:tc>
          <w:tcPr>
            <w:tcW w:w="6578"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3891A8AE">
            <w:pPr>
              <w:spacing w:line="360" w:lineRule="exact"/>
              <w:rPr>
                <w:rFonts w:ascii="宋体" w:hAnsi="宋体" w:cs="宋体"/>
                <w:color w:val="auto"/>
                <w:szCs w:val="21"/>
                <w:highlight w:val="none"/>
              </w:rPr>
            </w:pPr>
            <w:r>
              <w:rPr>
                <w:rFonts w:hint="eastAsia" w:ascii="宋体" w:hAnsi="宋体" w:cs="宋体"/>
                <w:color w:val="auto"/>
                <w:szCs w:val="21"/>
                <w:highlight w:val="none"/>
              </w:rPr>
              <w:t>可在云环境操作系统中安装软件代理。</w:t>
            </w:r>
          </w:p>
        </w:tc>
      </w:tr>
      <w:tr w14:paraId="79D8F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3F74E585">
            <w:pPr>
              <w:spacing w:line="360" w:lineRule="exact"/>
              <w:jc w:val="center"/>
              <w:rPr>
                <w:rFonts w:ascii="宋体" w:hAnsi="宋体" w:cs="宋体"/>
                <w:color w:val="auto"/>
                <w:szCs w:val="21"/>
                <w:highlight w:val="none"/>
              </w:rPr>
            </w:pPr>
          </w:p>
        </w:tc>
        <w:tc>
          <w:tcPr>
            <w:tcW w:w="112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195525CB">
            <w:pPr>
              <w:spacing w:line="360" w:lineRule="exact"/>
              <w:jc w:val="center"/>
              <w:rPr>
                <w:rFonts w:ascii="宋体" w:hAnsi="宋体" w:cs="宋体"/>
                <w:color w:val="auto"/>
                <w:szCs w:val="21"/>
                <w:highlight w:val="none"/>
              </w:rPr>
            </w:pPr>
          </w:p>
        </w:tc>
        <w:tc>
          <w:tcPr>
            <w:tcW w:w="6578"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703D604B">
            <w:pPr>
              <w:spacing w:line="360" w:lineRule="exact"/>
              <w:rPr>
                <w:rFonts w:ascii="宋体" w:hAnsi="宋体" w:cs="宋体"/>
                <w:color w:val="auto"/>
                <w:szCs w:val="21"/>
                <w:highlight w:val="none"/>
              </w:rPr>
            </w:pPr>
            <w:r>
              <w:rPr>
                <w:rFonts w:hint="eastAsia" w:ascii="宋体" w:hAnsi="宋体" w:cs="宋体"/>
                <w:color w:val="auto"/>
                <w:szCs w:val="21"/>
                <w:highlight w:val="none"/>
              </w:rPr>
              <w:t>在目标数据库安装Agent解决云环境、虚拟化环境内部流量无法镜像场景下数据库的审计。</w:t>
            </w:r>
          </w:p>
        </w:tc>
      </w:tr>
      <w:tr w14:paraId="71185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46550B47">
            <w:pPr>
              <w:spacing w:line="360" w:lineRule="exact"/>
              <w:jc w:val="center"/>
              <w:rPr>
                <w:rFonts w:ascii="宋体" w:hAnsi="宋体" w:cs="宋体"/>
                <w:color w:val="auto"/>
                <w:szCs w:val="21"/>
                <w:highlight w:val="none"/>
              </w:rPr>
            </w:pPr>
          </w:p>
        </w:tc>
        <w:tc>
          <w:tcPr>
            <w:tcW w:w="112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6CBDCF69">
            <w:pPr>
              <w:spacing w:line="360" w:lineRule="exact"/>
              <w:jc w:val="center"/>
              <w:rPr>
                <w:rFonts w:ascii="宋体" w:hAnsi="宋体" w:cs="宋体"/>
                <w:color w:val="auto"/>
                <w:szCs w:val="21"/>
                <w:highlight w:val="none"/>
              </w:rPr>
            </w:pPr>
          </w:p>
        </w:tc>
        <w:tc>
          <w:tcPr>
            <w:tcW w:w="6578"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66D9C1C1">
            <w:pPr>
              <w:spacing w:line="360" w:lineRule="exact"/>
              <w:rPr>
                <w:rFonts w:ascii="宋体" w:hAnsi="宋体" w:cs="宋体"/>
                <w:color w:val="auto"/>
                <w:szCs w:val="21"/>
                <w:highlight w:val="none"/>
              </w:rPr>
            </w:pPr>
            <w:r>
              <w:rPr>
                <w:rFonts w:hint="eastAsia" w:ascii="宋体" w:hAnsi="宋体" w:cs="宋体"/>
                <w:color w:val="auto"/>
                <w:szCs w:val="21"/>
                <w:highlight w:val="none"/>
              </w:rPr>
              <w:t>支持分布式部署，管理中心可实现统一配置、统一报表生成、统一查询、一键批量升级所有节点。</w:t>
            </w:r>
          </w:p>
        </w:tc>
      </w:tr>
      <w:tr w14:paraId="72E26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301CA8D8">
            <w:pPr>
              <w:spacing w:line="360" w:lineRule="exact"/>
              <w:jc w:val="center"/>
              <w:rPr>
                <w:rFonts w:ascii="宋体" w:hAnsi="宋体" w:cs="宋体"/>
                <w:color w:val="auto"/>
                <w:szCs w:val="21"/>
                <w:highlight w:val="none"/>
              </w:rPr>
            </w:pPr>
          </w:p>
        </w:tc>
        <w:tc>
          <w:tcPr>
            <w:tcW w:w="1128" w:type="dxa"/>
            <w:vMerge w:val="restart"/>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73F6848B">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协议支持</w:t>
            </w:r>
          </w:p>
        </w:tc>
        <w:tc>
          <w:tcPr>
            <w:tcW w:w="6578"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1A1D6797">
            <w:pPr>
              <w:spacing w:line="360" w:lineRule="exact"/>
              <w:rPr>
                <w:rFonts w:ascii="宋体" w:hAnsi="宋体" w:cs="宋体"/>
                <w:color w:val="auto"/>
                <w:szCs w:val="21"/>
                <w:highlight w:val="none"/>
              </w:rPr>
            </w:pPr>
            <w:r>
              <w:rPr>
                <w:rFonts w:hint="eastAsia" w:ascii="宋体" w:hAnsi="宋体" w:cs="宋体"/>
                <w:color w:val="auto"/>
                <w:szCs w:val="21"/>
                <w:highlight w:val="none"/>
              </w:rPr>
              <w:t xml:space="preserve">支持Oracle（包括21C及其他版本）、PostgreSQL（14及其他版本）、SQL Server、DB2、Informix、Sybase、MySQL、MariaDB、Sybase IQ、Vertica、TiDB、PolarDB、PolarDB-X、HANA等主流数据库的审计。 </w:t>
            </w:r>
          </w:p>
        </w:tc>
      </w:tr>
      <w:tr w14:paraId="3A818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6DB6866F">
            <w:pPr>
              <w:spacing w:line="360" w:lineRule="exact"/>
              <w:jc w:val="center"/>
              <w:rPr>
                <w:rFonts w:ascii="宋体" w:hAnsi="宋体" w:cs="宋体"/>
                <w:color w:val="auto"/>
                <w:szCs w:val="21"/>
                <w:highlight w:val="none"/>
              </w:rPr>
            </w:pPr>
          </w:p>
        </w:tc>
        <w:tc>
          <w:tcPr>
            <w:tcW w:w="112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61B4A431">
            <w:pPr>
              <w:spacing w:line="360" w:lineRule="exact"/>
              <w:jc w:val="center"/>
              <w:rPr>
                <w:rFonts w:ascii="宋体" w:hAnsi="宋体" w:cs="宋体"/>
                <w:color w:val="auto"/>
                <w:szCs w:val="21"/>
                <w:highlight w:val="none"/>
              </w:rPr>
            </w:pPr>
          </w:p>
        </w:tc>
        <w:tc>
          <w:tcPr>
            <w:tcW w:w="6578"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50545A3B">
            <w:pPr>
              <w:spacing w:line="360" w:lineRule="exact"/>
              <w:rPr>
                <w:rFonts w:ascii="宋体" w:hAnsi="宋体" w:cs="宋体"/>
                <w:color w:val="auto"/>
                <w:szCs w:val="21"/>
                <w:highlight w:val="none"/>
              </w:rPr>
            </w:pPr>
            <w:r>
              <w:rPr>
                <w:rFonts w:hint="eastAsia" w:ascii="宋体" w:hAnsi="宋体" w:cs="宋体"/>
                <w:color w:val="auto"/>
                <w:szCs w:val="21"/>
                <w:highlight w:val="none"/>
              </w:rPr>
              <w:t>支持MongoDB、Hbase、Hive、impala、Elastic Search、HDFS、Cassandra、greenplum、LibrA、graphbase、cache、Redis、ArangoDB、Neo4j、OrientDB等数据库的审计。</w:t>
            </w:r>
          </w:p>
        </w:tc>
      </w:tr>
      <w:tr w14:paraId="52237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1D5331A0">
            <w:pPr>
              <w:spacing w:line="360" w:lineRule="exact"/>
              <w:jc w:val="center"/>
              <w:rPr>
                <w:rFonts w:ascii="宋体" w:hAnsi="宋体" w:cs="宋体"/>
                <w:color w:val="auto"/>
                <w:szCs w:val="21"/>
                <w:highlight w:val="none"/>
              </w:rPr>
            </w:pPr>
          </w:p>
        </w:tc>
        <w:tc>
          <w:tcPr>
            <w:tcW w:w="1128" w:type="dxa"/>
            <w:vMerge w:val="restart"/>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03B97294">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审计功能</w:t>
            </w:r>
          </w:p>
        </w:tc>
        <w:tc>
          <w:tcPr>
            <w:tcW w:w="6578"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656428CA">
            <w:pPr>
              <w:spacing w:line="360" w:lineRule="exact"/>
              <w:rPr>
                <w:rFonts w:ascii="宋体" w:hAnsi="宋体" w:cs="宋体"/>
                <w:color w:val="auto"/>
                <w:szCs w:val="21"/>
                <w:highlight w:val="none"/>
              </w:rPr>
            </w:pPr>
            <w:r>
              <w:rPr>
                <w:rFonts w:hint="eastAsia" w:ascii="宋体" w:hAnsi="宋体" w:cs="宋体"/>
                <w:color w:val="auto"/>
                <w:szCs w:val="21"/>
                <w:highlight w:val="none"/>
              </w:rPr>
              <w:t>支持数据库操作表、视图、索引、存储过程等各种对象的所有SQL操作审计。</w:t>
            </w:r>
          </w:p>
        </w:tc>
      </w:tr>
      <w:tr w14:paraId="1339D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59D34B91">
            <w:pPr>
              <w:spacing w:line="360" w:lineRule="exact"/>
              <w:jc w:val="center"/>
              <w:rPr>
                <w:rFonts w:ascii="宋体" w:hAnsi="宋体" w:cs="宋体"/>
                <w:color w:val="auto"/>
                <w:szCs w:val="21"/>
                <w:highlight w:val="none"/>
              </w:rPr>
            </w:pPr>
          </w:p>
        </w:tc>
        <w:tc>
          <w:tcPr>
            <w:tcW w:w="112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51158F40">
            <w:pPr>
              <w:spacing w:line="360" w:lineRule="exact"/>
              <w:jc w:val="center"/>
              <w:rPr>
                <w:rFonts w:ascii="宋体" w:hAnsi="宋体" w:cs="宋体"/>
                <w:color w:val="auto"/>
                <w:szCs w:val="21"/>
                <w:highlight w:val="none"/>
              </w:rPr>
            </w:pPr>
          </w:p>
        </w:tc>
        <w:tc>
          <w:tcPr>
            <w:tcW w:w="6578"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353BF3B5">
            <w:pPr>
              <w:spacing w:line="360" w:lineRule="exact"/>
              <w:rPr>
                <w:rFonts w:ascii="宋体" w:hAnsi="宋体" w:cs="宋体"/>
                <w:color w:val="auto"/>
                <w:szCs w:val="21"/>
                <w:highlight w:val="none"/>
              </w:rPr>
            </w:pPr>
            <w:r>
              <w:rPr>
                <w:rFonts w:hint="eastAsia" w:ascii="宋体" w:hAnsi="宋体" w:cs="宋体"/>
                <w:color w:val="auto"/>
                <w:szCs w:val="21"/>
                <w:highlight w:val="none"/>
              </w:rPr>
              <w:t>审计信息能够记录执行时长，影响行数、执行结果描述与返回结果集,提供功能截图。</w:t>
            </w:r>
          </w:p>
        </w:tc>
      </w:tr>
      <w:tr w14:paraId="6F719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4FBE1EB9">
            <w:pPr>
              <w:spacing w:line="360" w:lineRule="exact"/>
              <w:jc w:val="center"/>
              <w:rPr>
                <w:rFonts w:ascii="宋体" w:hAnsi="宋体" w:cs="宋体"/>
                <w:color w:val="auto"/>
                <w:szCs w:val="21"/>
                <w:highlight w:val="none"/>
              </w:rPr>
            </w:pPr>
          </w:p>
        </w:tc>
        <w:tc>
          <w:tcPr>
            <w:tcW w:w="112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12C29A07">
            <w:pPr>
              <w:spacing w:line="360" w:lineRule="exact"/>
              <w:jc w:val="center"/>
              <w:rPr>
                <w:rFonts w:ascii="宋体" w:hAnsi="宋体" w:cs="宋体"/>
                <w:color w:val="auto"/>
                <w:szCs w:val="21"/>
                <w:highlight w:val="none"/>
              </w:rPr>
            </w:pPr>
          </w:p>
        </w:tc>
        <w:tc>
          <w:tcPr>
            <w:tcW w:w="6578"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40BE1A6A">
            <w:pPr>
              <w:pStyle w:val="8"/>
              <w:rPr>
                <w:rFonts w:ascii="宋体" w:hAnsi="宋体" w:cs="宋体"/>
                <w:b/>
                <w:color w:val="auto"/>
                <w:szCs w:val="21"/>
                <w:highlight w:val="none"/>
              </w:rPr>
            </w:pPr>
            <w:r>
              <w:rPr>
                <w:rFonts w:hint="eastAsia" w:ascii="宋体" w:hAnsi="宋体" w:cs="宋体"/>
                <w:b/>
                <w:color w:val="auto"/>
                <w:szCs w:val="21"/>
                <w:highlight w:val="none"/>
              </w:rPr>
              <w:t>支持数据库请求和返回的双向审计，特别是返回字段和结果集、执行状态、返回行数、执行时长、客户端工具、主机名等内容，支持通过返回行数控制返回结果集大小。（提供截图证明）</w:t>
            </w:r>
          </w:p>
        </w:tc>
      </w:tr>
      <w:tr w14:paraId="71945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4A74AA21">
            <w:pPr>
              <w:spacing w:line="360" w:lineRule="exact"/>
              <w:jc w:val="center"/>
              <w:rPr>
                <w:rFonts w:ascii="宋体" w:hAnsi="宋体" w:cs="宋体"/>
                <w:color w:val="auto"/>
                <w:szCs w:val="21"/>
                <w:highlight w:val="none"/>
              </w:rPr>
            </w:pPr>
          </w:p>
        </w:tc>
        <w:tc>
          <w:tcPr>
            <w:tcW w:w="112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61486B38">
            <w:pPr>
              <w:spacing w:line="360" w:lineRule="exact"/>
              <w:jc w:val="center"/>
              <w:rPr>
                <w:rFonts w:ascii="宋体" w:hAnsi="宋体" w:cs="宋体"/>
                <w:color w:val="auto"/>
                <w:szCs w:val="21"/>
                <w:highlight w:val="none"/>
              </w:rPr>
            </w:pPr>
          </w:p>
        </w:tc>
        <w:tc>
          <w:tcPr>
            <w:tcW w:w="6578"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5319E302">
            <w:pPr>
              <w:spacing w:line="360" w:lineRule="exact"/>
              <w:rPr>
                <w:rFonts w:ascii="宋体" w:hAnsi="宋体" w:cs="宋体"/>
                <w:color w:val="auto"/>
                <w:szCs w:val="21"/>
                <w:highlight w:val="none"/>
              </w:rPr>
            </w:pPr>
            <w:r>
              <w:rPr>
                <w:rFonts w:hint="eastAsia" w:ascii="宋体" w:hAnsi="宋体" w:cs="宋体"/>
                <w:color w:val="auto"/>
                <w:szCs w:val="21"/>
                <w:highlight w:val="none"/>
              </w:rPr>
              <w:t>支持超长SQL语句（最长4M）审计。</w:t>
            </w:r>
          </w:p>
        </w:tc>
      </w:tr>
      <w:tr w14:paraId="0C07B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4B63441C">
            <w:pPr>
              <w:spacing w:line="360" w:lineRule="exact"/>
              <w:jc w:val="center"/>
              <w:rPr>
                <w:rFonts w:ascii="宋体" w:hAnsi="宋体" w:cs="宋体"/>
                <w:color w:val="auto"/>
                <w:szCs w:val="21"/>
                <w:highlight w:val="none"/>
              </w:rPr>
            </w:pPr>
          </w:p>
        </w:tc>
        <w:tc>
          <w:tcPr>
            <w:tcW w:w="1128"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60413A9F">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智能发现</w:t>
            </w:r>
          </w:p>
        </w:tc>
        <w:tc>
          <w:tcPr>
            <w:tcW w:w="6578"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42A5D973">
            <w:pPr>
              <w:spacing w:line="360" w:lineRule="exact"/>
              <w:rPr>
                <w:rFonts w:ascii="宋体" w:hAnsi="宋体" w:cs="宋体"/>
                <w:color w:val="auto"/>
                <w:szCs w:val="21"/>
                <w:highlight w:val="none"/>
              </w:rPr>
            </w:pPr>
            <w:r>
              <w:rPr>
                <w:rFonts w:hint="eastAsia" w:ascii="宋体" w:hAnsi="宋体" w:cs="宋体"/>
                <w:color w:val="auto"/>
                <w:szCs w:val="21"/>
                <w:highlight w:val="none"/>
              </w:rPr>
              <w:t>支持自动发现流量中的数据库信息，简化配置。</w:t>
            </w:r>
          </w:p>
        </w:tc>
      </w:tr>
      <w:tr w14:paraId="39C43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7AB3810E">
            <w:pPr>
              <w:spacing w:line="360" w:lineRule="exact"/>
              <w:jc w:val="center"/>
              <w:rPr>
                <w:rFonts w:ascii="宋体" w:hAnsi="宋体" w:cs="宋体"/>
                <w:color w:val="auto"/>
                <w:szCs w:val="21"/>
                <w:highlight w:val="none"/>
              </w:rPr>
            </w:pPr>
          </w:p>
        </w:tc>
        <w:tc>
          <w:tcPr>
            <w:tcW w:w="1128" w:type="dxa"/>
            <w:vMerge w:val="restart"/>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1E508A60">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安全审计</w:t>
            </w:r>
          </w:p>
        </w:tc>
        <w:tc>
          <w:tcPr>
            <w:tcW w:w="6578"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2B6DA25A">
            <w:pPr>
              <w:spacing w:line="360" w:lineRule="exact"/>
              <w:rPr>
                <w:rFonts w:ascii="宋体" w:hAnsi="宋体" w:cs="宋体"/>
                <w:color w:val="auto"/>
                <w:szCs w:val="21"/>
                <w:highlight w:val="none"/>
              </w:rPr>
            </w:pPr>
            <w:r>
              <w:rPr>
                <w:rFonts w:hint="eastAsia" w:ascii="宋体" w:hAnsi="宋体" w:cs="宋体"/>
                <w:color w:val="auto"/>
                <w:szCs w:val="21"/>
                <w:highlight w:val="none"/>
              </w:rPr>
              <w:t xml:space="preserve">支持审计记录中敏感数据的模糊化处理，内置常见敏感数据掩码规则，支持自定义。 </w:t>
            </w:r>
          </w:p>
        </w:tc>
      </w:tr>
      <w:tr w14:paraId="72F0D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1907DB7B">
            <w:pPr>
              <w:spacing w:line="360" w:lineRule="exact"/>
              <w:jc w:val="center"/>
              <w:rPr>
                <w:rFonts w:ascii="宋体" w:hAnsi="宋体" w:cs="宋体"/>
                <w:color w:val="auto"/>
                <w:szCs w:val="21"/>
                <w:highlight w:val="none"/>
              </w:rPr>
            </w:pPr>
          </w:p>
        </w:tc>
        <w:tc>
          <w:tcPr>
            <w:tcW w:w="112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7F06D002">
            <w:pPr>
              <w:spacing w:line="360" w:lineRule="exact"/>
              <w:jc w:val="center"/>
              <w:rPr>
                <w:rFonts w:ascii="宋体" w:hAnsi="宋体" w:cs="宋体"/>
                <w:color w:val="auto"/>
                <w:szCs w:val="21"/>
                <w:highlight w:val="none"/>
              </w:rPr>
            </w:pPr>
          </w:p>
        </w:tc>
        <w:tc>
          <w:tcPr>
            <w:tcW w:w="6578"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77D19196">
            <w:pPr>
              <w:spacing w:line="360" w:lineRule="exact"/>
              <w:rPr>
                <w:rFonts w:ascii="宋体" w:hAnsi="宋体" w:cs="宋体"/>
                <w:color w:val="auto"/>
                <w:szCs w:val="21"/>
                <w:highlight w:val="none"/>
              </w:rPr>
            </w:pPr>
            <w:r>
              <w:rPr>
                <w:rFonts w:hint="eastAsia" w:ascii="宋体" w:hAnsi="宋体" w:cs="宋体"/>
                <w:color w:val="auto"/>
                <w:szCs w:val="21"/>
                <w:highlight w:val="none"/>
              </w:rPr>
              <w:t>产品具有内置规则，规则类型有SQL注入、账号安全、数据泄露和违规操作等，并可依据规则进行邮件告警。</w:t>
            </w:r>
          </w:p>
        </w:tc>
      </w:tr>
      <w:tr w14:paraId="638B7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53726396">
            <w:pPr>
              <w:spacing w:line="360" w:lineRule="exact"/>
              <w:jc w:val="center"/>
              <w:rPr>
                <w:rFonts w:ascii="宋体" w:hAnsi="宋体" w:cs="宋体"/>
                <w:color w:val="auto"/>
                <w:szCs w:val="21"/>
                <w:highlight w:val="none"/>
              </w:rPr>
            </w:pPr>
          </w:p>
        </w:tc>
        <w:tc>
          <w:tcPr>
            <w:tcW w:w="112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1414AFF0">
            <w:pPr>
              <w:spacing w:line="360" w:lineRule="exact"/>
              <w:jc w:val="center"/>
              <w:rPr>
                <w:rFonts w:ascii="宋体" w:hAnsi="宋体" w:cs="宋体"/>
                <w:color w:val="auto"/>
                <w:szCs w:val="21"/>
                <w:highlight w:val="none"/>
              </w:rPr>
            </w:pPr>
          </w:p>
        </w:tc>
        <w:tc>
          <w:tcPr>
            <w:tcW w:w="6578"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561B0885">
            <w:pPr>
              <w:spacing w:line="360" w:lineRule="exact"/>
              <w:rPr>
                <w:rFonts w:ascii="宋体" w:hAnsi="宋体" w:cs="宋体"/>
                <w:color w:val="auto"/>
                <w:szCs w:val="21"/>
                <w:highlight w:val="none"/>
              </w:rPr>
            </w:pPr>
            <w:r>
              <w:rPr>
                <w:rFonts w:hint="eastAsia" w:ascii="宋体" w:hAnsi="宋体" w:cs="宋体"/>
                <w:color w:val="auto"/>
                <w:szCs w:val="21"/>
                <w:highlight w:val="none"/>
              </w:rPr>
              <w:t>支持信任规则，信任规则至少支持18个匹配条件。</w:t>
            </w:r>
          </w:p>
        </w:tc>
      </w:tr>
      <w:tr w14:paraId="781A4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33A06BA5">
            <w:pPr>
              <w:spacing w:line="360" w:lineRule="exact"/>
              <w:jc w:val="center"/>
              <w:rPr>
                <w:rFonts w:ascii="宋体" w:hAnsi="宋体" w:cs="宋体"/>
                <w:color w:val="auto"/>
                <w:szCs w:val="21"/>
                <w:highlight w:val="none"/>
              </w:rPr>
            </w:pPr>
          </w:p>
        </w:tc>
        <w:tc>
          <w:tcPr>
            <w:tcW w:w="1128" w:type="dxa"/>
            <w:vMerge w:val="restart"/>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08FCD8CF">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统计报表</w:t>
            </w:r>
          </w:p>
        </w:tc>
        <w:tc>
          <w:tcPr>
            <w:tcW w:w="6578"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5CFFF072">
            <w:pPr>
              <w:spacing w:line="360" w:lineRule="exact"/>
              <w:rPr>
                <w:rFonts w:ascii="宋体" w:hAnsi="宋体" w:cs="宋体"/>
                <w:color w:val="auto"/>
                <w:szCs w:val="21"/>
                <w:highlight w:val="none"/>
              </w:rPr>
            </w:pPr>
            <w:r>
              <w:rPr>
                <w:rFonts w:hint="eastAsia" w:ascii="宋体" w:hAnsi="宋体" w:cs="宋体"/>
                <w:color w:val="auto"/>
                <w:szCs w:val="21"/>
                <w:highlight w:val="none"/>
              </w:rPr>
              <w:t>系统内置多种报表模板库，报表不少于20种。</w:t>
            </w:r>
          </w:p>
        </w:tc>
      </w:tr>
      <w:tr w14:paraId="09F07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5F0438FF">
            <w:pPr>
              <w:spacing w:line="360" w:lineRule="exact"/>
              <w:jc w:val="center"/>
              <w:rPr>
                <w:rFonts w:ascii="宋体" w:hAnsi="宋体" w:cs="宋体"/>
                <w:color w:val="auto"/>
                <w:szCs w:val="21"/>
                <w:highlight w:val="none"/>
              </w:rPr>
            </w:pPr>
          </w:p>
        </w:tc>
        <w:tc>
          <w:tcPr>
            <w:tcW w:w="112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0D5C36C2">
            <w:pPr>
              <w:spacing w:line="360" w:lineRule="exact"/>
              <w:jc w:val="center"/>
              <w:rPr>
                <w:rFonts w:ascii="宋体" w:hAnsi="宋体" w:cs="宋体"/>
                <w:color w:val="auto"/>
                <w:szCs w:val="21"/>
                <w:highlight w:val="none"/>
              </w:rPr>
            </w:pPr>
          </w:p>
        </w:tc>
        <w:tc>
          <w:tcPr>
            <w:tcW w:w="6578"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27541A36">
            <w:pPr>
              <w:spacing w:line="360" w:lineRule="exact"/>
              <w:rPr>
                <w:rFonts w:ascii="宋体" w:hAnsi="宋体" w:cs="宋体"/>
                <w:color w:val="auto"/>
                <w:szCs w:val="21"/>
                <w:highlight w:val="none"/>
              </w:rPr>
            </w:pPr>
            <w:r>
              <w:rPr>
                <w:rFonts w:hint="eastAsia" w:ascii="宋体" w:hAnsi="宋体" w:cs="宋体"/>
                <w:color w:val="auto"/>
                <w:szCs w:val="21"/>
                <w:highlight w:val="none"/>
              </w:rPr>
              <w:t xml:space="preserve">报表支持严格按照塞班斯（SOX）法案、等级保护标准要求生成多维度综合报告。 </w:t>
            </w:r>
          </w:p>
        </w:tc>
      </w:tr>
      <w:tr w14:paraId="41579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5B299F96">
            <w:pPr>
              <w:spacing w:line="360" w:lineRule="exact"/>
              <w:jc w:val="center"/>
              <w:rPr>
                <w:rFonts w:ascii="宋体" w:hAnsi="宋体" w:cs="宋体"/>
                <w:color w:val="auto"/>
                <w:szCs w:val="21"/>
                <w:highlight w:val="none"/>
              </w:rPr>
            </w:pPr>
          </w:p>
        </w:tc>
        <w:tc>
          <w:tcPr>
            <w:tcW w:w="112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4B8F3337">
            <w:pPr>
              <w:spacing w:line="360" w:lineRule="exact"/>
              <w:jc w:val="center"/>
              <w:rPr>
                <w:rFonts w:ascii="宋体" w:hAnsi="宋体" w:cs="宋体"/>
                <w:color w:val="auto"/>
                <w:szCs w:val="21"/>
                <w:highlight w:val="none"/>
              </w:rPr>
            </w:pPr>
          </w:p>
        </w:tc>
        <w:tc>
          <w:tcPr>
            <w:tcW w:w="6578"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00BF1507">
            <w:pPr>
              <w:spacing w:line="360" w:lineRule="exact"/>
              <w:rPr>
                <w:rFonts w:ascii="宋体" w:hAnsi="宋体" w:cs="宋体"/>
                <w:color w:val="auto"/>
                <w:szCs w:val="21"/>
                <w:highlight w:val="none"/>
              </w:rPr>
            </w:pPr>
            <w:r>
              <w:rPr>
                <w:rFonts w:hint="eastAsia" w:ascii="宋体" w:hAnsi="宋体" w:cs="宋体"/>
                <w:color w:val="auto"/>
                <w:szCs w:val="21"/>
                <w:highlight w:val="none"/>
              </w:rPr>
              <w:t xml:space="preserve">支持HTML、PDF、PNG、Word、csv、xls等格式的报表导出。 </w:t>
            </w:r>
          </w:p>
        </w:tc>
      </w:tr>
      <w:tr w14:paraId="407BB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3A9D5436">
            <w:pPr>
              <w:spacing w:line="360" w:lineRule="exact"/>
              <w:jc w:val="center"/>
              <w:rPr>
                <w:rFonts w:ascii="宋体" w:hAnsi="宋体" w:cs="宋体"/>
                <w:color w:val="auto"/>
                <w:szCs w:val="21"/>
                <w:highlight w:val="none"/>
              </w:rPr>
            </w:pPr>
          </w:p>
        </w:tc>
        <w:tc>
          <w:tcPr>
            <w:tcW w:w="1128"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56DD359B">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模型分析</w:t>
            </w:r>
          </w:p>
        </w:tc>
        <w:tc>
          <w:tcPr>
            <w:tcW w:w="6578"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37B3B94F">
            <w:pPr>
              <w:spacing w:line="360" w:lineRule="exact"/>
              <w:rPr>
                <w:rFonts w:ascii="宋体" w:hAnsi="宋体" w:cs="宋体"/>
                <w:color w:val="auto"/>
                <w:szCs w:val="21"/>
                <w:highlight w:val="none"/>
              </w:rPr>
            </w:pPr>
            <w:r>
              <w:rPr>
                <w:rFonts w:hint="eastAsia" w:ascii="宋体" w:hAnsi="宋体" w:cs="宋体"/>
                <w:color w:val="auto"/>
                <w:szCs w:val="21"/>
                <w:highlight w:val="none"/>
              </w:rPr>
              <w:t>可依据客户端工具名、数据库用户名、客户端IP、操作系统用户名、客户端主机名、数据库名、操作类型、服务器IP等配置行为模型，并可查看相应告警日志。</w:t>
            </w:r>
          </w:p>
        </w:tc>
      </w:tr>
      <w:tr w14:paraId="19D64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38E351B1">
            <w:pPr>
              <w:spacing w:line="360" w:lineRule="exact"/>
              <w:jc w:val="center"/>
              <w:rPr>
                <w:rFonts w:ascii="宋体" w:hAnsi="宋体" w:cs="宋体"/>
                <w:color w:val="auto"/>
                <w:szCs w:val="21"/>
                <w:highlight w:val="none"/>
              </w:rPr>
            </w:pPr>
          </w:p>
        </w:tc>
        <w:tc>
          <w:tcPr>
            <w:tcW w:w="1128" w:type="dxa"/>
            <w:vMerge w:val="restart"/>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0E438261">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Agent管理</w:t>
            </w:r>
          </w:p>
        </w:tc>
        <w:tc>
          <w:tcPr>
            <w:tcW w:w="6578"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632E70C2">
            <w:pPr>
              <w:spacing w:line="360" w:lineRule="exact"/>
              <w:rPr>
                <w:rFonts w:ascii="宋体" w:hAnsi="宋体" w:cs="宋体"/>
                <w:color w:val="auto"/>
                <w:szCs w:val="21"/>
                <w:highlight w:val="none"/>
              </w:rPr>
            </w:pPr>
            <w:r>
              <w:rPr>
                <w:rFonts w:hint="eastAsia" w:ascii="宋体" w:hAnsi="宋体" w:cs="宋体"/>
                <w:color w:val="auto"/>
                <w:szCs w:val="21"/>
                <w:highlight w:val="none"/>
              </w:rPr>
              <w:t xml:space="preserve">支持在审计管理端批量安装、卸载、重新安装审计代理。 </w:t>
            </w:r>
          </w:p>
        </w:tc>
      </w:tr>
      <w:tr w14:paraId="103C3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0239FCF1">
            <w:pPr>
              <w:spacing w:line="360" w:lineRule="exact"/>
              <w:jc w:val="center"/>
              <w:rPr>
                <w:rFonts w:ascii="宋体" w:hAnsi="宋体" w:cs="宋体"/>
                <w:color w:val="auto"/>
                <w:szCs w:val="21"/>
                <w:highlight w:val="none"/>
              </w:rPr>
            </w:pPr>
          </w:p>
        </w:tc>
        <w:tc>
          <w:tcPr>
            <w:tcW w:w="112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6B77A61F">
            <w:pPr>
              <w:spacing w:line="360" w:lineRule="exact"/>
              <w:jc w:val="center"/>
              <w:rPr>
                <w:rFonts w:ascii="宋体" w:hAnsi="宋体" w:cs="宋体"/>
                <w:color w:val="auto"/>
                <w:szCs w:val="21"/>
                <w:highlight w:val="none"/>
              </w:rPr>
            </w:pPr>
          </w:p>
        </w:tc>
        <w:tc>
          <w:tcPr>
            <w:tcW w:w="6578"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57DF5EF9">
            <w:pPr>
              <w:spacing w:line="360" w:lineRule="exact"/>
              <w:rPr>
                <w:rFonts w:ascii="宋体" w:hAnsi="宋体" w:cs="宋体"/>
                <w:color w:val="auto"/>
                <w:szCs w:val="21"/>
                <w:highlight w:val="none"/>
              </w:rPr>
            </w:pPr>
            <w:r>
              <w:rPr>
                <w:rFonts w:hint="eastAsia" w:ascii="宋体" w:hAnsi="宋体" w:cs="宋体"/>
                <w:color w:val="auto"/>
                <w:szCs w:val="21"/>
                <w:highlight w:val="none"/>
              </w:rPr>
              <w:t xml:space="preserve">支持在审计页面直接升级或回退已安装在数据库服务器上的Agent，且升级或回退不需要输入数据库服务器的账号、密码。 </w:t>
            </w:r>
          </w:p>
        </w:tc>
      </w:tr>
      <w:tr w14:paraId="0AA9C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5566A867">
            <w:pPr>
              <w:spacing w:line="360" w:lineRule="exact"/>
              <w:jc w:val="center"/>
              <w:rPr>
                <w:rFonts w:ascii="宋体" w:hAnsi="宋体" w:cs="宋体"/>
                <w:color w:val="auto"/>
                <w:szCs w:val="21"/>
                <w:highlight w:val="none"/>
              </w:rPr>
            </w:pPr>
          </w:p>
        </w:tc>
        <w:tc>
          <w:tcPr>
            <w:tcW w:w="112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73931529">
            <w:pPr>
              <w:spacing w:line="360" w:lineRule="exact"/>
              <w:jc w:val="center"/>
              <w:rPr>
                <w:rFonts w:ascii="宋体" w:hAnsi="宋体" w:cs="宋体"/>
                <w:color w:val="auto"/>
                <w:szCs w:val="21"/>
                <w:highlight w:val="none"/>
              </w:rPr>
            </w:pPr>
          </w:p>
        </w:tc>
        <w:tc>
          <w:tcPr>
            <w:tcW w:w="6578"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4B911FAA">
            <w:pPr>
              <w:spacing w:line="360" w:lineRule="exact"/>
              <w:rPr>
                <w:rFonts w:ascii="宋体" w:hAnsi="宋体" w:cs="宋体"/>
                <w:color w:val="auto"/>
                <w:szCs w:val="21"/>
                <w:highlight w:val="none"/>
              </w:rPr>
            </w:pPr>
            <w:r>
              <w:rPr>
                <w:rFonts w:hint="eastAsia" w:ascii="宋体" w:hAnsi="宋体" w:cs="宋体"/>
                <w:color w:val="auto"/>
                <w:szCs w:val="21"/>
                <w:highlight w:val="none"/>
              </w:rPr>
              <w:t>可监控Agent的转发速率，以及Agent所在数据库服务器的CPU、内存利用率，并可设置CPU、内存利用率的上线阈值，超阈值时Agent将自动停止转发数据。</w:t>
            </w:r>
          </w:p>
        </w:tc>
      </w:tr>
      <w:tr w14:paraId="6BB65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1047AF8D">
            <w:pPr>
              <w:spacing w:line="360" w:lineRule="exact"/>
              <w:jc w:val="center"/>
              <w:rPr>
                <w:rFonts w:ascii="宋体" w:hAnsi="宋体" w:cs="宋体"/>
                <w:color w:val="auto"/>
                <w:szCs w:val="21"/>
                <w:highlight w:val="none"/>
              </w:rPr>
            </w:pPr>
          </w:p>
        </w:tc>
        <w:tc>
          <w:tcPr>
            <w:tcW w:w="1128"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7057DE86">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三层关联</w:t>
            </w:r>
          </w:p>
        </w:tc>
        <w:tc>
          <w:tcPr>
            <w:tcW w:w="6578"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52D44497">
            <w:pPr>
              <w:spacing w:line="360" w:lineRule="exact"/>
              <w:rPr>
                <w:rFonts w:ascii="宋体" w:hAnsi="宋体" w:cs="宋体"/>
                <w:color w:val="auto"/>
                <w:szCs w:val="21"/>
                <w:highlight w:val="none"/>
              </w:rPr>
            </w:pPr>
            <w:r>
              <w:rPr>
                <w:rFonts w:hint="eastAsia" w:ascii="宋体" w:hAnsi="宋体" w:cs="宋体"/>
                <w:color w:val="auto"/>
                <w:szCs w:val="21"/>
                <w:highlight w:val="none"/>
              </w:rPr>
              <w:t>可提供客户端访问Web服务器的URL和应用服务器访问数据库的SQL语句关联功能。</w:t>
            </w:r>
          </w:p>
        </w:tc>
      </w:tr>
    </w:tbl>
    <w:p w14:paraId="51594EB6">
      <w:pPr>
        <w:keepNext/>
        <w:keepLines/>
        <w:spacing w:line="360" w:lineRule="auto"/>
        <w:outlineLvl w:val="0"/>
        <w:rPr>
          <w:rFonts w:ascii="宋体" w:hAnsi="宋体" w:cs="宋体"/>
          <w:b/>
          <w:color w:val="auto"/>
          <w:szCs w:val="21"/>
          <w:highlight w:val="none"/>
        </w:rPr>
      </w:pPr>
      <w:r>
        <w:rPr>
          <w:rFonts w:hint="eastAsia" w:ascii="宋体" w:hAnsi="宋体" w:cs="宋体"/>
          <w:b/>
          <w:color w:val="auto"/>
          <w:szCs w:val="21"/>
          <w:highlight w:val="none"/>
        </w:rPr>
        <w:t>11．威胁情报分析服务</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6"/>
        <w:gridCol w:w="6960"/>
      </w:tblGrid>
      <w:tr w14:paraId="66EFE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6" w:type="dxa"/>
            <w:tcBorders>
              <w:top w:val="single" w:color="auto" w:sz="4" w:space="0"/>
              <w:left w:val="single" w:color="auto" w:sz="4" w:space="0"/>
              <w:bottom w:val="single" w:color="auto" w:sz="4" w:space="0"/>
              <w:right w:val="single" w:color="auto" w:sz="4" w:space="0"/>
            </w:tcBorders>
            <w:shd w:val="clear" w:color="auto" w:fill="auto"/>
            <w:vAlign w:val="center"/>
          </w:tcPr>
          <w:p w14:paraId="11BD4E14">
            <w:pPr>
              <w:spacing w:line="360" w:lineRule="exact"/>
              <w:jc w:val="center"/>
              <w:rPr>
                <w:rFonts w:ascii="宋体" w:hAnsi="宋体" w:cs="宋体"/>
                <w:b/>
                <w:color w:val="auto"/>
                <w:kern w:val="0"/>
                <w:szCs w:val="21"/>
                <w:highlight w:val="none"/>
              </w:rPr>
            </w:pPr>
            <w:r>
              <w:rPr>
                <w:rFonts w:hint="eastAsia" w:ascii="宋体" w:hAnsi="宋体" w:cs="宋体"/>
                <w:b/>
                <w:bCs/>
                <w:color w:val="auto"/>
                <w:szCs w:val="21"/>
                <w:highlight w:val="none"/>
              </w:rPr>
              <w:t>技术指标</w:t>
            </w:r>
          </w:p>
        </w:tc>
        <w:tc>
          <w:tcPr>
            <w:tcW w:w="6960" w:type="dxa"/>
            <w:tcBorders>
              <w:top w:val="single" w:color="auto" w:sz="4" w:space="0"/>
              <w:left w:val="single" w:color="auto" w:sz="4" w:space="0"/>
              <w:bottom w:val="single" w:color="auto" w:sz="4" w:space="0"/>
              <w:right w:val="single" w:color="auto" w:sz="4" w:space="0"/>
            </w:tcBorders>
            <w:shd w:val="clear" w:color="auto" w:fill="auto"/>
            <w:vAlign w:val="center"/>
          </w:tcPr>
          <w:p w14:paraId="69EFA05D">
            <w:pPr>
              <w:spacing w:line="360" w:lineRule="exact"/>
              <w:jc w:val="center"/>
              <w:rPr>
                <w:rFonts w:ascii="宋体" w:hAnsi="宋体" w:cs="宋体"/>
                <w:b/>
                <w:color w:val="auto"/>
                <w:kern w:val="0"/>
                <w:szCs w:val="21"/>
                <w:highlight w:val="none"/>
              </w:rPr>
            </w:pPr>
            <w:r>
              <w:rPr>
                <w:rFonts w:hint="eastAsia" w:ascii="宋体" w:hAnsi="宋体" w:cs="宋体"/>
                <w:b/>
                <w:bCs/>
                <w:color w:val="auto"/>
                <w:szCs w:val="21"/>
                <w:highlight w:val="none"/>
              </w:rPr>
              <w:t>技术要求</w:t>
            </w:r>
          </w:p>
        </w:tc>
      </w:tr>
      <w:tr w14:paraId="71F0B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6" w:type="dxa"/>
            <w:tcBorders>
              <w:top w:val="single" w:color="auto" w:sz="4" w:space="0"/>
              <w:left w:val="single" w:color="auto" w:sz="4" w:space="0"/>
              <w:bottom w:val="single" w:color="auto" w:sz="4" w:space="0"/>
              <w:right w:val="single" w:color="auto" w:sz="4" w:space="0"/>
            </w:tcBorders>
            <w:shd w:val="clear" w:color="auto" w:fill="auto"/>
            <w:vAlign w:val="center"/>
          </w:tcPr>
          <w:p w14:paraId="53283A61">
            <w:pPr>
              <w:widowControl/>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服务工具基本要求</w:t>
            </w:r>
          </w:p>
        </w:tc>
        <w:tc>
          <w:tcPr>
            <w:tcW w:w="6960" w:type="dxa"/>
            <w:tcBorders>
              <w:top w:val="single" w:color="auto" w:sz="4" w:space="0"/>
              <w:left w:val="single" w:color="auto" w:sz="4" w:space="0"/>
              <w:bottom w:val="single" w:color="auto" w:sz="4" w:space="0"/>
              <w:right w:val="single" w:color="auto" w:sz="4" w:space="0"/>
            </w:tcBorders>
            <w:shd w:val="clear" w:color="auto" w:fill="auto"/>
            <w:vAlign w:val="center"/>
          </w:tcPr>
          <w:p w14:paraId="4FC1C772">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≥4*GE管理电口；3*USB3.0接口；1*DB9 Console接口；冗余电源；内存≥128G；≥960G SSD + ≥8*4TB SATA 存储硬盘。</w:t>
            </w:r>
          </w:p>
        </w:tc>
      </w:tr>
      <w:tr w14:paraId="07046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6" w:type="dxa"/>
            <w:tcBorders>
              <w:top w:val="single" w:color="auto" w:sz="4" w:space="0"/>
              <w:left w:val="single" w:color="auto" w:sz="4" w:space="0"/>
              <w:bottom w:val="single" w:color="auto" w:sz="4" w:space="0"/>
              <w:right w:val="single" w:color="auto" w:sz="4" w:space="0"/>
            </w:tcBorders>
            <w:shd w:val="clear" w:color="auto" w:fill="auto"/>
            <w:vAlign w:val="center"/>
          </w:tcPr>
          <w:p w14:paraId="45D250FF">
            <w:pPr>
              <w:widowControl/>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日志存储</w:t>
            </w:r>
          </w:p>
        </w:tc>
        <w:tc>
          <w:tcPr>
            <w:tcW w:w="6960" w:type="dxa"/>
            <w:tcBorders>
              <w:top w:val="single" w:color="auto" w:sz="4" w:space="0"/>
              <w:left w:val="single" w:color="auto" w:sz="4" w:space="0"/>
              <w:bottom w:val="single" w:color="auto" w:sz="4" w:space="0"/>
              <w:right w:val="single" w:color="auto" w:sz="4" w:space="0"/>
            </w:tcBorders>
            <w:shd w:val="clear" w:color="auto" w:fill="auto"/>
            <w:vAlign w:val="center"/>
          </w:tcPr>
          <w:p w14:paraId="166303F0">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须满足网络安全法要求，满足用户方的6个月日志存储,需具备高性能的Syslog日志处理和存储方法的技术。</w:t>
            </w:r>
          </w:p>
        </w:tc>
      </w:tr>
      <w:tr w14:paraId="18C93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83DE514">
            <w:pPr>
              <w:widowControl/>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威胁感知</w:t>
            </w:r>
          </w:p>
        </w:tc>
        <w:tc>
          <w:tcPr>
            <w:tcW w:w="6960" w:type="dxa"/>
            <w:tcBorders>
              <w:top w:val="single" w:color="auto" w:sz="4" w:space="0"/>
              <w:left w:val="single" w:color="auto" w:sz="4" w:space="0"/>
              <w:bottom w:val="single" w:color="auto" w:sz="4" w:space="0"/>
              <w:right w:val="single" w:color="auto" w:sz="4" w:space="0"/>
            </w:tcBorders>
            <w:shd w:val="clear" w:color="auto" w:fill="auto"/>
            <w:vAlign w:val="center"/>
          </w:tcPr>
          <w:p w14:paraId="241FA189">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支持与云端安全运营中心联动。设备能连接互联网时，安全专家在云端分析并撰写威胁分析报告下发到设备上共用户查阅；设备离线时，可将关键数据离线导出上传到云端安全运营中心，安全专家进行分析撰写威胁分析报告。</w:t>
            </w:r>
          </w:p>
        </w:tc>
      </w:tr>
      <w:tr w14:paraId="62B3B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EA3A553">
            <w:pPr>
              <w:widowControl/>
              <w:spacing w:line="360" w:lineRule="exact"/>
              <w:jc w:val="center"/>
              <w:rPr>
                <w:rFonts w:ascii="宋体" w:hAnsi="宋体" w:cs="宋体"/>
                <w:color w:val="auto"/>
                <w:kern w:val="0"/>
                <w:szCs w:val="21"/>
                <w:highlight w:val="none"/>
              </w:rPr>
            </w:pPr>
          </w:p>
        </w:tc>
        <w:tc>
          <w:tcPr>
            <w:tcW w:w="6960" w:type="dxa"/>
            <w:tcBorders>
              <w:top w:val="single" w:color="auto" w:sz="4" w:space="0"/>
              <w:left w:val="single" w:color="auto" w:sz="4" w:space="0"/>
              <w:bottom w:val="single" w:color="auto" w:sz="4" w:space="0"/>
              <w:right w:val="single" w:color="auto" w:sz="4" w:space="0"/>
            </w:tcBorders>
            <w:shd w:val="clear" w:color="auto" w:fill="auto"/>
            <w:vAlign w:val="center"/>
          </w:tcPr>
          <w:p w14:paraId="5A41A8A9">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支持大屏展示网络攻击态势，包括整体网络风险指数、告警总数、攻击次数、攻击IP数、攻击源国家/地区TOP5、攻击态势，并支持自动翻转的攻击全景地图展示</w:t>
            </w:r>
            <w:r>
              <w:rPr>
                <w:rFonts w:hint="eastAsia" w:ascii="宋体" w:hAnsi="宋体" w:cs="宋体"/>
                <w:color w:val="auto"/>
                <w:szCs w:val="21"/>
                <w:highlight w:val="none"/>
              </w:rPr>
              <w:t>。</w:t>
            </w:r>
          </w:p>
        </w:tc>
      </w:tr>
      <w:tr w14:paraId="59AFD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A31B3FE">
            <w:pPr>
              <w:widowControl/>
              <w:spacing w:line="360" w:lineRule="exact"/>
              <w:jc w:val="center"/>
              <w:rPr>
                <w:rFonts w:ascii="宋体" w:hAnsi="宋体" w:cs="宋体"/>
                <w:color w:val="auto"/>
                <w:kern w:val="0"/>
                <w:szCs w:val="21"/>
                <w:highlight w:val="none"/>
              </w:rPr>
            </w:pPr>
          </w:p>
        </w:tc>
        <w:tc>
          <w:tcPr>
            <w:tcW w:w="6960" w:type="dxa"/>
            <w:tcBorders>
              <w:top w:val="single" w:color="auto" w:sz="4" w:space="0"/>
              <w:left w:val="single" w:color="auto" w:sz="4" w:space="0"/>
              <w:bottom w:val="single" w:color="auto" w:sz="4" w:space="0"/>
              <w:right w:val="single" w:color="auto" w:sz="4" w:space="0"/>
            </w:tcBorders>
            <w:shd w:val="clear" w:color="auto" w:fill="auto"/>
            <w:vAlign w:val="center"/>
          </w:tcPr>
          <w:p w14:paraId="33B2D32F">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支持大屏展示整体威胁事件态势，包括威胁类型分布、威胁类型TOP5、受害主机TOP5、威胁事件趋势、最新告警事件、威胁星云图</w:t>
            </w:r>
            <w:r>
              <w:rPr>
                <w:rFonts w:hint="eastAsia" w:ascii="宋体" w:hAnsi="宋体" w:cs="宋体"/>
                <w:color w:val="auto"/>
                <w:szCs w:val="21"/>
                <w:highlight w:val="none"/>
              </w:rPr>
              <w:t>。</w:t>
            </w:r>
          </w:p>
        </w:tc>
      </w:tr>
      <w:tr w14:paraId="0DA4D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338FE65">
            <w:pPr>
              <w:widowControl/>
              <w:spacing w:line="360" w:lineRule="exact"/>
              <w:jc w:val="center"/>
              <w:rPr>
                <w:rFonts w:ascii="宋体" w:hAnsi="宋体" w:cs="宋体"/>
                <w:color w:val="auto"/>
                <w:kern w:val="0"/>
                <w:szCs w:val="21"/>
                <w:highlight w:val="none"/>
              </w:rPr>
            </w:pPr>
          </w:p>
        </w:tc>
        <w:tc>
          <w:tcPr>
            <w:tcW w:w="6960" w:type="dxa"/>
            <w:tcBorders>
              <w:top w:val="single" w:color="auto" w:sz="4" w:space="0"/>
              <w:left w:val="single" w:color="auto" w:sz="4" w:space="0"/>
              <w:bottom w:val="single" w:color="auto" w:sz="4" w:space="0"/>
              <w:right w:val="single" w:color="auto" w:sz="4" w:space="0"/>
            </w:tcBorders>
            <w:shd w:val="clear" w:color="auto" w:fill="auto"/>
            <w:vAlign w:val="center"/>
          </w:tcPr>
          <w:p w14:paraId="0BCD003F">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支持大屏展示资产包括外部访问、横向访问、内网外联态势</w:t>
            </w:r>
            <w:r>
              <w:rPr>
                <w:rFonts w:hint="eastAsia" w:ascii="宋体" w:hAnsi="宋体" w:cs="宋体"/>
                <w:color w:val="auto"/>
                <w:szCs w:val="21"/>
                <w:highlight w:val="none"/>
              </w:rPr>
              <w:t>。</w:t>
            </w:r>
          </w:p>
        </w:tc>
      </w:tr>
      <w:tr w14:paraId="2413E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0C8DCDC">
            <w:pPr>
              <w:widowControl/>
              <w:spacing w:line="360" w:lineRule="exact"/>
              <w:jc w:val="center"/>
              <w:rPr>
                <w:rFonts w:ascii="宋体" w:hAnsi="宋体" w:cs="宋体"/>
                <w:color w:val="auto"/>
                <w:kern w:val="0"/>
                <w:szCs w:val="21"/>
                <w:highlight w:val="none"/>
              </w:rPr>
            </w:pPr>
          </w:p>
        </w:tc>
        <w:tc>
          <w:tcPr>
            <w:tcW w:w="6960" w:type="dxa"/>
            <w:tcBorders>
              <w:top w:val="single" w:color="auto" w:sz="4" w:space="0"/>
              <w:left w:val="single" w:color="auto" w:sz="4" w:space="0"/>
              <w:bottom w:val="single" w:color="auto" w:sz="4" w:space="0"/>
              <w:right w:val="single" w:color="auto" w:sz="4" w:space="0"/>
            </w:tcBorders>
            <w:shd w:val="clear" w:color="auto" w:fill="auto"/>
            <w:vAlign w:val="center"/>
          </w:tcPr>
          <w:p w14:paraId="5700C91F">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支持大屏展示整体资产风险态势，包含资产树结构、资产分类、开放服务统计、网段管理、资产风险趋势、资产风险状态</w:t>
            </w:r>
            <w:r>
              <w:rPr>
                <w:rFonts w:hint="eastAsia" w:ascii="宋体" w:hAnsi="宋体" w:cs="宋体"/>
                <w:color w:val="auto"/>
                <w:szCs w:val="21"/>
                <w:highlight w:val="none"/>
              </w:rPr>
              <w:t>。</w:t>
            </w:r>
          </w:p>
        </w:tc>
      </w:tr>
      <w:tr w14:paraId="012F9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92B5408">
            <w:pPr>
              <w:widowControl/>
              <w:spacing w:line="360" w:lineRule="exact"/>
              <w:jc w:val="center"/>
              <w:rPr>
                <w:rFonts w:ascii="宋体" w:hAnsi="宋体" w:cs="宋体"/>
                <w:color w:val="auto"/>
                <w:kern w:val="0"/>
                <w:szCs w:val="21"/>
                <w:highlight w:val="none"/>
              </w:rPr>
            </w:pPr>
          </w:p>
        </w:tc>
        <w:tc>
          <w:tcPr>
            <w:tcW w:w="6960" w:type="dxa"/>
            <w:tcBorders>
              <w:top w:val="single" w:color="auto" w:sz="4" w:space="0"/>
              <w:left w:val="single" w:color="auto" w:sz="4" w:space="0"/>
              <w:bottom w:val="single" w:color="auto" w:sz="4" w:space="0"/>
              <w:right w:val="single" w:color="auto" w:sz="4" w:space="0"/>
            </w:tcBorders>
            <w:shd w:val="clear" w:color="auto" w:fill="auto"/>
            <w:vAlign w:val="center"/>
          </w:tcPr>
          <w:p w14:paraId="6AC2747D">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支持告警的深度行为分析，行为包括DNS解析行为、TCP/UDP交互行为、WEB访问行为、传输文件行为</w:t>
            </w:r>
            <w:r>
              <w:rPr>
                <w:rFonts w:hint="eastAsia" w:ascii="宋体" w:hAnsi="宋体" w:cs="宋体"/>
                <w:color w:val="auto"/>
                <w:szCs w:val="21"/>
                <w:highlight w:val="none"/>
              </w:rPr>
              <w:t>。</w:t>
            </w:r>
          </w:p>
        </w:tc>
      </w:tr>
      <w:tr w14:paraId="6587A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1FF69B5">
            <w:pPr>
              <w:widowControl/>
              <w:spacing w:line="360" w:lineRule="exact"/>
              <w:jc w:val="center"/>
              <w:rPr>
                <w:rFonts w:ascii="宋体" w:hAnsi="宋体" w:cs="宋体"/>
                <w:color w:val="auto"/>
                <w:kern w:val="0"/>
                <w:szCs w:val="21"/>
                <w:highlight w:val="none"/>
              </w:rPr>
            </w:pPr>
          </w:p>
        </w:tc>
        <w:tc>
          <w:tcPr>
            <w:tcW w:w="6960" w:type="dxa"/>
            <w:tcBorders>
              <w:top w:val="single" w:color="auto" w:sz="4" w:space="0"/>
              <w:left w:val="single" w:color="auto" w:sz="4" w:space="0"/>
              <w:bottom w:val="single" w:color="auto" w:sz="4" w:space="0"/>
              <w:right w:val="single" w:color="auto" w:sz="4" w:space="0"/>
            </w:tcBorders>
            <w:shd w:val="clear" w:color="auto" w:fill="auto"/>
            <w:vAlign w:val="center"/>
          </w:tcPr>
          <w:p w14:paraId="5272DE18">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支持以受害资产维度进行分析，分析内容包括失陷状态、受到的攻击类型、威胁级别、处于的攻击阶段、所属的资产分组</w:t>
            </w:r>
            <w:r>
              <w:rPr>
                <w:rFonts w:hint="eastAsia" w:ascii="宋体" w:hAnsi="宋体" w:cs="宋体"/>
                <w:color w:val="auto"/>
                <w:szCs w:val="21"/>
                <w:highlight w:val="none"/>
              </w:rPr>
              <w:t>。</w:t>
            </w:r>
          </w:p>
        </w:tc>
      </w:tr>
      <w:tr w14:paraId="3C11F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99FFD03">
            <w:pPr>
              <w:widowControl/>
              <w:spacing w:line="360" w:lineRule="exact"/>
              <w:jc w:val="center"/>
              <w:rPr>
                <w:rFonts w:ascii="宋体" w:hAnsi="宋体" w:cs="宋体"/>
                <w:color w:val="auto"/>
                <w:kern w:val="0"/>
                <w:szCs w:val="21"/>
                <w:highlight w:val="none"/>
              </w:rPr>
            </w:pPr>
          </w:p>
        </w:tc>
        <w:tc>
          <w:tcPr>
            <w:tcW w:w="6960" w:type="dxa"/>
            <w:tcBorders>
              <w:top w:val="single" w:color="auto" w:sz="4" w:space="0"/>
              <w:left w:val="single" w:color="auto" w:sz="4" w:space="0"/>
              <w:right w:val="single" w:color="auto" w:sz="4" w:space="0"/>
            </w:tcBorders>
            <w:shd w:val="clear" w:color="auto" w:fill="auto"/>
            <w:vAlign w:val="center"/>
          </w:tcPr>
          <w:p w14:paraId="64B03157">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以攻击者的维度进行分析，对攻击者进行画像，画像内容包括地理位置信息、国家信息、所属组织、使用的攻击手段、攻击的所有资产。</w:t>
            </w:r>
          </w:p>
        </w:tc>
      </w:tr>
      <w:tr w14:paraId="362E0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4A6AF64">
            <w:pPr>
              <w:widowControl/>
              <w:spacing w:line="360" w:lineRule="exact"/>
              <w:jc w:val="center"/>
              <w:rPr>
                <w:rFonts w:ascii="宋体" w:hAnsi="宋体" w:cs="宋体"/>
                <w:color w:val="auto"/>
                <w:kern w:val="0"/>
                <w:szCs w:val="21"/>
                <w:highlight w:val="none"/>
              </w:rPr>
            </w:pPr>
          </w:p>
        </w:tc>
        <w:tc>
          <w:tcPr>
            <w:tcW w:w="6960" w:type="dxa"/>
            <w:tcBorders>
              <w:top w:val="single" w:color="auto" w:sz="4" w:space="0"/>
              <w:left w:val="single" w:color="auto" w:sz="4" w:space="0"/>
              <w:bottom w:val="single" w:color="auto" w:sz="4" w:space="0"/>
              <w:right w:val="single" w:color="auto" w:sz="4" w:space="0"/>
            </w:tcBorders>
            <w:shd w:val="clear" w:color="auto" w:fill="auto"/>
            <w:vAlign w:val="center"/>
          </w:tcPr>
          <w:p w14:paraId="39FB4304">
            <w:pPr>
              <w:widowControl/>
              <w:spacing w:line="360" w:lineRule="exact"/>
              <w:jc w:val="left"/>
              <w:rPr>
                <w:rFonts w:ascii="宋体" w:hAnsi="宋体" w:cs="宋体"/>
                <w:color w:val="auto"/>
                <w:kern w:val="0"/>
                <w:szCs w:val="21"/>
                <w:highlight w:val="none"/>
              </w:rPr>
            </w:pPr>
            <w:bookmarkStart w:id="3" w:name="_Hlk535071019"/>
            <w:r>
              <w:rPr>
                <w:rFonts w:hint="eastAsia" w:ascii="宋体" w:hAnsi="宋体" w:cs="宋体"/>
                <w:color w:val="auto"/>
                <w:kern w:val="0"/>
                <w:szCs w:val="21"/>
                <w:highlight w:val="none"/>
              </w:rPr>
              <w:t>支持与云端威胁情报中心联动，可对攻击IP、C&amp;C域名和恶意样本MD5进行一键搜索，查看基本信息、相关样本、关联URL、可视化分析、域名解析、注册信息、关联域名、数字证书等</w:t>
            </w:r>
            <w:bookmarkEnd w:id="3"/>
            <w:r>
              <w:rPr>
                <w:rFonts w:hint="eastAsia" w:ascii="宋体" w:hAnsi="宋体" w:cs="宋体"/>
                <w:color w:val="auto"/>
                <w:szCs w:val="21"/>
                <w:highlight w:val="none"/>
              </w:rPr>
              <w:t>。</w:t>
            </w:r>
          </w:p>
        </w:tc>
      </w:tr>
      <w:tr w14:paraId="04BF4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restart"/>
            <w:tcBorders>
              <w:top w:val="single" w:color="auto" w:sz="4" w:space="0"/>
              <w:left w:val="single" w:color="auto" w:sz="4" w:space="0"/>
              <w:right w:val="single" w:color="auto" w:sz="4" w:space="0"/>
            </w:tcBorders>
            <w:shd w:val="clear" w:color="auto" w:fill="auto"/>
            <w:vAlign w:val="center"/>
          </w:tcPr>
          <w:p w14:paraId="30E6484D">
            <w:pPr>
              <w:widowControl/>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威胁分析</w:t>
            </w:r>
          </w:p>
        </w:tc>
        <w:tc>
          <w:tcPr>
            <w:tcW w:w="6960" w:type="dxa"/>
            <w:tcBorders>
              <w:top w:val="single" w:color="auto" w:sz="4" w:space="0"/>
              <w:left w:val="single" w:color="auto" w:sz="4" w:space="0"/>
              <w:bottom w:val="single" w:color="auto" w:sz="4" w:space="0"/>
              <w:right w:val="single" w:color="auto" w:sz="4" w:space="0"/>
            </w:tcBorders>
            <w:shd w:val="clear" w:color="auto" w:fill="auto"/>
            <w:vAlign w:val="center"/>
          </w:tcPr>
          <w:p w14:paraId="45F56F3E">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支持从威胁情报、应用安全、系统安全和设备安全的业务场景维度对告警进行攻击带外分析。</w:t>
            </w:r>
          </w:p>
        </w:tc>
      </w:tr>
      <w:tr w14:paraId="3762F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left w:val="single" w:color="auto" w:sz="4" w:space="0"/>
              <w:right w:val="single" w:color="auto" w:sz="4" w:space="0"/>
            </w:tcBorders>
            <w:shd w:val="clear" w:color="auto" w:fill="auto"/>
            <w:vAlign w:val="center"/>
          </w:tcPr>
          <w:p w14:paraId="542074E3">
            <w:pPr>
              <w:widowControl/>
              <w:spacing w:line="360" w:lineRule="exact"/>
              <w:jc w:val="center"/>
              <w:rPr>
                <w:rFonts w:ascii="宋体" w:hAnsi="宋体" w:cs="宋体"/>
                <w:color w:val="auto"/>
                <w:kern w:val="0"/>
                <w:szCs w:val="21"/>
                <w:highlight w:val="none"/>
              </w:rPr>
            </w:pPr>
          </w:p>
        </w:tc>
        <w:tc>
          <w:tcPr>
            <w:tcW w:w="6960" w:type="dxa"/>
            <w:tcBorders>
              <w:top w:val="single" w:color="auto" w:sz="4" w:space="0"/>
              <w:left w:val="single" w:color="auto" w:sz="4" w:space="0"/>
              <w:bottom w:val="single" w:color="auto" w:sz="4" w:space="0"/>
              <w:right w:val="single" w:color="auto" w:sz="4" w:space="0"/>
            </w:tcBorders>
            <w:shd w:val="clear" w:color="auto" w:fill="auto"/>
            <w:vAlign w:val="center"/>
          </w:tcPr>
          <w:p w14:paraId="2707A622">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威胁情报维度分析包括：情报详情、影响资产列表、资产的行为（行为包含：DNS解析、TCP流量、UDP流量、WEB访问、文件传输）</w:t>
            </w:r>
            <w:r>
              <w:rPr>
                <w:rFonts w:hint="eastAsia" w:ascii="宋体" w:hAnsi="宋体" w:cs="宋体"/>
                <w:color w:val="auto"/>
                <w:szCs w:val="21"/>
                <w:highlight w:val="none"/>
              </w:rPr>
              <w:t>。</w:t>
            </w:r>
          </w:p>
        </w:tc>
      </w:tr>
      <w:tr w14:paraId="1751E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left w:val="single" w:color="auto" w:sz="4" w:space="0"/>
              <w:bottom w:val="single" w:color="auto" w:sz="4" w:space="0"/>
              <w:right w:val="single" w:color="auto" w:sz="4" w:space="0"/>
            </w:tcBorders>
            <w:shd w:val="clear" w:color="auto" w:fill="auto"/>
            <w:vAlign w:val="center"/>
          </w:tcPr>
          <w:p w14:paraId="4B67E0D0">
            <w:pPr>
              <w:widowControl/>
              <w:spacing w:line="360" w:lineRule="exact"/>
              <w:jc w:val="center"/>
              <w:rPr>
                <w:rFonts w:ascii="宋体" w:hAnsi="宋体" w:cs="宋体"/>
                <w:color w:val="auto"/>
                <w:kern w:val="0"/>
                <w:szCs w:val="21"/>
                <w:highlight w:val="none"/>
              </w:rPr>
            </w:pPr>
          </w:p>
        </w:tc>
        <w:tc>
          <w:tcPr>
            <w:tcW w:w="6960" w:type="dxa"/>
            <w:tcBorders>
              <w:top w:val="single" w:color="auto" w:sz="4" w:space="0"/>
              <w:left w:val="single" w:color="auto" w:sz="4" w:space="0"/>
              <w:bottom w:val="single" w:color="auto" w:sz="4" w:space="0"/>
              <w:right w:val="single" w:color="auto" w:sz="4" w:space="0"/>
            </w:tcBorders>
            <w:shd w:val="clear" w:color="auto" w:fill="auto"/>
            <w:vAlign w:val="center"/>
          </w:tcPr>
          <w:p w14:paraId="1525D3F4">
            <w:pPr>
              <w:widowControl/>
              <w:spacing w:line="360" w:lineRule="exact"/>
              <w:jc w:val="left"/>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应用安全的细分维度包括：WEB安全、数据库安全、中间件安全</w:t>
            </w:r>
            <w:r>
              <w:rPr>
                <w:rFonts w:hint="eastAsia" w:ascii="宋体" w:hAnsi="宋体" w:cs="宋体"/>
                <w:color w:val="auto"/>
                <w:kern w:val="0"/>
                <w:szCs w:val="21"/>
                <w:highlight w:val="none"/>
                <w:lang w:eastAsia="zh-CN"/>
              </w:rPr>
              <w:t>；</w:t>
            </w:r>
          </w:p>
          <w:p w14:paraId="44E3B9D5">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系统安全的细分维度包括：暴力破解、弱口令、未授权访问、挖矿行为</w:t>
            </w:r>
          </w:p>
          <w:p w14:paraId="5046AB61">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设备安全</w:t>
            </w:r>
            <w:r>
              <w:rPr>
                <w:rFonts w:hint="eastAsia" w:ascii="宋体" w:hAnsi="宋体" w:cs="宋体"/>
                <w:color w:val="auto"/>
                <w:szCs w:val="21"/>
                <w:highlight w:val="none"/>
              </w:rPr>
              <w:t>。</w:t>
            </w:r>
          </w:p>
        </w:tc>
      </w:tr>
      <w:tr w14:paraId="1B135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FD8713A">
            <w:pPr>
              <w:widowControl/>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白名单</w:t>
            </w:r>
          </w:p>
        </w:tc>
        <w:tc>
          <w:tcPr>
            <w:tcW w:w="6960" w:type="dxa"/>
            <w:tcBorders>
              <w:top w:val="single" w:color="auto" w:sz="4" w:space="0"/>
              <w:left w:val="single" w:color="auto" w:sz="4" w:space="0"/>
              <w:bottom w:val="single" w:color="auto" w:sz="4" w:space="0"/>
              <w:right w:val="single" w:color="auto" w:sz="4" w:space="0"/>
            </w:tcBorders>
            <w:shd w:val="clear" w:color="auto" w:fill="auto"/>
            <w:vAlign w:val="center"/>
          </w:tcPr>
          <w:p w14:paraId="6A67A3D4">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支持对告警进行加白，加白参数包括受害IP、攻击IP、威胁情报、规则、XFF、URL、威胁名称</w:t>
            </w:r>
            <w:r>
              <w:rPr>
                <w:rFonts w:hint="eastAsia" w:ascii="宋体" w:hAnsi="宋体" w:cs="宋体"/>
                <w:color w:val="auto"/>
                <w:szCs w:val="21"/>
                <w:highlight w:val="none"/>
              </w:rPr>
              <w:t>。</w:t>
            </w:r>
          </w:p>
        </w:tc>
      </w:tr>
      <w:tr w14:paraId="05A9C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F458540">
            <w:pPr>
              <w:widowControl/>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行为分析</w:t>
            </w:r>
          </w:p>
        </w:tc>
        <w:tc>
          <w:tcPr>
            <w:tcW w:w="6960" w:type="dxa"/>
            <w:tcBorders>
              <w:top w:val="single" w:color="auto" w:sz="4" w:space="0"/>
              <w:left w:val="single" w:color="auto" w:sz="4" w:space="0"/>
              <w:bottom w:val="single" w:color="auto" w:sz="4" w:space="0"/>
              <w:right w:val="single" w:color="auto" w:sz="4" w:space="0"/>
            </w:tcBorders>
            <w:shd w:val="clear" w:color="auto" w:fill="auto"/>
            <w:vAlign w:val="center"/>
          </w:tcPr>
          <w:p w14:paraId="2AA5087C">
            <w:pPr>
              <w:widowControl/>
              <w:spacing w:line="360" w:lineRule="exact"/>
              <w:jc w:val="left"/>
              <w:rPr>
                <w:rFonts w:ascii="宋体" w:hAnsi="宋体" w:cs="宋体"/>
                <w:color w:val="auto"/>
                <w:kern w:val="0"/>
                <w:szCs w:val="21"/>
                <w:highlight w:val="none"/>
              </w:rPr>
            </w:pPr>
            <w:bookmarkStart w:id="4" w:name="_Hlk535071093"/>
            <w:r>
              <w:rPr>
                <w:rFonts w:hint="eastAsia" w:ascii="宋体" w:hAnsi="宋体" w:cs="宋体"/>
                <w:color w:val="auto"/>
                <w:kern w:val="0"/>
                <w:szCs w:val="21"/>
                <w:highlight w:val="none"/>
              </w:rPr>
              <w:t>支持</w:t>
            </w:r>
            <w:bookmarkEnd w:id="4"/>
            <w:r>
              <w:rPr>
                <w:rFonts w:hint="eastAsia" w:ascii="宋体" w:hAnsi="宋体" w:cs="宋体"/>
                <w:color w:val="auto"/>
                <w:kern w:val="0"/>
                <w:szCs w:val="21"/>
                <w:highlight w:val="none"/>
              </w:rPr>
              <w:t>可疑DNS解析：能够检测发现DGA域名与DNS隧道域名，支持根据时间范围、请求次数、DNS域名总长度自定义DNS隧道检测规则</w:t>
            </w:r>
            <w:r>
              <w:rPr>
                <w:rFonts w:hint="eastAsia" w:ascii="宋体" w:hAnsi="宋体" w:cs="宋体"/>
                <w:color w:val="auto"/>
                <w:szCs w:val="21"/>
                <w:highlight w:val="none"/>
              </w:rPr>
              <w:t>。</w:t>
            </w:r>
          </w:p>
        </w:tc>
      </w:tr>
      <w:tr w14:paraId="4C278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DA0C063">
            <w:pPr>
              <w:widowControl/>
              <w:spacing w:line="360" w:lineRule="exact"/>
              <w:jc w:val="center"/>
              <w:rPr>
                <w:rFonts w:ascii="宋体" w:hAnsi="宋体" w:cs="宋体"/>
                <w:color w:val="auto"/>
                <w:kern w:val="0"/>
                <w:szCs w:val="21"/>
                <w:highlight w:val="none"/>
              </w:rPr>
            </w:pPr>
          </w:p>
        </w:tc>
        <w:tc>
          <w:tcPr>
            <w:tcW w:w="6960" w:type="dxa"/>
            <w:tcBorders>
              <w:top w:val="single" w:color="auto" w:sz="4" w:space="0"/>
              <w:left w:val="single" w:color="auto" w:sz="4" w:space="0"/>
              <w:bottom w:val="single" w:color="auto" w:sz="4" w:space="0"/>
              <w:right w:val="single" w:color="auto" w:sz="4" w:space="0"/>
            </w:tcBorders>
            <w:shd w:val="clear" w:color="auto" w:fill="auto"/>
            <w:vAlign w:val="center"/>
          </w:tcPr>
          <w:p w14:paraId="41D9E77C">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支持疑似DNS服务器发现：能够根据响应DNS请求与发起DNS请求进行行为分类</w:t>
            </w:r>
            <w:r>
              <w:rPr>
                <w:rFonts w:hint="eastAsia" w:ascii="宋体" w:hAnsi="宋体" w:cs="宋体"/>
                <w:color w:val="auto"/>
                <w:szCs w:val="21"/>
                <w:highlight w:val="none"/>
              </w:rPr>
              <w:t>。</w:t>
            </w:r>
          </w:p>
        </w:tc>
      </w:tr>
      <w:tr w14:paraId="2C1A9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9E5F1E7">
            <w:pPr>
              <w:widowControl/>
              <w:spacing w:line="360" w:lineRule="exact"/>
              <w:jc w:val="center"/>
              <w:rPr>
                <w:rFonts w:ascii="宋体" w:hAnsi="宋体" w:cs="宋体"/>
                <w:color w:val="auto"/>
                <w:kern w:val="0"/>
                <w:szCs w:val="21"/>
                <w:highlight w:val="none"/>
              </w:rPr>
            </w:pPr>
          </w:p>
        </w:tc>
        <w:tc>
          <w:tcPr>
            <w:tcW w:w="6960" w:type="dxa"/>
            <w:tcBorders>
              <w:top w:val="single" w:color="auto" w:sz="4" w:space="0"/>
              <w:left w:val="single" w:color="auto" w:sz="4" w:space="0"/>
              <w:bottom w:val="single" w:color="auto" w:sz="4" w:space="0"/>
              <w:right w:val="single" w:color="auto" w:sz="4" w:space="0"/>
            </w:tcBorders>
            <w:shd w:val="clear" w:color="auto" w:fill="auto"/>
            <w:vAlign w:val="center"/>
          </w:tcPr>
          <w:p w14:paraId="2D2F40FC">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支持链路劫持分析：能够展示被劫持对象、CDN服务器、被劫持资源、文件MD5、访问时间等详细信息</w:t>
            </w:r>
            <w:r>
              <w:rPr>
                <w:rFonts w:hint="eastAsia" w:ascii="宋体" w:hAnsi="宋体" w:cs="宋体"/>
                <w:color w:val="auto"/>
                <w:szCs w:val="21"/>
                <w:highlight w:val="none"/>
              </w:rPr>
              <w:t>。</w:t>
            </w:r>
          </w:p>
        </w:tc>
      </w:tr>
      <w:tr w14:paraId="29DC9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12BF566">
            <w:pPr>
              <w:widowControl/>
              <w:spacing w:line="360" w:lineRule="exact"/>
              <w:jc w:val="center"/>
              <w:rPr>
                <w:rFonts w:ascii="宋体" w:hAnsi="宋体" w:cs="宋体"/>
                <w:color w:val="auto"/>
                <w:kern w:val="0"/>
                <w:szCs w:val="21"/>
                <w:highlight w:val="none"/>
              </w:rPr>
            </w:pPr>
          </w:p>
        </w:tc>
        <w:tc>
          <w:tcPr>
            <w:tcW w:w="6960" w:type="dxa"/>
            <w:tcBorders>
              <w:top w:val="single" w:color="auto" w:sz="4" w:space="0"/>
              <w:left w:val="single" w:color="auto" w:sz="4" w:space="0"/>
              <w:bottom w:val="single" w:color="auto" w:sz="4" w:space="0"/>
              <w:right w:val="single" w:color="auto" w:sz="4" w:space="0"/>
            </w:tcBorders>
            <w:shd w:val="clear" w:color="auto" w:fill="auto"/>
            <w:vAlign w:val="center"/>
          </w:tcPr>
          <w:p w14:paraId="78585D69">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支持可疑代理分析：能够发现socks、http、reDuh、Regeory Tunnel、Tunna等代理类型。</w:t>
            </w:r>
          </w:p>
        </w:tc>
      </w:tr>
      <w:tr w14:paraId="26C69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064E525">
            <w:pPr>
              <w:widowControl/>
              <w:spacing w:line="360" w:lineRule="exact"/>
              <w:jc w:val="center"/>
              <w:rPr>
                <w:rFonts w:ascii="宋体" w:hAnsi="宋体" w:cs="宋体"/>
                <w:color w:val="auto"/>
                <w:kern w:val="0"/>
                <w:szCs w:val="21"/>
                <w:highlight w:val="none"/>
              </w:rPr>
            </w:pPr>
          </w:p>
        </w:tc>
        <w:tc>
          <w:tcPr>
            <w:tcW w:w="6960" w:type="dxa"/>
            <w:tcBorders>
              <w:top w:val="single" w:color="auto" w:sz="4" w:space="0"/>
              <w:left w:val="single" w:color="auto" w:sz="4" w:space="0"/>
              <w:bottom w:val="single" w:color="auto" w:sz="4" w:space="0"/>
              <w:right w:val="single" w:color="auto" w:sz="4" w:space="0"/>
            </w:tcBorders>
            <w:shd w:val="clear" w:color="auto" w:fill="auto"/>
            <w:vAlign w:val="center"/>
          </w:tcPr>
          <w:p w14:paraId="50275DF6">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支持邮件敏感词与敏感后缀发现，自定义敏感词与敏感后缀，并能进行邮箱白名单配置</w:t>
            </w:r>
            <w:r>
              <w:rPr>
                <w:rFonts w:hint="eastAsia" w:ascii="宋体" w:hAnsi="宋体" w:cs="宋体"/>
                <w:color w:val="auto"/>
                <w:szCs w:val="21"/>
                <w:highlight w:val="none"/>
              </w:rPr>
              <w:t>。</w:t>
            </w:r>
          </w:p>
        </w:tc>
      </w:tr>
      <w:tr w14:paraId="5B576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2E6B909">
            <w:pPr>
              <w:widowControl/>
              <w:spacing w:line="360" w:lineRule="exact"/>
              <w:jc w:val="center"/>
              <w:rPr>
                <w:rFonts w:ascii="宋体" w:hAnsi="宋体" w:cs="宋体"/>
                <w:color w:val="auto"/>
                <w:kern w:val="0"/>
                <w:szCs w:val="21"/>
                <w:highlight w:val="none"/>
              </w:rPr>
            </w:pPr>
          </w:p>
        </w:tc>
        <w:tc>
          <w:tcPr>
            <w:tcW w:w="6960" w:type="dxa"/>
            <w:tcBorders>
              <w:top w:val="single" w:color="auto" w:sz="4" w:space="0"/>
              <w:left w:val="single" w:color="auto" w:sz="4" w:space="0"/>
              <w:bottom w:val="single" w:color="auto" w:sz="4" w:space="0"/>
              <w:right w:val="single" w:color="auto" w:sz="4" w:space="0"/>
            </w:tcBorders>
            <w:shd w:val="clear" w:color="auto" w:fill="auto"/>
            <w:vAlign w:val="center"/>
          </w:tcPr>
          <w:p w14:paraId="75AA289C">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支持暴力破解行为检测，检测内容包含：源ip、目的ip、使用协议、爆破次数、爆破成功与否等</w:t>
            </w:r>
            <w:r>
              <w:rPr>
                <w:rFonts w:hint="eastAsia" w:ascii="宋体" w:hAnsi="宋体" w:cs="宋体"/>
                <w:color w:val="auto"/>
                <w:szCs w:val="21"/>
                <w:highlight w:val="none"/>
              </w:rPr>
              <w:t>。</w:t>
            </w:r>
          </w:p>
        </w:tc>
      </w:tr>
      <w:tr w14:paraId="28242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CBF9427">
            <w:pPr>
              <w:widowControl/>
              <w:spacing w:line="360" w:lineRule="exact"/>
              <w:jc w:val="center"/>
              <w:rPr>
                <w:rFonts w:ascii="宋体" w:hAnsi="宋体" w:cs="宋体"/>
                <w:color w:val="auto"/>
                <w:kern w:val="0"/>
                <w:szCs w:val="21"/>
                <w:highlight w:val="none"/>
              </w:rPr>
            </w:pPr>
          </w:p>
        </w:tc>
        <w:tc>
          <w:tcPr>
            <w:tcW w:w="6960" w:type="dxa"/>
            <w:tcBorders>
              <w:top w:val="single" w:color="auto" w:sz="4" w:space="0"/>
              <w:left w:val="single" w:color="auto" w:sz="4" w:space="0"/>
              <w:bottom w:val="single" w:color="auto" w:sz="4" w:space="0"/>
              <w:right w:val="single" w:color="auto" w:sz="4" w:space="0"/>
            </w:tcBorders>
            <w:shd w:val="clear" w:color="auto" w:fill="auto"/>
            <w:vAlign w:val="center"/>
          </w:tcPr>
          <w:p w14:paraId="4BB106CB">
            <w:pPr>
              <w:widowControl/>
              <w:spacing w:line="360" w:lineRule="exact"/>
              <w:jc w:val="left"/>
              <w:rPr>
                <w:rFonts w:ascii="宋体" w:hAnsi="宋体" w:cs="宋体"/>
                <w:color w:val="auto"/>
                <w:kern w:val="0"/>
                <w:szCs w:val="21"/>
                <w:highlight w:val="none"/>
              </w:rPr>
            </w:pPr>
            <w:bookmarkStart w:id="5" w:name="_Hlk535071238"/>
            <w:r>
              <w:rPr>
                <w:rFonts w:hint="eastAsia" w:ascii="宋体" w:hAnsi="宋体" w:cs="宋体"/>
                <w:color w:val="auto"/>
                <w:kern w:val="0"/>
                <w:szCs w:val="21"/>
                <w:highlight w:val="none"/>
              </w:rPr>
              <w:t>支持</w:t>
            </w:r>
            <w:bookmarkEnd w:id="5"/>
            <w:r>
              <w:rPr>
                <w:rFonts w:hint="eastAsia" w:ascii="宋体" w:hAnsi="宋体" w:cs="宋体"/>
                <w:color w:val="auto"/>
                <w:kern w:val="0"/>
                <w:szCs w:val="21"/>
                <w:highlight w:val="none"/>
              </w:rPr>
              <w:t>外部访问分析，能展示源ip、资产ip、端口、协议、时间等详细信息，且能自定义源ip白名单</w:t>
            </w:r>
            <w:r>
              <w:rPr>
                <w:rFonts w:hint="eastAsia" w:ascii="宋体" w:hAnsi="宋体" w:cs="宋体"/>
                <w:color w:val="auto"/>
                <w:szCs w:val="21"/>
                <w:highlight w:val="none"/>
              </w:rPr>
              <w:t>。</w:t>
            </w:r>
          </w:p>
        </w:tc>
      </w:tr>
      <w:tr w14:paraId="13B6A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3DD0194">
            <w:pPr>
              <w:widowControl/>
              <w:spacing w:line="360" w:lineRule="exact"/>
              <w:jc w:val="center"/>
              <w:rPr>
                <w:rFonts w:ascii="宋体" w:hAnsi="宋体" w:cs="宋体"/>
                <w:color w:val="auto"/>
                <w:kern w:val="0"/>
                <w:szCs w:val="21"/>
                <w:highlight w:val="none"/>
              </w:rPr>
            </w:pPr>
          </w:p>
        </w:tc>
        <w:tc>
          <w:tcPr>
            <w:tcW w:w="6960" w:type="dxa"/>
            <w:tcBorders>
              <w:top w:val="single" w:color="auto" w:sz="4" w:space="0"/>
              <w:left w:val="single" w:color="auto" w:sz="4" w:space="0"/>
              <w:bottom w:val="single" w:color="auto" w:sz="4" w:space="0"/>
              <w:right w:val="single" w:color="auto" w:sz="4" w:space="0"/>
            </w:tcBorders>
            <w:shd w:val="clear" w:color="auto" w:fill="auto"/>
            <w:vAlign w:val="center"/>
          </w:tcPr>
          <w:p w14:paraId="242D6A1B">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支持异地账号登录行为检测，检测内容包含：登录IP归属、账号、登录资产IP、使用协议、登录次数、登录成功率</w:t>
            </w:r>
            <w:r>
              <w:rPr>
                <w:rFonts w:hint="eastAsia" w:ascii="宋体" w:hAnsi="宋体" w:cs="宋体"/>
                <w:color w:val="auto"/>
                <w:szCs w:val="21"/>
                <w:highlight w:val="none"/>
              </w:rPr>
              <w:t>。</w:t>
            </w:r>
          </w:p>
        </w:tc>
      </w:tr>
      <w:tr w14:paraId="47E14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6" w:type="dxa"/>
            <w:tcBorders>
              <w:top w:val="single" w:color="auto" w:sz="4" w:space="0"/>
              <w:left w:val="single" w:color="auto" w:sz="4" w:space="0"/>
              <w:bottom w:val="single" w:color="auto" w:sz="4" w:space="0"/>
              <w:right w:val="single" w:color="auto" w:sz="4" w:space="0"/>
            </w:tcBorders>
            <w:shd w:val="clear" w:color="auto" w:fill="auto"/>
            <w:vAlign w:val="center"/>
          </w:tcPr>
          <w:p w14:paraId="6FCEF77B">
            <w:pPr>
              <w:widowControl/>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威胁狩猎分析</w:t>
            </w:r>
          </w:p>
        </w:tc>
        <w:tc>
          <w:tcPr>
            <w:tcW w:w="6960" w:type="dxa"/>
            <w:tcBorders>
              <w:top w:val="single" w:color="auto" w:sz="4" w:space="0"/>
              <w:left w:val="single" w:color="auto" w:sz="4" w:space="0"/>
              <w:bottom w:val="single" w:color="auto" w:sz="4" w:space="0"/>
              <w:right w:val="single" w:color="auto" w:sz="4" w:space="0"/>
            </w:tcBorders>
            <w:shd w:val="clear" w:color="auto" w:fill="auto"/>
            <w:vAlign w:val="center"/>
          </w:tcPr>
          <w:p w14:paraId="2DC66B06">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支持对任意线索的自定义拓线及溯源取证分析，支持以可视化分析画布形式展示拓线过程并支持结果快照导出；支持对于给定线索的溯源结果展示，包括但不限于攻击溯源、失陷主机分析、暴力破解分析、弱口令分析等。</w:t>
            </w:r>
          </w:p>
        </w:tc>
      </w:tr>
      <w:tr w14:paraId="3E57D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18A47FE">
            <w:pPr>
              <w:widowControl/>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响应处置</w:t>
            </w:r>
          </w:p>
        </w:tc>
        <w:tc>
          <w:tcPr>
            <w:tcW w:w="6960" w:type="dxa"/>
            <w:tcBorders>
              <w:top w:val="single" w:color="auto" w:sz="4" w:space="0"/>
              <w:left w:val="single" w:color="auto" w:sz="4" w:space="0"/>
              <w:bottom w:val="single" w:color="auto" w:sz="4" w:space="0"/>
              <w:right w:val="single" w:color="auto" w:sz="4" w:space="0"/>
            </w:tcBorders>
            <w:shd w:val="clear" w:color="auto" w:fill="auto"/>
            <w:vAlign w:val="center"/>
          </w:tcPr>
          <w:p w14:paraId="0CBF08D4">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支持工作流程自定义编排。</w:t>
            </w:r>
          </w:p>
        </w:tc>
      </w:tr>
      <w:tr w14:paraId="2640F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435A45F">
            <w:pPr>
              <w:widowControl/>
              <w:spacing w:line="360" w:lineRule="exact"/>
              <w:jc w:val="center"/>
              <w:rPr>
                <w:rFonts w:ascii="宋体" w:hAnsi="宋体" w:cs="宋体"/>
                <w:color w:val="auto"/>
                <w:kern w:val="0"/>
                <w:szCs w:val="21"/>
                <w:highlight w:val="none"/>
              </w:rPr>
            </w:pPr>
          </w:p>
        </w:tc>
        <w:tc>
          <w:tcPr>
            <w:tcW w:w="6960" w:type="dxa"/>
            <w:tcBorders>
              <w:top w:val="single" w:color="auto" w:sz="4" w:space="0"/>
              <w:left w:val="single" w:color="auto" w:sz="4" w:space="0"/>
              <w:bottom w:val="single" w:color="auto" w:sz="4" w:space="0"/>
              <w:right w:val="single" w:color="auto" w:sz="4" w:space="0"/>
            </w:tcBorders>
            <w:shd w:val="clear" w:color="auto" w:fill="auto"/>
            <w:vAlign w:val="center"/>
          </w:tcPr>
          <w:p w14:paraId="20726696">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支持联动服务管理，支持python语言与javascript语言在web页面编辑联动服务。</w:t>
            </w:r>
          </w:p>
        </w:tc>
      </w:tr>
      <w:tr w14:paraId="1EA5D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2616595">
            <w:pPr>
              <w:widowControl/>
              <w:spacing w:line="360" w:lineRule="exact"/>
              <w:jc w:val="center"/>
              <w:rPr>
                <w:rFonts w:ascii="宋体" w:hAnsi="宋体" w:cs="宋体"/>
                <w:color w:val="auto"/>
                <w:kern w:val="0"/>
                <w:szCs w:val="21"/>
                <w:highlight w:val="none"/>
              </w:rPr>
            </w:pPr>
          </w:p>
        </w:tc>
        <w:tc>
          <w:tcPr>
            <w:tcW w:w="6960" w:type="dxa"/>
            <w:tcBorders>
              <w:top w:val="single" w:color="auto" w:sz="4" w:space="0"/>
              <w:left w:val="single" w:color="auto" w:sz="4" w:space="0"/>
              <w:bottom w:val="single" w:color="auto" w:sz="4" w:space="0"/>
              <w:right w:val="single" w:color="auto" w:sz="4" w:space="0"/>
            </w:tcBorders>
            <w:shd w:val="clear" w:color="auto" w:fill="auto"/>
            <w:vAlign w:val="center"/>
          </w:tcPr>
          <w:p w14:paraId="3AFFD7E6">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支持任务脚本自定义编辑，支持python语言与javascript语言在web页面进行编辑。</w:t>
            </w:r>
          </w:p>
        </w:tc>
      </w:tr>
      <w:tr w14:paraId="74DF0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ECB425D">
            <w:pPr>
              <w:widowControl/>
              <w:spacing w:line="360" w:lineRule="exact"/>
              <w:jc w:val="center"/>
              <w:rPr>
                <w:rFonts w:ascii="宋体" w:hAnsi="宋体" w:cs="宋体"/>
                <w:color w:val="auto"/>
                <w:kern w:val="0"/>
                <w:szCs w:val="21"/>
                <w:highlight w:val="none"/>
              </w:rPr>
            </w:pPr>
          </w:p>
        </w:tc>
        <w:tc>
          <w:tcPr>
            <w:tcW w:w="6960" w:type="dxa"/>
            <w:tcBorders>
              <w:top w:val="single" w:color="auto" w:sz="4" w:space="0"/>
              <w:left w:val="single" w:color="auto" w:sz="4" w:space="0"/>
              <w:bottom w:val="single" w:color="auto" w:sz="4" w:space="0"/>
              <w:right w:val="single" w:color="auto" w:sz="4" w:space="0"/>
            </w:tcBorders>
            <w:shd w:val="clear" w:color="auto" w:fill="auto"/>
            <w:vAlign w:val="center"/>
          </w:tcPr>
          <w:p w14:paraId="747AE293">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支持策略定义，可根据工作流进行处置动作定义，且能根据告警类型、攻击结果、威胁类别进行联动策略定义</w:t>
            </w:r>
            <w:r>
              <w:rPr>
                <w:rFonts w:hint="eastAsia" w:ascii="宋体" w:hAnsi="宋体" w:cs="宋体"/>
                <w:color w:val="auto"/>
                <w:szCs w:val="21"/>
                <w:highlight w:val="none"/>
              </w:rPr>
              <w:t>。</w:t>
            </w:r>
          </w:p>
        </w:tc>
      </w:tr>
      <w:tr w14:paraId="2E497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7881A57">
            <w:pPr>
              <w:widowControl/>
              <w:spacing w:line="360" w:lineRule="exact"/>
              <w:jc w:val="center"/>
              <w:rPr>
                <w:rFonts w:ascii="宋体" w:hAnsi="宋体" w:cs="宋体"/>
                <w:color w:val="auto"/>
                <w:kern w:val="0"/>
                <w:szCs w:val="21"/>
                <w:highlight w:val="none"/>
              </w:rPr>
            </w:pPr>
          </w:p>
        </w:tc>
        <w:tc>
          <w:tcPr>
            <w:tcW w:w="6960" w:type="dxa"/>
            <w:tcBorders>
              <w:top w:val="single" w:color="auto" w:sz="4" w:space="0"/>
              <w:left w:val="single" w:color="auto" w:sz="4" w:space="0"/>
              <w:bottom w:val="single" w:color="auto" w:sz="4" w:space="0"/>
              <w:right w:val="single" w:color="auto" w:sz="4" w:space="0"/>
            </w:tcBorders>
            <w:shd w:val="clear" w:color="auto" w:fill="auto"/>
            <w:vAlign w:val="center"/>
          </w:tcPr>
          <w:p w14:paraId="79853A74">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支持编排处置日志记录，记录处置时间、受害ip、攻击ip、告警类型、威胁名称、域名、处置策略、告警来源等信息</w:t>
            </w:r>
            <w:r>
              <w:rPr>
                <w:rFonts w:hint="eastAsia" w:ascii="宋体" w:hAnsi="宋体" w:cs="宋体"/>
                <w:color w:val="auto"/>
                <w:szCs w:val="21"/>
                <w:highlight w:val="none"/>
              </w:rPr>
              <w:t>。</w:t>
            </w:r>
          </w:p>
        </w:tc>
      </w:tr>
      <w:tr w14:paraId="4ADAD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trPr>
        <w:tc>
          <w:tcPr>
            <w:tcW w:w="1336" w:type="dxa"/>
            <w:tcBorders>
              <w:top w:val="single" w:color="auto" w:sz="4" w:space="0"/>
              <w:left w:val="single" w:color="auto" w:sz="4" w:space="0"/>
              <w:bottom w:val="single" w:color="auto" w:sz="4" w:space="0"/>
              <w:right w:val="single" w:color="auto" w:sz="4" w:space="0"/>
            </w:tcBorders>
            <w:shd w:val="clear" w:color="auto" w:fill="auto"/>
            <w:vAlign w:val="center"/>
          </w:tcPr>
          <w:p w14:paraId="57FF16E2">
            <w:pPr>
              <w:widowControl/>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威胁溯源</w:t>
            </w:r>
          </w:p>
        </w:tc>
        <w:tc>
          <w:tcPr>
            <w:tcW w:w="6960" w:type="dxa"/>
            <w:tcBorders>
              <w:top w:val="single" w:color="auto" w:sz="4" w:space="0"/>
              <w:left w:val="single" w:color="auto" w:sz="4" w:space="0"/>
              <w:right w:val="single" w:color="auto" w:sz="4" w:space="0"/>
            </w:tcBorders>
            <w:shd w:val="clear" w:color="auto" w:fill="auto"/>
            <w:vAlign w:val="center"/>
          </w:tcPr>
          <w:p w14:paraId="7571D4DB">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支持检索异常报文、域名解析、文件传输、FTP控制通道、LDAP行为、登录动作、邮件行为、MQ流量、网络阻断、数据库操作、SSL加密协商、TCP流量、Telnet行为、UDP流量、WEB访问等网络流量日志，并可基于时间、IP、端口、协议、上下行负载等多重字段组合进行日志检索</w:t>
            </w:r>
            <w:r>
              <w:rPr>
                <w:rFonts w:hint="eastAsia" w:ascii="宋体" w:hAnsi="宋体" w:cs="宋体"/>
                <w:color w:val="auto"/>
                <w:szCs w:val="21"/>
                <w:highlight w:val="none"/>
              </w:rPr>
              <w:t>。</w:t>
            </w:r>
          </w:p>
        </w:tc>
      </w:tr>
      <w:tr w14:paraId="22AEF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56FA7DA">
            <w:pPr>
              <w:widowControl/>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可视化展示</w:t>
            </w:r>
          </w:p>
        </w:tc>
        <w:tc>
          <w:tcPr>
            <w:tcW w:w="6960" w:type="dxa"/>
            <w:tcBorders>
              <w:top w:val="single" w:color="auto" w:sz="4" w:space="0"/>
              <w:left w:val="single" w:color="auto" w:sz="4" w:space="0"/>
              <w:bottom w:val="single" w:color="auto" w:sz="4" w:space="0"/>
              <w:right w:val="single" w:color="auto" w:sz="4" w:space="0"/>
            </w:tcBorders>
            <w:shd w:val="clear" w:color="auto" w:fill="auto"/>
            <w:vAlign w:val="center"/>
          </w:tcPr>
          <w:p w14:paraId="0EFDEC7D">
            <w:pPr>
              <w:widowControl/>
              <w:spacing w:line="360" w:lineRule="exact"/>
              <w:jc w:val="left"/>
              <w:rPr>
                <w:rFonts w:ascii="宋体" w:hAnsi="宋体" w:cs="宋体"/>
                <w:color w:val="auto"/>
                <w:kern w:val="0"/>
                <w:szCs w:val="21"/>
                <w:highlight w:val="none"/>
              </w:rPr>
            </w:pPr>
            <w:bookmarkStart w:id="6" w:name="_Hlk535071431"/>
            <w:r>
              <w:rPr>
                <w:rFonts w:hint="eastAsia" w:ascii="宋体" w:hAnsi="宋体" w:cs="宋体"/>
                <w:color w:val="auto"/>
                <w:kern w:val="0"/>
                <w:szCs w:val="21"/>
                <w:highlight w:val="none"/>
              </w:rPr>
              <w:t>支持大屏展示网络攻击态势，包括整体网络风险指数、告警总数、攻击次数、攻击IP数、攻击源国家/地区TOP5、攻击态势，并支持自动翻转的攻击全景地图展示</w:t>
            </w:r>
            <w:bookmarkEnd w:id="6"/>
            <w:r>
              <w:rPr>
                <w:rFonts w:hint="eastAsia" w:ascii="宋体" w:hAnsi="宋体" w:cs="宋体"/>
                <w:color w:val="auto"/>
                <w:szCs w:val="21"/>
                <w:highlight w:val="none"/>
              </w:rPr>
              <w:t>。</w:t>
            </w:r>
          </w:p>
        </w:tc>
      </w:tr>
      <w:tr w14:paraId="5CE20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F81D422">
            <w:pPr>
              <w:widowControl/>
              <w:spacing w:line="360" w:lineRule="exact"/>
              <w:jc w:val="center"/>
              <w:rPr>
                <w:rFonts w:ascii="宋体" w:hAnsi="宋体" w:cs="宋体"/>
                <w:color w:val="auto"/>
                <w:kern w:val="0"/>
                <w:szCs w:val="21"/>
                <w:highlight w:val="none"/>
              </w:rPr>
            </w:pPr>
          </w:p>
        </w:tc>
        <w:tc>
          <w:tcPr>
            <w:tcW w:w="6960" w:type="dxa"/>
            <w:tcBorders>
              <w:top w:val="single" w:color="auto" w:sz="4" w:space="0"/>
              <w:left w:val="single" w:color="auto" w:sz="4" w:space="0"/>
              <w:bottom w:val="single" w:color="auto" w:sz="4" w:space="0"/>
              <w:right w:val="single" w:color="auto" w:sz="4" w:space="0"/>
            </w:tcBorders>
            <w:shd w:val="clear" w:color="auto" w:fill="auto"/>
            <w:vAlign w:val="center"/>
          </w:tcPr>
          <w:p w14:paraId="0453EE82">
            <w:pPr>
              <w:widowControl/>
              <w:spacing w:line="360" w:lineRule="exact"/>
              <w:jc w:val="left"/>
              <w:rPr>
                <w:rFonts w:ascii="宋体" w:hAnsi="宋体" w:cs="宋体"/>
                <w:color w:val="auto"/>
                <w:kern w:val="0"/>
                <w:szCs w:val="21"/>
                <w:highlight w:val="none"/>
              </w:rPr>
            </w:pPr>
            <w:bookmarkStart w:id="7" w:name="_Hlk535071448"/>
            <w:r>
              <w:rPr>
                <w:rFonts w:hint="eastAsia" w:ascii="宋体" w:hAnsi="宋体" w:cs="宋体"/>
                <w:color w:val="auto"/>
                <w:kern w:val="0"/>
                <w:szCs w:val="21"/>
                <w:highlight w:val="none"/>
              </w:rPr>
              <w:t>支持大屏展示整体威胁事件态势，包括威胁类型分布、威胁类型TOP5、受害主机TOP5、威胁事件趋势、最新告警事件、威胁星云图</w:t>
            </w:r>
            <w:bookmarkEnd w:id="7"/>
            <w:r>
              <w:rPr>
                <w:rFonts w:hint="eastAsia" w:ascii="宋体" w:hAnsi="宋体" w:cs="宋体"/>
                <w:color w:val="auto"/>
                <w:szCs w:val="21"/>
                <w:highlight w:val="none"/>
              </w:rPr>
              <w:t>。</w:t>
            </w:r>
          </w:p>
        </w:tc>
      </w:tr>
      <w:tr w14:paraId="6BE35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BDF3F62">
            <w:pPr>
              <w:widowControl/>
              <w:spacing w:line="360" w:lineRule="exact"/>
              <w:jc w:val="center"/>
              <w:rPr>
                <w:rFonts w:ascii="宋体" w:hAnsi="宋体" w:cs="宋体"/>
                <w:color w:val="auto"/>
                <w:kern w:val="0"/>
                <w:szCs w:val="21"/>
                <w:highlight w:val="none"/>
              </w:rPr>
            </w:pPr>
          </w:p>
        </w:tc>
        <w:tc>
          <w:tcPr>
            <w:tcW w:w="6960" w:type="dxa"/>
            <w:tcBorders>
              <w:top w:val="single" w:color="auto" w:sz="4" w:space="0"/>
              <w:left w:val="single" w:color="auto" w:sz="4" w:space="0"/>
              <w:bottom w:val="single" w:color="auto" w:sz="4" w:space="0"/>
              <w:right w:val="single" w:color="auto" w:sz="4" w:space="0"/>
            </w:tcBorders>
            <w:shd w:val="clear" w:color="auto" w:fill="auto"/>
            <w:vAlign w:val="center"/>
          </w:tcPr>
          <w:p w14:paraId="3343888A">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支持大屏展示整体资产风险态势，包含资产树结构、资产分类、开放服务统计、网段管理、资产风险趋势、资产风险状态</w:t>
            </w:r>
            <w:r>
              <w:rPr>
                <w:rFonts w:hint="eastAsia" w:ascii="宋体" w:hAnsi="宋体" w:cs="宋体"/>
                <w:color w:val="auto"/>
                <w:szCs w:val="21"/>
                <w:highlight w:val="none"/>
              </w:rPr>
              <w:t>。</w:t>
            </w:r>
          </w:p>
        </w:tc>
      </w:tr>
      <w:tr w14:paraId="4E9AB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AC02151">
            <w:pPr>
              <w:widowControl/>
              <w:spacing w:line="360" w:lineRule="exact"/>
              <w:jc w:val="center"/>
              <w:rPr>
                <w:rFonts w:ascii="宋体" w:hAnsi="宋体" w:cs="宋体"/>
                <w:color w:val="auto"/>
                <w:kern w:val="0"/>
                <w:szCs w:val="21"/>
                <w:highlight w:val="none"/>
              </w:rPr>
            </w:pPr>
          </w:p>
        </w:tc>
        <w:tc>
          <w:tcPr>
            <w:tcW w:w="6960" w:type="dxa"/>
            <w:tcBorders>
              <w:top w:val="single" w:color="auto" w:sz="4" w:space="0"/>
              <w:left w:val="single" w:color="auto" w:sz="4" w:space="0"/>
              <w:bottom w:val="single" w:color="auto" w:sz="4" w:space="0"/>
              <w:right w:val="single" w:color="auto" w:sz="4" w:space="0"/>
            </w:tcBorders>
            <w:shd w:val="clear" w:color="auto" w:fill="auto"/>
            <w:vAlign w:val="center"/>
          </w:tcPr>
          <w:p w14:paraId="217F8507">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支持大屏展示资产包括外部访问、横向访问、内网外联态势</w:t>
            </w:r>
            <w:r>
              <w:rPr>
                <w:rFonts w:hint="eastAsia" w:ascii="宋体" w:hAnsi="宋体" w:cs="宋体"/>
                <w:color w:val="auto"/>
                <w:szCs w:val="21"/>
                <w:highlight w:val="none"/>
              </w:rPr>
              <w:t>。</w:t>
            </w:r>
          </w:p>
        </w:tc>
      </w:tr>
      <w:tr w14:paraId="4F754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854C67C">
            <w:pPr>
              <w:widowControl/>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系统管理</w:t>
            </w:r>
          </w:p>
        </w:tc>
        <w:tc>
          <w:tcPr>
            <w:tcW w:w="6960" w:type="dxa"/>
            <w:tcBorders>
              <w:top w:val="single" w:color="auto" w:sz="4" w:space="0"/>
              <w:left w:val="single" w:color="auto" w:sz="4" w:space="0"/>
              <w:bottom w:val="single" w:color="auto" w:sz="4" w:space="0"/>
              <w:right w:val="single" w:color="auto" w:sz="4" w:space="0"/>
            </w:tcBorders>
            <w:shd w:val="clear" w:color="auto" w:fill="auto"/>
            <w:vAlign w:val="center"/>
          </w:tcPr>
          <w:p w14:paraId="646AA81E">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支持横向扩展至多台设备集群</w:t>
            </w:r>
            <w:r>
              <w:rPr>
                <w:rFonts w:hint="eastAsia" w:ascii="宋体" w:hAnsi="宋体" w:cs="宋体"/>
                <w:color w:val="auto"/>
                <w:szCs w:val="21"/>
                <w:highlight w:val="none"/>
              </w:rPr>
              <w:t>。</w:t>
            </w:r>
          </w:p>
        </w:tc>
      </w:tr>
      <w:tr w14:paraId="66812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DAEB8D3">
            <w:pPr>
              <w:widowControl/>
              <w:spacing w:line="360" w:lineRule="exact"/>
              <w:jc w:val="left"/>
              <w:rPr>
                <w:rFonts w:ascii="宋体" w:hAnsi="宋体" w:cs="宋体"/>
                <w:color w:val="auto"/>
                <w:kern w:val="0"/>
                <w:szCs w:val="21"/>
                <w:highlight w:val="none"/>
              </w:rPr>
            </w:pPr>
          </w:p>
        </w:tc>
        <w:tc>
          <w:tcPr>
            <w:tcW w:w="6960" w:type="dxa"/>
            <w:tcBorders>
              <w:top w:val="single" w:color="auto" w:sz="4" w:space="0"/>
              <w:left w:val="single" w:color="auto" w:sz="4" w:space="0"/>
              <w:bottom w:val="single" w:color="auto" w:sz="4" w:space="0"/>
              <w:right w:val="single" w:color="auto" w:sz="4" w:space="0"/>
            </w:tcBorders>
            <w:shd w:val="clear" w:color="auto" w:fill="auto"/>
            <w:vAlign w:val="center"/>
          </w:tcPr>
          <w:p w14:paraId="75CEE3C9">
            <w:pPr>
              <w:widowControl/>
              <w:spacing w:line="360" w:lineRule="exact"/>
              <w:jc w:val="left"/>
              <w:rPr>
                <w:rFonts w:ascii="宋体" w:hAnsi="宋体" w:cs="宋体"/>
                <w:b/>
                <w:bCs/>
                <w:color w:val="auto"/>
                <w:kern w:val="0"/>
                <w:szCs w:val="21"/>
                <w:highlight w:val="none"/>
              </w:rPr>
            </w:pPr>
            <w:r>
              <w:rPr>
                <w:rFonts w:hint="eastAsia" w:ascii="宋体" w:hAnsi="宋体" w:cs="宋体"/>
                <w:color w:val="auto"/>
                <w:kern w:val="0"/>
                <w:szCs w:val="21"/>
                <w:highlight w:val="none"/>
              </w:rPr>
              <w:t>本系统需与省高院现有的威胁情报分析平台对接。</w:t>
            </w:r>
          </w:p>
        </w:tc>
      </w:tr>
      <w:tr w14:paraId="59EAE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430A010">
            <w:pPr>
              <w:widowControl/>
              <w:spacing w:line="360" w:lineRule="exact"/>
              <w:jc w:val="left"/>
              <w:rPr>
                <w:rFonts w:ascii="宋体" w:hAnsi="宋体" w:cs="宋体"/>
                <w:color w:val="auto"/>
                <w:kern w:val="0"/>
                <w:szCs w:val="21"/>
                <w:highlight w:val="none"/>
              </w:rPr>
            </w:pPr>
          </w:p>
        </w:tc>
        <w:tc>
          <w:tcPr>
            <w:tcW w:w="6960" w:type="dxa"/>
            <w:tcBorders>
              <w:top w:val="single" w:color="auto" w:sz="4" w:space="0"/>
              <w:left w:val="single" w:color="auto" w:sz="4" w:space="0"/>
              <w:bottom w:val="single" w:color="auto" w:sz="4" w:space="0"/>
              <w:right w:val="single" w:color="auto" w:sz="4" w:space="0"/>
            </w:tcBorders>
            <w:shd w:val="clear" w:color="auto" w:fill="auto"/>
            <w:vAlign w:val="center"/>
          </w:tcPr>
          <w:p w14:paraId="486E0B98">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提供告警展示场景，支持展示场景的切换。每个告警展示场景中支持自定义页面数据展示的范围，方便管理人员的日常运维工作。</w:t>
            </w:r>
          </w:p>
        </w:tc>
      </w:tr>
    </w:tbl>
    <w:p w14:paraId="61598D4E">
      <w:pPr>
        <w:keepNext/>
        <w:keepLines/>
        <w:spacing w:line="360" w:lineRule="auto"/>
        <w:outlineLvl w:val="0"/>
        <w:rPr>
          <w:rFonts w:ascii="宋体" w:hAnsi="宋体" w:cs="宋体"/>
          <w:b/>
          <w:color w:val="auto"/>
          <w:szCs w:val="21"/>
          <w:highlight w:val="none"/>
        </w:rPr>
      </w:pPr>
      <w:r>
        <w:rPr>
          <w:rFonts w:hint="eastAsia" w:ascii="宋体" w:hAnsi="宋体" w:cs="宋体"/>
          <w:b/>
          <w:color w:val="auto"/>
          <w:szCs w:val="21"/>
          <w:highlight w:val="none"/>
        </w:rPr>
        <w:t>12．威胁情报收集服务</w:t>
      </w:r>
    </w:p>
    <w:tbl>
      <w:tblPr>
        <w:tblStyle w:val="2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9"/>
        <w:gridCol w:w="1208"/>
        <w:gridCol w:w="6845"/>
      </w:tblGrid>
      <w:tr w14:paraId="7925D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7" w:type="dxa"/>
            <w:gridSpan w:val="2"/>
            <w:shd w:val="clear" w:color="auto" w:fill="auto"/>
            <w:vAlign w:val="center"/>
          </w:tcPr>
          <w:p w14:paraId="673F8F4A">
            <w:pPr>
              <w:spacing w:line="360" w:lineRule="exact"/>
              <w:jc w:val="center"/>
              <w:rPr>
                <w:rFonts w:ascii="宋体" w:hAnsi="宋体" w:cs="宋体"/>
                <w:b/>
                <w:color w:val="auto"/>
                <w:kern w:val="0"/>
                <w:szCs w:val="21"/>
                <w:highlight w:val="none"/>
              </w:rPr>
            </w:pPr>
            <w:r>
              <w:rPr>
                <w:rFonts w:hint="eastAsia" w:ascii="宋体" w:hAnsi="宋体" w:cs="宋体"/>
                <w:b/>
                <w:bCs/>
                <w:color w:val="auto"/>
                <w:szCs w:val="21"/>
                <w:highlight w:val="none"/>
              </w:rPr>
              <w:t>技术指标</w:t>
            </w:r>
          </w:p>
        </w:tc>
        <w:tc>
          <w:tcPr>
            <w:tcW w:w="6845" w:type="dxa"/>
            <w:shd w:val="clear" w:color="auto" w:fill="auto"/>
            <w:vAlign w:val="center"/>
          </w:tcPr>
          <w:p w14:paraId="396995AD">
            <w:pPr>
              <w:spacing w:line="360" w:lineRule="exact"/>
              <w:jc w:val="center"/>
              <w:rPr>
                <w:rFonts w:ascii="宋体" w:hAnsi="宋体" w:cs="宋体"/>
                <w:b/>
                <w:color w:val="auto"/>
                <w:kern w:val="0"/>
                <w:szCs w:val="21"/>
                <w:highlight w:val="none"/>
              </w:rPr>
            </w:pPr>
            <w:r>
              <w:rPr>
                <w:rFonts w:hint="eastAsia" w:ascii="宋体" w:hAnsi="宋体" w:cs="宋体"/>
                <w:b/>
                <w:bCs/>
                <w:color w:val="auto"/>
                <w:szCs w:val="21"/>
                <w:highlight w:val="none"/>
              </w:rPr>
              <w:t>技术要求</w:t>
            </w:r>
          </w:p>
        </w:tc>
      </w:tr>
      <w:tr w14:paraId="032C8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4" w:type="pct"/>
            <w:gridSpan w:val="2"/>
            <w:shd w:val="clear" w:color="auto" w:fill="auto"/>
            <w:vAlign w:val="center"/>
          </w:tcPr>
          <w:p w14:paraId="4D56A273">
            <w:pPr>
              <w:widowControl/>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服务工具基本要求</w:t>
            </w:r>
          </w:p>
        </w:tc>
        <w:tc>
          <w:tcPr>
            <w:tcW w:w="4016" w:type="pct"/>
            <w:shd w:val="clear" w:color="auto" w:fill="auto"/>
            <w:vAlign w:val="center"/>
          </w:tcPr>
          <w:p w14:paraId="34E89296">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千兆电口≥4个，流量吞吐≥1Gbps，并发会话≥150W，新建会话≥1W，内存≥32GB，硬盘容量≥1T。</w:t>
            </w:r>
          </w:p>
        </w:tc>
      </w:tr>
      <w:tr w14:paraId="5209B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 w:type="pct"/>
            <w:vMerge w:val="restart"/>
            <w:shd w:val="clear" w:color="auto" w:fill="auto"/>
            <w:vAlign w:val="center"/>
          </w:tcPr>
          <w:p w14:paraId="063B7953">
            <w:pPr>
              <w:widowControl/>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流量采集</w:t>
            </w:r>
          </w:p>
        </w:tc>
        <w:tc>
          <w:tcPr>
            <w:tcW w:w="709" w:type="pct"/>
            <w:shd w:val="clear" w:color="auto" w:fill="auto"/>
            <w:vAlign w:val="center"/>
          </w:tcPr>
          <w:p w14:paraId="07850D5A">
            <w:pPr>
              <w:widowControl/>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网络协议</w:t>
            </w:r>
          </w:p>
        </w:tc>
        <w:tc>
          <w:tcPr>
            <w:tcW w:w="4016" w:type="pct"/>
            <w:shd w:val="clear" w:color="auto" w:fill="auto"/>
            <w:vAlign w:val="center"/>
          </w:tcPr>
          <w:p w14:paraId="5EEFF871">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支持常见协议识别并还原网络流量，用于取证分析、威胁发现，支持：http、dns、smtp、pop3、imap、webmail、DB2、Oracle、MySQL、sql server、Sybase、SMB、FTP、SNMP、telnet、nfs等</w:t>
            </w:r>
            <w:r>
              <w:rPr>
                <w:rFonts w:hint="eastAsia" w:ascii="宋体" w:hAnsi="宋体" w:cs="宋体"/>
                <w:color w:val="auto"/>
                <w:szCs w:val="21"/>
                <w:highlight w:val="none"/>
              </w:rPr>
              <w:t>。</w:t>
            </w:r>
          </w:p>
        </w:tc>
      </w:tr>
      <w:tr w14:paraId="66FFD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 w:type="pct"/>
            <w:vMerge w:val="continue"/>
            <w:shd w:val="clear" w:color="auto" w:fill="auto"/>
            <w:vAlign w:val="center"/>
          </w:tcPr>
          <w:p w14:paraId="17BB384E">
            <w:pPr>
              <w:widowControl/>
              <w:spacing w:line="360" w:lineRule="exact"/>
              <w:jc w:val="center"/>
              <w:rPr>
                <w:rFonts w:ascii="宋体" w:hAnsi="宋体" w:cs="宋体"/>
                <w:color w:val="auto"/>
                <w:kern w:val="0"/>
                <w:szCs w:val="21"/>
                <w:highlight w:val="none"/>
              </w:rPr>
            </w:pPr>
          </w:p>
        </w:tc>
        <w:tc>
          <w:tcPr>
            <w:tcW w:w="709" w:type="pct"/>
            <w:shd w:val="clear" w:color="auto" w:fill="auto"/>
            <w:vAlign w:val="center"/>
          </w:tcPr>
          <w:p w14:paraId="248A1CA3">
            <w:pPr>
              <w:widowControl/>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文件协议</w:t>
            </w:r>
          </w:p>
        </w:tc>
        <w:tc>
          <w:tcPr>
            <w:tcW w:w="4016" w:type="pct"/>
            <w:shd w:val="clear" w:color="auto" w:fill="auto"/>
            <w:vAlign w:val="center"/>
          </w:tcPr>
          <w:p w14:paraId="1D74C91A">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支持对流量中出现文件传输行为进行发现和还原，并记录文件MD5发送至分析设备，如可执行文件（EXE、DLL、OCX、SYS、COM、apk等）、压缩格式文件（RAR、ZIP、GZ、7Z等）、文档类型文件（word、excel、pdf、rtf、ppt等）</w:t>
            </w:r>
            <w:r>
              <w:rPr>
                <w:rFonts w:hint="eastAsia" w:ascii="宋体" w:hAnsi="宋体" w:cs="宋体"/>
                <w:color w:val="auto"/>
                <w:szCs w:val="21"/>
                <w:highlight w:val="none"/>
              </w:rPr>
              <w:t>。</w:t>
            </w:r>
          </w:p>
        </w:tc>
      </w:tr>
      <w:tr w14:paraId="2A66D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 w:type="pct"/>
            <w:vMerge w:val="continue"/>
            <w:shd w:val="clear" w:color="auto" w:fill="auto"/>
            <w:vAlign w:val="center"/>
          </w:tcPr>
          <w:p w14:paraId="6FDE1684">
            <w:pPr>
              <w:widowControl/>
              <w:spacing w:line="360" w:lineRule="exact"/>
              <w:jc w:val="center"/>
              <w:rPr>
                <w:rFonts w:ascii="宋体" w:hAnsi="宋体" w:cs="宋体"/>
                <w:color w:val="auto"/>
                <w:kern w:val="0"/>
                <w:szCs w:val="21"/>
                <w:highlight w:val="none"/>
              </w:rPr>
            </w:pPr>
          </w:p>
        </w:tc>
        <w:tc>
          <w:tcPr>
            <w:tcW w:w="709" w:type="pct"/>
            <w:shd w:val="clear" w:color="auto" w:fill="auto"/>
            <w:vAlign w:val="center"/>
          </w:tcPr>
          <w:p w14:paraId="1C42E4A1">
            <w:pPr>
              <w:widowControl/>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数据库协议</w:t>
            </w:r>
          </w:p>
        </w:tc>
        <w:tc>
          <w:tcPr>
            <w:tcW w:w="4016" w:type="pct"/>
            <w:shd w:val="clear" w:color="auto" w:fill="auto"/>
            <w:vAlign w:val="center"/>
          </w:tcPr>
          <w:p w14:paraId="68F0663E">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支持常见数据库协议的识别或还原：DB2、Oracle、SQL Server、MySQL、PostgreSQL等协议</w:t>
            </w:r>
            <w:r>
              <w:rPr>
                <w:rFonts w:hint="eastAsia" w:ascii="宋体" w:hAnsi="宋体" w:cs="宋体"/>
                <w:color w:val="auto"/>
                <w:szCs w:val="21"/>
                <w:highlight w:val="none"/>
              </w:rPr>
              <w:t>。</w:t>
            </w:r>
          </w:p>
        </w:tc>
      </w:tr>
      <w:tr w14:paraId="3338C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 w:type="pct"/>
            <w:vMerge w:val="continue"/>
            <w:shd w:val="clear" w:color="auto" w:fill="auto"/>
            <w:vAlign w:val="center"/>
          </w:tcPr>
          <w:p w14:paraId="375CD8C7">
            <w:pPr>
              <w:widowControl/>
              <w:spacing w:line="360" w:lineRule="exact"/>
              <w:jc w:val="center"/>
              <w:rPr>
                <w:rFonts w:ascii="宋体" w:hAnsi="宋体" w:cs="宋体"/>
                <w:color w:val="auto"/>
                <w:kern w:val="0"/>
                <w:szCs w:val="21"/>
                <w:highlight w:val="none"/>
              </w:rPr>
            </w:pPr>
          </w:p>
        </w:tc>
        <w:tc>
          <w:tcPr>
            <w:tcW w:w="709" w:type="pct"/>
            <w:shd w:val="clear" w:color="auto" w:fill="auto"/>
            <w:vAlign w:val="center"/>
          </w:tcPr>
          <w:p w14:paraId="7F508D5B">
            <w:pPr>
              <w:widowControl/>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会话流量</w:t>
            </w:r>
          </w:p>
        </w:tc>
        <w:tc>
          <w:tcPr>
            <w:tcW w:w="4016" w:type="pct"/>
            <w:shd w:val="clear" w:color="auto" w:fill="auto"/>
            <w:vAlign w:val="center"/>
          </w:tcPr>
          <w:p w14:paraId="0C7563C2">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支持TCP/UDP会话记录、异常流量会话记录、web访问记录、域名解析、SQL访问记录、邮件行为、登录情况、文件传输、FTP控制通道、SSL加密协商、telnet行为、IM通信等行为描述</w:t>
            </w:r>
            <w:r>
              <w:rPr>
                <w:rFonts w:hint="eastAsia" w:ascii="宋体" w:hAnsi="宋体" w:cs="宋体"/>
                <w:color w:val="auto"/>
                <w:szCs w:val="21"/>
                <w:highlight w:val="none"/>
              </w:rPr>
              <w:t>。</w:t>
            </w:r>
          </w:p>
        </w:tc>
      </w:tr>
      <w:tr w14:paraId="2BA06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275" w:type="pct"/>
            <w:vMerge w:val="continue"/>
            <w:shd w:val="clear" w:color="auto" w:fill="auto"/>
            <w:vAlign w:val="center"/>
          </w:tcPr>
          <w:p w14:paraId="15D725E5">
            <w:pPr>
              <w:widowControl/>
              <w:spacing w:line="360" w:lineRule="exact"/>
              <w:jc w:val="center"/>
              <w:rPr>
                <w:rFonts w:ascii="宋体" w:hAnsi="宋体" w:cs="宋体"/>
                <w:color w:val="auto"/>
                <w:kern w:val="0"/>
                <w:szCs w:val="21"/>
                <w:highlight w:val="none"/>
              </w:rPr>
            </w:pPr>
          </w:p>
        </w:tc>
        <w:tc>
          <w:tcPr>
            <w:tcW w:w="709" w:type="pct"/>
            <w:tcBorders>
              <w:bottom w:val="single" w:color="auto" w:sz="4" w:space="0"/>
            </w:tcBorders>
            <w:shd w:val="clear" w:color="auto" w:fill="auto"/>
            <w:vAlign w:val="center"/>
          </w:tcPr>
          <w:p w14:paraId="42578772">
            <w:pPr>
              <w:widowControl/>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自定义协议</w:t>
            </w:r>
          </w:p>
        </w:tc>
        <w:tc>
          <w:tcPr>
            <w:tcW w:w="4016" w:type="pct"/>
            <w:tcBorders>
              <w:bottom w:val="single" w:color="auto" w:sz="4" w:space="0"/>
            </w:tcBorders>
            <w:shd w:val="clear" w:color="auto" w:fill="auto"/>
            <w:vAlign w:val="center"/>
          </w:tcPr>
          <w:p w14:paraId="004E31C4">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支持自定义协议和端口，满足特殊场景下的流量抓取</w:t>
            </w:r>
            <w:r>
              <w:rPr>
                <w:rFonts w:hint="eastAsia" w:ascii="宋体" w:hAnsi="宋体" w:cs="宋体"/>
                <w:color w:val="auto"/>
                <w:szCs w:val="21"/>
                <w:highlight w:val="none"/>
              </w:rPr>
              <w:t>。</w:t>
            </w:r>
          </w:p>
        </w:tc>
      </w:tr>
      <w:tr w14:paraId="1FF76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 w:type="pct"/>
            <w:vMerge w:val="restart"/>
            <w:shd w:val="clear" w:color="auto" w:fill="auto"/>
            <w:vAlign w:val="center"/>
          </w:tcPr>
          <w:p w14:paraId="1F8BFBB2">
            <w:pPr>
              <w:widowControl/>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威胁检测</w:t>
            </w:r>
          </w:p>
        </w:tc>
        <w:tc>
          <w:tcPr>
            <w:tcW w:w="709" w:type="pct"/>
            <w:shd w:val="clear" w:color="auto" w:fill="auto"/>
            <w:vAlign w:val="center"/>
          </w:tcPr>
          <w:p w14:paraId="1D799B49">
            <w:pPr>
              <w:widowControl/>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威胁情报</w:t>
            </w:r>
          </w:p>
        </w:tc>
        <w:tc>
          <w:tcPr>
            <w:tcW w:w="4016" w:type="pct"/>
            <w:shd w:val="clear" w:color="auto" w:fill="auto"/>
            <w:vAlign w:val="center"/>
          </w:tcPr>
          <w:p w14:paraId="28CA5130">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支持基于流量实时IOC匹配功能，设备具备主流的IOC，情报总量200+万条。</w:t>
            </w:r>
          </w:p>
        </w:tc>
      </w:tr>
      <w:tr w14:paraId="4FBE6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 w:type="pct"/>
            <w:vMerge w:val="continue"/>
            <w:shd w:val="clear" w:color="auto" w:fill="auto"/>
            <w:vAlign w:val="center"/>
          </w:tcPr>
          <w:p w14:paraId="14158E22">
            <w:pPr>
              <w:widowControl/>
              <w:spacing w:line="360" w:lineRule="exact"/>
              <w:jc w:val="center"/>
              <w:rPr>
                <w:rFonts w:ascii="宋体" w:hAnsi="宋体" w:cs="宋体"/>
                <w:color w:val="auto"/>
                <w:kern w:val="0"/>
                <w:szCs w:val="21"/>
                <w:highlight w:val="none"/>
              </w:rPr>
            </w:pPr>
          </w:p>
        </w:tc>
        <w:tc>
          <w:tcPr>
            <w:tcW w:w="709" w:type="pct"/>
            <w:vMerge w:val="restart"/>
            <w:shd w:val="clear" w:color="auto" w:fill="auto"/>
            <w:vAlign w:val="center"/>
          </w:tcPr>
          <w:p w14:paraId="1B827394">
            <w:pPr>
              <w:widowControl/>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Web攻击检测</w:t>
            </w:r>
          </w:p>
        </w:tc>
        <w:tc>
          <w:tcPr>
            <w:tcW w:w="4016" w:type="pct"/>
            <w:shd w:val="clear" w:color="auto" w:fill="auto"/>
            <w:vAlign w:val="center"/>
          </w:tcPr>
          <w:p w14:paraId="58A8C1F9">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支持检测针对WEB应用的攻击，如SQL注入、XSS、系统配置等注入型攻击</w:t>
            </w:r>
            <w:r>
              <w:rPr>
                <w:rFonts w:hint="eastAsia" w:ascii="宋体" w:hAnsi="宋体" w:cs="宋体"/>
                <w:color w:val="auto"/>
                <w:szCs w:val="21"/>
                <w:highlight w:val="none"/>
              </w:rPr>
              <w:t>。</w:t>
            </w:r>
          </w:p>
        </w:tc>
      </w:tr>
      <w:tr w14:paraId="32DF0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 w:type="pct"/>
            <w:vMerge w:val="continue"/>
            <w:shd w:val="clear" w:color="auto" w:fill="auto"/>
            <w:vAlign w:val="center"/>
          </w:tcPr>
          <w:p w14:paraId="1AD7B90F">
            <w:pPr>
              <w:widowControl/>
              <w:spacing w:line="360" w:lineRule="exact"/>
              <w:jc w:val="center"/>
              <w:rPr>
                <w:rFonts w:ascii="宋体" w:hAnsi="宋体" w:cs="宋体"/>
                <w:color w:val="auto"/>
                <w:kern w:val="0"/>
                <w:szCs w:val="21"/>
                <w:highlight w:val="none"/>
              </w:rPr>
            </w:pPr>
          </w:p>
        </w:tc>
        <w:tc>
          <w:tcPr>
            <w:tcW w:w="709" w:type="pct"/>
            <w:vMerge w:val="continue"/>
            <w:shd w:val="clear" w:color="auto" w:fill="auto"/>
            <w:vAlign w:val="center"/>
          </w:tcPr>
          <w:p w14:paraId="02792900">
            <w:pPr>
              <w:widowControl/>
              <w:spacing w:line="360" w:lineRule="exact"/>
              <w:jc w:val="center"/>
              <w:rPr>
                <w:rFonts w:ascii="宋体" w:hAnsi="宋体" w:cs="宋体"/>
                <w:color w:val="auto"/>
                <w:kern w:val="0"/>
                <w:szCs w:val="21"/>
                <w:highlight w:val="none"/>
              </w:rPr>
            </w:pPr>
          </w:p>
        </w:tc>
        <w:tc>
          <w:tcPr>
            <w:tcW w:w="4016" w:type="pct"/>
            <w:shd w:val="clear" w:color="auto" w:fill="auto"/>
            <w:vAlign w:val="center"/>
          </w:tcPr>
          <w:p w14:paraId="0DF1B5A0">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支持跨站请求伪造CSRF攻击检测</w:t>
            </w:r>
            <w:r>
              <w:rPr>
                <w:rFonts w:hint="eastAsia" w:ascii="宋体" w:hAnsi="宋体" w:cs="宋体"/>
                <w:color w:val="auto"/>
                <w:szCs w:val="21"/>
                <w:highlight w:val="none"/>
              </w:rPr>
              <w:t>。</w:t>
            </w:r>
          </w:p>
        </w:tc>
      </w:tr>
      <w:tr w14:paraId="2B97D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 w:type="pct"/>
            <w:vMerge w:val="continue"/>
            <w:shd w:val="clear" w:color="auto" w:fill="auto"/>
            <w:vAlign w:val="center"/>
          </w:tcPr>
          <w:p w14:paraId="703E0E42">
            <w:pPr>
              <w:widowControl/>
              <w:spacing w:line="360" w:lineRule="exact"/>
              <w:jc w:val="center"/>
              <w:rPr>
                <w:rFonts w:ascii="宋体" w:hAnsi="宋体" w:cs="宋体"/>
                <w:color w:val="auto"/>
                <w:kern w:val="0"/>
                <w:szCs w:val="21"/>
                <w:highlight w:val="none"/>
              </w:rPr>
            </w:pPr>
          </w:p>
        </w:tc>
        <w:tc>
          <w:tcPr>
            <w:tcW w:w="709" w:type="pct"/>
            <w:vMerge w:val="continue"/>
            <w:shd w:val="clear" w:color="auto" w:fill="auto"/>
            <w:vAlign w:val="center"/>
          </w:tcPr>
          <w:p w14:paraId="4EB062E9">
            <w:pPr>
              <w:widowControl/>
              <w:spacing w:line="360" w:lineRule="exact"/>
              <w:jc w:val="center"/>
              <w:rPr>
                <w:rFonts w:ascii="宋体" w:hAnsi="宋体" w:cs="宋体"/>
                <w:color w:val="auto"/>
                <w:kern w:val="0"/>
                <w:szCs w:val="21"/>
                <w:highlight w:val="none"/>
              </w:rPr>
            </w:pPr>
          </w:p>
        </w:tc>
        <w:tc>
          <w:tcPr>
            <w:tcW w:w="4016" w:type="pct"/>
            <w:shd w:val="clear" w:color="auto" w:fill="auto"/>
            <w:vAlign w:val="center"/>
          </w:tcPr>
          <w:p w14:paraId="1D3E7D54">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支持其他类型的WEB攻击，如目录遍历、弱口令、权限绕过、信息泄露、文件包含、文件写入攻击等检测</w:t>
            </w:r>
            <w:r>
              <w:rPr>
                <w:rFonts w:hint="eastAsia" w:ascii="宋体" w:hAnsi="宋体" w:cs="宋体"/>
                <w:color w:val="auto"/>
                <w:szCs w:val="21"/>
                <w:highlight w:val="none"/>
              </w:rPr>
              <w:t>。</w:t>
            </w:r>
          </w:p>
        </w:tc>
      </w:tr>
      <w:tr w14:paraId="6A476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 w:type="pct"/>
            <w:vMerge w:val="continue"/>
            <w:shd w:val="clear" w:color="auto" w:fill="auto"/>
            <w:vAlign w:val="center"/>
          </w:tcPr>
          <w:p w14:paraId="3A62B965">
            <w:pPr>
              <w:widowControl/>
              <w:spacing w:line="360" w:lineRule="exact"/>
              <w:jc w:val="center"/>
              <w:rPr>
                <w:rFonts w:ascii="宋体" w:hAnsi="宋体" w:cs="宋体"/>
                <w:color w:val="auto"/>
                <w:kern w:val="0"/>
                <w:szCs w:val="21"/>
                <w:highlight w:val="none"/>
              </w:rPr>
            </w:pPr>
          </w:p>
        </w:tc>
        <w:tc>
          <w:tcPr>
            <w:tcW w:w="709" w:type="pct"/>
            <w:vMerge w:val="restart"/>
            <w:shd w:val="clear" w:color="auto" w:fill="auto"/>
            <w:vAlign w:val="center"/>
          </w:tcPr>
          <w:p w14:paraId="676BD4CC">
            <w:pPr>
              <w:widowControl/>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Webshell攻击检测</w:t>
            </w:r>
          </w:p>
        </w:tc>
        <w:tc>
          <w:tcPr>
            <w:tcW w:w="4016" w:type="pct"/>
            <w:shd w:val="clear" w:color="auto" w:fill="auto"/>
            <w:vAlign w:val="center"/>
          </w:tcPr>
          <w:p w14:paraId="40811FB3">
            <w:pPr>
              <w:widowControl/>
              <w:spacing w:line="360" w:lineRule="exact"/>
              <w:jc w:val="left"/>
              <w:rPr>
                <w:rFonts w:ascii="宋体" w:hAnsi="宋体" w:cs="宋体"/>
                <w:color w:val="auto"/>
                <w:kern w:val="0"/>
                <w:szCs w:val="21"/>
                <w:highlight w:val="none"/>
              </w:rPr>
            </w:pPr>
            <w:bookmarkStart w:id="8" w:name="_Hlk535070730"/>
            <w:r>
              <w:rPr>
                <w:rFonts w:hint="eastAsia" w:ascii="宋体" w:hAnsi="宋体" w:cs="宋体"/>
                <w:color w:val="auto"/>
                <w:kern w:val="0"/>
                <w:szCs w:val="21"/>
                <w:highlight w:val="none"/>
              </w:rPr>
              <w:t>支持基于工具特征的WEBSHELL检测，能通过系统调用、系统配置、文件的操作来及时发现威胁；如：中国菜刀、小马上传工具、小马生成器等</w:t>
            </w:r>
            <w:bookmarkEnd w:id="8"/>
            <w:r>
              <w:rPr>
                <w:rFonts w:hint="eastAsia" w:ascii="宋体" w:hAnsi="宋体" w:cs="宋体"/>
                <w:color w:val="auto"/>
                <w:kern w:val="0"/>
                <w:szCs w:val="21"/>
                <w:highlight w:val="none"/>
              </w:rPr>
              <w:t>。</w:t>
            </w:r>
          </w:p>
        </w:tc>
      </w:tr>
      <w:tr w14:paraId="7C742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 w:type="pct"/>
            <w:vMerge w:val="continue"/>
            <w:shd w:val="clear" w:color="auto" w:fill="auto"/>
            <w:vAlign w:val="center"/>
          </w:tcPr>
          <w:p w14:paraId="568C29FB">
            <w:pPr>
              <w:widowControl/>
              <w:spacing w:line="360" w:lineRule="exact"/>
              <w:jc w:val="center"/>
              <w:rPr>
                <w:rFonts w:ascii="宋体" w:hAnsi="宋体" w:cs="宋体"/>
                <w:color w:val="auto"/>
                <w:kern w:val="0"/>
                <w:szCs w:val="21"/>
                <w:highlight w:val="none"/>
              </w:rPr>
            </w:pPr>
          </w:p>
        </w:tc>
        <w:tc>
          <w:tcPr>
            <w:tcW w:w="709" w:type="pct"/>
            <w:vMerge w:val="continue"/>
            <w:shd w:val="clear" w:color="auto" w:fill="auto"/>
            <w:vAlign w:val="center"/>
          </w:tcPr>
          <w:p w14:paraId="5F68568D">
            <w:pPr>
              <w:widowControl/>
              <w:spacing w:line="360" w:lineRule="exact"/>
              <w:jc w:val="center"/>
              <w:rPr>
                <w:rFonts w:ascii="宋体" w:hAnsi="宋体" w:cs="宋体"/>
                <w:color w:val="auto"/>
                <w:kern w:val="0"/>
                <w:szCs w:val="21"/>
                <w:highlight w:val="none"/>
              </w:rPr>
            </w:pPr>
          </w:p>
        </w:tc>
        <w:tc>
          <w:tcPr>
            <w:tcW w:w="4016" w:type="pct"/>
            <w:shd w:val="clear" w:color="auto" w:fill="auto"/>
            <w:vAlign w:val="center"/>
          </w:tcPr>
          <w:p w14:paraId="33944DC6">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支持基于webshell函数的攻击检测，如文件包含漏洞、任意文件写入、任意目录读取、任意文件包含、preg_replace代码执行等。</w:t>
            </w:r>
          </w:p>
        </w:tc>
      </w:tr>
      <w:tr w14:paraId="7EE18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 w:type="pct"/>
            <w:vMerge w:val="continue"/>
            <w:shd w:val="clear" w:color="auto" w:fill="auto"/>
            <w:vAlign w:val="center"/>
          </w:tcPr>
          <w:p w14:paraId="5C40D4DA">
            <w:pPr>
              <w:widowControl/>
              <w:spacing w:line="360" w:lineRule="exact"/>
              <w:jc w:val="center"/>
              <w:rPr>
                <w:rFonts w:ascii="宋体" w:hAnsi="宋体" w:cs="宋体"/>
                <w:color w:val="auto"/>
                <w:kern w:val="0"/>
                <w:szCs w:val="21"/>
                <w:highlight w:val="none"/>
              </w:rPr>
            </w:pPr>
          </w:p>
        </w:tc>
        <w:tc>
          <w:tcPr>
            <w:tcW w:w="709" w:type="pct"/>
            <w:vMerge w:val="continue"/>
            <w:shd w:val="clear" w:color="auto" w:fill="auto"/>
            <w:vAlign w:val="center"/>
          </w:tcPr>
          <w:p w14:paraId="42FA78B6">
            <w:pPr>
              <w:widowControl/>
              <w:spacing w:line="360" w:lineRule="exact"/>
              <w:jc w:val="center"/>
              <w:rPr>
                <w:rFonts w:ascii="宋体" w:hAnsi="宋体" w:cs="宋体"/>
                <w:color w:val="auto"/>
                <w:kern w:val="0"/>
                <w:szCs w:val="21"/>
                <w:highlight w:val="none"/>
              </w:rPr>
            </w:pPr>
          </w:p>
        </w:tc>
        <w:tc>
          <w:tcPr>
            <w:tcW w:w="4016" w:type="pct"/>
            <w:shd w:val="clear" w:color="auto" w:fill="auto"/>
            <w:vAlign w:val="center"/>
          </w:tcPr>
          <w:p w14:paraId="43062681">
            <w:pPr>
              <w:widowControl/>
              <w:spacing w:line="360" w:lineRule="exact"/>
              <w:jc w:val="left"/>
              <w:rPr>
                <w:rFonts w:ascii="宋体" w:hAnsi="宋体" w:cs="宋体"/>
                <w:color w:val="auto"/>
                <w:kern w:val="0"/>
                <w:szCs w:val="21"/>
                <w:highlight w:val="none"/>
              </w:rPr>
            </w:pPr>
            <w:bookmarkStart w:id="9" w:name="_Hlk535070922"/>
            <w:r>
              <w:rPr>
                <w:rFonts w:hint="eastAsia" w:ascii="宋体" w:hAnsi="宋体" w:cs="宋体"/>
                <w:color w:val="auto"/>
                <w:kern w:val="0"/>
                <w:szCs w:val="21"/>
                <w:highlight w:val="none"/>
              </w:rPr>
              <w:t>支持基于代理程序的攻击检测，如TCP代理程序、HTTP代理程序等</w:t>
            </w:r>
            <w:bookmarkEnd w:id="9"/>
            <w:r>
              <w:rPr>
                <w:rFonts w:hint="eastAsia" w:ascii="宋体" w:hAnsi="宋体" w:cs="宋体"/>
                <w:color w:val="auto"/>
                <w:szCs w:val="21"/>
                <w:highlight w:val="none"/>
              </w:rPr>
              <w:t>。</w:t>
            </w:r>
          </w:p>
        </w:tc>
      </w:tr>
      <w:tr w14:paraId="0B51B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 w:type="pct"/>
            <w:vMerge w:val="continue"/>
            <w:shd w:val="clear" w:color="auto" w:fill="auto"/>
            <w:vAlign w:val="center"/>
          </w:tcPr>
          <w:p w14:paraId="45BDB0A9">
            <w:pPr>
              <w:widowControl/>
              <w:spacing w:line="360" w:lineRule="exact"/>
              <w:jc w:val="center"/>
              <w:rPr>
                <w:rFonts w:ascii="宋体" w:hAnsi="宋体" w:cs="宋体"/>
                <w:color w:val="auto"/>
                <w:kern w:val="0"/>
                <w:szCs w:val="21"/>
                <w:highlight w:val="none"/>
              </w:rPr>
            </w:pPr>
          </w:p>
        </w:tc>
        <w:tc>
          <w:tcPr>
            <w:tcW w:w="709" w:type="pct"/>
            <w:shd w:val="clear" w:color="auto" w:fill="auto"/>
            <w:vAlign w:val="center"/>
          </w:tcPr>
          <w:p w14:paraId="0ACC97F9">
            <w:pPr>
              <w:widowControl/>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网络攻击检测</w:t>
            </w:r>
          </w:p>
        </w:tc>
        <w:tc>
          <w:tcPr>
            <w:tcW w:w="4016" w:type="pct"/>
            <w:shd w:val="clear" w:color="auto" w:fill="auto"/>
            <w:vAlign w:val="center"/>
          </w:tcPr>
          <w:p w14:paraId="34AF2813">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支持多种攻击检测，能更全面的从流量中发现威胁，如：协议异常、网络欺骗、黑市攻击、代码执行等</w:t>
            </w:r>
            <w:r>
              <w:rPr>
                <w:rFonts w:hint="eastAsia" w:ascii="宋体" w:hAnsi="宋体" w:cs="宋体"/>
                <w:color w:val="auto"/>
                <w:szCs w:val="21"/>
                <w:highlight w:val="none"/>
              </w:rPr>
              <w:t>。</w:t>
            </w:r>
          </w:p>
        </w:tc>
      </w:tr>
      <w:tr w14:paraId="1199E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 w:type="pct"/>
            <w:vMerge w:val="restart"/>
            <w:shd w:val="clear" w:color="auto" w:fill="auto"/>
            <w:vAlign w:val="center"/>
          </w:tcPr>
          <w:p w14:paraId="015F2856">
            <w:pPr>
              <w:widowControl/>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策略配置</w:t>
            </w:r>
          </w:p>
        </w:tc>
        <w:tc>
          <w:tcPr>
            <w:tcW w:w="709" w:type="pct"/>
            <w:shd w:val="clear" w:color="auto" w:fill="auto"/>
            <w:vAlign w:val="center"/>
          </w:tcPr>
          <w:p w14:paraId="05D05B55">
            <w:pPr>
              <w:widowControl/>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文件还原</w:t>
            </w:r>
          </w:p>
        </w:tc>
        <w:tc>
          <w:tcPr>
            <w:tcW w:w="4016" w:type="pct"/>
            <w:shd w:val="clear" w:color="auto" w:fill="auto"/>
            <w:vAlign w:val="center"/>
          </w:tcPr>
          <w:p w14:paraId="37A8550D">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支持对HTTP、FTP_DATA、SMB、SMTP、POP3、WEBMAIL、IMAP、TFTP、QQ、NFS等类型协议的流量进行文件还原</w:t>
            </w:r>
            <w:r>
              <w:rPr>
                <w:rFonts w:hint="eastAsia" w:ascii="宋体" w:hAnsi="宋体" w:cs="宋体"/>
                <w:color w:val="auto"/>
                <w:szCs w:val="21"/>
                <w:highlight w:val="none"/>
              </w:rPr>
              <w:t>。</w:t>
            </w:r>
          </w:p>
        </w:tc>
      </w:tr>
      <w:tr w14:paraId="71AD0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 w:type="pct"/>
            <w:vMerge w:val="continue"/>
            <w:shd w:val="clear" w:color="auto" w:fill="auto"/>
            <w:vAlign w:val="center"/>
          </w:tcPr>
          <w:p w14:paraId="7F2D1D06">
            <w:pPr>
              <w:widowControl/>
              <w:spacing w:line="360" w:lineRule="exact"/>
              <w:jc w:val="center"/>
              <w:rPr>
                <w:rFonts w:ascii="宋体" w:hAnsi="宋体" w:cs="宋体"/>
                <w:color w:val="auto"/>
                <w:kern w:val="0"/>
                <w:szCs w:val="21"/>
                <w:highlight w:val="none"/>
              </w:rPr>
            </w:pPr>
          </w:p>
        </w:tc>
        <w:tc>
          <w:tcPr>
            <w:tcW w:w="709" w:type="pct"/>
            <w:shd w:val="clear" w:color="auto" w:fill="auto"/>
            <w:vAlign w:val="center"/>
          </w:tcPr>
          <w:p w14:paraId="28DCDCAB">
            <w:pPr>
              <w:widowControl/>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抓包分析</w:t>
            </w:r>
          </w:p>
        </w:tc>
        <w:tc>
          <w:tcPr>
            <w:tcW w:w="4016" w:type="pct"/>
            <w:shd w:val="clear" w:color="auto" w:fill="auto"/>
            <w:vAlign w:val="center"/>
          </w:tcPr>
          <w:p w14:paraId="675012B1">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支持通过设备对流量进行抓包分析，可定义抓包流量双向或单向、数量、IP地址、端口或协议类型</w:t>
            </w:r>
            <w:r>
              <w:rPr>
                <w:rFonts w:hint="eastAsia" w:ascii="宋体" w:hAnsi="宋体" w:cs="宋体"/>
                <w:color w:val="auto"/>
                <w:szCs w:val="21"/>
                <w:highlight w:val="none"/>
              </w:rPr>
              <w:t>。</w:t>
            </w:r>
          </w:p>
        </w:tc>
      </w:tr>
      <w:tr w14:paraId="2E3D2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 w:type="pct"/>
            <w:vMerge w:val="continue"/>
            <w:shd w:val="clear" w:color="auto" w:fill="auto"/>
            <w:vAlign w:val="center"/>
          </w:tcPr>
          <w:p w14:paraId="402886DC">
            <w:pPr>
              <w:widowControl/>
              <w:spacing w:line="360" w:lineRule="exact"/>
              <w:jc w:val="center"/>
              <w:rPr>
                <w:rFonts w:ascii="宋体" w:hAnsi="宋体" w:cs="宋体"/>
                <w:color w:val="auto"/>
                <w:kern w:val="0"/>
                <w:szCs w:val="21"/>
                <w:highlight w:val="none"/>
              </w:rPr>
            </w:pPr>
          </w:p>
        </w:tc>
        <w:tc>
          <w:tcPr>
            <w:tcW w:w="709" w:type="pct"/>
            <w:shd w:val="clear" w:color="auto" w:fill="auto"/>
            <w:vAlign w:val="center"/>
          </w:tcPr>
          <w:p w14:paraId="4621D86E">
            <w:pPr>
              <w:widowControl/>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语义分析</w:t>
            </w:r>
          </w:p>
        </w:tc>
        <w:tc>
          <w:tcPr>
            <w:tcW w:w="4016" w:type="pct"/>
            <w:shd w:val="clear" w:color="auto" w:fill="auto"/>
            <w:vAlign w:val="center"/>
          </w:tcPr>
          <w:p w14:paraId="7F711DAC">
            <w:pPr>
              <w:widowControl/>
              <w:spacing w:line="360" w:lineRule="exact"/>
              <w:jc w:val="left"/>
              <w:rPr>
                <w:rFonts w:ascii="宋体" w:hAnsi="宋体" w:cs="宋体"/>
                <w:color w:val="auto"/>
                <w:kern w:val="0"/>
                <w:szCs w:val="21"/>
                <w:highlight w:val="none"/>
              </w:rPr>
            </w:pPr>
            <w:bookmarkStart w:id="10" w:name="_Hlk535070935"/>
            <w:r>
              <w:rPr>
                <w:rFonts w:hint="eastAsia" w:ascii="宋体" w:hAnsi="宋体" w:cs="宋体"/>
                <w:color w:val="auto"/>
                <w:kern w:val="0"/>
                <w:szCs w:val="21"/>
                <w:highlight w:val="none"/>
              </w:rPr>
              <w:t>支持基于网络请求的语义分析检测，能够将网络请求拆分后从请求头、响应头、请求体、响应体四方面详细展示请求内容，并能提升对未知威胁检测能力</w:t>
            </w:r>
            <w:bookmarkEnd w:id="10"/>
            <w:r>
              <w:rPr>
                <w:rFonts w:hint="eastAsia" w:ascii="宋体" w:hAnsi="宋体" w:cs="宋体"/>
                <w:color w:val="auto"/>
                <w:szCs w:val="21"/>
                <w:highlight w:val="none"/>
              </w:rPr>
              <w:t>。</w:t>
            </w:r>
          </w:p>
        </w:tc>
      </w:tr>
      <w:tr w14:paraId="7E64E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 w:type="pct"/>
            <w:vMerge w:val="continue"/>
            <w:shd w:val="clear" w:color="auto" w:fill="auto"/>
            <w:vAlign w:val="center"/>
          </w:tcPr>
          <w:p w14:paraId="05F6FC2B">
            <w:pPr>
              <w:widowControl/>
              <w:spacing w:line="360" w:lineRule="exact"/>
              <w:jc w:val="center"/>
              <w:rPr>
                <w:rFonts w:ascii="宋体" w:hAnsi="宋体" w:cs="宋体"/>
                <w:color w:val="auto"/>
                <w:kern w:val="0"/>
                <w:szCs w:val="21"/>
                <w:highlight w:val="none"/>
              </w:rPr>
            </w:pPr>
          </w:p>
        </w:tc>
        <w:tc>
          <w:tcPr>
            <w:tcW w:w="709" w:type="pct"/>
            <w:vMerge w:val="restart"/>
            <w:shd w:val="clear" w:color="auto" w:fill="auto"/>
            <w:vAlign w:val="center"/>
          </w:tcPr>
          <w:p w14:paraId="392ECB55">
            <w:pPr>
              <w:widowControl/>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旁路阻断</w:t>
            </w:r>
          </w:p>
        </w:tc>
        <w:tc>
          <w:tcPr>
            <w:tcW w:w="4016" w:type="pct"/>
            <w:shd w:val="clear" w:color="auto" w:fill="auto"/>
            <w:vAlign w:val="center"/>
          </w:tcPr>
          <w:p w14:paraId="1F847E65">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支持基于IP地址的旁路阻断，能够在实时镜像的流量中发现恶意IP并实现实时阻断</w:t>
            </w:r>
            <w:r>
              <w:rPr>
                <w:rFonts w:hint="eastAsia" w:ascii="宋体" w:hAnsi="宋体" w:cs="宋体"/>
                <w:color w:val="auto"/>
                <w:szCs w:val="21"/>
                <w:highlight w:val="none"/>
              </w:rPr>
              <w:t>。</w:t>
            </w:r>
          </w:p>
        </w:tc>
      </w:tr>
      <w:tr w14:paraId="2B2DC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275" w:type="pct"/>
            <w:vMerge w:val="continue"/>
            <w:shd w:val="clear" w:color="auto" w:fill="auto"/>
            <w:vAlign w:val="center"/>
          </w:tcPr>
          <w:p w14:paraId="34768B49">
            <w:pPr>
              <w:widowControl/>
              <w:spacing w:line="360" w:lineRule="exact"/>
              <w:jc w:val="center"/>
              <w:rPr>
                <w:rFonts w:ascii="宋体" w:hAnsi="宋体" w:cs="宋体"/>
                <w:color w:val="auto"/>
                <w:kern w:val="0"/>
                <w:szCs w:val="21"/>
                <w:highlight w:val="none"/>
              </w:rPr>
            </w:pPr>
          </w:p>
        </w:tc>
        <w:tc>
          <w:tcPr>
            <w:tcW w:w="709" w:type="pct"/>
            <w:vMerge w:val="continue"/>
            <w:tcBorders>
              <w:bottom w:val="single" w:color="auto" w:sz="4" w:space="0"/>
            </w:tcBorders>
            <w:shd w:val="clear" w:color="auto" w:fill="auto"/>
            <w:vAlign w:val="center"/>
          </w:tcPr>
          <w:p w14:paraId="2F7383E9">
            <w:pPr>
              <w:widowControl/>
              <w:spacing w:line="360" w:lineRule="exact"/>
              <w:jc w:val="center"/>
              <w:rPr>
                <w:rFonts w:ascii="宋体" w:hAnsi="宋体" w:cs="宋体"/>
                <w:color w:val="auto"/>
                <w:kern w:val="0"/>
                <w:szCs w:val="21"/>
                <w:highlight w:val="none"/>
              </w:rPr>
            </w:pPr>
          </w:p>
        </w:tc>
        <w:tc>
          <w:tcPr>
            <w:tcW w:w="4016" w:type="pct"/>
            <w:tcBorders>
              <w:bottom w:val="single" w:color="auto" w:sz="4" w:space="0"/>
            </w:tcBorders>
            <w:shd w:val="clear" w:color="auto" w:fill="auto"/>
            <w:vAlign w:val="center"/>
          </w:tcPr>
          <w:p w14:paraId="37FE2F1C">
            <w:pPr>
              <w:widowControl/>
              <w:spacing w:line="360" w:lineRule="exact"/>
              <w:jc w:val="left"/>
              <w:rPr>
                <w:rFonts w:ascii="宋体" w:hAnsi="宋体" w:cs="宋体"/>
                <w:color w:val="auto"/>
                <w:kern w:val="0"/>
                <w:szCs w:val="21"/>
                <w:highlight w:val="none"/>
              </w:rPr>
            </w:pPr>
            <w:bookmarkStart w:id="11" w:name="_Hlk535070958"/>
            <w:r>
              <w:rPr>
                <w:rFonts w:hint="eastAsia" w:ascii="宋体" w:hAnsi="宋体" w:cs="宋体"/>
                <w:color w:val="auto"/>
                <w:kern w:val="0"/>
                <w:szCs w:val="21"/>
                <w:highlight w:val="none"/>
              </w:rPr>
              <w:t>支持基于URL的旁路阻断，并能将URL请求进行重定向</w:t>
            </w:r>
            <w:bookmarkEnd w:id="11"/>
            <w:r>
              <w:rPr>
                <w:rFonts w:hint="eastAsia" w:ascii="宋体" w:hAnsi="宋体" w:cs="宋体"/>
                <w:color w:val="auto"/>
                <w:szCs w:val="21"/>
                <w:highlight w:val="none"/>
              </w:rPr>
              <w:t>。</w:t>
            </w:r>
          </w:p>
        </w:tc>
      </w:tr>
      <w:tr w14:paraId="32D92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275" w:type="pct"/>
            <w:vMerge w:val="continue"/>
            <w:shd w:val="clear" w:color="auto" w:fill="auto"/>
            <w:vAlign w:val="center"/>
          </w:tcPr>
          <w:p w14:paraId="6770F514">
            <w:pPr>
              <w:widowControl/>
              <w:spacing w:line="360" w:lineRule="exact"/>
              <w:jc w:val="center"/>
              <w:rPr>
                <w:rFonts w:ascii="宋体" w:hAnsi="宋体" w:cs="宋体"/>
                <w:color w:val="auto"/>
                <w:kern w:val="0"/>
                <w:szCs w:val="21"/>
                <w:highlight w:val="none"/>
              </w:rPr>
            </w:pPr>
          </w:p>
        </w:tc>
        <w:tc>
          <w:tcPr>
            <w:tcW w:w="709" w:type="pct"/>
            <w:tcBorders>
              <w:top w:val="single" w:color="auto" w:sz="4" w:space="0"/>
              <w:bottom w:val="single" w:color="auto" w:sz="4" w:space="0"/>
            </w:tcBorders>
            <w:shd w:val="clear" w:color="auto" w:fill="auto"/>
            <w:vAlign w:val="center"/>
          </w:tcPr>
          <w:p w14:paraId="189CB014">
            <w:pPr>
              <w:widowControl/>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自定义弱口令</w:t>
            </w:r>
          </w:p>
        </w:tc>
        <w:tc>
          <w:tcPr>
            <w:tcW w:w="4016" w:type="pct"/>
            <w:tcBorders>
              <w:top w:val="single" w:color="auto" w:sz="4" w:space="0"/>
              <w:bottom w:val="single" w:color="auto" w:sz="4" w:space="0"/>
            </w:tcBorders>
            <w:shd w:val="clear" w:color="auto" w:fill="auto"/>
            <w:vAlign w:val="center"/>
          </w:tcPr>
          <w:p w14:paraId="2FE5F347">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支持自定义弱口令字典，支持HTTP、HTTPS、Telnet、FTP、POP、SMTP、IMAP等协议的自定义弱口令检测</w:t>
            </w:r>
            <w:r>
              <w:rPr>
                <w:rFonts w:hint="eastAsia" w:ascii="宋体" w:hAnsi="宋体" w:cs="宋体"/>
                <w:color w:val="auto"/>
                <w:szCs w:val="21"/>
                <w:highlight w:val="none"/>
              </w:rPr>
              <w:t>。</w:t>
            </w:r>
          </w:p>
        </w:tc>
      </w:tr>
      <w:tr w14:paraId="0B0C0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275" w:type="pct"/>
            <w:vMerge w:val="continue"/>
            <w:shd w:val="clear" w:color="auto" w:fill="auto"/>
            <w:vAlign w:val="center"/>
          </w:tcPr>
          <w:p w14:paraId="27243065">
            <w:pPr>
              <w:widowControl/>
              <w:spacing w:line="360" w:lineRule="exact"/>
              <w:jc w:val="center"/>
              <w:rPr>
                <w:rFonts w:ascii="宋体" w:hAnsi="宋体" w:cs="宋体"/>
                <w:color w:val="auto"/>
                <w:kern w:val="0"/>
                <w:szCs w:val="21"/>
                <w:highlight w:val="none"/>
              </w:rPr>
            </w:pPr>
          </w:p>
        </w:tc>
        <w:tc>
          <w:tcPr>
            <w:tcW w:w="709" w:type="pct"/>
            <w:tcBorders>
              <w:top w:val="single" w:color="auto" w:sz="4" w:space="0"/>
              <w:bottom w:val="single" w:color="auto" w:sz="4" w:space="0"/>
            </w:tcBorders>
            <w:shd w:val="clear" w:color="auto" w:fill="auto"/>
            <w:vAlign w:val="center"/>
          </w:tcPr>
          <w:p w14:paraId="08C88DC7">
            <w:pPr>
              <w:widowControl/>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HTTPS威胁检测</w:t>
            </w:r>
          </w:p>
        </w:tc>
        <w:tc>
          <w:tcPr>
            <w:tcW w:w="4016" w:type="pct"/>
            <w:tcBorders>
              <w:top w:val="single" w:color="auto" w:sz="4" w:space="0"/>
              <w:bottom w:val="single" w:color="auto" w:sz="4" w:space="0"/>
            </w:tcBorders>
            <w:shd w:val="clear" w:color="auto" w:fill="auto"/>
            <w:vAlign w:val="center"/>
          </w:tcPr>
          <w:p w14:paraId="3987DB50">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支持旁路HTTPS解密、威胁检测</w:t>
            </w:r>
            <w:r>
              <w:rPr>
                <w:rFonts w:hint="eastAsia" w:ascii="宋体" w:hAnsi="宋体" w:cs="宋体"/>
                <w:color w:val="auto"/>
                <w:szCs w:val="21"/>
                <w:highlight w:val="none"/>
              </w:rPr>
              <w:t>。</w:t>
            </w:r>
          </w:p>
        </w:tc>
      </w:tr>
      <w:tr w14:paraId="508A6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275" w:type="pct"/>
            <w:vMerge w:val="continue"/>
            <w:shd w:val="clear" w:color="auto" w:fill="auto"/>
            <w:vAlign w:val="center"/>
          </w:tcPr>
          <w:p w14:paraId="4A6E5C88">
            <w:pPr>
              <w:widowControl/>
              <w:spacing w:line="360" w:lineRule="exact"/>
              <w:jc w:val="center"/>
              <w:rPr>
                <w:rFonts w:ascii="宋体" w:hAnsi="宋体" w:cs="宋体"/>
                <w:color w:val="auto"/>
                <w:kern w:val="0"/>
                <w:szCs w:val="21"/>
                <w:highlight w:val="none"/>
              </w:rPr>
            </w:pPr>
          </w:p>
        </w:tc>
        <w:tc>
          <w:tcPr>
            <w:tcW w:w="709" w:type="pct"/>
            <w:tcBorders>
              <w:top w:val="single" w:color="auto" w:sz="4" w:space="0"/>
            </w:tcBorders>
            <w:shd w:val="clear" w:color="auto" w:fill="auto"/>
            <w:vAlign w:val="center"/>
          </w:tcPr>
          <w:p w14:paraId="4A7E3F67">
            <w:pPr>
              <w:widowControl/>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高级参数</w:t>
            </w:r>
          </w:p>
        </w:tc>
        <w:tc>
          <w:tcPr>
            <w:tcW w:w="4016" w:type="pct"/>
            <w:tcBorders>
              <w:top w:val="single" w:color="auto" w:sz="4" w:space="0"/>
            </w:tcBorders>
            <w:shd w:val="clear" w:color="auto" w:fill="auto"/>
            <w:vAlign w:val="center"/>
          </w:tcPr>
          <w:p w14:paraId="6086D0A2">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web端提供针对恶意扫描、Flood攻击、IP碎片攻击、ARPSpoof、PingSweep等检测策略配置功能。</w:t>
            </w:r>
          </w:p>
        </w:tc>
      </w:tr>
      <w:tr w14:paraId="2E5AE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 w:type="pct"/>
            <w:vMerge w:val="restart"/>
            <w:shd w:val="clear" w:color="auto" w:fill="auto"/>
            <w:vAlign w:val="center"/>
          </w:tcPr>
          <w:p w14:paraId="3D227433">
            <w:pPr>
              <w:widowControl/>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管理功能</w:t>
            </w:r>
          </w:p>
        </w:tc>
        <w:tc>
          <w:tcPr>
            <w:tcW w:w="709" w:type="pct"/>
            <w:shd w:val="clear" w:color="auto" w:fill="auto"/>
            <w:vAlign w:val="center"/>
          </w:tcPr>
          <w:p w14:paraId="2608FAF2">
            <w:pPr>
              <w:widowControl/>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部署模式</w:t>
            </w:r>
          </w:p>
        </w:tc>
        <w:tc>
          <w:tcPr>
            <w:tcW w:w="4016" w:type="pct"/>
            <w:shd w:val="clear" w:color="auto" w:fill="auto"/>
            <w:vAlign w:val="center"/>
          </w:tcPr>
          <w:p w14:paraId="3557847D">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支持旁路部署，可同时接入多个镜像口，每个镜像口相互独立不影响</w:t>
            </w:r>
            <w:r>
              <w:rPr>
                <w:rFonts w:hint="eastAsia" w:ascii="宋体" w:hAnsi="宋体" w:cs="宋体"/>
                <w:color w:val="auto"/>
                <w:szCs w:val="21"/>
                <w:highlight w:val="none"/>
              </w:rPr>
              <w:t>。</w:t>
            </w:r>
          </w:p>
        </w:tc>
      </w:tr>
      <w:tr w14:paraId="78B68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 w:type="pct"/>
            <w:vMerge w:val="continue"/>
            <w:shd w:val="clear" w:color="auto" w:fill="auto"/>
            <w:vAlign w:val="center"/>
          </w:tcPr>
          <w:p w14:paraId="47BF3B2B">
            <w:pPr>
              <w:widowControl/>
              <w:spacing w:line="360" w:lineRule="exact"/>
              <w:jc w:val="center"/>
              <w:rPr>
                <w:rFonts w:ascii="宋体" w:hAnsi="宋体" w:cs="宋体"/>
                <w:color w:val="auto"/>
                <w:kern w:val="0"/>
                <w:szCs w:val="21"/>
                <w:highlight w:val="none"/>
              </w:rPr>
            </w:pPr>
          </w:p>
        </w:tc>
        <w:tc>
          <w:tcPr>
            <w:tcW w:w="709" w:type="pct"/>
            <w:vMerge w:val="restart"/>
            <w:shd w:val="clear" w:color="auto" w:fill="auto"/>
            <w:vAlign w:val="center"/>
          </w:tcPr>
          <w:p w14:paraId="26DF8D34">
            <w:pPr>
              <w:widowControl/>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系统配置</w:t>
            </w:r>
          </w:p>
        </w:tc>
        <w:tc>
          <w:tcPr>
            <w:tcW w:w="4016" w:type="pct"/>
            <w:shd w:val="clear" w:color="auto" w:fill="auto"/>
            <w:vAlign w:val="center"/>
          </w:tcPr>
          <w:p w14:paraId="12E0446C">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支持AES256、SM4数据传输加密，确保数据传输的安全性</w:t>
            </w:r>
            <w:r>
              <w:rPr>
                <w:rFonts w:hint="eastAsia" w:ascii="宋体" w:hAnsi="宋体" w:cs="宋体"/>
                <w:color w:val="auto"/>
                <w:szCs w:val="21"/>
                <w:highlight w:val="none"/>
              </w:rPr>
              <w:t>。</w:t>
            </w:r>
          </w:p>
        </w:tc>
      </w:tr>
      <w:tr w14:paraId="50B25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 w:type="pct"/>
            <w:vMerge w:val="continue"/>
            <w:shd w:val="clear" w:color="auto" w:fill="auto"/>
            <w:vAlign w:val="center"/>
          </w:tcPr>
          <w:p w14:paraId="1AC4B5B5">
            <w:pPr>
              <w:widowControl/>
              <w:spacing w:line="360" w:lineRule="exact"/>
              <w:jc w:val="center"/>
              <w:rPr>
                <w:rFonts w:ascii="宋体" w:hAnsi="宋体" w:cs="宋体"/>
                <w:color w:val="auto"/>
                <w:kern w:val="0"/>
                <w:szCs w:val="21"/>
                <w:highlight w:val="none"/>
              </w:rPr>
            </w:pPr>
          </w:p>
        </w:tc>
        <w:tc>
          <w:tcPr>
            <w:tcW w:w="709" w:type="pct"/>
            <w:vMerge w:val="continue"/>
            <w:shd w:val="clear" w:color="auto" w:fill="auto"/>
            <w:vAlign w:val="center"/>
          </w:tcPr>
          <w:p w14:paraId="2A3ED101">
            <w:pPr>
              <w:widowControl/>
              <w:spacing w:line="360" w:lineRule="exact"/>
              <w:jc w:val="center"/>
              <w:rPr>
                <w:rFonts w:ascii="宋体" w:hAnsi="宋体" w:cs="宋体"/>
                <w:color w:val="auto"/>
                <w:kern w:val="0"/>
                <w:szCs w:val="21"/>
                <w:highlight w:val="none"/>
              </w:rPr>
            </w:pPr>
          </w:p>
        </w:tc>
        <w:tc>
          <w:tcPr>
            <w:tcW w:w="4016" w:type="pct"/>
            <w:shd w:val="clear" w:color="auto" w:fill="auto"/>
            <w:vAlign w:val="center"/>
          </w:tcPr>
          <w:p w14:paraId="3964FD54">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支持威胁告警信息发送给syslog服务器，支持将威胁告警、威胁等级、网络日志、攻击结果、威胁类型等日志传输给KAFKA、威胁分析平台。</w:t>
            </w:r>
          </w:p>
        </w:tc>
      </w:tr>
      <w:tr w14:paraId="13272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 w:type="pct"/>
            <w:vMerge w:val="continue"/>
            <w:shd w:val="clear" w:color="auto" w:fill="auto"/>
            <w:vAlign w:val="center"/>
          </w:tcPr>
          <w:p w14:paraId="4298B24C">
            <w:pPr>
              <w:widowControl/>
              <w:spacing w:line="360" w:lineRule="exact"/>
              <w:jc w:val="center"/>
              <w:rPr>
                <w:rFonts w:ascii="宋体" w:hAnsi="宋体" w:cs="宋体"/>
                <w:color w:val="auto"/>
                <w:kern w:val="0"/>
                <w:szCs w:val="21"/>
                <w:highlight w:val="none"/>
              </w:rPr>
            </w:pPr>
          </w:p>
        </w:tc>
        <w:tc>
          <w:tcPr>
            <w:tcW w:w="709" w:type="pct"/>
            <w:vMerge w:val="continue"/>
            <w:shd w:val="clear" w:color="auto" w:fill="auto"/>
            <w:vAlign w:val="center"/>
          </w:tcPr>
          <w:p w14:paraId="643487D9">
            <w:pPr>
              <w:widowControl/>
              <w:spacing w:line="360" w:lineRule="exact"/>
              <w:jc w:val="center"/>
              <w:rPr>
                <w:rFonts w:ascii="宋体" w:hAnsi="宋体" w:cs="宋体"/>
                <w:color w:val="auto"/>
                <w:kern w:val="0"/>
                <w:szCs w:val="21"/>
                <w:highlight w:val="none"/>
              </w:rPr>
            </w:pPr>
          </w:p>
        </w:tc>
        <w:tc>
          <w:tcPr>
            <w:tcW w:w="4016" w:type="pct"/>
            <w:shd w:val="clear" w:color="auto" w:fill="auto"/>
            <w:vAlign w:val="center"/>
          </w:tcPr>
          <w:p w14:paraId="015E8FC6">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支持与集中管理平台进行联动，统一进行情报、规则的升级。</w:t>
            </w:r>
          </w:p>
        </w:tc>
      </w:tr>
    </w:tbl>
    <w:p w14:paraId="371B0E52">
      <w:pPr>
        <w:keepNext/>
        <w:keepLines/>
        <w:spacing w:line="360" w:lineRule="auto"/>
        <w:outlineLvl w:val="0"/>
        <w:rPr>
          <w:rFonts w:ascii="宋体" w:hAnsi="宋体" w:cs="宋体"/>
          <w:b/>
          <w:color w:val="auto"/>
          <w:szCs w:val="21"/>
          <w:highlight w:val="none"/>
        </w:rPr>
      </w:pPr>
      <w:r>
        <w:rPr>
          <w:rFonts w:hint="eastAsia" w:ascii="宋体" w:hAnsi="宋体" w:cs="宋体"/>
          <w:b/>
          <w:color w:val="auto"/>
          <w:szCs w:val="21"/>
          <w:highlight w:val="none"/>
        </w:rPr>
        <w:t>13．安全准入服务</w:t>
      </w:r>
    </w:p>
    <w:tbl>
      <w:tblPr>
        <w:tblStyle w:val="22"/>
        <w:tblW w:w="8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8"/>
        <w:gridCol w:w="7031"/>
      </w:tblGrid>
      <w:tr w14:paraId="70810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28" w:type="dxa"/>
            <w:tcBorders>
              <w:top w:val="single" w:color="auto" w:sz="4" w:space="0"/>
              <w:left w:val="single" w:color="auto" w:sz="4" w:space="0"/>
              <w:bottom w:val="single" w:color="auto" w:sz="4" w:space="0"/>
              <w:right w:val="single" w:color="auto" w:sz="4" w:space="0"/>
            </w:tcBorders>
            <w:vAlign w:val="center"/>
          </w:tcPr>
          <w:p w14:paraId="0108EC89">
            <w:pPr>
              <w:spacing w:line="360" w:lineRule="exact"/>
              <w:jc w:val="center"/>
              <w:rPr>
                <w:rFonts w:ascii="宋体" w:hAnsi="宋体" w:cs="宋体"/>
                <w:b/>
                <w:color w:val="auto"/>
                <w:szCs w:val="21"/>
                <w:highlight w:val="none"/>
              </w:rPr>
            </w:pPr>
            <w:r>
              <w:rPr>
                <w:rFonts w:hint="eastAsia" w:ascii="宋体" w:hAnsi="宋体" w:cs="宋体"/>
                <w:b/>
                <w:bCs/>
                <w:color w:val="auto"/>
                <w:szCs w:val="21"/>
                <w:highlight w:val="none"/>
              </w:rPr>
              <w:t>技术指标</w:t>
            </w:r>
          </w:p>
        </w:tc>
        <w:tc>
          <w:tcPr>
            <w:tcW w:w="7031" w:type="dxa"/>
            <w:tcBorders>
              <w:top w:val="single" w:color="auto" w:sz="4" w:space="0"/>
              <w:left w:val="single" w:color="auto" w:sz="4" w:space="0"/>
              <w:bottom w:val="single" w:color="auto" w:sz="4" w:space="0"/>
              <w:right w:val="single" w:color="auto" w:sz="4" w:space="0"/>
            </w:tcBorders>
            <w:vAlign w:val="center"/>
          </w:tcPr>
          <w:p w14:paraId="4918D440">
            <w:pPr>
              <w:spacing w:line="360" w:lineRule="exact"/>
              <w:jc w:val="center"/>
              <w:rPr>
                <w:rFonts w:ascii="宋体" w:hAnsi="宋体" w:cs="宋体"/>
                <w:b/>
                <w:color w:val="auto"/>
                <w:szCs w:val="21"/>
                <w:highlight w:val="none"/>
              </w:rPr>
            </w:pPr>
            <w:r>
              <w:rPr>
                <w:rFonts w:hint="eastAsia" w:ascii="宋体" w:hAnsi="宋体" w:cs="宋体"/>
                <w:b/>
                <w:bCs/>
                <w:color w:val="auto"/>
                <w:szCs w:val="21"/>
                <w:highlight w:val="none"/>
              </w:rPr>
              <w:t>技术要求</w:t>
            </w:r>
          </w:p>
        </w:tc>
      </w:tr>
      <w:tr w14:paraId="61FC3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28" w:type="dxa"/>
            <w:tcBorders>
              <w:top w:val="single" w:color="auto" w:sz="4" w:space="0"/>
              <w:left w:val="single" w:color="auto" w:sz="4" w:space="0"/>
              <w:bottom w:val="single" w:color="auto" w:sz="4" w:space="0"/>
              <w:right w:val="single" w:color="auto" w:sz="4" w:space="0"/>
            </w:tcBorders>
            <w:vAlign w:val="center"/>
          </w:tcPr>
          <w:p w14:paraId="6A5909F6">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服务工具要求</w:t>
            </w:r>
          </w:p>
        </w:tc>
        <w:tc>
          <w:tcPr>
            <w:tcW w:w="7031" w:type="dxa"/>
            <w:tcBorders>
              <w:top w:val="single" w:color="auto" w:sz="4" w:space="0"/>
              <w:left w:val="single" w:color="auto" w:sz="4" w:space="0"/>
              <w:bottom w:val="single" w:color="auto" w:sz="4" w:space="0"/>
              <w:right w:val="single" w:color="auto" w:sz="4" w:space="0"/>
            </w:tcBorders>
            <w:vAlign w:val="bottom"/>
          </w:tcPr>
          <w:p w14:paraId="47D8CAAB">
            <w:pPr>
              <w:spacing w:line="360" w:lineRule="exact"/>
              <w:rPr>
                <w:rFonts w:ascii="宋体" w:hAnsi="宋体" w:cs="宋体"/>
                <w:color w:val="auto"/>
                <w:szCs w:val="21"/>
                <w:highlight w:val="none"/>
              </w:rPr>
            </w:pPr>
            <w:r>
              <w:rPr>
                <w:rFonts w:hint="eastAsia" w:ascii="宋体" w:hAnsi="宋体" w:cs="宋体"/>
                <w:color w:val="auto"/>
                <w:szCs w:val="21"/>
                <w:highlight w:val="none"/>
              </w:rPr>
              <w:t>1、配置6个及以上1000MBASE-T接口；每秒事务数（TPS)：≥1700（次/秒），最大吞吐量：≥1Gbps，最大并发连接数：1600（条）；至少支持1000个认证终端。</w:t>
            </w:r>
          </w:p>
          <w:p w14:paraId="6C794988">
            <w:pPr>
              <w:spacing w:line="360" w:lineRule="exact"/>
              <w:rPr>
                <w:rFonts w:ascii="宋体" w:hAnsi="宋体" w:cs="宋体"/>
                <w:color w:val="auto"/>
                <w:szCs w:val="21"/>
                <w:highlight w:val="none"/>
              </w:rPr>
            </w:pPr>
            <w:r>
              <w:rPr>
                <w:rFonts w:hint="eastAsia" w:ascii="宋体" w:hAnsi="宋体" w:cs="宋体"/>
                <w:color w:val="auto"/>
                <w:szCs w:val="21"/>
                <w:highlight w:val="none"/>
              </w:rPr>
              <w:t>2、支持在IPv4和IPv6双栈环境下的终端准入控制、重定向、认证、安检、修复等。</w:t>
            </w:r>
          </w:p>
          <w:p w14:paraId="6B38743B">
            <w:pPr>
              <w:spacing w:line="360" w:lineRule="exact"/>
              <w:rPr>
                <w:rFonts w:ascii="宋体" w:hAnsi="宋体" w:cs="宋体"/>
                <w:color w:val="auto"/>
                <w:szCs w:val="21"/>
                <w:highlight w:val="none"/>
              </w:rPr>
            </w:pPr>
            <w:r>
              <w:rPr>
                <w:rFonts w:hint="eastAsia" w:ascii="宋体" w:hAnsi="宋体" w:cs="宋体"/>
                <w:color w:val="auto"/>
                <w:szCs w:val="21"/>
                <w:highlight w:val="none"/>
              </w:rPr>
              <w:t>3、准入设备须支持802.1x协议准入方式，无需第三方RADIUS服务器支持。准入设备支持基于策略路由技术的准入控制模式，可以为来宾开通安全域,根据策略对来宾开放有限的网络资源，来宾访问无法获取内部网络的访问。</w:t>
            </w:r>
          </w:p>
          <w:p w14:paraId="03BE6F26">
            <w:pPr>
              <w:spacing w:line="360" w:lineRule="exact"/>
              <w:rPr>
                <w:rFonts w:ascii="宋体" w:hAnsi="宋体" w:cs="宋体"/>
                <w:color w:val="auto"/>
                <w:szCs w:val="21"/>
                <w:highlight w:val="none"/>
              </w:rPr>
            </w:pPr>
            <w:r>
              <w:rPr>
                <w:rFonts w:hint="eastAsia" w:ascii="宋体" w:hAnsi="宋体" w:cs="宋体"/>
                <w:color w:val="auto"/>
                <w:szCs w:val="21"/>
                <w:highlight w:val="none"/>
              </w:rPr>
              <w:t>4、单台准入设备可支持至少4路策略路由准入控制。单台准入设备可支持至少4 个镜像口进行准入控制。</w:t>
            </w:r>
          </w:p>
          <w:p w14:paraId="0AC19EBC">
            <w:pPr>
              <w:spacing w:line="360" w:lineRule="exact"/>
              <w:rPr>
                <w:rFonts w:ascii="宋体" w:hAnsi="宋体" w:cs="宋体"/>
                <w:color w:val="auto"/>
                <w:szCs w:val="21"/>
                <w:highlight w:val="none"/>
              </w:rPr>
            </w:pPr>
            <w:r>
              <w:rPr>
                <w:rFonts w:hint="eastAsia" w:ascii="宋体" w:hAnsi="宋体" w:cs="宋体"/>
                <w:color w:val="auto"/>
                <w:szCs w:val="21"/>
                <w:highlight w:val="none"/>
              </w:rPr>
              <w:t>5、注册认证通过MAC地址、硬件信息得出唯一识别号绑定，终端入网IE浏览器重定向引导，当用户访问网页时能够自动转向到指定的页面或地址，并支持http代理及多重重定向引导。</w:t>
            </w:r>
          </w:p>
          <w:p w14:paraId="4EA1F0D7">
            <w:pPr>
              <w:spacing w:line="360" w:lineRule="exact"/>
              <w:rPr>
                <w:rFonts w:ascii="宋体" w:hAnsi="宋体" w:cs="宋体"/>
                <w:color w:val="auto"/>
                <w:szCs w:val="21"/>
                <w:highlight w:val="none"/>
              </w:rPr>
            </w:pPr>
            <w:r>
              <w:rPr>
                <w:rFonts w:hint="eastAsia" w:ascii="宋体" w:hAnsi="宋体" w:cs="宋体"/>
                <w:color w:val="auto"/>
                <w:szCs w:val="21"/>
                <w:highlight w:val="none"/>
              </w:rPr>
              <w:t>6、检查终端是否安装杀毒软件,确保接入终端的防病毒能力,支持现有常用杀毒软件的检测,提供系统补丁安装情况的检查,为终端安全加固提供双重保障，对接入终端的软件安装进行规范管理,通过设置黑白名单禁止可疑、非法进程运行,监控业务进程使用。</w:t>
            </w:r>
          </w:p>
          <w:p w14:paraId="7EEDAEC9">
            <w:pPr>
              <w:spacing w:line="360" w:lineRule="exact"/>
              <w:rPr>
                <w:rFonts w:ascii="宋体" w:hAnsi="宋体" w:cs="宋体"/>
                <w:color w:val="auto"/>
                <w:szCs w:val="21"/>
                <w:highlight w:val="none"/>
              </w:rPr>
            </w:pPr>
            <w:r>
              <w:rPr>
                <w:rFonts w:hint="eastAsia" w:ascii="宋体" w:hAnsi="宋体" w:cs="宋体"/>
                <w:color w:val="auto"/>
                <w:szCs w:val="21"/>
                <w:highlight w:val="none"/>
              </w:rPr>
              <w:t>7、具有NAT识别和检测机制能够及时发现网内私接的小路由器、无线AP、随身WIFI等NAT设备，帮助清查通过网中网隐藏的真实网络终端。</w:t>
            </w:r>
          </w:p>
          <w:p w14:paraId="6CE4BFDA">
            <w:pPr>
              <w:spacing w:line="360" w:lineRule="exact"/>
              <w:rPr>
                <w:rFonts w:ascii="宋体" w:hAnsi="宋体" w:cs="宋体"/>
                <w:color w:val="auto"/>
                <w:szCs w:val="21"/>
                <w:highlight w:val="none"/>
              </w:rPr>
            </w:pPr>
            <w:r>
              <w:rPr>
                <w:rFonts w:hint="eastAsia" w:ascii="宋体" w:hAnsi="宋体" w:cs="宋体"/>
                <w:color w:val="auto"/>
                <w:szCs w:val="21"/>
                <w:highlight w:val="none"/>
              </w:rPr>
              <w:t>8、能够在拓扑图上选取设备查看其基本状态信息、设备型号、所处位置、子节点、路由表、ARP表等信息。支持在界面上提供对该网络设备进行TELNET、SSH等管理。能够在网络拓扑图上由用户自定义显示的节点类型，方便用户通过不同方式查看拓扑连接。</w:t>
            </w:r>
          </w:p>
          <w:p w14:paraId="4D4536D0">
            <w:pPr>
              <w:spacing w:line="360" w:lineRule="exact"/>
              <w:rPr>
                <w:rFonts w:ascii="宋体" w:hAnsi="宋体" w:cs="宋体"/>
                <w:color w:val="auto"/>
                <w:szCs w:val="21"/>
                <w:highlight w:val="none"/>
              </w:rPr>
            </w:pPr>
            <w:r>
              <w:rPr>
                <w:rFonts w:hint="eastAsia" w:ascii="宋体" w:hAnsi="宋体" w:cs="宋体"/>
                <w:color w:val="auto"/>
                <w:szCs w:val="21"/>
                <w:highlight w:val="none"/>
              </w:rPr>
              <w:t>9、为了方便管理员从整体上把握网络安全态势，系统提供虚拟监控台功能。通过集中的仪表、数值显示快速进行安全态势的把握，主要包括：报警、安全风险等级、全网终端数、清理终端数、安检合规率、安检项状态分布。</w:t>
            </w:r>
          </w:p>
          <w:p w14:paraId="34FDB922">
            <w:pPr>
              <w:spacing w:line="360" w:lineRule="exact"/>
              <w:rPr>
                <w:rFonts w:ascii="宋体" w:hAnsi="宋体" w:cs="宋体"/>
                <w:color w:val="auto"/>
                <w:szCs w:val="21"/>
                <w:highlight w:val="none"/>
              </w:rPr>
            </w:pPr>
            <w:r>
              <w:rPr>
                <w:rFonts w:hint="eastAsia" w:ascii="宋体" w:hAnsi="宋体" w:cs="宋体"/>
                <w:color w:val="auto"/>
                <w:szCs w:val="21"/>
                <w:highlight w:val="none"/>
              </w:rPr>
              <w:t>10、准入设备后台提供每日入网报告、每周入网报告、每月入网报告。</w:t>
            </w:r>
          </w:p>
          <w:p w14:paraId="017677EB">
            <w:pPr>
              <w:spacing w:line="360" w:lineRule="exact"/>
              <w:rPr>
                <w:rFonts w:ascii="宋体" w:hAnsi="宋体" w:cs="宋体"/>
                <w:color w:val="auto"/>
                <w:szCs w:val="21"/>
                <w:highlight w:val="none"/>
              </w:rPr>
            </w:pPr>
            <w:r>
              <w:rPr>
                <w:rFonts w:hint="eastAsia" w:ascii="宋体" w:hAnsi="宋体" w:cs="宋体"/>
                <w:color w:val="auto"/>
                <w:szCs w:val="21"/>
                <w:highlight w:val="none"/>
              </w:rPr>
              <w:t>11、基于双向认证的于双向认的网络准入控制,由终端代理认证机制和防火墙控制机制实现的,终端双方要实现可信通信必须进行终端代理双向认证,并且由认证防火墙阻断其非法的通信请求。</w:t>
            </w:r>
          </w:p>
        </w:tc>
      </w:tr>
    </w:tbl>
    <w:p w14:paraId="55474A86">
      <w:pPr>
        <w:keepNext/>
        <w:keepLines/>
        <w:spacing w:line="360" w:lineRule="auto"/>
        <w:outlineLvl w:val="0"/>
        <w:rPr>
          <w:rFonts w:ascii="宋体" w:hAnsi="宋体" w:cs="宋体"/>
          <w:b/>
          <w:color w:val="auto"/>
          <w:szCs w:val="21"/>
          <w:highlight w:val="none"/>
        </w:rPr>
      </w:pPr>
      <w:r>
        <w:rPr>
          <w:rFonts w:hint="eastAsia" w:ascii="宋体" w:hAnsi="宋体" w:cs="宋体"/>
          <w:b/>
          <w:color w:val="auto"/>
          <w:szCs w:val="21"/>
          <w:highlight w:val="none"/>
        </w:rPr>
        <w:t>14．安全培训服务</w:t>
      </w:r>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26"/>
        <w:gridCol w:w="6796"/>
      </w:tblGrid>
      <w:tr w14:paraId="3ECB1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78" w:type="dxa"/>
            <w:shd w:val="clear" w:color="auto" w:fill="FFFFFF"/>
            <w:vAlign w:val="center"/>
          </w:tcPr>
          <w:p w14:paraId="78C5B4B1">
            <w:pPr>
              <w:spacing w:line="360" w:lineRule="exact"/>
              <w:jc w:val="center"/>
              <w:rPr>
                <w:rFonts w:ascii="宋体" w:hAnsi="宋体" w:cs="宋体"/>
                <w:b/>
                <w:bCs/>
                <w:color w:val="auto"/>
                <w:szCs w:val="21"/>
                <w:highlight w:val="none"/>
              </w:rPr>
            </w:pPr>
            <w:r>
              <w:rPr>
                <w:rFonts w:hint="eastAsia" w:ascii="宋体" w:hAnsi="宋体" w:cs="宋体"/>
                <w:b/>
                <w:bCs/>
                <w:color w:val="auto"/>
                <w:szCs w:val="21"/>
                <w:highlight w:val="none"/>
              </w:rPr>
              <w:t>技术指标</w:t>
            </w:r>
          </w:p>
        </w:tc>
        <w:tc>
          <w:tcPr>
            <w:tcW w:w="6608" w:type="dxa"/>
            <w:shd w:val="clear" w:color="auto" w:fill="FFFFFF"/>
            <w:vAlign w:val="center"/>
          </w:tcPr>
          <w:p w14:paraId="26695A9E">
            <w:pPr>
              <w:spacing w:line="360" w:lineRule="exact"/>
              <w:jc w:val="center"/>
              <w:rPr>
                <w:rFonts w:ascii="宋体" w:hAnsi="宋体" w:cs="宋体"/>
                <w:b/>
                <w:bCs/>
                <w:color w:val="auto"/>
                <w:szCs w:val="21"/>
                <w:highlight w:val="none"/>
              </w:rPr>
            </w:pPr>
            <w:r>
              <w:rPr>
                <w:rFonts w:hint="eastAsia" w:ascii="宋体" w:hAnsi="宋体" w:cs="宋体"/>
                <w:b/>
                <w:bCs/>
                <w:color w:val="auto"/>
                <w:szCs w:val="21"/>
                <w:highlight w:val="none"/>
              </w:rPr>
              <w:t>技术要求</w:t>
            </w:r>
          </w:p>
        </w:tc>
      </w:tr>
      <w:tr w14:paraId="73107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78" w:type="dxa"/>
            <w:vAlign w:val="center"/>
          </w:tcPr>
          <w:p w14:paraId="481578B1">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服务范围</w:t>
            </w:r>
          </w:p>
        </w:tc>
        <w:tc>
          <w:tcPr>
            <w:tcW w:w="6608" w:type="dxa"/>
            <w:vAlign w:val="center"/>
          </w:tcPr>
          <w:p w14:paraId="02326CD3">
            <w:pPr>
              <w:spacing w:line="360" w:lineRule="exact"/>
              <w:rPr>
                <w:rFonts w:ascii="宋体" w:hAnsi="宋体" w:cs="宋体"/>
                <w:color w:val="auto"/>
                <w:szCs w:val="21"/>
                <w:highlight w:val="none"/>
              </w:rPr>
            </w:pPr>
            <w:r>
              <w:rPr>
                <w:rFonts w:hint="eastAsia" w:ascii="宋体" w:hAnsi="宋体" w:cs="宋体"/>
                <w:color w:val="auto"/>
                <w:szCs w:val="21"/>
                <w:highlight w:val="none"/>
              </w:rPr>
              <w:t>中院、基层院</w:t>
            </w:r>
          </w:p>
        </w:tc>
      </w:tr>
      <w:tr w14:paraId="3E8A8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78" w:type="dxa"/>
            <w:vAlign w:val="center"/>
          </w:tcPr>
          <w:p w14:paraId="6E7EDDE4">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服务频率及期限</w:t>
            </w:r>
          </w:p>
        </w:tc>
        <w:tc>
          <w:tcPr>
            <w:tcW w:w="6608" w:type="dxa"/>
            <w:vAlign w:val="center"/>
          </w:tcPr>
          <w:p w14:paraId="1846551D">
            <w:pPr>
              <w:spacing w:line="360" w:lineRule="exact"/>
              <w:rPr>
                <w:rFonts w:ascii="宋体" w:hAnsi="宋体" w:cs="宋体"/>
                <w:color w:val="auto"/>
                <w:szCs w:val="21"/>
                <w:highlight w:val="none"/>
              </w:rPr>
            </w:pPr>
            <w:r>
              <w:rPr>
                <w:rFonts w:hint="eastAsia" w:ascii="宋体" w:hAnsi="宋体" w:cs="宋体"/>
                <w:color w:val="auto"/>
                <w:szCs w:val="21"/>
                <w:highlight w:val="none"/>
              </w:rPr>
              <w:t>每季度至少1次</w:t>
            </w:r>
          </w:p>
        </w:tc>
      </w:tr>
      <w:tr w14:paraId="513AD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78" w:type="dxa"/>
            <w:vAlign w:val="center"/>
          </w:tcPr>
          <w:p w14:paraId="2EE4E663">
            <w:pPr>
              <w:spacing w:line="360" w:lineRule="exact"/>
              <w:jc w:val="center"/>
              <w:rPr>
                <w:rFonts w:ascii="宋体" w:hAnsi="宋体" w:cs="宋体"/>
                <w:color w:val="auto"/>
                <w:kern w:val="0"/>
                <w:szCs w:val="21"/>
                <w:highlight w:val="none"/>
              </w:rPr>
            </w:pPr>
            <w:r>
              <w:rPr>
                <w:rFonts w:hint="eastAsia" w:ascii="宋体" w:hAnsi="宋体" w:cs="宋体"/>
                <w:color w:val="auto"/>
                <w:szCs w:val="21"/>
                <w:highlight w:val="none"/>
              </w:rPr>
              <w:t>服务内容</w:t>
            </w:r>
          </w:p>
        </w:tc>
        <w:tc>
          <w:tcPr>
            <w:tcW w:w="6608" w:type="dxa"/>
            <w:vAlign w:val="center"/>
          </w:tcPr>
          <w:p w14:paraId="316DF571">
            <w:pPr>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派遣资深信息安全培训专家提供现场信息安全培训课程。</w:t>
            </w:r>
          </w:p>
          <w:p w14:paraId="17370018">
            <w:pPr>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1、安全意识培训</w:t>
            </w:r>
          </w:p>
          <w:p w14:paraId="12FE5D16">
            <w:pPr>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通过网络安全意识培训，对日益猖獗的病毒、木马等威胁进行必要的描述，使用户全体人员对网络安全的有初步的认识和逐步提高安全意识，并阐明具体的防范措施让安全事故可以得到有效的避免。</w:t>
            </w:r>
          </w:p>
          <w:p w14:paraId="06F83F99">
            <w:pPr>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2、安全技术培训</w:t>
            </w:r>
          </w:p>
          <w:p w14:paraId="005CBDED">
            <w:pPr>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介绍黑客攻击途径，着重描述当前流行的攻击技术和防御手段，对安全领域和知识进行清晰划分和描述，通过大量的现场模拟和环境加固实践提供用户专业技术人员的技术水平。</w:t>
            </w:r>
          </w:p>
          <w:p w14:paraId="4F8EE47F">
            <w:pPr>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3、管理人员培训</w:t>
            </w:r>
          </w:p>
          <w:p w14:paraId="10A46E17">
            <w:pPr>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对管理人员的培训，目的是使用户管理人员了解国家相关部门对系统网络安全管理和建设的相关标准，同时建立起一套具有针对性和适用性的安全管理办法。</w:t>
            </w:r>
          </w:p>
        </w:tc>
      </w:tr>
      <w:tr w14:paraId="60903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78" w:type="dxa"/>
            <w:vAlign w:val="center"/>
          </w:tcPr>
          <w:p w14:paraId="08608DB5">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交付物</w:t>
            </w:r>
          </w:p>
        </w:tc>
        <w:tc>
          <w:tcPr>
            <w:tcW w:w="6608" w:type="dxa"/>
            <w:vAlign w:val="center"/>
          </w:tcPr>
          <w:p w14:paraId="1E8AE061">
            <w:pPr>
              <w:spacing w:line="360" w:lineRule="exact"/>
              <w:rPr>
                <w:rFonts w:ascii="宋体" w:hAnsi="宋体" w:cs="宋体"/>
                <w:color w:val="auto"/>
                <w:szCs w:val="21"/>
                <w:highlight w:val="none"/>
              </w:rPr>
            </w:pPr>
            <w:r>
              <w:rPr>
                <w:rFonts w:hint="eastAsia" w:ascii="宋体" w:hAnsi="宋体" w:cs="宋体"/>
                <w:color w:val="auto"/>
                <w:szCs w:val="21"/>
                <w:highlight w:val="none"/>
              </w:rPr>
              <w:t>《网络安全宣传教育培训签到表》、《网络安全宣传教育培训会议纪要》、网络安全宣传教育培训活动现场照片</w:t>
            </w:r>
          </w:p>
        </w:tc>
      </w:tr>
    </w:tbl>
    <w:p w14:paraId="4175B6D8">
      <w:pPr>
        <w:keepNext/>
        <w:keepLines/>
        <w:spacing w:line="360" w:lineRule="auto"/>
        <w:outlineLvl w:val="0"/>
        <w:rPr>
          <w:rFonts w:ascii="宋体" w:hAnsi="宋体" w:cs="宋体"/>
          <w:b/>
          <w:color w:val="auto"/>
          <w:szCs w:val="21"/>
          <w:highlight w:val="none"/>
        </w:rPr>
      </w:pPr>
      <w:r>
        <w:rPr>
          <w:rFonts w:hint="eastAsia" w:ascii="宋体" w:hAnsi="宋体" w:cs="宋体"/>
          <w:b/>
          <w:color w:val="auto"/>
          <w:szCs w:val="21"/>
          <w:highlight w:val="none"/>
        </w:rPr>
        <w:t>15．应急演练服务</w:t>
      </w:r>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45"/>
        <w:gridCol w:w="6777"/>
      </w:tblGrid>
      <w:tr w14:paraId="6CCE7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97" w:type="dxa"/>
            <w:shd w:val="clear" w:color="auto" w:fill="FFFFFF"/>
            <w:vAlign w:val="center"/>
          </w:tcPr>
          <w:p w14:paraId="51295E39">
            <w:pPr>
              <w:spacing w:line="360" w:lineRule="exact"/>
              <w:jc w:val="center"/>
              <w:rPr>
                <w:rFonts w:ascii="宋体" w:hAnsi="宋体" w:cs="宋体"/>
                <w:b/>
                <w:bCs/>
                <w:color w:val="auto"/>
                <w:szCs w:val="21"/>
                <w:highlight w:val="none"/>
              </w:rPr>
            </w:pPr>
            <w:r>
              <w:rPr>
                <w:rFonts w:hint="eastAsia" w:ascii="宋体" w:hAnsi="宋体" w:cs="宋体"/>
                <w:b/>
                <w:bCs/>
                <w:color w:val="auto"/>
                <w:szCs w:val="21"/>
                <w:highlight w:val="none"/>
              </w:rPr>
              <w:t>技术指标</w:t>
            </w:r>
          </w:p>
        </w:tc>
        <w:tc>
          <w:tcPr>
            <w:tcW w:w="6589" w:type="dxa"/>
            <w:shd w:val="clear" w:color="auto" w:fill="FFFFFF"/>
            <w:vAlign w:val="center"/>
          </w:tcPr>
          <w:p w14:paraId="1E7CB47D">
            <w:pPr>
              <w:spacing w:line="360" w:lineRule="exact"/>
              <w:jc w:val="center"/>
              <w:rPr>
                <w:rFonts w:ascii="宋体" w:hAnsi="宋体" w:cs="宋体"/>
                <w:b/>
                <w:bCs/>
                <w:color w:val="auto"/>
                <w:szCs w:val="21"/>
                <w:highlight w:val="none"/>
              </w:rPr>
            </w:pPr>
            <w:r>
              <w:rPr>
                <w:rFonts w:hint="eastAsia" w:ascii="宋体" w:hAnsi="宋体" w:cs="宋体"/>
                <w:b/>
                <w:bCs/>
                <w:color w:val="auto"/>
                <w:szCs w:val="21"/>
                <w:highlight w:val="none"/>
              </w:rPr>
              <w:t>技术要求</w:t>
            </w:r>
          </w:p>
        </w:tc>
      </w:tr>
      <w:tr w14:paraId="159F2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97" w:type="dxa"/>
            <w:shd w:val="clear" w:color="auto" w:fill="FFFFFF"/>
            <w:vAlign w:val="center"/>
          </w:tcPr>
          <w:p w14:paraId="47A9ECE9">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服务范围</w:t>
            </w:r>
          </w:p>
        </w:tc>
        <w:tc>
          <w:tcPr>
            <w:tcW w:w="6589" w:type="dxa"/>
            <w:shd w:val="clear" w:color="auto" w:fill="FFFFFF"/>
            <w:vAlign w:val="center"/>
          </w:tcPr>
          <w:p w14:paraId="5CD197D5">
            <w:pPr>
              <w:spacing w:line="360" w:lineRule="auto"/>
              <w:rPr>
                <w:rFonts w:ascii="宋体" w:hAnsi="宋体" w:cs="宋体"/>
                <w:color w:val="auto"/>
                <w:szCs w:val="21"/>
                <w:highlight w:val="none"/>
              </w:rPr>
            </w:pPr>
            <w:r>
              <w:rPr>
                <w:rFonts w:hint="eastAsia" w:ascii="宋体" w:hAnsi="宋体" w:cs="宋体"/>
                <w:color w:val="auto"/>
                <w:szCs w:val="21"/>
                <w:highlight w:val="none"/>
              </w:rPr>
              <w:t>中院、基层院</w:t>
            </w:r>
          </w:p>
        </w:tc>
      </w:tr>
      <w:tr w14:paraId="1CD2A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97" w:type="dxa"/>
            <w:shd w:val="clear" w:color="auto" w:fill="FFFFFF"/>
            <w:vAlign w:val="center"/>
          </w:tcPr>
          <w:p w14:paraId="31935541">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服务频率及期限</w:t>
            </w:r>
          </w:p>
        </w:tc>
        <w:tc>
          <w:tcPr>
            <w:tcW w:w="6589" w:type="dxa"/>
            <w:shd w:val="clear" w:color="auto" w:fill="FFFFFF"/>
            <w:vAlign w:val="center"/>
          </w:tcPr>
          <w:p w14:paraId="546BE020">
            <w:pPr>
              <w:spacing w:line="360" w:lineRule="auto"/>
              <w:rPr>
                <w:rFonts w:ascii="宋体" w:hAnsi="宋体" w:cs="宋体"/>
                <w:color w:val="auto"/>
                <w:szCs w:val="21"/>
                <w:highlight w:val="none"/>
              </w:rPr>
            </w:pPr>
            <w:r>
              <w:rPr>
                <w:rFonts w:hint="eastAsia" w:ascii="宋体" w:hAnsi="宋体" w:cs="宋体"/>
                <w:color w:val="auto"/>
                <w:szCs w:val="21"/>
                <w:highlight w:val="none"/>
              </w:rPr>
              <w:t>每年度至少1次</w:t>
            </w:r>
          </w:p>
        </w:tc>
      </w:tr>
      <w:tr w14:paraId="456C6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97" w:type="dxa"/>
            <w:shd w:val="clear" w:color="auto" w:fill="FFFFFF"/>
            <w:vAlign w:val="center"/>
          </w:tcPr>
          <w:p w14:paraId="7136F89E">
            <w:pPr>
              <w:spacing w:line="360" w:lineRule="auto"/>
              <w:jc w:val="center"/>
              <w:rPr>
                <w:rFonts w:ascii="宋体" w:hAnsi="宋体" w:cs="宋体"/>
                <w:color w:val="auto"/>
                <w:kern w:val="0"/>
                <w:szCs w:val="21"/>
                <w:highlight w:val="none"/>
              </w:rPr>
            </w:pPr>
            <w:r>
              <w:rPr>
                <w:rFonts w:hint="eastAsia" w:ascii="宋体" w:hAnsi="宋体" w:cs="宋体"/>
                <w:color w:val="auto"/>
                <w:szCs w:val="21"/>
                <w:highlight w:val="none"/>
              </w:rPr>
              <w:t>服务内容</w:t>
            </w:r>
          </w:p>
        </w:tc>
        <w:tc>
          <w:tcPr>
            <w:tcW w:w="6589" w:type="dxa"/>
            <w:shd w:val="clear" w:color="auto" w:fill="FFFFFF"/>
            <w:vAlign w:val="center"/>
          </w:tcPr>
          <w:p w14:paraId="36584051">
            <w:pPr>
              <w:spacing w:line="360" w:lineRule="auto"/>
              <w:rPr>
                <w:rFonts w:ascii="宋体" w:hAnsi="宋体" w:cs="宋体"/>
                <w:color w:val="auto"/>
                <w:szCs w:val="21"/>
                <w:highlight w:val="none"/>
              </w:rPr>
            </w:pPr>
            <w:r>
              <w:rPr>
                <w:rFonts w:hint="eastAsia" w:ascii="宋体" w:hAnsi="宋体" w:cs="宋体"/>
                <w:color w:val="auto"/>
                <w:szCs w:val="21"/>
                <w:highlight w:val="none"/>
              </w:rPr>
              <w:t>每年进行至少1次应急演练服务，演练的系统范围包括全部定级业务系统，依据网络与信息安全应急预案，演练的系统范围包括定级业务系统或圈定的业务系统，依据网络与信息安全应急预案，模拟应对突发事件的活动。通过应急演练，进一步加强对应急处理预案的理解，通过演练检验预案中网络安全事件等级划分、响应流程等的合理性。</w:t>
            </w:r>
          </w:p>
        </w:tc>
      </w:tr>
      <w:tr w14:paraId="30DC2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97" w:type="dxa"/>
            <w:shd w:val="clear" w:color="auto" w:fill="FFFFFF"/>
            <w:vAlign w:val="center"/>
          </w:tcPr>
          <w:p w14:paraId="4B475FCA">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交付物</w:t>
            </w:r>
          </w:p>
        </w:tc>
        <w:tc>
          <w:tcPr>
            <w:tcW w:w="6589" w:type="dxa"/>
            <w:shd w:val="clear" w:color="auto" w:fill="FFFFFF"/>
            <w:vAlign w:val="center"/>
          </w:tcPr>
          <w:p w14:paraId="4B99B6D8">
            <w:pPr>
              <w:spacing w:line="360" w:lineRule="auto"/>
              <w:rPr>
                <w:rFonts w:ascii="宋体" w:hAnsi="宋体" w:cs="宋体"/>
                <w:color w:val="auto"/>
                <w:szCs w:val="21"/>
                <w:highlight w:val="none"/>
              </w:rPr>
            </w:pPr>
            <w:r>
              <w:rPr>
                <w:rFonts w:hint="eastAsia" w:ascii="宋体" w:hAnsi="宋体" w:cs="宋体"/>
                <w:color w:val="auto"/>
                <w:szCs w:val="21"/>
                <w:highlight w:val="none"/>
              </w:rPr>
              <w:t>《应急预案》、《应急演练方案》、《攻防演练技战法报告》、《攻防演练总结报告》</w:t>
            </w:r>
          </w:p>
        </w:tc>
      </w:tr>
    </w:tbl>
    <w:p w14:paraId="75A5E495">
      <w:pPr>
        <w:keepNext/>
        <w:keepLines/>
        <w:spacing w:line="360" w:lineRule="auto"/>
        <w:outlineLvl w:val="0"/>
        <w:rPr>
          <w:rFonts w:ascii="宋体" w:hAnsi="宋体" w:cs="宋体"/>
          <w:b/>
          <w:color w:val="auto"/>
          <w:szCs w:val="21"/>
          <w:highlight w:val="none"/>
        </w:rPr>
      </w:pPr>
      <w:r>
        <w:rPr>
          <w:rFonts w:hint="eastAsia" w:ascii="宋体" w:hAnsi="宋体" w:cs="宋体"/>
          <w:b/>
          <w:color w:val="auto"/>
          <w:szCs w:val="21"/>
          <w:highlight w:val="none"/>
        </w:rPr>
        <w:t>16．网络安全专项检查服务</w:t>
      </w:r>
    </w:p>
    <w:tbl>
      <w:tblPr>
        <w:tblStyle w:val="22"/>
        <w:tblW w:w="497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60"/>
        <w:gridCol w:w="6718"/>
      </w:tblGrid>
      <w:tr w14:paraId="558D4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713" w:type="dxa"/>
            <w:shd w:val="clear" w:color="auto" w:fill="FFFFFF"/>
            <w:vAlign w:val="center"/>
          </w:tcPr>
          <w:p w14:paraId="03EAE848">
            <w:pPr>
              <w:spacing w:line="360" w:lineRule="exact"/>
              <w:jc w:val="center"/>
              <w:rPr>
                <w:rFonts w:ascii="宋体" w:hAnsi="宋体" w:cs="宋体"/>
                <w:b/>
                <w:bCs/>
                <w:color w:val="auto"/>
                <w:szCs w:val="21"/>
                <w:highlight w:val="none"/>
              </w:rPr>
            </w:pPr>
            <w:r>
              <w:rPr>
                <w:rFonts w:hint="eastAsia" w:ascii="宋体" w:hAnsi="宋体" w:cs="宋体"/>
                <w:b/>
                <w:bCs/>
                <w:color w:val="auto"/>
                <w:szCs w:val="21"/>
                <w:highlight w:val="none"/>
              </w:rPr>
              <w:t>技术指标</w:t>
            </w:r>
          </w:p>
        </w:tc>
        <w:tc>
          <w:tcPr>
            <w:tcW w:w="6540" w:type="dxa"/>
            <w:shd w:val="clear" w:color="auto" w:fill="FFFFFF"/>
            <w:vAlign w:val="center"/>
          </w:tcPr>
          <w:p w14:paraId="297737ED">
            <w:pPr>
              <w:spacing w:line="360" w:lineRule="exact"/>
              <w:jc w:val="center"/>
              <w:rPr>
                <w:rFonts w:ascii="宋体" w:hAnsi="宋体" w:cs="宋体"/>
                <w:b/>
                <w:bCs/>
                <w:color w:val="auto"/>
                <w:szCs w:val="21"/>
                <w:highlight w:val="none"/>
              </w:rPr>
            </w:pPr>
            <w:r>
              <w:rPr>
                <w:rFonts w:hint="eastAsia" w:ascii="宋体" w:hAnsi="宋体" w:cs="宋体"/>
                <w:b/>
                <w:bCs/>
                <w:color w:val="auto"/>
                <w:szCs w:val="21"/>
                <w:highlight w:val="none"/>
              </w:rPr>
              <w:t>技术要求</w:t>
            </w:r>
          </w:p>
        </w:tc>
      </w:tr>
      <w:tr w14:paraId="660D0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713" w:type="dxa"/>
            <w:shd w:val="clear" w:color="auto" w:fill="FFFFFF"/>
            <w:vAlign w:val="center"/>
          </w:tcPr>
          <w:p w14:paraId="6ECB5A21">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服务范围</w:t>
            </w:r>
          </w:p>
        </w:tc>
        <w:tc>
          <w:tcPr>
            <w:tcW w:w="6540" w:type="dxa"/>
            <w:shd w:val="clear" w:color="auto" w:fill="FFFFFF"/>
            <w:vAlign w:val="center"/>
          </w:tcPr>
          <w:p w14:paraId="74C2326C">
            <w:pPr>
              <w:spacing w:line="360" w:lineRule="exact"/>
              <w:rPr>
                <w:rFonts w:ascii="宋体" w:hAnsi="宋体" w:cs="宋体"/>
                <w:color w:val="auto"/>
                <w:szCs w:val="21"/>
                <w:highlight w:val="none"/>
              </w:rPr>
            </w:pPr>
            <w:r>
              <w:rPr>
                <w:rFonts w:hint="eastAsia" w:ascii="宋体" w:hAnsi="宋体" w:cs="宋体"/>
                <w:color w:val="auto"/>
                <w:szCs w:val="21"/>
                <w:highlight w:val="none"/>
              </w:rPr>
              <w:t>中院、基层院</w:t>
            </w:r>
          </w:p>
        </w:tc>
      </w:tr>
      <w:tr w14:paraId="25DDF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713" w:type="dxa"/>
            <w:shd w:val="clear" w:color="auto" w:fill="FFFFFF"/>
            <w:vAlign w:val="center"/>
          </w:tcPr>
          <w:p w14:paraId="50AEBE9D">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服务频率及期限</w:t>
            </w:r>
          </w:p>
        </w:tc>
        <w:tc>
          <w:tcPr>
            <w:tcW w:w="6540" w:type="dxa"/>
            <w:shd w:val="clear" w:color="auto" w:fill="FFFFFF"/>
            <w:vAlign w:val="center"/>
          </w:tcPr>
          <w:p w14:paraId="1CF6FBE5">
            <w:pPr>
              <w:spacing w:line="360" w:lineRule="exact"/>
              <w:rPr>
                <w:rFonts w:ascii="宋体" w:hAnsi="宋体" w:cs="宋体"/>
                <w:color w:val="auto"/>
                <w:szCs w:val="21"/>
                <w:highlight w:val="none"/>
              </w:rPr>
            </w:pPr>
            <w:r>
              <w:rPr>
                <w:rFonts w:hint="eastAsia" w:ascii="宋体" w:hAnsi="宋体" w:cs="宋体"/>
                <w:color w:val="auto"/>
                <w:szCs w:val="21"/>
                <w:highlight w:val="none"/>
              </w:rPr>
              <w:t>每年度至少1次</w:t>
            </w:r>
          </w:p>
        </w:tc>
      </w:tr>
      <w:tr w14:paraId="4A733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1713" w:type="dxa"/>
            <w:shd w:val="clear" w:color="auto" w:fill="FFFFFF"/>
            <w:vAlign w:val="center"/>
          </w:tcPr>
          <w:p w14:paraId="69217A99">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服务内容</w:t>
            </w:r>
          </w:p>
        </w:tc>
        <w:tc>
          <w:tcPr>
            <w:tcW w:w="6540" w:type="dxa"/>
            <w:shd w:val="clear" w:color="auto" w:fill="FFFFFF"/>
            <w:vAlign w:val="center"/>
          </w:tcPr>
          <w:p w14:paraId="0BFAE159">
            <w:pPr>
              <w:pStyle w:val="68"/>
              <w:keepNext w:val="0"/>
              <w:keepLines w:val="0"/>
              <w:pageBreakBefore w:val="0"/>
              <w:widowControl w:val="0"/>
              <w:kinsoku/>
              <w:wordWrap/>
              <w:overflowPunct/>
              <w:topLinePunct w:val="0"/>
              <w:autoSpaceDE/>
              <w:autoSpaceDN/>
              <w:bidi w:val="0"/>
              <w:adjustRightInd/>
              <w:snapToGrid/>
              <w:spacing w:after="0" w:line="240" w:lineRule="auto"/>
              <w:ind w:firstLine="0" w:firstLineChars="0"/>
              <w:textAlignment w:val="auto"/>
              <w:rPr>
                <w:rFonts w:ascii="宋体" w:hAnsi="宋体" w:eastAsia="宋体"/>
                <w:color w:val="auto"/>
                <w:szCs w:val="21"/>
                <w:highlight w:val="none"/>
              </w:rPr>
            </w:pPr>
            <w:r>
              <w:rPr>
                <w:rFonts w:hint="eastAsia" w:ascii="宋体" w:hAnsi="宋体" w:eastAsia="宋体"/>
                <w:color w:val="auto"/>
                <w:szCs w:val="21"/>
                <w:highlight w:val="none"/>
              </w:rPr>
              <w:t>安全检查的服务范围为信息系统及支撑信息系统的网络设备、安全设备、中间件、数据库等信息化资产</w:t>
            </w:r>
          </w:p>
          <w:p w14:paraId="6CA155AD">
            <w:pPr>
              <w:pStyle w:val="68"/>
              <w:keepNext w:val="0"/>
              <w:keepLines w:val="0"/>
              <w:pageBreakBefore w:val="0"/>
              <w:widowControl w:val="0"/>
              <w:kinsoku/>
              <w:wordWrap/>
              <w:overflowPunct/>
              <w:topLinePunct w:val="0"/>
              <w:autoSpaceDE/>
              <w:autoSpaceDN/>
              <w:bidi w:val="0"/>
              <w:adjustRightInd/>
              <w:snapToGrid/>
              <w:spacing w:after="0" w:line="240" w:lineRule="auto"/>
              <w:ind w:firstLine="0" w:firstLineChars="0"/>
              <w:textAlignment w:val="auto"/>
              <w:rPr>
                <w:rFonts w:ascii="宋体" w:hAnsi="宋体" w:eastAsia="宋体"/>
                <w:color w:val="auto"/>
                <w:szCs w:val="21"/>
                <w:highlight w:val="none"/>
              </w:rPr>
            </w:pPr>
            <w:r>
              <w:rPr>
                <w:rFonts w:hint="eastAsia" w:ascii="宋体" w:hAnsi="宋体" w:eastAsia="宋体"/>
                <w:color w:val="auto"/>
                <w:szCs w:val="21"/>
                <w:highlight w:val="none"/>
              </w:rPr>
              <w:t>1、安全扫描：对网络设备、主机、数据库、操作系统、中间件、业务系统等应用等进行安全漏洞扫描。</w:t>
            </w:r>
          </w:p>
          <w:p w14:paraId="151769D4">
            <w:pPr>
              <w:pStyle w:val="68"/>
              <w:keepNext w:val="0"/>
              <w:keepLines w:val="0"/>
              <w:pageBreakBefore w:val="0"/>
              <w:widowControl w:val="0"/>
              <w:kinsoku/>
              <w:wordWrap/>
              <w:overflowPunct/>
              <w:topLinePunct w:val="0"/>
              <w:autoSpaceDE/>
              <w:autoSpaceDN/>
              <w:bidi w:val="0"/>
              <w:adjustRightInd/>
              <w:snapToGrid/>
              <w:spacing w:after="0" w:line="240" w:lineRule="auto"/>
              <w:ind w:firstLine="0" w:firstLineChars="0"/>
              <w:textAlignment w:val="auto"/>
              <w:rPr>
                <w:rFonts w:ascii="宋体" w:hAnsi="宋体" w:eastAsia="宋体"/>
                <w:color w:val="auto"/>
                <w:szCs w:val="21"/>
                <w:highlight w:val="none"/>
              </w:rPr>
            </w:pPr>
            <w:r>
              <w:rPr>
                <w:rFonts w:hint="eastAsia" w:ascii="宋体" w:hAnsi="宋体" w:eastAsia="宋体"/>
                <w:color w:val="auto"/>
                <w:szCs w:val="21"/>
                <w:highlight w:val="none"/>
              </w:rPr>
              <w:t>2、数据分析：由安服专家对扫描的漏洞和采集的流量数据及安全日志进行分析工作，由安全专家根据现场实际情况与经验判断是否是关键风险，从而辅以主动发现。</w:t>
            </w:r>
          </w:p>
          <w:p w14:paraId="04CD6381">
            <w:pPr>
              <w:pStyle w:val="68"/>
              <w:keepNext w:val="0"/>
              <w:keepLines w:val="0"/>
              <w:pageBreakBefore w:val="0"/>
              <w:widowControl w:val="0"/>
              <w:kinsoku/>
              <w:wordWrap/>
              <w:overflowPunct/>
              <w:topLinePunct w:val="0"/>
              <w:autoSpaceDE/>
              <w:autoSpaceDN/>
              <w:bidi w:val="0"/>
              <w:adjustRightInd/>
              <w:snapToGrid/>
              <w:spacing w:after="0" w:line="240" w:lineRule="auto"/>
              <w:ind w:firstLine="0" w:firstLineChars="0"/>
              <w:textAlignment w:val="auto"/>
              <w:rPr>
                <w:rFonts w:ascii="宋体" w:hAnsi="宋体" w:eastAsia="宋体"/>
                <w:color w:val="auto"/>
                <w:szCs w:val="21"/>
                <w:highlight w:val="none"/>
              </w:rPr>
            </w:pPr>
            <w:r>
              <w:rPr>
                <w:rFonts w:hint="eastAsia" w:ascii="宋体" w:hAnsi="宋体" w:eastAsia="宋体"/>
                <w:color w:val="auto"/>
                <w:szCs w:val="21"/>
                <w:highlight w:val="none"/>
              </w:rPr>
              <w:t>3、安全加固：根据资产梳理、安全扫描、数据分析的输出结果进行总结之后，输出针对现有系统风险的安全加固建议报告，安全加固建议报告中为用户提供符合业务需求的安全整改建议，从多角度多维度整改存在的安全问题，将用户的安全水平提升至更高的层次，尽量避免风险的重复性出现，保障业务系统安全可靠运行。</w:t>
            </w:r>
          </w:p>
          <w:p w14:paraId="190AD672">
            <w:pPr>
              <w:pStyle w:val="68"/>
              <w:keepNext w:val="0"/>
              <w:keepLines w:val="0"/>
              <w:pageBreakBefore w:val="0"/>
              <w:widowControl w:val="0"/>
              <w:kinsoku/>
              <w:wordWrap/>
              <w:overflowPunct/>
              <w:topLinePunct w:val="0"/>
              <w:autoSpaceDE/>
              <w:autoSpaceDN/>
              <w:bidi w:val="0"/>
              <w:adjustRightInd/>
              <w:snapToGrid/>
              <w:spacing w:after="0" w:line="240" w:lineRule="auto"/>
              <w:ind w:firstLine="0" w:firstLineChars="0"/>
              <w:textAlignment w:val="auto"/>
              <w:rPr>
                <w:rFonts w:ascii="宋体" w:hAnsi="宋体" w:eastAsia="宋体"/>
                <w:color w:val="auto"/>
                <w:szCs w:val="21"/>
                <w:highlight w:val="none"/>
              </w:rPr>
            </w:pPr>
            <w:r>
              <w:rPr>
                <w:rFonts w:hint="eastAsia" w:ascii="宋体" w:hAnsi="宋体" w:eastAsia="宋体"/>
                <w:color w:val="auto"/>
                <w:szCs w:val="21"/>
                <w:highlight w:val="none"/>
              </w:rPr>
              <w:t>4、开展本单位网络安全运维，包括安全加固、监测预警、响应处理工作。</w:t>
            </w:r>
          </w:p>
        </w:tc>
      </w:tr>
      <w:tr w14:paraId="35310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713" w:type="dxa"/>
            <w:shd w:val="clear" w:color="auto" w:fill="FFFFFF"/>
            <w:vAlign w:val="center"/>
          </w:tcPr>
          <w:p w14:paraId="4D7AEA3C">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交付物</w:t>
            </w:r>
          </w:p>
        </w:tc>
        <w:tc>
          <w:tcPr>
            <w:tcW w:w="6540" w:type="dxa"/>
            <w:shd w:val="clear" w:color="auto" w:fill="FFFFFF"/>
            <w:vAlign w:val="center"/>
          </w:tcPr>
          <w:p w14:paraId="5B97DCA5">
            <w:pPr>
              <w:spacing w:line="360" w:lineRule="exact"/>
              <w:rPr>
                <w:rFonts w:ascii="宋体" w:hAnsi="宋体" w:cs="宋体"/>
                <w:color w:val="auto"/>
                <w:szCs w:val="21"/>
                <w:highlight w:val="none"/>
              </w:rPr>
            </w:pPr>
            <w:r>
              <w:rPr>
                <w:rFonts w:hint="eastAsia" w:ascii="宋体" w:hAnsi="宋体" w:cs="宋体"/>
                <w:color w:val="auto"/>
                <w:szCs w:val="21"/>
                <w:highlight w:val="none"/>
                <w:lang w:val="zh-CN"/>
              </w:rPr>
              <w:t>《安全专项检查报告》</w:t>
            </w:r>
          </w:p>
        </w:tc>
      </w:tr>
    </w:tbl>
    <w:p w14:paraId="5085F6F4">
      <w:pPr>
        <w:keepNext/>
        <w:keepLines/>
        <w:spacing w:line="360" w:lineRule="auto"/>
        <w:outlineLvl w:val="0"/>
        <w:rPr>
          <w:rFonts w:ascii="宋体" w:hAnsi="宋体" w:cs="宋体"/>
          <w:b/>
          <w:color w:val="auto"/>
          <w:szCs w:val="21"/>
          <w:highlight w:val="none"/>
        </w:rPr>
      </w:pPr>
      <w:r>
        <w:rPr>
          <w:rFonts w:hint="eastAsia" w:ascii="宋体" w:hAnsi="宋体" w:cs="宋体"/>
          <w:b/>
          <w:color w:val="auto"/>
          <w:szCs w:val="21"/>
          <w:highlight w:val="none"/>
        </w:rPr>
        <w:t>17．漏洞扫描服务</w:t>
      </w:r>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3"/>
        <w:gridCol w:w="6689"/>
      </w:tblGrid>
      <w:tr w14:paraId="6843D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784" w:type="dxa"/>
            <w:shd w:val="clear" w:color="auto" w:fill="FFFFFF"/>
            <w:vAlign w:val="center"/>
          </w:tcPr>
          <w:p w14:paraId="499C46D2">
            <w:pPr>
              <w:spacing w:line="360" w:lineRule="exact"/>
              <w:jc w:val="center"/>
              <w:rPr>
                <w:rFonts w:ascii="宋体" w:hAnsi="宋体" w:cs="宋体"/>
                <w:b/>
                <w:bCs/>
                <w:color w:val="auto"/>
                <w:szCs w:val="21"/>
                <w:highlight w:val="none"/>
              </w:rPr>
            </w:pPr>
            <w:r>
              <w:rPr>
                <w:rFonts w:hint="eastAsia" w:ascii="宋体" w:hAnsi="宋体" w:cs="宋体"/>
                <w:b/>
                <w:bCs/>
                <w:color w:val="auto"/>
                <w:szCs w:val="21"/>
                <w:highlight w:val="none"/>
              </w:rPr>
              <w:t>技术指标</w:t>
            </w:r>
          </w:p>
        </w:tc>
        <w:tc>
          <w:tcPr>
            <w:tcW w:w="6512" w:type="dxa"/>
            <w:shd w:val="clear" w:color="auto" w:fill="FFFFFF"/>
            <w:vAlign w:val="center"/>
          </w:tcPr>
          <w:p w14:paraId="3DFB9316">
            <w:pPr>
              <w:spacing w:line="360" w:lineRule="exact"/>
              <w:jc w:val="center"/>
              <w:rPr>
                <w:rFonts w:ascii="宋体" w:hAnsi="宋体" w:cs="宋体"/>
                <w:b/>
                <w:bCs/>
                <w:color w:val="auto"/>
                <w:szCs w:val="21"/>
                <w:highlight w:val="none"/>
              </w:rPr>
            </w:pPr>
            <w:r>
              <w:rPr>
                <w:rFonts w:hint="eastAsia" w:ascii="宋体" w:hAnsi="宋体" w:cs="宋体"/>
                <w:b/>
                <w:bCs/>
                <w:color w:val="auto"/>
                <w:szCs w:val="21"/>
                <w:highlight w:val="none"/>
              </w:rPr>
              <w:t>技术要求</w:t>
            </w:r>
          </w:p>
        </w:tc>
      </w:tr>
      <w:tr w14:paraId="5DA32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784" w:type="dxa"/>
            <w:shd w:val="clear" w:color="auto" w:fill="FFFFFF"/>
            <w:vAlign w:val="center"/>
          </w:tcPr>
          <w:p w14:paraId="1DE4F889">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服务范围</w:t>
            </w:r>
          </w:p>
        </w:tc>
        <w:tc>
          <w:tcPr>
            <w:tcW w:w="6512" w:type="dxa"/>
            <w:shd w:val="clear" w:color="auto" w:fill="FFFFFF"/>
            <w:vAlign w:val="center"/>
          </w:tcPr>
          <w:p w14:paraId="60577BBD">
            <w:pPr>
              <w:spacing w:line="360" w:lineRule="exact"/>
              <w:rPr>
                <w:rFonts w:ascii="宋体" w:hAnsi="宋体" w:cs="宋体"/>
                <w:color w:val="auto"/>
                <w:szCs w:val="21"/>
                <w:highlight w:val="none"/>
              </w:rPr>
            </w:pPr>
            <w:r>
              <w:rPr>
                <w:rFonts w:hint="eastAsia" w:ascii="宋体" w:hAnsi="宋体" w:cs="宋体"/>
                <w:color w:val="auto"/>
                <w:szCs w:val="21"/>
                <w:highlight w:val="none"/>
              </w:rPr>
              <w:t>中院</w:t>
            </w:r>
          </w:p>
        </w:tc>
      </w:tr>
      <w:tr w14:paraId="7ED3D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784" w:type="dxa"/>
            <w:shd w:val="clear" w:color="auto" w:fill="FFFFFF"/>
            <w:vAlign w:val="center"/>
          </w:tcPr>
          <w:p w14:paraId="73499EAF">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服务频率及期限</w:t>
            </w:r>
          </w:p>
        </w:tc>
        <w:tc>
          <w:tcPr>
            <w:tcW w:w="6512" w:type="dxa"/>
            <w:shd w:val="clear" w:color="auto" w:fill="FFFFFF"/>
            <w:vAlign w:val="center"/>
          </w:tcPr>
          <w:p w14:paraId="4B0B10E0">
            <w:pPr>
              <w:spacing w:line="360" w:lineRule="exact"/>
              <w:rPr>
                <w:rFonts w:ascii="宋体" w:hAnsi="宋体" w:cs="宋体"/>
                <w:color w:val="auto"/>
                <w:szCs w:val="21"/>
                <w:highlight w:val="none"/>
              </w:rPr>
            </w:pPr>
            <w:r>
              <w:rPr>
                <w:rFonts w:hint="eastAsia" w:ascii="宋体" w:hAnsi="宋体" w:cs="宋体"/>
                <w:color w:val="auto"/>
                <w:szCs w:val="21"/>
                <w:highlight w:val="none"/>
              </w:rPr>
              <w:t>每季度至少1次</w:t>
            </w:r>
          </w:p>
        </w:tc>
      </w:tr>
      <w:tr w14:paraId="0D4CF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784" w:type="dxa"/>
            <w:shd w:val="clear" w:color="auto" w:fill="FFFFFF"/>
            <w:vAlign w:val="center"/>
          </w:tcPr>
          <w:p w14:paraId="375A57C7">
            <w:pPr>
              <w:spacing w:line="360" w:lineRule="exact"/>
              <w:jc w:val="center"/>
              <w:rPr>
                <w:rFonts w:ascii="宋体" w:hAnsi="宋体" w:cs="宋体"/>
                <w:color w:val="auto"/>
                <w:kern w:val="0"/>
                <w:szCs w:val="21"/>
                <w:highlight w:val="none"/>
              </w:rPr>
            </w:pPr>
            <w:r>
              <w:rPr>
                <w:rFonts w:hint="eastAsia" w:ascii="宋体" w:hAnsi="宋体" w:cs="宋体"/>
                <w:color w:val="auto"/>
                <w:szCs w:val="21"/>
                <w:highlight w:val="none"/>
              </w:rPr>
              <w:t>服务内容</w:t>
            </w:r>
          </w:p>
        </w:tc>
        <w:tc>
          <w:tcPr>
            <w:tcW w:w="6512" w:type="dxa"/>
            <w:shd w:val="clear" w:color="auto" w:fill="FFFFFF"/>
            <w:vAlign w:val="center"/>
          </w:tcPr>
          <w:p w14:paraId="79F97A41">
            <w:pPr>
              <w:spacing w:line="360" w:lineRule="exact"/>
              <w:rPr>
                <w:rFonts w:ascii="宋体" w:hAnsi="宋体" w:cs="宋体"/>
                <w:color w:val="auto"/>
                <w:szCs w:val="21"/>
                <w:highlight w:val="none"/>
              </w:rPr>
            </w:pPr>
            <w:r>
              <w:rPr>
                <w:rFonts w:hint="eastAsia" w:ascii="宋体" w:hAnsi="宋体" w:cs="宋体"/>
                <w:color w:val="auto"/>
                <w:szCs w:val="21"/>
                <w:highlight w:val="none"/>
              </w:rPr>
              <w:t>漏洞扫描会对网络设备、主机、操作系统、中间件、业务系统等应用等进行安全漏洞识别，在政务部门的授权与监督下，采用漏洞扫描工具进行漏洞识别与分析，并给出漏洞修复建议。</w:t>
            </w:r>
          </w:p>
        </w:tc>
      </w:tr>
      <w:tr w14:paraId="6D0EC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784" w:type="dxa"/>
            <w:shd w:val="clear" w:color="auto" w:fill="FFFFFF"/>
            <w:vAlign w:val="center"/>
          </w:tcPr>
          <w:p w14:paraId="37232943">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交付物</w:t>
            </w:r>
          </w:p>
        </w:tc>
        <w:tc>
          <w:tcPr>
            <w:tcW w:w="6512" w:type="dxa"/>
            <w:shd w:val="clear" w:color="auto" w:fill="FFFFFF"/>
            <w:vAlign w:val="center"/>
          </w:tcPr>
          <w:p w14:paraId="77ACE675">
            <w:pPr>
              <w:spacing w:line="360" w:lineRule="exact"/>
              <w:rPr>
                <w:rFonts w:ascii="宋体" w:hAnsi="宋体" w:cs="宋体"/>
                <w:color w:val="auto"/>
                <w:szCs w:val="21"/>
                <w:highlight w:val="none"/>
              </w:rPr>
            </w:pPr>
            <w:r>
              <w:rPr>
                <w:rFonts w:hint="eastAsia" w:ascii="宋体" w:hAnsi="宋体" w:cs="宋体"/>
                <w:color w:val="auto"/>
                <w:szCs w:val="21"/>
                <w:highlight w:val="none"/>
              </w:rPr>
              <w:t>《渗透测试报告》</w:t>
            </w:r>
          </w:p>
        </w:tc>
      </w:tr>
    </w:tbl>
    <w:p w14:paraId="184BD26A">
      <w:pPr>
        <w:keepNext/>
        <w:keepLines/>
        <w:spacing w:line="360" w:lineRule="auto"/>
        <w:outlineLvl w:val="0"/>
        <w:rPr>
          <w:rFonts w:ascii="宋体" w:hAnsi="宋体" w:cs="宋体"/>
          <w:b/>
          <w:color w:val="auto"/>
          <w:szCs w:val="21"/>
          <w:highlight w:val="none"/>
        </w:rPr>
      </w:pPr>
      <w:r>
        <w:rPr>
          <w:rFonts w:hint="eastAsia" w:ascii="宋体" w:hAnsi="宋体" w:cs="宋体"/>
          <w:b/>
          <w:color w:val="auto"/>
          <w:szCs w:val="21"/>
          <w:highlight w:val="none"/>
        </w:rPr>
        <w:t>18．基线核查服务</w:t>
      </w:r>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3"/>
        <w:gridCol w:w="6689"/>
      </w:tblGrid>
      <w:tr w14:paraId="29931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782" w:type="dxa"/>
            <w:shd w:val="clear" w:color="auto" w:fill="FFFFFF"/>
            <w:vAlign w:val="center"/>
          </w:tcPr>
          <w:p w14:paraId="33B9C386">
            <w:pPr>
              <w:spacing w:line="360" w:lineRule="exact"/>
              <w:jc w:val="center"/>
              <w:rPr>
                <w:rFonts w:ascii="宋体" w:hAnsi="宋体" w:cs="宋体"/>
                <w:b/>
                <w:bCs/>
                <w:color w:val="auto"/>
                <w:szCs w:val="21"/>
                <w:highlight w:val="none"/>
              </w:rPr>
            </w:pPr>
            <w:r>
              <w:rPr>
                <w:rFonts w:hint="eastAsia" w:ascii="宋体" w:hAnsi="宋体" w:cs="宋体"/>
                <w:b/>
                <w:bCs/>
                <w:color w:val="auto"/>
                <w:szCs w:val="21"/>
                <w:highlight w:val="none"/>
              </w:rPr>
              <w:t>技术指标</w:t>
            </w:r>
          </w:p>
        </w:tc>
        <w:tc>
          <w:tcPr>
            <w:tcW w:w="6504" w:type="dxa"/>
            <w:shd w:val="clear" w:color="auto" w:fill="FFFFFF"/>
            <w:vAlign w:val="center"/>
          </w:tcPr>
          <w:p w14:paraId="6EF56994">
            <w:pPr>
              <w:spacing w:line="360" w:lineRule="exact"/>
              <w:jc w:val="center"/>
              <w:rPr>
                <w:rFonts w:ascii="宋体" w:hAnsi="宋体" w:cs="宋体"/>
                <w:b/>
                <w:bCs/>
                <w:color w:val="auto"/>
                <w:szCs w:val="21"/>
                <w:highlight w:val="none"/>
              </w:rPr>
            </w:pPr>
            <w:r>
              <w:rPr>
                <w:rFonts w:hint="eastAsia" w:ascii="宋体" w:hAnsi="宋体" w:cs="宋体"/>
                <w:b/>
                <w:bCs/>
                <w:color w:val="auto"/>
                <w:szCs w:val="21"/>
                <w:highlight w:val="none"/>
              </w:rPr>
              <w:t>技术要求</w:t>
            </w:r>
          </w:p>
        </w:tc>
      </w:tr>
      <w:tr w14:paraId="721C7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782" w:type="dxa"/>
            <w:shd w:val="clear" w:color="auto" w:fill="FFFFFF"/>
            <w:vAlign w:val="center"/>
          </w:tcPr>
          <w:p w14:paraId="55061164">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服务范围</w:t>
            </w:r>
          </w:p>
        </w:tc>
        <w:tc>
          <w:tcPr>
            <w:tcW w:w="6504" w:type="dxa"/>
            <w:shd w:val="clear" w:color="auto" w:fill="FFFFFF"/>
            <w:vAlign w:val="center"/>
          </w:tcPr>
          <w:p w14:paraId="61DF10D9">
            <w:pPr>
              <w:spacing w:line="360" w:lineRule="exact"/>
              <w:rPr>
                <w:rFonts w:ascii="宋体" w:hAnsi="宋体" w:cs="宋体"/>
                <w:color w:val="auto"/>
                <w:szCs w:val="21"/>
                <w:highlight w:val="none"/>
              </w:rPr>
            </w:pPr>
            <w:r>
              <w:rPr>
                <w:rFonts w:hint="eastAsia" w:ascii="宋体" w:hAnsi="宋体" w:cs="宋体"/>
                <w:color w:val="auto"/>
                <w:szCs w:val="21"/>
                <w:highlight w:val="none"/>
              </w:rPr>
              <w:t>中院</w:t>
            </w:r>
          </w:p>
        </w:tc>
      </w:tr>
      <w:tr w14:paraId="162ED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782" w:type="dxa"/>
            <w:shd w:val="clear" w:color="auto" w:fill="FFFFFF"/>
            <w:vAlign w:val="center"/>
          </w:tcPr>
          <w:p w14:paraId="2B50FE57">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服务频率及期限</w:t>
            </w:r>
          </w:p>
        </w:tc>
        <w:tc>
          <w:tcPr>
            <w:tcW w:w="6504" w:type="dxa"/>
            <w:shd w:val="clear" w:color="auto" w:fill="FFFFFF"/>
            <w:vAlign w:val="center"/>
          </w:tcPr>
          <w:p w14:paraId="762AD4DF">
            <w:pPr>
              <w:spacing w:line="360" w:lineRule="exact"/>
              <w:rPr>
                <w:rFonts w:ascii="宋体" w:hAnsi="宋体" w:cs="宋体"/>
                <w:color w:val="auto"/>
                <w:szCs w:val="21"/>
                <w:highlight w:val="none"/>
              </w:rPr>
            </w:pPr>
            <w:r>
              <w:rPr>
                <w:rFonts w:hint="eastAsia" w:ascii="宋体" w:hAnsi="宋体" w:cs="宋体"/>
                <w:color w:val="auto"/>
                <w:szCs w:val="21"/>
                <w:highlight w:val="none"/>
              </w:rPr>
              <w:t>每季度至少1次</w:t>
            </w:r>
          </w:p>
        </w:tc>
      </w:tr>
      <w:tr w14:paraId="3EE5E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782" w:type="dxa"/>
            <w:shd w:val="clear" w:color="auto" w:fill="FFFFFF"/>
            <w:vAlign w:val="center"/>
          </w:tcPr>
          <w:p w14:paraId="6A1F077C">
            <w:pPr>
              <w:spacing w:line="360" w:lineRule="exact"/>
              <w:jc w:val="center"/>
              <w:rPr>
                <w:rFonts w:ascii="宋体" w:hAnsi="宋体" w:cs="宋体"/>
                <w:color w:val="auto"/>
                <w:kern w:val="0"/>
                <w:szCs w:val="21"/>
                <w:highlight w:val="none"/>
              </w:rPr>
            </w:pPr>
            <w:r>
              <w:rPr>
                <w:rFonts w:hint="eastAsia" w:ascii="宋体" w:hAnsi="宋体" w:cs="宋体"/>
                <w:color w:val="auto"/>
                <w:szCs w:val="21"/>
                <w:highlight w:val="none"/>
              </w:rPr>
              <w:t>服务内容</w:t>
            </w:r>
          </w:p>
        </w:tc>
        <w:tc>
          <w:tcPr>
            <w:tcW w:w="6504" w:type="dxa"/>
            <w:shd w:val="clear" w:color="auto" w:fill="FFFFFF"/>
            <w:vAlign w:val="center"/>
          </w:tcPr>
          <w:p w14:paraId="2941B16B">
            <w:pPr>
              <w:spacing w:line="360" w:lineRule="exact"/>
              <w:rPr>
                <w:rFonts w:ascii="宋体" w:hAnsi="宋体" w:cs="宋体"/>
                <w:color w:val="auto"/>
                <w:szCs w:val="21"/>
                <w:highlight w:val="none"/>
              </w:rPr>
            </w:pPr>
            <w:r>
              <w:rPr>
                <w:rFonts w:hint="eastAsia" w:ascii="宋体" w:hAnsi="宋体" w:cs="宋体"/>
                <w:color w:val="auto"/>
                <w:szCs w:val="21"/>
                <w:highlight w:val="none"/>
              </w:rPr>
              <w:t>根据定义的安全配置基线，对全市法院服务器安全配置情况进行检查，以发现可能会被攻击者利用的安全配置不当与建设不足，达到合规要求，提升安全防护有效性。</w:t>
            </w:r>
          </w:p>
        </w:tc>
      </w:tr>
      <w:tr w14:paraId="593E9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782" w:type="dxa"/>
            <w:shd w:val="clear" w:color="auto" w:fill="FFFFFF"/>
            <w:vAlign w:val="center"/>
          </w:tcPr>
          <w:p w14:paraId="05BEF9C1">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交付物</w:t>
            </w:r>
          </w:p>
        </w:tc>
        <w:tc>
          <w:tcPr>
            <w:tcW w:w="6504" w:type="dxa"/>
            <w:shd w:val="clear" w:color="auto" w:fill="FFFFFF"/>
            <w:vAlign w:val="center"/>
          </w:tcPr>
          <w:p w14:paraId="5F580A11">
            <w:pPr>
              <w:spacing w:line="360" w:lineRule="exact"/>
              <w:rPr>
                <w:rFonts w:ascii="宋体" w:hAnsi="宋体" w:cs="宋体"/>
                <w:color w:val="auto"/>
                <w:szCs w:val="21"/>
                <w:highlight w:val="none"/>
              </w:rPr>
            </w:pPr>
            <w:r>
              <w:rPr>
                <w:rFonts w:hint="eastAsia" w:ascii="宋体" w:hAnsi="宋体" w:cs="宋体"/>
                <w:color w:val="auto"/>
                <w:szCs w:val="21"/>
                <w:highlight w:val="none"/>
              </w:rPr>
              <w:t>《渗透测试报告》</w:t>
            </w:r>
          </w:p>
        </w:tc>
      </w:tr>
    </w:tbl>
    <w:p w14:paraId="25B5063E">
      <w:pPr>
        <w:keepNext/>
        <w:keepLines/>
        <w:spacing w:line="360" w:lineRule="auto"/>
        <w:outlineLvl w:val="0"/>
        <w:rPr>
          <w:rFonts w:ascii="宋体" w:hAnsi="宋体" w:cs="宋体"/>
          <w:b/>
          <w:color w:val="auto"/>
          <w:szCs w:val="21"/>
          <w:highlight w:val="none"/>
        </w:rPr>
      </w:pPr>
      <w:r>
        <w:rPr>
          <w:rFonts w:hint="eastAsia" w:ascii="宋体" w:hAnsi="宋体" w:cs="宋体"/>
          <w:b/>
          <w:color w:val="auto"/>
          <w:szCs w:val="21"/>
          <w:highlight w:val="none"/>
        </w:rPr>
        <w:t>19．渗透测试服务</w:t>
      </w:r>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3"/>
        <w:gridCol w:w="6689"/>
      </w:tblGrid>
      <w:tr w14:paraId="5FA1C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782" w:type="dxa"/>
            <w:shd w:val="clear" w:color="auto" w:fill="FFFFFF"/>
            <w:vAlign w:val="center"/>
          </w:tcPr>
          <w:p w14:paraId="38FC5E4A">
            <w:pPr>
              <w:spacing w:line="360" w:lineRule="exact"/>
              <w:jc w:val="center"/>
              <w:rPr>
                <w:rFonts w:ascii="宋体" w:hAnsi="宋体" w:cs="宋体"/>
                <w:b/>
                <w:bCs/>
                <w:color w:val="auto"/>
                <w:szCs w:val="21"/>
                <w:highlight w:val="none"/>
              </w:rPr>
            </w:pPr>
            <w:r>
              <w:rPr>
                <w:rFonts w:hint="eastAsia" w:ascii="宋体" w:hAnsi="宋体" w:cs="宋体"/>
                <w:b/>
                <w:bCs/>
                <w:color w:val="auto"/>
                <w:szCs w:val="21"/>
                <w:highlight w:val="none"/>
              </w:rPr>
              <w:t>技术指标</w:t>
            </w:r>
          </w:p>
        </w:tc>
        <w:tc>
          <w:tcPr>
            <w:tcW w:w="6504" w:type="dxa"/>
            <w:shd w:val="clear" w:color="auto" w:fill="FFFFFF"/>
            <w:vAlign w:val="center"/>
          </w:tcPr>
          <w:p w14:paraId="3E47589B">
            <w:pPr>
              <w:spacing w:line="360" w:lineRule="exact"/>
              <w:jc w:val="center"/>
              <w:rPr>
                <w:rFonts w:ascii="宋体" w:hAnsi="宋体" w:cs="宋体"/>
                <w:b/>
                <w:bCs/>
                <w:color w:val="auto"/>
                <w:szCs w:val="21"/>
                <w:highlight w:val="none"/>
              </w:rPr>
            </w:pPr>
            <w:r>
              <w:rPr>
                <w:rFonts w:hint="eastAsia" w:ascii="宋体" w:hAnsi="宋体" w:cs="宋体"/>
                <w:b/>
                <w:bCs/>
                <w:color w:val="auto"/>
                <w:szCs w:val="21"/>
                <w:highlight w:val="none"/>
              </w:rPr>
              <w:t>技术要求</w:t>
            </w:r>
          </w:p>
        </w:tc>
      </w:tr>
      <w:tr w14:paraId="5E720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782" w:type="dxa"/>
            <w:shd w:val="clear" w:color="auto" w:fill="FFFFFF"/>
            <w:vAlign w:val="center"/>
          </w:tcPr>
          <w:p w14:paraId="2AD37447">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服务范围</w:t>
            </w:r>
          </w:p>
        </w:tc>
        <w:tc>
          <w:tcPr>
            <w:tcW w:w="6504" w:type="dxa"/>
            <w:shd w:val="clear" w:color="auto" w:fill="FFFFFF"/>
            <w:vAlign w:val="center"/>
          </w:tcPr>
          <w:p w14:paraId="1E19615C">
            <w:pPr>
              <w:spacing w:line="360" w:lineRule="exact"/>
              <w:rPr>
                <w:rFonts w:ascii="宋体" w:hAnsi="宋体" w:cs="宋体"/>
                <w:color w:val="auto"/>
                <w:szCs w:val="21"/>
                <w:highlight w:val="none"/>
              </w:rPr>
            </w:pPr>
            <w:r>
              <w:rPr>
                <w:rFonts w:hint="eastAsia" w:ascii="宋体" w:hAnsi="宋体" w:cs="宋体"/>
                <w:color w:val="auto"/>
                <w:szCs w:val="21"/>
                <w:highlight w:val="none"/>
              </w:rPr>
              <w:t>中院、基层院</w:t>
            </w:r>
          </w:p>
        </w:tc>
      </w:tr>
      <w:tr w14:paraId="0638D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782" w:type="dxa"/>
            <w:shd w:val="clear" w:color="auto" w:fill="FFFFFF"/>
            <w:vAlign w:val="center"/>
          </w:tcPr>
          <w:p w14:paraId="60C9D4E6">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服务频率及期限</w:t>
            </w:r>
          </w:p>
        </w:tc>
        <w:tc>
          <w:tcPr>
            <w:tcW w:w="6504" w:type="dxa"/>
            <w:shd w:val="clear" w:color="auto" w:fill="FFFFFF"/>
            <w:vAlign w:val="center"/>
          </w:tcPr>
          <w:p w14:paraId="6ED3F9A7">
            <w:pPr>
              <w:spacing w:line="360" w:lineRule="exact"/>
              <w:rPr>
                <w:rFonts w:ascii="宋体" w:hAnsi="宋体" w:cs="宋体"/>
                <w:color w:val="auto"/>
                <w:szCs w:val="21"/>
                <w:highlight w:val="none"/>
              </w:rPr>
            </w:pPr>
            <w:r>
              <w:rPr>
                <w:rFonts w:hint="eastAsia" w:ascii="宋体" w:hAnsi="宋体" w:cs="宋体"/>
                <w:color w:val="auto"/>
                <w:szCs w:val="21"/>
                <w:highlight w:val="none"/>
              </w:rPr>
              <w:t>每年度至少1次</w:t>
            </w:r>
          </w:p>
        </w:tc>
      </w:tr>
      <w:tr w14:paraId="5A87D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782" w:type="dxa"/>
            <w:shd w:val="clear" w:color="auto" w:fill="FFFFFF"/>
            <w:vAlign w:val="center"/>
          </w:tcPr>
          <w:p w14:paraId="2D271283">
            <w:pPr>
              <w:spacing w:line="360" w:lineRule="exact"/>
              <w:jc w:val="center"/>
              <w:rPr>
                <w:rFonts w:ascii="宋体" w:hAnsi="宋体" w:cs="宋体"/>
                <w:color w:val="auto"/>
                <w:kern w:val="0"/>
                <w:szCs w:val="21"/>
                <w:highlight w:val="none"/>
              </w:rPr>
            </w:pPr>
            <w:r>
              <w:rPr>
                <w:rFonts w:hint="eastAsia" w:ascii="宋体" w:hAnsi="宋体" w:cs="宋体"/>
                <w:color w:val="auto"/>
                <w:szCs w:val="21"/>
                <w:highlight w:val="none"/>
              </w:rPr>
              <w:t>服务内容</w:t>
            </w:r>
          </w:p>
        </w:tc>
        <w:tc>
          <w:tcPr>
            <w:tcW w:w="6504" w:type="dxa"/>
            <w:shd w:val="clear" w:color="auto" w:fill="FFFFFF"/>
            <w:vAlign w:val="center"/>
          </w:tcPr>
          <w:p w14:paraId="3649EAC7">
            <w:pPr>
              <w:spacing w:line="360" w:lineRule="exact"/>
              <w:rPr>
                <w:rFonts w:ascii="宋体" w:hAnsi="宋体" w:cs="宋体"/>
                <w:color w:val="auto"/>
                <w:szCs w:val="21"/>
                <w:highlight w:val="none"/>
              </w:rPr>
            </w:pPr>
            <w:r>
              <w:rPr>
                <w:rFonts w:hint="eastAsia" w:ascii="宋体" w:hAnsi="宋体" w:cs="宋体"/>
                <w:color w:val="auto"/>
                <w:szCs w:val="21"/>
                <w:highlight w:val="none"/>
              </w:rPr>
              <w:t>通过真实模拟黑客使用的工具、分析方法对采购人指定系统进行模拟攻击，并结合智能工具扫描结果，由高级工程师进行深入的手工测试和分析，识别工具弱点扫描无法发现的问题。主要分析内容包括逻辑缺陷、上传绕过、输入输出校验绕过、数据篡改、功能绕过、异常错误等以及其他专项内容测试与分析，重点发现应用层业务流程和逻辑上的安全漏洞和敏感信息泄露的风险。</w:t>
            </w:r>
          </w:p>
        </w:tc>
      </w:tr>
      <w:tr w14:paraId="062C3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782" w:type="dxa"/>
            <w:shd w:val="clear" w:color="auto" w:fill="FFFFFF"/>
            <w:vAlign w:val="center"/>
          </w:tcPr>
          <w:p w14:paraId="24B0E0E4">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交付物</w:t>
            </w:r>
          </w:p>
        </w:tc>
        <w:tc>
          <w:tcPr>
            <w:tcW w:w="6504" w:type="dxa"/>
            <w:shd w:val="clear" w:color="auto" w:fill="FFFFFF"/>
            <w:vAlign w:val="center"/>
          </w:tcPr>
          <w:p w14:paraId="66A9EB1C">
            <w:pPr>
              <w:spacing w:line="360" w:lineRule="exact"/>
              <w:rPr>
                <w:rFonts w:ascii="宋体" w:hAnsi="宋体" w:cs="宋体"/>
                <w:color w:val="auto"/>
                <w:szCs w:val="21"/>
                <w:highlight w:val="none"/>
              </w:rPr>
            </w:pPr>
            <w:r>
              <w:rPr>
                <w:rFonts w:hint="eastAsia" w:ascii="宋体" w:hAnsi="宋体" w:cs="宋体"/>
                <w:color w:val="auto"/>
                <w:szCs w:val="21"/>
                <w:highlight w:val="none"/>
              </w:rPr>
              <w:t>《渗透测试报告》</w:t>
            </w:r>
          </w:p>
        </w:tc>
      </w:tr>
    </w:tbl>
    <w:p w14:paraId="72E4C25E">
      <w:pPr>
        <w:keepNext/>
        <w:keepLines/>
        <w:spacing w:line="360" w:lineRule="auto"/>
        <w:outlineLvl w:val="0"/>
        <w:rPr>
          <w:rFonts w:ascii="宋体" w:hAnsi="宋体" w:cs="宋体"/>
          <w:b/>
          <w:color w:val="auto"/>
          <w:szCs w:val="21"/>
          <w:highlight w:val="none"/>
        </w:rPr>
      </w:pPr>
      <w:r>
        <w:rPr>
          <w:rFonts w:hint="eastAsia" w:ascii="宋体" w:hAnsi="宋体" w:cs="宋体"/>
          <w:b/>
          <w:color w:val="auto"/>
          <w:szCs w:val="21"/>
          <w:highlight w:val="none"/>
        </w:rPr>
        <w:t>20．应用上线检查服务</w:t>
      </w:r>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72"/>
        <w:gridCol w:w="6750"/>
      </w:tblGrid>
      <w:tr w14:paraId="0AC14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1772" w:type="dxa"/>
            <w:shd w:val="clear" w:color="auto" w:fill="FFFFFF"/>
            <w:vAlign w:val="center"/>
          </w:tcPr>
          <w:p w14:paraId="6713AC2C">
            <w:pPr>
              <w:spacing w:line="360" w:lineRule="exact"/>
              <w:jc w:val="center"/>
              <w:rPr>
                <w:rFonts w:ascii="宋体" w:hAnsi="宋体" w:cs="宋体"/>
                <w:color w:val="auto"/>
                <w:szCs w:val="21"/>
                <w:highlight w:val="none"/>
              </w:rPr>
            </w:pPr>
            <w:r>
              <w:rPr>
                <w:rFonts w:hint="eastAsia" w:ascii="宋体" w:hAnsi="宋体" w:cs="宋体"/>
                <w:b/>
                <w:bCs/>
                <w:color w:val="auto"/>
                <w:szCs w:val="21"/>
                <w:highlight w:val="none"/>
              </w:rPr>
              <w:t>技术指标</w:t>
            </w:r>
          </w:p>
        </w:tc>
        <w:tc>
          <w:tcPr>
            <w:tcW w:w="6750" w:type="dxa"/>
            <w:shd w:val="clear" w:color="auto" w:fill="FFFFFF"/>
            <w:vAlign w:val="center"/>
          </w:tcPr>
          <w:p w14:paraId="1147B69E">
            <w:pPr>
              <w:spacing w:line="360" w:lineRule="exact"/>
              <w:jc w:val="center"/>
              <w:rPr>
                <w:rFonts w:ascii="宋体" w:hAnsi="宋体" w:cs="宋体"/>
                <w:color w:val="auto"/>
                <w:szCs w:val="21"/>
                <w:highlight w:val="none"/>
              </w:rPr>
            </w:pPr>
            <w:r>
              <w:rPr>
                <w:rFonts w:hint="eastAsia" w:ascii="宋体" w:hAnsi="宋体" w:cs="宋体"/>
                <w:b/>
                <w:bCs/>
                <w:color w:val="auto"/>
                <w:szCs w:val="21"/>
                <w:highlight w:val="none"/>
              </w:rPr>
              <w:t>技术要求</w:t>
            </w:r>
          </w:p>
        </w:tc>
      </w:tr>
      <w:tr w14:paraId="251E9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772" w:type="dxa"/>
            <w:shd w:val="clear" w:color="auto" w:fill="FFFFFF"/>
            <w:vAlign w:val="center"/>
          </w:tcPr>
          <w:p w14:paraId="4CFE86E0">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服务范围</w:t>
            </w:r>
          </w:p>
        </w:tc>
        <w:tc>
          <w:tcPr>
            <w:tcW w:w="6750" w:type="dxa"/>
            <w:shd w:val="clear" w:color="auto" w:fill="FFFFFF"/>
            <w:vAlign w:val="center"/>
          </w:tcPr>
          <w:p w14:paraId="6E08EFD7">
            <w:pPr>
              <w:spacing w:line="360" w:lineRule="exact"/>
              <w:rPr>
                <w:rFonts w:ascii="宋体" w:hAnsi="宋体" w:cs="宋体"/>
                <w:color w:val="auto"/>
                <w:szCs w:val="21"/>
                <w:highlight w:val="none"/>
              </w:rPr>
            </w:pPr>
            <w:r>
              <w:rPr>
                <w:rFonts w:hint="eastAsia" w:ascii="宋体" w:hAnsi="宋体" w:cs="宋体"/>
                <w:color w:val="auto"/>
                <w:szCs w:val="21"/>
                <w:highlight w:val="none"/>
              </w:rPr>
              <w:t>中院、基层院</w:t>
            </w:r>
          </w:p>
        </w:tc>
      </w:tr>
      <w:tr w14:paraId="1591D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772" w:type="dxa"/>
            <w:shd w:val="clear" w:color="auto" w:fill="FFFFFF"/>
            <w:vAlign w:val="center"/>
          </w:tcPr>
          <w:p w14:paraId="38B4BE3B">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服务频率及期限</w:t>
            </w:r>
          </w:p>
        </w:tc>
        <w:tc>
          <w:tcPr>
            <w:tcW w:w="6750" w:type="dxa"/>
            <w:shd w:val="clear" w:color="auto" w:fill="FFFFFF"/>
            <w:vAlign w:val="center"/>
          </w:tcPr>
          <w:p w14:paraId="351ACDFD">
            <w:pPr>
              <w:spacing w:line="360" w:lineRule="exact"/>
              <w:rPr>
                <w:rFonts w:ascii="宋体" w:hAnsi="宋体" w:cs="宋体"/>
                <w:color w:val="auto"/>
                <w:szCs w:val="21"/>
                <w:highlight w:val="none"/>
              </w:rPr>
            </w:pPr>
            <w:r>
              <w:rPr>
                <w:rFonts w:hint="eastAsia" w:ascii="宋体" w:hAnsi="宋体" w:cs="宋体"/>
                <w:color w:val="auto"/>
                <w:szCs w:val="21"/>
                <w:highlight w:val="none"/>
              </w:rPr>
              <w:t>根据采购人实际需求确定</w:t>
            </w:r>
          </w:p>
        </w:tc>
      </w:tr>
      <w:tr w14:paraId="62209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772" w:type="dxa"/>
            <w:shd w:val="clear" w:color="auto" w:fill="FFFFFF"/>
            <w:vAlign w:val="center"/>
          </w:tcPr>
          <w:p w14:paraId="137A423A">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服务内容</w:t>
            </w:r>
          </w:p>
        </w:tc>
        <w:tc>
          <w:tcPr>
            <w:tcW w:w="6750" w:type="dxa"/>
            <w:shd w:val="clear" w:color="auto" w:fill="FFFFFF"/>
            <w:vAlign w:val="center"/>
          </w:tcPr>
          <w:p w14:paraId="52DFED3B">
            <w:pPr>
              <w:spacing w:line="360" w:lineRule="exact"/>
              <w:rPr>
                <w:rFonts w:ascii="宋体" w:hAnsi="宋体" w:cs="宋体"/>
                <w:color w:val="auto"/>
                <w:szCs w:val="21"/>
                <w:highlight w:val="none"/>
              </w:rPr>
            </w:pPr>
            <w:r>
              <w:rPr>
                <w:rFonts w:hint="eastAsia" w:ascii="宋体" w:hAnsi="宋体" w:cs="宋体"/>
                <w:color w:val="auto"/>
                <w:szCs w:val="21"/>
                <w:highlight w:val="none"/>
              </w:rPr>
              <w:t>采用专业工具和安全专家人工检测相结合的方式，对采购人新上线系统进行安全检查服务，及时发现可能存在的安全漏洞，提出安全建设整改建议，作为漏洞修复和加固整改的参考依据，确认修复整改后方可上线。</w:t>
            </w:r>
          </w:p>
        </w:tc>
      </w:tr>
      <w:tr w14:paraId="77B25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772" w:type="dxa"/>
            <w:shd w:val="clear" w:color="auto" w:fill="FFFFFF"/>
            <w:vAlign w:val="center"/>
          </w:tcPr>
          <w:p w14:paraId="392818B8">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交付物</w:t>
            </w:r>
          </w:p>
        </w:tc>
        <w:tc>
          <w:tcPr>
            <w:tcW w:w="6750" w:type="dxa"/>
            <w:shd w:val="clear" w:color="auto" w:fill="FFFFFF"/>
            <w:vAlign w:val="center"/>
          </w:tcPr>
          <w:p w14:paraId="2E487277">
            <w:pPr>
              <w:spacing w:line="360" w:lineRule="exact"/>
              <w:rPr>
                <w:rFonts w:ascii="宋体" w:hAnsi="宋体" w:cs="宋体"/>
                <w:color w:val="auto"/>
                <w:szCs w:val="21"/>
                <w:highlight w:val="none"/>
              </w:rPr>
            </w:pPr>
            <w:r>
              <w:rPr>
                <w:rFonts w:hint="eastAsia" w:ascii="宋体" w:hAnsi="宋体" w:cs="宋体"/>
                <w:color w:val="auto"/>
                <w:szCs w:val="21"/>
                <w:highlight w:val="none"/>
              </w:rPr>
              <w:t>《系统上线检查报告》</w:t>
            </w:r>
          </w:p>
        </w:tc>
      </w:tr>
    </w:tbl>
    <w:p w14:paraId="0EDC7A08">
      <w:pPr>
        <w:keepNext/>
        <w:keepLines/>
        <w:spacing w:line="360" w:lineRule="auto"/>
        <w:outlineLvl w:val="0"/>
        <w:rPr>
          <w:rFonts w:ascii="宋体" w:hAnsi="宋体" w:cs="宋体"/>
          <w:b/>
          <w:color w:val="auto"/>
          <w:szCs w:val="21"/>
          <w:highlight w:val="none"/>
        </w:rPr>
      </w:pPr>
      <w:r>
        <w:rPr>
          <w:rFonts w:hint="eastAsia" w:ascii="宋体" w:hAnsi="宋体" w:cs="宋体"/>
          <w:b/>
          <w:color w:val="auto"/>
          <w:szCs w:val="21"/>
          <w:highlight w:val="none"/>
        </w:rPr>
        <w:t>21．安全运维服务</w:t>
      </w:r>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7"/>
        <w:gridCol w:w="6825"/>
      </w:tblGrid>
      <w:tr w14:paraId="334DF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97" w:type="dxa"/>
            <w:shd w:val="clear" w:color="auto" w:fill="FFFFFF"/>
            <w:vAlign w:val="center"/>
          </w:tcPr>
          <w:p w14:paraId="2C4C86F8">
            <w:pPr>
              <w:spacing w:line="360" w:lineRule="exact"/>
              <w:jc w:val="center"/>
              <w:rPr>
                <w:rFonts w:ascii="宋体" w:hAnsi="宋体" w:cs="宋体"/>
                <w:b/>
                <w:bCs/>
                <w:color w:val="auto"/>
                <w:szCs w:val="21"/>
                <w:highlight w:val="none"/>
              </w:rPr>
            </w:pPr>
            <w:r>
              <w:rPr>
                <w:rFonts w:hint="eastAsia" w:ascii="宋体" w:hAnsi="宋体" w:cs="宋体"/>
                <w:b/>
                <w:bCs/>
                <w:color w:val="auto"/>
                <w:szCs w:val="21"/>
                <w:highlight w:val="none"/>
              </w:rPr>
              <w:t>技术指标</w:t>
            </w:r>
          </w:p>
        </w:tc>
        <w:tc>
          <w:tcPr>
            <w:tcW w:w="6825" w:type="dxa"/>
            <w:shd w:val="clear" w:color="auto" w:fill="FFFFFF"/>
            <w:vAlign w:val="center"/>
          </w:tcPr>
          <w:p w14:paraId="1DA7CB8B">
            <w:pPr>
              <w:spacing w:line="360" w:lineRule="exact"/>
              <w:jc w:val="center"/>
              <w:rPr>
                <w:rFonts w:ascii="宋体" w:hAnsi="宋体" w:cs="宋体"/>
                <w:b/>
                <w:bCs/>
                <w:color w:val="auto"/>
                <w:szCs w:val="21"/>
                <w:highlight w:val="none"/>
              </w:rPr>
            </w:pPr>
            <w:r>
              <w:rPr>
                <w:rFonts w:hint="eastAsia" w:ascii="宋体" w:hAnsi="宋体" w:cs="宋体"/>
                <w:b/>
                <w:bCs/>
                <w:color w:val="auto"/>
                <w:szCs w:val="21"/>
                <w:highlight w:val="none"/>
              </w:rPr>
              <w:t>技术要求</w:t>
            </w:r>
          </w:p>
        </w:tc>
      </w:tr>
      <w:tr w14:paraId="5385E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97" w:type="dxa"/>
            <w:vAlign w:val="center"/>
          </w:tcPr>
          <w:p w14:paraId="2850FDD2">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服务范围</w:t>
            </w:r>
          </w:p>
        </w:tc>
        <w:tc>
          <w:tcPr>
            <w:tcW w:w="6825" w:type="dxa"/>
            <w:vAlign w:val="center"/>
          </w:tcPr>
          <w:p w14:paraId="6CD631FD">
            <w:pPr>
              <w:spacing w:line="360" w:lineRule="exact"/>
              <w:rPr>
                <w:rFonts w:ascii="宋体" w:hAnsi="宋体" w:cs="宋体"/>
                <w:color w:val="auto"/>
                <w:szCs w:val="21"/>
                <w:highlight w:val="none"/>
              </w:rPr>
            </w:pPr>
            <w:r>
              <w:rPr>
                <w:rFonts w:hint="eastAsia" w:ascii="宋体" w:hAnsi="宋体" w:cs="宋体"/>
                <w:color w:val="auto"/>
                <w:szCs w:val="21"/>
                <w:highlight w:val="none"/>
              </w:rPr>
              <w:t>按需</w:t>
            </w:r>
          </w:p>
        </w:tc>
      </w:tr>
      <w:tr w14:paraId="39A79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97" w:type="dxa"/>
            <w:vAlign w:val="center"/>
          </w:tcPr>
          <w:p w14:paraId="607D302B">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服务频率及期限</w:t>
            </w:r>
          </w:p>
        </w:tc>
        <w:tc>
          <w:tcPr>
            <w:tcW w:w="6825" w:type="dxa"/>
            <w:vAlign w:val="center"/>
          </w:tcPr>
          <w:p w14:paraId="794237AC">
            <w:pPr>
              <w:spacing w:line="360" w:lineRule="exact"/>
              <w:rPr>
                <w:rFonts w:ascii="宋体" w:hAnsi="宋体" w:cs="宋体"/>
                <w:color w:val="auto"/>
                <w:szCs w:val="21"/>
                <w:highlight w:val="none"/>
              </w:rPr>
            </w:pPr>
            <w:r>
              <w:rPr>
                <w:rFonts w:hint="eastAsia" w:ascii="宋体" w:hAnsi="宋体" w:cs="宋体"/>
                <w:color w:val="auto"/>
                <w:szCs w:val="21"/>
                <w:highlight w:val="none"/>
              </w:rPr>
              <w:t>按需提供/年</w:t>
            </w:r>
          </w:p>
        </w:tc>
      </w:tr>
      <w:tr w14:paraId="53344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97" w:type="dxa"/>
            <w:vAlign w:val="center"/>
          </w:tcPr>
          <w:p w14:paraId="1644B63C">
            <w:pPr>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服务内容</w:t>
            </w:r>
          </w:p>
        </w:tc>
        <w:tc>
          <w:tcPr>
            <w:tcW w:w="6825" w:type="dxa"/>
            <w:vAlign w:val="center"/>
          </w:tcPr>
          <w:p w14:paraId="47A58417">
            <w:pPr>
              <w:rPr>
                <w:rFonts w:ascii="宋体" w:hAnsi="宋体" w:cs="宋体"/>
                <w:color w:val="auto"/>
                <w:kern w:val="0"/>
                <w:szCs w:val="21"/>
                <w:highlight w:val="none"/>
              </w:rPr>
            </w:pPr>
            <w:r>
              <w:rPr>
                <w:rFonts w:hint="eastAsia" w:ascii="宋体" w:hAnsi="宋体" w:cs="宋体"/>
                <w:color w:val="auto"/>
                <w:kern w:val="0"/>
                <w:szCs w:val="21"/>
                <w:highlight w:val="none"/>
              </w:rPr>
              <w:t>1、按照等级保护要求，结合单位特点，协助搭建网络与信息安全工作架构，明确安全工作内容和职责，提供等级保护要求的各类文件、制度、机制参考模板。（中院）</w:t>
            </w:r>
          </w:p>
          <w:p w14:paraId="732F12EA">
            <w:pPr>
              <w:rPr>
                <w:rFonts w:ascii="宋体" w:hAnsi="宋体" w:cs="宋体"/>
                <w:color w:val="auto"/>
                <w:kern w:val="0"/>
                <w:szCs w:val="21"/>
                <w:highlight w:val="none"/>
              </w:rPr>
            </w:pPr>
            <w:r>
              <w:rPr>
                <w:rFonts w:hint="eastAsia" w:ascii="宋体" w:hAnsi="宋体" w:cs="宋体"/>
                <w:color w:val="auto"/>
                <w:kern w:val="0"/>
                <w:szCs w:val="21"/>
                <w:highlight w:val="none"/>
              </w:rPr>
              <w:t>2、明确年度网络安全工作主要目标、基本要求和工作任务（中院）</w:t>
            </w:r>
          </w:p>
          <w:p w14:paraId="6C602806">
            <w:pPr>
              <w:rPr>
                <w:rFonts w:ascii="宋体" w:hAnsi="宋体" w:cs="宋体"/>
                <w:color w:val="auto"/>
                <w:kern w:val="0"/>
                <w:szCs w:val="21"/>
                <w:highlight w:val="none"/>
              </w:rPr>
            </w:pPr>
            <w:r>
              <w:rPr>
                <w:rFonts w:hint="eastAsia" w:ascii="宋体" w:hAnsi="宋体" w:cs="宋体"/>
                <w:color w:val="auto"/>
                <w:kern w:val="0"/>
                <w:szCs w:val="21"/>
                <w:highlight w:val="none"/>
              </w:rPr>
              <w:t>3、全市法院系统运维接入堡垒机。（中院、基层院）</w:t>
            </w:r>
          </w:p>
          <w:p w14:paraId="35EC8DA5">
            <w:pPr>
              <w:rPr>
                <w:rFonts w:ascii="宋体" w:hAnsi="宋体" w:cs="宋体"/>
                <w:color w:val="auto"/>
                <w:kern w:val="0"/>
                <w:szCs w:val="21"/>
                <w:highlight w:val="none"/>
              </w:rPr>
            </w:pPr>
            <w:r>
              <w:rPr>
                <w:rFonts w:hint="eastAsia" w:ascii="宋体" w:hAnsi="宋体" w:cs="宋体"/>
                <w:color w:val="auto"/>
                <w:kern w:val="0"/>
                <w:szCs w:val="21"/>
                <w:highlight w:val="none"/>
              </w:rPr>
              <w:t>4、全市法院防火墙配置细化到具体IP。（中院、基层院）</w:t>
            </w:r>
          </w:p>
          <w:p w14:paraId="011E57B3">
            <w:pPr>
              <w:rPr>
                <w:rFonts w:ascii="宋体" w:hAnsi="宋体" w:cs="宋体"/>
                <w:color w:val="auto"/>
                <w:kern w:val="0"/>
                <w:szCs w:val="21"/>
                <w:highlight w:val="none"/>
              </w:rPr>
            </w:pPr>
            <w:r>
              <w:rPr>
                <w:rFonts w:hint="eastAsia" w:ascii="宋体" w:hAnsi="宋体" w:cs="宋体"/>
                <w:color w:val="auto"/>
                <w:kern w:val="0"/>
                <w:szCs w:val="21"/>
                <w:highlight w:val="none"/>
              </w:rPr>
              <w:t>5、全市法院数据中心服务器部署安装安全防护软件、中院终端部署安装安全防护软件。（中院、基层院）</w:t>
            </w:r>
          </w:p>
          <w:p w14:paraId="68C7545F">
            <w:pPr>
              <w:rPr>
                <w:rFonts w:ascii="宋体" w:hAnsi="宋体" w:cs="宋体"/>
                <w:color w:val="auto"/>
                <w:kern w:val="0"/>
                <w:szCs w:val="21"/>
                <w:highlight w:val="none"/>
              </w:rPr>
            </w:pPr>
            <w:r>
              <w:rPr>
                <w:rFonts w:hint="eastAsia" w:ascii="宋体" w:hAnsi="宋体" w:cs="宋体"/>
                <w:color w:val="auto"/>
                <w:kern w:val="0"/>
                <w:szCs w:val="21"/>
                <w:highlight w:val="none"/>
              </w:rPr>
              <w:t>6、对全市法院服务器、操作系统、数据库、应用系统、中间件操作日志进行审计。（中院、基层院）</w:t>
            </w:r>
          </w:p>
          <w:p w14:paraId="51F70404">
            <w:pPr>
              <w:pStyle w:val="8"/>
              <w:spacing w:after="0"/>
              <w:rPr>
                <w:rFonts w:ascii="宋体" w:hAnsi="宋体" w:cs="宋体"/>
                <w:color w:val="auto"/>
                <w:szCs w:val="21"/>
                <w:highlight w:val="none"/>
              </w:rPr>
            </w:pPr>
            <w:r>
              <w:rPr>
                <w:rFonts w:hint="eastAsia" w:ascii="宋体" w:hAnsi="宋体" w:cs="宋体"/>
                <w:color w:val="auto"/>
                <w:szCs w:val="21"/>
                <w:highlight w:val="none"/>
              </w:rPr>
              <w:t>7、对全市法院数据库进行审计。（中院、基层院）</w:t>
            </w:r>
          </w:p>
          <w:p w14:paraId="769CA76D">
            <w:pPr>
              <w:pStyle w:val="8"/>
              <w:spacing w:after="0"/>
              <w:rPr>
                <w:rFonts w:ascii="宋体" w:hAnsi="宋体" w:cs="宋体"/>
                <w:color w:val="auto"/>
                <w:szCs w:val="21"/>
                <w:highlight w:val="none"/>
              </w:rPr>
            </w:pPr>
            <w:r>
              <w:rPr>
                <w:rFonts w:hint="eastAsia" w:ascii="宋体" w:hAnsi="宋体" w:cs="宋体"/>
                <w:color w:val="auto"/>
                <w:szCs w:val="21"/>
                <w:highlight w:val="none"/>
              </w:rPr>
              <w:t>8、全市法院安全基础设施巡检（中院）</w:t>
            </w:r>
          </w:p>
          <w:p w14:paraId="4408DCFB">
            <w:pPr>
              <w:rPr>
                <w:rFonts w:ascii="宋体" w:hAnsi="宋体" w:cs="宋体"/>
                <w:color w:val="auto"/>
                <w:kern w:val="0"/>
                <w:szCs w:val="21"/>
                <w:highlight w:val="none"/>
              </w:rPr>
            </w:pPr>
            <w:r>
              <w:rPr>
                <w:rFonts w:hint="eastAsia" w:ascii="宋体" w:hAnsi="宋体" w:cs="宋体"/>
                <w:color w:val="auto"/>
                <w:kern w:val="0"/>
                <w:szCs w:val="21"/>
                <w:highlight w:val="none"/>
              </w:rPr>
              <w:t>9、选派具有相关网络与信息安全技能和经验的技术人员现场服务，协助做好网络安全考核资料收集整理（中院、基层院）</w:t>
            </w:r>
          </w:p>
        </w:tc>
      </w:tr>
      <w:tr w14:paraId="09BFC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97" w:type="dxa"/>
            <w:vAlign w:val="center"/>
          </w:tcPr>
          <w:p w14:paraId="519DF815">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交付物</w:t>
            </w:r>
          </w:p>
        </w:tc>
        <w:tc>
          <w:tcPr>
            <w:tcW w:w="6825" w:type="dxa"/>
            <w:vAlign w:val="center"/>
          </w:tcPr>
          <w:p w14:paraId="34FB5E19">
            <w:pPr>
              <w:spacing w:line="360" w:lineRule="exact"/>
              <w:rPr>
                <w:rFonts w:ascii="宋体" w:hAnsi="宋体" w:cs="宋体"/>
                <w:color w:val="auto"/>
                <w:szCs w:val="21"/>
                <w:highlight w:val="none"/>
              </w:rPr>
            </w:pPr>
            <w:r>
              <w:rPr>
                <w:rFonts w:hint="eastAsia" w:ascii="宋体" w:hAnsi="宋体" w:cs="宋体"/>
                <w:color w:val="auto"/>
                <w:kern w:val="0"/>
                <w:szCs w:val="21"/>
                <w:highlight w:val="none"/>
              </w:rPr>
              <w:t>按需提供相应服务报告</w:t>
            </w:r>
          </w:p>
        </w:tc>
      </w:tr>
    </w:tbl>
    <w:p w14:paraId="659D1AB3">
      <w:pPr>
        <w:keepNext/>
        <w:keepLines/>
        <w:numPr>
          <w:ilvl w:val="0"/>
          <w:numId w:val="4"/>
        </w:numPr>
        <w:spacing w:line="360" w:lineRule="auto"/>
        <w:outlineLvl w:val="0"/>
        <w:rPr>
          <w:rFonts w:ascii="宋体" w:hAnsi="宋体" w:cs="宋体"/>
          <w:b/>
          <w:bCs/>
          <w:color w:val="auto"/>
          <w:szCs w:val="21"/>
          <w:highlight w:val="none"/>
        </w:rPr>
      </w:pPr>
      <w:r>
        <w:rPr>
          <w:rFonts w:hint="eastAsia" w:ascii="宋体" w:hAnsi="宋体" w:cs="宋体"/>
          <w:b/>
          <w:bCs/>
          <w:color w:val="auto"/>
          <w:szCs w:val="21"/>
          <w:highlight w:val="none"/>
        </w:rPr>
        <w:t>资产梳理服务</w:t>
      </w:r>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2"/>
        <w:gridCol w:w="6820"/>
      </w:tblGrid>
      <w:tr w14:paraId="322E6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57" w:type="dxa"/>
            <w:shd w:val="clear" w:color="auto" w:fill="FFFFFF"/>
            <w:vAlign w:val="center"/>
          </w:tcPr>
          <w:p w14:paraId="741B633D">
            <w:pPr>
              <w:spacing w:line="360" w:lineRule="exact"/>
              <w:jc w:val="center"/>
              <w:rPr>
                <w:rFonts w:ascii="宋体" w:hAnsi="宋体" w:cs="宋体"/>
                <w:b/>
                <w:bCs/>
                <w:color w:val="auto"/>
                <w:szCs w:val="21"/>
                <w:highlight w:val="none"/>
              </w:rPr>
            </w:pPr>
            <w:r>
              <w:rPr>
                <w:rFonts w:hint="eastAsia" w:ascii="宋体" w:hAnsi="宋体" w:cs="宋体"/>
                <w:b/>
                <w:bCs/>
                <w:color w:val="auto"/>
                <w:szCs w:val="21"/>
                <w:highlight w:val="none"/>
              </w:rPr>
              <w:t>技术指标</w:t>
            </w:r>
          </w:p>
        </w:tc>
        <w:tc>
          <w:tcPr>
            <w:tcW w:w="6639" w:type="dxa"/>
            <w:shd w:val="clear" w:color="auto" w:fill="FFFFFF"/>
            <w:vAlign w:val="center"/>
          </w:tcPr>
          <w:p w14:paraId="75B8E062">
            <w:pPr>
              <w:spacing w:line="360" w:lineRule="exact"/>
              <w:jc w:val="center"/>
              <w:rPr>
                <w:rFonts w:ascii="宋体" w:hAnsi="宋体" w:cs="宋体"/>
                <w:b/>
                <w:bCs/>
                <w:color w:val="auto"/>
                <w:szCs w:val="21"/>
                <w:highlight w:val="none"/>
              </w:rPr>
            </w:pPr>
            <w:r>
              <w:rPr>
                <w:rFonts w:hint="eastAsia" w:ascii="宋体" w:hAnsi="宋体" w:cs="宋体"/>
                <w:b/>
                <w:bCs/>
                <w:color w:val="auto"/>
                <w:szCs w:val="21"/>
                <w:highlight w:val="none"/>
              </w:rPr>
              <w:t>技术要求</w:t>
            </w:r>
          </w:p>
        </w:tc>
      </w:tr>
      <w:tr w14:paraId="5E2C4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57" w:type="dxa"/>
            <w:vAlign w:val="center"/>
          </w:tcPr>
          <w:p w14:paraId="4ADBE976">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服务范围</w:t>
            </w:r>
          </w:p>
        </w:tc>
        <w:tc>
          <w:tcPr>
            <w:tcW w:w="6639" w:type="dxa"/>
            <w:vAlign w:val="center"/>
          </w:tcPr>
          <w:p w14:paraId="16C94751">
            <w:pPr>
              <w:spacing w:line="360" w:lineRule="exact"/>
              <w:rPr>
                <w:rFonts w:ascii="宋体" w:hAnsi="宋体" w:cs="宋体"/>
                <w:color w:val="auto"/>
                <w:szCs w:val="21"/>
                <w:highlight w:val="none"/>
              </w:rPr>
            </w:pPr>
            <w:r>
              <w:rPr>
                <w:rFonts w:hint="eastAsia" w:ascii="宋体" w:hAnsi="宋体" w:cs="宋体"/>
                <w:color w:val="auto"/>
                <w:szCs w:val="21"/>
                <w:highlight w:val="none"/>
              </w:rPr>
              <w:t>中院、基层院</w:t>
            </w:r>
          </w:p>
        </w:tc>
      </w:tr>
      <w:tr w14:paraId="5C18D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57" w:type="dxa"/>
            <w:vAlign w:val="center"/>
          </w:tcPr>
          <w:p w14:paraId="53A98A37">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服务频率及期限</w:t>
            </w:r>
          </w:p>
        </w:tc>
        <w:tc>
          <w:tcPr>
            <w:tcW w:w="6639" w:type="dxa"/>
            <w:vAlign w:val="center"/>
          </w:tcPr>
          <w:p w14:paraId="7766E168">
            <w:pPr>
              <w:spacing w:line="360" w:lineRule="exact"/>
              <w:rPr>
                <w:rFonts w:ascii="宋体" w:hAnsi="宋体" w:cs="宋体"/>
                <w:color w:val="auto"/>
                <w:szCs w:val="21"/>
                <w:highlight w:val="none"/>
              </w:rPr>
            </w:pPr>
            <w:r>
              <w:rPr>
                <w:rFonts w:hint="eastAsia" w:ascii="宋体" w:hAnsi="宋体" w:cs="宋体"/>
                <w:color w:val="auto"/>
                <w:szCs w:val="21"/>
                <w:highlight w:val="none"/>
              </w:rPr>
              <w:t>每年度至少1次</w:t>
            </w:r>
          </w:p>
        </w:tc>
      </w:tr>
      <w:tr w14:paraId="44FC6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57" w:type="dxa"/>
            <w:vAlign w:val="center"/>
          </w:tcPr>
          <w:p w14:paraId="7FDFD120">
            <w:pPr>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服务内容</w:t>
            </w:r>
          </w:p>
        </w:tc>
        <w:tc>
          <w:tcPr>
            <w:tcW w:w="6639" w:type="dxa"/>
            <w:vAlign w:val="center"/>
          </w:tcPr>
          <w:p w14:paraId="0E77ECCF">
            <w:pPr>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使用工具（RAP、TSS等）对包括：业务系统、服务器、安全设备、网络设备等进行自动化扫描发现、识别、评估。</w:t>
            </w:r>
          </w:p>
          <w:p w14:paraId="1A5550EE">
            <w:pPr>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建立信息系统数据资产清单，对资产进行分级分类和标识，对软件、硬件、电子及实体资产生成使用规范，网络拓扑图。</w:t>
            </w:r>
          </w:p>
        </w:tc>
      </w:tr>
      <w:tr w14:paraId="1A57A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57" w:type="dxa"/>
            <w:vAlign w:val="center"/>
          </w:tcPr>
          <w:p w14:paraId="1B4E2FBC">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交付物</w:t>
            </w:r>
          </w:p>
        </w:tc>
        <w:tc>
          <w:tcPr>
            <w:tcW w:w="6639" w:type="dxa"/>
            <w:vAlign w:val="center"/>
          </w:tcPr>
          <w:p w14:paraId="547340D8">
            <w:pPr>
              <w:spacing w:line="360" w:lineRule="exact"/>
              <w:rPr>
                <w:rFonts w:ascii="宋体" w:hAnsi="宋体" w:cs="宋体"/>
                <w:color w:val="auto"/>
                <w:szCs w:val="21"/>
                <w:highlight w:val="none"/>
              </w:rPr>
            </w:pPr>
            <w:r>
              <w:rPr>
                <w:rFonts w:hint="eastAsia" w:ascii="宋体" w:hAnsi="宋体" w:cs="宋体"/>
                <w:color w:val="auto"/>
                <w:kern w:val="0"/>
                <w:szCs w:val="21"/>
                <w:highlight w:val="none"/>
              </w:rPr>
              <w:t>《IT资产表》、《网络拓扑图》、《业务关系统图》</w:t>
            </w:r>
          </w:p>
        </w:tc>
      </w:tr>
    </w:tbl>
    <w:p w14:paraId="1FD3761A">
      <w:pPr>
        <w:keepNext/>
        <w:keepLines/>
        <w:numPr>
          <w:ilvl w:val="0"/>
          <w:numId w:val="4"/>
        </w:numPr>
        <w:spacing w:line="360" w:lineRule="auto"/>
        <w:outlineLvl w:val="0"/>
        <w:rPr>
          <w:rFonts w:ascii="宋体" w:hAnsi="宋体" w:cs="宋体"/>
          <w:b/>
          <w:bCs/>
          <w:color w:val="auto"/>
          <w:szCs w:val="21"/>
          <w:highlight w:val="none"/>
        </w:rPr>
      </w:pPr>
      <w:r>
        <w:rPr>
          <w:rFonts w:hint="eastAsia" w:ascii="宋体" w:hAnsi="宋体" w:cs="宋体"/>
          <w:b/>
          <w:bCs/>
          <w:color w:val="auto"/>
          <w:szCs w:val="21"/>
          <w:highlight w:val="none"/>
        </w:rPr>
        <w:t>数据备份服务</w:t>
      </w:r>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2"/>
        <w:gridCol w:w="6820"/>
      </w:tblGrid>
      <w:tr w14:paraId="2230D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57" w:type="dxa"/>
            <w:shd w:val="clear" w:color="auto" w:fill="FFFFFF"/>
            <w:vAlign w:val="center"/>
          </w:tcPr>
          <w:p w14:paraId="5E613113">
            <w:pPr>
              <w:spacing w:line="360" w:lineRule="exact"/>
              <w:jc w:val="center"/>
              <w:rPr>
                <w:rFonts w:ascii="宋体" w:hAnsi="宋体" w:cs="宋体"/>
                <w:b/>
                <w:bCs/>
                <w:color w:val="auto"/>
                <w:szCs w:val="21"/>
                <w:highlight w:val="none"/>
              </w:rPr>
            </w:pPr>
            <w:r>
              <w:rPr>
                <w:rFonts w:hint="eastAsia" w:ascii="宋体" w:hAnsi="宋体" w:cs="宋体"/>
                <w:b/>
                <w:bCs/>
                <w:color w:val="auto"/>
                <w:szCs w:val="21"/>
                <w:highlight w:val="none"/>
              </w:rPr>
              <w:t>技术指标</w:t>
            </w:r>
          </w:p>
        </w:tc>
        <w:tc>
          <w:tcPr>
            <w:tcW w:w="6639" w:type="dxa"/>
            <w:shd w:val="clear" w:color="auto" w:fill="FFFFFF"/>
            <w:vAlign w:val="center"/>
          </w:tcPr>
          <w:p w14:paraId="7250A6C6">
            <w:pPr>
              <w:spacing w:line="360" w:lineRule="exact"/>
              <w:jc w:val="center"/>
              <w:rPr>
                <w:rFonts w:ascii="宋体" w:hAnsi="宋体" w:cs="宋体"/>
                <w:b/>
                <w:bCs/>
                <w:color w:val="auto"/>
                <w:szCs w:val="21"/>
                <w:highlight w:val="none"/>
              </w:rPr>
            </w:pPr>
            <w:r>
              <w:rPr>
                <w:rFonts w:hint="eastAsia" w:ascii="宋体" w:hAnsi="宋体" w:cs="宋体"/>
                <w:b/>
                <w:bCs/>
                <w:color w:val="auto"/>
                <w:szCs w:val="21"/>
                <w:highlight w:val="none"/>
              </w:rPr>
              <w:t>技术要求</w:t>
            </w:r>
          </w:p>
        </w:tc>
      </w:tr>
      <w:tr w14:paraId="22954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57" w:type="dxa"/>
            <w:vAlign w:val="center"/>
          </w:tcPr>
          <w:p w14:paraId="00590325">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服务范围</w:t>
            </w:r>
          </w:p>
        </w:tc>
        <w:tc>
          <w:tcPr>
            <w:tcW w:w="6639" w:type="dxa"/>
            <w:vAlign w:val="center"/>
          </w:tcPr>
          <w:p w14:paraId="2A60FDD6">
            <w:pPr>
              <w:spacing w:line="360" w:lineRule="exact"/>
              <w:rPr>
                <w:rFonts w:ascii="宋体" w:hAnsi="宋体" w:cs="宋体"/>
                <w:color w:val="auto"/>
                <w:szCs w:val="21"/>
                <w:highlight w:val="none"/>
              </w:rPr>
            </w:pPr>
            <w:r>
              <w:rPr>
                <w:rFonts w:hint="eastAsia" w:ascii="宋体" w:hAnsi="宋体" w:cs="宋体"/>
                <w:color w:val="auto"/>
                <w:szCs w:val="21"/>
                <w:highlight w:val="none"/>
              </w:rPr>
              <w:t>中院</w:t>
            </w:r>
          </w:p>
        </w:tc>
      </w:tr>
      <w:tr w14:paraId="3F80B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57" w:type="dxa"/>
            <w:vAlign w:val="center"/>
          </w:tcPr>
          <w:p w14:paraId="0AD52E68">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服务频率及期限</w:t>
            </w:r>
          </w:p>
        </w:tc>
        <w:tc>
          <w:tcPr>
            <w:tcW w:w="6639" w:type="dxa"/>
            <w:vAlign w:val="center"/>
          </w:tcPr>
          <w:p w14:paraId="3BC00A60">
            <w:pPr>
              <w:spacing w:line="360" w:lineRule="exact"/>
              <w:rPr>
                <w:rFonts w:ascii="宋体" w:hAnsi="宋体" w:cs="宋体"/>
                <w:color w:val="auto"/>
                <w:szCs w:val="21"/>
                <w:highlight w:val="none"/>
              </w:rPr>
            </w:pPr>
            <w:r>
              <w:rPr>
                <w:rFonts w:hint="eastAsia" w:ascii="宋体" w:hAnsi="宋体" w:cs="宋体"/>
                <w:color w:val="auto"/>
                <w:szCs w:val="21"/>
                <w:highlight w:val="none"/>
              </w:rPr>
              <w:t>每月至少一次</w:t>
            </w:r>
          </w:p>
        </w:tc>
      </w:tr>
      <w:tr w14:paraId="60EEB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57" w:type="dxa"/>
            <w:vAlign w:val="center"/>
          </w:tcPr>
          <w:p w14:paraId="23F01225">
            <w:pPr>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服务内容</w:t>
            </w:r>
          </w:p>
        </w:tc>
        <w:tc>
          <w:tcPr>
            <w:tcW w:w="6639" w:type="dxa"/>
            <w:vAlign w:val="center"/>
          </w:tcPr>
          <w:p w14:paraId="39A9C318">
            <w:pPr>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数据备份：实现重要数据进行异地定期增量备份，并定期验证备份文件。</w:t>
            </w:r>
          </w:p>
          <w:p w14:paraId="4632ABFC">
            <w:pPr>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配置归档：网络设备和安全设备配置定期备份保存。</w:t>
            </w:r>
          </w:p>
        </w:tc>
      </w:tr>
      <w:tr w14:paraId="04018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57" w:type="dxa"/>
            <w:vAlign w:val="center"/>
          </w:tcPr>
          <w:p w14:paraId="3372CBD5">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交付物</w:t>
            </w:r>
          </w:p>
        </w:tc>
        <w:tc>
          <w:tcPr>
            <w:tcW w:w="6639" w:type="dxa"/>
            <w:vAlign w:val="center"/>
          </w:tcPr>
          <w:p w14:paraId="06F801E2">
            <w:pPr>
              <w:spacing w:line="360" w:lineRule="exact"/>
              <w:rPr>
                <w:rFonts w:ascii="宋体" w:hAnsi="宋体" w:cs="宋体"/>
                <w:color w:val="auto"/>
                <w:szCs w:val="21"/>
                <w:highlight w:val="none"/>
              </w:rPr>
            </w:pPr>
            <w:r>
              <w:rPr>
                <w:rFonts w:hint="eastAsia" w:ascii="宋体" w:hAnsi="宋体" w:cs="宋体"/>
                <w:color w:val="auto"/>
                <w:kern w:val="0"/>
                <w:szCs w:val="21"/>
                <w:highlight w:val="none"/>
              </w:rPr>
              <w:t>《配置文档》、《备份记录》</w:t>
            </w:r>
          </w:p>
        </w:tc>
      </w:tr>
    </w:tbl>
    <w:p w14:paraId="4B1703C9">
      <w:pPr>
        <w:keepNext/>
        <w:keepLines/>
        <w:spacing w:line="360" w:lineRule="auto"/>
        <w:outlineLvl w:val="0"/>
        <w:rPr>
          <w:rFonts w:ascii="宋体" w:hAnsi="宋体" w:cs="宋体"/>
          <w:b/>
          <w:bCs/>
          <w:color w:val="auto"/>
          <w:szCs w:val="21"/>
          <w:highlight w:val="none"/>
        </w:rPr>
      </w:pPr>
      <w:r>
        <w:rPr>
          <w:rFonts w:hint="eastAsia" w:ascii="宋体" w:hAnsi="宋体" w:cs="宋体"/>
          <w:b/>
          <w:bCs/>
          <w:color w:val="auto"/>
          <w:szCs w:val="21"/>
          <w:highlight w:val="none"/>
        </w:rPr>
        <w:t>24.</w:t>
      </w:r>
      <w:r>
        <w:rPr>
          <w:rFonts w:hint="eastAsia" w:ascii="宋体" w:hAnsi="宋体" w:cs="宋体"/>
          <w:color w:val="auto"/>
          <w:szCs w:val="21"/>
          <w:highlight w:val="none"/>
        </w:rPr>
        <w:t xml:space="preserve"> </w:t>
      </w:r>
      <w:r>
        <w:rPr>
          <w:rFonts w:hint="eastAsia" w:ascii="宋体" w:hAnsi="宋体" w:cs="宋体"/>
          <w:b/>
          <w:bCs/>
          <w:color w:val="auto"/>
          <w:szCs w:val="21"/>
          <w:highlight w:val="none"/>
        </w:rPr>
        <w:t>网络入侵攻击监测分析服务</w:t>
      </w:r>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6818"/>
      </w:tblGrid>
      <w:tr w14:paraId="18324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59" w:type="dxa"/>
            <w:shd w:val="clear" w:color="auto" w:fill="FFFFFF"/>
            <w:vAlign w:val="center"/>
          </w:tcPr>
          <w:p w14:paraId="4C8F8655">
            <w:pPr>
              <w:spacing w:line="360" w:lineRule="exact"/>
              <w:jc w:val="center"/>
              <w:rPr>
                <w:rFonts w:ascii="宋体" w:hAnsi="宋体" w:cs="宋体"/>
                <w:b/>
                <w:bCs/>
                <w:color w:val="auto"/>
                <w:szCs w:val="21"/>
                <w:highlight w:val="none"/>
              </w:rPr>
            </w:pPr>
            <w:r>
              <w:rPr>
                <w:rFonts w:hint="eastAsia" w:ascii="宋体" w:hAnsi="宋体" w:cs="宋体"/>
                <w:b/>
                <w:bCs/>
                <w:color w:val="auto"/>
                <w:szCs w:val="21"/>
                <w:highlight w:val="none"/>
              </w:rPr>
              <w:t>技术指标</w:t>
            </w:r>
          </w:p>
        </w:tc>
        <w:tc>
          <w:tcPr>
            <w:tcW w:w="6637" w:type="dxa"/>
            <w:shd w:val="clear" w:color="auto" w:fill="FFFFFF"/>
            <w:vAlign w:val="center"/>
          </w:tcPr>
          <w:p w14:paraId="262D2DC7">
            <w:pPr>
              <w:spacing w:line="360" w:lineRule="exact"/>
              <w:jc w:val="center"/>
              <w:rPr>
                <w:rFonts w:ascii="宋体" w:hAnsi="宋体" w:cs="宋体"/>
                <w:b/>
                <w:bCs/>
                <w:color w:val="auto"/>
                <w:szCs w:val="21"/>
                <w:highlight w:val="none"/>
              </w:rPr>
            </w:pPr>
            <w:r>
              <w:rPr>
                <w:rFonts w:hint="eastAsia" w:ascii="宋体" w:hAnsi="宋体" w:cs="宋体"/>
                <w:b/>
                <w:bCs/>
                <w:color w:val="auto"/>
                <w:szCs w:val="21"/>
                <w:highlight w:val="none"/>
              </w:rPr>
              <w:t>技术要求</w:t>
            </w:r>
          </w:p>
        </w:tc>
      </w:tr>
      <w:tr w14:paraId="44FBA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59" w:type="dxa"/>
            <w:vAlign w:val="center"/>
          </w:tcPr>
          <w:p w14:paraId="3289A2B8">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服务范围</w:t>
            </w:r>
          </w:p>
        </w:tc>
        <w:tc>
          <w:tcPr>
            <w:tcW w:w="6637" w:type="dxa"/>
            <w:vAlign w:val="center"/>
          </w:tcPr>
          <w:p w14:paraId="14D1852B">
            <w:pPr>
              <w:spacing w:line="360" w:lineRule="exact"/>
              <w:rPr>
                <w:rFonts w:ascii="宋体" w:hAnsi="宋体" w:cs="宋体"/>
                <w:color w:val="auto"/>
                <w:szCs w:val="21"/>
                <w:highlight w:val="none"/>
              </w:rPr>
            </w:pPr>
            <w:r>
              <w:rPr>
                <w:rFonts w:hint="eastAsia" w:ascii="宋体" w:hAnsi="宋体" w:cs="宋体"/>
                <w:color w:val="auto"/>
                <w:szCs w:val="21"/>
                <w:highlight w:val="none"/>
              </w:rPr>
              <w:t>中院、基层院</w:t>
            </w:r>
          </w:p>
        </w:tc>
      </w:tr>
      <w:tr w14:paraId="52F52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59" w:type="dxa"/>
            <w:vAlign w:val="center"/>
          </w:tcPr>
          <w:p w14:paraId="0EA3F44F">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服务频率及期限</w:t>
            </w:r>
          </w:p>
        </w:tc>
        <w:tc>
          <w:tcPr>
            <w:tcW w:w="6637" w:type="dxa"/>
            <w:vAlign w:val="center"/>
          </w:tcPr>
          <w:p w14:paraId="3E3CB715">
            <w:pPr>
              <w:spacing w:line="360" w:lineRule="exact"/>
              <w:rPr>
                <w:rFonts w:ascii="宋体" w:hAnsi="宋体" w:cs="宋体"/>
                <w:color w:val="auto"/>
                <w:szCs w:val="21"/>
                <w:highlight w:val="none"/>
              </w:rPr>
            </w:pPr>
            <w:r>
              <w:rPr>
                <w:rFonts w:hint="eastAsia" w:ascii="宋体" w:hAnsi="宋体" w:cs="宋体"/>
                <w:color w:val="auto"/>
                <w:szCs w:val="21"/>
                <w:highlight w:val="none"/>
              </w:rPr>
              <w:t>每月至少一次</w:t>
            </w:r>
          </w:p>
        </w:tc>
      </w:tr>
      <w:tr w14:paraId="63B9B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59" w:type="dxa"/>
            <w:vAlign w:val="center"/>
          </w:tcPr>
          <w:p w14:paraId="559F1615">
            <w:pPr>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服务内容</w:t>
            </w:r>
          </w:p>
        </w:tc>
        <w:tc>
          <w:tcPr>
            <w:tcW w:w="6637" w:type="dxa"/>
            <w:vAlign w:val="center"/>
          </w:tcPr>
          <w:p w14:paraId="707E0F52">
            <w:pPr>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通过人工服务结合入侵检测相关大数据安全分析平台对骨干网络出口和重要网络节点进行严密监控，及时预警。</w:t>
            </w:r>
          </w:p>
        </w:tc>
      </w:tr>
      <w:tr w14:paraId="18124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59" w:type="dxa"/>
            <w:vAlign w:val="center"/>
          </w:tcPr>
          <w:p w14:paraId="4A91AFF0">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交付物</w:t>
            </w:r>
          </w:p>
        </w:tc>
        <w:tc>
          <w:tcPr>
            <w:tcW w:w="6637" w:type="dxa"/>
            <w:vAlign w:val="center"/>
          </w:tcPr>
          <w:p w14:paraId="1CD1DB55">
            <w:pPr>
              <w:spacing w:line="360" w:lineRule="exact"/>
              <w:rPr>
                <w:rFonts w:ascii="宋体" w:hAnsi="宋体" w:cs="宋体"/>
                <w:color w:val="auto"/>
                <w:szCs w:val="21"/>
                <w:highlight w:val="none"/>
              </w:rPr>
            </w:pPr>
            <w:r>
              <w:rPr>
                <w:rFonts w:hint="eastAsia" w:ascii="宋体" w:hAnsi="宋体" w:cs="宋体"/>
                <w:color w:val="auto"/>
                <w:kern w:val="0"/>
                <w:szCs w:val="21"/>
                <w:highlight w:val="none"/>
              </w:rPr>
              <w:t>《每月日常威胁运维记录》</w:t>
            </w:r>
          </w:p>
        </w:tc>
      </w:tr>
    </w:tbl>
    <w:p w14:paraId="3964AA2B">
      <w:pPr>
        <w:keepNext/>
        <w:keepLines/>
        <w:spacing w:line="360" w:lineRule="auto"/>
        <w:outlineLvl w:val="0"/>
        <w:rPr>
          <w:rFonts w:ascii="宋体" w:hAnsi="宋体" w:cs="宋体"/>
          <w:b/>
          <w:bCs/>
          <w:color w:val="auto"/>
          <w:szCs w:val="21"/>
          <w:highlight w:val="none"/>
        </w:rPr>
      </w:pPr>
      <w:r>
        <w:rPr>
          <w:rFonts w:hint="eastAsia" w:ascii="宋体" w:hAnsi="宋体" w:cs="宋体"/>
          <w:b/>
          <w:bCs/>
          <w:color w:val="auto"/>
          <w:szCs w:val="21"/>
          <w:highlight w:val="none"/>
        </w:rPr>
        <w:t>25.</w:t>
      </w:r>
      <w:r>
        <w:rPr>
          <w:rFonts w:hint="eastAsia" w:ascii="宋体" w:hAnsi="宋体" w:cs="宋体"/>
          <w:color w:val="auto"/>
          <w:szCs w:val="21"/>
          <w:highlight w:val="none"/>
        </w:rPr>
        <w:t xml:space="preserve"> </w:t>
      </w:r>
      <w:r>
        <w:rPr>
          <w:rFonts w:hint="eastAsia" w:ascii="宋体" w:hAnsi="宋体" w:cs="宋体"/>
          <w:b/>
          <w:bCs/>
          <w:color w:val="auto"/>
          <w:szCs w:val="21"/>
          <w:highlight w:val="none"/>
        </w:rPr>
        <w:t>异常流量态势监测服务</w:t>
      </w:r>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6818"/>
      </w:tblGrid>
      <w:tr w14:paraId="65693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59" w:type="dxa"/>
            <w:shd w:val="clear" w:color="auto" w:fill="FFFFFF"/>
            <w:vAlign w:val="center"/>
          </w:tcPr>
          <w:p w14:paraId="02B92B82">
            <w:pPr>
              <w:spacing w:line="360" w:lineRule="exact"/>
              <w:jc w:val="center"/>
              <w:rPr>
                <w:rFonts w:ascii="宋体" w:hAnsi="宋体" w:cs="宋体"/>
                <w:b/>
                <w:bCs/>
                <w:color w:val="auto"/>
                <w:szCs w:val="21"/>
                <w:highlight w:val="none"/>
              </w:rPr>
            </w:pPr>
            <w:r>
              <w:rPr>
                <w:rFonts w:hint="eastAsia" w:ascii="宋体" w:hAnsi="宋体" w:cs="宋体"/>
                <w:b/>
                <w:bCs/>
                <w:color w:val="auto"/>
                <w:szCs w:val="21"/>
                <w:highlight w:val="none"/>
              </w:rPr>
              <w:t>技术指标</w:t>
            </w:r>
          </w:p>
        </w:tc>
        <w:tc>
          <w:tcPr>
            <w:tcW w:w="6637" w:type="dxa"/>
            <w:shd w:val="clear" w:color="auto" w:fill="FFFFFF"/>
            <w:vAlign w:val="center"/>
          </w:tcPr>
          <w:p w14:paraId="6E6E3EB5">
            <w:pPr>
              <w:spacing w:line="360" w:lineRule="exact"/>
              <w:jc w:val="center"/>
              <w:rPr>
                <w:rFonts w:ascii="宋体" w:hAnsi="宋体" w:cs="宋体"/>
                <w:b/>
                <w:bCs/>
                <w:color w:val="auto"/>
                <w:szCs w:val="21"/>
                <w:highlight w:val="none"/>
              </w:rPr>
            </w:pPr>
            <w:r>
              <w:rPr>
                <w:rFonts w:hint="eastAsia" w:ascii="宋体" w:hAnsi="宋体" w:cs="宋体"/>
                <w:b/>
                <w:bCs/>
                <w:color w:val="auto"/>
                <w:szCs w:val="21"/>
                <w:highlight w:val="none"/>
              </w:rPr>
              <w:t>技术要求</w:t>
            </w:r>
          </w:p>
        </w:tc>
      </w:tr>
      <w:tr w14:paraId="61D83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59" w:type="dxa"/>
            <w:vAlign w:val="center"/>
          </w:tcPr>
          <w:p w14:paraId="6395ADE5">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服务范围</w:t>
            </w:r>
          </w:p>
        </w:tc>
        <w:tc>
          <w:tcPr>
            <w:tcW w:w="6637" w:type="dxa"/>
            <w:vAlign w:val="center"/>
          </w:tcPr>
          <w:p w14:paraId="2D59AB31">
            <w:pPr>
              <w:spacing w:line="360" w:lineRule="exact"/>
              <w:rPr>
                <w:rFonts w:ascii="宋体" w:hAnsi="宋体" w:cs="宋体"/>
                <w:color w:val="auto"/>
                <w:szCs w:val="21"/>
                <w:highlight w:val="none"/>
              </w:rPr>
            </w:pPr>
            <w:r>
              <w:rPr>
                <w:rFonts w:hint="eastAsia" w:ascii="宋体" w:hAnsi="宋体" w:cs="宋体"/>
                <w:color w:val="auto"/>
                <w:szCs w:val="21"/>
                <w:highlight w:val="none"/>
              </w:rPr>
              <w:t>中院、基层院</w:t>
            </w:r>
          </w:p>
        </w:tc>
      </w:tr>
      <w:tr w14:paraId="6129E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59" w:type="dxa"/>
            <w:vAlign w:val="center"/>
          </w:tcPr>
          <w:p w14:paraId="008B582A">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服务频率及期限</w:t>
            </w:r>
          </w:p>
        </w:tc>
        <w:tc>
          <w:tcPr>
            <w:tcW w:w="6637" w:type="dxa"/>
            <w:vAlign w:val="center"/>
          </w:tcPr>
          <w:p w14:paraId="25C3F1AA">
            <w:pPr>
              <w:spacing w:line="360" w:lineRule="exact"/>
              <w:rPr>
                <w:rFonts w:ascii="宋体" w:hAnsi="宋体" w:cs="宋体"/>
                <w:color w:val="auto"/>
                <w:szCs w:val="21"/>
                <w:highlight w:val="none"/>
              </w:rPr>
            </w:pPr>
            <w:r>
              <w:rPr>
                <w:rFonts w:hint="eastAsia" w:ascii="宋体" w:hAnsi="宋体" w:cs="宋体"/>
                <w:color w:val="auto"/>
                <w:szCs w:val="21"/>
                <w:highlight w:val="none"/>
              </w:rPr>
              <w:t>每月至少一次</w:t>
            </w:r>
          </w:p>
        </w:tc>
      </w:tr>
      <w:tr w14:paraId="1E59B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59" w:type="dxa"/>
            <w:vAlign w:val="center"/>
          </w:tcPr>
          <w:p w14:paraId="32012E25">
            <w:pPr>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服务内容</w:t>
            </w:r>
          </w:p>
        </w:tc>
        <w:tc>
          <w:tcPr>
            <w:tcW w:w="6637" w:type="dxa"/>
            <w:vAlign w:val="center"/>
          </w:tcPr>
          <w:p w14:paraId="4CEAA21C">
            <w:pPr>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通过人工服务结合异常流量监测相关探针，网流量进行深度检测。</w:t>
            </w:r>
          </w:p>
        </w:tc>
      </w:tr>
      <w:tr w14:paraId="41BED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59" w:type="dxa"/>
            <w:vAlign w:val="center"/>
          </w:tcPr>
          <w:p w14:paraId="616F005F">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交付物</w:t>
            </w:r>
          </w:p>
        </w:tc>
        <w:tc>
          <w:tcPr>
            <w:tcW w:w="6637" w:type="dxa"/>
            <w:vAlign w:val="center"/>
          </w:tcPr>
          <w:p w14:paraId="31DD78F0">
            <w:pPr>
              <w:spacing w:line="360" w:lineRule="exact"/>
              <w:rPr>
                <w:rFonts w:ascii="宋体" w:hAnsi="宋体" w:cs="宋体"/>
                <w:color w:val="auto"/>
                <w:szCs w:val="21"/>
                <w:highlight w:val="none"/>
              </w:rPr>
            </w:pPr>
            <w:r>
              <w:rPr>
                <w:rFonts w:hint="eastAsia" w:ascii="宋体" w:hAnsi="宋体" w:cs="宋体"/>
                <w:color w:val="auto"/>
                <w:kern w:val="0"/>
                <w:szCs w:val="21"/>
                <w:highlight w:val="none"/>
              </w:rPr>
              <w:t>《每月日常威胁运维记录》</w:t>
            </w:r>
          </w:p>
        </w:tc>
      </w:tr>
    </w:tbl>
    <w:p w14:paraId="551063C9">
      <w:pPr>
        <w:keepNext/>
        <w:keepLines/>
        <w:spacing w:line="360" w:lineRule="auto"/>
        <w:outlineLvl w:val="0"/>
        <w:rPr>
          <w:rFonts w:ascii="宋体" w:hAnsi="宋体" w:cs="宋体"/>
          <w:b/>
          <w:bCs/>
          <w:color w:val="auto"/>
          <w:szCs w:val="21"/>
          <w:highlight w:val="none"/>
        </w:rPr>
      </w:pPr>
      <w:r>
        <w:rPr>
          <w:rFonts w:hint="eastAsia" w:ascii="宋体" w:hAnsi="宋体" w:cs="宋体"/>
          <w:b/>
          <w:bCs/>
          <w:color w:val="auto"/>
          <w:szCs w:val="21"/>
          <w:highlight w:val="none"/>
        </w:rPr>
        <w:t>26.</w:t>
      </w:r>
      <w:r>
        <w:rPr>
          <w:rFonts w:hint="eastAsia" w:ascii="宋体" w:hAnsi="宋体" w:cs="宋体"/>
          <w:color w:val="auto"/>
          <w:szCs w:val="21"/>
          <w:highlight w:val="none"/>
        </w:rPr>
        <w:t xml:space="preserve"> </w:t>
      </w:r>
      <w:r>
        <w:rPr>
          <w:rFonts w:hint="eastAsia" w:ascii="宋体" w:hAnsi="宋体" w:cs="宋体"/>
          <w:b/>
          <w:bCs/>
          <w:color w:val="auto"/>
          <w:szCs w:val="21"/>
          <w:highlight w:val="none"/>
        </w:rPr>
        <w:t>安全隐患处置服务</w:t>
      </w:r>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6818"/>
      </w:tblGrid>
      <w:tr w14:paraId="14C34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59" w:type="dxa"/>
            <w:shd w:val="clear" w:color="auto" w:fill="FFFFFF"/>
            <w:vAlign w:val="center"/>
          </w:tcPr>
          <w:p w14:paraId="5F494066">
            <w:pPr>
              <w:spacing w:line="360" w:lineRule="exact"/>
              <w:jc w:val="center"/>
              <w:rPr>
                <w:rFonts w:ascii="宋体" w:hAnsi="宋体" w:cs="宋体"/>
                <w:b/>
                <w:bCs/>
                <w:color w:val="auto"/>
                <w:szCs w:val="21"/>
                <w:highlight w:val="none"/>
              </w:rPr>
            </w:pPr>
            <w:r>
              <w:rPr>
                <w:rFonts w:hint="eastAsia" w:ascii="宋体" w:hAnsi="宋体" w:cs="宋体"/>
                <w:b/>
                <w:bCs/>
                <w:color w:val="auto"/>
                <w:szCs w:val="21"/>
                <w:highlight w:val="none"/>
              </w:rPr>
              <w:t>技术指标</w:t>
            </w:r>
          </w:p>
        </w:tc>
        <w:tc>
          <w:tcPr>
            <w:tcW w:w="6637" w:type="dxa"/>
            <w:shd w:val="clear" w:color="auto" w:fill="FFFFFF"/>
            <w:vAlign w:val="center"/>
          </w:tcPr>
          <w:p w14:paraId="67862C31">
            <w:pPr>
              <w:spacing w:line="360" w:lineRule="exact"/>
              <w:jc w:val="center"/>
              <w:rPr>
                <w:rFonts w:ascii="宋体" w:hAnsi="宋体" w:cs="宋体"/>
                <w:b/>
                <w:bCs/>
                <w:color w:val="auto"/>
                <w:szCs w:val="21"/>
                <w:highlight w:val="none"/>
              </w:rPr>
            </w:pPr>
            <w:r>
              <w:rPr>
                <w:rFonts w:hint="eastAsia" w:ascii="宋体" w:hAnsi="宋体" w:cs="宋体"/>
                <w:b/>
                <w:bCs/>
                <w:color w:val="auto"/>
                <w:szCs w:val="21"/>
                <w:highlight w:val="none"/>
              </w:rPr>
              <w:t>技术要求</w:t>
            </w:r>
          </w:p>
        </w:tc>
      </w:tr>
      <w:tr w14:paraId="64603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59" w:type="dxa"/>
            <w:vAlign w:val="center"/>
          </w:tcPr>
          <w:p w14:paraId="3200D03B">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服务范围</w:t>
            </w:r>
          </w:p>
        </w:tc>
        <w:tc>
          <w:tcPr>
            <w:tcW w:w="6637" w:type="dxa"/>
            <w:vAlign w:val="center"/>
          </w:tcPr>
          <w:p w14:paraId="2AAACE58">
            <w:pPr>
              <w:spacing w:line="360" w:lineRule="exact"/>
              <w:rPr>
                <w:rFonts w:ascii="宋体" w:hAnsi="宋体" w:cs="宋体"/>
                <w:color w:val="auto"/>
                <w:szCs w:val="21"/>
                <w:highlight w:val="none"/>
              </w:rPr>
            </w:pPr>
            <w:r>
              <w:rPr>
                <w:rFonts w:hint="eastAsia" w:ascii="宋体" w:hAnsi="宋体" w:cs="宋体"/>
                <w:color w:val="auto"/>
                <w:szCs w:val="21"/>
                <w:highlight w:val="none"/>
              </w:rPr>
              <w:t>中院、基层院</w:t>
            </w:r>
          </w:p>
        </w:tc>
      </w:tr>
      <w:tr w14:paraId="6BA4D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59" w:type="dxa"/>
            <w:vAlign w:val="center"/>
          </w:tcPr>
          <w:p w14:paraId="31C6F219">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服务频率及期限</w:t>
            </w:r>
          </w:p>
        </w:tc>
        <w:tc>
          <w:tcPr>
            <w:tcW w:w="6637" w:type="dxa"/>
            <w:vAlign w:val="center"/>
          </w:tcPr>
          <w:p w14:paraId="6825FE55">
            <w:pPr>
              <w:spacing w:line="360" w:lineRule="exact"/>
              <w:rPr>
                <w:rFonts w:ascii="宋体" w:hAnsi="宋体" w:cs="宋体"/>
                <w:color w:val="auto"/>
                <w:szCs w:val="21"/>
                <w:highlight w:val="none"/>
              </w:rPr>
            </w:pPr>
            <w:r>
              <w:rPr>
                <w:rFonts w:hint="eastAsia" w:ascii="宋体" w:hAnsi="宋体" w:cs="宋体"/>
                <w:color w:val="auto"/>
                <w:szCs w:val="21"/>
                <w:highlight w:val="none"/>
              </w:rPr>
              <w:t>每月至少一次</w:t>
            </w:r>
          </w:p>
        </w:tc>
      </w:tr>
      <w:tr w14:paraId="71946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59" w:type="dxa"/>
            <w:vAlign w:val="center"/>
          </w:tcPr>
          <w:p w14:paraId="648DE658">
            <w:pPr>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服务内容</w:t>
            </w:r>
          </w:p>
        </w:tc>
        <w:tc>
          <w:tcPr>
            <w:tcW w:w="6637" w:type="dxa"/>
            <w:vAlign w:val="center"/>
          </w:tcPr>
          <w:p w14:paraId="2F8274EB">
            <w:pPr>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通过网络安全监测平台监测本地区的高危隐患和安全事件，对本地区的高危隐患和安全事件进行主动发现，形成高危隐患和安全事件的整改处置报告。</w:t>
            </w:r>
          </w:p>
        </w:tc>
      </w:tr>
      <w:tr w14:paraId="77525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59" w:type="dxa"/>
            <w:vAlign w:val="center"/>
          </w:tcPr>
          <w:p w14:paraId="26389755">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交付物</w:t>
            </w:r>
          </w:p>
        </w:tc>
        <w:tc>
          <w:tcPr>
            <w:tcW w:w="6637" w:type="dxa"/>
            <w:vAlign w:val="center"/>
          </w:tcPr>
          <w:p w14:paraId="1842D1CD">
            <w:pPr>
              <w:spacing w:line="360" w:lineRule="exact"/>
              <w:rPr>
                <w:rFonts w:ascii="宋体" w:hAnsi="宋体" w:cs="宋体"/>
                <w:color w:val="auto"/>
                <w:szCs w:val="21"/>
                <w:highlight w:val="none"/>
              </w:rPr>
            </w:pPr>
            <w:r>
              <w:rPr>
                <w:rFonts w:hint="eastAsia" w:ascii="宋体" w:hAnsi="宋体" w:cs="宋体"/>
                <w:color w:val="auto"/>
                <w:kern w:val="0"/>
                <w:szCs w:val="21"/>
                <w:highlight w:val="none"/>
              </w:rPr>
              <w:t>《事件响应报告》</w:t>
            </w:r>
          </w:p>
        </w:tc>
      </w:tr>
    </w:tbl>
    <w:p w14:paraId="51195BAE">
      <w:pPr>
        <w:keepNext/>
        <w:keepLines/>
        <w:numPr>
          <w:ilvl w:val="0"/>
          <w:numId w:val="0"/>
        </w:numPr>
        <w:spacing w:line="360" w:lineRule="auto"/>
        <w:outlineLvl w:val="0"/>
        <w:rPr>
          <w:rFonts w:ascii="宋体" w:hAnsi="宋体" w:cs="宋体"/>
          <w:b/>
          <w:bCs/>
          <w:color w:val="auto"/>
          <w:szCs w:val="21"/>
          <w:highlight w:val="none"/>
        </w:rPr>
      </w:pPr>
      <w:r>
        <w:rPr>
          <w:rFonts w:ascii="宋体" w:hAnsi="宋体" w:eastAsia="宋体" w:cs="宋体"/>
          <w:b/>
          <w:bCs/>
          <w:color w:val="auto"/>
          <w:kern w:val="2"/>
          <w:sz w:val="21"/>
          <w:szCs w:val="21"/>
          <w:highlight w:val="none"/>
          <w:lang w:val="en-US" w:eastAsia="zh-CN" w:bidi="ar-SA"/>
        </w:rPr>
        <w:t>27.</w:t>
      </w:r>
      <w:r>
        <w:rPr>
          <w:rFonts w:hint="eastAsia" w:ascii="宋体" w:hAnsi="宋体" w:cs="宋体"/>
          <w:b/>
          <w:bCs/>
          <w:color w:val="auto"/>
          <w:szCs w:val="21"/>
          <w:highlight w:val="none"/>
        </w:rPr>
        <w:t>重大事件应急响应服务</w:t>
      </w:r>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6818"/>
      </w:tblGrid>
      <w:tr w14:paraId="7A383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59" w:type="dxa"/>
            <w:shd w:val="clear" w:color="auto" w:fill="FFFFFF"/>
            <w:vAlign w:val="center"/>
          </w:tcPr>
          <w:p w14:paraId="614FBB9C">
            <w:pPr>
              <w:spacing w:line="360" w:lineRule="exact"/>
              <w:jc w:val="center"/>
              <w:rPr>
                <w:rFonts w:ascii="宋体" w:hAnsi="宋体" w:cs="宋体"/>
                <w:b/>
                <w:bCs/>
                <w:color w:val="auto"/>
                <w:szCs w:val="21"/>
                <w:highlight w:val="none"/>
              </w:rPr>
            </w:pPr>
            <w:r>
              <w:rPr>
                <w:rFonts w:hint="eastAsia" w:ascii="宋体" w:hAnsi="宋体" w:cs="宋体"/>
                <w:b/>
                <w:bCs/>
                <w:color w:val="auto"/>
                <w:szCs w:val="21"/>
                <w:highlight w:val="none"/>
              </w:rPr>
              <w:t>技术指标</w:t>
            </w:r>
          </w:p>
        </w:tc>
        <w:tc>
          <w:tcPr>
            <w:tcW w:w="6637" w:type="dxa"/>
            <w:shd w:val="clear" w:color="auto" w:fill="FFFFFF"/>
            <w:vAlign w:val="center"/>
          </w:tcPr>
          <w:p w14:paraId="077E6368">
            <w:pPr>
              <w:spacing w:line="360" w:lineRule="exact"/>
              <w:jc w:val="center"/>
              <w:rPr>
                <w:rFonts w:ascii="宋体" w:hAnsi="宋体" w:cs="宋体"/>
                <w:b/>
                <w:bCs/>
                <w:color w:val="auto"/>
                <w:szCs w:val="21"/>
                <w:highlight w:val="none"/>
              </w:rPr>
            </w:pPr>
            <w:r>
              <w:rPr>
                <w:rFonts w:hint="eastAsia" w:ascii="宋体" w:hAnsi="宋体" w:cs="宋体"/>
                <w:b/>
                <w:bCs/>
                <w:color w:val="auto"/>
                <w:szCs w:val="21"/>
                <w:highlight w:val="none"/>
              </w:rPr>
              <w:t>技术要求</w:t>
            </w:r>
          </w:p>
        </w:tc>
      </w:tr>
      <w:tr w14:paraId="0B2B5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59" w:type="dxa"/>
            <w:vAlign w:val="center"/>
          </w:tcPr>
          <w:p w14:paraId="57602182">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服务范围</w:t>
            </w:r>
          </w:p>
        </w:tc>
        <w:tc>
          <w:tcPr>
            <w:tcW w:w="6637" w:type="dxa"/>
            <w:vAlign w:val="center"/>
          </w:tcPr>
          <w:p w14:paraId="129CF683">
            <w:pPr>
              <w:spacing w:line="360" w:lineRule="exact"/>
              <w:rPr>
                <w:rFonts w:ascii="宋体" w:hAnsi="宋体" w:cs="宋体"/>
                <w:color w:val="auto"/>
                <w:szCs w:val="21"/>
                <w:highlight w:val="none"/>
              </w:rPr>
            </w:pPr>
            <w:r>
              <w:rPr>
                <w:rFonts w:hint="eastAsia" w:ascii="宋体" w:hAnsi="宋体" w:cs="宋体"/>
                <w:color w:val="auto"/>
                <w:szCs w:val="21"/>
                <w:highlight w:val="none"/>
              </w:rPr>
              <w:t>中院</w:t>
            </w:r>
          </w:p>
        </w:tc>
      </w:tr>
      <w:tr w14:paraId="71C5F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59" w:type="dxa"/>
            <w:vAlign w:val="center"/>
          </w:tcPr>
          <w:p w14:paraId="38022F14">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服务频率及期限</w:t>
            </w:r>
          </w:p>
        </w:tc>
        <w:tc>
          <w:tcPr>
            <w:tcW w:w="6637" w:type="dxa"/>
            <w:vAlign w:val="center"/>
          </w:tcPr>
          <w:p w14:paraId="6EAE9126">
            <w:pPr>
              <w:spacing w:line="360" w:lineRule="exact"/>
              <w:rPr>
                <w:rFonts w:ascii="宋体" w:hAnsi="宋体" w:cs="宋体"/>
                <w:color w:val="auto"/>
                <w:szCs w:val="21"/>
                <w:highlight w:val="none"/>
              </w:rPr>
            </w:pPr>
            <w:r>
              <w:rPr>
                <w:rFonts w:hint="eastAsia" w:ascii="宋体" w:hAnsi="宋体" w:cs="宋体"/>
                <w:color w:val="auto"/>
                <w:szCs w:val="21"/>
                <w:highlight w:val="none"/>
              </w:rPr>
              <w:t>按需提供</w:t>
            </w:r>
          </w:p>
        </w:tc>
      </w:tr>
      <w:tr w14:paraId="49434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59" w:type="dxa"/>
            <w:vAlign w:val="center"/>
          </w:tcPr>
          <w:p w14:paraId="47114B4B">
            <w:pPr>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服务内容</w:t>
            </w:r>
          </w:p>
        </w:tc>
        <w:tc>
          <w:tcPr>
            <w:tcW w:w="6637" w:type="dxa"/>
            <w:vAlign w:val="center"/>
          </w:tcPr>
          <w:p w14:paraId="4DC091CB">
            <w:pPr>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发生安全事件时，提供远程或现场的7*24小时应急响应服务。</w:t>
            </w:r>
          </w:p>
        </w:tc>
      </w:tr>
      <w:tr w14:paraId="51C60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59" w:type="dxa"/>
            <w:vAlign w:val="center"/>
          </w:tcPr>
          <w:p w14:paraId="2DAFE8DB">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交付物</w:t>
            </w:r>
          </w:p>
        </w:tc>
        <w:tc>
          <w:tcPr>
            <w:tcW w:w="6637" w:type="dxa"/>
            <w:vAlign w:val="center"/>
          </w:tcPr>
          <w:p w14:paraId="04704093">
            <w:pPr>
              <w:spacing w:line="360" w:lineRule="exact"/>
              <w:rPr>
                <w:rFonts w:ascii="宋体" w:hAnsi="宋体" w:cs="宋体"/>
                <w:color w:val="auto"/>
                <w:szCs w:val="21"/>
                <w:highlight w:val="none"/>
              </w:rPr>
            </w:pPr>
            <w:r>
              <w:rPr>
                <w:rFonts w:hint="eastAsia" w:ascii="宋体" w:hAnsi="宋体" w:cs="宋体"/>
                <w:color w:val="auto"/>
                <w:kern w:val="0"/>
                <w:szCs w:val="21"/>
                <w:highlight w:val="none"/>
              </w:rPr>
              <w:t>《应急响应报告》</w:t>
            </w:r>
          </w:p>
        </w:tc>
      </w:tr>
    </w:tbl>
    <w:p w14:paraId="5DC13B13">
      <w:pPr>
        <w:keepNext/>
        <w:keepLines/>
        <w:numPr>
          <w:ilvl w:val="0"/>
          <w:numId w:val="0"/>
        </w:numPr>
        <w:spacing w:line="360" w:lineRule="auto"/>
        <w:outlineLvl w:val="0"/>
        <w:rPr>
          <w:rFonts w:hint="eastAsia" w:ascii="宋体" w:hAnsi="宋体" w:cs="宋体"/>
          <w:b/>
          <w:bCs/>
          <w:color w:val="auto"/>
          <w:szCs w:val="21"/>
          <w:highlight w:val="none"/>
        </w:rPr>
      </w:pPr>
      <w:r>
        <w:rPr>
          <w:rFonts w:hint="eastAsia" w:ascii="宋体" w:hAnsi="宋体" w:eastAsia="宋体" w:cs="宋体"/>
          <w:b/>
          <w:bCs/>
          <w:color w:val="auto"/>
          <w:kern w:val="2"/>
          <w:sz w:val="21"/>
          <w:szCs w:val="21"/>
          <w:highlight w:val="none"/>
          <w:lang w:val="en-US" w:eastAsia="zh-CN" w:bidi="ar-SA"/>
        </w:rPr>
        <w:t>28.</w:t>
      </w:r>
      <w:r>
        <w:rPr>
          <w:rFonts w:hint="eastAsia" w:ascii="宋体" w:hAnsi="宋体" w:cs="宋体"/>
          <w:b/>
          <w:bCs/>
          <w:color w:val="auto"/>
          <w:szCs w:val="21"/>
          <w:highlight w:val="none"/>
        </w:rPr>
        <w:t>特殊时期的安全巡检和保障服务</w:t>
      </w:r>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7"/>
        <w:gridCol w:w="6825"/>
      </w:tblGrid>
      <w:tr w14:paraId="04C32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97" w:type="dxa"/>
            <w:shd w:val="clear" w:color="auto" w:fill="FFFFFF"/>
            <w:vAlign w:val="center"/>
          </w:tcPr>
          <w:p w14:paraId="70C02F93">
            <w:pPr>
              <w:spacing w:line="360" w:lineRule="exact"/>
              <w:jc w:val="center"/>
              <w:rPr>
                <w:rFonts w:ascii="宋体" w:hAnsi="宋体" w:cs="宋体"/>
                <w:b/>
                <w:bCs/>
                <w:color w:val="auto"/>
                <w:szCs w:val="21"/>
                <w:highlight w:val="none"/>
              </w:rPr>
            </w:pPr>
            <w:r>
              <w:rPr>
                <w:rFonts w:hint="eastAsia" w:ascii="宋体" w:hAnsi="宋体" w:cs="宋体"/>
                <w:b/>
                <w:bCs/>
                <w:color w:val="auto"/>
                <w:szCs w:val="21"/>
                <w:highlight w:val="none"/>
              </w:rPr>
              <w:t>技术指标</w:t>
            </w:r>
          </w:p>
        </w:tc>
        <w:tc>
          <w:tcPr>
            <w:tcW w:w="6825" w:type="dxa"/>
            <w:shd w:val="clear" w:color="auto" w:fill="FFFFFF"/>
            <w:vAlign w:val="center"/>
          </w:tcPr>
          <w:p w14:paraId="04FDAA5F">
            <w:pPr>
              <w:spacing w:line="360" w:lineRule="exact"/>
              <w:jc w:val="center"/>
              <w:rPr>
                <w:rFonts w:ascii="宋体" w:hAnsi="宋体" w:cs="宋体"/>
                <w:b/>
                <w:bCs/>
                <w:color w:val="auto"/>
                <w:szCs w:val="21"/>
                <w:highlight w:val="none"/>
              </w:rPr>
            </w:pPr>
            <w:r>
              <w:rPr>
                <w:rFonts w:hint="eastAsia" w:ascii="宋体" w:hAnsi="宋体" w:cs="宋体"/>
                <w:b/>
                <w:bCs/>
                <w:color w:val="auto"/>
                <w:szCs w:val="21"/>
                <w:highlight w:val="none"/>
              </w:rPr>
              <w:t>技术要求</w:t>
            </w:r>
          </w:p>
        </w:tc>
      </w:tr>
      <w:tr w14:paraId="4004A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97" w:type="dxa"/>
            <w:vAlign w:val="center"/>
          </w:tcPr>
          <w:p w14:paraId="46BBB1DC">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服务范围</w:t>
            </w:r>
          </w:p>
        </w:tc>
        <w:tc>
          <w:tcPr>
            <w:tcW w:w="6825" w:type="dxa"/>
            <w:vAlign w:val="center"/>
          </w:tcPr>
          <w:p w14:paraId="71420D8B">
            <w:pPr>
              <w:spacing w:line="360" w:lineRule="exact"/>
              <w:rPr>
                <w:rFonts w:ascii="宋体" w:hAnsi="宋体" w:cs="宋体"/>
                <w:color w:val="auto"/>
                <w:szCs w:val="21"/>
                <w:highlight w:val="none"/>
              </w:rPr>
            </w:pPr>
            <w:r>
              <w:rPr>
                <w:rFonts w:hint="eastAsia" w:ascii="宋体" w:hAnsi="宋体" w:cs="宋体"/>
                <w:color w:val="auto"/>
                <w:szCs w:val="21"/>
                <w:highlight w:val="none"/>
              </w:rPr>
              <w:t>中院</w:t>
            </w:r>
          </w:p>
        </w:tc>
      </w:tr>
      <w:tr w14:paraId="188E9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97" w:type="dxa"/>
            <w:vAlign w:val="center"/>
          </w:tcPr>
          <w:p w14:paraId="672D028F">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服务频率及期限</w:t>
            </w:r>
          </w:p>
        </w:tc>
        <w:tc>
          <w:tcPr>
            <w:tcW w:w="6825" w:type="dxa"/>
            <w:vAlign w:val="center"/>
          </w:tcPr>
          <w:p w14:paraId="60B093CD">
            <w:pPr>
              <w:spacing w:line="360" w:lineRule="exact"/>
              <w:rPr>
                <w:rFonts w:ascii="宋体" w:hAnsi="宋体" w:cs="宋体"/>
                <w:color w:val="auto"/>
                <w:szCs w:val="21"/>
                <w:highlight w:val="none"/>
              </w:rPr>
            </w:pPr>
            <w:r>
              <w:rPr>
                <w:rFonts w:hint="eastAsia" w:ascii="宋体" w:hAnsi="宋体" w:cs="宋体"/>
                <w:color w:val="auto"/>
                <w:szCs w:val="21"/>
                <w:highlight w:val="none"/>
              </w:rPr>
              <w:t>按需提供</w:t>
            </w:r>
          </w:p>
        </w:tc>
      </w:tr>
      <w:tr w14:paraId="6230E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97" w:type="dxa"/>
            <w:vAlign w:val="center"/>
          </w:tcPr>
          <w:p w14:paraId="72F37E51">
            <w:pPr>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服务内容</w:t>
            </w:r>
          </w:p>
        </w:tc>
        <w:tc>
          <w:tcPr>
            <w:tcW w:w="6825" w:type="dxa"/>
            <w:vAlign w:val="center"/>
          </w:tcPr>
          <w:p w14:paraId="5AA95548">
            <w:pPr>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在重要时间节点提供重保服务，在攻防演练时间段，对管辖范围内的重要系统进行安全监测。</w:t>
            </w:r>
          </w:p>
        </w:tc>
      </w:tr>
      <w:tr w14:paraId="0E8CB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97" w:type="dxa"/>
            <w:vAlign w:val="center"/>
          </w:tcPr>
          <w:p w14:paraId="20E68FDB">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交付物</w:t>
            </w:r>
          </w:p>
        </w:tc>
        <w:tc>
          <w:tcPr>
            <w:tcW w:w="6825" w:type="dxa"/>
            <w:vAlign w:val="center"/>
          </w:tcPr>
          <w:p w14:paraId="0DA663BF">
            <w:pPr>
              <w:spacing w:line="360" w:lineRule="exact"/>
              <w:rPr>
                <w:rFonts w:ascii="宋体" w:hAnsi="宋体" w:cs="宋体"/>
                <w:color w:val="auto"/>
                <w:szCs w:val="21"/>
                <w:highlight w:val="none"/>
              </w:rPr>
            </w:pPr>
            <w:r>
              <w:rPr>
                <w:rFonts w:hint="eastAsia" w:ascii="宋体" w:hAnsi="宋体" w:cs="宋体"/>
                <w:color w:val="auto"/>
                <w:kern w:val="0"/>
                <w:szCs w:val="21"/>
                <w:highlight w:val="none"/>
              </w:rPr>
              <w:t>《重保值守报告》</w:t>
            </w:r>
          </w:p>
        </w:tc>
      </w:tr>
    </w:tbl>
    <w:p w14:paraId="72DBA22F">
      <w:pPr>
        <w:autoSpaceDN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三、其他要求</w:t>
      </w:r>
    </w:p>
    <w:p w14:paraId="4440AB0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1、项目服务期限：合同签订之日起1年。</w:t>
      </w:r>
    </w:p>
    <w:p w14:paraId="177CBF8B">
      <w:pPr>
        <w:spacing w:line="360" w:lineRule="auto"/>
        <w:ind w:firstLine="422" w:firstLineChars="200"/>
        <w:rPr>
          <w:rFonts w:ascii="宋体" w:hAnsi="宋体" w:cs="宋体"/>
          <w:color w:val="auto"/>
          <w:szCs w:val="21"/>
          <w:highlight w:val="none"/>
        </w:rPr>
      </w:pPr>
      <w:r>
        <w:rPr>
          <w:rFonts w:hint="eastAsia" w:ascii="宋体" w:hAnsi="宋体" w:cs="宋体"/>
          <w:b/>
          <w:bCs/>
          <w:color w:val="auto"/>
          <w:szCs w:val="21"/>
          <w:highlight w:val="none"/>
          <w:u w:val="single"/>
        </w:rPr>
        <w:t>▲2、中标（成交）后5个工作日内，投标人提供样机进行功能要求的测试验证，测试中发现虚假应标的行为将予以废标处理并保留采购方对投标人追究相关责任的权利。合同签订后14天内完成设备安装调试。</w:t>
      </w:r>
    </w:p>
    <w:p w14:paraId="3BDF4A2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投标人在接到采购方故障申告电话后应在10分钟内给予响应，如故障未能在30分钟内通过远程支持得到解决，投标人应启动现场应急服务，在自采购方电话申告起4小时内赶到采购方现场；故障应在投标人工程师到达现场后不超过24小时内给予恢复运行；如不能恢复的应提供备用设备，保障采购方的正常工作，在最迟不超过5个工作日内，将损坏的硬件部件进行维修。如果确认设备或者部件损坏无法修复致使该设备无法继续使用，投标人应将损坏设备进行整体更换，更换的设备配置不得低于当前配置。</w:t>
      </w:r>
    </w:p>
    <w:p w14:paraId="782671A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4、投标人应为本次工作的全部人员和第三方责任人员设备、设施等办理保险并承担全部风险责任，所需的费用包含在投标报价中。</w:t>
      </w:r>
    </w:p>
    <w:p w14:paraId="2385762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5、付款方式：按中标方中标价总额签订合同，设备安装调试完成后（在财政资金下达前提下）的7个工作日内采购方支付合同总额的40%，其余60%待合同到期验收合格后支付。</w:t>
      </w:r>
    </w:p>
    <w:p w14:paraId="133D284C">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6、如果运维不当，采购方发生网络安全事件被市本级相关单位通报，每次扣除合同金额的5%，累计三次扣除合同金额的60%并终止合同；被省级及以上单位通报一次，扣除合同金额的20%，通报两次，扣除合同金额的60%并终止合同。</w:t>
      </w:r>
    </w:p>
    <w:p w14:paraId="71014E51">
      <w:pPr>
        <w:tabs>
          <w:tab w:val="left" w:pos="720"/>
          <w:tab w:val="left" w:pos="1260"/>
          <w:tab w:val="left" w:pos="2160"/>
          <w:tab w:val="left" w:pos="2880"/>
          <w:tab w:val="left" w:pos="3600"/>
          <w:tab w:val="left" w:pos="4320"/>
          <w:tab w:val="left" w:pos="5040"/>
          <w:tab w:val="left" w:pos="5760"/>
        </w:tabs>
        <w:autoSpaceDE w:val="0"/>
        <w:autoSpaceDN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7、采购文件中未提及但要实现本采购文件的功能而必配的其他设备(含配件及授权数量)由供应商自行考察并且计入本次投标总价中。</w:t>
      </w:r>
    </w:p>
    <w:p w14:paraId="3497291E">
      <w:pPr>
        <w:spacing w:line="360" w:lineRule="auto"/>
        <w:ind w:firstLine="422" w:firstLineChars="200"/>
        <w:rPr>
          <w:rFonts w:ascii="宋体" w:hAnsi="宋体" w:cs="宋体"/>
          <w:b/>
          <w:bCs/>
          <w:color w:val="auto"/>
          <w:szCs w:val="21"/>
          <w:highlight w:val="none"/>
          <w:u w:val="single"/>
        </w:rPr>
      </w:pPr>
      <w:r>
        <w:rPr>
          <w:rFonts w:hint="eastAsia" w:ascii="宋体" w:hAnsi="宋体" w:cs="宋体"/>
          <w:b/>
          <w:bCs/>
          <w:color w:val="auto"/>
          <w:szCs w:val="21"/>
          <w:highlight w:val="none"/>
          <w:u w:val="single"/>
        </w:rPr>
        <w:t>▲8、要求提供一名具备安全服务工作经验的技术人员，进行驻场安全运维服务（中院及各县市区法院现场服务），并提供该名人员社保证明。</w:t>
      </w:r>
    </w:p>
    <w:p w14:paraId="21AF0E1F">
      <w:pPr>
        <w:pStyle w:val="56"/>
        <w:spacing w:line="360" w:lineRule="auto"/>
        <w:rPr>
          <w:rFonts w:asciiTheme="minorEastAsia" w:hAnsiTheme="minorEastAsia" w:eastAsiaTheme="minorEastAsia" w:cstheme="minorEastAsia"/>
          <w:b/>
          <w:bCs/>
          <w:color w:val="auto"/>
          <w:kern w:val="0"/>
          <w:szCs w:val="21"/>
          <w:highlight w:val="none"/>
        </w:rPr>
      </w:pPr>
      <w:r>
        <w:rPr>
          <w:rFonts w:hint="eastAsia" w:ascii="宋体" w:hAnsi="宋体" w:cs="宋体"/>
          <w:bCs/>
          <w:color w:val="auto"/>
          <w:szCs w:val="21"/>
          <w:highlight w:val="none"/>
        </w:rPr>
        <w:t>9、驻场运维人员如在业主方食堂就餐需按照每人每年4200元标准缴纳搭伙费，投标人投标时需考虑相关费用。</w:t>
      </w:r>
    </w:p>
    <w:p w14:paraId="2AF130B2">
      <w:pPr>
        <w:pStyle w:val="56"/>
        <w:spacing w:line="360" w:lineRule="auto"/>
        <w:ind w:firstLine="422"/>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四、本项目中标（成交）供应商应在浙江省政府采购网（http://zfcg.czt.zj.gov.cn）上注册成为“政府采购供应商”，如不按要求注册的，采购方有权延期发布中标（成交）通知书和中标（成交）公告，后果由供应商自行承担。</w:t>
      </w:r>
    </w:p>
    <w:p w14:paraId="687904B3">
      <w:pPr>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br w:type="page"/>
      </w:r>
    </w:p>
    <w:p w14:paraId="4F2A372D">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第五章 政府采购合同主要条款</w:t>
      </w:r>
    </w:p>
    <w:p w14:paraId="1A78AC30">
      <w:pPr>
        <w:pStyle w:val="54"/>
        <w:spacing w:line="360" w:lineRule="auto"/>
        <w:jc w:val="center"/>
        <w:rPr>
          <w:rFonts w:hAnsi="宋体" w:cs="宋体"/>
          <w:color w:val="auto"/>
          <w:highlight w:val="none"/>
        </w:rPr>
      </w:pPr>
      <w:r>
        <w:rPr>
          <w:rFonts w:hint="eastAsia" w:hAnsi="宋体" w:cs="宋体"/>
          <w:color w:val="auto"/>
          <w:kern w:val="2"/>
          <w:sz w:val="21"/>
          <w:szCs w:val="21"/>
          <w:highlight w:val="none"/>
        </w:rPr>
        <w:t>（此稿为合同样本，最终定稿待双方协商后定，但不得背离实质性内容）</w:t>
      </w:r>
    </w:p>
    <w:p w14:paraId="6ECB2DC3">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合同将由台州市中级人民法院（以下简称甲方）与经评审最终确定的中标人（以下简称乙方）结合本项目具体情况协商后签订。以下为采购人提出涉及乙方的主要条款，投标人在磋商响应文件中应对其进行确认或拒绝。如投标人在其磋商响应文件中未做拒绝或提出调整完善要求的，采购人将视作认同。具体如下：</w:t>
      </w:r>
    </w:p>
    <w:p w14:paraId="474A1CE5">
      <w:pPr>
        <w:adjustRightInd w:val="0"/>
        <w:snapToGrid w:val="0"/>
        <w:spacing w:line="360" w:lineRule="auto"/>
        <w:ind w:firstLine="420" w:firstLineChars="200"/>
        <w:rPr>
          <w:rFonts w:hAnsi="宋体" w:cs="宋体"/>
          <w:color w:val="auto"/>
          <w:szCs w:val="21"/>
          <w:highlight w:val="none"/>
        </w:rPr>
      </w:pPr>
      <w:r>
        <w:rPr>
          <w:rFonts w:hint="eastAsia" w:hAnsi="宋体" w:cs="宋体"/>
          <w:color w:val="auto"/>
          <w:szCs w:val="21"/>
          <w:highlight w:val="none"/>
        </w:rPr>
        <w:t>项目编号：</w:t>
      </w:r>
    </w:p>
    <w:p w14:paraId="4831D2B9">
      <w:pPr>
        <w:pStyle w:val="12"/>
        <w:spacing w:line="360" w:lineRule="auto"/>
        <w:ind w:firstLine="422" w:firstLineChars="200"/>
        <w:rPr>
          <w:rFonts w:hAnsi="宋体" w:cs="宋体"/>
          <w:b/>
          <w:color w:val="auto"/>
          <w:szCs w:val="21"/>
          <w:highlight w:val="none"/>
        </w:rPr>
      </w:pPr>
      <w:r>
        <w:rPr>
          <w:rFonts w:hint="eastAsia" w:hAnsi="宋体" w:cs="宋体"/>
          <w:b/>
          <w:color w:val="auto"/>
          <w:szCs w:val="21"/>
          <w:highlight w:val="none"/>
        </w:rPr>
        <w:t>甲方：</w:t>
      </w:r>
      <w:r>
        <w:rPr>
          <w:rFonts w:hint="eastAsia" w:hAnsi="宋体" w:cs="宋体"/>
          <w:color w:val="auto"/>
          <w:szCs w:val="21"/>
          <w:highlight w:val="none"/>
        </w:rPr>
        <w:t>（采购方）台州市中级人民法院</w:t>
      </w:r>
    </w:p>
    <w:p w14:paraId="64BD0223">
      <w:pPr>
        <w:pStyle w:val="12"/>
        <w:spacing w:line="360" w:lineRule="auto"/>
        <w:ind w:firstLine="422" w:firstLineChars="200"/>
        <w:rPr>
          <w:rFonts w:hAnsi="宋体" w:cs="宋体"/>
          <w:b/>
          <w:color w:val="auto"/>
          <w:szCs w:val="21"/>
          <w:highlight w:val="none"/>
        </w:rPr>
      </w:pPr>
      <w:r>
        <w:rPr>
          <w:rFonts w:hint="eastAsia" w:hAnsi="宋体" w:cs="宋体"/>
          <w:b/>
          <w:color w:val="auto"/>
          <w:szCs w:val="21"/>
          <w:highlight w:val="none"/>
        </w:rPr>
        <w:t>乙方：</w:t>
      </w:r>
      <w:r>
        <w:rPr>
          <w:rFonts w:hint="eastAsia" w:hAnsi="宋体" w:cs="宋体"/>
          <w:color w:val="auto"/>
          <w:szCs w:val="21"/>
          <w:highlight w:val="none"/>
        </w:rPr>
        <w:t>（供应商）</w:t>
      </w:r>
      <w:r>
        <w:rPr>
          <w:rFonts w:hint="eastAsia" w:hAnsi="宋体" w:cs="宋体"/>
          <w:b/>
          <w:color w:val="auto"/>
          <w:szCs w:val="21"/>
          <w:highlight w:val="none"/>
        </w:rPr>
        <w:t xml:space="preserve"> </w:t>
      </w:r>
    </w:p>
    <w:p w14:paraId="2C56E381">
      <w:pPr>
        <w:pStyle w:val="12"/>
        <w:spacing w:line="360" w:lineRule="auto"/>
        <w:ind w:firstLine="420" w:firstLineChars="200"/>
        <w:rPr>
          <w:rFonts w:hAnsi="宋体" w:cs="宋体"/>
          <w:b/>
          <w:color w:val="auto"/>
          <w:szCs w:val="21"/>
          <w:highlight w:val="none"/>
        </w:rPr>
      </w:pPr>
      <w:r>
        <w:rPr>
          <w:rFonts w:hint="eastAsia" w:hAnsi="宋体" w:cs="宋体"/>
          <w:color w:val="auto"/>
          <w:szCs w:val="21"/>
          <w:highlight w:val="none"/>
        </w:rPr>
        <w:t>甲、乙双方根据</w:t>
      </w:r>
      <w:r>
        <w:rPr>
          <w:rFonts w:hint="eastAsia" w:hAnsi="宋体" w:cs="宋体"/>
          <w:color w:val="auto"/>
          <w:szCs w:val="21"/>
          <w:highlight w:val="none"/>
          <w:u w:val="single"/>
        </w:rPr>
        <w:t>台州市中级人民法院信息安全运维服务项目竞争性磋商</w:t>
      </w:r>
      <w:r>
        <w:rPr>
          <w:rFonts w:hint="eastAsia" w:hAnsi="宋体" w:cs="宋体"/>
          <w:color w:val="auto"/>
          <w:szCs w:val="21"/>
          <w:highlight w:val="none"/>
        </w:rPr>
        <w:t>的结果，签署本合同。</w:t>
      </w:r>
    </w:p>
    <w:p w14:paraId="12814CBF">
      <w:pPr>
        <w:pStyle w:val="12"/>
        <w:spacing w:line="360" w:lineRule="auto"/>
        <w:ind w:firstLine="422" w:firstLineChars="200"/>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第一条：服务内容</w:t>
      </w:r>
    </w:p>
    <w:p w14:paraId="79DEEC66">
      <w:pPr>
        <w:pStyle w:val="12"/>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详见本项目采购文件</w:t>
      </w:r>
      <w:r>
        <w:rPr>
          <w:rFonts w:hint="eastAsia" w:asciiTheme="minorEastAsia" w:hAnsiTheme="minorEastAsia" w:eastAsiaTheme="minorEastAsia" w:cstheme="minorEastAsia"/>
          <w:bCs/>
          <w:color w:val="auto"/>
          <w:szCs w:val="21"/>
          <w:highlight w:val="none"/>
        </w:rPr>
        <w:t>第四部分《</w:t>
      </w:r>
      <w:r>
        <w:rPr>
          <w:rFonts w:hint="eastAsia" w:asciiTheme="minorEastAsia" w:hAnsiTheme="minorEastAsia" w:eastAsiaTheme="minorEastAsia" w:cstheme="minorEastAsia"/>
          <w:color w:val="auto"/>
          <w:szCs w:val="21"/>
          <w:highlight w:val="none"/>
        </w:rPr>
        <w:t>项目需求》。</w:t>
      </w:r>
    </w:p>
    <w:p w14:paraId="61218C91">
      <w:pPr>
        <w:spacing w:line="360" w:lineRule="auto"/>
        <w:ind w:firstLine="422" w:firstLineChars="200"/>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第二条：合同金额</w:t>
      </w:r>
    </w:p>
    <w:p w14:paraId="3DA29718">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本合同金额为(大写):</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元 (￥:</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元) 人民币。</w:t>
      </w:r>
    </w:p>
    <w:p w14:paraId="5B0059B6">
      <w:pPr>
        <w:pStyle w:val="12"/>
        <w:spacing w:line="360" w:lineRule="auto"/>
        <w:ind w:firstLine="422" w:firstLineChars="200"/>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第三条：技术资料</w:t>
      </w:r>
    </w:p>
    <w:p w14:paraId="0F5D0C54">
      <w:pPr>
        <w:pStyle w:val="12"/>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1、乙方应按采购文件规定的时间向甲方提供有关技术资料。</w:t>
      </w:r>
    </w:p>
    <w:p w14:paraId="5C196C0F">
      <w:pPr>
        <w:pStyle w:val="12"/>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48AF3D81">
      <w:pPr>
        <w:pStyle w:val="12"/>
        <w:spacing w:line="360" w:lineRule="auto"/>
        <w:ind w:firstLine="422" w:firstLineChars="200"/>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第四条：知识产权</w:t>
      </w:r>
    </w:p>
    <w:p w14:paraId="0F851A0E">
      <w:pPr>
        <w:pStyle w:val="12"/>
        <w:spacing w:line="360" w:lineRule="auto"/>
        <w:ind w:firstLine="420" w:firstLineChars="200"/>
        <w:rPr>
          <w:rFonts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color w:val="auto"/>
          <w:szCs w:val="21"/>
          <w:highlight w:val="none"/>
        </w:rPr>
        <w:t>1、乙方应保证提供服务过程中不会侵犯任何第三方的知识产权和其他权利</w:t>
      </w:r>
      <w:r>
        <w:rPr>
          <w:rFonts w:hint="eastAsia" w:asciiTheme="minorEastAsia" w:hAnsiTheme="minorEastAsia" w:eastAsiaTheme="minorEastAsia" w:cstheme="minorEastAsia"/>
          <w:bCs/>
          <w:color w:val="auto"/>
          <w:szCs w:val="21"/>
          <w:highlight w:val="none"/>
        </w:rPr>
        <w:t>。</w:t>
      </w:r>
    </w:p>
    <w:p w14:paraId="0E8A5B69">
      <w:pPr>
        <w:pStyle w:val="12"/>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2、本项目所有成果以及采集的数据的知识产权和其他权利属甲方所有，乙方不得以任何形式向第三方提供，否则，按国家法律和有关规定追究乙方的一切责任，并要求乙方承担甲方因此造成的损失。</w:t>
      </w:r>
    </w:p>
    <w:p w14:paraId="00B5C02F">
      <w:pPr>
        <w:pStyle w:val="12"/>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3、本项目作业过程中提供的或涉及的所有数据属甲方拥有，乙方无权在技术要求规定之外自行处置数据，不得自行删除、复制、调整完善、转移数据，不得以任何形式擅自使用或向第三方提供。</w:t>
      </w:r>
    </w:p>
    <w:p w14:paraId="2E0787DE">
      <w:pPr>
        <w:pStyle w:val="12"/>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4、若侵犯,除承担本协议中的违约责任外，还应由乙方赔偿甲方因此遭受的损失（包括但不限于应对及追偿过程中所支付的律师费、差旅费、诉讼费、保全费、鉴定费、评估费等）。</w:t>
      </w:r>
    </w:p>
    <w:p w14:paraId="6FB98502">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第五条：转包或分包</w:t>
      </w:r>
    </w:p>
    <w:p w14:paraId="67BBBEC0">
      <w:pPr>
        <w:tabs>
          <w:tab w:val="left" w:pos="1260"/>
        </w:tabs>
        <w:spacing w:line="360" w:lineRule="auto"/>
        <w:ind w:firstLine="420" w:firstLineChars="200"/>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、本合同范围的服务，应由</w:t>
      </w:r>
      <w:r>
        <w:rPr>
          <w:rFonts w:ascii="宋体" w:hAnsi="宋体"/>
          <w:color w:val="auto"/>
          <w:szCs w:val="21"/>
          <w:highlight w:val="none"/>
        </w:rPr>
        <w:t>乙</w:t>
      </w:r>
      <w:r>
        <w:rPr>
          <w:rFonts w:hint="eastAsia" w:ascii="宋体" w:hAnsi="宋体"/>
          <w:color w:val="auto"/>
          <w:szCs w:val="21"/>
          <w:highlight w:val="none"/>
        </w:rPr>
        <w:t>方直接供应，不得转让他人供应；</w:t>
      </w:r>
    </w:p>
    <w:p w14:paraId="5719AFAB">
      <w:pPr>
        <w:tabs>
          <w:tab w:val="left" w:pos="1260"/>
        </w:tabs>
        <w:spacing w:line="360" w:lineRule="auto"/>
        <w:ind w:firstLine="420" w:firstLineChars="200"/>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w:t>
      </w:r>
      <w:r>
        <w:rPr>
          <w:rFonts w:ascii="宋体" w:hAnsi="宋体"/>
          <w:color w:val="auto"/>
          <w:szCs w:val="21"/>
          <w:highlight w:val="none"/>
        </w:rPr>
        <w:t>乙</w:t>
      </w:r>
      <w:r>
        <w:rPr>
          <w:rFonts w:hint="eastAsia" w:ascii="宋体" w:hAnsi="宋体"/>
          <w:color w:val="auto"/>
          <w:szCs w:val="21"/>
          <w:highlight w:val="none"/>
        </w:rPr>
        <w:t>方不得将本合同范围的服务全部或部分分包给他人供应；</w:t>
      </w:r>
    </w:p>
    <w:p w14:paraId="78D92476">
      <w:pPr>
        <w:tabs>
          <w:tab w:val="left" w:pos="1260"/>
        </w:tabs>
        <w:spacing w:line="360" w:lineRule="auto"/>
        <w:ind w:firstLine="420" w:firstLineChars="200"/>
        <w:rPr>
          <w:rFonts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、如有转让和分包行为，甲方有权解除合同，并追究乙方的违约责任。</w:t>
      </w:r>
    </w:p>
    <w:p w14:paraId="5870A280">
      <w:pPr>
        <w:tabs>
          <w:tab w:val="left" w:pos="1260"/>
        </w:tabs>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第六条：付款方式</w:t>
      </w:r>
    </w:p>
    <w:p w14:paraId="567CAFEA">
      <w:pPr>
        <w:tabs>
          <w:tab w:val="left" w:pos="1260"/>
        </w:tabs>
        <w:spacing w:line="360" w:lineRule="auto"/>
        <w:ind w:firstLine="420" w:firstLineChars="200"/>
        <w:textAlignment w:val="baseline"/>
        <w:rPr>
          <w:rFonts w:ascii="宋体" w:hAnsi="宋体" w:cs="宋体"/>
          <w:color w:val="auto"/>
          <w:szCs w:val="21"/>
          <w:highlight w:val="none"/>
        </w:rPr>
      </w:pPr>
      <w:r>
        <w:rPr>
          <w:rFonts w:hint="eastAsia" w:ascii="宋体" w:hAnsi="宋体" w:cs="宋体"/>
          <w:color w:val="auto"/>
          <w:szCs w:val="21"/>
          <w:highlight w:val="none"/>
        </w:rPr>
        <w:t>1、按合同金额签订合同，设备安装调试完成后（在财政资金下达前提下）的7个工作日内甲方支付合同总额的40%，其余60%待合同到期验收合格后支付。</w:t>
      </w:r>
    </w:p>
    <w:p w14:paraId="398DB1EE">
      <w:pPr>
        <w:tabs>
          <w:tab w:val="left" w:pos="1260"/>
        </w:tabs>
        <w:spacing w:line="360" w:lineRule="auto"/>
        <w:ind w:firstLine="420" w:firstLineChars="200"/>
        <w:textAlignment w:val="baseline"/>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w:t>
      </w:r>
      <w:r>
        <w:rPr>
          <w:rFonts w:hint="eastAsia" w:ascii="宋体" w:hAnsi="宋体" w:cs="宋体"/>
          <w:bCs/>
          <w:color w:val="auto"/>
          <w:szCs w:val="21"/>
          <w:highlight w:val="none"/>
        </w:rPr>
        <w:t>如果运维不当，甲方发生网络安全事件被市本级相关单位通报，每次扣除合同金额的5%，累计三次扣除合同金额的60%并终止合同；被省级及以上单位通报一次，扣除合同金额的20%，通报两次，扣除合同金额的60%并终止合同。</w:t>
      </w:r>
    </w:p>
    <w:p w14:paraId="3FBF4823">
      <w:pPr>
        <w:tabs>
          <w:tab w:val="left" w:pos="1260"/>
        </w:tabs>
        <w:spacing w:line="360" w:lineRule="auto"/>
        <w:ind w:firstLine="420" w:firstLineChars="200"/>
        <w:textAlignment w:val="baseline"/>
        <w:rPr>
          <w:rFonts w:ascii="宋体" w:hAnsi="宋体" w:cs="宋体"/>
          <w:color w:val="auto"/>
          <w:szCs w:val="21"/>
          <w:highlight w:val="none"/>
        </w:rPr>
      </w:pPr>
      <w:r>
        <w:rPr>
          <w:rFonts w:hint="eastAsia" w:asciiTheme="minorEastAsia" w:hAnsiTheme="minorEastAsia" w:eastAsiaTheme="minorEastAsia" w:cstheme="minorEastAsia"/>
          <w:color w:val="auto"/>
          <w:szCs w:val="21"/>
          <w:highlight w:val="none"/>
        </w:rPr>
        <w:t>3、驻场运维人员如在甲方食堂就餐需按照每人每年4200元标准缴纳搭伙费。</w:t>
      </w:r>
    </w:p>
    <w:p w14:paraId="06B0BEBE">
      <w:pPr>
        <w:pStyle w:val="12"/>
        <w:tabs>
          <w:tab w:val="left" w:pos="1260"/>
        </w:tabs>
        <w:spacing w:line="360" w:lineRule="auto"/>
        <w:ind w:firstLine="422" w:firstLineChars="200"/>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第七条：项目要求</w:t>
      </w:r>
    </w:p>
    <w:p w14:paraId="02DA2F8F">
      <w:pPr>
        <w:tabs>
          <w:tab w:val="left" w:pos="1260"/>
        </w:tabs>
        <w:spacing w:line="360" w:lineRule="auto"/>
        <w:ind w:firstLine="420" w:firstLineChars="200"/>
        <w:rPr>
          <w:rFonts w:asciiTheme="minorEastAsia" w:hAnsiTheme="minorEastAsia" w:eastAsiaTheme="minorEastAsia" w:cstheme="minorEastAsia"/>
          <w:bCs/>
          <w:snapToGrid w:val="0"/>
          <w:color w:val="auto"/>
          <w:kern w:val="0"/>
          <w:szCs w:val="21"/>
          <w:highlight w:val="none"/>
        </w:rPr>
      </w:pPr>
      <w:r>
        <w:rPr>
          <w:rFonts w:asciiTheme="minorEastAsia" w:hAnsiTheme="minorEastAsia" w:eastAsiaTheme="minorEastAsia" w:cstheme="minorEastAsia"/>
          <w:bCs/>
          <w:snapToGrid w:val="0"/>
          <w:color w:val="auto"/>
          <w:kern w:val="0"/>
          <w:szCs w:val="21"/>
          <w:highlight w:val="none"/>
        </w:rPr>
        <w:t>1、</w:t>
      </w:r>
      <w:r>
        <w:rPr>
          <w:rFonts w:hint="eastAsia" w:asciiTheme="minorEastAsia" w:hAnsiTheme="minorEastAsia" w:eastAsiaTheme="minorEastAsia" w:cstheme="minorEastAsia"/>
          <w:color w:val="auto"/>
          <w:szCs w:val="21"/>
          <w:highlight w:val="none"/>
        </w:rPr>
        <w:t>时间要求：</w:t>
      </w:r>
      <w:r>
        <w:rPr>
          <w:rFonts w:hint="eastAsia" w:ascii="宋体" w:hAnsi="宋体" w:cs="宋体"/>
          <w:color w:val="auto"/>
          <w:szCs w:val="21"/>
          <w:highlight w:val="none"/>
        </w:rPr>
        <w:t>合同签订之日起1年。</w:t>
      </w:r>
    </w:p>
    <w:p w14:paraId="0C40471A">
      <w:pPr>
        <w:pStyle w:val="10"/>
        <w:tabs>
          <w:tab w:val="left" w:pos="1260"/>
        </w:tabs>
        <w:spacing w:after="0" w:line="360" w:lineRule="auto"/>
        <w:ind w:left="0" w:leftChars="0" w:firstLine="420" w:firstLineChars="200"/>
        <w:rPr>
          <w:rFonts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中标（成交）后5个工作日内，乙方提供样机进行功能要求的测试验证，测试中发现虚假应标的行为将予以废标处理并保留甲方对乙方追究相关责任的权利。合同签订后14天内完成设备安装调试。</w:t>
      </w:r>
    </w:p>
    <w:p w14:paraId="4D5B5BD8">
      <w:pPr>
        <w:pStyle w:val="10"/>
        <w:tabs>
          <w:tab w:val="left" w:pos="1260"/>
        </w:tabs>
        <w:spacing w:after="0" w:line="360" w:lineRule="auto"/>
        <w:ind w:left="0" w:leftChars="0" w:firstLine="420" w:firstLineChars="200"/>
        <w:rPr>
          <w:rFonts w:asciiTheme="minorEastAsia" w:hAnsiTheme="minorEastAsia" w:eastAsiaTheme="minorEastAsia" w:cstheme="minorEastAsia"/>
          <w:bCs/>
          <w:color w:val="auto"/>
          <w:highlight w:val="none"/>
        </w:rPr>
      </w:pPr>
      <w:r>
        <w:rPr>
          <w:rFonts w:asciiTheme="minorEastAsia" w:hAnsiTheme="minorEastAsia" w:eastAsiaTheme="minorEastAsia" w:cstheme="minorEastAsia"/>
          <w:bCs/>
          <w:color w:val="auto"/>
          <w:highlight w:val="none"/>
        </w:rPr>
        <w:t>3、</w:t>
      </w:r>
      <w:r>
        <w:rPr>
          <w:rFonts w:hint="eastAsia" w:asciiTheme="minorEastAsia" w:hAnsiTheme="minorEastAsia" w:eastAsiaTheme="minorEastAsia" w:cstheme="minorEastAsia"/>
          <w:bCs/>
          <w:color w:val="auto"/>
          <w:highlight w:val="none"/>
        </w:rPr>
        <w:t>乙方在接到甲方故障申告电话后应在10分钟内给予响应，如故障未能在30分钟内通过远程支持得到解决，乙方应启动现场应急服务，在自甲方电话申告起4小时内赶到甲方现场；故障应在乙方工程师到达现场后不超过24小时内给予恢复运行；如不能恢复的应提供备用设备，保障甲方的正常工作，在最迟不超过5个工作日内，将损坏的硬件部件进行维修。如果确认设备或者部件损坏无法修复致使该设备无法继续使用，乙方应将损坏设备进行整体更换，更换的设备配置不得低于当前配置。</w:t>
      </w:r>
    </w:p>
    <w:p w14:paraId="6B092820">
      <w:pPr>
        <w:pStyle w:val="10"/>
        <w:tabs>
          <w:tab w:val="left" w:pos="1260"/>
        </w:tabs>
        <w:spacing w:after="0" w:line="360" w:lineRule="auto"/>
        <w:ind w:left="0" w:leftChars="0" w:firstLine="420" w:firstLineChars="200"/>
        <w:rPr>
          <w:rFonts w:ascii="宋体" w:hAnsi="宋体" w:cs="宋体"/>
          <w:color w:val="auto"/>
          <w:szCs w:val="21"/>
          <w:highlight w:val="none"/>
        </w:rPr>
      </w:pPr>
      <w:r>
        <w:rPr>
          <w:rFonts w:hint="eastAsia" w:ascii="宋体" w:hAnsi="宋体" w:cs="宋体"/>
          <w:color w:val="auto"/>
          <w:szCs w:val="21"/>
          <w:highlight w:val="none"/>
        </w:rPr>
        <w:t>4、要求提供一名具备安全服务工作经验的技术人员，进行驻场安全运维服务（中院及各县市区法院现场服务），并提供该名人员社保证明。</w:t>
      </w:r>
    </w:p>
    <w:p w14:paraId="025C220B">
      <w:pPr>
        <w:pStyle w:val="10"/>
        <w:tabs>
          <w:tab w:val="left" w:pos="1260"/>
        </w:tabs>
        <w:spacing w:after="0" w:line="360" w:lineRule="auto"/>
        <w:ind w:left="0" w:leftChars="0" w:firstLine="422" w:firstLineChars="200"/>
        <w:rPr>
          <w:rFonts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第八条：违约责任</w:t>
      </w:r>
    </w:p>
    <w:p w14:paraId="724BA8AC">
      <w:pPr>
        <w:pStyle w:val="10"/>
        <w:tabs>
          <w:tab w:val="left" w:pos="1260"/>
        </w:tabs>
        <w:spacing w:after="0" w:line="360" w:lineRule="auto"/>
        <w:ind w:left="0" w:leftChars="0" w:firstLine="42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1、甲方无正当理由拒收接受服务的，甲方向乙方支付合同款项百分之五作为违约金。</w:t>
      </w:r>
    </w:p>
    <w:p w14:paraId="0C30422C">
      <w:pPr>
        <w:pStyle w:val="10"/>
        <w:tabs>
          <w:tab w:val="left" w:pos="1260"/>
        </w:tabs>
        <w:spacing w:after="0" w:line="360" w:lineRule="auto"/>
        <w:ind w:left="0" w:leftChars="0" w:firstLine="42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 甲方无故逾期验收和办理款项支付手续的，甲方应按逾期付款总额向乙方支付每日万分之五违约金。</w:t>
      </w:r>
    </w:p>
    <w:p w14:paraId="3024348C">
      <w:pPr>
        <w:pStyle w:val="12"/>
        <w:tabs>
          <w:tab w:val="left" w:pos="1260"/>
        </w:tabs>
        <w:spacing w:line="360" w:lineRule="auto"/>
        <w:ind w:firstLine="42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乙方逾期提供服务的，乙方应按逾期天数向甲方支付每日万分之五违约金。逾期超过约定日期10个工作日提供服务的，甲方可解除本合同。乙方因逾期提供服务或因其他违约行为导致甲方解除合同的，乙方应向甲方支付合同款项百分之五的违约金，如造成甲方损失超过违约金的，超出部分由乙方继续承担赔偿责任。</w:t>
      </w:r>
    </w:p>
    <w:p w14:paraId="443EC094">
      <w:pPr>
        <w:pStyle w:val="12"/>
        <w:tabs>
          <w:tab w:val="left" w:pos="1260"/>
        </w:tabs>
        <w:spacing w:line="360" w:lineRule="auto"/>
        <w:ind w:firstLine="42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4、若发生纠纷，由违约方赔偿守约方因纠纷所支付的费用（包括但不限于律师费、差旅费、诉讼费、保全费、鉴定费、评估费等）。</w:t>
      </w:r>
    </w:p>
    <w:p w14:paraId="4D3E1D85">
      <w:pPr>
        <w:pStyle w:val="12"/>
        <w:tabs>
          <w:tab w:val="left" w:pos="1260"/>
        </w:tabs>
        <w:spacing w:line="360" w:lineRule="auto"/>
        <w:ind w:firstLine="422" w:firstLineChars="200"/>
        <w:textAlignment w:val="baseline"/>
        <w:rPr>
          <w:rFonts w:asciiTheme="minorEastAsia" w:hAnsiTheme="minorEastAsia" w:eastAsiaTheme="minorEastAsia" w:cstheme="minorEastAsia"/>
          <w:b/>
          <w:bCs/>
          <w:snapToGrid w:val="0"/>
          <w:color w:val="auto"/>
          <w:szCs w:val="21"/>
          <w:highlight w:val="none"/>
        </w:rPr>
      </w:pPr>
      <w:r>
        <w:rPr>
          <w:rFonts w:hint="eastAsia" w:asciiTheme="minorEastAsia" w:hAnsiTheme="minorEastAsia" w:eastAsiaTheme="minorEastAsia" w:cstheme="minorEastAsia"/>
          <w:b/>
          <w:bCs/>
          <w:snapToGrid w:val="0"/>
          <w:color w:val="auto"/>
          <w:szCs w:val="21"/>
          <w:highlight w:val="none"/>
        </w:rPr>
        <w:t>第九条：不可抗力事件处理</w:t>
      </w:r>
    </w:p>
    <w:p w14:paraId="197DCCE7">
      <w:pPr>
        <w:pStyle w:val="12"/>
        <w:tabs>
          <w:tab w:val="left" w:pos="1260"/>
        </w:tabs>
        <w:spacing w:line="360" w:lineRule="auto"/>
        <w:ind w:firstLine="420" w:firstLineChars="200"/>
        <w:textAlignment w:val="baseline"/>
        <w:rPr>
          <w:rFonts w:asciiTheme="minorEastAsia" w:hAnsiTheme="minorEastAsia" w:eastAsiaTheme="minorEastAsia" w:cstheme="minorEastAsia"/>
          <w:snapToGrid w:val="0"/>
          <w:color w:val="auto"/>
          <w:szCs w:val="21"/>
          <w:highlight w:val="none"/>
        </w:rPr>
      </w:pPr>
      <w:r>
        <w:rPr>
          <w:rFonts w:hint="eastAsia" w:asciiTheme="minorEastAsia" w:hAnsiTheme="minorEastAsia" w:eastAsiaTheme="minorEastAsia" w:cstheme="minorEastAsia"/>
          <w:snapToGrid w:val="0"/>
          <w:color w:val="auto"/>
          <w:szCs w:val="21"/>
          <w:highlight w:val="none"/>
        </w:rPr>
        <w:t>1、在合同有效期内，任何一方因不可抗力事件导致不能履行合同，则合同履行期可延长，其延长期与不可抗力影响期相同。</w:t>
      </w:r>
    </w:p>
    <w:p w14:paraId="7E3D5D01">
      <w:pPr>
        <w:pStyle w:val="12"/>
        <w:tabs>
          <w:tab w:val="left" w:pos="1260"/>
        </w:tabs>
        <w:spacing w:line="360" w:lineRule="auto"/>
        <w:ind w:firstLine="420" w:firstLineChars="200"/>
        <w:textAlignment w:val="baseline"/>
        <w:rPr>
          <w:rFonts w:asciiTheme="minorEastAsia" w:hAnsiTheme="minorEastAsia" w:eastAsiaTheme="minorEastAsia" w:cstheme="minorEastAsia"/>
          <w:snapToGrid w:val="0"/>
          <w:color w:val="auto"/>
          <w:szCs w:val="21"/>
          <w:highlight w:val="none"/>
        </w:rPr>
      </w:pPr>
      <w:r>
        <w:rPr>
          <w:rFonts w:hint="eastAsia" w:asciiTheme="minorEastAsia" w:hAnsiTheme="minorEastAsia" w:eastAsiaTheme="minorEastAsia" w:cstheme="minorEastAsia"/>
          <w:snapToGrid w:val="0"/>
          <w:color w:val="auto"/>
          <w:szCs w:val="21"/>
          <w:highlight w:val="none"/>
        </w:rPr>
        <w:t>2、不可抗力事件发生后，应立即通知对方，并寄送有关权威机构出具的证明。</w:t>
      </w:r>
    </w:p>
    <w:p w14:paraId="433CE215">
      <w:pPr>
        <w:pStyle w:val="12"/>
        <w:tabs>
          <w:tab w:val="left" w:pos="1260"/>
        </w:tabs>
        <w:spacing w:line="360" w:lineRule="auto"/>
        <w:ind w:firstLine="420" w:firstLineChars="200"/>
        <w:textAlignment w:val="baseline"/>
        <w:rPr>
          <w:rFonts w:asciiTheme="minorEastAsia" w:hAnsiTheme="minorEastAsia" w:eastAsiaTheme="minorEastAsia" w:cstheme="minorEastAsia"/>
          <w:snapToGrid w:val="0"/>
          <w:color w:val="auto"/>
          <w:szCs w:val="21"/>
          <w:highlight w:val="none"/>
        </w:rPr>
      </w:pPr>
      <w:r>
        <w:rPr>
          <w:rFonts w:hint="eastAsia" w:asciiTheme="minorEastAsia" w:hAnsiTheme="minorEastAsia" w:eastAsiaTheme="minorEastAsia" w:cstheme="minorEastAsia"/>
          <w:snapToGrid w:val="0"/>
          <w:color w:val="auto"/>
          <w:szCs w:val="21"/>
          <w:highlight w:val="none"/>
        </w:rPr>
        <w:t>3、不可抗力事件延续120天以上，双方应通过友好协商，确定是否继续履行合同。</w:t>
      </w:r>
    </w:p>
    <w:p w14:paraId="17C0235D">
      <w:pPr>
        <w:pStyle w:val="12"/>
        <w:tabs>
          <w:tab w:val="left" w:pos="1260"/>
        </w:tabs>
        <w:spacing w:line="360" w:lineRule="auto"/>
        <w:ind w:firstLine="420" w:firstLineChars="200"/>
        <w:textAlignment w:val="baseline"/>
        <w:rPr>
          <w:rFonts w:asciiTheme="minorEastAsia" w:hAnsiTheme="minorEastAsia" w:eastAsiaTheme="minorEastAsia" w:cstheme="minorEastAsia"/>
          <w:snapToGrid w:val="0"/>
          <w:color w:val="auto"/>
          <w:szCs w:val="21"/>
          <w:highlight w:val="none"/>
        </w:rPr>
      </w:pPr>
      <w:r>
        <w:rPr>
          <w:rFonts w:hint="eastAsia" w:asciiTheme="minorEastAsia" w:hAnsiTheme="minorEastAsia" w:eastAsiaTheme="minorEastAsia" w:cstheme="minorEastAsia"/>
          <w:snapToGrid w:val="0"/>
          <w:color w:val="auto"/>
          <w:szCs w:val="21"/>
          <w:highlight w:val="none"/>
        </w:rPr>
        <w:t>4、如合同履行时间内，因不可抗力原因需要延迟相关活动或解除合同的，由双方进行协商；合同解除后，双方根据乙方的实际履行支付情况及凭证（发票）进行结算。</w:t>
      </w:r>
    </w:p>
    <w:p w14:paraId="2E027D28">
      <w:pPr>
        <w:pStyle w:val="12"/>
        <w:tabs>
          <w:tab w:val="left" w:pos="1260"/>
        </w:tabs>
        <w:spacing w:line="360" w:lineRule="auto"/>
        <w:ind w:firstLine="422" w:firstLineChars="200"/>
        <w:textAlignment w:val="baseline"/>
        <w:rPr>
          <w:rFonts w:asciiTheme="minorEastAsia" w:hAnsiTheme="minorEastAsia" w:eastAsiaTheme="minorEastAsia" w:cstheme="minorEastAsia"/>
          <w:b/>
          <w:bCs/>
          <w:snapToGrid w:val="0"/>
          <w:color w:val="auto"/>
          <w:szCs w:val="21"/>
          <w:highlight w:val="none"/>
        </w:rPr>
      </w:pPr>
      <w:r>
        <w:rPr>
          <w:rFonts w:hint="eastAsia" w:asciiTheme="minorEastAsia" w:hAnsiTheme="minorEastAsia" w:eastAsiaTheme="minorEastAsia" w:cstheme="minorEastAsia"/>
          <w:b/>
          <w:bCs/>
          <w:snapToGrid w:val="0"/>
          <w:color w:val="auto"/>
          <w:szCs w:val="21"/>
          <w:highlight w:val="none"/>
        </w:rPr>
        <w:t>第十条：诉讼</w:t>
      </w:r>
    </w:p>
    <w:p w14:paraId="47B34FDE">
      <w:pPr>
        <w:pStyle w:val="12"/>
        <w:tabs>
          <w:tab w:val="left" w:pos="1260"/>
        </w:tabs>
        <w:spacing w:line="360" w:lineRule="auto"/>
        <w:ind w:firstLine="420" w:firstLineChars="200"/>
        <w:textAlignment w:val="baseline"/>
        <w:rPr>
          <w:rFonts w:asciiTheme="minorEastAsia" w:hAnsiTheme="minorEastAsia" w:eastAsiaTheme="minorEastAsia" w:cstheme="minorEastAsia"/>
          <w:snapToGrid w:val="0"/>
          <w:color w:val="auto"/>
          <w:szCs w:val="21"/>
          <w:highlight w:val="none"/>
        </w:rPr>
      </w:pPr>
      <w:r>
        <w:rPr>
          <w:rFonts w:hint="eastAsia" w:asciiTheme="minorEastAsia" w:hAnsiTheme="minorEastAsia" w:eastAsiaTheme="minorEastAsia" w:cstheme="minorEastAsia"/>
          <w:snapToGrid w:val="0"/>
          <w:color w:val="auto"/>
          <w:szCs w:val="21"/>
          <w:highlight w:val="none"/>
        </w:rPr>
        <w:t>双方在执行合同中所发生的一切争议，应通过协商解决。如协商不成，可向甲方所在地法院起诉。</w:t>
      </w:r>
    </w:p>
    <w:p w14:paraId="547B9500">
      <w:pPr>
        <w:pStyle w:val="12"/>
        <w:tabs>
          <w:tab w:val="left" w:pos="1260"/>
        </w:tabs>
        <w:spacing w:line="360" w:lineRule="auto"/>
        <w:ind w:firstLine="422" w:firstLineChars="200"/>
        <w:textAlignment w:val="baseline"/>
        <w:rPr>
          <w:rFonts w:asciiTheme="minorEastAsia" w:hAnsiTheme="minorEastAsia" w:eastAsiaTheme="minorEastAsia" w:cstheme="minorEastAsia"/>
          <w:b/>
          <w:bCs/>
          <w:snapToGrid w:val="0"/>
          <w:color w:val="auto"/>
          <w:szCs w:val="21"/>
          <w:highlight w:val="none"/>
        </w:rPr>
      </w:pPr>
      <w:r>
        <w:rPr>
          <w:rFonts w:hint="eastAsia" w:asciiTheme="minorEastAsia" w:hAnsiTheme="minorEastAsia" w:eastAsiaTheme="minorEastAsia" w:cstheme="minorEastAsia"/>
          <w:b/>
          <w:bCs/>
          <w:snapToGrid w:val="0"/>
          <w:color w:val="auto"/>
          <w:szCs w:val="21"/>
          <w:highlight w:val="none"/>
        </w:rPr>
        <w:t>第十一条：合同生效及其它</w:t>
      </w:r>
    </w:p>
    <w:p w14:paraId="76D54541">
      <w:pPr>
        <w:pStyle w:val="12"/>
        <w:tabs>
          <w:tab w:val="left" w:pos="1260"/>
        </w:tabs>
        <w:spacing w:line="360" w:lineRule="auto"/>
        <w:ind w:firstLine="420" w:firstLineChars="200"/>
        <w:textAlignment w:val="baseline"/>
        <w:rPr>
          <w:rFonts w:asciiTheme="minorEastAsia" w:hAnsiTheme="minorEastAsia" w:eastAsiaTheme="minorEastAsia" w:cstheme="minorEastAsia"/>
          <w:snapToGrid w:val="0"/>
          <w:color w:val="auto"/>
          <w:szCs w:val="21"/>
          <w:highlight w:val="none"/>
        </w:rPr>
      </w:pPr>
      <w:r>
        <w:rPr>
          <w:rFonts w:hint="eastAsia" w:asciiTheme="minorEastAsia" w:hAnsiTheme="minorEastAsia" w:eastAsiaTheme="minorEastAsia" w:cstheme="minorEastAsia"/>
          <w:snapToGrid w:val="0"/>
          <w:color w:val="auto"/>
          <w:szCs w:val="21"/>
          <w:highlight w:val="none"/>
        </w:rPr>
        <w:t>1、合同经双方法定代表人或授权代表签字并加盖单位公章后生效。</w:t>
      </w:r>
    </w:p>
    <w:p w14:paraId="0C102BA6">
      <w:pPr>
        <w:pStyle w:val="12"/>
        <w:tabs>
          <w:tab w:val="left" w:pos="1260"/>
        </w:tabs>
        <w:spacing w:line="360" w:lineRule="auto"/>
        <w:ind w:firstLine="420" w:firstLineChars="200"/>
        <w:textAlignment w:val="baseline"/>
        <w:rPr>
          <w:rFonts w:asciiTheme="minorEastAsia" w:hAnsiTheme="minorEastAsia" w:eastAsiaTheme="minorEastAsia" w:cstheme="minorEastAsia"/>
          <w:snapToGrid w:val="0"/>
          <w:color w:val="auto"/>
          <w:szCs w:val="21"/>
          <w:highlight w:val="none"/>
        </w:rPr>
      </w:pPr>
      <w:r>
        <w:rPr>
          <w:rFonts w:hint="eastAsia" w:asciiTheme="minorEastAsia" w:hAnsiTheme="minorEastAsia" w:eastAsiaTheme="minorEastAsia" w:cstheme="minorEastAsia"/>
          <w:snapToGrid w:val="0"/>
          <w:color w:val="auto"/>
          <w:szCs w:val="21"/>
          <w:highlight w:val="none"/>
        </w:rPr>
        <w:t>2、合同执行中涉及采购资金和采购内容修改或补充的，须经财政部门审批，并签书面补充协议报政府采购监督管理部门备案，方可作为主合同不可分割的一部分。</w:t>
      </w:r>
    </w:p>
    <w:p w14:paraId="2FABFA83">
      <w:pPr>
        <w:pStyle w:val="12"/>
        <w:tabs>
          <w:tab w:val="left" w:pos="1260"/>
        </w:tabs>
        <w:spacing w:line="360" w:lineRule="auto"/>
        <w:ind w:firstLine="420" w:firstLineChars="200"/>
        <w:textAlignment w:val="baseline"/>
        <w:rPr>
          <w:rFonts w:asciiTheme="minorEastAsia" w:hAnsiTheme="minorEastAsia" w:eastAsiaTheme="minorEastAsia" w:cstheme="minorEastAsia"/>
          <w:snapToGrid w:val="0"/>
          <w:color w:val="auto"/>
          <w:szCs w:val="21"/>
          <w:highlight w:val="none"/>
        </w:rPr>
      </w:pPr>
      <w:r>
        <w:rPr>
          <w:rFonts w:hint="eastAsia" w:asciiTheme="minorEastAsia" w:hAnsiTheme="minorEastAsia" w:eastAsiaTheme="minorEastAsia" w:cstheme="minorEastAsia"/>
          <w:snapToGrid w:val="0"/>
          <w:color w:val="auto"/>
          <w:szCs w:val="21"/>
          <w:highlight w:val="none"/>
        </w:rPr>
        <w:t>3、本合同未尽事宜，遵照《民法典》有关条文执行。</w:t>
      </w:r>
    </w:p>
    <w:p w14:paraId="5ECD7823">
      <w:pPr>
        <w:tabs>
          <w:tab w:val="left" w:pos="1260"/>
        </w:tabs>
        <w:spacing w:line="360" w:lineRule="auto"/>
        <w:ind w:firstLine="420" w:firstLineChars="20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4</w:t>
      </w:r>
      <w:r>
        <w:rPr>
          <w:rFonts w:hint="eastAsia" w:asciiTheme="minorEastAsia" w:hAnsiTheme="minorEastAsia" w:eastAsiaTheme="minorEastAsia" w:cstheme="minorEastAsia"/>
          <w:color w:val="auto"/>
          <w:spacing w:val="-6"/>
          <w:kern w:val="0"/>
          <w:szCs w:val="21"/>
          <w:highlight w:val="none"/>
        </w:rPr>
        <w:t>、</w:t>
      </w:r>
      <w:r>
        <w:rPr>
          <w:rFonts w:hint="eastAsia" w:ascii="宋体" w:hAnsi="宋体" w:cs="宋体"/>
          <w:color w:val="auto"/>
          <w:spacing w:val="-6"/>
          <w:kern w:val="0"/>
          <w:szCs w:val="21"/>
          <w:highlight w:val="none"/>
        </w:rPr>
        <w:t>本合同壹式陆份，甲、乙双方、采购代理机构各执贰份。本项目未尽事宜以采购文件、磋商响应文件及澄清文件等为准。</w:t>
      </w:r>
    </w:p>
    <w:p w14:paraId="1E531F72">
      <w:pPr>
        <w:tabs>
          <w:tab w:val="left" w:pos="1260"/>
        </w:tabs>
        <w:spacing w:line="360" w:lineRule="auto"/>
        <w:ind w:firstLine="420" w:firstLineChars="20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5</w:t>
      </w:r>
      <w:r>
        <w:rPr>
          <w:rFonts w:hint="eastAsia" w:asciiTheme="minorEastAsia" w:hAnsiTheme="minorEastAsia" w:eastAsiaTheme="minorEastAsia" w:cstheme="minorEastAsia"/>
          <w:color w:val="auto"/>
          <w:spacing w:val="-6"/>
          <w:kern w:val="0"/>
          <w:szCs w:val="21"/>
          <w:highlight w:val="none"/>
        </w:rPr>
        <w:t>、与本合同有关标书及记录同本合同具有同等法律效果。</w:t>
      </w:r>
    </w:p>
    <w:p w14:paraId="7CF79924">
      <w:pPr>
        <w:widowControl/>
        <w:spacing w:line="360" w:lineRule="auto"/>
        <w:ind w:firstLine="315"/>
        <w:rPr>
          <w:rFonts w:ascii="宋体" w:hAnsi="宋体"/>
          <w:color w:val="auto"/>
          <w:kern w:val="0"/>
          <w:szCs w:val="21"/>
          <w:highlight w:val="none"/>
        </w:rPr>
      </w:pPr>
      <w:r>
        <w:rPr>
          <w:rFonts w:hint="eastAsia" w:ascii="宋体" w:hAnsi="宋体"/>
          <w:color w:val="auto"/>
          <w:kern w:val="0"/>
          <w:szCs w:val="21"/>
          <w:highlight w:val="none"/>
        </w:rPr>
        <w:t>（以下无正文）</w:t>
      </w:r>
    </w:p>
    <w:p w14:paraId="2BFE6B39">
      <w:pPr>
        <w:rPr>
          <w:rFonts w:ascii="宋体" w:hAnsi="宋体"/>
          <w:color w:val="auto"/>
          <w:kern w:val="0"/>
          <w:szCs w:val="21"/>
          <w:highlight w:val="none"/>
        </w:rPr>
      </w:pPr>
      <w:r>
        <w:rPr>
          <w:rFonts w:hint="eastAsia" w:ascii="宋体" w:hAnsi="宋体"/>
          <w:color w:val="auto"/>
          <w:kern w:val="0"/>
          <w:szCs w:val="21"/>
          <w:highlight w:val="none"/>
        </w:rPr>
        <w:br w:type="page"/>
      </w:r>
    </w:p>
    <w:p w14:paraId="42C806E7">
      <w:pPr>
        <w:widowControl/>
        <w:spacing w:line="360" w:lineRule="auto"/>
        <w:ind w:firstLine="315"/>
        <w:rPr>
          <w:rFonts w:ascii="宋体" w:hAnsi="宋体"/>
          <w:color w:val="auto"/>
          <w:kern w:val="0"/>
          <w:szCs w:val="21"/>
          <w:highlight w:val="none"/>
        </w:rPr>
      </w:pPr>
      <w:r>
        <w:rPr>
          <w:rFonts w:hint="eastAsia" w:ascii="宋体" w:hAnsi="宋体"/>
          <w:color w:val="auto"/>
          <w:kern w:val="0"/>
          <w:szCs w:val="21"/>
          <w:highlight w:val="none"/>
        </w:rPr>
        <w:t>（签章页）</w:t>
      </w:r>
    </w:p>
    <w:p w14:paraId="047CE372">
      <w:pPr>
        <w:widowControl/>
        <w:spacing w:line="360" w:lineRule="auto"/>
        <w:ind w:firstLine="315"/>
        <w:rPr>
          <w:rFonts w:ascii="宋体" w:hAnsi="宋体"/>
          <w:color w:val="auto"/>
          <w:kern w:val="0"/>
          <w:szCs w:val="21"/>
          <w:highlight w:val="none"/>
        </w:rPr>
      </w:pPr>
      <w:r>
        <w:rPr>
          <w:rFonts w:hint="eastAsia" w:ascii="宋体" w:hAnsi="宋体"/>
          <w:color w:val="auto"/>
          <w:kern w:val="0"/>
          <w:szCs w:val="21"/>
          <w:highlight w:val="none"/>
        </w:rPr>
        <w:t xml:space="preserve">甲方（公章）：                             乙方（公章）：          </w:t>
      </w:r>
    </w:p>
    <w:p w14:paraId="66B3B3D7">
      <w:pPr>
        <w:widowControl/>
        <w:spacing w:line="360" w:lineRule="auto"/>
        <w:ind w:firstLine="315"/>
        <w:rPr>
          <w:rFonts w:ascii="宋体" w:hAnsi="宋体"/>
          <w:color w:val="auto"/>
          <w:kern w:val="0"/>
          <w:szCs w:val="21"/>
          <w:highlight w:val="none"/>
        </w:rPr>
      </w:pPr>
      <w:r>
        <w:rPr>
          <w:rFonts w:hint="eastAsia" w:ascii="宋体" w:hAnsi="宋体"/>
          <w:color w:val="auto"/>
          <w:kern w:val="0"/>
          <w:szCs w:val="21"/>
          <w:highlight w:val="none"/>
        </w:rPr>
        <w:t xml:space="preserve">法定代表人或授权委托代理人签字：          法定代表人或授权委托代理人签字：         </w:t>
      </w:r>
    </w:p>
    <w:p w14:paraId="1B0F9CE3">
      <w:pPr>
        <w:widowControl/>
        <w:spacing w:line="360" w:lineRule="auto"/>
        <w:ind w:firstLine="315"/>
        <w:rPr>
          <w:rFonts w:ascii="宋体" w:hAnsi="宋体"/>
          <w:color w:val="auto"/>
          <w:kern w:val="0"/>
          <w:szCs w:val="21"/>
          <w:highlight w:val="none"/>
        </w:rPr>
      </w:pPr>
      <w:r>
        <w:rPr>
          <w:rFonts w:hint="eastAsia" w:ascii="宋体" w:hAnsi="宋体"/>
          <w:color w:val="auto"/>
          <w:kern w:val="0"/>
          <w:szCs w:val="21"/>
          <w:highlight w:val="none"/>
        </w:rPr>
        <w:t>联系电话：                                联系电话：</w:t>
      </w:r>
    </w:p>
    <w:p w14:paraId="005B1F6D">
      <w:pPr>
        <w:widowControl/>
        <w:spacing w:line="360" w:lineRule="auto"/>
        <w:ind w:firstLine="315"/>
        <w:rPr>
          <w:rFonts w:ascii="宋体" w:hAnsi="宋体"/>
          <w:color w:val="auto"/>
          <w:kern w:val="0"/>
          <w:szCs w:val="21"/>
          <w:highlight w:val="none"/>
        </w:rPr>
      </w:pPr>
      <w:r>
        <w:rPr>
          <w:rFonts w:hint="eastAsia" w:ascii="宋体" w:hAnsi="宋体"/>
          <w:color w:val="auto"/>
          <w:kern w:val="0"/>
          <w:szCs w:val="21"/>
          <w:highlight w:val="none"/>
        </w:rPr>
        <w:t xml:space="preserve">开户银行：                                开户银行：    </w:t>
      </w:r>
    </w:p>
    <w:p w14:paraId="2E72C1E1">
      <w:pPr>
        <w:widowControl/>
        <w:spacing w:line="360" w:lineRule="auto"/>
        <w:ind w:firstLine="315"/>
        <w:rPr>
          <w:rFonts w:ascii="宋体" w:hAnsi="宋体"/>
          <w:color w:val="auto"/>
          <w:kern w:val="0"/>
          <w:szCs w:val="21"/>
          <w:highlight w:val="none"/>
        </w:rPr>
      </w:pPr>
      <w:r>
        <w:rPr>
          <w:rFonts w:hint="eastAsia" w:ascii="宋体" w:hAnsi="宋体"/>
          <w:color w:val="auto"/>
          <w:kern w:val="0"/>
          <w:szCs w:val="21"/>
          <w:highlight w:val="none"/>
        </w:rPr>
        <w:t>账    号：                                账    号：</w:t>
      </w:r>
    </w:p>
    <w:p w14:paraId="6BC9EFB7">
      <w:pPr>
        <w:spacing w:line="360" w:lineRule="auto"/>
        <w:textAlignment w:val="baseline"/>
        <w:rPr>
          <w:rFonts w:ascii="宋体" w:hAnsi="宋体"/>
          <w:snapToGrid w:val="0"/>
          <w:color w:val="auto"/>
          <w:szCs w:val="21"/>
          <w:highlight w:val="none"/>
        </w:rPr>
      </w:pPr>
    </w:p>
    <w:p w14:paraId="04A48CB1">
      <w:pPr>
        <w:spacing w:line="360" w:lineRule="auto"/>
        <w:textAlignment w:val="baseline"/>
        <w:rPr>
          <w:rFonts w:ascii="宋体" w:hAnsi="宋体"/>
          <w:snapToGrid w:val="0"/>
          <w:color w:val="auto"/>
          <w:szCs w:val="21"/>
          <w:highlight w:val="none"/>
        </w:rPr>
      </w:pPr>
      <w:r>
        <w:rPr>
          <w:rFonts w:hint="eastAsia" w:ascii="宋体" w:hAnsi="宋体"/>
          <w:snapToGrid w:val="0"/>
          <w:color w:val="auto"/>
          <w:szCs w:val="21"/>
          <w:highlight w:val="none"/>
        </w:rPr>
        <w:t>合同见证方：</w:t>
      </w:r>
    </w:p>
    <w:p w14:paraId="53773106">
      <w:pPr>
        <w:spacing w:line="360" w:lineRule="auto"/>
        <w:ind w:firstLine="420" w:firstLineChars="200"/>
        <w:textAlignment w:val="baseline"/>
        <w:rPr>
          <w:rFonts w:ascii="宋体" w:hAnsi="宋体" w:cs="宋体"/>
          <w:color w:val="auto"/>
          <w:sz w:val="24"/>
          <w:highlight w:val="none"/>
        </w:rPr>
      </w:pPr>
      <w:r>
        <w:rPr>
          <w:rFonts w:hint="eastAsia" w:ascii="宋体" w:hAnsi="宋体"/>
          <w:snapToGrid w:val="0"/>
          <w:color w:val="auto"/>
          <w:szCs w:val="21"/>
          <w:highlight w:val="none"/>
        </w:rPr>
        <w:t xml:space="preserve">                                         </w:t>
      </w:r>
      <w:r>
        <w:rPr>
          <w:rFonts w:hint="eastAsia" w:ascii="宋体" w:hAnsi="宋体"/>
          <w:color w:val="auto"/>
          <w:kern w:val="0"/>
          <w:szCs w:val="21"/>
          <w:highlight w:val="none"/>
        </w:rPr>
        <w:t>签订日期：       年     月     日</w:t>
      </w:r>
    </w:p>
    <w:p w14:paraId="319C7C80">
      <w:pPr>
        <w:spacing w:line="360" w:lineRule="auto"/>
        <w:jc w:val="center"/>
        <w:rPr>
          <w:rFonts w:ascii="宋体" w:hAnsi="宋体" w:cs="宋体"/>
          <w:b/>
          <w:color w:val="auto"/>
          <w:sz w:val="36"/>
          <w:szCs w:val="36"/>
          <w:highlight w:val="none"/>
        </w:rPr>
      </w:pPr>
    </w:p>
    <w:p w14:paraId="099A1BB2">
      <w:pPr>
        <w:rPr>
          <w:rFonts w:ascii="宋体" w:hAnsi="宋体" w:cs="宋体"/>
          <w:b/>
          <w:color w:val="auto"/>
          <w:sz w:val="36"/>
          <w:szCs w:val="36"/>
          <w:highlight w:val="none"/>
        </w:rPr>
      </w:pPr>
      <w:r>
        <w:rPr>
          <w:rFonts w:hint="eastAsia" w:ascii="宋体" w:hAnsi="宋体" w:cs="宋体"/>
          <w:b/>
          <w:color w:val="auto"/>
          <w:sz w:val="36"/>
          <w:szCs w:val="36"/>
          <w:highlight w:val="none"/>
        </w:rPr>
        <w:br w:type="page"/>
      </w:r>
    </w:p>
    <w:p w14:paraId="6A6DD992">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第六章 响应文件格式附件</w:t>
      </w:r>
    </w:p>
    <w:p w14:paraId="4238C7F1">
      <w:pPr>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附件1</w:t>
      </w:r>
      <w:r>
        <w:rPr>
          <w:rFonts w:hint="eastAsia" w:ascii="宋体" w:hAnsi="宋体" w:cs="宋体"/>
          <w:b/>
          <w:color w:val="auto"/>
          <w:sz w:val="30"/>
          <w:szCs w:val="30"/>
          <w:highlight w:val="none"/>
        </w:rPr>
        <w:t xml:space="preserve">                             </w:t>
      </w:r>
      <w:r>
        <w:rPr>
          <w:rFonts w:hint="eastAsia" w:ascii="宋体" w:hAnsi="宋体" w:cs="宋体"/>
          <w:color w:val="auto"/>
          <w:sz w:val="30"/>
          <w:szCs w:val="30"/>
          <w:highlight w:val="none"/>
        </w:rPr>
        <w:t xml:space="preserve"> 　　　</w:t>
      </w:r>
      <w:r>
        <w:rPr>
          <w:rFonts w:hint="eastAsia" w:ascii="宋体" w:hAnsi="宋体" w:cs="宋体"/>
          <w:b/>
          <w:color w:val="auto"/>
          <w:sz w:val="28"/>
          <w:highlight w:val="none"/>
        </w:rPr>
        <w:t xml:space="preserve">        </w:t>
      </w:r>
      <w:r>
        <w:rPr>
          <w:rFonts w:hint="eastAsia" w:ascii="宋体" w:hAnsi="宋体" w:cs="宋体"/>
          <w:b/>
          <w:color w:val="auto"/>
          <w:sz w:val="28"/>
          <w:highlight w:val="none"/>
          <w:u w:val="single"/>
        </w:rPr>
        <w:t xml:space="preserve">     </w:t>
      </w:r>
      <w:r>
        <w:rPr>
          <w:rFonts w:hint="eastAsia" w:ascii="宋体" w:hAnsi="宋体" w:cs="宋体"/>
          <w:bCs/>
          <w:color w:val="auto"/>
          <w:sz w:val="24"/>
          <w:highlight w:val="none"/>
        </w:rPr>
        <w:t>本</w:t>
      </w:r>
    </w:p>
    <w:p w14:paraId="2316DFE0">
      <w:pPr>
        <w:ind w:right="-110"/>
        <w:jc w:val="center"/>
        <w:rPr>
          <w:rFonts w:ascii="宋体" w:hAnsi="宋体" w:cs="宋体"/>
          <w:color w:val="auto"/>
          <w:spacing w:val="40"/>
          <w:sz w:val="52"/>
          <w:szCs w:val="52"/>
          <w:highlight w:val="none"/>
        </w:rPr>
      </w:pPr>
    </w:p>
    <w:p w14:paraId="76C0C82C">
      <w:pPr>
        <w:spacing w:line="360" w:lineRule="auto"/>
        <w:ind w:right="-110"/>
        <w:jc w:val="center"/>
        <w:rPr>
          <w:rFonts w:ascii="宋体" w:hAnsi="宋体" w:cs="宋体"/>
          <w:color w:val="auto"/>
          <w:spacing w:val="40"/>
          <w:sz w:val="52"/>
          <w:szCs w:val="52"/>
          <w:highlight w:val="none"/>
        </w:rPr>
      </w:pPr>
      <w:r>
        <w:rPr>
          <w:rFonts w:hint="eastAsia" w:ascii="宋体" w:hAnsi="宋体" w:cs="宋体"/>
          <w:color w:val="auto"/>
          <w:spacing w:val="40"/>
          <w:sz w:val="52"/>
          <w:szCs w:val="52"/>
          <w:highlight w:val="none"/>
        </w:rPr>
        <w:t>项目名称</w:t>
      </w:r>
    </w:p>
    <w:p w14:paraId="35C2B129">
      <w:pPr>
        <w:spacing w:beforeLines="100" w:line="360" w:lineRule="auto"/>
        <w:ind w:right="-108" w:firstLine="2160" w:firstLineChars="600"/>
        <w:rPr>
          <w:rFonts w:ascii="宋体" w:hAnsi="宋体" w:cs="宋体"/>
          <w:color w:val="auto"/>
          <w:sz w:val="36"/>
          <w:szCs w:val="36"/>
          <w:highlight w:val="none"/>
        </w:rPr>
      </w:pPr>
      <w:r>
        <w:rPr>
          <w:rFonts w:hint="eastAsia" w:ascii="宋体" w:hAnsi="宋体" w:cs="宋体"/>
          <w:color w:val="auto"/>
          <w:sz w:val="36"/>
          <w:szCs w:val="36"/>
          <w:highlight w:val="none"/>
        </w:rPr>
        <w:t>项目编号：</w:t>
      </w:r>
      <w:r>
        <w:rPr>
          <w:rFonts w:hint="eastAsia" w:ascii="宋体" w:hAnsi="宋体" w:cs="宋体"/>
          <w:color w:val="auto"/>
          <w:sz w:val="36"/>
          <w:szCs w:val="36"/>
          <w:highlight w:val="none"/>
          <w:u w:val="single"/>
        </w:rPr>
        <w:t xml:space="preserve">            </w:t>
      </w:r>
    </w:p>
    <w:p w14:paraId="65BFC5EF">
      <w:pPr>
        <w:spacing w:beforeLines="100" w:line="240" w:lineRule="atLeast"/>
        <w:ind w:right="-108"/>
        <w:jc w:val="center"/>
        <w:rPr>
          <w:rFonts w:ascii="宋体" w:hAnsi="宋体" w:cs="宋体"/>
          <w:color w:val="auto"/>
          <w:sz w:val="32"/>
          <w:szCs w:val="32"/>
          <w:highlight w:val="none"/>
        </w:rPr>
      </w:pPr>
    </w:p>
    <w:p w14:paraId="3E5B076F">
      <w:pPr>
        <w:spacing w:after="100" w:afterAutospacing="1" w:line="800" w:lineRule="exact"/>
        <w:ind w:right="-108"/>
        <w:jc w:val="center"/>
        <w:rPr>
          <w:rFonts w:ascii="宋体" w:hAnsi="宋体" w:cs="宋体"/>
          <w:b/>
          <w:color w:val="auto"/>
          <w:spacing w:val="40"/>
          <w:sz w:val="72"/>
          <w:szCs w:val="72"/>
          <w:highlight w:val="none"/>
        </w:rPr>
      </w:pPr>
      <w:r>
        <w:rPr>
          <w:rFonts w:hint="eastAsia" w:ascii="宋体" w:hAnsi="宋体" w:cs="宋体"/>
          <w:b/>
          <w:color w:val="auto"/>
          <w:spacing w:val="40"/>
          <w:sz w:val="72"/>
          <w:szCs w:val="72"/>
          <w:highlight w:val="none"/>
        </w:rPr>
        <w:t>磋</w:t>
      </w:r>
    </w:p>
    <w:p w14:paraId="1261F804">
      <w:pPr>
        <w:spacing w:after="100" w:afterAutospacing="1" w:line="800" w:lineRule="exact"/>
        <w:ind w:right="-108"/>
        <w:jc w:val="center"/>
        <w:rPr>
          <w:rFonts w:ascii="宋体" w:hAnsi="宋体" w:cs="宋体"/>
          <w:b/>
          <w:color w:val="auto"/>
          <w:spacing w:val="40"/>
          <w:sz w:val="72"/>
          <w:szCs w:val="72"/>
          <w:highlight w:val="none"/>
        </w:rPr>
      </w:pPr>
      <w:r>
        <w:rPr>
          <w:rFonts w:hint="eastAsia" w:ascii="宋体" w:hAnsi="宋体" w:cs="宋体"/>
          <w:b/>
          <w:color w:val="auto"/>
          <w:spacing w:val="40"/>
          <w:sz w:val="72"/>
          <w:szCs w:val="72"/>
          <w:highlight w:val="none"/>
        </w:rPr>
        <w:t>商</w:t>
      </w:r>
    </w:p>
    <w:p w14:paraId="53F78E2C">
      <w:pPr>
        <w:spacing w:after="100" w:afterAutospacing="1" w:line="800" w:lineRule="exact"/>
        <w:ind w:right="-108"/>
        <w:jc w:val="center"/>
        <w:rPr>
          <w:rFonts w:ascii="宋体" w:hAnsi="宋体" w:cs="宋体"/>
          <w:b/>
          <w:color w:val="auto"/>
          <w:spacing w:val="40"/>
          <w:sz w:val="72"/>
          <w:szCs w:val="72"/>
          <w:highlight w:val="none"/>
        </w:rPr>
      </w:pPr>
      <w:r>
        <w:rPr>
          <w:rFonts w:hint="eastAsia" w:ascii="宋体" w:hAnsi="宋体" w:cs="宋体"/>
          <w:b/>
          <w:color w:val="auto"/>
          <w:spacing w:val="40"/>
          <w:sz w:val="72"/>
          <w:szCs w:val="72"/>
          <w:highlight w:val="none"/>
        </w:rPr>
        <w:t>响</w:t>
      </w:r>
    </w:p>
    <w:p w14:paraId="1EAD667C">
      <w:pPr>
        <w:spacing w:after="100" w:afterAutospacing="1" w:line="800" w:lineRule="exact"/>
        <w:ind w:right="-108"/>
        <w:jc w:val="center"/>
        <w:rPr>
          <w:rFonts w:ascii="宋体" w:hAnsi="宋体" w:cs="宋体"/>
          <w:b/>
          <w:color w:val="auto"/>
          <w:spacing w:val="40"/>
          <w:sz w:val="72"/>
          <w:szCs w:val="72"/>
          <w:highlight w:val="none"/>
        </w:rPr>
      </w:pPr>
      <w:r>
        <w:rPr>
          <w:rFonts w:hint="eastAsia" w:ascii="宋体" w:hAnsi="宋体" w:cs="宋体"/>
          <w:b/>
          <w:color w:val="auto"/>
          <w:spacing w:val="40"/>
          <w:sz w:val="72"/>
          <w:szCs w:val="72"/>
          <w:highlight w:val="none"/>
        </w:rPr>
        <w:t>应</w:t>
      </w:r>
    </w:p>
    <w:p w14:paraId="688D1A9D">
      <w:pPr>
        <w:spacing w:after="100" w:afterAutospacing="1" w:line="800" w:lineRule="exact"/>
        <w:ind w:right="-108"/>
        <w:jc w:val="center"/>
        <w:rPr>
          <w:rFonts w:ascii="宋体" w:hAnsi="宋体" w:cs="宋体"/>
          <w:b/>
          <w:color w:val="auto"/>
          <w:spacing w:val="40"/>
          <w:sz w:val="72"/>
          <w:szCs w:val="72"/>
          <w:highlight w:val="none"/>
        </w:rPr>
      </w:pPr>
      <w:r>
        <w:rPr>
          <w:rFonts w:hint="eastAsia" w:ascii="宋体" w:hAnsi="宋体" w:cs="宋体"/>
          <w:b/>
          <w:color w:val="auto"/>
          <w:spacing w:val="40"/>
          <w:sz w:val="72"/>
          <w:szCs w:val="72"/>
          <w:highlight w:val="none"/>
        </w:rPr>
        <w:t>文</w:t>
      </w:r>
    </w:p>
    <w:p w14:paraId="2774365B">
      <w:pPr>
        <w:spacing w:after="100" w:afterAutospacing="1" w:line="800" w:lineRule="exact"/>
        <w:ind w:right="-108"/>
        <w:jc w:val="center"/>
        <w:rPr>
          <w:rFonts w:ascii="宋体" w:hAnsi="宋体" w:cs="宋体"/>
          <w:b/>
          <w:color w:val="auto"/>
          <w:spacing w:val="40"/>
          <w:sz w:val="72"/>
          <w:szCs w:val="72"/>
          <w:highlight w:val="none"/>
        </w:rPr>
      </w:pPr>
      <w:r>
        <w:rPr>
          <w:rFonts w:hint="eastAsia" w:ascii="宋体" w:hAnsi="宋体" w:cs="宋体"/>
          <w:b/>
          <w:color w:val="auto"/>
          <w:spacing w:val="40"/>
          <w:sz w:val="72"/>
          <w:szCs w:val="72"/>
          <w:highlight w:val="none"/>
        </w:rPr>
        <w:t>件</w:t>
      </w:r>
    </w:p>
    <w:p w14:paraId="74C7475A">
      <w:pPr>
        <w:spacing w:after="100" w:afterAutospacing="1" w:line="360" w:lineRule="auto"/>
        <w:ind w:right="-108"/>
        <w:jc w:val="center"/>
        <w:rPr>
          <w:rFonts w:ascii="宋体" w:hAnsi="宋体" w:cs="宋体"/>
          <w:b/>
          <w:color w:val="auto"/>
          <w:spacing w:val="40"/>
          <w:sz w:val="28"/>
          <w:szCs w:val="28"/>
          <w:highlight w:val="none"/>
        </w:rPr>
      </w:pPr>
      <w:r>
        <w:rPr>
          <w:rFonts w:hint="eastAsia" w:ascii="宋体" w:hAnsi="宋体" w:cs="宋体"/>
          <w:b/>
          <w:color w:val="auto"/>
          <w:spacing w:val="40"/>
          <w:sz w:val="28"/>
          <w:szCs w:val="28"/>
          <w:highlight w:val="none"/>
          <w:lang w:val="zh-CN"/>
        </w:rPr>
        <w:t>（</w:t>
      </w:r>
      <w:r>
        <w:rPr>
          <w:rFonts w:hint="eastAsia" w:ascii="宋体" w:hAnsi="宋体" w:cs="宋体"/>
          <w:b/>
          <w:color w:val="auto"/>
          <w:spacing w:val="40"/>
          <w:sz w:val="28"/>
          <w:szCs w:val="28"/>
          <w:highlight w:val="none"/>
        </w:rPr>
        <w:t>资格证明文件）</w:t>
      </w:r>
    </w:p>
    <w:p w14:paraId="2A56F2D8">
      <w:pPr>
        <w:spacing w:line="500" w:lineRule="exact"/>
        <w:ind w:right="532" w:firstLine="640" w:firstLineChars="200"/>
        <w:rPr>
          <w:rFonts w:ascii="宋体" w:hAnsi="宋体" w:cs="宋体"/>
          <w:color w:val="auto"/>
          <w:sz w:val="32"/>
          <w:szCs w:val="32"/>
          <w:highlight w:val="none"/>
        </w:rPr>
      </w:pPr>
      <w:r>
        <w:rPr>
          <w:rFonts w:hint="eastAsia" w:ascii="宋体" w:hAnsi="宋体" w:cs="宋体"/>
          <w:color w:val="auto"/>
          <w:sz w:val="32"/>
          <w:szCs w:val="32"/>
          <w:highlight w:val="none"/>
        </w:rPr>
        <w:t>供应商全称（公章）：</w:t>
      </w:r>
    </w:p>
    <w:p w14:paraId="7746D7ED">
      <w:pPr>
        <w:wordWrap w:val="0"/>
        <w:spacing w:line="500" w:lineRule="exact"/>
        <w:ind w:right="-108" w:firstLine="640" w:firstLineChars="200"/>
        <w:rPr>
          <w:rFonts w:ascii="宋体" w:hAnsi="宋体" w:cs="宋体"/>
          <w:color w:val="auto"/>
          <w:sz w:val="32"/>
          <w:szCs w:val="32"/>
          <w:highlight w:val="none"/>
        </w:rPr>
      </w:pPr>
      <w:r>
        <w:rPr>
          <w:rFonts w:hint="eastAsia" w:ascii="宋体" w:hAnsi="宋体" w:cs="宋体"/>
          <w:color w:val="auto"/>
          <w:sz w:val="32"/>
          <w:szCs w:val="32"/>
          <w:highlight w:val="none"/>
        </w:rPr>
        <w:t>地    址：</w:t>
      </w:r>
    </w:p>
    <w:p w14:paraId="1E65DB9D">
      <w:pPr>
        <w:wordWrap w:val="0"/>
        <w:spacing w:line="500" w:lineRule="exact"/>
        <w:ind w:right="-108" w:firstLine="640" w:firstLineChars="200"/>
        <w:rPr>
          <w:rFonts w:ascii="宋体" w:hAnsi="宋体" w:cs="宋体"/>
          <w:b/>
          <w:bCs/>
          <w:color w:val="auto"/>
          <w:sz w:val="28"/>
          <w:szCs w:val="28"/>
          <w:highlight w:val="none"/>
        </w:rPr>
      </w:pPr>
      <w:r>
        <w:rPr>
          <w:rFonts w:hint="eastAsia" w:ascii="宋体" w:hAnsi="宋体" w:cs="宋体"/>
          <w:color w:val="auto"/>
          <w:sz w:val="32"/>
          <w:szCs w:val="32"/>
          <w:highlight w:val="none"/>
        </w:rPr>
        <w:t>时    间：</w:t>
      </w:r>
    </w:p>
    <w:p w14:paraId="08094C57">
      <w:pPr>
        <w:snapToGrid w:val="0"/>
        <w:spacing w:before="50" w:after="50" w:line="360" w:lineRule="auto"/>
        <w:jc w:val="center"/>
        <w:outlineLvl w:val="1"/>
        <w:rPr>
          <w:rFonts w:ascii="宋体" w:hAnsi="宋体" w:cs="宋体"/>
          <w:b/>
          <w:bCs/>
          <w:color w:val="auto"/>
          <w:sz w:val="32"/>
          <w:szCs w:val="32"/>
          <w:highlight w:val="none"/>
        </w:rPr>
      </w:pPr>
      <w:r>
        <w:rPr>
          <w:rFonts w:hint="eastAsia" w:ascii="宋体" w:hAnsi="宋体" w:cs="宋体"/>
          <w:b/>
          <w:bCs/>
          <w:color w:val="auto"/>
          <w:sz w:val="36"/>
          <w:szCs w:val="36"/>
          <w:highlight w:val="none"/>
        </w:rPr>
        <w:t>资格证明文件目录</w:t>
      </w:r>
    </w:p>
    <w:p w14:paraId="35698C95">
      <w:pPr>
        <w:snapToGri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1、磋商声明书（附件2）</w:t>
      </w:r>
    </w:p>
    <w:p w14:paraId="20CF10FD">
      <w:pPr>
        <w:snapToGri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2、授权委托书（附件3）</w:t>
      </w:r>
    </w:p>
    <w:p w14:paraId="4C570892">
      <w:pPr>
        <w:snapToGri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3、法人或者其他组织的营业执照等证明文件，法定代表人和授权代表的身份证明</w:t>
      </w:r>
    </w:p>
    <w:p w14:paraId="11929D9E">
      <w:pPr>
        <w:snapToGri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4、供应商认为需要说明的其他材料</w:t>
      </w:r>
    </w:p>
    <w:p w14:paraId="159A643E">
      <w:pPr>
        <w:snapToGrid w:val="0"/>
        <w:spacing w:line="360" w:lineRule="auto"/>
        <w:ind w:firstLine="480" w:firstLineChars="200"/>
        <w:rPr>
          <w:rFonts w:ascii="宋体" w:hAnsi="宋体" w:cs="宋体"/>
          <w:bCs/>
          <w:color w:val="auto"/>
          <w:sz w:val="24"/>
          <w:highlight w:val="none"/>
        </w:rPr>
      </w:pPr>
    </w:p>
    <w:p w14:paraId="6E67E67F">
      <w:pPr>
        <w:spacing w:line="360" w:lineRule="auto"/>
        <w:rPr>
          <w:rFonts w:ascii="宋体" w:hAnsi="宋体" w:cs="宋体"/>
          <w:b/>
          <w:color w:val="auto"/>
          <w:sz w:val="28"/>
          <w:highlight w:val="none"/>
        </w:rPr>
      </w:pPr>
    </w:p>
    <w:p w14:paraId="38A13D30">
      <w:pPr>
        <w:spacing w:line="360" w:lineRule="auto"/>
        <w:rPr>
          <w:rFonts w:ascii="宋体" w:hAnsi="宋体" w:cs="宋体"/>
          <w:b/>
          <w:color w:val="auto"/>
          <w:sz w:val="28"/>
          <w:highlight w:val="none"/>
        </w:rPr>
      </w:pPr>
    </w:p>
    <w:p w14:paraId="2E48856D">
      <w:pPr>
        <w:spacing w:line="360" w:lineRule="auto"/>
        <w:rPr>
          <w:rFonts w:ascii="宋体" w:hAnsi="宋体" w:cs="宋体"/>
          <w:b/>
          <w:color w:val="auto"/>
          <w:sz w:val="28"/>
          <w:highlight w:val="none"/>
        </w:rPr>
      </w:pPr>
    </w:p>
    <w:p w14:paraId="6A3C34D9">
      <w:pPr>
        <w:spacing w:line="360" w:lineRule="auto"/>
        <w:rPr>
          <w:rFonts w:ascii="宋体" w:hAnsi="宋体" w:cs="宋体"/>
          <w:b/>
          <w:color w:val="auto"/>
          <w:sz w:val="28"/>
          <w:highlight w:val="none"/>
        </w:rPr>
      </w:pPr>
    </w:p>
    <w:p w14:paraId="496EA9BE">
      <w:pPr>
        <w:spacing w:line="360" w:lineRule="auto"/>
        <w:rPr>
          <w:rFonts w:ascii="宋体" w:hAnsi="宋体" w:cs="宋体"/>
          <w:b/>
          <w:color w:val="auto"/>
          <w:sz w:val="28"/>
          <w:highlight w:val="none"/>
        </w:rPr>
      </w:pPr>
    </w:p>
    <w:p w14:paraId="3FB5254E">
      <w:pPr>
        <w:spacing w:line="360" w:lineRule="auto"/>
        <w:rPr>
          <w:rFonts w:ascii="宋体" w:hAnsi="宋体" w:cs="宋体"/>
          <w:b/>
          <w:color w:val="auto"/>
          <w:sz w:val="28"/>
          <w:highlight w:val="none"/>
        </w:rPr>
      </w:pPr>
    </w:p>
    <w:p w14:paraId="001DE0CF">
      <w:pPr>
        <w:spacing w:line="360" w:lineRule="auto"/>
        <w:rPr>
          <w:rFonts w:ascii="宋体" w:hAnsi="宋体" w:cs="宋体"/>
          <w:b/>
          <w:color w:val="auto"/>
          <w:sz w:val="28"/>
          <w:highlight w:val="none"/>
        </w:rPr>
      </w:pPr>
    </w:p>
    <w:p w14:paraId="49253022">
      <w:pPr>
        <w:spacing w:line="360" w:lineRule="auto"/>
        <w:rPr>
          <w:rFonts w:ascii="宋体" w:hAnsi="宋体" w:cs="宋体"/>
          <w:b/>
          <w:color w:val="auto"/>
          <w:sz w:val="28"/>
          <w:highlight w:val="none"/>
        </w:rPr>
      </w:pPr>
    </w:p>
    <w:p w14:paraId="63BF1467">
      <w:pPr>
        <w:spacing w:line="360" w:lineRule="auto"/>
        <w:rPr>
          <w:rFonts w:ascii="宋体" w:hAnsi="宋体" w:cs="宋体"/>
          <w:b/>
          <w:color w:val="auto"/>
          <w:sz w:val="28"/>
          <w:highlight w:val="none"/>
        </w:rPr>
      </w:pPr>
    </w:p>
    <w:p w14:paraId="1B1EB62C">
      <w:pPr>
        <w:spacing w:line="360" w:lineRule="auto"/>
        <w:rPr>
          <w:rFonts w:ascii="宋体" w:hAnsi="宋体" w:cs="宋体"/>
          <w:b/>
          <w:color w:val="auto"/>
          <w:sz w:val="28"/>
          <w:highlight w:val="none"/>
        </w:rPr>
      </w:pPr>
    </w:p>
    <w:p w14:paraId="2D3895EA">
      <w:pPr>
        <w:spacing w:line="360" w:lineRule="auto"/>
        <w:rPr>
          <w:rFonts w:ascii="宋体" w:hAnsi="宋体" w:cs="宋体"/>
          <w:b/>
          <w:color w:val="auto"/>
          <w:sz w:val="28"/>
          <w:highlight w:val="none"/>
        </w:rPr>
      </w:pPr>
    </w:p>
    <w:p w14:paraId="57977088">
      <w:pPr>
        <w:spacing w:line="360" w:lineRule="auto"/>
        <w:rPr>
          <w:rFonts w:ascii="宋体" w:hAnsi="宋体" w:cs="宋体"/>
          <w:b/>
          <w:color w:val="auto"/>
          <w:sz w:val="28"/>
          <w:highlight w:val="none"/>
        </w:rPr>
      </w:pPr>
    </w:p>
    <w:p w14:paraId="76915EAC">
      <w:pPr>
        <w:spacing w:line="360" w:lineRule="auto"/>
        <w:rPr>
          <w:rFonts w:ascii="宋体" w:hAnsi="宋体" w:cs="宋体"/>
          <w:b/>
          <w:color w:val="auto"/>
          <w:sz w:val="28"/>
          <w:highlight w:val="none"/>
        </w:rPr>
      </w:pPr>
    </w:p>
    <w:p w14:paraId="3DB71DFD">
      <w:pPr>
        <w:spacing w:line="360" w:lineRule="auto"/>
        <w:rPr>
          <w:rFonts w:ascii="宋体" w:hAnsi="宋体" w:cs="宋体"/>
          <w:b/>
          <w:color w:val="auto"/>
          <w:sz w:val="28"/>
          <w:highlight w:val="none"/>
        </w:rPr>
      </w:pPr>
    </w:p>
    <w:p w14:paraId="1284C4E8">
      <w:pPr>
        <w:spacing w:line="360" w:lineRule="auto"/>
        <w:rPr>
          <w:rFonts w:ascii="宋体" w:hAnsi="宋体" w:cs="宋体"/>
          <w:b/>
          <w:color w:val="auto"/>
          <w:sz w:val="28"/>
          <w:highlight w:val="none"/>
        </w:rPr>
      </w:pPr>
    </w:p>
    <w:p w14:paraId="00751A3B">
      <w:pPr>
        <w:spacing w:line="360" w:lineRule="auto"/>
        <w:rPr>
          <w:rFonts w:ascii="宋体" w:hAnsi="宋体" w:cs="宋体"/>
          <w:b/>
          <w:color w:val="auto"/>
          <w:sz w:val="28"/>
          <w:highlight w:val="none"/>
        </w:rPr>
      </w:pPr>
    </w:p>
    <w:p w14:paraId="4EF4867E">
      <w:pPr>
        <w:pStyle w:val="9"/>
        <w:ind w:firstLine="0" w:firstLineChars="0"/>
        <w:rPr>
          <w:rFonts w:ascii="宋体" w:hAnsi="宋体" w:cs="宋体"/>
          <w:color w:val="auto"/>
          <w:highlight w:val="none"/>
        </w:rPr>
      </w:pPr>
    </w:p>
    <w:p w14:paraId="0F4772EA">
      <w:pPr>
        <w:spacing w:line="360" w:lineRule="auto"/>
        <w:rPr>
          <w:rFonts w:ascii="宋体" w:hAnsi="宋体" w:cs="宋体"/>
          <w:b/>
          <w:color w:val="auto"/>
          <w:sz w:val="28"/>
          <w:highlight w:val="none"/>
        </w:rPr>
      </w:pPr>
      <w:r>
        <w:rPr>
          <w:rFonts w:hint="eastAsia" w:ascii="宋体" w:hAnsi="宋体" w:cs="宋体"/>
          <w:b/>
          <w:color w:val="auto"/>
          <w:sz w:val="28"/>
          <w:highlight w:val="none"/>
        </w:rPr>
        <w:t>附件2</w:t>
      </w:r>
    </w:p>
    <w:p w14:paraId="3ADBAD40">
      <w:pPr>
        <w:snapToGrid w:val="0"/>
        <w:spacing w:beforeLines="50" w:after="50" w:line="360" w:lineRule="auto"/>
        <w:ind w:firstLine="643" w:firstLineChars="200"/>
        <w:jc w:val="center"/>
        <w:rPr>
          <w:rStyle w:val="27"/>
          <w:rFonts w:ascii="宋体" w:hAnsi="宋体" w:cs="宋体"/>
          <w:b/>
          <w:color w:val="auto"/>
          <w:sz w:val="32"/>
          <w:szCs w:val="32"/>
          <w:highlight w:val="none"/>
          <w:u w:val="none"/>
        </w:rPr>
      </w:pPr>
      <w:r>
        <w:rPr>
          <w:rStyle w:val="27"/>
          <w:rFonts w:hint="eastAsia" w:ascii="宋体" w:hAnsi="宋体" w:cs="宋体"/>
          <w:b/>
          <w:color w:val="auto"/>
          <w:sz w:val="32"/>
          <w:szCs w:val="32"/>
          <w:highlight w:val="none"/>
          <w:u w:val="none"/>
        </w:rPr>
        <w:t>磋商声明书</w:t>
      </w:r>
    </w:p>
    <w:p w14:paraId="2BDCF138">
      <w:pPr>
        <w:spacing w:line="360" w:lineRule="auto"/>
        <w:rPr>
          <w:rFonts w:ascii="宋体" w:hAnsi="宋体" w:cs="宋体"/>
          <w:color w:val="auto"/>
          <w:szCs w:val="21"/>
          <w:highlight w:val="none"/>
          <w:u w:val="single"/>
        </w:rPr>
      </w:pPr>
      <w:r>
        <w:rPr>
          <w:rFonts w:hint="eastAsia" w:ascii="宋体" w:hAnsi="宋体" w:cs="宋体"/>
          <w:color w:val="auto"/>
          <w:szCs w:val="21"/>
          <w:highlight w:val="none"/>
          <w:u w:val="single"/>
        </w:rPr>
        <w:t>台州市中级人民法院、台州永安工程咨询有限公司：</w:t>
      </w:r>
    </w:p>
    <w:p w14:paraId="7FEA369F">
      <w:pPr>
        <w:spacing w:line="360" w:lineRule="auto"/>
        <w:ind w:firstLine="420" w:firstLineChars="200"/>
        <w:rPr>
          <w:rFonts w:ascii="宋体" w:hAnsi="宋体" w:cs="宋体"/>
          <w:color w:val="auto"/>
          <w:kern w:val="0"/>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u w:val="single"/>
        </w:rPr>
        <w:t xml:space="preserve"> 供应商名称 </w:t>
      </w:r>
      <w:r>
        <w:rPr>
          <w:rFonts w:hint="eastAsia" w:ascii="宋体" w:hAnsi="宋体" w:cs="宋体"/>
          <w:color w:val="auto"/>
          <w:szCs w:val="21"/>
          <w:highlight w:val="none"/>
        </w:rPr>
        <w:t>）系中华人民共和国合法企业，经营地址</w:t>
      </w:r>
      <w:r>
        <w:rPr>
          <w:rFonts w:hint="eastAsia" w:ascii="宋体" w:hAnsi="宋体" w:cs="宋体"/>
          <w:color w:val="auto"/>
          <w:szCs w:val="21"/>
          <w:highlight w:val="none"/>
          <w:u w:val="single"/>
        </w:rPr>
        <w:t xml:space="preserve">                  </w:t>
      </w:r>
      <w:r>
        <w:rPr>
          <w:rFonts w:hint="eastAsia" w:ascii="宋体" w:hAnsi="宋体" w:cs="宋体"/>
          <w:color w:val="auto"/>
          <w:kern w:val="0"/>
          <w:szCs w:val="21"/>
          <w:highlight w:val="none"/>
        </w:rPr>
        <w:t>。</w:t>
      </w:r>
    </w:p>
    <w:p w14:paraId="4D097148">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我（</w:t>
      </w:r>
      <w:r>
        <w:rPr>
          <w:rFonts w:hint="eastAsia" w:ascii="宋体" w:hAnsi="宋体" w:cs="宋体"/>
          <w:color w:val="auto"/>
          <w:kern w:val="0"/>
          <w:szCs w:val="21"/>
          <w:highlight w:val="none"/>
          <w:u w:val="single"/>
        </w:rPr>
        <w:t xml:space="preserve"> 姓名 </w:t>
      </w:r>
      <w:r>
        <w:rPr>
          <w:rFonts w:hint="eastAsia" w:ascii="宋体" w:hAnsi="宋体" w:cs="宋体"/>
          <w:color w:val="auto"/>
          <w:kern w:val="0"/>
          <w:szCs w:val="21"/>
          <w:highlight w:val="none"/>
        </w:rPr>
        <w:t>）系（</w:t>
      </w:r>
      <w:r>
        <w:rPr>
          <w:rFonts w:hint="eastAsia" w:ascii="宋体" w:hAnsi="宋体" w:cs="宋体"/>
          <w:color w:val="auto"/>
          <w:kern w:val="0"/>
          <w:szCs w:val="21"/>
          <w:highlight w:val="none"/>
          <w:u w:val="single"/>
        </w:rPr>
        <w:t xml:space="preserve"> 供应商名称 </w:t>
      </w:r>
      <w:r>
        <w:rPr>
          <w:rFonts w:hint="eastAsia" w:ascii="宋体" w:hAnsi="宋体" w:cs="宋体"/>
          <w:color w:val="auto"/>
          <w:kern w:val="0"/>
          <w:szCs w:val="21"/>
          <w:highlight w:val="none"/>
        </w:rPr>
        <w:t>）的法定代表人，我公司自愿参加贵方组织的</w:t>
      </w:r>
      <w:r>
        <w:rPr>
          <w:rFonts w:hint="eastAsia" w:ascii="宋体" w:hAnsi="宋体" w:cs="宋体"/>
          <w:color w:val="auto"/>
          <w:kern w:val="0"/>
          <w:szCs w:val="21"/>
          <w:highlight w:val="none"/>
          <w:u w:val="single"/>
        </w:rPr>
        <w:t>信息安全运维服务项目</w:t>
      </w:r>
      <w:r>
        <w:rPr>
          <w:rFonts w:hint="eastAsia" w:ascii="宋体" w:hAnsi="宋体" w:cs="宋体"/>
          <w:color w:val="auto"/>
          <w:kern w:val="0"/>
          <w:szCs w:val="21"/>
          <w:highlight w:val="none"/>
        </w:rPr>
        <w:t>（编号为</w:t>
      </w:r>
      <w:r>
        <w:rPr>
          <w:rFonts w:hint="eastAsia" w:ascii="宋体" w:hAnsi="宋体" w:cs="宋体"/>
          <w:color w:val="auto"/>
          <w:kern w:val="0"/>
          <w:szCs w:val="21"/>
          <w:highlight w:val="none"/>
          <w:lang w:eastAsia="zh-CN"/>
        </w:rPr>
        <w:t>tzya2025-tz37</w:t>
      </w:r>
      <w:r>
        <w:rPr>
          <w:rFonts w:hint="eastAsia" w:ascii="宋体" w:hAnsi="宋体" w:cs="宋体"/>
          <w:color w:val="auto"/>
          <w:kern w:val="0"/>
          <w:szCs w:val="21"/>
          <w:highlight w:val="none"/>
        </w:rPr>
        <w:t>）的磋商，为此，我公司就本次磋商有关事项郑重声明如下：</w:t>
      </w:r>
    </w:p>
    <w:p w14:paraId="5B51103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一、我公司声明截止投标时间前三年内：在经营活动中没有重大违法记录（重大违法记录是指供应商因违法经营受到刑事处罚或者责令停产停业、吊销许可证或者执照、较大数额罚款等行政处罚）。</w:t>
      </w:r>
    </w:p>
    <w:p w14:paraId="71332B75">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二、我公司在参与磋商前已详细审查了磋商采购文件和所有相关资料，我方完全明白并认为此磋商采购文件没有倾向性，也没有存在排斥潜在供应商的内容，我方同意磋商采购文件的相关条款，放弃对磋商采购文件提出误解和质疑的一切权利。</w:t>
      </w:r>
    </w:p>
    <w:p w14:paraId="04213CE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三、我</w:t>
      </w:r>
      <w:r>
        <w:rPr>
          <w:rFonts w:hint="eastAsia" w:ascii="宋体" w:hAnsi="宋体" w:cs="宋体"/>
          <w:color w:val="auto"/>
          <w:kern w:val="0"/>
          <w:szCs w:val="21"/>
          <w:highlight w:val="none"/>
          <w:lang w:val="zh-CN"/>
        </w:rPr>
        <w:t>公司</w:t>
      </w:r>
      <w:r>
        <w:rPr>
          <w:rFonts w:hint="eastAsia" w:ascii="宋体" w:hAnsi="宋体" w:cs="宋体"/>
          <w:color w:val="auto"/>
          <w:szCs w:val="21"/>
          <w:highlight w:val="none"/>
        </w:rPr>
        <w:t>不是采购人的附属机构；在获知本项目采购信息后，与采购人聘请的为此项目提供咨询服务的公司及其附属机构没有任何联系。</w:t>
      </w:r>
    </w:p>
    <w:p w14:paraId="65F0B36B">
      <w:pPr>
        <w:spacing w:line="360" w:lineRule="auto"/>
        <w:ind w:firstLine="420" w:firstLineChars="200"/>
        <w:rPr>
          <w:rFonts w:ascii="宋体" w:hAnsi="宋体" w:cs="宋体"/>
          <w:color w:val="auto"/>
          <w:kern w:val="0"/>
          <w:szCs w:val="21"/>
          <w:highlight w:val="none"/>
          <w:lang w:val="af-ZA"/>
        </w:rPr>
      </w:pPr>
      <w:r>
        <w:rPr>
          <w:rFonts w:hint="eastAsia" w:ascii="宋体" w:hAnsi="宋体" w:cs="宋体"/>
          <w:color w:val="auto"/>
          <w:szCs w:val="21"/>
          <w:highlight w:val="none"/>
        </w:rPr>
        <w:t>四、</w:t>
      </w:r>
      <w:r>
        <w:rPr>
          <w:rFonts w:hint="eastAsia" w:ascii="宋体" w:hAnsi="宋体" w:cs="宋体"/>
          <w:color w:val="auto"/>
          <w:kern w:val="0"/>
          <w:szCs w:val="21"/>
          <w:highlight w:val="none"/>
        </w:rPr>
        <w:t>我</w:t>
      </w:r>
      <w:r>
        <w:rPr>
          <w:rFonts w:hint="eastAsia" w:ascii="宋体" w:hAnsi="宋体" w:cs="宋体"/>
          <w:color w:val="auto"/>
          <w:kern w:val="0"/>
          <w:szCs w:val="21"/>
          <w:highlight w:val="none"/>
          <w:lang w:val="zh-CN"/>
        </w:rPr>
        <w:t>公司</w:t>
      </w:r>
      <w:r>
        <w:rPr>
          <w:rFonts w:hint="eastAsia" w:ascii="宋体" w:hAnsi="宋体" w:cs="宋体"/>
          <w:color w:val="auto"/>
          <w:kern w:val="0"/>
          <w:szCs w:val="21"/>
          <w:highlight w:val="none"/>
        </w:rPr>
        <w:t>保证，</w:t>
      </w:r>
      <w:r>
        <w:rPr>
          <w:rFonts w:hint="eastAsia" w:ascii="宋体" w:hAnsi="宋体" w:cs="宋体"/>
          <w:color w:val="auto"/>
          <w:kern w:val="0"/>
          <w:szCs w:val="21"/>
          <w:highlight w:val="none"/>
          <w:lang w:val="af-ZA"/>
        </w:rPr>
        <w:t>采购人在中华人民共和国境内使用</w:t>
      </w:r>
      <w:r>
        <w:rPr>
          <w:rFonts w:hint="eastAsia" w:ascii="宋体" w:hAnsi="宋体" w:cs="宋体"/>
          <w:color w:val="auto"/>
          <w:kern w:val="0"/>
          <w:szCs w:val="21"/>
          <w:highlight w:val="none"/>
        </w:rPr>
        <w:t>我</w:t>
      </w:r>
      <w:r>
        <w:rPr>
          <w:rFonts w:hint="eastAsia" w:ascii="宋体" w:hAnsi="宋体" w:cs="宋体"/>
          <w:color w:val="auto"/>
          <w:kern w:val="0"/>
          <w:szCs w:val="21"/>
          <w:highlight w:val="none"/>
          <w:lang w:val="zh-CN"/>
        </w:rPr>
        <w:t>公司</w:t>
      </w:r>
      <w:r>
        <w:rPr>
          <w:rFonts w:hint="eastAsia" w:ascii="宋体" w:hAnsi="宋体" w:cs="宋体"/>
          <w:color w:val="auto"/>
          <w:kern w:val="0"/>
          <w:szCs w:val="21"/>
          <w:highlight w:val="none"/>
          <w:lang w:val="af-ZA"/>
        </w:rPr>
        <w:t>磋商响应的货物、资料、技术、服务或其任何一部分时，享有不受限制的无偿使用权，如有第三方向采购人提出侵犯其专利权、商标权或其它知识产权的主张，该责任由我方承担。我方的总报价已包含所有应向所有权人支付的专利权、商标权或其它知识产权的一切相关费用。</w:t>
      </w:r>
    </w:p>
    <w:p w14:paraId="51B6692C">
      <w:pPr>
        <w:spacing w:line="360" w:lineRule="auto"/>
        <w:ind w:firstLine="420" w:firstLineChars="200"/>
        <w:rPr>
          <w:rFonts w:ascii="宋体" w:hAnsi="宋体" w:cs="宋体"/>
          <w:color w:val="auto"/>
          <w:szCs w:val="21"/>
          <w:highlight w:val="none"/>
        </w:rPr>
      </w:pPr>
      <w:r>
        <w:rPr>
          <w:rFonts w:hint="eastAsia" w:ascii="宋体" w:hAnsi="宋体" w:cs="宋体"/>
          <w:color w:val="auto"/>
          <w:kern w:val="0"/>
          <w:szCs w:val="21"/>
          <w:highlight w:val="none"/>
        </w:rPr>
        <w:t>五</w:t>
      </w:r>
      <w:r>
        <w:rPr>
          <w:rFonts w:hint="eastAsia" w:ascii="宋体" w:hAnsi="宋体" w:cs="宋体"/>
          <w:color w:val="auto"/>
          <w:kern w:val="0"/>
          <w:szCs w:val="21"/>
          <w:highlight w:val="none"/>
          <w:lang w:val="af-ZA"/>
        </w:rPr>
        <w:t>、我</w:t>
      </w:r>
      <w:r>
        <w:rPr>
          <w:rFonts w:hint="eastAsia" w:ascii="宋体" w:hAnsi="宋体" w:cs="宋体"/>
          <w:color w:val="auto"/>
          <w:kern w:val="0"/>
          <w:szCs w:val="21"/>
          <w:highlight w:val="none"/>
          <w:lang w:val="zh-CN"/>
        </w:rPr>
        <w:t>公司</w:t>
      </w:r>
      <w:r>
        <w:rPr>
          <w:rFonts w:hint="eastAsia" w:ascii="宋体" w:hAnsi="宋体" w:cs="宋体"/>
          <w:color w:val="auto"/>
          <w:kern w:val="0"/>
          <w:szCs w:val="21"/>
          <w:highlight w:val="none"/>
          <w:lang w:val="af-ZA"/>
        </w:rPr>
        <w:t>严格履行采购合同，不降低合同约定的产品质量和服务，不擅自变更、中止、终止合同，或拒绝履行合同义务；</w:t>
      </w:r>
    </w:p>
    <w:p w14:paraId="3FCAAEA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六、我公司承诺（若代理服务费由中标单位支付）：如在本项目中标，我公司在成交公告发布之日起5个工作日内按采购文件约定支付代理服务费。</w:t>
      </w:r>
    </w:p>
    <w:p w14:paraId="38C516C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七、以上事项如有虚假或隐瞒，我</w:t>
      </w:r>
      <w:r>
        <w:rPr>
          <w:rFonts w:hint="eastAsia" w:ascii="宋体" w:hAnsi="宋体" w:cs="宋体"/>
          <w:color w:val="auto"/>
          <w:kern w:val="0"/>
          <w:szCs w:val="21"/>
          <w:highlight w:val="none"/>
          <w:lang w:val="zh-CN"/>
        </w:rPr>
        <w:t>公司</w:t>
      </w:r>
      <w:r>
        <w:rPr>
          <w:rFonts w:hint="eastAsia" w:ascii="宋体" w:hAnsi="宋体" w:cs="宋体"/>
          <w:color w:val="auto"/>
          <w:szCs w:val="21"/>
          <w:highlight w:val="none"/>
        </w:rPr>
        <w:t>愿意承担一切后果，并不再寻求任何旨在减轻或免除法律责任的辩解。</w:t>
      </w:r>
    </w:p>
    <w:p w14:paraId="1FA4FCDE">
      <w:pPr>
        <w:adjustRightInd w:val="0"/>
        <w:snapToGrid w:val="0"/>
        <w:spacing w:line="360" w:lineRule="auto"/>
        <w:ind w:firstLine="480"/>
        <w:rPr>
          <w:rFonts w:ascii="宋体" w:hAnsi="宋体" w:cs="宋体"/>
          <w:color w:val="auto"/>
          <w:kern w:val="0"/>
          <w:szCs w:val="21"/>
          <w:highlight w:val="none"/>
        </w:rPr>
      </w:pPr>
    </w:p>
    <w:p w14:paraId="1C74B10C">
      <w:pPr>
        <w:adjustRightInd w:val="0"/>
        <w:snapToGrid w:val="0"/>
        <w:spacing w:line="360" w:lineRule="auto"/>
        <w:ind w:firstLine="4095" w:firstLineChars="195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 xml:space="preserve">    供应商名称(公章)：</w:t>
      </w:r>
    </w:p>
    <w:p w14:paraId="44E0545E">
      <w:pPr>
        <w:adjustRightInd w:val="0"/>
        <w:snapToGrid w:val="0"/>
        <w:spacing w:line="360" w:lineRule="auto"/>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 xml:space="preserve">                   法定代表人或授权委托</w:t>
      </w:r>
      <w:r>
        <w:rPr>
          <w:rFonts w:hint="eastAsia" w:ascii="宋体" w:hAnsi="宋体" w:cs="宋体"/>
          <w:color w:val="auto"/>
          <w:kern w:val="0"/>
          <w:szCs w:val="21"/>
          <w:highlight w:val="none"/>
        </w:rPr>
        <w:t>代理</w:t>
      </w:r>
      <w:r>
        <w:rPr>
          <w:rFonts w:hint="eastAsia" w:ascii="宋体" w:hAnsi="宋体" w:cs="宋体"/>
          <w:color w:val="auto"/>
          <w:kern w:val="0"/>
          <w:szCs w:val="21"/>
          <w:highlight w:val="none"/>
          <w:lang w:val="zh-CN"/>
        </w:rPr>
        <w:t>人</w:t>
      </w:r>
      <w:r>
        <w:rPr>
          <w:rFonts w:hint="eastAsia" w:ascii="宋体" w:hAnsi="宋体" w:cs="宋体"/>
          <w:color w:val="auto"/>
          <w:szCs w:val="21"/>
          <w:highlight w:val="none"/>
        </w:rPr>
        <w:t>（签字或盖章）</w:t>
      </w:r>
      <w:r>
        <w:rPr>
          <w:rFonts w:hint="eastAsia" w:ascii="宋体" w:hAnsi="宋体" w:cs="宋体"/>
          <w:color w:val="auto"/>
          <w:kern w:val="0"/>
          <w:szCs w:val="21"/>
          <w:highlight w:val="none"/>
          <w:lang w:val="zh-CN"/>
        </w:rPr>
        <w:t>：</w:t>
      </w:r>
    </w:p>
    <w:p w14:paraId="18925CD0">
      <w:pPr>
        <w:adjustRightInd w:val="0"/>
        <w:snapToGrid w:val="0"/>
        <w:spacing w:line="360" w:lineRule="auto"/>
        <w:ind w:right="480"/>
        <w:jc w:val="center"/>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 xml:space="preserve">                             日期：年  月   日</w:t>
      </w:r>
    </w:p>
    <w:p w14:paraId="1EBDB075">
      <w:pPr>
        <w:adjustRightInd w:val="0"/>
        <w:snapToGrid w:val="0"/>
        <w:spacing w:line="360" w:lineRule="auto"/>
        <w:ind w:right="480"/>
        <w:rPr>
          <w:rFonts w:ascii="宋体" w:hAnsi="宋体" w:cs="宋体"/>
          <w:b/>
          <w:color w:val="auto"/>
          <w:sz w:val="30"/>
          <w:szCs w:val="30"/>
          <w:highlight w:val="none"/>
        </w:rPr>
      </w:pPr>
      <w:r>
        <w:rPr>
          <w:rFonts w:hint="eastAsia" w:ascii="宋体" w:hAnsi="宋体" w:cs="宋体"/>
          <w:b/>
          <w:color w:val="auto"/>
          <w:sz w:val="28"/>
          <w:highlight w:val="none"/>
        </w:rPr>
        <w:t>附件3</w:t>
      </w:r>
    </w:p>
    <w:p w14:paraId="61B1078E">
      <w:pPr>
        <w:spacing w:line="360" w:lineRule="auto"/>
        <w:ind w:firstLine="321" w:firstLineChars="100"/>
        <w:jc w:val="center"/>
        <w:rPr>
          <w:rFonts w:ascii="宋体" w:hAnsi="宋体" w:cs="宋体"/>
          <w:b/>
          <w:color w:val="auto"/>
          <w:sz w:val="32"/>
          <w:szCs w:val="32"/>
          <w:highlight w:val="none"/>
          <w:u w:val="single"/>
        </w:rPr>
      </w:pPr>
      <w:r>
        <w:rPr>
          <w:rFonts w:hint="eastAsia" w:ascii="宋体" w:hAnsi="宋体" w:cs="宋体"/>
          <w:b/>
          <w:color w:val="auto"/>
          <w:sz w:val="32"/>
          <w:szCs w:val="32"/>
          <w:highlight w:val="none"/>
        </w:rPr>
        <w:t>授权委托书</w:t>
      </w:r>
    </w:p>
    <w:p w14:paraId="13B795E5">
      <w:pPr>
        <w:pStyle w:val="12"/>
        <w:spacing w:line="360" w:lineRule="auto"/>
        <w:rPr>
          <w:rFonts w:hAnsi="宋体" w:cs="宋体"/>
          <w:b/>
          <w:color w:val="auto"/>
          <w:szCs w:val="21"/>
          <w:highlight w:val="none"/>
        </w:rPr>
      </w:pPr>
      <w:r>
        <w:rPr>
          <w:rFonts w:hint="eastAsia" w:hAnsi="宋体" w:cs="宋体"/>
          <w:bCs/>
          <w:color w:val="auto"/>
          <w:szCs w:val="21"/>
          <w:highlight w:val="none"/>
          <w:u w:val="single"/>
        </w:rPr>
        <w:t>台州市中级人民法院、台州永安工程咨询有限公司：</w:t>
      </w:r>
    </w:p>
    <w:p w14:paraId="215BC006">
      <w:pPr>
        <w:pStyle w:val="12"/>
        <w:spacing w:line="360" w:lineRule="auto"/>
        <w:ind w:firstLine="420" w:firstLineChars="200"/>
        <w:rPr>
          <w:rFonts w:hAnsi="宋体" w:cs="宋体"/>
          <w:color w:val="auto"/>
          <w:szCs w:val="21"/>
          <w:highlight w:val="none"/>
        </w:rPr>
      </w:pPr>
      <w:r>
        <w:rPr>
          <w:rFonts w:hint="eastAsia" w:hAnsi="宋体" w:cs="宋体"/>
          <w:color w:val="auto"/>
          <w:szCs w:val="21"/>
          <w:highlight w:val="none"/>
          <w:u w:val="single"/>
        </w:rPr>
        <w:t xml:space="preserve">  （供应商全称）  </w:t>
      </w:r>
      <w:r>
        <w:rPr>
          <w:rFonts w:hint="eastAsia" w:hAnsi="宋体" w:cs="宋体"/>
          <w:color w:val="auto"/>
          <w:szCs w:val="21"/>
          <w:highlight w:val="none"/>
        </w:rPr>
        <w:t>法定代表人（或营业执照中单位负责人）</w:t>
      </w:r>
      <w:r>
        <w:rPr>
          <w:rFonts w:hint="eastAsia" w:hAnsi="宋体" w:cs="宋体"/>
          <w:color w:val="auto"/>
          <w:szCs w:val="21"/>
          <w:highlight w:val="none"/>
          <w:u w:val="single"/>
        </w:rPr>
        <w:tab/>
      </w:r>
      <w:r>
        <w:rPr>
          <w:rFonts w:hint="eastAsia" w:hAnsi="宋体" w:cs="宋体"/>
          <w:color w:val="auto"/>
          <w:szCs w:val="21"/>
          <w:highlight w:val="none"/>
          <w:u w:val="single"/>
        </w:rPr>
        <w:t xml:space="preserve">（法定代表人或营业执照中单位负责人姓名） </w:t>
      </w:r>
      <w:r>
        <w:rPr>
          <w:rFonts w:hint="eastAsia" w:hAnsi="宋体" w:cs="宋体"/>
          <w:color w:val="auto"/>
          <w:szCs w:val="21"/>
          <w:highlight w:val="none"/>
        </w:rPr>
        <w:t>授权</w:t>
      </w:r>
      <w:r>
        <w:rPr>
          <w:rFonts w:hint="eastAsia" w:hAnsi="宋体" w:cs="宋体"/>
          <w:color w:val="auto"/>
          <w:szCs w:val="21"/>
          <w:highlight w:val="none"/>
          <w:u w:val="single"/>
        </w:rPr>
        <w:t xml:space="preserve">   （授权代表姓名） </w:t>
      </w:r>
      <w:r>
        <w:rPr>
          <w:rFonts w:hint="eastAsia" w:hAnsi="宋体" w:cs="宋体"/>
          <w:color w:val="auto"/>
          <w:szCs w:val="21"/>
          <w:highlight w:val="none"/>
        </w:rPr>
        <w:t>为授权委托代理人，参加贵单位组织的</w:t>
      </w:r>
      <w:r>
        <w:rPr>
          <w:rFonts w:hint="eastAsia" w:hAnsi="宋体" w:cs="宋体"/>
          <w:color w:val="auto"/>
          <w:szCs w:val="21"/>
          <w:highlight w:val="none"/>
          <w:u w:val="single"/>
        </w:rPr>
        <w:t>信息安全运维服务项目（编号为</w:t>
      </w:r>
      <w:r>
        <w:rPr>
          <w:rFonts w:hint="eastAsia" w:hAnsi="宋体" w:cs="宋体"/>
          <w:color w:val="auto"/>
          <w:szCs w:val="21"/>
          <w:highlight w:val="none"/>
          <w:u w:val="single"/>
          <w:lang w:eastAsia="zh-CN"/>
        </w:rPr>
        <w:t>tzya2025-tz37</w:t>
      </w:r>
      <w:r>
        <w:rPr>
          <w:rFonts w:hint="eastAsia" w:hAnsi="宋体" w:cs="宋体"/>
          <w:color w:val="auto"/>
          <w:szCs w:val="21"/>
          <w:highlight w:val="none"/>
          <w:u w:val="single"/>
        </w:rPr>
        <w:t>）</w:t>
      </w:r>
      <w:r>
        <w:rPr>
          <w:rFonts w:hint="eastAsia" w:hAnsi="宋体" w:cs="宋体"/>
          <w:color w:val="auto"/>
          <w:szCs w:val="21"/>
          <w:highlight w:val="none"/>
        </w:rPr>
        <w:t>的采购活动，并代表我方全权办理针对上述项目的磋商、签约等具体事务和签署相关文件。我方对授权委托代理人的签字事项负全部责任。</w:t>
      </w:r>
    </w:p>
    <w:p w14:paraId="5527B640">
      <w:pPr>
        <w:pStyle w:val="12"/>
        <w:spacing w:line="360" w:lineRule="auto"/>
        <w:ind w:firstLine="420" w:firstLineChars="200"/>
        <w:rPr>
          <w:rFonts w:hAnsi="宋体" w:cs="宋体"/>
          <w:color w:val="auto"/>
          <w:szCs w:val="21"/>
          <w:highlight w:val="none"/>
        </w:rPr>
      </w:pPr>
      <w:r>
        <w:rPr>
          <w:rFonts w:hint="eastAsia" w:hAnsi="宋体" w:cs="宋体"/>
          <w:color w:val="auto"/>
          <w:szCs w:val="21"/>
          <w:highlight w:val="none"/>
        </w:rPr>
        <w:t>在撤销授权的书面通知以前，本授权书一直有效。授权委托代理人在授权委托书有效期内签署的所有文件不因授权的撤销而失效。</w:t>
      </w:r>
    </w:p>
    <w:p w14:paraId="7055DBEF">
      <w:pPr>
        <w:pStyle w:val="12"/>
        <w:spacing w:line="360" w:lineRule="auto"/>
        <w:ind w:firstLine="420" w:firstLineChars="200"/>
        <w:rPr>
          <w:rFonts w:hAnsi="宋体" w:cs="宋体"/>
          <w:color w:val="auto"/>
          <w:szCs w:val="21"/>
          <w:highlight w:val="none"/>
        </w:rPr>
      </w:pPr>
      <w:r>
        <w:rPr>
          <w:rFonts w:hint="eastAsia" w:hAnsi="宋体" w:cs="宋体"/>
          <w:color w:val="auto"/>
          <w:szCs w:val="21"/>
          <w:highlight w:val="none"/>
        </w:rPr>
        <w:t>授权委托代理人无转委托权，特此委托。</w:t>
      </w:r>
    </w:p>
    <w:p w14:paraId="19664900">
      <w:pPr>
        <w:spacing w:line="360" w:lineRule="auto"/>
        <w:rPr>
          <w:rFonts w:ascii="宋体" w:hAnsi="宋体" w:cs="宋体"/>
          <w:color w:val="auto"/>
          <w:szCs w:val="21"/>
          <w:highlight w:val="none"/>
        </w:rPr>
      </w:pPr>
    </w:p>
    <w:p w14:paraId="56161526">
      <w:pPr>
        <w:spacing w:line="360" w:lineRule="auto"/>
        <w:rPr>
          <w:rFonts w:ascii="宋体" w:hAnsi="宋体" w:cs="宋体"/>
          <w:color w:val="auto"/>
          <w:szCs w:val="21"/>
          <w:highlight w:val="none"/>
        </w:rPr>
      </w:pPr>
      <w:r>
        <w:rPr>
          <w:rFonts w:hint="eastAsia" w:ascii="宋体" w:hAnsi="宋体" w:cs="宋体"/>
          <w:color w:val="auto"/>
          <w:szCs w:val="21"/>
          <w:highlight w:val="none"/>
        </w:rPr>
        <w:t>法定代表人签字或盖章：</w:t>
      </w:r>
    </w:p>
    <w:p w14:paraId="0C1F692C">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供应商全称（公章）：                              </w:t>
      </w:r>
    </w:p>
    <w:p w14:paraId="64163C73">
      <w:pPr>
        <w:spacing w:line="360" w:lineRule="auto"/>
        <w:rPr>
          <w:rFonts w:ascii="宋体" w:hAnsi="宋体" w:cs="宋体"/>
          <w:color w:val="auto"/>
          <w:szCs w:val="21"/>
          <w:highlight w:val="none"/>
        </w:rPr>
      </w:pPr>
      <w:r>
        <w:rPr>
          <w:rFonts w:hint="eastAsia" w:ascii="宋体" w:hAnsi="宋体" w:cs="宋体"/>
          <w:color w:val="auto"/>
          <w:szCs w:val="21"/>
          <w:highlight w:val="none"/>
        </w:rPr>
        <w:t>日期：</w:t>
      </w:r>
    </w:p>
    <w:p w14:paraId="32C70DA5">
      <w:pPr>
        <w:spacing w:line="360" w:lineRule="auto"/>
        <w:rPr>
          <w:rFonts w:ascii="宋体" w:hAnsi="宋体" w:cs="宋体"/>
          <w:color w:val="auto"/>
          <w:szCs w:val="21"/>
          <w:highlight w:val="none"/>
        </w:rPr>
      </w:pPr>
    </w:p>
    <w:p w14:paraId="349D4B02">
      <w:pPr>
        <w:spacing w:line="360" w:lineRule="auto"/>
        <w:rPr>
          <w:rFonts w:ascii="宋体" w:hAnsi="宋体" w:cs="宋体"/>
          <w:b/>
          <w:color w:val="auto"/>
          <w:szCs w:val="21"/>
          <w:highlight w:val="none"/>
        </w:rPr>
      </w:pPr>
      <w:r>
        <w:rPr>
          <w:rFonts w:hint="eastAsia" w:ascii="宋体" w:hAnsi="宋体" w:cs="宋体"/>
          <w:b/>
          <w:color w:val="auto"/>
          <w:szCs w:val="21"/>
          <w:highlight w:val="none"/>
        </w:rPr>
        <w:t>附：</w:t>
      </w:r>
    </w:p>
    <w:tbl>
      <w:tblPr>
        <w:tblStyle w:val="22"/>
        <w:tblpPr w:leftFromText="180" w:rightFromText="180" w:vertAnchor="text" w:tblpX="4209" w:tblpY="3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42C67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14:paraId="5B308BDC">
            <w:pPr>
              <w:spacing w:line="360" w:lineRule="auto"/>
              <w:rPr>
                <w:rFonts w:ascii="宋体" w:hAnsi="宋体" w:cs="宋体"/>
                <w:b/>
                <w:color w:val="auto"/>
                <w:szCs w:val="21"/>
                <w:highlight w:val="none"/>
              </w:rPr>
            </w:pPr>
          </w:p>
          <w:p w14:paraId="4A4E4A3D">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法定代表身份证</w:t>
            </w:r>
            <w:r>
              <w:rPr>
                <w:rFonts w:hint="eastAsia" w:ascii="宋体" w:hAnsi="宋体" w:cs="宋体"/>
                <w:b/>
                <w:color w:val="auto"/>
                <w:sz w:val="24"/>
                <w:highlight w:val="none"/>
              </w:rPr>
              <w:t>正、反面</w:t>
            </w:r>
            <w:r>
              <w:rPr>
                <w:rFonts w:hint="eastAsia" w:ascii="宋体" w:hAnsi="宋体" w:cs="宋体"/>
                <w:b/>
                <w:color w:val="auto"/>
                <w:szCs w:val="21"/>
                <w:highlight w:val="none"/>
              </w:rPr>
              <w:t>复印件粘贴处</w:t>
            </w:r>
          </w:p>
        </w:tc>
      </w:tr>
    </w:tbl>
    <w:p w14:paraId="727F39CD">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法定代表人姓名：                                 </w:t>
      </w:r>
    </w:p>
    <w:p w14:paraId="1B679DA2">
      <w:pPr>
        <w:spacing w:line="360" w:lineRule="auto"/>
        <w:rPr>
          <w:rFonts w:ascii="宋体" w:hAnsi="宋体" w:cs="宋体"/>
          <w:color w:val="auto"/>
          <w:szCs w:val="21"/>
          <w:highlight w:val="none"/>
        </w:rPr>
      </w:pPr>
      <w:r>
        <w:rPr>
          <w:rFonts w:hint="eastAsia" w:ascii="宋体" w:hAnsi="宋体" w:cs="宋体"/>
          <w:color w:val="auto"/>
          <w:szCs w:val="21"/>
          <w:highlight w:val="none"/>
        </w:rPr>
        <w:t>传真：</w:t>
      </w:r>
    </w:p>
    <w:p w14:paraId="71DAB864">
      <w:pPr>
        <w:spacing w:line="360" w:lineRule="auto"/>
        <w:rPr>
          <w:rFonts w:ascii="宋体" w:hAnsi="宋体" w:cs="宋体"/>
          <w:color w:val="auto"/>
          <w:szCs w:val="21"/>
          <w:highlight w:val="none"/>
        </w:rPr>
      </w:pPr>
      <w:r>
        <w:rPr>
          <w:rFonts w:hint="eastAsia" w:ascii="宋体" w:hAnsi="宋体" w:cs="宋体"/>
          <w:color w:val="auto"/>
          <w:szCs w:val="21"/>
          <w:highlight w:val="none"/>
        </w:rPr>
        <w:t>电话：</w:t>
      </w:r>
    </w:p>
    <w:p w14:paraId="32A87A06">
      <w:pPr>
        <w:spacing w:line="360" w:lineRule="auto"/>
        <w:rPr>
          <w:rFonts w:ascii="宋体" w:hAnsi="宋体" w:cs="宋体"/>
          <w:color w:val="auto"/>
          <w:szCs w:val="21"/>
          <w:highlight w:val="none"/>
        </w:rPr>
      </w:pPr>
      <w:r>
        <w:rPr>
          <w:rFonts w:hint="eastAsia" w:ascii="宋体" w:hAnsi="宋体" w:cs="宋体"/>
          <w:color w:val="auto"/>
          <w:szCs w:val="21"/>
          <w:highlight w:val="none"/>
        </w:rPr>
        <w:t>详细通讯地址：</w:t>
      </w:r>
    </w:p>
    <w:p w14:paraId="65519FE7">
      <w:pPr>
        <w:spacing w:line="360" w:lineRule="auto"/>
        <w:rPr>
          <w:rFonts w:ascii="宋体" w:hAnsi="宋体" w:cs="宋体"/>
          <w:color w:val="auto"/>
          <w:szCs w:val="21"/>
          <w:highlight w:val="none"/>
        </w:rPr>
      </w:pPr>
      <w:r>
        <w:rPr>
          <w:rFonts w:hint="eastAsia" w:ascii="宋体" w:hAnsi="宋体" w:cs="宋体"/>
          <w:color w:val="auto"/>
          <w:szCs w:val="21"/>
          <w:highlight w:val="none"/>
        </w:rPr>
        <w:t>邮政编码：</w:t>
      </w:r>
    </w:p>
    <w:p w14:paraId="01A8A32F">
      <w:pPr>
        <w:spacing w:line="360" w:lineRule="auto"/>
        <w:rPr>
          <w:rFonts w:ascii="宋体" w:hAnsi="宋体" w:cs="宋体"/>
          <w:b/>
          <w:color w:val="auto"/>
          <w:szCs w:val="21"/>
          <w:highlight w:val="none"/>
        </w:rPr>
      </w:pPr>
    </w:p>
    <w:tbl>
      <w:tblPr>
        <w:tblStyle w:val="22"/>
        <w:tblpPr w:leftFromText="180" w:rightFromText="180" w:vertAnchor="text" w:tblpX="4209" w:tblpY="3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73070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14:paraId="622FB8F6">
            <w:pPr>
              <w:spacing w:line="360" w:lineRule="auto"/>
              <w:rPr>
                <w:rFonts w:ascii="宋体" w:hAnsi="宋体" w:cs="宋体"/>
                <w:b/>
                <w:color w:val="auto"/>
                <w:szCs w:val="21"/>
                <w:highlight w:val="none"/>
              </w:rPr>
            </w:pPr>
          </w:p>
          <w:p w14:paraId="3140B731">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授权委托代理人身份证</w:t>
            </w:r>
            <w:r>
              <w:rPr>
                <w:rFonts w:hint="eastAsia" w:ascii="宋体" w:hAnsi="宋体" w:cs="宋体"/>
                <w:b/>
                <w:color w:val="auto"/>
                <w:sz w:val="24"/>
                <w:highlight w:val="none"/>
              </w:rPr>
              <w:t>正、反面</w:t>
            </w:r>
            <w:r>
              <w:rPr>
                <w:rFonts w:hint="eastAsia" w:ascii="宋体" w:hAnsi="宋体" w:cs="宋体"/>
                <w:b/>
                <w:color w:val="auto"/>
                <w:szCs w:val="21"/>
                <w:highlight w:val="none"/>
              </w:rPr>
              <w:t>复印件粘贴处</w:t>
            </w:r>
          </w:p>
        </w:tc>
      </w:tr>
    </w:tbl>
    <w:p w14:paraId="619F883A">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授权委托代理人姓名：       </w:t>
      </w:r>
    </w:p>
    <w:p w14:paraId="7D4A6772">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职务：                           </w:t>
      </w:r>
    </w:p>
    <w:p w14:paraId="62EE1F00">
      <w:pPr>
        <w:spacing w:line="360" w:lineRule="auto"/>
        <w:rPr>
          <w:rFonts w:ascii="宋体" w:hAnsi="宋体" w:cs="宋体"/>
          <w:color w:val="auto"/>
          <w:szCs w:val="21"/>
          <w:highlight w:val="none"/>
        </w:rPr>
      </w:pPr>
      <w:r>
        <w:rPr>
          <w:rFonts w:hint="eastAsia" w:ascii="宋体" w:hAnsi="宋体" w:cs="宋体"/>
          <w:color w:val="auto"/>
          <w:szCs w:val="21"/>
          <w:highlight w:val="none"/>
        </w:rPr>
        <w:t>传真：</w:t>
      </w:r>
    </w:p>
    <w:p w14:paraId="0AA88D53">
      <w:pPr>
        <w:spacing w:line="360" w:lineRule="auto"/>
        <w:rPr>
          <w:rFonts w:ascii="宋体" w:hAnsi="宋体" w:cs="宋体"/>
          <w:color w:val="auto"/>
          <w:szCs w:val="21"/>
          <w:highlight w:val="none"/>
        </w:rPr>
      </w:pPr>
      <w:r>
        <w:rPr>
          <w:rFonts w:hint="eastAsia" w:ascii="宋体" w:hAnsi="宋体" w:cs="宋体"/>
          <w:color w:val="auto"/>
          <w:szCs w:val="21"/>
          <w:highlight w:val="none"/>
        </w:rPr>
        <w:t>电话：</w:t>
      </w:r>
    </w:p>
    <w:p w14:paraId="28259138">
      <w:pPr>
        <w:spacing w:line="360" w:lineRule="auto"/>
        <w:rPr>
          <w:rFonts w:ascii="宋体" w:hAnsi="宋体" w:cs="宋体"/>
          <w:color w:val="auto"/>
          <w:szCs w:val="21"/>
          <w:highlight w:val="none"/>
        </w:rPr>
      </w:pPr>
      <w:r>
        <w:rPr>
          <w:rFonts w:hint="eastAsia" w:ascii="宋体" w:hAnsi="宋体" w:cs="宋体"/>
          <w:color w:val="auto"/>
          <w:szCs w:val="21"/>
          <w:highlight w:val="none"/>
        </w:rPr>
        <w:t>详细通讯地址：</w:t>
      </w:r>
    </w:p>
    <w:p w14:paraId="2600308E">
      <w:pPr>
        <w:spacing w:line="360" w:lineRule="auto"/>
        <w:rPr>
          <w:rFonts w:ascii="宋体" w:hAnsi="宋体" w:cs="宋体"/>
          <w:color w:val="auto"/>
          <w:szCs w:val="21"/>
          <w:highlight w:val="none"/>
        </w:rPr>
      </w:pPr>
      <w:r>
        <w:rPr>
          <w:rFonts w:hint="eastAsia" w:ascii="宋体" w:hAnsi="宋体" w:cs="宋体"/>
          <w:color w:val="auto"/>
          <w:szCs w:val="21"/>
          <w:highlight w:val="none"/>
        </w:rPr>
        <w:t>邮政编码：</w:t>
      </w:r>
    </w:p>
    <w:p w14:paraId="6CB4513F">
      <w:pPr>
        <w:pStyle w:val="57"/>
        <w:widowControl w:val="0"/>
        <w:snapToGrid w:val="0"/>
        <w:spacing w:line="360" w:lineRule="auto"/>
        <w:jc w:val="center"/>
        <w:rPr>
          <w:rFonts w:hAnsi="宋体" w:cs="宋体"/>
          <w:b/>
          <w:color w:val="auto"/>
          <w:kern w:val="2"/>
          <w:sz w:val="32"/>
          <w:szCs w:val="32"/>
          <w:highlight w:val="none"/>
        </w:rPr>
      </w:pPr>
      <w:r>
        <w:rPr>
          <w:rFonts w:hint="eastAsia" w:hAnsi="宋体" w:cs="宋体"/>
          <w:b/>
          <w:color w:val="auto"/>
          <w:kern w:val="2"/>
          <w:sz w:val="32"/>
          <w:szCs w:val="32"/>
          <w:highlight w:val="none"/>
        </w:rPr>
        <w:t>政府采购活动现场确认声明书</w:t>
      </w:r>
    </w:p>
    <w:p w14:paraId="4521DEC5">
      <w:pPr>
        <w:pStyle w:val="57"/>
        <w:widowControl w:val="0"/>
        <w:snapToGrid w:val="0"/>
        <w:spacing w:line="360" w:lineRule="auto"/>
        <w:jc w:val="both"/>
        <w:rPr>
          <w:rFonts w:hAnsi="宋体" w:cs="宋体"/>
          <w:b/>
          <w:color w:val="auto"/>
          <w:sz w:val="21"/>
          <w:szCs w:val="21"/>
          <w:highlight w:val="none"/>
        </w:rPr>
      </w:pPr>
      <w:r>
        <w:rPr>
          <w:rFonts w:hint="eastAsia" w:hAnsi="宋体" w:cs="宋体"/>
          <w:color w:val="auto"/>
          <w:sz w:val="21"/>
          <w:szCs w:val="21"/>
          <w:highlight w:val="none"/>
        </w:rPr>
        <w:t xml:space="preserve"> </w:t>
      </w:r>
      <w:r>
        <w:rPr>
          <w:rFonts w:hint="eastAsia" w:hAnsi="宋体" w:cs="宋体"/>
          <w:color w:val="auto"/>
          <w:sz w:val="21"/>
          <w:szCs w:val="21"/>
          <w:highlight w:val="none"/>
          <w:u w:val="single"/>
        </w:rPr>
        <w:t>台州永安工程咨询有限公司</w:t>
      </w:r>
      <w:r>
        <w:rPr>
          <w:rFonts w:hint="eastAsia" w:hAnsi="宋体" w:cs="宋体"/>
          <w:color w:val="auto"/>
          <w:sz w:val="21"/>
          <w:szCs w:val="21"/>
          <w:highlight w:val="none"/>
        </w:rPr>
        <w:t>：</w:t>
      </w:r>
    </w:p>
    <w:p w14:paraId="0A2D2092">
      <w:pPr>
        <w:pStyle w:val="57"/>
        <w:widowControl w:val="0"/>
        <w:snapToGrid w:val="0"/>
        <w:spacing w:line="360" w:lineRule="auto"/>
        <w:ind w:firstLine="444" w:firstLineChars="200"/>
        <w:rPr>
          <w:rFonts w:hAnsi="宋体" w:cs="宋体"/>
          <w:color w:val="auto"/>
          <w:spacing w:val="6"/>
          <w:sz w:val="21"/>
          <w:szCs w:val="21"/>
          <w:highlight w:val="none"/>
        </w:rPr>
      </w:pPr>
      <w:r>
        <w:rPr>
          <w:rFonts w:hint="eastAsia" w:hAnsi="宋体" w:cs="宋体"/>
          <w:color w:val="auto"/>
          <w:spacing w:val="6"/>
          <w:sz w:val="21"/>
          <w:szCs w:val="21"/>
          <w:highlight w:val="none"/>
        </w:rPr>
        <w:t>本人经由</w:t>
      </w:r>
      <w:r>
        <w:rPr>
          <w:rFonts w:hint="eastAsia" w:hAnsi="宋体" w:cs="宋体"/>
          <w:color w:val="auto"/>
          <w:sz w:val="21"/>
          <w:szCs w:val="21"/>
          <w:highlight w:val="none"/>
          <w:u w:val="single"/>
        </w:rPr>
        <w:t xml:space="preserve">  （供应商全称）   </w:t>
      </w:r>
      <w:r>
        <w:rPr>
          <w:rFonts w:hint="eastAsia" w:hAnsi="宋体" w:cs="宋体"/>
          <w:color w:val="auto"/>
          <w:spacing w:val="6"/>
          <w:sz w:val="21"/>
          <w:szCs w:val="21"/>
          <w:highlight w:val="none"/>
        </w:rPr>
        <w:t>负责人</w:t>
      </w:r>
      <w:r>
        <w:rPr>
          <w:rFonts w:hint="eastAsia" w:hAnsi="宋体" w:cs="宋体"/>
          <w:color w:val="auto"/>
          <w:sz w:val="21"/>
          <w:szCs w:val="21"/>
          <w:highlight w:val="none"/>
          <w:u w:val="single"/>
        </w:rPr>
        <w:t xml:space="preserve">  （法定代表人姓名）   </w:t>
      </w:r>
      <w:r>
        <w:rPr>
          <w:rFonts w:hint="eastAsia" w:hAnsi="宋体" w:cs="宋体"/>
          <w:color w:val="auto"/>
          <w:sz w:val="21"/>
          <w:szCs w:val="21"/>
          <w:highlight w:val="none"/>
        </w:rPr>
        <w:t>合</w:t>
      </w:r>
      <w:r>
        <w:rPr>
          <w:rFonts w:hint="eastAsia" w:hAnsi="宋体" w:cs="宋体"/>
          <w:color w:val="auto"/>
          <w:spacing w:val="6"/>
          <w:sz w:val="21"/>
          <w:szCs w:val="21"/>
          <w:highlight w:val="none"/>
        </w:rPr>
        <w:t>法授权参加</w:t>
      </w:r>
      <w:r>
        <w:rPr>
          <w:rFonts w:hint="eastAsia" w:hAnsi="宋体" w:cs="宋体"/>
          <w:color w:val="auto"/>
          <w:spacing w:val="6"/>
          <w:sz w:val="21"/>
          <w:szCs w:val="21"/>
          <w:highlight w:val="none"/>
          <w:u w:val="single"/>
        </w:rPr>
        <w:t>信息安全运维服务项目</w:t>
      </w:r>
      <w:r>
        <w:rPr>
          <w:rFonts w:hint="eastAsia" w:hAnsi="宋体" w:cs="宋体"/>
          <w:color w:val="auto"/>
          <w:spacing w:val="6"/>
          <w:sz w:val="21"/>
          <w:szCs w:val="21"/>
          <w:highlight w:val="none"/>
        </w:rPr>
        <w:t>（编号：</w:t>
      </w:r>
      <w:r>
        <w:rPr>
          <w:rFonts w:hint="eastAsia" w:hAnsi="宋体" w:cs="宋体"/>
          <w:color w:val="auto"/>
          <w:spacing w:val="6"/>
          <w:sz w:val="21"/>
          <w:szCs w:val="21"/>
          <w:highlight w:val="none"/>
          <w:u w:val="single"/>
          <w:lang w:eastAsia="zh-CN"/>
        </w:rPr>
        <w:t>tzya2025-tz37</w:t>
      </w:r>
      <w:r>
        <w:rPr>
          <w:rFonts w:hint="eastAsia" w:hAnsi="宋体" w:cs="宋体"/>
          <w:color w:val="auto"/>
          <w:spacing w:val="6"/>
          <w:sz w:val="21"/>
          <w:szCs w:val="21"/>
          <w:highlight w:val="none"/>
        </w:rPr>
        <w:t xml:space="preserve">）政府采购活动，经与本单位法定代表人代表（负责人）联系确认，现就有关公平竞争事项郑重声明如下： </w:t>
      </w:r>
    </w:p>
    <w:p w14:paraId="1CB83BBA">
      <w:pPr>
        <w:pStyle w:val="54"/>
        <w:widowControl/>
        <w:tabs>
          <w:tab w:val="left" w:pos="630"/>
        </w:tabs>
        <w:snapToGrid w:val="0"/>
        <w:spacing w:line="360" w:lineRule="auto"/>
        <w:ind w:left="210"/>
        <w:rPr>
          <w:rFonts w:hAnsi="宋体" w:cs="宋体"/>
          <w:color w:val="auto"/>
          <w:sz w:val="21"/>
          <w:szCs w:val="21"/>
          <w:highlight w:val="none"/>
        </w:rPr>
      </w:pPr>
      <w:r>
        <w:rPr>
          <w:rFonts w:hint="eastAsia" w:hAnsi="宋体" w:cs="宋体"/>
          <w:color w:val="auto"/>
          <w:sz w:val="21"/>
          <w:szCs w:val="21"/>
          <w:highlight w:val="none"/>
        </w:rPr>
        <w:t xml:space="preserve">一、本单位与采购人之间 </w:t>
      </w:r>
      <w:r>
        <w:rPr>
          <w:rFonts w:hint="eastAsia" w:hAnsi="宋体" w:cs="宋体"/>
          <w:color w:val="auto"/>
          <w:sz w:val="21"/>
          <w:szCs w:val="21"/>
          <w:highlight w:val="none"/>
        </w:rPr>
        <w:sym w:font="Wingdings" w:char="00FE"/>
      </w:r>
      <w:r>
        <w:rPr>
          <w:rFonts w:hint="eastAsia" w:hAnsi="宋体" w:cs="宋体"/>
          <w:color w:val="auto"/>
          <w:sz w:val="21"/>
          <w:szCs w:val="21"/>
          <w:highlight w:val="none"/>
        </w:rPr>
        <w:t>不存在利害关系 □存在下列利害关系</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w:t>
      </w:r>
    </w:p>
    <w:p w14:paraId="2BB91F64">
      <w:pPr>
        <w:pStyle w:val="54"/>
        <w:widowControl/>
        <w:snapToGrid w:val="0"/>
        <w:spacing w:line="360" w:lineRule="auto"/>
        <w:rPr>
          <w:rFonts w:hAnsi="宋体" w:cs="宋体"/>
          <w:color w:val="auto"/>
          <w:sz w:val="21"/>
          <w:szCs w:val="21"/>
          <w:highlight w:val="none"/>
        </w:rPr>
      </w:pPr>
      <w:r>
        <w:rPr>
          <w:rFonts w:hint="eastAsia" w:hAnsi="宋体" w:cs="宋体"/>
          <w:color w:val="auto"/>
          <w:sz w:val="21"/>
          <w:szCs w:val="21"/>
          <w:highlight w:val="none"/>
        </w:rPr>
        <w:t xml:space="preserve">  A.投资关系    B.行政隶属关系    C.业务指导关系</w:t>
      </w:r>
    </w:p>
    <w:p w14:paraId="7462AE55">
      <w:pPr>
        <w:pStyle w:val="54"/>
        <w:widowControl/>
        <w:snapToGrid w:val="0"/>
        <w:spacing w:line="360" w:lineRule="auto"/>
        <w:rPr>
          <w:rFonts w:hAnsi="宋体" w:cs="宋体"/>
          <w:color w:val="auto"/>
          <w:sz w:val="21"/>
          <w:szCs w:val="21"/>
          <w:highlight w:val="none"/>
        </w:rPr>
      </w:pPr>
      <w:r>
        <w:rPr>
          <w:rFonts w:hint="eastAsia" w:hAnsi="宋体" w:cs="宋体"/>
          <w:color w:val="auto"/>
          <w:sz w:val="21"/>
          <w:szCs w:val="21"/>
          <w:highlight w:val="none"/>
        </w:rPr>
        <w:t xml:space="preserve">  D.其他可能影响采购公正的利害关系</w:t>
      </w:r>
      <w:r>
        <w:rPr>
          <w:rFonts w:hint="eastAsia" w:hAnsi="宋体" w:cs="宋体"/>
          <w:color w:val="auto"/>
          <w:sz w:val="21"/>
          <w:szCs w:val="21"/>
          <w:highlight w:val="none"/>
          <w:u w:val="single"/>
        </w:rPr>
        <w:t xml:space="preserve">（如有，请如实说明）                 </w:t>
      </w:r>
      <w:r>
        <w:rPr>
          <w:rFonts w:hint="eastAsia" w:hAnsi="宋体" w:cs="宋体"/>
          <w:color w:val="auto"/>
          <w:sz w:val="21"/>
          <w:szCs w:val="21"/>
          <w:highlight w:val="none"/>
        </w:rPr>
        <w:t>。</w:t>
      </w:r>
    </w:p>
    <w:p w14:paraId="744EA852">
      <w:pPr>
        <w:pStyle w:val="54"/>
        <w:widowControl/>
        <w:snapToGrid w:val="0"/>
        <w:spacing w:line="360" w:lineRule="auto"/>
        <w:ind w:firstLine="222" w:firstLineChars="100"/>
        <w:rPr>
          <w:rFonts w:hAnsi="宋体" w:cs="宋体"/>
          <w:color w:val="auto"/>
          <w:sz w:val="21"/>
          <w:szCs w:val="21"/>
          <w:highlight w:val="none"/>
        </w:rPr>
      </w:pPr>
      <w:r>
        <w:rPr>
          <w:rFonts w:hint="eastAsia" w:hAnsi="宋体" w:cs="宋体"/>
          <w:color w:val="auto"/>
          <w:spacing w:val="6"/>
          <w:sz w:val="21"/>
          <w:szCs w:val="21"/>
          <w:highlight w:val="none"/>
        </w:rPr>
        <w:t>二、</w:t>
      </w:r>
      <w:r>
        <w:rPr>
          <w:rFonts w:hint="eastAsia" w:hAnsi="宋体" w:cs="宋体"/>
          <w:color w:val="auto"/>
          <w:sz w:val="21"/>
          <w:szCs w:val="21"/>
          <w:highlight w:val="none"/>
        </w:rPr>
        <w:t>现已清楚知道参加本项目采购活动的其他所有供应商名称，本单位</w:t>
      </w:r>
      <w:r>
        <w:rPr>
          <w:rFonts w:hint="eastAsia" w:hAnsi="宋体" w:cs="宋体"/>
          <w:color w:val="auto"/>
          <w:sz w:val="21"/>
          <w:szCs w:val="21"/>
          <w:highlight w:val="none"/>
        </w:rPr>
        <w:sym w:font="Wingdings" w:char="00FE"/>
      </w:r>
      <w:r>
        <w:rPr>
          <w:rFonts w:hint="eastAsia" w:hAnsi="宋体" w:cs="宋体"/>
          <w:color w:val="auto"/>
          <w:sz w:val="21"/>
          <w:szCs w:val="21"/>
          <w:highlight w:val="none"/>
        </w:rPr>
        <w:t>与其他所有供应商之间均不存在利害关系 □与</w:t>
      </w:r>
      <w:r>
        <w:rPr>
          <w:rFonts w:hint="eastAsia" w:hAnsi="宋体" w:cs="宋体"/>
          <w:color w:val="auto"/>
          <w:sz w:val="21"/>
          <w:szCs w:val="21"/>
          <w:highlight w:val="none"/>
          <w:u w:val="single"/>
        </w:rPr>
        <w:t xml:space="preserve">           （供应商名称）</w:t>
      </w:r>
      <w:r>
        <w:rPr>
          <w:rFonts w:hint="eastAsia" w:hAnsi="宋体" w:cs="宋体"/>
          <w:color w:val="auto"/>
          <w:sz w:val="21"/>
          <w:szCs w:val="21"/>
          <w:highlight w:val="none"/>
        </w:rPr>
        <w:t>之间存在下列利害关系</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w:t>
      </w:r>
    </w:p>
    <w:p w14:paraId="5B177565">
      <w:pPr>
        <w:pStyle w:val="57"/>
        <w:widowControl w:val="0"/>
        <w:snapToGrid w:val="0"/>
        <w:spacing w:line="360" w:lineRule="auto"/>
        <w:jc w:val="both"/>
        <w:rPr>
          <w:rFonts w:hAnsi="宋体" w:cs="宋体"/>
          <w:color w:val="auto"/>
          <w:sz w:val="21"/>
          <w:szCs w:val="21"/>
          <w:highlight w:val="none"/>
        </w:rPr>
      </w:pPr>
      <w:r>
        <w:rPr>
          <w:rFonts w:hint="eastAsia" w:hAnsi="宋体" w:cs="宋体"/>
          <w:color w:val="auto"/>
          <w:sz w:val="21"/>
          <w:szCs w:val="21"/>
          <w:highlight w:val="none"/>
        </w:rPr>
        <w:t xml:space="preserve">  A.法定代表人或负责人或实际控制人是同一人</w:t>
      </w:r>
    </w:p>
    <w:p w14:paraId="387F7BDA">
      <w:pPr>
        <w:pStyle w:val="57"/>
        <w:widowControl w:val="0"/>
        <w:snapToGrid w:val="0"/>
        <w:spacing w:line="360" w:lineRule="auto"/>
        <w:jc w:val="both"/>
        <w:rPr>
          <w:rFonts w:hAnsi="宋体" w:cs="宋体"/>
          <w:color w:val="auto"/>
          <w:spacing w:val="6"/>
          <w:sz w:val="21"/>
          <w:szCs w:val="21"/>
          <w:highlight w:val="none"/>
        </w:rPr>
      </w:pPr>
      <w:r>
        <w:rPr>
          <w:rFonts w:hint="eastAsia" w:hAnsi="宋体" w:cs="宋体"/>
          <w:color w:val="auto"/>
          <w:sz w:val="21"/>
          <w:szCs w:val="21"/>
          <w:highlight w:val="none"/>
        </w:rPr>
        <w:t xml:space="preserve">  B.法定代表人或负责人或实际控制人是夫妻关系</w:t>
      </w:r>
    </w:p>
    <w:p w14:paraId="11B31ADA">
      <w:pPr>
        <w:pStyle w:val="57"/>
        <w:widowControl w:val="0"/>
        <w:snapToGrid w:val="0"/>
        <w:spacing w:line="360" w:lineRule="auto"/>
        <w:jc w:val="both"/>
        <w:rPr>
          <w:rFonts w:hAnsi="宋体" w:cs="宋体"/>
          <w:color w:val="auto"/>
          <w:spacing w:val="6"/>
          <w:sz w:val="21"/>
          <w:szCs w:val="21"/>
          <w:highlight w:val="none"/>
        </w:rPr>
      </w:pPr>
      <w:r>
        <w:rPr>
          <w:rFonts w:hint="eastAsia" w:hAnsi="宋体" w:cs="宋体"/>
          <w:color w:val="auto"/>
          <w:sz w:val="21"/>
          <w:szCs w:val="21"/>
          <w:highlight w:val="none"/>
        </w:rPr>
        <w:t xml:space="preserve">  C.法定代表人或负责人或实际控制人是直系血亲关系</w:t>
      </w:r>
    </w:p>
    <w:p w14:paraId="6F32E8D1">
      <w:pPr>
        <w:pStyle w:val="57"/>
        <w:widowControl w:val="0"/>
        <w:snapToGrid w:val="0"/>
        <w:spacing w:line="360" w:lineRule="auto"/>
        <w:jc w:val="both"/>
        <w:rPr>
          <w:rFonts w:hAnsi="宋体" w:cs="宋体"/>
          <w:color w:val="auto"/>
          <w:spacing w:val="6"/>
          <w:sz w:val="21"/>
          <w:szCs w:val="21"/>
          <w:highlight w:val="none"/>
        </w:rPr>
      </w:pPr>
      <w:r>
        <w:rPr>
          <w:rFonts w:hint="eastAsia" w:hAnsi="宋体" w:cs="宋体"/>
          <w:color w:val="auto"/>
          <w:sz w:val="21"/>
          <w:szCs w:val="21"/>
          <w:highlight w:val="none"/>
        </w:rPr>
        <w:t xml:space="preserve">  D.法定代表人或负责人或实际控制人存在三代以内旁系血亲关系</w:t>
      </w:r>
    </w:p>
    <w:p w14:paraId="62B131D0">
      <w:pPr>
        <w:pStyle w:val="57"/>
        <w:widowControl w:val="0"/>
        <w:snapToGrid w:val="0"/>
        <w:spacing w:line="360" w:lineRule="auto"/>
        <w:jc w:val="both"/>
        <w:rPr>
          <w:rFonts w:hAnsi="宋体" w:cs="宋体"/>
          <w:color w:val="auto"/>
          <w:sz w:val="21"/>
          <w:szCs w:val="21"/>
          <w:highlight w:val="none"/>
        </w:rPr>
      </w:pPr>
      <w:r>
        <w:rPr>
          <w:rFonts w:hint="eastAsia" w:hAnsi="宋体" w:cs="宋体"/>
          <w:color w:val="auto"/>
          <w:sz w:val="21"/>
          <w:szCs w:val="21"/>
          <w:highlight w:val="none"/>
        </w:rPr>
        <w:t xml:space="preserve">  E.法定代表人或负责人或实际控制人存在近姻亲关系</w:t>
      </w:r>
    </w:p>
    <w:p w14:paraId="4DFA2B30">
      <w:pPr>
        <w:pStyle w:val="57"/>
        <w:widowControl w:val="0"/>
        <w:snapToGrid w:val="0"/>
        <w:spacing w:line="360" w:lineRule="auto"/>
        <w:jc w:val="both"/>
        <w:rPr>
          <w:rFonts w:hAnsi="宋体" w:cs="宋体"/>
          <w:color w:val="auto"/>
          <w:sz w:val="21"/>
          <w:szCs w:val="21"/>
          <w:highlight w:val="none"/>
        </w:rPr>
      </w:pPr>
      <w:r>
        <w:rPr>
          <w:rFonts w:hint="eastAsia" w:hAnsi="宋体" w:cs="宋体"/>
          <w:color w:val="auto"/>
          <w:sz w:val="21"/>
          <w:szCs w:val="21"/>
          <w:highlight w:val="none"/>
        </w:rPr>
        <w:t xml:space="preserve">  F.法定代表人或负责人或实际控制人存在股份控制或实际控制关系</w:t>
      </w:r>
    </w:p>
    <w:p w14:paraId="2071B689">
      <w:pPr>
        <w:pStyle w:val="57"/>
        <w:widowControl w:val="0"/>
        <w:snapToGrid w:val="0"/>
        <w:spacing w:line="360" w:lineRule="auto"/>
        <w:jc w:val="both"/>
        <w:rPr>
          <w:rFonts w:hAnsi="宋体" w:cs="宋体"/>
          <w:color w:val="auto"/>
          <w:sz w:val="21"/>
          <w:szCs w:val="21"/>
          <w:highlight w:val="none"/>
        </w:rPr>
      </w:pPr>
      <w:r>
        <w:rPr>
          <w:rFonts w:hint="eastAsia" w:hAnsi="宋体" w:cs="宋体"/>
          <w:color w:val="auto"/>
          <w:sz w:val="21"/>
          <w:szCs w:val="21"/>
          <w:highlight w:val="none"/>
        </w:rPr>
        <w:t xml:space="preserve">  G.存在共同直接或间接投资设立子公司、联营企业和合营企业情况</w:t>
      </w:r>
    </w:p>
    <w:p w14:paraId="488BA3F4">
      <w:pPr>
        <w:pStyle w:val="57"/>
        <w:widowControl w:val="0"/>
        <w:snapToGrid w:val="0"/>
        <w:spacing w:line="360" w:lineRule="auto"/>
        <w:jc w:val="both"/>
        <w:rPr>
          <w:rFonts w:hAnsi="宋体" w:cs="宋体"/>
          <w:color w:val="auto"/>
          <w:sz w:val="21"/>
          <w:szCs w:val="21"/>
          <w:highlight w:val="none"/>
        </w:rPr>
      </w:pPr>
      <w:r>
        <w:rPr>
          <w:rFonts w:hint="eastAsia" w:hAnsi="宋体" w:cs="宋体"/>
          <w:color w:val="auto"/>
          <w:sz w:val="21"/>
          <w:szCs w:val="21"/>
          <w:highlight w:val="none"/>
        </w:rPr>
        <w:t xml:space="preserve">  H.存在分级代理或代销关系、同一生产制造商关系、管理关系、重要业务（占主营业务收入50%以上）或重要财务往来关系（如融资）等其他实质性控制关系</w:t>
      </w:r>
    </w:p>
    <w:p w14:paraId="6B7FE7C0">
      <w:pPr>
        <w:pStyle w:val="57"/>
        <w:widowControl w:val="0"/>
        <w:snapToGrid w:val="0"/>
        <w:spacing w:line="360" w:lineRule="auto"/>
        <w:jc w:val="both"/>
        <w:rPr>
          <w:rFonts w:hAnsi="宋体" w:cs="宋体"/>
          <w:color w:val="auto"/>
          <w:spacing w:val="6"/>
          <w:sz w:val="21"/>
          <w:szCs w:val="21"/>
          <w:highlight w:val="none"/>
        </w:rPr>
      </w:pPr>
      <w:r>
        <w:rPr>
          <w:rFonts w:hint="eastAsia" w:hAnsi="宋体" w:cs="宋体"/>
          <w:color w:val="auto"/>
          <w:sz w:val="21"/>
          <w:szCs w:val="21"/>
          <w:highlight w:val="none"/>
        </w:rPr>
        <w:t xml:space="preserve">    I.其他利害关系情况</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w:t>
      </w:r>
    </w:p>
    <w:p w14:paraId="1E6339FA">
      <w:pPr>
        <w:pStyle w:val="54"/>
        <w:widowControl/>
        <w:snapToGrid w:val="0"/>
        <w:spacing w:line="360" w:lineRule="auto"/>
        <w:ind w:left="210"/>
        <w:rPr>
          <w:rFonts w:hAnsi="宋体" w:cs="宋体"/>
          <w:color w:val="auto"/>
          <w:sz w:val="21"/>
          <w:szCs w:val="21"/>
          <w:highlight w:val="none"/>
        </w:rPr>
      </w:pPr>
      <w:r>
        <w:rPr>
          <w:rFonts w:hint="eastAsia" w:hAnsi="宋体" w:cs="宋体"/>
          <w:color w:val="auto"/>
          <w:sz w:val="21"/>
          <w:szCs w:val="21"/>
          <w:highlight w:val="none"/>
        </w:rPr>
        <w:t>三、现已清楚知道并严格遵守政府采购法律法规和现场纪律。</w:t>
      </w:r>
    </w:p>
    <w:p w14:paraId="3DAF192C">
      <w:pPr>
        <w:pStyle w:val="54"/>
        <w:widowControl/>
        <w:snapToGrid w:val="0"/>
        <w:spacing w:line="360" w:lineRule="auto"/>
        <w:ind w:left="360"/>
        <w:rPr>
          <w:rFonts w:hAnsi="宋体" w:cs="宋体"/>
          <w:color w:val="auto"/>
          <w:sz w:val="21"/>
          <w:szCs w:val="21"/>
          <w:highlight w:val="none"/>
        </w:rPr>
      </w:pPr>
      <w:r>
        <w:rPr>
          <w:rFonts w:hint="eastAsia" w:hAnsi="宋体" w:cs="宋体"/>
          <w:color w:val="auto"/>
          <w:sz w:val="21"/>
          <w:szCs w:val="21"/>
          <w:highlight w:val="none"/>
        </w:rPr>
        <w:t>四、我发现</w:t>
      </w:r>
      <w:r>
        <w:rPr>
          <w:rFonts w:hint="eastAsia" w:hAnsi="宋体" w:cs="宋体"/>
          <w:color w:val="auto"/>
          <w:sz w:val="21"/>
          <w:szCs w:val="21"/>
          <w:highlight w:val="none"/>
          <w:u w:val="single"/>
        </w:rPr>
        <w:t xml:space="preserve"> </w:t>
      </w:r>
      <w:r>
        <w:rPr>
          <w:rFonts w:hint="eastAsia" w:hAnsi="宋体" w:cs="宋体"/>
          <w:b/>
          <w:bCs/>
          <w:color w:val="auto"/>
          <w:sz w:val="21"/>
          <w:szCs w:val="21"/>
          <w:highlight w:val="none"/>
          <w:u w:val="single"/>
        </w:rPr>
        <w:t xml:space="preserve"> / </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供应商之间存在或可能存在上述第二条第</w:t>
      </w:r>
      <w:r>
        <w:rPr>
          <w:rFonts w:hint="eastAsia" w:hAnsi="宋体" w:cs="宋体"/>
          <w:color w:val="auto"/>
          <w:sz w:val="21"/>
          <w:szCs w:val="21"/>
          <w:highlight w:val="none"/>
          <w:u w:val="single"/>
        </w:rPr>
        <w:t xml:space="preserve"> </w:t>
      </w:r>
      <w:r>
        <w:rPr>
          <w:rFonts w:hint="eastAsia" w:hAnsi="宋体" w:cs="宋体"/>
          <w:b/>
          <w:bCs/>
          <w:color w:val="auto"/>
          <w:sz w:val="21"/>
          <w:szCs w:val="21"/>
          <w:highlight w:val="none"/>
          <w:u w:val="single"/>
        </w:rPr>
        <w:t xml:space="preserve"> /</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项利害关系。</w:t>
      </w:r>
    </w:p>
    <w:p w14:paraId="0AACF799">
      <w:pPr>
        <w:pStyle w:val="54"/>
        <w:widowControl/>
        <w:snapToGrid w:val="0"/>
        <w:spacing w:line="360" w:lineRule="auto"/>
        <w:ind w:left="210"/>
        <w:rPr>
          <w:rFonts w:hAnsi="宋体" w:cs="宋体"/>
          <w:color w:val="auto"/>
          <w:sz w:val="21"/>
          <w:szCs w:val="21"/>
          <w:highlight w:val="none"/>
        </w:rPr>
      </w:pPr>
      <w:r>
        <w:rPr>
          <w:rFonts w:hint="eastAsia" w:hAnsi="宋体" w:cs="宋体"/>
          <w:color w:val="auto"/>
          <w:sz w:val="21"/>
          <w:szCs w:val="21"/>
          <w:highlight w:val="none"/>
        </w:rPr>
        <w:t>五、本单位若有违反诚信投标、采购法律法规等行为，愿意按照采购文件规定接受投标担保的处理。如已中标，自动放弃中标资格；给招标人造成损失的，依法承担赔偿责任。</w:t>
      </w:r>
    </w:p>
    <w:p w14:paraId="68985245">
      <w:pPr>
        <w:pStyle w:val="57"/>
        <w:widowControl w:val="0"/>
        <w:snapToGrid w:val="0"/>
        <w:spacing w:line="360" w:lineRule="auto"/>
        <w:ind w:firstLine="420" w:firstLineChars="200"/>
        <w:jc w:val="both"/>
        <w:rPr>
          <w:rFonts w:hAnsi="宋体" w:cs="宋体"/>
          <w:color w:val="auto"/>
          <w:sz w:val="21"/>
          <w:szCs w:val="21"/>
          <w:highlight w:val="none"/>
        </w:rPr>
      </w:pPr>
      <w:r>
        <w:rPr>
          <w:rFonts w:hint="eastAsia" w:hAnsi="宋体" w:cs="宋体"/>
          <w:color w:val="auto"/>
          <w:sz w:val="21"/>
          <w:szCs w:val="21"/>
          <w:highlight w:val="none"/>
        </w:rPr>
        <w:t xml:space="preserve">                                （供应商代表签字或盖章）</w:t>
      </w:r>
    </w:p>
    <w:p w14:paraId="2D1C997B">
      <w:pPr>
        <w:pStyle w:val="57"/>
        <w:widowControl w:val="0"/>
        <w:snapToGrid w:val="0"/>
        <w:spacing w:line="360" w:lineRule="auto"/>
        <w:ind w:firstLine="420" w:firstLineChars="200"/>
        <w:jc w:val="both"/>
        <w:rPr>
          <w:rFonts w:hAnsi="宋体" w:cs="宋体"/>
          <w:color w:val="auto"/>
          <w:sz w:val="21"/>
          <w:szCs w:val="21"/>
          <w:highlight w:val="none"/>
        </w:rPr>
      </w:pPr>
      <w:r>
        <w:rPr>
          <w:rFonts w:hint="eastAsia" w:hAnsi="宋体" w:cs="宋体"/>
          <w:color w:val="auto"/>
          <w:sz w:val="21"/>
          <w:szCs w:val="21"/>
          <w:highlight w:val="none"/>
        </w:rPr>
        <w:t xml:space="preserve">                                 年   月   日</w:t>
      </w:r>
    </w:p>
    <w:p w14:paraId="22F77483">
      <w:pPr>
        <w:snapToGrid w:val="0"/>
        <w:spacing w:line="360" w:lineRule="auto"/>
        <w:rPr>
          <w:rFonts w:ascii="宋体" w:hAnsi="宋体" w:cs="宋体"/>
          <w:b/>
          <w:color w:val="auto"/>
          <w:sz w:val="28"/>
          <w:highlight w:val="none"/>
        </w:rPr>
      </w:pPr>
    </w:p>
    <w:p w14:paraId="02ED9CFC">
      <w:pPr>
        <w:snapToGrid w:val="0"/>
        <w:spacing w:line="360" w:lineRule="auto"/>
        <w:rPr>
          <w:rFonts w:ascii="宋体" w:hAnsi="宋体" w:cs="宋体"/>
          <w:b/>
          <w:color w:val="auto"/>
          <w:sz w:val="28"/>
          <w:highlight w:val="none"/>
        </w:rPr>
      </w:pPr>
    </w:p>
    <w:p w14:paraId="1C00E2F9">
      <w:pPr>
        <w:snapToGrid w:val="0"/>
        <w:spacing w:line="360" w:lineRule="auto"/>
        <w:rPr>
          <w:rFonts w:ascii="宋体" w:hAnsi="宋体" w:cs="宋体"/>
          <w:b/>
          <w:color w:val="auto"/>
          <w:sz w:val="28"/>
          <w:highlight w:val="none"/>
        </w:rPr>
      </w:pPr>
    </w:p>
    <w:p w14:paraId="3753DD36">
      <w:pPr>
        <w:snapToGrid w:val="0"/>
        <w:spacing w:line="360" w:lineRule="auto"/>
        <w:rPr>
          <w:rFonts w:ascii="宋体" w:hAnsi="宋体" w:cs="宋体"/>
          <w:b/>
          <w:color w:val="auto"/>
          <w:sz w:val="28"/>
          <w:highlight w:val="none"/>
        </w:rPr>
      </w:pPr>
    </w:p>
    <w:p w14:paraId="0A73EDA1">
      <w:pPr>
        <w:snapToGrid w:val="0"/>
        <w:spacing w:line="360" w:lineRule="auto"/>
        <w:rPr>
          <w:rFonts w:ascii="宋体" w:hAnsi="宋体" w:cs="宋体"/>
          <w:b/>
          <w:color w:val="auto"/>
          <w:sz w:val="28"/>
          <w:highlight w:val="none"/>
        </w:rPr>
      </w:pPr>
    </w:p>
    <w:p w14:paraId="3D5AB582">
      <w:pPr>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附件4</w:t>
      </w:r>
      <w:r>
        <w:rPr>
          <w:rFonts w:hint="eastAsia" w:ascii="宋体" w:hAnsi="宋体" w:cs="宋体"/>
          <w:b/>
          <w:color w:val="auto"/>
          <w:sz w:val="30"/>
          <w:szCs w:val="30"/>
          <w:highlight w:val="none"/>
        </w:rPr>
        <w:t xml:space="preserve">                             </w:t>
      </w:r>
      <w:r>
        <w:rPr>
          <w:rFonts w:hint="eastAsia" w:ascii="宋体" w:hAnsi="宋体" w:cs="宋体"/>
          <w:color w:val="auto"/>
          <w:sz w:val="30"/>
          <w:szCs w:val="30"/>
          <w:highlight w:val="none"/>
        </w:rPr>
        <w:t xml:space="preserve"> 　　　</w:t>
      </w:r>
      <w:r>
        <w:rPr>
          <w:rFonts w:hint="eastAsia" w:ascii="宋体" w:hAnsi="宋体" w:cs="宋体"/>
          <w:b/>
          <w:color w:val="auto"/>
          <w:sz w:val="28"/>
          <w:highlight w:val="none"/>
        </w:rPr>
        <w:t xml:space="preserve">        </w:t>
      </w:r>
      <w:r>
        <w:rPr>
          <w:rFonts w:hint="eastAsia" w:ascii="宋体" w:hAnsi="宋体" w:cs="宋体"/>
          <w:b/>
          <w:color w:val="auto"/>
          <w:sz w:val="28"/>
          <w:highlight w:val="none"/>
          <w:u w:val="single"/>
        </w:rPr>
        <w:t xml:space="preserve">     </w:t>
      </w:r>
      <w:r>
        <w:rPr>
          <w:rFonts w:hint="eastAsia" w:ascii="宋体" w:hAnsi="宋体" w:cs="宋体"/>
          <w:bCs/>
          <w:color w:val="auto"/>
          <w:sz w:val="24"/>
          <w:highlight w:val="none"/>
        </w:rPr>
        <w:t>本</w:t>
      </w:r>
    </w:p>
    <w:p w14:paraId="1A15BB20">
      <w:pPr>
        <w:ind w:right="-110"/>
        <w:jc w:val="center"/>
        <w:rPr>
          <w:rFonts w:ascii="宋体" w:hAnsi="宋体" w:cs="宋体"/>
          <w:color w:val="auto"/>
          <w:spacing w:val="40"/>
          <w:sz w:val="52"/>
          <w:szCs w:val="52"/>
          <w:highlight w:val="none"/>
        </w:rPr>
      </w:pPr>
    </w:p>
    <w:p w14:paraId="318BE8C5">
      <w:pPr>
        <w:spacing w:line="360" w:lineRule="auto"/>
        <w:ind w:right="-110"/>
        <w:jc w:val="center"/>
        <w:rPr>
          <w:rFonts w:ascii="宋体" w:hAnsi="宋体" w:cs="宋体"/>
          <w:color w:val="auto"/>
          <w:spacing w:val="40"/>
          <w:sz w:val="52"/>
          <w:szCs w:val="52"/>
          <w:highlight w:val="none"/>
        </w:rPr>
      </w:pPr>
      <w:r>
        <w:rPr>
          <w:rFonts w:hint="eastAsia" w:ascii="宋体" w:hAnsi="宋体" w:cs="宋体"/>
          <w:color w:val="auto"/>
          <w:spacing w:val="40"/>
          <w:sz w:val="52"/>
          <w:szCs w:val="52"/>
          <w:highlight w:val="none"/>
        </w:rPr>
        <w:t>项目名称</w:t>
      </w:r>
    </w:p>
    <w:p w14:paraId="55EB97A3">
      <w:pPr>
        <w:spacing w:beforeLines="100" w:line="360" w:lineRule="auto"/>
        <w:ind w:right="-108" w:firstLine="2160" w:firstLineChars="600"/>
        <w:rPr>
          <w:rFonts w:ascii="宋体" w:hAnsi="宋体" w:cs="宋体"/>
          <w:color w:val="auto"/>
          <w:sz w:val="36"/>
          <w:szCs w:val="36"/>
          <w:highlight w:val="none"/>
          <w:u w:val="single"/>
        </w:rPr>
      </w:pPr>
      <w:r>
        <w:rPr>
          <w:rFonts w:hint="eastAsia" w:ascii="宋体" w:hAnsi="宋体" w:cs="宋体"/>
          <w:color w:val="auto"/>
          <w:sz w:val="36"/>
          <w:szCs w:val="36"/>
          <w:highlight w:val="none"/>
        </w:rPr>
        <w:t>项目编号：</w:t>
      </w:r>
      <w:r>
        <w:rPr>
          <w:rFonts w:hint="eastAsia" w:ascii="宋体" w:hAnsi="宋体" w:cs="宋体"/>
          <w:color w:val="auto"/>
          <w:sz w:val="36"/>
          <w:szCs w:val="36"/>
          <w:highlight w:val="none"/>
          <w:u w:val="single"/>
        </w:rPr>
        <w:t xml:space="preserve">            </w:t>
      </w:r>
    </w:p>
    <w:p w14:paraId="10558BA7">
      <w:pPr>
        <w:pStyle w:val="20"/>
        <w:outlineLvl w:val="9"/>
        <w:rPr>
          <w:rFonts w:ascii="宋体" w:hAnsi="宋体" w:cs="宋体"/>
          <w:color w:val="auto"/>
          <w:highlight w:val="none"/>
        </w:rPr>
      </w:pPr>
    </w:p>
    <w:p w14:paraId="2CCB2452">
      <w:pPr>
        <w:spacing w:after="100" w:afterAutospacing="1" w:line="800" w:lineRule="exact"/>
        <w:ind w:right="-108"/>
        <w:jc w:val="center"/>
        <w:rPr>
          <w:rFonts w:ascii="宋体" w:hAnsi="宋体" w:cs="宋体"/>
          <w:b/>
          <w:color w:val="auto"/>
          <w:spacing w:val="40"/>
          <w:sz w:val="72"/>
          <w:szCs w:val="72"/>
          <w:highlight w:val="none"/>
        </w:rPr>
      </w:pPr>
      <w:r>
        <w:rPr>
          <w:rFonts w:hint="eastAsia" w:ascii="宋体" w:hAnsi="宋体" w:cs="宋体"/>
          <w:b/>
          <w:color w:val="auto"/>
          <w:spacing w:val="40"/>
          <w:sz w:val="72"/>
          <w:szCs w:val="72"/>
          <w:highlight w:val="none"/>
        </w:rPr>
        <w:t>磋</w:t>
      </w:r>
    </w:p>
    <w:p w14:paraId="58C094F0">
      <w:pPr>
        <w:spacing w:after="100" w:afterAutospacing="1" w:line="800" w:lineRule="exact"/>
        <w:ind w:right="-108"/>
        <w:jc w:val="center"/>
        <w:rPr>
          <w:rFonts w:ascii="宋体" w:hAnsi="宋体" w:cs="宋体"/>
          <w:b/>
          <w:color w:val="auto"/>
          <w:spacing w:val="40"/>
          <w:sz w:val="72"/>
          <w:szCs w:val="72"/>
          <w:highlight w:val="none"/>
        </w:rPr>
      </w:pPr>
      <w:r>
        <w:rPr>
          <w:rFonts w:hint="eastAsia" w:ascii="宋体" w:hAnsi="宋体" w:cs="宋体"/>
          <w:b/>
          <w:color w:val="auto"/>
          <w:spacing w:val="40"/>
          <w:sz w:val="72"/>
          <w:szCs w:val="72"/>
          <w:highlight w:val="none"/>
        </w:rPr>
        <w:t>商</w:t>
      </w:r>
    </w:p>
    <w:p w14:paraId="1F59F559">
      <w:pPr>
        <w:spacing w:after="100" w:afterAutospacing="1" w:line="800" w:lineRule="exact"/>
        <w:ind w:right="-108"/>
        <w:jc w:val="center"/>
        <w:rPr>
          <w:rFonts w:ascii="宋体" w:hAnsi="宋体" w:cs="宋体"/>
          <w:b/>
          <w:color w:val="auto"/>
          <w:spacing w:val="40"/>
          <w:sz w:val="72"/>
          <w:szCs w:val="72"/>
          <w:highlight w:val="none"/>
        </w:rPr>
      </w:pPr>
      <w:r>
        <w:rPr>
          <w:rFonts w:hint="eastAsia" w:ascii="宋体" w:hAnsi="宋体" w:cs="宋体"/>
          <w:b/>
          <w:color w:val="auto"/>
          <w:spacing w:val="40"/>
          <w:sz w:val="72"/>
          <w:szCs w:val="72"/>
          <w:highlight w:val="none"/>
        </w:rPr>
        <w:t>响</w:t>
      </w:r>
    </w:p>
    <w:p w14:paraId="3976B7F0">
      <w:pPr>
        <w:spacing w:after="100" w:afterAutospacing="1" w:line="800" w:lineRule="exact"/>
        <w:ind w:right="-108"/>
        <w:jc w:val="center"/>
        <w:rPr>
          <w:rFonts w:ascii="宋体" w:hAnsi="宋体" w:cs="宋体"/>
          <w:b/>
          <w:color w:val="auto"/>
          <w:spacing w:val="40"/>
          <w:sz w:val="72"/>
          <w:szCs w:val="72"/>
          <w:highlight w:val="none"/>
        </w:rPr>
      </w:pPr>
      <w:r>
        <w:rPr>
          <w:rFonts w:hint="eastAsia" w:ascii="宋体" w:hAnsi="宋体" w:cs="宋体"/>
          <w:b/>
          <w:color w:val="auto"/>
          <w:spacing w:val="40"/>
          <w:sz w:val="72"/>
          <w:szCs w:val="72"/>
          <w:highlight w:val="none"/>
        </w:rPr>
        <w:t>应</w:t>
      </w:r>
    </w:p>
    <w:p w14:paraId="20DB25B1">
      <w:pPr>
        <w:spacing w:after="100" w:afterAutospacing="1" w:line="800" w:lineRule="exact"/>
        <w:ind w:right="-108"/>
        <w:jc w:val="center"/>
        <w:rPr>
          <w:rFonts w:ascii="宋体" w:hAnsi="宋体" w:cs="宋体"/>
          <w:b/>
          <w:color w:val="auto"/>
          <w:spacing w:val="40"/>
          <w:sz w:val="72"/>
          <w:szCs w:val="72"/>
          <w:highlight w:val="none"/>
        </w:rPr>
      </w:pPr>
      <w:r>
        <w:rPr>
          <w:rFonts w:hint="eastAsia" w:ascii="宋体" w:hAnsi="宋体" w:cs="宋体"/>
          <w:b/>
          <w:color w:val="auto"/>
          <w:spacing w:val="40"/>
          <w:sz w:val="72"/>
          <w:szCs w:val="72"/>
          <w:highlight w:val="none"/>
        </w:rPr>
        <w:t>文</w:t>
      </w:r>
    </w:p>
    <w:p w14:paraId="146F1099">
      <w:pPr>
        <w:spacing w:after="100" w:afterAutospacing="1" w:line="800" w:lineRule="exact"/>
        <w:ind w:right="-108"/>
        <w:jc w:val="center"/>
        <w:rPr>
          <w:rFonts w:ascii="宋体" w:hAnsi="宋体" w:cs="宋体"/>
          <w:b/>
          <w:color w:val="auto"/>
          <w:spacing w:val="40"/>
          <w:sz w:val="72"/>
          <w:szCs w:val="72"/>
          <w:highlight w:val="none"/>
        </w:rPr>
      </w:pPr>
      <w:r>
        <w:rPr>
          <w:rFonts w:hint="eastAsia" w:ascii="宋体" w:hAnsi="宋体" w:cs="宋体"/>
          <w:b/>
          <w:color w:val="auto"/>
          <w:spacing w:val="40"/>
          <w:sz w:val="72"/>
          <w:szCs w:val="72"/>
          <w:highlight w:val="none"/>
        </w:rPr>
        <w:t>件</w:t>
      </w:r>
    </w:p>
    <w:p w14:paraId="7FDCF289">
      <w:pPr>
        <w:spacing w:after="100" w:afterAutospacing="1" w:line="360" w:lineRule="auto"/>
        <w:ind w:right="-108"/>
        <w:jc w:val="center"/>
        <w:rPr>
          <w:rFonts w:ascii="宋体" w:hAnsi="宋体" w:cs="宋体"/>
          <w:b/>
          <w:color w:val="auto"/>
          <w:spacing w:val="40"/>
          <w:sz w:val="28"/>
          <w:szCs w:val="28"/>
          <w:highlight w:val="none"/>
        </w:rPr>
      </w:pPr>
      <w:r>
        <w:rPr>
          <w:rFonts w:hint="eastAsia" w:ascii="宋体" w:hAnsi="宋体" w:cs="宋体"/>
          <w:b/>
          <w:color w:val="auto"/>
          <w:spacing w:val="40"/>
          <w:sz w:val="28"/>
          <w:szCs w:val="28"/>
          <w:highlight w:val="none"/>
          <w:lang w:val="zh-CN"/>
        </w:rPr>
        <w:t>（商务与技术文件</w:t>
      </w:r>
      <w:r>
        <w:rPr>
          <w:rFonts w:hint="eastAsia" w:ascii="宋体" w:hAnsi="宋体" w:cs="宋体"/>
          <w:b/>
          <w:color w:val="auto"/>
          <w:spacing w:val="40"/>
          <w:sz w:val="28"/>
          <w:szCs w:val="28"/>
          <w:highlight w:val="none"/>
        </w:rPr>
        <w:t>）</w:t>
      </w:r>
    </w:p>
    <w:p w14:paraId="1652DD12">
      <w:pPr>
        <w:spacing w:line="500" w:lineRule="exact"/>
        <w:ind w:right="532" w:firstLine="640" w:firstLineChars="200"/>
        <w:rPr>
          <w:rFonts w:ascii="宋体" w:hAnsi="宋体" w:cs="宋体"/>
          <w:color w:val="auto"/>
          <w:sz w:val="32"/>
          <w:szCs w:val="32"/>
          <w:highlight w:val="none"/>
        </w:rPr>
      </w:pPr>
      <w:r>
        <w:rPr>
          <w:rFonts w:hint="eastAsia" w:ascii="宋体" w:hAnsi="宋体" w:cs="宋体"/>
          <w:color w:val="auto"/>
          <w:sz w:val="32"/>
          <w:szCs w:val="32"/>
          <w:highlight w:val="none"/>
        </w:rPr>
        <w:t>供应商全称（公章）：</w:t>
      </w:r>
    </w:p>
    <w:p w14:paraId="1CE44B8D">
      <w:pPr>
        <w:wordWrap w:val="0"/>
        <w:spacing w:line="500" w:lineRule="exact"/>
        <w:ind w:right="-108" w:firstLine="640" w:firstLineChars="200"/>
        <w:rPr>
          <w:rFonts w:ascii="宋体" w:hAnsi="宋体" w:cs="宋体"/>
          <w:color w:val="auto"/>
          <w:sz w:val="32"/>
          <w:szCs w:val="32"/>
          <w:highlight w:val="none"/>
        </w:rPr>
      </w:pPr>
      <w:r>
        <w:rPr>
          <w:rFonts w:hint="eastAsia" w:ascii="宋体" w:hAnsi="宋体" w:cs="宋体"/>
          <w:color w:val="auto"/>
          <w:sz w:val="32"/>
          <w:szCs w:val="32"/>
          <w:highlight w:val="none"/>
        </w:rPr>
        <w:t>地    址：</w:t>
      </w:r>
    </w:p>
    <w:p w14:paraId="6BF88912">
      <w:pPr>
        <w:wordWrap w:val="0"/>
        <w:spacing w:line="500" w:lineRule="exact"/>
        <w:ind w:right="-108" w:firstLine="640" w:firstLineChars="200"/>
        <w:rPr>
          <w:rFonts w:ascii="宋体" w:hAnsi="宋体" w:cs="宋体"/>
          <w:b/>
          <w:bCs/>
          <w:color w:val="auto"/>
          <w:sz w:val="28"/>
          <w:szCs w:val="28"/>
          <w:highlight w:val="none"/>
        </w:rPr>
      </w:pPr>
      <w:r>
        <w:rPr>
          <w:rFonts w:hint="eastAsia" w:ascii="宋体" w:hAnsi="宋体" w:cs="宋体"/>
          <w:color w:val="auto"/>
          <w:sz w:val="32"/>
          <w:szCs w:val="32"/>
          <w:highlight w:val="none"/>
        </w:rPr>
        <w:t>时    间：</w:t>
      </w:r>
    </w:p>
    <w:p w14:paraId="065ECE3B">
      <w:pPr>
        <w:snapToGrid w:val="0"/>
        <w:spacing w:line="360" w:lineRule="auto"/>
        <w:ind w:firstLine="422" w:firstLineChars="200"/>
        <w:rPr>
          <w:rFonts w:ascii="宋体" w:hAnsi="宋体" w:cs="宋体"/>
          <w:b/>
          <w:bCs/>
          <w:color w:val="auto"/>
          <w:szCs w:val="21"/>
          <w:highlight w:val="none"/>
          <w:lang w:val="zh-CN"/>
        </w:rPr>
      </w:pPr>
    </w:p>
    <w:p w14:paraId="30FAD9B8">
      <w:pPr>
        <w:snapToGrid w:val="0"/>
        <w:spacing w:line="360" w:lineRule="auto"/>
        <w:ind w:firstLine="422" w:firstLineChars="200"/>
        <w:rPr>
          <w:rFonts w:ascii="宋体" w:hAnsi="宋体" w:cs="宋体"/>
          <w:b/>
          <w:bCs/>
          <w:color w:val="auto"/>
          <w:szCs w:val="21"/>
          <w:highlight w:val="none"/>
          <w:lang w:val="zh-CN"/>
        </w:rPr>
      </w:pPr>
    </w:p>
    <w:p w14:paraId="2D08C24A">
      <w:pPr>
        <w:snapToGrid w:val="0"/>
        <w:spacing w:line="360" w:lineRule="auto"/>
        <w:jc w:val="center"/>
        <w:outlineLvl w:val="1"/>
        <w:rPr>
          <w:rFonts w:ascii="宋体" w:hAnsi="宋体" w:cs="宋体"/>
          <w:b/>
          <w:bCs/>
          <w:color w:val="auto"/>
          <w:sz w:val="32"/>
          <w:szCs w:val="32"/>
          <w:highlight w:val="none"/>
        </w:rPr>
      </w:pPr>
      <w:r>
        <w:rPr>
          <w:rFonts w:hint="eastAsia" w:ascii="宋体" w:hAnsi="宋体" w:cs="宋体"/>
          <w:b/>
          <w:bCs/>
          <w:color w:val="auto"/>
          <w:sz w:val="32"/>
          <w:szCs w:val="32"/>
          <w:highlight w:val="none"/>
          <w:lang w:val="zh-CN"/>
        </w:rPr>
        <w:t>商务与技术文件</w:t>
      </w:r>
      <w:r>
        <w:rPr>
          <w:rFonts w:hint="eastAsia" w:ascii="宋体" w:hAnsi="宋体" w:cs="宋体"/>
          <w:b/>
          <w:bCs/>
          <w:color w:val="auto"/>
          <w:sz w:val="32"/>
          <w:szCs w:val="32"/>
          <w:highlight w:val="none"/>
        </w:rPr>
        <w:t>目录</w:t>
      </w:r>
    </w:p>
    <w:p w14:paraId="5DBD3D5C">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lang w:val="zh-CN"/>
        </w:rPr>
        <w:t>第</w:t>
      </w:r>
      <w:r>
        <w:rPr>
          <w:rFonts w:hint="eastAsia" w:ascii="宋体" w:hAnsi="宋体" w:cs="宋体"/>
          <w:b/>
          <w:color w:val="auto"/>
          <w:sz w:val="24"/>
          <w:highlight w:val="none"/>
        </w:rPr>
        <w:t>一</w:t>
      </w:r>
      <w:r>
        <w:rPr>
          <w:rFonts w:hint="eastAsia" w:ascii="宋体" w:hAnsi="宋体" w:cs="宋体"/>
          <w:b/>
          <w:color w:val="auto"/>
          <w:sz w:val="24"/>
          <w:highlight w:val="none"/>
          <w:lang w:val="zh-CN"/>
        </w:rPr>
        <w:t>部分：</w:t>
      </w:r>
      <w:r>
        <w:rPr>
          <w:rFonts w:hint="eastAsia" w:ascii="宋体" w:hAnsi="宋体" w:cs="宋体"/>
          <w:b/>
          <w:color w:val="auto"/>
          <w:sz w:val="24"/>
          <w:highlight w:val="none"/>
        </w:rPr>
        <w:t>评标索引</w:t>
      </w:r>
    </w:p>
    <w:p w14:paraId="26F32A32">
      <w:pPr>
        <w:snapToGri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评标索引：自评表（附件5）</w:t>
      </w:r>
    </w:p>
    <w:p w14:paraId="5570DC29">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第二部分 ：</w:t>
      </w:r>
      <w:r>
        <w:rPr>
          <w:rFonts w:hint="eastAsia" w:ascii="宋体" w:hAnsi="宋体" w:cs="宋体"/>
          <w:b/>
          <w:color w:val="auto"/>
          <w:sz w:val="24"/>
          <w:highlight w:val="none"/>
          <w:lang w:val="zh-CN"/>
        </w:rPr>
        <w:t>商务与技术</w:t>
      </w:r>
      <w:r>
        <w:rPr>
          <w:rFonts w:hint="eastAsia" w:ascii="宋体" w:hAnsi="宋体" w:cs="宋体"/>
          <w:b/>
          <w:color w:val="auto"/>
          <w:sz w:val="24"/>
          <w:highlight w:val="none"/>
        </w:rPr>
        <w:t>部分</w:t>
      </w:r>
    </w:p>
    <w:p w14:paraId="6DB5E958">
      <w:pPr>
        <w:snapToGri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1、供应商基本情况表（附件6）</w:t>
      </w:r>
    </w:p>
    <w:p w14:paraId="2BDC1113">
      <w:pPr>
        <w:snapToGri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 xml:space="preserve">2、项目组织实施方案； </w:t>
      </w:r>
    </w:p>
    <w:p w14:paraId="0812A984">
      <w:pPr>
        <w:snapToGri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3、项目实施人员一览表（附件7）；</w:t>
      </w:r>
    </w:p>
    <w:p w14:paraId="17E1D2B7">
      <w:pPr>
        <w:snapToGri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4、项目负责人资格情况表(附件8)；</w:t>
      </w:r>
    </w:p>
    <w:p w14:paraId="471AF1B0">
      <w:pPr>
        <w:snapToGri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5、商务及技术响应表（附件9）</w:t>
      </w:r>
    </w:p>
    <w:p w14:paraId="39C602E9">
      <w:pPr>
        <w:snapToGri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6、企业证书一览表（附件10）；</w:t>
      </w:r>
    </w:p>
    <w:p w14:paraId="0647E6FD">
      <w:pPr>
        <w:snapToGri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7、类似项目实施情况一览表（附件11）</w:t>
      </w:r>
    </w:p>
    <w:p w14:paraId="5B5B5139">
      <w:pPr>
        <w:snapToGrid w:val="0"/>
        <w:spacing w:line="360" w:lineRule="auto"/>
        <w:ind w:firstLine="480" w:firstLineChars="200"/>
        <w:rPr>
          <w:rFonts w:ascii="宋体" w:hAnsi="宋体" w:cs="宋体"/>
          <w:b/>
          <w:bCs/>
          <w:color w:val="auto"/>
          <w:sz w:val="32"/>
          <w:szCs w:val="32"/>
          <w:highlight w:val="none"/>
          <w:lang w:val="zh-CN"/>
        </w:rPr>
      </w:pPr>
      <w:r>
        <w:rPr>
          <w:rFonts w:hint="eastAsia" w:ascii="宋体" w:hAnsi="宋体" w:cs="宋体"/>
          <w:bCs/>
          <w:color w:val="auto"/>
          <w:sz w:val="24"/>
          <w:highlight w:val="none"/>
        </w:rPr>
        <w:t>8、售后服务措施及承诺（可视情选用附件12）；</w:t>
      </w:r>
    </w:p>
    <w:p w14:paraId="0F7F1D7F">
      <w:pPr>
        <w:rPr>
          <w:rFonts w:ascii="宋体" w:hAnsi="宋体" w:cs="宋体"/>
          <w:b/>
          <w:bCs/>
          <w:color w:val="auto"/>
          <w:sz w:val="32"/>
          <w:szCs w:val="32"/>
          <w:highlight w:val="none"/>
          <w:lang w:val="zh-CN"/>
        </w:rPr>
      </w:pPr>
      <w:r>
        <w:rPr>
          <w:rFonts w:hint="eastAsia" w:ascii="宋体" w:hAnsi="宋体" w:cs="宋体"/>
          <w:b/>
          <w:bCs/>
          <w:color w:val="auto"/>
          <w:sz w:val="32"/>
          <w:szCs w:val="32"/>
          <w:highlight w:val="none"/>
          <w:lang w:val="zh-CN"/>
        </w:rPr>
        <w:br w:type="page"/>
      </w:r>
    </w:p>
    <w:p w14:paraId="31D8CA75">
      <w:pPr>
        <w:pStyle w:val="42"/>
        <w:shd w:val="clear" w:color="auto" w:fill="FFFFFF"/>
        <w:spacing w:before="0" w:beforeAutospacing="0" w:after="0" w:afterAutospacing="0"/>
        <w:rPr>
          <w:b/>
          <w:color w:val="auto"/>
          <w:sz w:val="28"/>
          <w:highlight w:val="none"/>
        </w:rPr>
      </w:pPr>
      <w:r>
        <w:rPr>
          <w:rFonts w:hint="eastAsia"/>
          <w:b/>
          <w:color w:val="auto"/>
          <w:sz w:val="28"/>
          <w:highlight w:val="none"/>
        </w:rPr>
        <w:t>附件5</w:t>
      </w:r>
    </w:p>
    <w:p w14:paraId="664E90B6">
      <w:pPr>
        <w:spacing w:line="300" w:lineRule="exact"/>
        <w:ind w:firstLine="422" w:firstLineChars="200"/>
        <w:jc w:val="center"/>
        <w:rPr>
          <w:rFonts w:ascii="宋体" w:hAnsi="宋体" w:cs="宋体"/>
          <w:b/>
          <w:color w:val="auto"/>
          <w:szCs w:val="21"/>
          <w:highlight w:val="none"/>
        </w:rPr>
      </w:pPr>
      <w:r>
        <w:rPr>
          <w:rFonts w:hint="eastAsia" w:ascii="宋体" w:hAnsi="宋体" w:cs="宋体"/>
          <w:b/>
          <w:color w:val="auto"/>
          <w:szCs w:val="21"/>
          <w:highlight w:val="none"/>
        </w:rPr>
        <w:t>评标索引：自评表</w:t>
      </w:r>
    </w:p>
    <w:tbl>
      <w:tblPr>
        <w:tblStyle w:val="22"/>
        <w:tblW w:w="112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
        <w:gridCol w:w="1210"/>
        <w:gridCol w:w="7045"/>
        <w:gridCol w:w="667"/>
        <w:gridCol w:w="667"/>
        <w:gridCol w:w="667"/>
      </w:tblGrid>
      <w:tr w14:paraId="158F1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2206" w:type="dxa"/>
            <w:gridSpan w:val="2"/>
            <w:vAlign w:val="center"/>
          </w:tcPr>
          <w:p w14:paraId="594D7242">
            <w:pPr>
              <w:adjustRightInd w:val="0"/>
              <w:snapToGrid w:val="0"/>
              <w:jc w:val="center"/>
              <w:rPr>
                <w:rFonts w:asciiTheme="minorEastAsia" w:hAnsiTheme="minorEastAsia" w:eastAsiaTheme="minorEastAsia" w:cstheme="minorEastAsia"/>
                <w:b/>
                <w:bCs/>
                <w:color w:val="auto"/>
                <w:szCs w:val="21"/>
                <w:highlight w:val="none"/>
              </w:rPr>
            </w:pPr>
            <w:bookmarkStart w:id="12" w:name="_GoBack" w:colFirst="0" w:colLast="3"/>
            <w:r>
              <w:rPr>
                <w:rFonts w:hint="eastAsia" w:asciiTheme="minorEastAsia" w:hAnsiTheme="minorEastAsia" w:eastAsiaTheme="minorEastAsia" w:cstheme="minorEastAsia"/>
                <w:b/>
                <w:bCs/>
                <w:color w:val="auto"/>
                <w:szCs w:val="21"/>
                <w:highlight w:val="none"/>
              </w:rPr>
              <w:t>评标因素</w:t>
            </w:r>
          </w:p>
        </w:tc>
        <w:tc>
          <w:tcPr>
            <w:tcW w:w="7045" w:type="dxa"/>
            <w:vAlign w:val="center"/>
          </w:tcPr>
          <w:p w14:paraId="5EC70975">
            <w:pPr>
              <w:adjustRightInd w:val="0"/>
              <w:snapToGrid w:val="0"/>
              <w:jc w:val="center"/>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评分标准</w:t>
            </w:r>
          </w:p>
        </w:tc>
        <w:tc>
          <w:tcPr>
            <w:tcW w:w="667" w:type="dxa"/>
            <w:vAlign w:val="center"/>
          </w:tcPr>
          <w:p w14:paraId="5974E5E9">
            <w:pPr>
              <w:adjustRightInd w:val="0"/>
              <w:snapToGrid w:val="0"/>
              <w:jc w:val="center"/>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分值</w:t>
            </w:r>
          </w:p>
        </w:tc>
        <w:tc>
          <w:tcPr>
            <w:tcW w:w="667" w:type="dxa"/>
            <w:vAlign w:val="center"/>
          </w:tcPr>
          <w:p w14:paraId="3040EDAE">
            <w:pPr>
              <w:adjustRightInd w:val="0"/>
              <w:snapToGrid w:val="0"/>
              <w:jc w:val="center"/>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对应页码</w:t>
            </w:r>
          </w:p>
        </w:tc>
        <w:tc>
          <w:tcPr>
            <w:tcW w:w="667" w:type="dxa"/>
            <w:vAlign w:val="center"/>
          </w:tcPr>
          <w:p w14:paraId="3CD56E44">
            <w:pPr>
              <w:adjustRightInd w:val="0"/>
              <w:snapToGrid w:val="0"/>
              <w:jc w:val="center"/>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自评分</w:t>
            </w:r>
          </w:p>
        </w:tc>
      </w:tr>
      <w:tr w14:paraId="78BDF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996" w:type="dxa"/>
            <w:vMerge w:val="restart"/>
            <w:vAlign w:val="center"/>
          </w:tcPr>
          <w:p w14:paraId="7CAC2FCF">
            <w:pPr>
              <w:adjustRightInd w:val="0"/>
              <w:snapToGrid w:val="0"/>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商务分（13分）</w:t>
            </w:r>
          </w:p>
        </w:tc>
        <w:tc>
          <w:tcPr>
            <w:tcW w:w="1210" w:type="dxa"/>
            <w:vMerge w:val="restart"/>
            <w:vAlign w:val="center"/>
          </w:tcPr>
          <w:p w14:paraId="01A984A4">
            <w:pPr>
              <w:autoSpaceDE w:val="0"/>
              <w:autoSpaceDN w:val="0"/>
              <w:adjustRightInd w:val="0"/>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企业综合实力</w:t>
            </w:r>
          </w:p>
        </w:tc>
        <w:tc>
          <w:tcPr>
            <w:tcW w:w="7045" w:type="dxa"/>
            <w:vAlign w:val="top"/>
          </w:tcPr>
          <w:p w14:paraId="564978FD">
            <w:pP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投标人具有</w:t>
            </w:r>
            <w:r>
              <w:rPr>
                <w:rFonts w:hint="eastAsia" w:ascii="宋体" w:hAnsi="宋体" w:cs="宋体"/>
                <w:color w:val="auto"/>
                <w:szCs w:val="21"/>
                <w:highlight w:val="none"/>
              </w:rPr>
              <w:t>ITSS信息技术服务运行维护资质、信息安全服务资质的</w:t>
            </w:r>
            <w:r>
              <w:rPr>
                <w:rFonts w:hint="eastAsia" w:asciiTheme="minorEastAsia" w:hAnsiTheme="minorEastAsia" w:eastAsiaTheme="minorEastAsia" w:cstheme="minorEastAsia"/>
                <w:color w:val="auto"/>
                <w:szCs w:val="21"/>
                <w:highlight w:val="none"/>
              </w:rPr>
              <w:t>，每个资质证书得1分，本项最高得2分。</w:t>
            </w:r>
          </w:p>
          <w:p w14:paraId="3EAE834B">
            <w:pP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bCs/>
                <w:color w:val="auto"/>
                <w:szCs w:val="21"/>
                <w:highlight w:val="none"/>
              </w:rPr>
              <w:t>（须提供相应的证书扫描件（相关证书应在有效期内）加盖投标人公章编入投标文件中，未提供的不得分）</w:t>
            </w:r>
          </w:p>
        </w:tc>
        <w:tc>
          <w:tcPr>
            <w:tcW w:w="667" w:type="dxa"/>
            <w:vAlign w:val="center"/>
          </w:tcPr>
          <w:p w14:paraId="66D255B3">
            <w:pPr>
              <w:spacing w:before="100" w:beforeAutospacing="1" w:after="100" w:afterAutospacing="1"/>
              <w:jc w:val="center"/>
              <w:rPr>
                <w:rFonts w:asciiTheme="minorEastAsia" w:hAnsiTheme="minorEastAsia" w:eastAsiaTheme="minorEastAsia" w:cstheme="minorEastAsia"/>
                <w:color w:val="auto"/>
                <w:spacing w:val="-4"/>
                <w:szCs w:val="21"/>
                <w:highlight w:val="none"/>
              </w:rPr>
            </w:pPr>
            <w:r>
              <w:rPr>
                <w:rFonts w:hint="eastAsia" w:asciiTheme="minorEastAsia" w:hAnsiTheme="minorEastAsia" w:eastAsiaTheme="minorEastAsia" w:cstheme="minorEastAsia"/>
                <w:color w:val="auto"/>
                <w:spacing w:val="-4"/>
                <w:szCs w:val="21"/>
                <w:highlight w:val="none"/>
              </w:rPr>
              <w:t>2</w:t>
            </w:r>
          </w:p>
        </w:tc>
        <w:tc>
          <w:tcPr>
            <w:tcW w:w="667" w:type="dxa"/>
            <w:vAlign w:val="center"/>
          </w:tcPr>
          <w:p w14:paraId="358271DD">
            <w:pPr>
              <w:spacing w:before="100" w:beforeAutospacing="1" w:after="100" w:afterAutospacing="1"/>
              <w:jc w:val="center"/>
              <w:rPr>
                <w:rFonts w:asciiTheme="minorEastAsia" w:hAnsiTheme="minorEastAsia" w:eastAsiaTheme="minorEastAsia" w:cstheme="minorEastAsia"/>
                <w:color w:val="auto"/>
                <w:spacing w:val="-4"/>
                <w:szCs w:val="21"/>
                <w:highlight w:val="none"/>
              </w:rPr>
            </w:pPr>
          </w:p>
        </w:tc>
        <w:tc>
          <w:tcPr>
            <w:tcW w:w="667" w:type="dxa"/>
            <w:vAlign w:val="center"/>
          </w:tcPr>
          <w:p w14:paraId="0190F71C">
            <w:pPr>
              <w:spacing w:before="100" w:beforeAutospacing="1" w:after="100" w:afterAutospacing="1"/>
              <w:jc w:val="center"/>
              <w:rPr>
                <w:rFonts w:asciiTheme="minorEastAsia" w:hAnsiTheme="minorEastAsia" w:eastAsiaTheme="minorEastAsia" w:cstheme="minorEastAsia"/>
                <w:color w:val="auto"/>
                <w:spacing w:val="-4"/>
                <w:szCs w:val="21"/>
                <w:highlight w:val="none"/>
              </w:rPr>
            </w:pPr>
          </w:p>
        </w:tc>
      </w:tr>
      <w:tr w14:paraId="215D8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996" w:type="dxa"/>
            <w:vMerge w:val="continue"/>
            <w:vAlign w:val="center"/>
          </w:tcPr>
          <w:p w14:paraId="36845BD3">
            <w:pPr>
              <w:adjustRightInd w:val="0"/>
              <w:snapToGrid w:val="0"/>
              <w:jc w:val="center"/>
              <w:rPr>
                <w:rFonts w:asciiTheme="minorEastAsia" w:hAnsiTheme="minorEastAsia" w:eastAsiaTheme="minorEastAsia" w:cstheme="minorEastAsia"/>
                <w:color w:val="auto"/>
                <w:szCs w:val="21"/>
                <w:highlight w:val="none"/>
              </w:rPr>
            </w:pPr>
          </w:p>
        </w:tc>
        <w:tc>
          <w:tcPr>
            <w:tcW w:w="1210" w:type="dxa"/>
            <w:vMerge w:val="continue"/>
            <w:vAlign w:val="center"/>
          </w:tcPr>
          <w:p w14:paraId="147D8B73">
            <w:pPr>
              <w:autoSpaceDE w:val="0"/>
              <w:autoSpaceDN w:val="0"/>
              <w:adjustRightInd w:val="0"/>
              <w:jc w:val="center"/>
              <w:rPr>
                <w:rFonts w:asciiTheme="minorEastAsia" w:hAnsiTheme="minorEastAsia" w:eastAsiaTheme="minorEastAsia" w:cstheme="minorEastAsia"/>
                <w:color w:val="auto"/>
                <w:szCs w:val="21"/>
                <w:highlight w:val="none"/>
              </w:rPr>
            </w:pPr>
          </w:p>
        </w:tc>
        <w:tc>
          <w:tcPr>
            <w:tcW w:w="7045" w:type="dxa"/>
            <w:vAlign w:val="top"/>
          </w:tcPr>
          <w:p w14:paraId="225FCB85">
            <w:pP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投标人</w:t>
            </w:r>
            <w:r>
              <w:rPr>
                <w:rFonts w:hint="eastAsia" w:ascii="宋体" w:hAnsi="宋体" w:cs="宋体"/>
                <w:color w:val="auto"/>
                <w:szCs w:val="21"/>
                <w:highlight w:val="none"/>
              </w:rPr>
              <w:t>具有国家认证认可监督管理委员会批准认可的认证机构颁发的，且在有效期内的</w:t>
            </w:r>
            <w:r>
              <w:rPr>
                <w:rFonts w:hint="eastAsia" w:asciiTheme="minorEastAsia" w:hAnsiTheme="minorEastAsia" w:eastAsiaTheme="minorEastAsia" w:cstheme="minorEastAsia"/>
                <w:color w:val="auto"/>
                <w:szCs w:val="21"/>
                <w:highlight w:val="none"/>
              </w:rPr>
              <w:t>信息安全管理体系认证、信息技术服务管理体系认证的，每个认证证书得</w:t>
            </w:r>
            <w:r>
              <w:rPr>
                <w:rFonts w:asciiTheme="minorEastAsia" w:hAnsiTheme="minorEastAsia" w:eastAsiaTheme="minorEastAsia" w:cstheme="minorEastAsia"/>
                <w:color w:val="auto"/>
                <w:szCs w:val="21"/>
                <w:highlight w:val="none"/>
              </w:rPr>
              <w:t>1</w:t>
            </w:r>
            <w:r>
              <w:rPr>
                <w:rFonts w:hint="eastAsia" w:asciiTheme="minorEastAsia" w:hAnsiTheme="minorEastAsia" w:eastAsiaTheme="minorEastAsia" w:cstheme="minorEastAsia"/>
                <w:color w:val="auto"/>
                <w:szCs w:val="21"/>
                <w:highlight w:val="none"/>
              </w:rPr>
              <w:t>分，本项最高得</w:t>
            </w:r>
            <w:r>
              <w:rPr>
                <w:rFonts w:asciiTheme="minorEastAsia" w:hAnsiTheme="minorEastAsia" w:eastAsiaTheme="minorEastAsia" w:cstheme="minorEastAsia"/>
                <w:color w:val="auto"/>
                <w:szCs w:val="21"/>
                <w:highlight w:val="none"/>
              </w:rPr>
              <w:t>2</w:t>
            </w:r>
            <w:r>
              <w:rPr>
                <w:rFonts w:hint="eastAsia" w:asciiTheme="minorEastAsia" w:hAnsiTheme="minorEastAsia" w:eastAsiaTheme="minorEastAsia" w:cstheme="minorEastAsia"/>
                <w:color w:val="auto"/>
                <w:szCs w:val="21"/>
                <w:highlight w:val="none"/>
              </w:rPr>
              <w:t>分。</w:t>
            </w:r>
          </w:p>
          <w:p w14:paraId="0C86DF5B">
            <w:pPr>
              <w:rPr>
                <w:rFonts w:asciiTheme="minorEastAsia" w:hAnsiTheme="minorEastAsia" w:eastAsiaTheme="minorEastAsia" w:cstheme="minorEastAsia"/>
                <w:color w:val="auto"/>
                <w:szCs w:val="21"/>
                <w:highlight w:val="none"/>
              </w:rPr>
            </w:pPr>
            <w:r>
              <w:rPr>
                <w:rFonts w:hint="eastAsia" w:ascii="宋体" w:hAnsi="宋体" w:cs="宋体"/>
                <w:b/>
                <w:bCs/>
                <w:color w:val="auto"/>
                <w:szCs w:val="21"/>
                <w:highlight w:val="none"/>
              </w:rPr>
              <w:t>（须提供相关证书扫描件及</w:t>
            </w:r>
            <w:r>
              <w:rPr>
                <w:color w:val="auto"/>
                <w:highlight w:val="none"/>
              </w:rPr>
              <w:fldChar w:fldCharType="begin"/>
            </w:r>
            <w:r>
              <w:rPr>
                <w:color w:val="auto"/>
                <w:highlight w:val="none"/>
              </w:rPr>
              <w:instrText xml:space="preserve"> HYPERLINK "https://www.so.com/link?m=bgeKa5pUJ7jqGvX1HhllAJLNiphU7TZFNQwb4+7ZUZpVLH3/mqlCJ7rNGXZ5/YNpLh7l1an07AVpzdd+DNfDz03MHubLsbYxQOzT8llEFb57FaGuLm6gSmMhBy2lLDBrTFSNNDZqVzwQMcexMhSdw5Kuw+3MXS7HQcV4Anm9Fs1KmUyptcyDigHMKmFQMXtO7xSEBzzl+542xjBTD4X4Ft///zWSTHNTKcszTMLGSmT541nhMntevTSaKintmdBbT4YHZJEfW00MedhN8WiQ3A1LHjOM=" \t "https://www.so.com/_blank" </w:instrText>
            </w:r>
            <w:r>
              <w:rPr>
                <w:color w:val="auto"/>
                <w:highlight w:val="none"/>
              </w:rPr>
              <w:fldChar w:fldCharType="separate"/>
            </w:r>
            <w:r>
              <w:rPr>
                <w:rFonts w:hint="eastAsia" w:ascii="宋体" w:hAnsi="宋体" w:cs="宋体"/>
                <w:b/>
                <w:bCs/>
                <w:color w:val="auto"/>
                <w:szCs w:val="21"/>
                <w:highlight w:val="none"/>
              </w:rPr>
              <w:t>全国认证认可信息公共服务平台</w:t>
            </w:r>
            <w:r>
              <w:rPr>
                <w:rFonts w:hint="eastAsia" w:ascii="宋体" w:hAnsi="宋体" w:cs="宋体"/>
                <w:b/>
                <w:bCs/>
                <w:color w:val="auto"/>
                <w:szCs w:val="21"/>
                <w:highlight w:val="none"/>
              </w:rPr>
              <w:fldChar w:fldCharType="end"/>
            </w:r>
            <w:r>
              <w:rPr>
                <w:rFonts w:hint="eastAsia" w:ascii="宋体" w:hAnsi="宋体" w:cs="宋体"/>
                <w:b/>
                <w:bCs/>
                <w:color w:val="auto"/>
                <w:szCs w:val="21"/>
                <w:highlight w:val="none"/>
              </w:rPr>
              <w:t>网站截图并加盖投标人公章编入投标文件中，未提供或提供不全的不得分）</w:t>
            </w:r>
          </w:p>
        </w:tc>
        <w:tc>
          <w:tcPr>
            <w:tcW w:w="667" w:type="dxa"/>
            <w:vAlign w:val="center"/>
          </w:tcPr>
          <w:p w14:paraId="1024DF15">
            <w:pPr>
              <w:spacing w:before="100" w:beforeAutospacing="1" w:after="100" w:afterAutospacing="1"/>
              <w:jc w:val="center"/>
              <w:rPr>
                <w:rFonts w:asciiTheme="minorEastAsia" w:hAnsiTheme="minorEastAsia" w:eastAsiaTheme="minorEastAsia" w:cstheme="minorEastAsia"/>
                <w:color w:val="auto"/>
                <w:spacing w:val="-4"/>
                <w:szCs w:val="21"/>
                <w:highlight w:val="none"/>
              </w:rPr>
            </w:pPr>
            <w:r>
              <w:rPr>
                <w:rFonts w:hint="eastAsia" w:asciiTheme="minorEastAsia" w:hAnsiTheme="minorEastAsia" w:eastAsiaTheme="minorEastAsia" w:cstheme="minorEastAsia"/>
                <w:color w:val="auto"/>
                <w:spacing w:val="-4"/>
                <w:szCs w:val="21"/>
                <w:highlight w:val="none"/>
              </w:rPr>
              <w:t>2</w:t>
            </w:r>
          </w:p>
        </w:tc>
        <w:tc>
          <w:tcPr>
            <w:tcW w:w="667" w:type="dxa"/>
            <w:vAlign w:val="center"/>
          </w:tcPr>
          <w:p w14:paraId="5E3538D4">
            <w:pPr>
              <w:spacing w:before="100" w:beforeAutospacing="1" w:after="100" w:afterAutospacing="1"/>
              <w:jc w:val="center"/>
              <w:rPr>
                <w:rFonts w:asciiTheme="minorEastAsia" w:hAnsiTheme="minorEastAsia" w:eastAsiaTheme="minorEastAsia" w:cstheme="minorEastAsia"/>
                <w:color w:val="auto"/>
                <w:spacing w:val="-4"/>
                <w:szCs w:val="21"/>
                <w:highlight w:val="none"/>
              </w:rPr>
            </w:pPr>
          </w:p>
        </w:tc>
        <w:tc>
          <w:tcPr>
            <w:tcW w:w="667" w:type="dxa"/>
            <w:vAlign w:val="center"/>
          </w:tcPr>
          <w:p w14:paraId="4D14FAC8">
            <w:pPr>
              <w:spacing w:before="100" w:beforeAutospacing="1" w:after="100" w:afterAutospacing="1"/>
              <w:jc w:val="center"/>
              <w:rPr>
                <w:rFonts w:asciiTheme="minorEastAsia" w:hAnsiTheme="minorEastAsia" w:eastAsiaTheme="minorEastAsia" w:cstheme="minorEastAsia"/>
                <w:color w:val="auto"/>
                <w:spacing w:val="-4"/>
                <w:szCs w:val="21"/>
                <w:highlight w:val="none"/>
              </w:rPr>
            </w:pPr>
          </w:p>
        </w:tc>
      </w:tr>
      <w:tr w14:paraId="74A57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5" w:hRule="atLeast"/>
          <w:jc w:val="center"/>
        </w:trPr>
        <w:tc>
          <w:tcPr>
            <w:tcW w:w="996" w:type="dxa"/>
            <w:vMerge w:val="continue"/>
            <w:vAlign w:val="center"/>
          </w:tcPr>
          <w:p w14:paraId="3F3208FC">
            <w:pPr>
              <w:adjustRightInd w:val="0"/>
              <w:snapToGrid w:val="0"/>
              <w:jc w:val="center"/>
              <w:rPr>
                <w:rFonts w:asciiTheme="minorEastAsia" w:hAnsiTheme="minorEastAsia" w:eastAsiaTheme="minorEastAsia" w:cstheme="minorEastAsia"/>
                <w:color w:val="auto"/>
                <w:szCs w:val="21"/>
                <w:highlight w:val="none"/>
              </w:rPr>
            </w:pPr>
          </w:p>
        </w:tc>
        <w:tc>
          <w:tcPr>
            <w:tcW w:w="1210" w:type="dxa"/>
            <w:vMerge w:val="restart"/>
            <w:vAlign w:val="center"/>
          </w:tcPr>
          <w:p w14:paraId="399F9D50">
            <w:pPr>
              <w:autoSpaceDE w:val="0"/>
              <w:autoSpaceDN w:val="0"/>
              <w:adjustRightInd w:val="0"/>
              <w:jc w:val="center"/>
              <w:rPr>
                <w:rFonts w:asciiTheme="minorEastAsia" w:hAnsiTheme="minorEastAsia" w:eastAsiaTheme="minorEastAsia" w:cstheme="minorEastAsia"/>
                <w:color w:val="auto"/>
                <w:szCs w:val="21"/>
                <w:highlight w:val="none"/>
              </w:rPr>
            </w:pPr>
            <w:r>
              <w:rPr>
                <w:rStyle w:val="59"/>
                <w:rFonts w:hint="eastAsia" w:asciiTheme="minorEastAsia" w:hAnsiTheme="minorEastAsia" w:eastAsiaTheme="minorEastAsia" w:cstheme="minorEastAsia"/>
                <w:color w:val="auto"/>
                <w:szCs w:val="21"/>
                <w:highlight w:val="none"/>
              </w:rPr>
              <w:t>项目组人员配置情况</w:t>
            </w:r>
          </w:p>
        </w:tc>
        <w:tc>
          <w:tcPr>
            <w:tcW w:w="7045" w:type="dxa"/>
            <w:vAlign w:val="top"/>
          </w:tcPr>
          <w:p w14:paraId="25B01386">
            <w:pPr>
              <w:tabs>
                <w:tab w:val="left" w:pos="2061"/>
              </w:tabs>
              <w:rPr>
                <w:rFonts w:ascii="宋体" w:hAnsi="宋体" w:cs="宋体"/>
                <w:color w:val="auto"/>
                <w:szCs w:val="21"/>
                <w:highlight w:val="none"/>
              </w:rPr>
            </w:pPr>
            <w:r>
              <w:rPr>
                <w:rFonts w:hint="eastAsia" w:asciiTheme="minorEastAsia" w:hAnsiTheme="minorEastAsia" w:eastAsiaTheme="minorEastAsia" w:cstheme="minorEastAsia"/>
                <w:color w:val="auto"/>
                <w:szCs w:val="21"/>
                <w:highlight w:val="none"/>
              </w:rPr>
              <w:t>拟投入本项目的项目负责人：</w:t>
            </w:r>
            <w:r>
              <w:rPr>
                <w:rFonts w:hint="eastAsia" w:ascii="宋体" w:hAnsi="宋体" w:cs="宋体"/>
                <w:color w:val="auto"/>
                <w:szCs w:val="21"/>
                <w:highlight w:val="none"/>
              </w:rPr>
              <w:t>具有信息系统项目管理师（软考）证书、信息安全工程师（软考）证书、CISP认证证书的，每提供1个得1分，本项最高得2分。</w:t>
            </w:r>
          </w:p>
          <w:p w14:paraId="44DF88F5">
            <w:pPr>
              <w:tabs>
                <w:tab w:val="left" w:pos="2061"/>
              </w:tabs>
              <w:rPr>
                <w:rFonts w:asciiTheme="minorEastAsia" w:hAnsiTheme="minorEastAsia" w:cstheme="minorEastAsia"/>
                <w:color w:val="auto"/>
                <w:szCs w:val="21"/>
                <w:highlight w:val="none"/>
              </w:rPr>
            </w:pPr>
            <w:r>
              <w:rPr>
                <w:rFonts w:hint="eastAsia" w:asciiTheme="minorEastAsia" w:hAnsiTheme="minorEastAsia" w:eastAsiaTheme="minorEastAsia" w:cstheme="minorEastAsia"/>
                <w:b/>
                <w:bCs/>
                <w:color w:val="auto"/>
                <w:szCs w:val="21"/>
                <w:highlight w:val="none"/>
              </w:rPr>
              <w:t>（须提供相应的证书扫描件（相关证书应在有效期内）和投标人为其缴纳的近3个月社保证明加盖投标人公章编入投标文件中，未提供或提供不全的不得分）</w:t>
            </w:r>
          </w:p>
        </w:tc>
        <w:tc>
          <w:tcPr>
            <w:tcW w:w="667" w:type="dxa"/>
            <w:vAlign w:val="center"/>
          </w:tcPr>
          <w:p w14:paraId="05061559">
            <w:pPr>
              <w:spacing w:before="100" w:beforeAutospacing="1" w:after="100" w:afterAutospacing="1"/>
              <w:jc w:val="center"/>
              <w:rPr>
                <w:rFonts w:asciiTheme="minorEastAsia" w:hAnsiTheme="minorEastAsia" w:eastAsiaTheme="minorEastAsia" w:cstheme="minorEastAsia"/>
                <w:color w:val="auto"/>
                <w:spacing w:val="-4"/>
                <w:szCs w:val="21"/>
                <w:highlight w:val="none"/>
              </w:rPr>
            </w:pPr>
            <w:r>
              <w:rPr>
                <w:rFonts w:hint="eastAsia" w:asciiTheme="minorEastAsia" w:hAnsiTheme="minorEastAsia" w:eastAsiaTheme="minorEastAsia" w:cstheme="minorEastAsia"/>
                <w:color w:val="auto"/>
                <w:spacing w:val="-4"/>
                <w:szCs w:val="21"/>
                <w:highlight w:val="none"/>
              </w:rPr>
              <w:t>2</w:t>
            </w:r>
          </w:p>
        </w:tc>
        <w:tc>
          <w:tcPr>
            <w:tcW w:w="667" w:type="dxa"/>
            <w:vAlign w:val="center"/>
          </w:tcPr>
          <w:p w14:paraId="075C208F">
            <w:pPr>
              <w:spacing w:before="100" w:beforeAutospacing="1" w:after="100" w:afterAutospacing="1"/>
              <w:jc w:val="center"/>
              <w:rPr>
                <w:rFonts w:asciiTheme="minorEastAsia" w:hAnsiTheme="minorEastAsia" w:eastAsiaTheme="minorEastAsia" w:cstheme="minorEastAsia"/>
                <w:color w:val="auto"/>
                <w:spacing w:val="-4"/>
                <w:szCs w:val="21"/>
                <w:highlight w:val="none"/>
              </w:rPr>
            </w:pPr>
          </w:p>
        </w:tc>
        <w:tc>
          <w:tcPr>
            <w:tcW w:w="667" w:type="dxa"/>
            <w:vAlign w:val="center"/>
          </w:tcPr>
          <w:p w14:paraId="051A47B7">
            <w:pPr>
              <w:spacing w:before="100" w:beforeAutospacing="1" w:after="100" w:afterAutospacing="1"/>
              <w:jc w:val="center"/>
              <w:rPr>
                <w:rFonts w:asciiTheme="minorEastAsia" w:hAnsiTheme="minorEastAsia" w:eastAsiaTheme="minorEastAsia" w:cstheme="minorEastAsia"/>
                <w:color w:val="auto"/>
                <w:spacing w:val="-4"/>
                <w:szCs w:val="21"/>
                <w:highlight w:val="none"/>
              </w:rPr>
            </w:pPr>
          </w:p>
        </w:tc>
      </w:tr>
      <w:tr w14:paraId="4ED84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996" w:type="dxa"/>
            <w:vMerge w:val="continue"/>
            <w:vAlign w:val="center"/>
          </w:tcPr>
          <w:p w14:paraId="5B3F42A9">
            <w:pPr>
              <w:tabs>
                <w:tab w:val="left" w:pos="2061"/>
              </w:tabs>
              <w:rPr>
                <w:color w:val="auto"/>
                <w:highlight w:val="none"/>
              </w:rPr>
            </w:pPr>
          </w:p>
        </w:tc>
        <w:tc>
          <w:tcPr>
            <w:tcW w:w="1210" w:type="dxa"/>
            <w:vMerge w:val="continue"/>
            <w:vAlign w:val="center"/>
          </w:tcPr>
          <w:p w14:paraId="41663E0D">
            <w:pPr>
              <w:tabs>
                <w:tab w:val="left" w:pos="2061"/>
              </w:tabs>
              <w:rPr>
                <w:color w:val="auto"/>
                <w:highlight w:val="none"/>
              </w:rPr>
            </w:pPr>
          </w:p>
        </w:tc>
        <w:tc>
          <w:tcPr>
            <w:tcW w:w="7045" w:type="dxa"/>
            <w:vAlign w:val="top"/>
          </w:tcPr>
          <w:p w14:paraId="4ADF55BE">
            <w:pPr>
              <w:tabs>
                <w:tab w:val="left" w:pos="2061"/>
              </w:tabs>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根据驻场服务技术人员（1名）的专业资质和从业经验情况进行打分。</w:t>
            </w:r>
          </w:p>
          <w:p w14:paraId="0038B977">
            <w:pPr>
              <w:tabs>
                <w:tab w:val="left" w:pos="2061"/>
              </w:tabs>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1、专业资质优秀的得1分，资质一般的得0.5分，未提及此项不得分。</w:t>
            </w:r>
          </w:p>
          <w:p w14:paraId="191C25D9">
            <w:pPr>
              <w:tabs>
                <w:tab w:val="left" w:pos="2061"/>
              </w:tabs>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2、从业经验丰富的得1分，经验一般的得0.5分，未提及此项不得分。</w:t>
            </w:r>
          </w:p>
          <w:p w14:paraId="62AF09E7">
            <w:pPr>
              <w:tabs>
                <w:tab w:val="left" w:pos="2061"/>
              </w:tabs>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本项最高得2分。</w:t>
            </w:r>
          </w:p>
          <w:p w14:paraId="16886A95">
            <w:pPr>
              <w:tabs>
                <w:tab w:val="left" w:pos="2061"/>
              </w:tabs>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（须提供投标人为其缴纳的近3个月社保证明加盖投标人公章编入投标文件中，未提供的不得分）</w:t>
            </w:r>
          </w:p>
        </w:tc>
        <w:tc>
          <w:tcPr>
            <w:tcW w:w="667" w:type="dxa"/>
            <w:vAlign w:val="center"/>
          </w:tcPr>
          <w:p w14:paraId="69D50D60">
            <w:pPr>
              <w:tabs>
                <w:tab w:val="left" w:pos="2061"/>
              </w:tabs>
              <w:jc w:val="center"/>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color w:val="auto"/>
                <w:szCs w:val="21"/>
                <w:highlight w:val="none"/>
              </w:rPr>
              <w:t>2</w:t>
            </w:r>
          </w:p>
        </w:tc>
        <w:tc>
          <w:tcPr>
            <w:tcW w:w="667" w:type="dxa"/>
            <w:vAlign w:val="center"/>
          </w:tcPr>
          <w:p w14:paraId="2FA1F14A">
            <w:pPr>
              <w:tabs>
                <w:tab w:val="left" w:pos="2061"/>
              </w:tabs>
              <w:jc w:val="center"/>
              <w:rPr>
                <w:rFonts w:asciiTheme="minorEastAsia" w:hAnsiTheme="minorEastAsia" w:eastAsiaTheme="minorEastAsia" w:cstheme="minorEastAsia"/>
                <w:color w:val="auto"/>
                <w:szCs w:val="21"/>
                <w:highlight w:val="none"/>
              </w:rPr>
            </w:pPr>
          </w:p>
        </w:tc>
        <w:tc>
          <w:tcPr>
            <w:tcW w:w="667" w:type="dxa"/>
            <w:vAlign w:val="center"/>
          </w:tcPr>
          <w:p w14:paraId="4AAD8B1F">
            <w:pPr>
              <w:tabs>
                <w:tab w:val="left" w:pos="2061"/>
              </w:tabs>
              <w:jc w:val="center"/>
              <w:rPr>
                <w:rFonts w:asciiTheme="minorEastAsia" w:hAnsiTheme="minorEastAsia" w:eastAsiaTheme="minorEastAsia" w:cstheme="minorEastAsia"/>
                <w:color w:val="auto"/>
                <w:szCs w:val="21"/>
                <w:highlight w:val="none"/>
              </w:rPr>
            </w:pPr>
          </w:p>
        </w:tc>
      </w:tr>
      <w:tr w14:paraId="4259A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996" w:type="dxa"/>
            <w:vMerge w:val="continue"/>
            <w:vAlign w:val="center"/>
          </w:tcPr>
          <w:p w14:paraId="69914F15">
            <w:pPr>
              <w:tabs>
                <w:tab w:val="left" w:pos="2061"/>
              </w:tabs>
              <w:rPr>
                <w:color w:val="auto"/>
                <w:highlight w:val="none"/>
              </w:rPr>
            </w:pPr>
          </w:p>
        </w:tc>
        <w:tc>
          <w:tcPr>
            <w:tcW w:w="1210" w:type="dxa"/>
            <w:vMerge w:val="continue"/>
            <w:vAlign w:val="center"/>
          </w:tcPr>
          <w:p w14:paraId="6C1E91A2">
            <w:pPr>
              <w:tabs>
                <w:tab w:val="left" w:pos="2061"/>
              </w:tabs>
              <w:rPr>
                <w:color w:val="auto"/>
                <w:highlight w:val="none"/>
              </w:rPr>
            </w:pPr>
          </w:p>
        </w:tc>
        <w:tc>
          <w:tcPr>
            <w:tcW w:w="7045" w:type="dxa"/>
            <w:vAlign w:val="top"/>
          </w:tcPr>
          <w:p w14:paraId="2667EFDE">
            <w:pPr>
              <w:tabs>
                <w:tab w:val="left" w:pos="2061"/>
              </w:tabs>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根据本地化服务团队支撑技术人员的专业资质和从业经验等情况进行打分。团队整体专业资质优秀，从业经验丰富的得2分，资质和经验一般的得1分，资质和经验有待加强的得0.5分，未提及此项不得分。</w:t>
            </w:r>
          </w:p>
          <w:p w14:paraId="72959E98">
            <w:pPr>
              <w:tabs>
                <w:tab w:val="left" w:pos="2061"/>
              </w:tabs>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（须提供投标人为相关人员缴纳的近3个月社保证明加盖投标人公章编入投标文件中，未提供或提供不全的不得分）</w:t>
            </w:r>
          </w:p>
        </w:tc>
        <w:tc>
          <w:tcPr>
            <w:tcW w:w="667" w:type="dxa"/>
            <w:vAlign w:val="center"/>
          </w:tcPr>
          <w:p w14:paraId="567B21D2">
            <w:pPr>
              <w:tabs>
                <w:tab w:val="left" w:pos="2061"/>
              </w:tabs>
              <w:jc w:val="center"/>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color w:val="auto"/>
                <w:szCs w:val="21"/>
                <w:highlight w:val="none"/>
              </w:rPr>
              <w:t>2</w:t>
            </w:r>
          </w:p>
        </w:tc>
        <w:tc>
          <w:tcPr>
            <w:tcW w:w="667" w:type="dxa"/>
            <w:vAlign w:val="center"/>
          </w:tcPr>
          <w:p w14:paraId="19254E21">
            <w:pPr>
              <w:tabs>
                <w:tab w:val="left" w:pos="2061"/>
              </w:tabs>
              <w:jc w:val="center"/>
              <w:rPr>
                <w:rFonts w:asciiTheme="minorEastAsia" w:hAnsiTheme="minorEastAsia" w:eastAsiaTheme="minorEastAsia" w:cstheme="minorEastAsia"/>
                <w:color w:val="auto"/>
                <w:szCs w:val="21"/>
                <w:highlight w:val="none"/>
              </w:rPr>
            </w:pPr>
          </w:p>
        </w:tc>
        <w:tc>
          <w:tcPr>
            <w:tcW w:w="667" w:type="dxa"/>
            <w:vAlign w:val="center"/>
          </w:tcPr>
          <w:p w14:paraId="7FA4E5A9">
            <w:pPr>
              <w:tabs>
                <w:tab w:val="left" w:pos="2061"/>
              </w:tabs>
              <w:jc w:val="center"/>
              <w:rPr>
                <w:rFonts w:asciiTheme="minorEastAsia" w:hAnsiTheme="minorEastAsia" w:eastAsiaTheme="minorEastAsia" w:cstheme="minorEastAsia"/>
                <w:color w:val="auto"/>
                <w:szCs w:val="21"/>
                <w:highlight w:val="none"/>
              </w:rPr>
            </w:pPr>
          </w:p>
        </w:tc>
      </w:tr>
      <w:tr w14:paraId="48D3E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996" w:type="dxa"/>
            <w:vMerge w:val="continue"/>
            <w:vAlign w:val="center"/>
          </w:tcPr>
          <w:p w14:paraId="26BBDA35">
            <w:pPr>
              <w:jc w:val="center"/>
              <w:rPr>
                <w:rFonts w:asciiTheme="minorEastAsia" w:hAnsiTheme="minorEastAsia" w:eastAsiaTheme="minorEastAsia" w:cstheme="minorEastAsia"/>
                <w:color w:val="auto"/>
                <w:szCs w:val="21"/>
                <w:highlight w:val="none"/>
              </w:rPr>
            </w:pPr>
          </w:p>
        </w:tc>
        <w:tc>
          <w:tcPr>
            <w:tcW w:w="1210" w:type="dxa"/>
            <w:vAlign w:val="center"/>
          </w:tcPr>
          <w:p w14:paraId="2B36B785">
            <w:pPr>
              <w:jc w:val="center"/>
              <w:rPr>
                <w:rStyle w:val="59"/>
                <w:rFonts w:asciiTheme="minorEastAsia" w:hAnsiTheme="minorEastAsia" w:eastAsiaTheme="minorEastAsia" w:cstheme="minorEastAsia"/>
                <w:color w:val="auto"/>
                <w:szCs w:val="21"/>
                <w:highlight w:val="none"/>
              </w:rPr>
            </w:pPr>
            <w:r>
              <w:rPr>
                <w:rStyle w:val="59"/>
                <w:rFonts w:hint="eastAsia" w:asciiTheme="minorEastAsia" w:hAnsiTheme="minorEastAsia" w:eastAsiaTheme="minorEastAsia" w:cstheme="minorEastAsia"/>
                <w:color w:val="auto"/>
                <w:szCs w:val="21"/>
                <w:highlight w:val="none"/>
              </w:rPr>
              <w:t>承接经验</w:t>
            </w:r>
          </w:p>
        </w:tc>
        <w:tc>
          <w:tcPr>
            <w:tcW w:w="7045" w:type="dxa"/>
            <w:vAlign w:val="center"/>
          </w:tcPr>
          <w:p w14:paraId="4649B5B0">
            <w:pP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szCs w:val="21"/>
                <w:highlight w:val="none"/>
              </w:rPr>
              <w:t>投标人自2022年7月1日</w:t>
            </w:r>
            <w:r>
              <w:rPr>
                <w:rFonts w:hint="eastAsia" w:asciiTheme="minorEastAsia" w:hAnsiTheme="minorEastAsia" w:eastAsiaTheme="minorEastAsia" w:cstheme="minorEastAsia"/>
                <w:color w:val="auto"/>
                <w:kern w:val="0"/>
                <w:szCs w:val="21"/>
                <w:highlight w:val="none"/>
                <w:lang w:val="zh-CN"/>
              </w:rPr>
              <w:t>（以合同签订时间为准）</w:t>
            </w:r>
            <w:r>
              <w:rPr>
                <w:rFonts w:hint="eastAsia" w:asciiTheme="minorEastAsia" w:hAnsiTheme="minorEastAsia" w:eastAsiaTheme="minorEastAsia" w:cstheme="minorEastAsia"/>
                <w:color w:val="auto"/>
                <w:szCs w:val="21"/>
                <w:highlight w:val="none"/>
              </w:rPr>
              <w:t>以来</w:t>
            </w:r>
            <w:r>
              <w:rPr>
                <w:rFonts w:hint="eastAsia" w:asciiTheme="minorEastAsia" w:hAnsiTheme="minorEastAsia" w:eastAsiaTheme="minorEastAsia" w:cstheme="minorEastAsia"/>
                <w:color w:val="auto"/>
                <w:kern w:val="0"/>
                <w:szCs w:val="21"/>
                <w:highlight w:val="none"/>
                <w:lang w:val="zh-CN"/>
              </w:rPr>
              <w:t>，</w:t>
            </w:r>
            <w:r>
              <w:rPr>
                <w:rFonts w:hint="eastAsia" w:asciiTheme="minorEastAsia" w:hAnsiTheme="minorEastAsia" w:eastAsiaTheme="minorEastAsia" w:cstheme="minorEastAsia"/>
                <w:color w:val="auto"/>
                <w:kern w:val="0"/>
                <w:szCs w:val="21"/>
                <w:highlight w:val="none"/>
              </w:rPr>
              <w:t>承接过类似项目的，每提供一个项目合同得1分，最高得3分。</w:t>
            </w:r>
          </w:p>
          <w:p w14:paraId="1DA3A178">
            <w:pP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bCs/>
                <w:color w:val="auto"/>
                <w:szCs w:val="21"/>
                <w:highlight w:val="none"/>
              </w:rPr>
              <w:t>（须提供合同扫描件并加盖投标人公章编入投标文件中，未提供的不得分）</w:t>
            </w:r>
          </w:p>
        </w:tc>
        <w:tc>
          <w:tcPr>
            <w:tcW w:w="667" w:type="dxa"/>
            <w:vAlign w:val="center"/>
          </w:tcPr>
          <w:p w14:paraId="3093F6F3">
            <w:pPr>
              <w:pStyle w:val="12"/>
              <w:snapToGrid w:val="0"/>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w:t>
            </w:r>
          </w:p>
        </w:tc>
        <w:tc>
          <w:tcPr>
            <w:tcW w:w="667" w:type="dxa"/>
            <w:vAlign w:val="center"/>
          </w:tcPr>
          <w:p w14:paraId="5F0D48C0">
            <w:pPr>
              <w:pStyle w:val="12"/>
              <w:snapToGrid w:val="0"/>
              <w:jc w:val="center"/>
              <w:rPr>
                <w:rFonts w:asciiTheme="minorEastAsia" w:hAnsiTheme="minorEastAsia" w:eastAsiaTheme="minorEastAsia" w:cstheme="minorEastAsia"/>
                <w:color w:val="auto"/>
                <w:szCs w:val="21"/>
                <w:highlight w:val="none"/>
              </w:rPr>
            </w:pPr>
          </w:p>
        </w:tc>
        <w:tc>
          <w:tcPr>
            <w:tcW w:w="667" w:type="dxa"/>
            <w:vAlign w:val="center"/>
          </w:tcPr>
          <w:p w14:paraId="4BCA0AD1">
            <w:pPr>
              <w:pStyle w:val="12"/>
              <w:snapToGrid w:val="0"/>
              <w:jc w:val="center"/>
              <w:rPr>
                <w:rFonts w:asciiTheme="minorEastAsia" w:hAnsiTheme="minorEastAsia" w:eastAsiaTheme="minorEastAsia" w:cstheme="minorEastAsia"/>
                <w:color w:val="auto"/>
                <w:szCs w:val="21"/>
                <w:highlight w:val="none"/>
              </w:rPr>
            </w:pPr>
          </w:p>
        </w:tc>
      </w:tr>
      <w:tr w14:paraId="510CB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996" w:type="dxa"/>
            <w:vMerge w:val="restart"/>
            <w:vAlign w:val="center"/>
          </w:tcPr>
          <w:p w14:paraId="3725D7C0">
            <w:pPr>
              <w:adjustRightInd w:val="0"/>
              <w:snapToGrid w:val="0"/>
              <w:jc w:val="center"/>
              <w:rPr>
                <w:rFonts w:asciiTheme="minorEastAsia" w:hAnsiTheme="minorEastAsia" w:eastAsiaTheme="minorEastAsia" w:cstheme="minorEastAsia"/>
                <w:color w:val="auto"/>
                <w:szCs w:val="21"/>
                <w:highlight w:val="none"/>
              </w:rPr>
            </w:pPr>
          </w:p>
          <w:p w14:paraId="652D167B">
            <w:pPr>
              <w:adjustRightInd w:val="0"/>
              <w:snapToGrid w:val="0"/>
              <w:jc w:val="center"/>
              <w:rPr>
                <w:rFonts w:asciiTheme="minorEastAsia" w:hAnsiTheme="minorEastAsia" w:eastAsiaTheme="minorEastAsia" w:cstheme="minorEastAsia"/>
                <w:color w:val="auto"/>
                <w:szCs w:val="21"/>
                <w:highlight w:val="none"/>
              </w:rPr>
            </w:pPr>
          </w:p>
          <w:p w14:paraId="263FB190">
            <w:pPr>
              <w:adjustRightInd w:val="0"/>
              <w:snapToGrid w:val="0"/>
              <w:jc w:val="center"/>
              <w:rPr>
                <w:rFonts w:asciiTheme="minorEastAsia" w:hAnsiTheme="minorEastAsia" w:eastAsiaTheme="minorEastAsia" w:cstheme="minorEastAsia"/>
                <w:color w:val="auto"/>
                <w:szCs w:val="21"/>
                <w:highlight w:val="none"/>
              </w:rPr>
            </w:pPr>
          </w:p>
          <w:p w14:paraId="58DD0C9F">
            <w:pPr>
              <w:adjustRightInd w:val="0"/>
              <w:snapToGrid w:val="0"/>
              <w:jc w:val="center"/>
              <w:rPr>
                <w:rFonts w:asciiTheme="minorEastAsia" w:hAnsiTheme="minorEastAsia" w:eastAsiaTheme="minorEastAsia" w:cstheme="minorEastAsia"/>
                <w:color w:val="auto"/>
                <w:szCs w:val="21"/>
                <w:highlight w:val="none"/>
              </w:rPr>
            </w:pPr>
          </w:p>
          <w:p w14:paraId="4F149732">
            <w:pPr>
              <w:adjustRightInd w:val="0"/>
              <w:snapToGrid w:val="0"/>
              <w:jc w:val="center"/>
              <w:rPr>
                <w:rFonts w:asciiTheme="minorEastAsia" w:hAnsiTheme="minorEastAsia" w:eastAsiaTheme="minorEastAsia" w:cstheme="minorEastAsia"/>
                <w:color w:val="auto"/>
                <w:szCs w:val="21"/>
                <w:highlight w:val="none"/>
              </w:rPr>
            </w:pPr>
          </w:p>
          <w:p w14:paraId="5F3FED3A">
            <w:pPr>
              <w:adjustRightInd w:val="0"/>
              <w:snapToGrid w:val="0"/>
              <w:jc w:val="center"/>
              <w:rPr>
                <w:rFonts w:asciiTheme="minorEastAsia" w:hAnsiTheme="minorEastAsia" w:eastAsiaTheme="minorEastAsia" w:cstheme="minorEastAsia"/>
                <w:color w:val="auto"/>
                <w:szCs w:val="21"/>
                <w:highlight w:val="none"/>
              </w:rPr>
            </w:pPr>
          </w:p>
          <w:p w14:paraId="2051E8E3">
            <w:pPr>
              <w:adjustRightInd w:val="0"/>
              <w:snapToGrid w:val="0"/>
              <w:jc w:val="center"/>
              <w:rPr>
                <w:rFonts w:asciiTheme="minorEastAsia" w:hAnsiTheme="minorEastAsia" w:eastAsiaTheme="minorEastAsia" w:cstheme="minorEastAsia"/>
                <w:color w:val="auto"/>
                <w:szCs w:val="21"/>
                <w:highlight w:val="none"/>
              </w:rPr>
            </w:pPr>
          </w:p>
          <w:p w14:paraId="467C7730">
            <w:pPr>
              <w:adjustRightInd w:val="0"/>
              <w:snapToGrid w:val="0"/>
              <w:jc w:val="center"/>
              <w:rPr>
                <w:rFonts w:asciiTheme="minorEastAsia" w:hAnsiTheme="minorEastAsia" w:eastAsiaTheme="minorEastAsia" w:cstheme="minorEastAsia"/>
                <w:color w:val="auto"/>
                <w:szCs w:val="21"/>
                <w:highlight w:val="none"/>
              </w:rPr>
            </w:pPr>
          </w:p>
          <w:p w14:paraId="6131AFB1">
            <w:pPr>
              <w:adjustRightInd w:val="0"/>
              <w:snapToGrid w:val="0"/>
              <w:jc w:val="center"/>
              <w:rPr>
                <w:rFonts w:asciiTheme="minorEastAsia" w:hAnsiTheme="minorEastAsia" w:eastAsiaTheme="minorEastAsia" w:cstheme="minorEastAsia"/>
                <w:color w:val="auto"/>
                <w:szCs w:val="21"/>
                <w:highlight w:val="none"/>
              </w:rPr>
            </w:pPr>
          </w:p>
          <w:p w14:paraId="36703FE9">
            <w:pPr>
              <w:adjustRightInd w:val="0"/>
              <w:snapToGrid w:val="0"/>
              <w:jc w:val="center"/>
              <w:rPr>
                <w:rFonts w:asciiTheme="minorEastAsia" w:hAnsiTheme="minorEastAsia" w:eastAsiaTheme="minorEastAsia" w:cstheme="minorEastAsia"/>
                <w:color w:val="auto"/>
                <w:szCs w:val="21"/>
                <w:highlight w:val="none"/>
              </w:rPr>
            </w:pPr>
          </w:p>
          <w:p w14:paraId="1532351C">
            <w:pPr>
              <w:adjustRightInd w:val="0"/>
              <w:snapToGrid w:val="0"/>
              <w:jc w:val="center"/>
              <w:rPr>
                <w:rFonts w:asciiTheme="minorEastAsia" w:hAnsiTheme="minorEastAsia" w:eastAsiaTheme="minorEastAsia" w:cstheme="minorEastAsia"/>
                <w:color w:val="auto"/>
                <w:szCs w:val="21"/>
                <w:highlight w:val="none"/>
              </w:rPr>
            </w:pPr>
          </w:p>
          <w:p w14:paraId="26617A80">
            <w:pPr>
              <w:pStyle w:val="8"/>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技术分（57分）</w:t>
            </w:r>
          </w:p>
          <w:p w14:paraId="7802762F">
            <w:pPr>
              <w:pStyle w:val="9"/>
              <w:ind w:left="5250" w:leftChars="0" w:firstLine="0" w:firstLineChars="0"/>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（54分）</w:t>
            </w:r>
          </w:p>
        </w:tc>
        <w:tc>
          <w:tcPr>
            <w:tcW w:w="1210" w:type="dxa"/>
            <w:vAlign w:val="center"/>
          </w:tcPr>
          <w:p w14:paraId="6521ED01">
            <w:pPr>
              <w:autoSpaceDE w:val="0"/>
              <w:autoSpaceDN w:val="0"/>
              <w:adjustRightInd w:val="0"/>
              <w:jc w:val="center"/>
              <w:rPr>
                <w:rFonts w:asciiTheme="minorEastAsia" w:hAnsiTheme="minorEastAsia" w:eastAsiaTheme="minorEastAsia" w:cstheme="minorEastAsia"/>
                <w:color w:val="auto"/>
                <w:szCs w:val="21"/>
                <w:highlight w:val="none"/>
              </w:rPr>
            </w:pPr>
            <w:r>
              <w:rPr>
                <w:rFonts w:hint="eastAsia" w:ascii="宋体" w:hAnsi="宋体" w:cs="宋体"/>
                <w:color w:val="auto"/>
                <w:szCs w:val="21"/>
                <w:highlight w:val="none"/>
              </w:rPr>
              <w:t>现状分析</w:t>
            </w:r>
          </w:p>
        </w:tc>
        <w:tc>
          <w:tcPr>
            <w:tcW w:w="7045" w:type="dxa"/>
            <w:vAlign w:val="center"/>
          </w:tcPr>
          <w:p w14:paraId="557380EA">
            <w:pPr>
              <w:tabs>
                <w:tab w:val="left" w:pos="2061"/>
              </w:tabs>
              <w:rPr>
                <w:rFonts w:ascii="宋体" w:hAnsi="宋体" w:cs="宋体"/>
                <w:color w:val="auto"/>
                <w:szCs w:val="21"/>
                <w:highlight w:val="none"/>
              </w:rPr>
            </w:pPr>
            <w:r>
              <w:rPr>
                <w:rFonts w:hint="eastAsia" w:ascii="宋体" w:hAnsi="宋体" w:cs="宋体"/>
                <w:color w:val="auto"/>
                <w:szCs w:val="21"/>
                <w:highlight w:val="none"/>
              </w:rPr>
              <w:t>根据投标人对项目现状了解的情况进行打分。</w:t>
            </w:r>
          </w:p>
          <w:p w14:paraId="44EED86A">
            <w:pPr>
              <w:tabs>
                <w:tab w:val="left" w:pos="2061"/>
              </w:tabs>
              <w:rPr>
                <w:rFonts w:ascii="宋体" w:hAnsi="宋体" w:cs="宋体"/>
                <w:color w:val="auto"/>
                <w:szCs w:val="21"/>
                <w:highlight w:val="none"/>
              </w:rPr>
            </w:pPr>
            <w:r>
              <w:rPr>
                <w:rFonts w:hint="eastAsia" w:ascii="宋体" w:hAnsi="宋体" w:cs="宋体"/>
                <w:color w:val="auto"/>
                <w:szCs w:val="21"/>
                <w:highlight w:val="none"/>
              </w:rPr>
              <w:t>现状分析深入，内容全面准确，见解到位的得5分；</w:t>
            </w:r>
          </w:p>
          <w:p w14:paraId="5018CCA8">
            <w:pPr>
              <w:tabs>
                <w:tab w:val="left" w:pos="2061"/>
              </w:tabs>
              <w:rPr>
                <w:rFonts w:ascii="宋体" w:hAnsi="宋体" w:cs="宋体"/>
                <w:color w:val="auto"/>
                <w:szCs w:val="21"/>
                <w:highlight w:val="none"/>
              </w:rPr>
            </w:pPr>
            <w:r>
              <w:rPr>
                <w:rFonts w:hint="eastAsia" w:ascii="宋体" w:hAnsi="宋体" w:cs="宋体"/>
                <w:color w:val="auto"/>
                <w:szCs w:val="21"/>
                <w:highlight w:val="none"/>
              </w:rPr>
              <w:t>现状分析基本到位，内容基本全面准确的得4分；</w:t>
            </w:r>
          </w:p>
          <w:p w14:paraId="4B92318C">
            <w:pPr>
              <w:tabs>
                <w:tab w:val="left" w:pos="2061"/>
              </w:tabs>
              <w:rPr>
                <w:rFonts w:ascii="宋体" w:hAnsi="宋体" w:cs="宋体"/>
                <w:color w:val="auto"/>
                <w:szCs w:val="21"/>
                <w:highlight w:val="none"/>
              </w:rPr>
            </w:pPr>
            <w:r>
              <w:rPr>
                <w:rFonts w:hint="eastAsia" w:ascii="宋体" w:hAnsi="宋体" w:cs="宋体"/>
                <w:color w:val="auto"/>
                <w:szCs w:val="21"/>
                <w:highlight w:val="none"/>
              </w:rPr>
              <w:t>现状分析内容一般，有欠缺的得3分；</w:t>
            </w:r>
          </w:p>
          <w:p w14:paraId="6C5D37FB">
            <w:pPr>
              <w:tabs>
                <w:tab w:val="left" w:pos="2061"/>
              </w:tabs>
              <w:rPr>
                <w:rFonts w:ascii="宋体" w:hAnsi="宋体" w:cs="宋体"/>
                <w:color w:val="auto"/>
                <w:szCs w:val="21"/>
                <w:highlight w:val="none"/>
              </w:rPr>
            </w:pPr>
            <w:r>
              <w:rPr>
                <w:rFonts w:hint="eastAsia" w:ascii="宋体" w:hAnsi="宋体" w:cs="宋体"/>
                <w:color w:val="auto"/>
                <w:szCs w:val="21"/>
                <w:highlight w:val="none"/>
              </w:rPr>
              <w:t>现状分析基本提及的得1分；</w:t>
            </w:r>
          </w:p>
          <w:p w14:paraId="661AD2EC">
            <w:pPr>
              <w:tabs>
                <w:tab w:val="left" w:pos="2061"/>
              </w:tabs>
              <w:rPr>
                <w:rFonts w:asciiTheme="minorEastAsia" w:hAnsiTheme="minorEastAsia" w:eastAsiaTheme="minorEastAsia" w:cstheme="minorEastAsia"/>
                <w:color w:val="auto"/>
                <w:szCs w:val="21"/>
                <w:highlight w:val="none"/>
              </w:rPr>
            </w:pPr>
            <w:r>
              <w:rPr>
                <w:rFonts w:hint="eastAsia" w:ascii="宋体" w:hAnsi="宋体" w:cs="宋体"/>
                <w:color w:val="auto"/>
                <w:szCs w:val="21"/>
                <w:highlight w:val="none"/>
              </w:rPr>
              <w:t>未提及此项不得分。</w:t>
            </w:r>
          </w:p>
        </w:tc>
        <w:tc>
          <w:tcPr>
            <w:tcW w:w="667" w:type="dxa"/>
            <w:vAlign w:val="center"/>
          </w:tcPr>
          <w:p w14:paraId="69215138">
            <w:pPr>
              <w:autoSpaceDE w:val="0"/>
              <w:autoSpaceDN w:val="0"/>
              <w:adjustRightInd w:val="0"/>
              <w:jc w:val="center"/>
              <w:rPr>
                <w:rFonts w:asciiTheme="minorEastAsia" w:hAnsiTheme="minorEastAsia" w:eastAsiaTheme="minorEastAsia" w:cstheme="minorEastAsia"/>
                <w:color w:val="auto"/>
                <w:szCs w:val="21"/>
                <w:highlight w:val="none"/>
              </w:rPr>
            </w:pPr>
            <w:r>
              <w:rPr>
                <w:rFonts w:hint="eastAsia" w:ascii="宋体" w:hAnsi="宋体" w:cs="宋体"/>
                <w:color w:val="auto"/>
                <w:szCs w:val="21"/>
                <w:highlight w:val="none"/>
              </w:rPr>
              <w:t>5</w:t>
            </w:r>
          </w:p>
        </w:tc>
        <w:tc>
          <w:tcPr>
            <w:tcW w:w="667" w:type="dxa"/>
            <w:vAlign w:val="center"/>
          </w:tcPr>
          <w:p w14:paraId="6FEEC9D3">
            <w:pPr>
              <w:autoSpaceDE w:val="0"/>
              <w:autoSpaceDN w:val="0"/>
              <w:adjustRightInd w:val="0"/>
              <w:jc w:val="center"/>
              <w:rPr>
                <w:rFonts w:ascii="宋体" w:hAnsi="宋体" w:cs="宋体"/>
                <w:color w:val="auto"/>
                <w:szCs w:val="21"/>
                <w:highlight w:val="none"/>
              </w:rPr>
            </w:pPr>
          </w:p>
        </w:tc>
        <w:tc>
          <w:tcPr>
            <w:tcW w:w="667" w:type="dxa"/>
            <w:vAlign w:val="center"/>
          </w:tcPr>
          <w:p w14:paraId="1CFEEA71">
            <w:pPr>
              <w:autoSpaceDE w:val="0"/>
              <w:autoSpaceDN w:val="0"/>
              <w:adjustRightInd w:val="0"/>
              <w:jc w:val="center"/>
              <w:rPr>
                <w:rFonts w:ascii="宋体" w:hAnsi="宋体" w:cs="宋体"/>
                <w:color w:val="auto"/>
                <w:szCs w:val="21"/>
                <w:highlight w:val="none"/>
              </w:rPr>
            </w:pPr>
          </w:p>
        </w:tc>
      </w:tr>
      <w:tr w14:paraId="75D60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996" w:type="dxa"/>
            <w:vMerge w:val="continue"/>
            <w:vAlign w:val="center"/>
          </w:tcPr>
          <w:p w14:paraId="040963E8">
            <w:pPr>
              <w:pStyle w:val="9"/>
              <w:ind w:left="5250" w:leftChars="0" w:firstLine="0" w:firstLineChars="0"/>
              <w:jc w:val="center"/>
              <w:rPr>
                <w:rFonts w:asciiTheme="minorEastAsia" w:hAnsiTheme="minorEastAsia" w:eastAsiaTheme="minorEastAsia" w:cstheme="minorEastAsia"/>
                <w:color w:val="auto"/>
                <w:szCs w:val="21"/>
                <w:highlight w:val="none"/>
              </w:rPr>
            </w:pPr>
          </w:p>
        </w:tc>
        <w:tc>
          <w:tcPr>
            <w:tcW w:w="1210" w:type="dxa"/>
            <w:vAlign w:val="center"/>
          </w:tcPr>
          <w:p w14:paraId="53F087F2">
            <w:pPr>
              <w:autoSpaceDE w:val="0"/>
              <w:autoSpaceDN w:val="0"/>
              <w:adjustRightInd w:val="0"/>
              <w:jc w:val="center"/>
              <w:rPr>
                <w:rFonts w:asciiTheme="minorEastAsia" w:hAnsiTheme="minorEastAsia" w:eastAsiaTheme="minorEastAsia" w:cstheme="minorEastAsia"/>
                <w:color w:val="auto"/>
                <w:szCs w:val="21"/>
                <w:highlight w:val="none"/>
              </w:rPr>
            </w:pPr>
            <w:r>
              <w:rPr>
                <w:rFonts w:hint="eastAsia" w:ascii="宋体" w:hAnsi="宋体" w:cs="宋体"/>
                <w:color w:val="auto"/>
                <w:szCs w:val="21"/>
                <w:highlight w:val="none"/>
              </w:rPr>
              <w:t>项目建设思路</w:t>
            </w:r>
          </w:p>
        </w:tc>
        <w:tc>
          <w:tcPr>
            <w:tcW w:w="7045" w:type="dxa"/>
            <w:vAlign w:val="center"/>
          </w:tcPr>
          <w:p w14:paraId="1BD70AF3">
            <w:pPr>
              <w:tabs>
                <w:tab w:val="left" w:pos="2061"/>
              </w:tabs>
              <w:rPr>
                <w:rFonts w:ascii="宋体" w:hAnsi="宋体" w:cs="宋体"/>
                <w:color w:val="auto"/>
                <w:szCs w:val="21"/>
                <w:highlight w:val="none"/>
              </w:rPr>
            </w:pPr>
            <w:r>
              <w:rPr>
                <w:rFonts w:hint="eastAsia" w:ascii="宋体" w:hAnsi="宋体" w:cs="宋体"/>
                <w:color w:val="auto"/>
                <w:szCs w:val="21"/>
                <w:highlight w:val="none"/>
              </w:rPr>
              <w:t>根据投标人对本项目建设思路的理解、重难点的把握进行打分。</w:t>
            </w:r>
          </w:p>
          <w:p w14:paraId="0E888BC7">
            <w:pPr>
              <w:tabs>
                <w:tab w:val="left" w:pos="2061"/>
              </w:tabs>
              <w:rPr>
                <w:rFonts w:ascii="宋体" w:hAnsi="宋体" w:cs="宋体"/>
                <w:color w:val="auto"/>
                <w:szCs w:val="21"/>
                <w:highlight w:val="none"/>
              </w:rPr>
            </w:pPr>
            <w:r>
              <w:rPr>
                <w:rFonts w:hint="eastAsia" w:ascii="宋体" w:hAnsi="宋体" w:cs="宋体"/>
                <w:color w:val="auto"/>
                <w:szCs w:val="21"/>
                <w:highlight w:val="none"/>
              </w:rPr>
              <w:t>思路清晰，重难点把握准确，理解深入的得5分；</w:t>
            </w:r>
          </w:p>
          <w:p w14:paraId="0AA2F72A">
            <w:pPr>
              <w:tabs>
                <w:tab w:val="left" w:pos="2061"/>
              </w:tabs>
              <w:rPr>
                <w:rFonts w:ascii="宋体" w:hAnsi="宋体" w:cs="宋体"/>
                <w:color w:val="auto"/>
                <w:szCs w:val="21"/>
                <w:highlight w:val="none"/>
              </w:rPr>
            </w:pPr>
            <w:r>
              <w:rPr>
                <w:rFonts w:hint="eastAsia" w:ascii="宋体" w:hAnsi="宋体" w:cs="宋体"/>
                <w:color w:val="auto"/>
                <w:szCs w:val="21"/>
                <w:highlight w:val="none"/>
              </w:rPr>
              <w:t>思路基本清晰，重难点把握基本准确，理解基本深入的得4分；</w:t>
            </w:r>
          </w:p>
          <w:p w14:paraId="33B9144B">
            <w:pPr>
              <w:tabs>
                <w:tab w:val="left" w:pos="2061"/>
              </w:tabs>
              <w:rPr>
                <w:rFonts w:ascii="宋体" w:hAnsi="宋体" w:cs="宋体"/>
                <w:color w:val="auto"/>
                <w:szCs w:val="21"/>
                <w:highlight w:val="none"/>
              </w:rPr>
            </w:pPr>
            <w:r>
              <w:rPr>
                <w:rFonts w:hint="eastAsia" w:ascii="宋体" w:hAnsi="宋体" w:cs="宋体"/>
                <w:color w:val="auto"/>
                <w:szCs w:val="21"/>
                <w:highlight w:val="none"/>
              </w:rPr>
              <w:t>思路模糊，重难点把握及定位不够准确的得3分；</w:t>
            </w:r>
          </w:p>
          <w:p w14:paraId="779EE6E9">
            <w:pPr>
              <w:tabs>
                <w:tab w:val="left" w:pos="2061"/>
              </w:tabs>
              <w:rPr>
                <w:rFonts w:ascii="宋体" w:hAnsi="宋体" w:cs="宋体"/>
                <w:color w:val="auto"/>
                <w:szCs w:val="21"/>
                <w:highlight w:val="none"/>
              </w:rPr>
            </w:pPr>
            <w:r>
              <w:rPr>
                <w:rFonts w:hint="eastAsia" w:ascii="宋体" w:hAnsi="宋体" w:cs="宋体"/>
                <w:color w:val="auto"/>
                <w:szCs w:val="21"/>
                <w:highlight w:val="none"/>
              </w:rPr>
              <w:t>建设思路基本提及的得1分；</w:t>
            </w:r>
          </w:p>
          <w:p w14:paraId="609D7D3F">
            <w:pPr>
              <w:tabs>
                <w:tab w:val="left" w:pos="2061"/>
              </w:tabs>
              <w:rPr>
                <w:rFonts w:asciiTheme="minorEastAsia" w:hAnsiTheme="minorEastAsia" w:eastAsiaTheme="minorEastAsia" w:cstheme="minorEastAsia"/>
                <w:color w:val="auto"/>
                <w:szCs w:val="21"/>
                <w:highlight w:val="none"/>
              </w:rPr>
            </w:pPr>
            <w:r>
              <w:rPr>
                <w:rFonts w:hint="eastAsia" w:ascii="宋体" w:hAnsi="宋体" w:cs="宋体"/>
                <w:color w:val="auto"/>
                <w:szCs w:val="21"/>
                <w:highlight w:val="none"/>
              </w:rPr>
              <w:t>未提及此项不得分。</w:t>
            </w:r>
          </w:p>
        </w:tc>
        <w:tc>
          <w:tcPr>
            <w:tcW w:w="667" w:type="dxa"/>
            <w:vAlign w:val="center"/>
          </w:tcPr>
          <w:p w14:paraId="75525CC4">
            <w:pPr>
              <w:autoSpaceDE w:val="0"/>
              <w:autoSpaceDN w:val="0"/>
              <w:adjustRightInd w:val="0"/>
              <w:jc w:val="center"/>
              <w:rPr>
                <w:rFonts w:asciiTheme="minorEastAsia" w:hAnsiTheme="minorEastAsia" w:eastAsiaTheme="minorEastAsia" w:cstheme="minorEastAsia"/>
                <w:color w:val="auto"/>
                <w:szCs w:val="21"/>
                <w:highlight w:val="none"/>
              </w:rPr>
            </w:pPr>
            <w:r>
              <w:rPr>
                <w:rFonts w:hint="eastAsia" w:ascii="宋体" w:hAnsi="宋体" w:cs="宋体"/>
                <w:color w:val="auto"/>
                <w:szCs w:val="21"/>
                <w:highlight w:val="none"/>
              </w:rPr>
              <w:t>5</w:t>
            </w:r>
          </w:p>
        </w:tc>
        <w:tc>
          <w:tcPr>
            <w:tcW w:w="667" w:type="dxa"/>
            <w:vAlign w:val="center"/>
          </w:tcPr>
          <w:p w14:paraId="3F650539">
            <w:pPr>
              <w:autoSpaceDE w:val="0"/>
              <w:autoSpaceDN w:val="0"/>
              <w:adjustRightInd w:val="0"/>
              <w:jc w:val="center"/>
              <w:rPr>
                <w:rFonts w:ascii="宋体" w:hAnsi="宋体" w:cs="宋体"/>
                <w:color w:val="auto"/>
                <w:szCs w:val="21"/>
                <w:highlight w:val="none"/>
              </w:rPr>
            </w:pPr>
          </w:p>
        </w:tc>
        <w:tc>
          <w:tcPr>
            <w:tcW w:w="667" w:type="dxa"/>
            <w:vAlign w:val="center"/>
          </w:tcPr>
          <w:p w14:paraId="2CA09019">
            <w:pPr>
              <w:autoSpaceDE w:val="0"/>
              <w:autoSpaceDN w:val="0"/>
              <w:adjustRightInd w:val="0"/>
              <w:jc w:val="center"/>
              <w:rPr>
                <w:rFonts w:ascii="宋体" w:hAnsi="宋体" w:cs="宋体"/>
                <w:color w:val="auto"/>
                <w:szCs w:val="21"/>
                <w:highlight w:val="none"/>
              </w:rPr>
            </w:pPr>
          </w:p>
        </w:tc>
      </w:tr>
      <w:tr w14:paraId="718FD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996" w:type="dxa"/>
            <w:vMerge w:val="continue"/>
            <w:vAlign w:val="center"/>
          </w:tcPr>
          <w:p w14:paraId="53A32014">
            <w:pPr>
              <w:pStyle w:val="9"/>
              <w:ind w:left="5250" w:leftChars="0" w:firstLine="0" w:firstLineChars="0"/>
              <w:jc w:val="center"/>
              <w:rPr>
                <w:rFonts w:asciiTheme="minorEastAsia" w:hAnsiTheme="minorEastAsia" w:eastAsiaTheme="minorEastAsia" w:cstheme="minorEastAsia"/>
                <w:color w:val="auto"/>
                <w:szCs w:val="21"/>
                <w:highlight w:val="none"/>
              </w:rPr>
            </w:pPr>
          </w:p>
        </w:tc>
        <w:tc>
          <w:tcPr>
            <w:tcW w:w="1210" w:type="dxa"/>
            <w:vAlign w:val="center"/>
          </w:tcPr>
          <w:p w14:paraId="672AECDF">
            <w:pPr>
              <w:autoSpaceDE w:val="0"/>
              <w:autoSpaceDN w:val="0"/>
              <w:adjustRightInd w:val="0"/>
              <w:jc w:val="center"/>
              <w:rPr>
                <w:rFonts w:asciiTheme="minorEastAsia" w:hAnsiTheme="minorEastAsia" w:eastAsiaTheme="minorEastAsia" w:cstheme="minorEastAsia"/>
                <w:color w:val="auto"/>
                <w:szCs w:val="21"/>
                <w:highlight w:val="none"/>
              </w:rPr>
            </w:pPr>
            <w:r>
              <w:rPr>
                <w:rFonts w:hint="eastAsia" w:ascii="宋体" w:hAnsi="宋体" w:cs="宋体"/>
                <w:color w:val="auto"/>
                <w:szCs w:val="21"/>
                <w:highlight w:val="none"/>
              </w:rPr>
              <w:t>技术方案</w:t>
            </w:r>
          </w:p>
        </w:tc>
        <w:tc>
          <w:tcPr>
            <w:tcW w:w="7045" w:type="dxa"/>
            <w:vAlign w:val="center"/>
          </w:tcPr>
          <w:p w14:paraId="3BB37314">
            <w:pPr>
              <w:widowControl/>
              <w:rPr>
                <w:rFonts w:ascii="宋体" w:hAnsi="宋体" w:cs="宋体"/>
                <w:color w:val="auto"/>
                <w:szCs w:val="21"/>
                <w:highlight w:val="none"/>
              </w:rPr>
            </w:pPr>
            <w:r>
              <w:rPr>
                <w:rFonts w:hint="eastAsia" w:ascii="宋体" w:hAnsi="宋体" w:cs="宋体"/>
                <w:color w:val="auto"/>
                <w:szCs w:val="21"/>
                <w:highlight w:val="none"/>
              </w:rPr>
              <w:t>根据投标人技术方案与本项目需求的吻合程度进行打分。</w:t>
            </w:r>
          </w:p>
          <w:p w14:paraId="686A8CBA">
            <w:pPr>
              <w:widowControl/>
              <w:rPr>
                <w:rFonts w:ascii="宋体" w:hAnsi="宋体" w:cs="宋体"/>
                <w:color w:val="auto"/>
                <w:szCs w:val="21"/>
                <w:highlight w:val="none"/>
              </w:rPr>
            </w:pPr>
            <w:r>
              <w:rPr>
                <w:rFonts w:hint="eastAsia" w:ascii="宋体" w:hAnsi="宋体" w:cs="宋体"/>
                <w:color w:val="auto"/>
                <w:szCs w:val="21"/>
                <w:highlight w:val="none"/>
              </w:rPr>
              <w:t>方案详细、完善、科学合理，适用本项目需求的得5分；</w:t>
            </w:r>
          </w:p>
          <w:p w14:paraId="534033A4">
            <w:pPr>
              <w:widowControl/>
              <w:rPr>
                <w:rFonts w:ascii="宋体" w:hAnsi="宋体" w:cs="宋体"/>
                <w:color w:val="auto"/>
                <w:szCs w:val="21"/>
                <w:highlight w:val="none"/>
              </w:rPr>
            </w:pPr>
            <w:r>
              <w:rPr>
                <w:rFonts w:hint="eastAsia" w:ascii="宋体" w:hAnsi="宋体" w:cs="宋体"/>
                <w:color w:val="auto"/>
                <w:szCs w:val="21"/>
                <w:highlight w:val="none"/>
              </w:rPr>
              <w:t>方案比较详细完善，基本满足本项目需求的得4分；</w:t>
            </w:r>
          </w:p>
          <w:p w14:paraId="3917B446">
            <w:pPr>
              <w:widowControl/>
              <w:rPr>
                <w:rFonts w:ascii="宋体" w:hAnsi="宋体" w:cs="宋体"/>
                <w:color w:val="auto"/>
                <w:szCs w:val="21"/>
                <w:highlight w:val="none"/>
              </w:rPr>
            </w:pPr>
            <w:r>
              <w:rPr>
                <w:rFonts w:hint="eastAsia" w:ascii="宋体" w:hAnsi="宋体" w:cs="宋体"/>
                <w:color w:val="auto"/>
                <w:szCs w:val="21"/>
                <w:highlight w:val="none"/>
              </w:rPr>
              <w:t>方案内容欠佳，不够详细的得3分；</w:t>
            </w:r>
          </w:p>
          <w:p w14:paraId="0361342F">
            <w:pPr>
              <w:widowControl/>
              <w:rPr>
                <w:rFonts w:ascii="宋体" w:hAnsi="宋体" w:cs="宋体"/>
                <w:color w:val="auto"/>
                <w:szCs w:val="21"/>
                <w:highlight w:val="none"/>
              </w:rPr>
            </w:pPr>
            <w:r>
              <w:rPr>
                <w:rFonts w:hint="eastAsia" w:ascii="宋体" w:hAnsi="宋体" w:cs="宋体"/>
                <w:color w:val="auto"/>
                <w:szCs w:val="21"/>
                <w:highlight w:val="none"/>
              </w:rPr>
              <w:t>技术方案简单提及的得1分；</w:t>
            </w:r>
          </w:p>
          <w:p w14:paraId="32F2E7D1">
            <w:pPr>
              <w:widowControl/>
              <w:rPr>
                <w:rFonts w:asciiTheme="minorEastAsia" w:hAnsiTheme="minorEastAsia" w:eastAsiaTheme="minorEastAsia" w:cstheme="minorEastAsia"/>
                <w:color w:val="auto"/>
                <w:szCs w:val="21"/>
                <w:highlight w:val="none"/>
              </w:rPr>
            </w:pPr>
            <w:r>
              <w:rPr>
                <w:rFonts w:hint="eastAsia" w:ascii="宋体" w:hAnsi="宋体" w:cs="宋体"/>
                <w:color w:val="auto"/>
                <w:szCs w:val="21"/>
                <w:highlight w:val="none"/>
              </w:rPr>
              <w:t>未提及此项不得分。</w:t>
            </w:r>
          </w:p>
        </w:tc>
        <w:tc>
          <w:tcPr>
            <w:tcW w:w="667" w:type="dxa"/>
            <w:vAlign w:val="center"/>
          </w:tcPr>
          <w:p w14:paraId="0C2824D4">
            <w:pPr>
              <w:autoSpaceDE w:val="0"/>
              <w:autoSpaceDN w:val="0"/>
              <w:adjustRightInd w:val="0"/>
              <w:jc w:val="center"/>
              <w:rPr>
                <w:rFonts w:asciiTheme="minorEastAsia" w:hAnsiTheme="minorEastAsia" w:eastAsiaTheme="minorEastAsia" w:cstheme="minorEastAsia"/>
                <w:color w:val="auto"/>
                <w:szCs w:val="21"/>
                <w:highlight w:val="none"/>
              </w:rPr>
            </w:pPr>
            <w:r>
              <w:rPr>
                <w:rFonts w:hint="eastAsia" w:ascii="宋体" w:hAnsi="宋体" w:cs="宋体"/>
                <w:color w:val="auto"/>
                <w:szCs w:val="21"/>
                <w:highlight w:val="none"/>
              </w:rPr>
              <w:t>5</w:t>
            </w:r>
          </w:p>
        </w:tc>
        <w:tc>
          <w:tcPr>
            <w:tcW w:w="667" w:type="dxa"/>
            <w:vAlign w:val="center"/>
          </w:tcPr>
          <w:p w14:paraId="465B3480">
            <w:pPr>
              <w:autoSpaceDE w:val="0"/>
              <w:autoSpaceDN w:val="0"/>
              <w:adjustRightInd w:val="0"/>
              <w:jc w:val="center"/>
              <w:rPr>
                <w:rFonts w:ascii="宋体" w:hAnsi="宋体" w:cs="宋体"/>
                <w:color w:val="auto"/>
                <w:szCs w:val="21"/>
                <w:highlight w:val="none"/>
              </w:rPr>
            </w:pPr>
          </w:p>
        </w:tc>
        <w:tc>
          <w:tcPr>
            <w:tcW w:w="667" w:type="dxa"/>
            <w:vAlign w:val="center"/>
          </w:tcPr>
          <w:p w14:paraId="65F4E4AA">
            <w:pPr>
              <w:autoSpaceDE w:val="0"/>
              <w:autoSpaceDN w:val="0"/>
              <w:adjustRightInd w:val="0"/>
              <w:jc w:val="center"/>
              <w:rPr>
                <w:rFonts w:ascii="宋体" w:hAnsi="宋体" w:cs="宋体"/>
                <w:color w:val="auto"/>
                <w:szCs w:val="21"/>
                <w:highlight w:val="none"/>
              </w:rPr>
            </w:pPr>
          </w:p>
        </w:tc>
      </w:tr>
      <w:tr w14:paraId="51CA4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996" w:type="dxa"/>
            <w:vMerge w:val="continue"/>
            <w:vAlign w:val="center"/>
          </w:tcPr>
          <w:p w14:paraId="31F2AA27">
            <w:pPr>
              <w:pStyle w:val="9"/>
              <w:ind w:left="5250" w:leftChars="0" w:firstLine="0" w:firstLineChars="0"/>
              <w:jc w:val="center"/>
              <w:rPr>
                <w:rFonts w:asciiTheme="minorEastAsia" w:hAnsiTheme="minorEastAsia" w:eastAsiaTheme="minorEastAsia" w:cstheme="minorEastAsia"/>
                <w:color w:val="auto"/>
                <w:szCs w:val="21"/>
                <w:highlight w:val="none"/>
              </w:rPr>
            </w:pPr>
          </w:p>
        </w:tc>
        <w:tc>
          <w:tcPr>
            <w:tcW w:w="1210" w:type="dxa"/>
            <w:vMerge w:val="restart"/>
            <w:vAlign w:val="center"/>
          </w:tcPr>
          <w:p w14:paraId="0A87FA5B">
            <w:pPr>
              <w:autoSpaceDE w:val="0"/>
              <w:autoSpaceDN w:val="0"/>
              <w:adjustRightInd w:val="0"/>
              <w:jc w:val="center"/>
              <w:rPr>
                <w:rFonts w:asciiTheme="minorEastAsia" w:hAnsiTheme="minorEastAsia" w:eastAsiaTheme="minorEastAsia" w:cstheme="minorEastAsia"/>
                <w:color w:val="auto"/>
                <w:szCs w:val="21"/>
                <w:highlight w:val="none"/>
              </w:rPr>
            </w:pPr>
            <w:r>
              <w:rPr>
                <w:rFonts w:hint="eastAsia" w:ascii="宋体" w:hAnsi="宋体" w:cs="宋体"/>
                <w:color w:val="auto"/>
                <w:szCs w:val="21"/>
                <w:highlight w:val="none"/>
              </w:rPr>
              <w:t>技术参数响应</w:t>
            </w:r>
          </w:p>
        </w:tc>
        <w:tc>
          <w:tcPr>
            <w:tcW w:w="7045" w:type="dxa"/>
            <w:vAlign w:val="center"/>
          </w:tcPr>
          <w:p w14:paraId="1886B1D8">
            <w:pPr>
              <w:tabs>
                <w:tab w:val="left" w:pos="2061"/>
              </w:tabs>
              <w:rPr>
                <w:rFonts w:asciiTheme="minorEastAsia" w:hAnsiTheme="minorEastAsia" w:eastAsiaTheme="minorEastAsia" w:cstheme="minorEastAsia"/>
                <w:color w:val="auto"/>
                <w:szCs w:val="21"/>
                <w:highlight w:val="none"/>
              </w:rPr>
            </w:pPr>
            <w:r>
              <w:rPr>
                <w:rFonts w:hint="eastAsia" w:ascii="宋体" w:hAnsi="宋体" w:cs="宋体"/>
                <w:color w:val="auto"/>
                <w:szCs w:val="21"/>
                <w:highlight w:val="none"/>
              </w:rPr>
              <w:t>根据投标人所提供的设备技术指标与需求全部满足采购文件要求的得满分18分，负偏离或不满足的一项扣1分，扣完为止。</w:t>
            </w:r>
          </w:p>
        </w:tc>
        <w:tc>
          <w:tcPr>
            <w:tcW w:w="667" w:type="dxa"/>
            <w:vAlign w:val="center"/>
          </w:tcPr>
          <w:p w14:paraId="2ACE894E">
            <w:pPr>
              <w:autoSpaceDE w:val="0"/>
              <w:autoSpaceDN w:val="0"/>
              <w:adjustRightInd w:val="0"/>
              <w:jc w:val="center"/>
              <w:rPr>
                <w:rFonts w:asciiTheme="minorEastAsia" w:hAnsiTheme="minorEastAsia" w:eastAsiaTheme="minorEastAsia" w:cstheme="minorEastAsia"/>
                <w:color w:val="auto"/>
                <w:szCs w:val="21"/>
                <w:highlight w:val="none"/>
              </w:rPr>
            </w:pPr>
            <w:r>
              <w:rPr>
                <w:rFonts w:hint="eastAsia" w:ascii="宋体" w:hAnsi="宋体" w:cs="宋体"/>
                <w:color w:val="auto"/>
                <w:szCs w:val="21"/>
                <w:highlight w:val="none"/>
              </w:rPr>
              <w:t>18</w:t>
            </w:r>
          </w:p>
        </w:tc>
        <w:tc>
          <w:tcPr>
            <w:tcW w:w="667" w:type="dxa"/>
            <w:vAlign w:val="center"/>
          </w:tcPr>
          <w:p w14:paraId="51FE7300">
            <w:pPr>
              <w:autoSpaceDE w:val="0"/>
              <w:autoSpaceDN w:val="0"/>
              <w:adjustRightInd w:val="0"/>
              <w:jc w:val="center"/>
              <w:rPr>
                <w:rFonts w:ascii="宋体" w:hAnsi="宋体" w:cs="宋体"/>
                <w:color w:val="auto"/>
                <w:szCs w:val="21"/>
                <w:highlight w:val="none"/>
              </w:rPr>
            </w:pPr>
          </w:p>
        </w:tc>
        <w:tc>
          <w:tcPr>
            <w:tcW w:w="667" w:type="dxa"/>
            <w:vAlign w:val="center"/>
          </w:tcPr>
          <w:p w14:paraId="785498C1">
            <w:pPr>
              <w:autoSpaceDE w:val="0"/>
              <w:autoSpaceDN w:val="0"/>
              <w:adjustRightInd w:val="0"/>
              <w:jc w:val="center"/>
              <w:rPr>
                <w:rFonts w:ascii="宋体" w:hAnsi="宋体" w:cs="宋体"/>
                <w:color w:val="auto"/>
                <w:szCs w:val="21"/>
                <w:highlight w:val="none"/>
              </w:rPr>
            </w:pPr>
          </w:p>
        </w:tc>
      </w:tr>
      <w:tr w14:paraId="3BA2B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996" w:type="dxa"/>
            <w:vMerge w:val="continue"/>
            <w:vAlign w:val="center"/>
          </w:tcPr>
          <w:p w14:paraId="26C327DD">
            <w:pPr>
              <w:pStyle w:val="9"/>
              <w:ind w:left="5250" w:leftChars="0" w:firstLine="0" w:firstLineChars="0"/>
              <w:jc w:val="center"/>
              <w:rPr>
                <w:rFonts w:asciiTheme="minorEastAsia" w:hAnsiTheme="minorEastAsia" w:eastAsiaTheme="minorEastAsia" w:cstheme="minorEastAsia"/>
                <w:color w:val="auto"/>
                <w:szCs w:val="21"/>
                <w:highlight w:val="none"/>
              </w:rPr>
            </w:pPr>
          </w:p>
        </w:tc>
        <w:tc>
          <w:tcPr>
            <w:tcW w:w="1210" w:type="dxa"/>
            <w:vMerge w:val="continue"/>
            <w:vAlign w:val="center"/>
          </w:tcPr>
          <w:p w14:paraId="7B61626E">
            <w:pPr>
              <w:autoSpaceDE w:val="0"/>
              <w:autoSpaceDN w:val="0"/>
              <w:adjustRightInd w:val="0"/>
              <w:jc w:val="center"/>
              <w:rPr>
                <w:rFonts w:asciiTheme="minorEastAsia" w:hAnsiTheme="minorEastAsia" w:eastAsiaTheme="minorEastAsia" w:cstheme="minorEastAsia"/>
                <w:color w:val="auto"/>
                <w:szCs w:val="21"/>
                <w:highlight w:val="none"/>
              </w:rPr>
            </w:pPr>
          </w:p>
        </w:tc>
        <w:tc>
          <w:tcPr>
            <w:tcW w:w="7045" w:type="dxa"/>
            <w:vAlign w:val="center"/>
          </w:tcPr>
          <w:p w14:paraId="04E3F15A">
            <w:pPr>
              <w:widowControl/>
              <w:tabs>
                <w:tab w:val="right" w:pos="4937"/>
              </w:tabs>
              <w:jc w:val="left"/>
              <w:rPr>
                <w:rFonts w:asciiTheme="minorEastAsia" w:hAnsiTheme="minorEastAsia" w:eastAsiaTheme="minorEastAsia" w:cstheme="minorEastAsia"/>
                <w:snapToGrid w:val="0"/>
                <w:color w:val="auto"/>
                <w:kern w:val="0"/>
                <w:szCs w:val="21"/>
                <w:highlight w:val="none"/>
              </w:rPr>
            </w:pPr>
            <w:r>
              <w:rPr>
                <w:rFonts w:hint="eastAsia" w:ascii="宋体" w:hAnsi="宋体" w:cs="宋体"/>
                <w:color w:val="auto"/>
                <w:szCs w:val="21"/>
                <w:highlight w:val="none"/>
              </w:rPr>
              <w:t>根据投标人所提供的服务全部满足采购文件要求的得满分10分，负偏离或不满足的一项扣1分，扣完为止。</w:t>
            </w:r>
          </w:p>
        </w:tc>
        <w:tc>
          <w:tcPr>
            <w:tcW w:w="667" w:type="dxa"/>
            <w:vAlign w:val="center"/>
          </w:tcPr>
          <w:p w14:paraId="312F90EC">
            <w:pPr>
              <w:autoSpaceDE w:val="0"/>
              <w:autoSpaceDN w:val="0"/>
              <w:adjustRightInd w:val="0"/>
              <w:jc w:val="center"/>
              <w:rPr>
                <w:rFonts w:asciiTheme="minorEastAsia" w:hAnsiTheme="minorEastAsia" w:eastAsiaTheme="minorEastAsia" w:cstheme="minorEastAsia"/>
                <w:color w:val="auto"/>
                <w:szCs w:val="21"/>
                <w:highlight w:val="none"/>
              </w:rPr>
            </w:pPr>
            <w:r>
              <w:rPr>
                <w:rFonts w:hint="eastAsia" w:ascii="宋体" w:hAnsi="宋体" w:cs="宋体"/>
                <w:color w:val="auto"/>
                <w:szCs w:val="21"/>
                <w:highlight w:val="none"/>
              </w:rPr>
              <w:t>10</w:t>
            </w:r>
          </w:p>
        </w:tc>
        <w:tc>
          <w:tcPr>
            <w:tcW w:w="667" w:type="dxa"/>
            <w:vAlign w:val="center"/>
          </w:tcPr>
          <w:p w14:paraId="68D0998A">
            <w:pPr>
              <w:autoSpaceDE w:val="0"/>
              <w:autoSpaceDN w:val="0"/>
              <w:adjustRightInd w:val="0"/>
              <w:jc w:val="center"/>
              <w:rPr>
                <w:rFonts w:ascii="宋体" w:hAnsi="宋体" w:cs="宋体"/>
                <w:color w:val="auto"/>
                <w:szCs w:val="21"/>
                <w:highlight w:val="none"/>
              </w:rPr>
            </w:pPr>
          </w:p>
        </w:tc>
        <w:tc>
          <w:tcPr>
            <w:tcW w:w="667" w:type="dxa"/>
            <w:vAlign w:val="center"/>
          </w:tcPr>
          <w:p w14:paraId="09F725F7">
            <w:pPr>
              <w:autoSpaceDE w:val="0"/>
              <w:autoSpaceDN w:val="0"/>
              <w:adjustRightInd w:val="0"/>
              <w:jc w:val="center"/>
              <w:rPr>
                <w:rFonts w:ascii="宋体" w:hAnsi="宋体" w:cs="宋体"/>
                <w:color w:val="auto"/>
                <w:szCs w:val="21"/>
                <w:highlight w:val="none"/>
              </w:rPr>
            </w:pPr>
          </w:p>
        </w:tc>
      </w:tr>
      <w:tr w14:paraId="5CE7A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996" w:type="dxa"/>
            <w:vMerge w:val="continue"/>
            <w:vAlign w:val="center"/>
          </w:tcPr>
          <w:p w14:paraId="3018F15A">
            <w:pPr>
              <w:pStyle w:val="9"/>
              <w:ind w:left="5250" w:leftChars="0" w:firstLine="0" w:firstLineChars="0"/>
              <w:jc w:val="center"/>
              <w:rPr>
                <w:rFonts w:asciiTheme="minorEastAsia" w:hAnsiTheme="minorEastAsia" w:eastAsiaTheme="minorEastAsia" w:cstheme="minorEastAsia"/>
                <w:color w:val="auto"/>
                <w:szCs w:val="21"/>
                <w:highlight w:val="none"/>
              </w:rPr>
            </w:pPr>
          </w:p>
        </w:tc>
        <w:tc>
          <w:tcPr>
            <w:tcW w:w="1210" w:type="dxa"/>
            <w:vAlign w:val="center"/>
          </w:tcPr>
          <w:p w14:paraId="5DA0B099">
            <w:pPr>
              <w:snapToGrid w:val="0"/>
              <w:jc w:val="center"/>
              <w:rPr>
                <w:rFonts w:asciiTheme="minorEastAsia" w:hAnsiTheme="minorEastAsia" w:eastAsiaTheme="minorEastAsia" w:cstheme="minorEastAsia"/>
                <w:color w:val="auto"/>
                <w:szCs w:val="21"/>
                <w:highlight w:val="none"/>
              </w:rPr>
            </w:pPr>
            <w:r>
              <w:rPr>
                <w:rFonts w:hint="eastAsia" w:ascii="宋体" w:hAnsi="宋体" w:cs="宋体"/>
                <w:color w:val="auto"/>
                <w:szCs w:val="21"/>
                <w:highlight w:val="none"/>
              </w:rPr>
              <w:t>实施方案</w:t>
            </w:r>
          </w:p>
        </w:tc>
        <w:tc>
          <w:tcPr>
            <w:tcW w:w="7045" w:type="dxa"/>
            <w:vAlign w:val="center"/>
          </w:tcPr>
          <w:p w14:paraId="50B2CF76">
            <w:pPr>
              <w:tabs>
                <w:tab w:val="left" w:pos="2061"/>
              </w:tabs>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根据投标人提供的组织实施方案，包括产品供货、验货、安装调试、调优、验收等内容进行打分。</w:t>
            </w:r>
          </w:p>
          <w:p w14:paraId="051ED6A1">
            <w:pPr>
              <w:tabs>
                <w:tab w:val="left" w:pos="2061"/>
              </w:tabs>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方案详实、内容完整、供货安排操作性强，进度详细有保障，验收标准符合行业标准且有针对性的得5分；</w:t>
            </w:r>
          </w:p>
          <w:p w14:paraId="12A66016">
            <w:pPr>
              <w:tabs>
                <w:tab w:val="left" w:pos="2061"/>
              </w:tabs>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方案基本详实、内容基本完整、供货安排操作性比较强强，进度安排基本合理，验收标准基本符合行业标准的得</w:t>
            </w:r>
            <w:r>
              <w:rPr>
                <w:rFonts w:hint="eastAsia" w:ascii="宋体" w:hAnsi="宋体" w:cs="宋体"/>
                <w:color w:val="auto"/>
                <w:szCs w:val="21"/>
                <w:highlight w:val="none"/>
              </w:rPr>
              <w:t>4</w:t>
            </w:r>
            <w:r>
              <w:rPr>
                <w:rFonts w:hint="eastAsia" w:ascii="宋体" w:hAnsi="宋体" w:cs="宋体"/>
                <w:snapToGrid w:val="0"/>
                <w:color w:val="auto"/>
                <w:kern w:val="0"/>
                <w:szCs w:val="21"/>
                <w:highlight w:val="none"/>
              </w:rPr>
              <w:t>分；</w:t>
            </w:r>
          </w:p>
          <w:p w14:paraId="34D35F73">
            <w:pPr>
              <w:tabs>
                <w:tab w:val="left" w:pos="2061"/>
              </w:tabs>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方案粗糙、内容缺漏、供货安排操作性一般，保障性和合理性有待加强的得</w:t>
            </w:r>
            <w:r>
              <w:rPr>
                <w:rFonts w:hint="eastAsia" w:ascii="宋体" w:hAnsi="宋体" w:cs="宋体"/>
                <w:color w:val="auto"/>
                <w:szCs w:val="21"/>
                <w:highlight w:val="none"/>
              </w:rPr>
              <w:t>3</w:t>
            </w:r>
            <w:r>
              <w:rPr>
                <w:rFonts w:hint="eastAsia" w:ascii="宋体" w:hAnsi="宋体" w:cs="宋体"/>
                <w:snapToGrid w:val="0"/>
                <w:color w:val="auto"/>
                <w:kern w:val="0"/>
                <w:szCs w:val="21"/>
                <w:highlight w:val="none"/>
              </w:rPr>
              <w:t>分；</w:t>
            </w:r>
          </w:p>
          <w:p w14:paraId="50F74D64">
            <w:pPr>
              <w:tabs>
                <w:tab w:val="left" w:pos="2061"/>
              </w:tabs>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实施方案简单提及的得1分；</w:t>
            </w:r>
          </w:p>
          <w:p w14:paraId="7E0E4574">
            <w:pPr>
              <w:tabs>
                <w:tab w:val="left" w:pos="2061"/>
              </w:tabs>
              <w:rPr>
                <w:rFonts w:asciiTheme="minorEastAsia" w:hAnsiTheme="minorEastAsia" w:eastAsiaTheme="minorEastAsia" w:cstheme="minorEastAsia"/>
                <w:snapToGrid w:val="0"/>
                <w:color w:val="auto"/>
                <w:kern w:val="0"/>
                <w:szCs w:val="21"/>
                <w:highlight w:val="none"/>
              </w:rPr>
            </w:pPr>
            <w:r>
              <w:rPr>
                <w:rFonts w:hint="eastAsia" w:ascii="宋体" w:hAnsi="宋体" w:cs="宋体"/>
                <w:color w:val="auto"/>
                <w:szCs w:val="21"/>
                <w:highlight w:val="none"/>
              </w:rPr>
              <w:t>未提及此项不得分。</w:t>
            </w:r>
          </w:p>
        </w:tc>
        <w:tc>
          <w:tcPr>
            <w:tcW w:w="667" w:type="dxa"/>
            <w:vAlign w:val="center"/>
          </w:tcPr>
          <w:p w14:paraId="1989F87D">
            <w:pPr>
              <w:autoSpaceDE w:val="0"/>
              <w:autoSpaceDN w:val="0"/>
              <w:adjustRightInd w:val="0"/>
              <w:jc w:val="center"/>
              <w:rPr>
                <w:rFonts w:asciiTheme="minorEastAsia" w:hAnsiTheme="minorEastAsia" w:eastAsiaTheme="minorEastAsia" w:cstheme="minorEastAsia"/>
                <w:color w:val="auto"/>
                <w:szCs w:val="21"/>
                <w:highlight w:val="none"/>
              </w:rPr>
            </w:pPr>
            <w:r>
              <w:rPr>
                <w:rFonts w:hint="eastAsia" w:ascii="宋体" w:hAnsi="宋体" w:cs="宋体"/>
                <w:color w:val="auto"/>
                <w:szCs w:val="21"/>
                <w:highlight w:val="none"/>
              </w:rPr>
              <w:t>5</w:t>
            </w:r>
          </w:p>
        </w:tc>
        <w:tc>
          <w:tcPr>
            <w:tcW w:w="667" w:type="dxa"/>
            <w:vAlign w:val="center"/>
          </w:tcPr>
          <w:p w14:paraId="116EA49C">
            <w:pPr>
              <w:autoSpaceDE w:val="0"/>
              <w:autoSpaceDN w:val="0"/>
              <w:adjustRightInd w:val="0"/>
              <w:jc w:val="center"/>
              <w:rPr>
                <w:rFonts w:ascii="宋体" w:hAnsi="宋体" w:cs="宋体"/>
                <w:color w:val="auto"/>
                <w:szCs w:val="21"/>
                <w:highlight w:val="none"/>
              </w:rPr>
            </w:pPr>
          </w:p>
        </w:tc>
        <w:tc>
          <w:tcPr>
            <w:tcW w:w="667" w:type="dxa"/>
            <w:vAlign w:val="center"/>
          </w:tcPr>
          <w:p w14:paraId="432D9498">
            <w:pPr>
              <w:autoSpaceDE w:val="0"/>
              <w:autoSpaceDN w:val="0"/>
              <w:adjustRightInd w:val="0"/>
              <w:jc w:val="center"/>
              <w:rPr>
                <w:rFonts w:ascii="宋体" w:hAnsi="宋体" w:cs="宋体"/>
                <w:color w:val="auto"/>
                <w:szCs w:val="21"/>
                <w:highlight w:val="none"/>
              </w:rPr>
            </w:pPr>
          </w:p>
        </w:tc>
      </w:tr>
      <w:tr w14:paraId="48F10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996" w:type="dxa"/>
            <w:vMerge w:val="continue"/>
            <w:vAlign w:val="center"/>
          </w:tcPr>
          <w:p w14:paraId="6327F25A">
            <w:pPr>
              <w:pStyle w:val="9"/>
              <w:ind w:left="5250" w:leftChars="0" w:firstLine="0" w:firstLineChars="0"/>
              <w:jc w:val="center"/>
              <w:rPr>
                <w:rFonts w:asciiTheme="minorEastAsia" w:hAnsiTheme="minorEastAsia" w:eastAsiaTheme="minorEastAsia" w:cstheme="minorEastAsia"/>
                <w:color w:val="auto"/>
                <w:szCs w:val="21"/>
                <w:highlight w:val="none"/>
              </w:rPr>
            </w:pPr>
          </w:p>
        </w:tc>
        <w:tc>
          <w:tcPr>
            <w:tcW w:w="1210" w:type="dxa"/>
            <w:vAlign w:val="center"/>
          </w:tcPr>
          <w:p w14:paraId="63026603">
            <w:pPr>
              <w:snapToGrid w:val="0"/>
              <w:jc w:val="center"/>
              <w:rPr>
                <w:rFonts w:asciiTheme="minorEastAsia" w:hAnsiTheme="minorEastAsia" w:eastAsiaTheme="minorEastAsia" w:cstheme="minorEastAsia"/>
                <w:color w:val="auto"/>
                <w:szCs w:val="21"/>
                <w:highlight w:val="none"/>
              </w:rPr>
            </w:pPr>
            <w:r>
              <w:rPr>
                <w:rFonts w:hint="eastAsia" w:ascii="宋体" w:hAnsi="宋体" w:cs="宋体"/>
                <w:color w:val="auto"/>
                <w:szCs w:val="21"/>
                <w:highlight w:val="none"/>
              </w:rPr>
              <w:t>培训方案</w:t>
            </w:r>
          </w:p>
        </w:tc>
        <w:tc>
          <w:tcPr>
            <w:tcW w:w="7045" w:type="dxa"/>
            <w:vAlign w:val="center"/>
          </w:tcPr>
          <w:p w14:paraId="369ED6BC">
            <w:pPr>
              <w:tabs>
                <w:tab w:val="left" w:pos="2061"/>
              </w:tabs>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根据投标人针对本项目制定的培训方案的合理性、科学性、可行性等情况进行打分。</w:t>
            </w:r>
          </w:p>
          <w:p w14:paraId="15DC1DE3">
            <w:pPr>
              <w:tabs>
                <w:tab w:val="left" w:pos="2061"/>
              </w:tabs>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培训方案内容齐全，可操作性强的得4分；</w:t>
            </w:r>
          </w:p>
          <w:p w14:paraId="30362E8F">
            <w:pPr>
              <w:tabs>
                <w:tab w:val="left" w:pos="2061"/>
              </w:tabs>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培训方案内容基本齐全，可操作性比较强的得3分；</w:t>
            </w:r>
          </w:p>
          <w:p w14:paraId="15828E1E">
            <w:pPr>
              <w:tabs>
                <w:tab w:val="left" w:pos="2061"/>
              </w:tabs>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培训方案内容一般，可操作性一般的得2分；</w:t>
            </w:r>
          </w:p>
          <w:p w14:paraId="4E6D3026">
            <w:pPr>
              <w:tabs>
                <w:tab w:val="left" w:pos="2061"/>
              </w:tabs>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培训方案不够周全、可操作性有待加强的得1分；</w:t>
            </w:r>
          </w:p>
          <w:p w14:paraId="5C64959F">
            <w:pPr>
              <w:tabs>
                <w:tab w:val="left" w:pos="2061"/>
              </w:tabs>
              <w:rPr>
                <w:rFonts w:asciiTheme="minorEastAsia" w:hAnsiTheme="minorEastAsia" w:eastAsiaTheme="minorEastAsia" w:cstheme="minorEastAsia"/>
                <w:snapToGrid w:val="0"/>
                <w:color w:val="auto"/>
                <w:kern w:val="0"/>
                <w:szCs w:val="21"/>
                <w:highlight w:val="none"/>
              </w:rPr>
            </w:pPr>
            <w:r>
              <w:rPr>
                <w:rFonts w:hint="eastAsia" w:ascii="宋体" w:hAnsi="宋体" w:cs="宋体"/>
                <w:color w:val="auto"/>
                <w:szCs w:val="21"/>
                <w:highlight w:val="none"/>
              </w:rPr>
              <w:t>未提及此项不得分。</w:t>
            </w:r>
          </w:p>
        </w:tc>
        <w:tc>
          <w:tcPr>
            <w:tcW w:w="667" w:type="dxa"/>
            <w:vAlign w:val="center"/>
          </w:tcPr>
          <w:p w14:paraId="2532587B">
            <w:pPr>
              <w:autoSpaceDE w:val="0"/>
              <w:autoSpaceDN w:val="0"/>
              <w:adjustRightInd w:val="0"/>
              <w:jc w:val="center"/>
              <w:rPr>
                <w:rFonts w:asciiTheme="minorEastAsia" w:hAnsiTheme="minorEastAsia" w:eastAsiaTheme="minorEastAsia" w:cstheme="minorEastAsia"/>
                <w:color w:val="auto"/>
                <w:szCs w:val="21"/>
                <w:highlight w:val="none"/>
              </w:rPr>
            </w:pPr>
            <w:r>
              <w:rPr>
                <w:rFonts w:hint="eastAsia" w:ascii="宋体" w:hAnsi="宋体" w:cs="宋体"/>
                <w:color w:val="auto"/>
                <w:szCs w:val="21"/>
                <w:highlight w:val="none"/>
              </w:rPr>
              <w:t>4</w:t>
            </w:r>
          </w:p>
        </w:tc>
        <w:tc>
          <w:tcPr>
            <w:tcW w:w="667" w:type="dxa"/>
            <w:vAlign w:val="center"/>
          </w:tcPr>
          <w:p w14:paraId="0B7A5D52">
            <w:pPr>
              <w:autoSpaceDE w:val="0"/>
              <w:autoSpaceDN w:val="0"/>
              <w:adjustRightInd w:val="0"/>
              <w:jc w:val="center"/>
              <w:rPr>
                <w:rFonts w:ascii="宋体" w:hAnsi="宋体" w:cs="宋体"/>
                <w:color w:val="auto"/>
                <w:szCs w:val="21"/>
                <w:highlight w:val="none"/>
              </w:rPr>
            </w:pPr>
          </w:p>
        </w:tc>
        <w:tc>
          <w:tcPr>
            <w:tcW w:w="667" w:type="dxa"/>
            <w:vAlign w:val="center"/>
          </w:tcPr>
          <w:p w14:paraId="17CACFE7">
            <w:pPr>
              <w:autoSpaceDE w:val="0"/>
              <w:autoSpaceDN w:val="0"/>
              <w:adjustRightInd w:val="0"/>
              <w:jc w:val="center"/>
              <w:rPr>
                <w:rFonts w:ascii="宋体" w:hAnsi="宋体" w:cs="宋体"/>
                <w:color w:val="auto"/>
                <w:szCs w:val="21"/>
                <w:highlight w:val="none"/>
              </w:rPr>
            </w:pPr>
          </w:p>
        </w:tc>
      </w:tr>
      <w:tr w14:paraId="7A8D1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996" w:type="dxa"/>
            <w:vMerge w:val="continue"/>
            <w:vAlign w:val="center"/>
          </w:tcPr>
          <w:p w14:paraId="3BD2426F">
            <w:pPr>
              <w:pStyle w:val="9"/>
              <w:ind w:left="5250" w:leftChars="0" w:firstLine="0" w:firstLineChars="0"/>
              <w:jc w:val="center"/>
              <w:rPr>
                <w:rFonts w:asciiTheme="minorEastAsia" w:hAnsiTheme="minorEastAsia" w:eastAsiaTheme="minorEastAsia" w:cstheme="minorEastAsia"/>
                <w:color w:val="auto"/>
                <w:szCs w:val="21"/>
                <w:highlight w:val="none"/>
              </w:rPr>
            </w:pPr>
          </w:p>
        </w:tc>
        <w:tc>
          <w:tcPr>
            <w:tcW w:w="1210" w:type="dxa"/>
            <w:vAlign w:val="center"/>
          </w:tcPr>
          <w:p w14:paraId="41989FE7">
            <w:pPr>
              <w:snapToGrid w:val="0"/>
              <w:jc w:val="center"/>
              <w:rPr>
                <w:rFonts w:asciiTheme="minorEastAsia" w:hAnsiTheme="minorEastAsia" w:eastAsiaTheme="minorEastAsia" w:cstheme="minorEastAsia"/>
                <w:color w:val="auto"/>
                <w:szCs w:val="21"/>
                <w:highlight w:val="none"/>
              </w:rPr>
            </w:pPr>
            <w:r>
              <w:rPr>
                <w:rFonts w:hint="eastAsia" w:ascii="宋体" w:hAnsi="宋体" w:cs="宋体"/>
                <w:color w:val="auto"/>
                <w:szCs w:val="21"/>
                <w:highlight w:val="none"/>
              </w:rPr>
              <w:t>应急处置方案</w:t>
            </w:r>
          </w:p>
        </w:tc>
        <w:tc>
          <w:tcPr>
            <w:tcW w:w="7045" w:type="dxa"/>
            <w:vAlign w:val="center"/>
          </w:tcPr>
          <w:p w14:paraId="1F39096B">
            <w:pPr>
              <w:tabs>
                <w:tab w:val="left" w:pos="2061"/>
              </w:tabs>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根据投标人结合本项目的特点，对网络信息安全中可能出现的突发情况分析以及应急处置方案的完整性、合理性、针对性等因素进行打分。</w:t>
            </w:r>
          </w:p>
          <w:p w14:paraId="23D0E1E6">
            <w:pPr>
              <w:tabs>
                <w:tab w:val="left" w:pos="2061"/>
              </w:tabs>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方案说明详细、考虑齐全、科学合理，与本项目吻合的得5分；</w:t>
            </w:r>
          </w:p>
          <w:p w14:paraId="7343D0DE">
            <w:pPr>
              <w:tabs>
                <w:tab w:val="left" w:pos="2061"/>
              </w:tabs>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方案说明内容一般，基本科学合理，基本满足需求的得</w:t>
            </w:r>
            <w:r>
              <w:rPr>
                <w:rFonts w:hint="eastAsia" w:ascii="宋体" w:hAnsi="宋体" w:cs="宋体"/>
                <w:color w:val="auto"/>
                <w:szCs w:val="21"/>
                <w:highlight w:val="none"/>
              </w:rPr>
              <w:t>4</w:t>
            </w:r>
            <w:r>
              <w:rPr>
                <w:rFonts w:hint="eastAsia" w:ascii="宋体" w:hAnsi="宋体" w:cs="宋体"/>
                <w:snapToGrid w:val="0"/>
                <w:color w:val="auto"/>
                <w:kern w:val="0"/>
                <w:szCs w:val="21"/>
                <w:highlight w:val="none"/>
              </w:rPr>
              <w:t>分；</w:t>
            </w:r>
          </w:p>
          <w:p w14:paraId="20884297">
            <w:pPr>
              <w:tabs>
                <w:tab w:val="left" w:pos="2061"/>
              </w:tabs>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方案说明内容欠佳，不够详细的得</w:t>
            </w:r>
            <w:r>
              <w:rPr>
                <w:rFonts w:hint="eastAsia" w:ascii="宋体" w:hAnsi="宋体" w:cs="宋体"/>
                <w:color w:val="auto"/>
                <w:szCs w:val="21"/>
                <w:highlight w:val="none"/>
              </w:rPr>
              <w:t>3</w:t>
            </w:r>
            <w:r>
              <w:rPr>
                <w:rFonts w:hint="eastAsia" w:ascii="宋体" w:hAnsi="宋体" w:cs="宋体"/>
                <w:snapToGrid w:val="0"/>
                <w:color w:val="auto"/>
                <w:kern w:val="0"/>
                <w:szCs w:val="21"/>
                <w:highlight w:val="none"/>
              </w:rPr>
              <w:t>分；</w:t>
            </w:r>
          </w:p>
          <w:p w14:paraId="7A99F9A9">
            <w:pPr>
              <w:tabs>
                <w:tab w:val="left" w:pos="2061"/>
              </w:tabs>
              <w:rPr>
                <w:rFonts w:ascii="宋体" w:hAnsi="宋体" w:cs="宋体"/>
                <w:color w:val="auto"/>
                <w:szCs w:val="21"/>
                <w:highlight w:val="none"/>
              </w:rPr>
            </w:pPr>
            <w:r>
              <w:rPr>
                <w:rFonts w:hint="eastAsia" w:ascii="宋体" w:hAnsi="宋体" w:cs="宋体"/>
                <w:color w:val="auto"/>
                <w:szCs w:val="21"/>
                <w:highlight w:val="none"/>
              </w:rPr>
              <w:t>应急方案简单提及的得1分；</w:t>
            </w:r>
          </w:p>
          <w:p w14:paraId="6E1BEE8B">
            <w:pPr>
              <w:tabs>
                <w:tab w:val="left" w:pos="2061"/>
              </w:tabs>
              <w:rPr>
                <w:rFonts w:asciiTheme="minorEastAsia" w:hAnsiTheme="minorEastAsia" w:eastAsiaTheme="minorEastAsia" w:cstheme="minorEastAsia"/>
                <w:color w:val="auto"/>
                <w:szCs w:val="21"/>
                <w:highlight w:val="none"/>
              </w:rPr>
            </w:pPr>
            <w:r>
              <w:rPr>
                <w:rFonts w:hint="eastAsia" w:ascii="宋体" w:hAnsi="宋体" w:cs="宋体"/>
                <w:color w:val="auto"/>
                <w:szCs w:val="21"/>
                <w:highlight w:val="none"/>
              </w:rPr>
              <w:t>未提及此项不得分。</w:t>
            </w:r>
          </w:p>
        </w:tc>
        <w:tc>
          <w:tcPr>
            <w:tcW w:w="667" w:type="dxa"/>
            <w:vAlign w:val="center"/>
          </w:tcPr>
          <w:p w14:paraId="01D5CF7D">
            <w:pPr>
              <w:autoSpaceDE w:val="0"/>
              <w:autoSpaceDN w:val="0"/>
              <w:adjustRightInd w:val="0"/>
              <w:jc w:val="center"/>
              <w:rPr>
                <w:rFonts w:asciiTheme="minorEastAsia" w:hAnsiTheme="minorEastAsia" w:eastAsiaTheme="minorEastAsia" w:cstheme="minorEastAsia"/>
                <w:color w:val="auto"/>
                <w:szCs w:val="21"/>
                <w:highlight w:val="none"/>
              </w:rPr>
            </w:pPr>
            <w:r>
              <w:rPr>
                <w:rFonts w:hint="eastAsia" w:ascii="宋体" w:hAnsi="宋体" w:cs="宋体"/>
                <w:color w:val="auto"/>
                <w:szCs w:val="21"/>
                <w:highlight w:val="none"/>
              </w:rPr>
              <w:t>5</w:t>
            </w:r>
          </w:p>
        </w:tc>
        <w:tc>
          <w:tcPr>
            <w:tcW w:w="667" w:type="dxa"/>
            <w:vAlign w:val="center"/>
          </w:tcPr>
          <w:p w14:paraId="0AFB3534">
            <w:pPr>
              <w:autoSpaceDE w:val="0"/>
              <w:autoSpaceDN w:val="0"/>
              <w:adjustRightInd w:val="0"/>
              <w:jc w:val="center"/>
              <w:rPr>
                <w:rFonts w:ascii="宋体" w:hAnsi="宋体" w:cs="宋体"/>
                <w:color w:val="auto"/>
                <w:szCs w:val="21"/>
                <w:highlight w:val="none"/>
              </w:rPr>
            </w:pPr>
          </w:p>
        </w:tc>
        <w:tc>
          <w:tcPr>
            <w:tcW w:w="667" w:type="dxa"/>
            <w:vAlign w:val="center"/>
          </w:tcPr>
          <w:p w14:paraId="30C8EF92">
            <w:pPr>
              <w:autoSpaceDE w:val="0"/>
              <w:autoSpaceDN w:val="0"/>
              <w:adjustRightInd w:val="0"/>
              <w:jc w:val="center"/>
              <w:rPr>
                <w:rFonts w:ascii="宋体" w:hAnsi="宋体" w:cs="宋体"/>
                <w:color w:val="auto"/>
                <w:szCs w:val="21"/>
                <w:highlight w:val="none"/>
              </w:rPr>
            </w:pPr>
          </w:p>
        </w:tc>
      </w:tr>
      <w:bookmarkEnd w:id="12"/>
    </w:tbl>
    <w:p w14:paraId="65D8FD3D">
      <w:pPr>
        <w:pStyle w:val="42"/>
        <w:shd w:val="clear" w:color="auto" w:fill="FFFFFF"/>
        <w:spacing w:before="0" w:beforeAutospacing="0" w:after="0" w:afterAutospacing="0" w:line="360" w:lineRule="auto"/>
        <w:rPr>
          <w:b/>
          <w:color w:val="auto"/>
          <w:sz w:val="28"/>
          <w:highlight w:val="none"/>
        </w:rPr>
        <w:sectPr>
          <w:headerReference r:id="rId5" w:type="default"/>
          <w:footerReference r:id="rId6" w:type="default"/>
          <w:pgSz w:w="11906" w:h="16838"/>
          <w:pgMar w:top="1440" w:right="1800" w:bottom="1440" w:left="1800" w:header="851" w:footer="992" w:gutter="0"/>
          <w:cols w:space="425" w:num="1"/>
          <w:docGrid w:type="lines" w:linePitch="312" w:charSpace="0"/>
        </w:sectPr>
      </w:pPr>
    </w:p>
    <w:p w14:paraId="1894C8AA">
      <w:pPr>
        <w:pStyle w:val="42"/>
        <w:shd w:val="clear" w:color="auto" w:fill="FFFFFF"/>
        <w:spacing w:before="0" w:beforeAutospacing="0" w:after="0" w:afterAutospacing="0" w:line="360" w:lineRule="auto"/>
        <w:rPr>
          <w:b/>
          <w:color w:val="auto"/>
          <w:sz w:val="28"/>
          <w:highlight w:val="none"/>
        </w:rPr>
      </w:pPr>
      <w:r>
        <w:rPr>
          <w:rFonts w:hint="eastAsia"/>
          <w:b/>
          <w:color w:val="auto"/>
          <w:sz w:val="28"/>
          <w:highlight w:val="none"/>
        </w:rPr>
        <w:t xml:space="preserve">附件6       </w:t>
      </w:r>
    </w:p>
    <w:p w14:paraId="506CC1EA">
      <w:pPr>
        <w:pStyle w:val="42"/>
        <w:shd w:val="clear" w:color="auto" w:fill="FFFFFF"/>
        <w:spacing w:before="0" w:beforeAutospacing="0" w:after="0" w:afterAutospacing="0" w:line="360" w:lineRule="auto"/>
        <w:jc w:val="center"/>
        <w:rPr>
          <w:b/>
          <w:color w:val="auto"/>
          <w:kern w:val="2"/>
          <w:sz w:val="32"/>
          <w:szCs w:val="32"/>
          <w:highlight w:val="none"/>
        </w:rPr>
      </w:pPr>
      <w:r>
        <w:rPr>
          <w:rFonts w:hint="eastAsia"/>
          <w:b/>
          <w:color w:val="auto"/>
          <w:sz w:val="32"/>
          <w:szCs w:val="32"/>
          <w:highlight w:val="none"/>
        </w:rPr>
        <w:t xml:space="preserve"> </w:t>
      </w:r>
      <w:r>
        <w:rPr>
          <w:rFonts w:hint="eastAsia"/>
          <w:b/>
          <w:color w:val="auto"/>
          <w:sz w:val="21"/>
          <w:szCs w:val="21"/>
          <w:highlight w:val="none"/>
        </w:rPr>
        <w:t xml:space="preserve"> </w:t>
      </w:r>
      <w:r>
        <w:rPr>
          <w:rFonts w:hint="eastAsia"/>
          <w:b/>
          <w:color w:val="auto"/>
          <w:kern w:val="2"/>
          <w:sz w:val="32"/>
          <w:szCs w:val="32"/>
          <w:highlight w:val="none"/>
        </w:rPr>
        <w:t>供应商基本情况表</w:t>
      </w:r>
    </w:p>
    <w:tbl>
      <w:tblPr>
        <w:tblStyle w:val="22"/>
        <w:tblW w:w="88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7"/>
        <w:gridCol w:w="669"/>
        <w:gridCol w:w="709"/>
        <w:gridCol w:w="286"/>
        <w:gridCol w:w="935"/>
        <w:gridCol w:w="112"/>
        <w:gridCol w:w="1093"/>
        <w:gridCol w:w="325"/>
        <w:gridCol w:w="1276"/>
        <w:gridCol w:w="400"/>
        <w:gridCol w:w="1218"/>
        <w:gridCol w:w="933"/>
      </w:tblGrid>
      <w:tr w14:paraId="4DA70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857" w:type="dxa"/>
          </w:tcPr>
          <w:p w14:paraId="7D20291C">
            <w:pPr>
              <w:pStyle w:val="42"/>
              <w:shd w:val="clear" w:color="auto" w:fill="FFFFFF"/>
              <w:spacing w:line="360" w:lineRule="auto"/>
              <w:rPr>
                <w:bCs/>
                <w:color w:val="auto"/>
                <w:sz w:val="21"/>
                <w:szCs w:val="21"/>
                <w:highlight w:val="none"/>
              </w:rPr>
            </w:pPr>
            <w:r>
              <w:rPr>
                <w:rFonts w:hint="eastAsia"/>
                <w:bCs/>
                <w:color w:val="auto"/>
                <w:spacing w:val="27"/>
                <w:sz w:val="21"/>
                <w:szCs w:val="21"/>
                <w:highlight w:val="none"/>
              </w:rPr>
              <w:t>企业名称</w:t>
            </w:r>
          </w:p>
        </w:tc>
        <w:tc>
          <w:tcPr>
            <w:tcW w:w="3804" w:type="dxa"/>
            <w:gridSpan w:val="6"/>
          </w:tcPr>
          <w:p w14:paraId="7DF52C91">
            <w:pPr>
              <w:pStyle w:val="42"/>
              <w:shd w:val="clear" w:color="auto" w:fill="FFFFFF"/>
              <w:spacing w:line="360" w:lineRule="auto"/>
              <w:rPr>
                <w:bCs/>
                <w:color w:val="auto"/>
                <w:sz w:val="21"/>
                <w:szCs w:val="21"/>
                <w:highlight w:val="none"/>
              </w:rPr>
            </w:pPr>
          </w:p>
        </w:tc>
        <w:tc>
          <w:tcPr>
            <w:tcW w:w="2001" w:type="dxa"/>
            <w:gridSpan w:val="3"/>
          </w:tcPr>
          <w:p w14:paraId="1FC35D84">
            <w:pPr>
              <w:pStyle w:val="42"/>
              <w:shd w:val="clear" w:color="auto" w:fill="FFFFFF"/>
              <w:spacing w:line="360" w:lineRule="auto"/>
              <w:rPr>
                <w:bCs/>
                <w:color w:val="auto"/>
                <w:sz w:val="21"/>
                <w:szCs w:val="21"/>
                <w:highlight w:val="none"/>
              </w:rPr>
            </w:pPr>
            <w:r>
              <w:rPr>
                <w:rFonts w:hint="eastAsia"/>
                <w:bCs/>
                <w:color w:val="auto"/>
                <w:spacing w:val="16"/>
                <w:sz w:val="21"/>
                <w:szCs w:val="21"/>
                <w:highlight w:val="none"/>
              </w:rPr>
              <w:t>法定代表人代表</w:t>
            </w:r>
          </w:p>
        </w:tc>
        <w:tc>
          <w:tcPr>
            <w:tcW w:w="2151" w:type="dxa"/>
            <w:gridSpan w:val="2"/>
          </w:tcPr>
          <w:p w14:paraId="0DC5F3A4">
            <w:pPr>
              <w:pStyle w:val="42"/>
              <w:shd w:val="clear" w:color="auto" w:fill="FFFFFF"/>
              <w:spacing w:line="360" w:lineRule="auto"/>
              <w:rPr>
                <w:bCs/>
                <w:color w:val="auto"/>
                <w:sz w:val="21"/>
                <w:szCs w:val="21"/>
                <w:highlight w:val="none"/>
              </w:rPr>
            </w:pPr>
          </w:p>
        </w:tc>
      </w:tr>
      <w:tr w14:paraId="6A9BE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857" w:type="dxa"/>
          </w:tcPr>
          <w:p w14:paraId="697DA2FE">
            <w:pPr>
              <w:pStyle w:val="42"/>
              <w:shd w:val="clear" w:color="auto" w:fill="FFFFFF"/>
              <w:spacing w:line="360" w:lineRule="auto"/>
              <w:rPr>
                <w:bCs/>
                <w:color w:val="auto"/>
                <w:spacing w:val="16"/>
                <w:sz w:val="21"/>
                <w:szCs w:val="21"/>
                <w:highlight w:val="none"/>
              </w:rPr>
            </w:pPr>
            <w:r>
              <w:rPr>
                <w:rFonts w:hint="eastAsia"/>
                <w:bCs/>
                <w:color w:val="auto"/>
                <w:spacing w:val="27"/>
                <w:sz w:val="21"/>
                <w:szCs w:val="21"/>
                <w:highlight w:val="none"/>
              </w:rPr>
              <w:t>地址</w:t>
            </w:r>
          </w:p>
        </w:tc>
        <w:tc>
          <w:tcPr>
            <w:tcW w:w="3804" w:type="dxa"/>
            <w:gridSpan w:val="6"/>
            <w:tcBorders>
              <w:bottom w:val="single" w:color="auto" w:sz="4" w:space="0"/>
            </w:tcBorders>
          </w:tcPr>
          <w:p w14:paraId="04FED390">
            <w:pPr>
              <w:pStyle w:val="42"/>
              <w:shd w:val="clear" w:color="auto" w:fill="FFFFFF"/>
              <w:spacing w:line="360" w:lineRule="auto"/>
              <w:rPr>
                <w:bCs/>
                <w:color w:val="auto"/>
                <w:spacing w:val="16"/>
                <w:sz w:val="21"/>
                <w:szCs w:val="21"/>
                <w:highlight w:val="none"/>
              </w:rPr>
            </w:pPr>
          </w:p>
        </w:tc>
        <w:tc>
          <w:tcPr>
            <w:tcW w:w="2001" w:type="dxa"/>
            <w:gridSpan w:val="3"/>
          </w:tcPr>
          <w:p w14:paraId="5BBFFCB8">
            <w:pPr>
              <w:pStyle w:val="42"/>
              <w:shd w:val="clear" w:color="auto" w:fill="FFFFFF"/>
              <w:spacing w:line="360" w:lineRule="auto"/>
              <w:rPr>
                <w:bCs/>
                <w:color w:val="auto"/>
                <w:spacing w:val="16"/>
                <w:sz w:val="21"/>
                <w:szCs w:val="21"/>
                <w:highlight w:val="none"/>
              </w:rPr>
            </w:pPr>
            <w:r>
              <w:rPr>
                <w:rFonts w:hint="eastAsia"/>
                <w:bCs/>
                <w:color w:val="auto"/>
                <w:spacing w:val="16"/>
                <w:sz w:val="21"/>
                <w:szCs w:val="21"/>
                <w:highlight w:val="none"/>
              </w:rPr>
              <w:t>企业性质</w:t>
            </w:r>
          </w:p>
        </w:tc>
        <w:tc>
          <w:tcPr>
            <w:tcW w:w="2151" w:type="dxa"/>
            <w:gridSpan w:val="2"/>
          </w:tcPr>
          <w:p w14:paraId="46EECE46">
            <w:pPr>
              <w:pStyle w:val="42"/>
              <w:shd w:val="clear" w:color="auto" w:fill="FFFFFF"/>
              <w:spacing w:line="360" w:lineRule="auto"/>
              <w:rPr>
                <w:bCs/>
                <w:color w:val="auto"/>
                <w:spacing w:val="16"/>
                <w:sz w:val="21"/>
                <w:szCs w:val="21"/>
                <w:highlight w:val="none"/>
              </w:rPr>
            </w:pPr>
          </w:p>
        </w:tc>
      </w:tr>
      <w:tr w14:paraId="080F5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857" w:type="dxa"/>
            <w:tcBorders>
              <w:bottom w:val="single" w:color="auto" w:sz="4" w:space="0"/>
            </w:tcBorders>
          </w:tcPr>
          <w:p w14:paraId="5002ACED">
            <w:pPr>
              <w:pStyle w:val="42"/>
              <w:shd w:val="clear" w:color="auto" w:fill="FFFFFF"/>
              <w:spacing w:line="360" w:lineRule="auto"/>
              <w:rPr>
                <w:bCs/>
                <w:color w:val="auto"/>
                <w:spacing w:val="16"/>
                <w:sz w:val="21"/>
                <w:szCs w:val="21"/>
                <w:highlight w:val="none"/>
              </w:rPr>
            </w:pPr>
            <w:r>
              <w:rPr>
                <w:rFonts w:hint="eastAsia"/>
                <w:bCs/>
                <w:color w:val="auto"/>
                <w:spacing w:val="27"/>
                <w:sz w:val="21"/>
                <w:szCs w:val="21"/>
                <w:highlight w:val="none"/>
              </w:rPr>
              <w:t>股东姓名</w:t>
            </w:r>
          </w:p>
        </w:tc>
        <w:tc>
          <w:tcPr>
            <w:tcW w:w="669" w:type="dxa"/>
            <w:tcBorders>
              <w:bottom w:val="single" w:color="auto" w:sz="4" w:space="0"/>
            </w:tcBorders>
          </w:tcPr>
          <w:p w14:paraId="57A0612E">
            <w:pPr>
              <w:pStyle w:val="42"/>
              <w:shd w:val="clear" w:color="auto" w:fill="FFFFFF"/>
              <w:spacing w:before="0" w:beforeAutospacing="0" w:after="0" w:afterAutospacing="0" w:line="360" w:lineRule="auto"/>
              <w:rPr>
                <w:bCs/>
                <w:color w:val="auto"/>
                <w:spacing w:val="16"/>
                <w:sz w:val="21"/>
                <w:szCs w:val="21"/>
                <w:highlight w:val="none"/>
              </w:rPr>
            </w:pPr>
          </w:p>
        </w:tc>
        <w:tc>
          <w:tcPr>
            <w:tcW w:w="995" w:type="dxa"/>
            <w:gridSpan w:val="2"/>
            <w:tcBorders>
              <w:bottom w:val="single" w:color="auto" w:sz="4" w:space="0"/>
            </w:tcBorders>
          </w:tcPr>
          <w:p w14:paraId="37ECE2FB">
            <w:pPr>
              <w:pStyle w:val="42"/>
              <w:shd w:val="clear" w:color="auto" w:fill="FFFFFF"/>
              <w:spacing w:line="360" w:lineRule="auto"/>
              <w:rPr>
                <w:bCs/>
                <w:color w:val="auto"/>
                <w:spacing w:val="16"/>
                <w:sz w:val="21"/>
                <w:szCs w:val="21"/>
                <w:highlight w:val="none"/>
              </w:rPr>
            </w:pPr>
            <w:r>
              <w:rPr>
                <w:rFonts w:hint="eastAsia"/>
                <w:bCs/>
                <w:color w:val="auto"/>
                <w:spacing w:val="16"/>
                <w:sz w:val="21"/>
                <w:szCs w:val="21"/>
                <w:highlight w:val="none"/>
              </w:rPr>
              <w:t>股权结构（%）</w:t>
            </w:r>
          </w:p>
        </w:tc>
        <w:tc>
          <w:tcPr>
            <w:tcW w:w="2140" w:type="dxa"/>
            <w:gridSpan w:val="3"/>
            <w:tcBorders>
              <w:bottom w:val="single" w:color="auto" w:sz="4" w:space="0"/>
            </w:tcBorders>
          </w:tcPr>
          <w:p w14:paraId="60190925">
            <w:pPr>
              <w:widowControl/>
              <w:spacing w:line="360" w:lineRule="auto"/>
              <w:jc w:val="left"/>
              <w:rPr>
                <w:rFonts w:ascii="宋体" w:hAnsi="宋体" w:cs="宋体"/>
                <w:bCs/>
                <w:color w:val="auto"/>
                <w:spacing w:val="16"/>
                <w:kern w:val="0"/>
                <w:szCs w:val="21"/>
                <w:highlight w:val="none"/>
              </w:rPr>
            </w:pPr>
          </w:p>
          <w:p w14:paraId="66495343">
            <w:pPr>
              <w:pStyle w:val="42"/>
              <w:shd w:val="clear" w:color="auto" w:fill="FFFFFF"/>
              <w:spacing w:line="360" w:lineRule="auto"/>
              <w:rPr>
                <w:bCs/>
                <w:color w:val="auto"/>
                <w:spacing w:val="16"/>
                <w:sz w:val="21"/>
                <w:szCs w:val="21"/>
                <w:highlight w:val="none"/>
              </w:rPr>
            </w:pPr>
          </w:p>
        </w:tc>
        <w:tc>
          <w:tcPr>
            <w:tcW w:w="2001" w:type="dxa"/>
            <w:gridSpan w:val="3"/>
          </w:tcPr>
          <w:p w14:paraId="43EAEBDA">
            <w:pPr>
              <w:pStyle w:val="42"/>
              <w:shd w:val="clear" w:color="auto" w:fill="FFFFFF"/>
              <w:spacing w:line="360" w:lineRule="auto"/>
              <w:ind w:left="107"/>
              <w:rPr>
                <w:bCs/>
                <w:color w:val="auto"/>
                <w:spacing w:val="16"/>
                <w:sz w:val="21"/>
                <w:szCs w:val="21"/>
                <w:highlight w:val="none"/>
              </w:rPr>
            </w:pPr>
            <w:r>
              <w:rPr>
                <w:rFonts w:hint="eastAsia"/>
                <w:bCs/>
                <w:color w:val="auto"/>
                <w:spacing w:val="16"/>
                <w:sz w:val="21"/>
                <w:szCs w:val="21"/>
                <w:highlight w:val="none"/>
              </w:rPr>
              <w:t>股东关系</w:t>
            </w:r>
          </w:p>
        </w:tc>
        <w:tc>
          <w:tcPr>
            <w:tcW w:w="2151" w:type="dxa"/>
            <w:gridSpan w:val="2"/>
          </w:tcPr>
          <w:p w14:paraId="449F9A3E">
            <w:pPr>
              <w:pStyle w:val="42"/>
              <w:shd w:val="clear" w:color="auto" w:fill="FFFFFF"/>
              <w:spacing w:line="360" w:lineRule="auto"/>
              <w:ind w:left="107"/>
              <w:rPr>
                <w:bCs/>
                <w:color w:val="auto"/>
                <w:spacing w:val="16"/>
                <w:sz w:val="21"/>
                <w:szCs w:val="21"/>
                <w:highlight w:val="none"/>
              </w:rPr>
            </w:pPr>
          </w:p>
        </w:tc>
      </w:tr>
      <w:tr w14:paraId="46FCD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57" w:type="dxa"/>
            <w:vMerge w:val="restart"/>
          </w:tcPr>
          <w:p w14:paraId="1E6D3645">
            <w:pPr>
              <w:pStyle w:val="42"/>
              <w:shd w:val="clear" w:color="auto" w:fill="FFFFFF"/>
              <w:spacing w:line="360" w:lineRule="auto"/>
              <w:rPr>
                <w:bCs/>
                <w:color w:val="auto"/>
                <w:spacing w:val="16"/>
                <w:sz w:val="21"/>
                <w:szCs w:val="21"/>
                <w:highlight w:val="none"/>
              </w:rPr>
            </w:pPr>
            <w:r>
              <w:rPr>
                <w:rFonts w:hint="eastAsia"/>
                <w:bCs/>
                <w:color w:val="auto"/>
                <w:spacing w:val="12"/>
                <w:sz w:val="21"/>
                <w:szCs w:val="21"/>
                <w:highlight w:val="none"/>
              </w:rPr>
              <w:t>联系人</w:t>
            </w:r>
            <w:r>
              <w:rPr>
                <w:rFonts w:hint="eastAsia"/>
                <w:bCs/>
                <w:color w:val="auto"/>
                <w:spacing w:val="27"/>
                <w:sz w:val="21"/>
                <w:szCs w:val="21"/>
                <w:highlight w:val="none"/>
              </w:rPr>
              <w:t>姓名</w:t>
            </w:r>
          </w:p>
        </w:tc>
        <w:tc>
          <w:tcPr>
            <w:tcW w:w="669" w:type="dxa"/>
            <w:vMerge w:val="restart"/>
            <w:tcBorders>
              <w:top w:val="nil"/>
            </w:tcBorders>
          </w:tcPr>
          <w:p w14:paraId="151FF636">
            <w:pPr>
              <w:pStyle w:val="42"/>
              <w:shd w:val="clear" w:color="auto" w:fill="FFFFFF"/>
              <w:spacing w:line="360" w:lineRule="auto"/>
              <w:rPr>
                <w:bCs/>
                <w:color w:val="auto"/>
                <w:spacing w:val="16"/>
                <w:sz w:val="21"/>
                <w:szCs w:val="21"/>
                <w:highlight w:val="none"/>
              </w:rPr>
            </w:pPr>
          </w:p>
        </w:tc>
        <w:tc>
          <w:tcPr>
            <w:tcW w:w="995" w:type="dxa"/>
            <w:gridSpan w:val="2"/>
            <w:tcBorders>
              <w:top w:val="nil"/>
              <w:bottom w:val="single" w:color="auto" w:sz="4" w:space="0"/>
            </w:tcBorders>
          </w:tcPr>
          <w:p w14:paraId="1E9EBD6B">
            <w:pPr>
              <w:pStyle w:val="42"/>
              <w:shd w:val="clear" w:color="auto" w:fill="FFFFFF"/>
              <w:spacing w:line="360" w:lineRule="auto"/>
              <w:rPr>
                <w:bCs/>
                <w:color w:val="auto"/>
                <w:spacing w:val="16"/>
                <w:sz w:val="21"/>
                <w:szCs w:val="21"/>
                <w:highlight w:val="none"/>
              </w:rPr>
            </w:pPr>
            <w:r>
              <w:rPr>
                <w:rFonts w:hint="eastAsia"/>
                <w:bCs/>
                <w:color w:val="auto"/>
                <w:spacing w:val="16"/>
                <w:sz w:val="21"/>
                <w:szCs w:val="21"/>
                <w:highlight w:val="none"/>
              </w:rPr>
              <w:t>固定电话</w:t>
            </w:r>
          </w:p>
        </w:tc>
        <w:tc>
          <w:tcPr>
            <w:tcW w:w="2140" w:type="dxa"/>
            <w:gridSpan w:val="3"/>
            <w:tcBorders>
              <w:top w:val="nil"/>
              <w:bottom w:val="single" w:color="auto" w:sz="4" w:space="0"/>
            </w:tcBorders>
          </w:tcPr>
          <w:p w14:paraId="524A874D">
            <w:pPr>
              <w:widowControl/>
              <w:spacing w:line="360" w:lineRule="auto"/>
              <w:jc w:val="left"/>
              <w:rPr>
                <w:rFonts w:ascii="宋体" w:hAnsi="宋体" w:cs="宋体"/>
                <w:bCs/>
                <w:color w:val="auto"/>
                <w:spacing w:val="16"/>
                <w:kern w:val="0"/>
                <w:szCs w:val="21"/>
                <w:highlight w:val="none"/>
              </w:rPr>
            </w:pPr>
          </w:p>
          <w:p w14:paraId="4D8DAAC0">
            <w:pPr>
              <w:pStyle w:val="42"/>
              <w:shd w:val="clear" w:color="auto" w:fill="FFFFFF"/>
              <w:spacing w:line="360" w:lineRule="auto"/>
              <w:rPr>
                <w:bCs/>
                <w:color w:val="auto"/>
                <w:spacing w:val="16"/>
                <w:sz w:val="21"/>
                <w:szCs w:val="21"/>
                <w:highlight w:val="none"/>
              </w:rPr>
            </w:pPr>
          </w:p>
        </w:tc>
        <w:tc>
          <w:tcPr>
            <w:tcW w:w="2001" w:type="dxa"/>
            <w:gridSpan w:val="3"/>
            <w:vMerge w:val="restart"/>
          </w:tcPr>
          <w:p w14:paraId="57876148">
            <w:pPr>
              <w:pStyle w:val="42"/>
              <w:shd w:val="clear" w:color="auto" w:fill="FFFFFF"/>
              <w:spacing w:before="0" w:beforeAutospacing="0" w:after="0" w:afterAutospacing="0" w:line="360" w:lineRule="auto"/>
              <w:rPr>
                <w:bCs/>
                <w:color w:val="auto"/>
                <w:spacing w:val="16"/>
                <w:sz w:val="21"/>
                <w:szCs w:val="21"/>
                <w:highlight w:val="none"/>
              </w:rPr>
            </w:pPr>
            <w:r>
              <w:rPr>
                <w:rFonts w:hint="eastAsia"/>
                <w:bCs/>
                <w:color w:val="auto"/>
                <w:spacing w:val="16"/>
                <w:sz w:val="21"/>
                <w:szCs w:val="21"/>
                <w:highlight w:val="none"/>
              </w:rPr>
              <w:t>传真</w:t>
            </w:r>
          </w:p>
        </w:tc>
        <w:tc>
          <w:tcPr>
            <w:tcW w:w="2151" w:type="dxa"/>
            <w:gridSpan w:val="2"/>
            <w:vMerge w:val="restart"/>
          </w:tcPr>
          <w:p w14:paraId="474827AE">
            <w:pPr>
              <w:pStyle w:val="42"/>
              <w:shd w:val="clear" w:color="auto" w:fill="FFFFFF"/>
              <w:spacing w:line="360" w:lineRule="auto"/>
              <w:rPr>
                <w:bCs/>
                <w:color w:val="auto"/>
                <w:spacing w:val="16"/>
                <w:sz w:val="21"/>
                <w:szCs w:val="21"/>
                <w:highlight w:val="none"/>
              </w:rPr>
            </w:pPr>
          </w:p>
        </w:tc>
      </w:tr>
      <w:tr w14:paraId="1D42E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857" w:type="dxa"/>
            <w:vMerge w:val="continue"/>
            <w:tcBorders>
              <w:bottom w:val="single" w:color="auto" w:sz="4" w:space="0"/>
            </w:tcBorders>
          </w:tcPr>
          <w:p w14:paraId="5DDA4387">
            <w:pPr>
              <w:pStyle w:val="42"/>
              <w:shd w:val="clear" w:color="auto" w:fill="FFFFFF"/>
              <w:spacing w:line="360" w:lineRule="auto"/>
              <w:ind w:left="107"/>
              <w:rPr>
                <w:bCs/>
                <w:color w:val="auto"/>
                <w:sz w:val="21"/>
                <w:szCs w:val="21"/>
                <w:highlight w:val="none"/>
              </w:rPr>
            </w:pPr>
          </w:p>
        </w:tc>
        <w:tc>
          <w:tcPr>
            <w:tcW w:w="669" w:type="dxa"/>
            <w:vMerge w:val="continue"/>
            <w:tcBorders>
              <w:bottom w:val="single" w:color="auto" w:sz="4" w:space="0"/>
            </w:tcBorders>
          </w:tcPr>
          <w:p w14:paraId="6B0D2F77">
            <w:pPr>
              <w:pStyle w:val="42"/>
              <w:shd w:val="clear" w:color="auto" w:fill="FFFFFF"/>
              <w:spacing w:line="360" w:lineRule="auto"/>
              <w:rPr>
                <w:bCs/>
                <w:color w:val="auto"/>
                <w:spacing w:val="16"/>
                <w:sz w:val="21"/>
                <w:szCs w:val="21"/>
                <w:highlight w:val="none"/>
              </w:rPr>
            </w:pPr>
          </w:p>
        </w:tc>
        <w:tc>
          <w:tcPr>
            <w:tcW w:w="995" w:type="dxa"/>
            <w:gridSpan w:val="2"/>
            <w:tcBorders>
              <w:bottom w:val="single" w:color="auto" w:sz="4" w:space="0"/>
            </w:tcBorders>
          </w:tcPr>
          <w:p w14:paraId="1D9E0303">
            <w:pPr>
              <w:pStyle w:val="42"/>
              <w:shd w:val="clear" w:color="auto" w:fill="FFFFFF"/>
              <w:spacing w:line="360" w:lineRule="auto"/>
              <w:rPr>
                <w:bCs/>
                <w:color w:val="auto"/>
                <w:spacing w:val="16"/>
                <w:sz w:val="21"/>
                <w:szCs w:val="21"/>
                <w:highlight w:val="none"/>
              </w:rPr>
            </w:pPr>
            <w:r>
              <w:rPr>
                <w:rFonts w:hint="eastAsia"/>
                <w:bCs/>
                <w:color w:val="auto"/>
                <w:spacing w:val="27"/>
                <w:sz w:val="21"/>
                <w:szCs w:val="21"/>
                <w:highlight w:val="none"/>
              </w:rPr>
              <w:t>手机</w:t>
            </w:r>
          </w:p>
        </w:tc>
        <w:tc>
          <w:tcPr>
            <w:tcW w:w="2140" w:type="dxa"/>
            <w:gridSpan w:val="3"/>
            <w:tcBorders>
              <w:bottom w:val="single" w:color="auto" w:sz="4" w:space="0"/>
            </w:tcBorders>
          </w:tcPr>
          <w:p w14:paraId="7405CB03">
            <w:pPr>
              <w:pStyle w:val="42"/>
              <w:shd w:val="clear" w:color="auto" w:fill="FFFFFF"/>
              <w:spacing w:line="360" w:lineRule="auto"/>
              <w:rPr>
                <w:bCs/>
                <w:color w:val="auto"/>
                <w:spacing w:val="16"/>
                <w:sz w:val="21"/>
                <w:szCs w:val="21"/>
                <w:highlight w:val="none"/>
              </w:rPr>
            </w:pPr>
          </w:p>
        </w:tc>
        <w:tc>
          <w:tcPr>
            <w:tcW w:w="2001" w:type="dxa"/>
            <w:gridSpan w:val="3"/>
            <w:vMerge w:val="continue"/>
            <w:tcBorders>
              <w:bottom w:val="single" w:color="auto" w:sz="4" w:space="0"/>
            </w:tcBorders>
          </w:tcPr>
          <w:p w14:paraId="121DE665">
            <w:pPr>
              <w:pStyle w:val="42"/>
              <w:shd w:val="clear" w:color="auto" w:fill="FFFFFF"/>
              <w:spacing w:line="360" w:lineRule="auto"/>
              <w:rPr>
                <w:bCs/>
                <w:color w:val="auto"/>
                <w:spacing w:val="16"/>
                <w:sz w:val="21"/>
                <w:szCs w:val="21"/>
                <w:highlight w:val="none"/>
              </w:rPr>
            </w:pPr>
          </w:p>
        </w:tc>
        <w:tc>
          <w:tcPr>
            <w:tcW w:w="2151" w:type="dxa"/>
            <w:gridSpan w:val="2"/>
            <w:vMerge w:val="continue"/>
            <w:tcBorders>
              <w:bottom w:val="single" w:color="auto" w:sz="4" w:space="0"/>
            </w:tcBorders>
          </w:tcPr>
          <w:p w14:paraId="732C734A">
            <w:pPr>
              <w:pStyle w:val="42"/>
              <w:shd w:val="clear" w:color="auto" w:fill="FFFFFF"/>
              <w:spacing w:line="360" w:lineRule="auto"/>
              <w:rPr>
                <w:bCs/>
                <w:color w:val="auto"/>
                <w:spacing w:val="16"/>
                <w:sz w:val="21"/>
                <w:szCs w:val="21"/>
                <w:highlight w:val="none"/>
              </w:rPr>
            </w:pPr>
          </w:p>
        </w:tc>
      </w:tr>
      <w:tr w14:paraId="28F1E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857" w:type="dxa"/>
            <w:vMerge w:val="restart"/>
            <w:tcBorders>
              <w:top w:val="single" w:color="auto" w:sz="4" w:space="0"/>
            </w:tcBorders>
          </w:tcPr>
          <w:p w14:paraId="1D57A75C">
            <w:pPr>
              <w:pStyle w:val="42"/>
              <w:shd w:val="clear" w:color="auto" w:fill="FFFFFF"/>
              <w:spacing w:line="360" w:lineRule="auto"/>
              <w:ind w:left="107"/>
              <w:rPr>
                <w:bCs/>
                <w:color w:val="auto"/>
                <w:sz w:val="21"/>
                <w:szCs w:val="21"/>
                <w:highlight w:val="none"/>
              </w:rPr>
            </w:pPr>
            <w:r>
              <w:rPr>
                <w:rFonts w:hint="eastAsia"/>
                <w:bCs/>
                <w:color w:val="auto"/>
                <w:sz w:val="21"/>
                <w:szCs w:val="21"/>
                <w:highlight w:val="none"/>
              </w:rPr>
              <w:t>一、</w:t>
            </w:r>
          </w:p>
          <w:p w14:paraId="5372A760">
            <w:pPr>
              <w:pStyle w:val="42"/>
              <w:shd w:val="clear" w:color="auto" w:fill="FFFFFF"/>
              <w:spacing w:line="360" w:lineRule="auto"/>
              <w:ind w:left="107"/>
              <w:rPr>
                <w:bCs/>
                <w:color w:val="auto"/>
                <w:sz w:val="21"/>
                <w:szCs w:val="21"/>
                <w:highlight w:val="none"/>
              </w:rPr>
            </w:pPr>
            <w:r>
              <w:rPr>
                <w:rFonts w:hint="eastAsia"/>
                <w:bCs/>
                <w:color w:val="auto"/>
                <w:sz w:val="21"/>
                <w:szCs w:val="21"/>
                <w:highlight w:val="none"/>
              </w:rPr>
              <w:t>企</w:t>
            </w:r>
          </w:p>
          <w:p w14:paraId="5127CE80">
            <w:pPr>
              <w:pStyle w:val="42"/>
              <w:shd w:val="clear" w:color="auto" w:fill="FFFFFF"/>
              <w:spacing w:line="360" w:lineRule="auto"/>
              <w:ind w:left="107"/>
              <w:rPr>
                <w:bCs/>
                <w:color w:val="auto"/>
                <w:sz w:val="21"/>
                <w:szCs w:val="21"/>
                <w:highlight w:val="none"/>
              </w:rPr>
            </w:pPr>
            <w:r>
              <w:rPr>
                <w:rFonts w:hint="eastAsia"/>
                <w:bCs/>
                <w:color w:val="auto"/>
                <w:sz w:val="21"/>
                <w:szCs w:val="21"/>
                <w:highlight w:val="none"/>
              </w:rPr>
              <w:t>业</w:t>
            </w:r>
          </w:p>
          <w:p w14:paraId="42D0D3FB">
            <w:pPr>
              <w:pStyle w:val="42"/>
              <w:shd w:val="clear" w:color="auto" w:fill="FFFFFF"/>
              <w:spacing w:line="360" w:lineRule="auto"/>
              <w:ind w:left="107"/>
              <w:rPr>
                <w:bCs/>
                <w:color w:val="auto"/>
                <w:spacing w:val="27"/>
                <w:sz w:val="21"/>
                <w:szCs w:val="21"/>
                <w:highlight w:val="none"/>
              </w:rPr>
            </w:pPr>
            <w:r>
              <w:rPr>
                <w:rFonts w:hint="eastAsia"/>
                <w:bCs/>
                <w:color w:val="auto"/>
                <w:spacing w:val="27"/>
                <w:sz w:val="21"/>
                <w:szCs w:val="21"/>
                <w:highlight w:val="none"/>
              </w:rPr>
              <w:t>概</w:t>
            </w:r>
          </w:p>
          <w:p w14:paraId="54058A07">
            <w:pPr>
              <w:pStyle w:val="42"/>
              <w:shd w:val="clear" w:color="auto" w:fill="FFFFFF"/>
              <w:spacing w:line="360" w:lineRule="auto"/>
              <w:ind w:left="107"/>
              <w:rPr>
                <w:bCs/>
                <w:color w:val="auto"/>
                <w:sz w:val="21"/>
                <w:szCs w:val="21"/>
                <w:highlight w:val="none"/>
              </w:rPr>
            </w:pPr>
            <w:r>
              <w:rPr>
                <w:rFonts w:hint="eastAsia"/>
                <w:bCs/>
                <w:color w:val="auto"/>
                <w:spacing w:val="27"/>
                <w:sz w:val="21"/>
                <w:szCs w:val="21"/>
                <w:highlight w:val="none"/>
              </w:rPr>
              <w:t>况</w:t>
            </w:r>
          </w:p>
        </w:tc>
        <w:tc>
          <w:tcPr>
            <w:tcW w:w="669" w:type="dxa"/>
            <w:tcBorders>
              <w:top w:val="single" w:color="auto" w:sz="4" w:space="0"/>
            </w:tcBorders>
          </w:tcPr>
          <w:p w14:paraId="23AC0B21">
            <w:pPr>
              <w:pStyle w:val="42"/>
              <w:shd w:val="clear" w:color="auto" w:fill="FFFFFF"/>
              <w:spacing w:line="360" w:lineRule="auto"/>
              <w:rPr>
                <w:bCs/>
                <w:color w:val="auto"/>
                <w:spacing w:val="16"/>
                <w:sz w:val="21"/>
                <w:szCs w:val="21"/>
                <w:highlight w:val="none"/>
              </w:rPr>
            </w:pPr>
            <w:r>
              <w:rPr>
                <w:rFonts w:hint="eastAsia"/>
                <w:bCs/>
                <w:color w:val="auto"/>
                <w:spacing w:val="16"/>
                <w:sz w:val="21"/>
                <w:szCs w:val="21"/>
                <w:highlight w:val="none"/>
              </w:rPr>
              <w:t>职工人数</w:t>
            </w:r>
          </w:p>
        </w:tc>
        <w:tc>
          <w:tcPr>
            <w:tcW w:w="995" w:type="dxa"/>
            <w:gridSpan w:val="2"/>
            <w:tcBorders>
              <w:top w:val="single" w:color="auto" w:sz="4" w:space="0"/>
            </w:tcBorders>
          </w:tcPr>
          <w:p w14:paraId="2B826FBB">
            <w:pPr>
              <w:pStyle w:val="42"/>
              <w:shd w:val="clear" w:color="auto" w:fill="FFFFFF"/>
              <w:spacing w:line="360" w:lineRule="auto"/>
              <w:rPr>
                <w:bCs/>
                <w:color w:val="auto"/>
                <w:spacing w:val="16"/>
                <w:sz w:val="21"/>
                <w:szCs w:val="21"/>
                <w:highlight w:val="none"/>
              </w:rPr>
            </w:pPr>
          </w:p>
        </w:tc>
        <w:tc>
          <w:tcPr>
            <w:tcW w:w="935" w:type="dxa"/>
            <w:tcBorders>
              <w:top w:val="single" w:color="auto" w:sz="4" w:space="0"/>
            </w:tcBorders>
          </w:tcPr>
          <w:p w14:paraId="3DE75961">
            <w:pPr>
              <w:pStyle w:val="42"/>
              <w:shd w:val="clear" w:color="auto" w:fill="FFFFFF"/>
              <w:spacing w:before="0" w:beforeAutospacing="0" w:after="0" w:afterAutospacing="0" w:line="360" w:lineRule="auto"/>
              <w:rPr>
                <w:bCs/>
                <w:color w:val="auto"/>
                <w:sz w:val="21"/>
                <w:szCs w:val="21"/>
                <w:highlight w:val="none"/>
              </w:rPr>
            </w:pPr>
            <w:r>
              <w:rPr>
                <w:rFonts w:hint="eastAsia"/>
                <w:bCs/>
                <w:color w:val="auto"/>
                <w:spacing w:val="18"/>
                <w:sz w:val="21"/>
                <w:szCs w:val="21"/>
                <w:highlight w:val="none"/>
              </w:rPr>
              <w:t>具备大专以</w:t>
            </w:r>
            <w:r>
              <w:rPr>
                <w:rFonts w:hint="eastAsia"/>
                <w:bCs/>
                <w:color w:val="auto"/>
                <w:spacing w:val="12"/>
                <w:sz w:val="21"/>
                <w:szCs w:val="21"/>
                <w:highlight w:val="none"/>
              </w:rPr>
              <w:t>上学历人数</w:t>
            </w:r>
          </w:p>
        </w:tc>
        <w:tc>
          <w:tcPr>
            <w:tcW w:w="1205" w:type="dxa"/>
            <w:gridSpan w:val="2"/>
            <w:tcBorders>
              <w:top w:val="single" w:color="auto" w:sz="4" w:space="0"/>
            </w:tcBorders>
          </w:tcPr>
          <w:p w14:paraId="182D6377">
            <w:pPr>
              <w:widowControl/>
              <w:spacing w:line="360" w:lineRule="auto"/>
              <w:jc w:val="left"/>
              <w:rPr>
                <w:rFonts w:ascii="宋体" w:hAnsi="宋体" w:cs="宋体"/>
                <w:bCs/>
                <w:color w:val="auto"/>
                <w:spacing w:val="16"/>
                <w:kern w:val="0"/>
                <w:szCs w:val="21"/>
                <w:highlight w:val="none"/>
              </w:rPr>
            </w:pPr>
          </w:p>
          <w:p w14:paraId="4CEF9704">
            <w:pPr>
              <w:widowControl/>
              <w:spacing w:line="360" w:lineRule="auto"/>
              <w:jc w:val="left"/>
              <w:rPr>
                <w:rFonts w:ascii="宋体" w:hAnsi="宋体" w:cs="宋体"/>
                <w:bCs/>
                <w:color w:val="auto"/>
                <w:spacing w:val="16"/>
                <w:kern w:val="0"/>
                <w:szCs w:val="21"/>
                <w:highlight w:val="none"/>
              </w:rPr>
            </w:pPr>
          </w:p>
          <w:p w14:paraId="12B8180E">
            <w:pPr>
              <w:pStyle w:val="42"/>
              <w:shd w:val="clear" w:color="auto" w:fill="FFFFFF"/>
              <w:spacing w:line="360" w:lineRule="auto"/>
              <w:rPr>
                <w:bCs/>
                <w:color w:val="auto"/>
                <w:spacing w:val="16"/>
                <w:sz w:val="21"/>
                <w:szCs w:val="21"/>
                <w:highlight w:val="none"/>
              </w:rPr>
            </w:pPr>
          </w:p>
        </w:tc>
        <w:tc>
          <w:tcPr>
            <w:tcW w:w="2001" w:type="dxa"/>
            <w:gridSpan w:val="3"/>
            <w:tcBorders>
              <w:top w:val="single" w:color="auto" w:sz="4" w:space="0"/>
            </w:tcBorders>
          </w:tcPr>
          <w:p w14:paraId="012EC808">
            <w:pPr>
              <w:pStyle w:val="42"/>
              <w:shd w:val="clear" w:color="auto" w:fill="FFFFFF"/>
              <w:spacing w:line="360" w:lineRule="auto"/>
              <w:rPr>
                <w:bCs/>
                <w:color w:val="auto"/>
                <w:spacing w:val="16"/>
                <w:sz w:val="21"/>
                <w:szCs w:val="21"/>
                <w:highlight w:val="none"/>
              </w:rPr>
            </w:pPr>
            <w:r>
              <w:rPr>
                <w:rFonts w:hint="eastAsia"/>
                <w:bCs/>
                <w:color w:val="auto"/>
                <w:spacing w:val="65"/>
                <w:sz w:val="21"/>
                <w:szCs w:val="21"/>
                <w:highlight w:val="none"/>
              </w:rPr>
              <w:t>国家授予技</w:t>
            </w:r>
            <w:r>
              <w:rPr>
                <w:rFonts w:hint="eastAsia"/>
                <w:bCs/>
                <w:color w:val="auto"/>
                <w:spacing w:val="12"/>
                <w:sz w:val="21"/>
                <w:szCs w:val="21"/>
                <w:highlight w:val="none"/>
              </w:rPr>
              <w:t>术职称人数</w:t>
            </w:r>
          </w:p>
        </w:tc>
        <w:tc>
          <w:tcPr>
            <w:tcW w:w="2151" w:type="dxa"/>
            <w:gridSpan w:val="2"/>
            <w:tcBorders>
              <w:top w:val="single" w:color="auto" w:sz="4" w:space="0"/>
            </w:tcBorders>
          </w:tcPr>
          <w:p w14:paraId="7B392ACD">
            <w:pPr>
              <w:widowControl/>
              <w:spacing w:line="360" w:lineRule="auto"/>
              <w:jc w:val="left"/>
              <w:rPr>
                <w:rFonts w:ascii="宋体" w:hAnsi="宋体" w:cs="宋体"/>
                <w:bCs/>
                <w:color w:val="auto"/>
                <w:spacing w:val="16"/>
                <w:kern w:val="0"/>
                <w:szCs w:val="21"/>
                <w:highlight w:val="none"/>
              </w:rPr>
            </w:pPr>
          </w:p>
          <w:p w14:paraId="472E7043">
            <w:pPr>
              <w:pStyle w:val="42"/>
              <w:shd w:val="clear" w:color="auto" w:fill="FFFFFF"/>
              <w:spacing w:line="360" w:lineRule="auto"/>
              <w:rPr>
                <w:bCs/>
                <w:color w:val="auto"/>
                <w:spacing w:val="16"/>
                <w:sz w:val="21"/>
                <w:szCs w:val="21"/>
                <w:highlight w:val="none"/>
              </w:rPr>
            </w:pPr>
          </w:p>
        </w:tc>
      </w:tr>
      <w:tr w14:paraId="582C5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8" w:hRule="atLeast"/>
        </w:trPr>
        <w:tc>
          <w:tcPr>
            <w:tcW w:w="857" w:type="dxa"/>
            <w:vMerge w:val="continue"/>
          </w:tcPr>
          <w:p w14:paraId="0D6AA94D">
            <w:pPr>
              <w:pStyle w:val="42"/>
              <w:shd w:val="clear" w:color="auto" w:fill="FFFFFF"/>
              <w:spacing w:line="360" w:lineRule="auto"/>
              <w:ind w:left="107"/>
              <w:rPr>
                <w:bCs/>
                <w:color w:val="auto"/>
                <w:sz w:val="21"/>
                <w:szCs w:val="21"/>
                <w:highlight w:val="none"/>
              </w:rPr>
            </w:pPr>
          </w:p>
        </w:tc>
        <w:tc>
          <w:tcPr>
            <w:tcW w:w="669" w:type="dxa"/>
          </w:tcPr>
          <w:p w14:paraId="19A111EC">
            <w:pPr>
              <w:pStyle w:val="42"/>
              <w:shd w:val="clear" w:color="auto" w:fill="FFFFFF"/>
              <w:spacing w:line="360" w:lineRule="auto"/>
              <w:rPr>
                <w:bCs/>
                <w:color w:val="auto"/>
                <w:sz w:val="21"/>
                <w:szCs w:val="21"/>
                <w:highlight w:val="none"/>
              </w:rPr>
            </w:pPr>
            <w:r>
              <w:rPr>
                <w:rFonts w:hint="eastAsia"/>
                <w:bCs/>
                <w:color w:val="auto"/>
                <w:spacing w:val="16"/>
                <w:sz w:val="21"/>
                <w:szCs w:val="21"/>
                <w:highlight w:val="none"/>
              </w:rPr>
              <w:t>占地面积</w:t>
            </w:r>
          </w:p>
        </w:tc>
        <w:tc>
          <w:tcPr>
            <w:tcW w:w="995" w:type="dxa"/>
            <w:gridSpan w:val="2"/>
          </w:tcPr>
          <w:p w14:paraId="3839E717">
            <w:pPr>
              <w:pStyle w:val="42"/>
              <w:shd w:val="clear" w:color="auto" w:fill="FFFFFF"/>
              <w:spacing w:line="360" w:lineRule="auto"/>
              <w:rPr>
                <w:bCs/>
                <w:color w:val="auto"/>
                <w:sz w:val="21"/>
                <w:szCs w:val="21"/>
                <w:highlight w:val="none"/>
              </w:rPr>
            </w:pPr>
          </w:p>
        </w:tc>
        <w:tc>
          <w:tcPr>
            <w:tcW w:w="935" w:type="dxa"/>
          </w:tcPr>
          <w:p w14:paraId="08E68E4C">
            <w:pPr>
              <w:pStyle w:val="42"/>
              <w:shd w:val="clear" w:color="auto" w:fill="FFFFFF"/>
              <w:spacing w:line="360" w:lineRule="auto"/>
              <w:rPr>
                <w:bCs/>
                <w:color w:val="auto"/>
                <w:sz w:val="21"/>
                <w:szCs w:val="21"/>
                <w:highlight w:val="none"/>
              </w:rPr>
            </w:pPr>
            <w:r>
              <w:rPr>
                <w:rFonts w:hint="eastAsia"/>
                <w:bCs/>
                <w:color w:val="auto"/>
                <w:spacing w:val="16"/>
                <w:sz w:val="21"/>
                <w:szCs w:val="21"/>
                <w:highlight w:val="none"/>
              </w:rPr>
              <w:t>建筑面积</w:t>
            </w:r>
          </w:p>
        </w:tc>
        <w:tc>
          <w:tcPr>
            <w:tcW w:w="1205" w:type="dxa"/>
            <w:gridSpan w:val="2"/>
          </w:tcPr>
          <w:p w14:paraId="09493740">
            <w:pPr>
              <w:pStyle w:val="42"/>
              <w:shd w:val="clear" w:color="auto" w:fill="FFFFFF"/>
              <w:spacing w:line="360" w:lineRule="auto"/>
              <w:ind w:firstLine="420" w:firstLineChars="200"/>
              <w:rPr>
                <w:bCs/>
                <w:color w:val="auto"/>
                <w:sz w:val="21"/>
                <w:szCs w:val="21"/>
                <w:highlight w:val="none"/>
              </w:rPr>
            </w:pPr>
            <w:r>
              <w:rPr>
                <w:rFonts w:hint="eastAsia"/>
                <w:bCs/>
                <w:color w:val="auto"/>
                <w:sz w:val="21"/>
                <w:szCs w:val="21"/>
                <w:highlight w:val="none"/>
              </w:rPr>
              <w:t xml:space="preserve">平方米 </w:t>
            </w:r>
          </w:p>
          <w:p w14:paraId="02F5AD97">
            <w:pPr>
              <w:pStyle w:val="42"/>
              <w:shd w:val="clear" w:color="auto" w:fill="FFFFFF"/>
              <w:spacing w:line="360" w:lineRule="auto"/>
              <w:rPr>
                <w:bCs/>
                <w:color w:val="auto"/>
                <w:sz w:val="21"/>
                <w:szCs w:val="21"/>
                <w:highlight w:val="none"/>
              </w:rPr>
            </w:pPr>
            <w:r>
              <w:rPr>
                <w:rFonts w:hint="eastAsia"/>
                <w:bCs/>
                <w:color w:val="auto"/>
                <w:spacing w:val="16"/>
                <w:sz w:val="21"/>
                <w:szCs w:val="21"/>
                <w:highlight w:val="none"/>
              </w:rPr>
              <w:t>□自有□租賃</w:t>
            </w:r>
          </w:p>
        </w:tc>
        <w:tc>
          <w:tcPr>
            <w:tcW w:w="2001" w:type="dxa"/>
            <w:gridSpan w:val="3"/>
          </w:tcPr>
          <w:p w14:paraId="21631941">
            <w:pPr>
              <w:pStyle w:val="42"/>
              <w:shd w:val="clear" w:color="auto" w:fill="FFFFFF"/>
              <w:spacing w:line="360" w:lineRule="auto"/>
              <w:rPr>
                <w:bCs/>
                <w:color w:val="auto"/>
                <w:sz w:val="21"/>
                <w:szCs w:val="21"/>
                <w:highlight w:val="none"/>
              </w:rPr>
            </w:pPr>
            <w:r>
              <w:rPr>
                <w:rFonts w:hint="eastAsia"/>
                <w:bCs/>
                <w:color w:val="auto"/>
                <w:spacing w:val="16"/>
                <w:sz w:val="21"/>
                <w:szCs w:val="21"/>
                <w:highlight w:val="none"/>
              </w:rPr>
              <w:t>生产经营场所及场所的设施与设备</w:t>
            </w:r>
          </w:p>
        </w:tc>
        <w:tc>
          <w:tcPr>
            <w:tcW w:w="2151" w:type="dxa"/>
            <w:gridSpan w:val="2"/>
          </w:tcPr>
          <w:p w14:paraId="341DF41D">
            <w:pPr>
              <w:pStyle w:val="42"/>
              <w:shd w:val="clear" w:color="auto" w:fill="FFFFFF"/>
              <w:spacing w:before="0" w:beforeAutospacing="0" w:after="0" w:afterAutospacing="0" w:line="360" w:lineRule="auto"/>
              <w:rPr>
                <w:bCs/>
                <w:color w:val="auto"/>
                <w:spacing w:val="16"/>
                <w:sz w:val="21"/>
                <w:szCs w:val="21"/>
                <w:highlight w:val="none"/>
              </w:rPr>
            </w:pPr>
          </w:p>
        </w:tc>
      </w:tr>
      <w:tr w14:paraId="13BCD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857" w:type="dxa"/>
            <w:vMerge w:val="continue"/>
          </w:tcPr>
          <w:p w14:paraId="0C243BCC">
            <w:pPr>
              <w:pStyle w:val="42"/>
              <w:shd w:val="clear" w:color="auto" w:fill="FFFFFF"/>
              <w:spacing w:line="360" w:lineRule="auto"/>
              <w:ind w:left="107"/>
              <w:rPr>
                <w:bCs/>
                <w:color w:val="auto"/>
                <w:sz w:val="21"/>
                <w:szCs w:val="21"/>
                <w:highlight w:val="none"/>
              </w:rPr>
            </w:pPr>
          </w:p>
        </w:tc>
        <w:tc>
          <w:tcPr>
            <w:tcW w:w="669" w:type="dxa"/>
          </w:tcPr>
          <w:p w14:paraId="2B4398E1">
            <w:pPr>
              <w:pStyle w:val="42"/>
              <w:shd w:val="clear" w:color="auto" w:fill="FFFFFF"/>
              <w:spacing w:line="360" w:lineRule="auto"/>
              <w:ind w:left="2"/>
              <w:rPr>
                <w:bCs/>
                <w:color w:val="auto"/>
                <w:spacing w:val="16"/>
                <w:sz w:val="21"/>
                <w:szCs w:val="21"/>
                <w:highlight w:val="none"/>
              </w:rPr>
            </w:pPr>
            <w:r>
              <w:rPr>
                <w:rFonts w:hint="eastAsia"/>
                <w:bCs/>
                <w:color w:val="auto"/>
                <w:spacing w:val="16"/>
                <w:sz w:val="21"/>
                <w:szCs w:val="21"/>
                <w:highlight w:val="none"/>
              </w:rPr>
              <w:t>注册资金</w:t>
            </w:r>
          </w:p>
        </w:tc>
        <w:tc>
          <w:tcPr>
            <w:tcW w:w="995" w:type="dxa"/>
            <w:gridSpan w:val="2"/>
          </w:tcPr>
          <w:p w14:paraId="5107A843">
            <w:pPr>
              <w:pStyle w:val="42"/>
              <w:shd w:val="clear" w:color="auto" w:fill="FFFFFF"/>
              <w:spacing w:line="360" w:lineRule="auto"/>
              <w:ind w:left="2"/>
              <w:rPr>
                <w:bCs/>
                <w:color w:val="auto"/>
                <w:sz w:val="21"/>
                <w:szCs w:val="21"/>
                <w:highlight w:val="none"/>
              </w:rPr>
            </w:pPr>
          </w:p>
        </w:tc>
        <w:tc>
          <w:tcPr>
            <w:tcW w:w="935" w:type="dxa"/>
          </w:tcPr>
          <w:p w14:paraId="78A14396">
            <w:pPr>
              <w:pStyle w:val="42"/>
              <w:shd w:val="clear" w:color="auto" w:fill="FFFFFF"/>
              <w:spacing w:line="360" w:lineRule="auto"/>
              <w:ind w:left="107"/>
              <w:rPr>
                <w:bCs/>
                <w:color w:val="auto"/>
                <w:sz w:val="21"/>
                <w:szCs w:val="21"/>
                <w:highlight w:val="none"/>
              </w:rPr>
            </w:pPr>
            <w:r>
              <w:rPr>
                <w:rFonts w:hint="eastAsia"/>
                <w:bCs/>
                <w:color w:val="auto"/>
                <w:spacing w:val="16"/>
                <w:sz w:val="21"/>
                <w:szCs w:val="21"/>
                <w:highlight w:val="none"/>
              </w:rPr>
              <w:t>注册发证</w:t>
            </w:r>
            <w:r>
              <w:rPr>
                <w:rFonts w:hint="eastAsia"/>
                <w:bCs/>
                <w:color w:val="auto"/>
                <w:spacing w:val="27"/>
                <w:sz w:val="21"/>
                <w:szCs w:val="21"/>
                <w:highlight w:val="none"/>
              </w:rPr>
              <w:t>机关</w:t>
            </w:r>
          </w:p>
        </w:tc>
        <w:tc>
          <w:tcPr>
            <w:tcW w:w="3206" w:type="dxa"/>
            <w:gridSpan w:val="5"/>
          </w:tcPr>
          <w:p w14:paraId="53108DF2">
            <w:pPr>
              <w:widowControl/>
              <w:spacing w:line="360" w:lineRule="auto"/>
              <w:jc w:val="left"/>
              <w:rPr>
                <w:rFonts w:ascii="宋体" w:hAnsi="宋体" w:cs="宋体"/>
                <w:bCs/>
                <w:color w:val="auto"/>
                <w:kern w:val="0"/>
                <w:szCs w:val="21"/>
                <w:highlight w:val="none"/>
              </w:rPr>
            </w:pPr>
          </w:p>
          <w:p w14:paraId="0879615A">
            <w:pPr>
              <w:pStyle w:val="42"/>
              <w:shd w:val="clear" w:color="auto" w:fill="FFFFFF"/>
              <w:spacing w:line="360" w:lineRule="auto"/>
              <w:ind w:left="107"/>
              <w:rPr>
                <w:bCs/>
                <w:color w:val="auto"/>
                <w:sz w:val="21"/>
                <w:szCs w:val="21"/>
                <w:highlight w:val="none"/>
              </w:rPr>
            </w:pPr>
          </w:p>
        </w:tc>
        <w:tc>
          <w:tcPr>
            <w:tcW w:w="1218" w:type="dxa"/>
          </w:tcPr>
          <w:p w14:paraId="0F9E26B7">
            <w:pPr>
              <w:pStyle w:val="42"/>
              <w:shd w:val="clear" w:color="auto" w:fill="FFFFFF"/>
              <w:spacing w:line="360" w:lineRule="auto"/>
              <w:ind w:left="107"/>
              <w:rPr>
                <w:bCs/>
                <w:color w:val="auto"/>
                <w:sz w:val="21"/>
                <w:szCs w:val="21"/>
                <w:highlight w:val="none"/>
              </w:rPr>
            </w:pPr>
            <w:r>
              <w:rPr>
                <w:rFonts w:hint="eastAsia"/>
                <w:bCs/>
                <w:color w:val="auto"/>
                <w:sz w:val="21"/>
                <w:szCs w:val="21"/>
                <w:highlight w:val="none"/>
              </w:rPr>
              <w:t>公司成</w:t>
            </w:r>
            <w:r>
              <w:rPr>
                <w:rFonts w:hint="eastAsia"/>
                <w:bCs/>
                <w:color w:val="auto"/>
                <w:spacing w:val="12"/>
                <w:sz w:val="21"/>
                <w:szCs w:val="21"/>
                <w:highlight w:val="none"/>
              </w:rPr>
              <w:t>立时间</w:t>
            </w:r>
          </w:p>
        </w:tc>
        <w:tc>
          <w:tcPr>
            <w:tcW w:w="933" w:type="dxa"/>
          </w:tcPr>
          <w:p w14:paraId="70D6A7A4">
            <w:pPr>
              <w:pStyle w:val="42"/>
              <w:shd w:val="clear" w:color="auto" w:fill="FFFFFF"/>
              <w:spacing w:line="360" w:lineRule="auto"/>
              <w:ind w:left="107"/>
              <w:rPr>
                <w:bCs/>
                <w:color w:val="auto"/>
                <w:sz w:val="21"/>
                <w:szCs w:val="21"/>
                <w:highlight w:val="none"/>
              </w:rPr>
            </w:pPr>
          </w:p>
        </w:tc>
      </w:tr>
      <w:tr w14:paraId="69F54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857" w:type="dxa"/>
            <w:vMerge w:val="continue"/>
          </w:tcPr>
          <w:p w14:paraId="12DDF1AC">
            <w:pPr>
              <w:pStyle w:val="42"/>
              <w:shd w:val="clear" w:color="auto" w:fill="FFFFFF"/>
              <w:spacing w:line="360" w:lineRule="auto"/>
              <w:ind w:left="107"/>
              <w:rPr>
                <w:bCs/>
                <w:color w:val="auto"/>
                <w:sz w:val="21"/>
                <w:szCs w:val="21"/>
                <w:highlight w:val="none"/>
              </w:rPr>
            </w:pPr>
          </w:p>
        </w:tc>
        <w:tc>
          <w:tcPr>
            <w:tcW w:w="669" w:type="dxa"/>
          </w:tcPr>
          <w:p w14:paraId="6A2E4EEB">
            <w:pPr>
              <w:pStyle w:val="42"/>
              <w:shd w:val="clear" w:color="auto" w:fill="FFFFFF"/>
              <w:spacing w:line="360" w:lineRule="auto"/>
              <w:ind w:left="2"/>
              <w:rPr>
                <w:bCs/>
                <w:color w:val="auto"/>
                <w:sz w:val="21"/>
                <w:szCs w:val="21"/>
                <w:highlight w:val="none"/>
              </w:rPr>
            </w:pPr>
            <w:r>
              <w:rPr>
                <w:rFonts w:hint="eastAsia"/>
                <w:bCs/>
                <w:color w:val="auto"/>
                <w:sz w:val="21"/>
                <w:szCs w:val="21"/>
                <w:highlight w:val="none"/>
              </w:rPr>
              <w:t>核准经营范围</w:t>
            </w:r>
          </w:p>
        </w:tc>
        <w:tc>
          <w:tcPr>
            <w:tcW w:w="7287" w:type="dxa"/>
            <w:gridSpan w:val="10"/>
          </w:tcPr>
          <w:p w14:paraId="5B44061C">
            <w:pPr>
              <w:pStyle w:val="42"/>
              <w:shd w:val="clear" w:color="auto" w:fill="FFFFFF"/>
              <w:spacing w:line="360" w:lineRule="auto"/>
              <w:ind w:left="107"/>
              <w:rPr>
                <w:bCs/>
                <w:color w:val="auto"/>
                <w:sz w:val="21"/>
                <w:szCs w:val="21"/>
                <w:highlight w:val="none"/>
              </w:rPr>
            </w:pPr>
          </w:p>
        </w:tc>
      </w:tr>
      <w:tr w14:paraId="53CCC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857" w:type="dxa"/>
            <w:vMerge w:val="continue"/>
          </w:tcPr>
          <w:p w14:paraId="70405BF7">
            <w:pPr>
              <w:pStyle w:val="42"/>
              <w:shd w:val="clear" w:color="auto" w:fill="FFFFFF"/>
              <w:spacing w:line="360" w:lineRule="auto"/>
              <w:ind w:left="107"/>
              <w:rPr>
                <w:bCs/>
                <w:color w:val="auto"/>
                <w:sz w:val="21"/>
                <w:szCs w:val="21"/>
                <w:highlight w:val="none"/>
              </w:rPr>
            </w:pPr>
          </w:p>
        </w:tc>
        <w:tc>
          <w:tcPr>
            <w:tcW w:w="7956" w:type="dxa"/>
            <w:gridSpan w:val="11"/>
          </w:tcPr>
          <w:p w14:paraId="78822662">
            <w:pPr>
              <w:pStyle w:val="42"/>
              <w:shd w:val="clear" w:color="auto" w:fill="FFFFFF"/>
              <w:spacing w:line="360" w:lineRule="auto"/>
              <w:rPr>
                <w:bCs/>
                <w:color w:val="auto"/>
                <w:spacing w:val="13"/>
                <w:sz w:val="21"/>
                <w:szCs w:val="21"/>
                <w:highlight w:val="none"/>
              </w:rPr>
            </w:pPr>
            <w:r>
              <w:rPr>
                <w:rFonts w:hint="eastAsia"/>
                <w:bCs/>
                <w:color w:val="auto"/>
                <w:spacing w:val="13"/>
                <w:sz w:val="21"/>
                <w:szCs w:val="21"/>
                <w:highlight w:val="none"/>
              </w:rPr>
              <w:t>发展历程及主要荣誉：</w:t>
            </w:r>
          </w:p>
        </w:tc>
      </w:tr>
      <w:tr w14:paraId="4472D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57" w:type="dxa"/>
            <w:vMerge w:val="restart"/>
          </w:tcPr>
          <w:p w14:paraId="78303887">
            <w:pPr>
              <w:pStyle w:val="42"/>
              <w:shd w:val="clear" w:color="auto" w:fill="FFFFFF"/>
              <w:spacing w:line="360" w:lineRule="auto"/>
              <w:ind w:left="107"/>
              <w:rPr>
                <w:bCs/>
                <w:color w:val="auto"/>
                <w:sz w:val="21"/>
                <w:szCs w:val="21"/>
                <w:highlight w:val="none"/>
              </w:rPr>
            </w:pPr>
            <w:r>
              <w:rPr>
                <w:rFonts w:hint="eastAsia"/>
                <w:bCs/>
                <w:color w:val="auto"/>
                <w:sz w:val="21"/>
                <w:szCs w:val="21"/>
                <w:highlight w:val="none"/>
              </w:rPr>
              <w:t>二、</w:t>
            </w:r>
          </w:p>
          <w:p w14:paraId="1DBEC50B">
            <w:pPr>
              <w:pStyle w:val="42"/>
              <w:shd w:val="clear" w:color="auto" w:fill="FFFFFF"/>
              <w:spacing w:line="360" w:lineRule="auto"/>
              <w:ind w:left="107"/>
              <w:rPr>
                <w:bCs/>
                <w:color w:val="auto"/>
                <w:spacing w:val="16"/>
                <w:sz w:val="21"/>
                <w:szCs w:val="21"/>
                <w:highlight w:val="none"/>
              </w:rPr>
            </w:pPr>
            <w:r>
              <w:rPr>
                <w:rFonts w:hint="eastAsia"/>
                <w:bCs/>
                <w:color w:val="auto"/>
                <w:sz w:val="21"/>
                <w:szCs w:val="21"/>
                <w:highlight w:val="none"/>
              </w:rPr>
              <w:t>企</w:t>
            </w:r>
            <w:r>
              <w:rPr>
                <w:rFonts w:hint="eastAsia"/>
                <w:bCs/>
                <w:color w:val="auto"/>
                <w:spacing w:val="12"/>
                <w:sz w:val="21"/>
                <w:szCs w:val="21"/>
                <w:highlight w:val="none"/>
              </w:rPr>
              <w:t>业有关资质获证情况</w:t>
            </w:r>
          </w:p>
        </w:tc>
        <w:tc>
          <w:tcPr>
            <w:tcW w:w="1378" w:type="dxa"/>
            <w:gridSpan w:val="2"/>
            <w:vMerge w:val="restart"/>
          </w:tcPr>
          <w:p w14:paraId="5753AD26">
            <w:pPr>
              <w:pStyle w:val="42"/>
              <w:shd w:val="clear" w:color="auto" w:fill="FFFFFF"/>
              <w:spacing w:before="0" w:beforeAutospacing="0" w:after="0" w:afterAutospacing="0" w:line="360" w:lineRule="auto"/>
              <w:rPr>
                <w:bCs/>
                <w:color w:val="auto"/>
                <w:spacing w:val="16"/>
                <w:sz w:val="21"/>
                <w:szCs w:val="21"/>
                <w:highlight w:val="none"/>
              </w:rPr>
            </w:pPr>
            <w:r>
              <w:rPr>
                <w:rFonts w:hint="eastAsia"/>
                <w:bCs/>
                <w:color w:val="auto"/>
                <w:spacing w:val="12"/>
                <w:sz w:val="21"/>
                <w:szCs w:val="21"/>
                <w:highlight w:val="none"/>
              </w:rPr>
              <w:t>产品生产许可证情况</w:t>
            </w:r>
            <w:r>
              <w:rPr>
                <w:rFonts w:hint="eastAsia"/>
                <w:bCs/>
                <w:color w:val="auto"/>
                <w:spacing w:val="41"/>
                <w:sz w:val="21"/>
                <w:szCs w:val="21"/>
                <w:highlight w:val="none"/>
              </w:rPr>
              <w:t>（对需获得生产许可证的</w:t>
            </w:r>
            <w:r>
              <w:rPr>
                <w:rFonts w:hint="eastAsia"/>
                <w:bCs/>
                <w:color w:val="auto"/>
                <w:spacing w:val="11"/>
                <w:sz w:val="21"/>
                <w:szCs w:val="21"/>
                <w:highlight w:val="none"/>
              </w:rPr>
              <w:t>产品要填写此栏）</w:t>
            </w:r>
          </w:p>
        </w:tc>
        <w:tc>
          <w:tcPr>
            <w:tcW w:w="1333" w:type="dxa"/>
            <w:gridSpan w:val="3"/>
          </w:tcPr>
          <w:p w14:paraId="57160D1A">
            <w:pPr>
              <w:pStyle w:val="42"/>
              <w:shd w:val="clear" w:color="auto" w:fill="FFFFFF"/>
              <w:spacing w:line="360" w:lineRule="auto"/>
              <w:ind w:right="-78" w:rightChars="-37"/>
              <w:rPr>
                <w:bCs/>
                <w:color w:val="auto"/>
                <w:spacing w:val="16"/>
                <w:sz w:val="21"/>
                <w:szCs w:val="21"/>
                <w:highlight w:val="none"/>
              </w:rPr>
            </w:pPr>
            <w:r>
              <w:rPr>
                <w:rFonts w:hint="eastAsia"/>
                <w:bCs/>
                <w:color w:val="auto"/>
                <w:spacing w:val="16"/>
                <w:sz w:val="21"/>
                <w:szCs w:val="21"/>
                <w:highlight w:val="none"/>
              </w:rPr>
              <w:t>产品名称</w:t>
            </w:r>
          </w:p>
        </w:tc>
        <w:tc>
          <w:tcPr>
            <w:tcW w:w="1418" w:type="dxa"/>
            <w:gridSpan w:val="2"/>
          </w:tcPr>
          <w:p w14:paraId="6798DB29">
            <w:pPr>
              <w:pStyle w:val="42"/>
              <w:shd w:val="clear" w:color="auto" w:fill="FFFFFF"/>
              <w:spacing w:before="0" w:beforeAutospacing="0" w:after="0" w:afterAutospacing="0" w:line="360" w:lineRule="auto"/>
              <w:rPr>
                <w:bCs/>
                <w:color w:val="auto"/>
                <w:sz w:val="21"/>
                <w:szCs w:val="21"/>
                <w:highlight w:val="none"/>
              </w:rPr>
            </w:pPr>
            <w:r>
              <w:rPr>
                <w:rFonts w:hint="eastAsia"/>
                <w:bCs/>
                <w:color w:val="auto"/>
                <w:spacing w:val="16"/>
                <w:sz w:val="21"/>
                <w:szCs w:val="21"/>
                <w:highlight w:val="none"/>
              </w:rPr>
              <w:t>发证机关</w:t>
            </w:r>
          </w:p>
        </w:tc>
        <w:tc>
          <w:tcPr>
            <w:tcW w:w="1276" w:type="dxa"/>
          </w:tcPr>
          <w:p w14:paraId="1FBDB159">
            <w:pPr>
              <w:pStyle w:val="42"/>
              <w:shd w:val="clear" w:color="auto" w:fill="FFFFFF"/>
              <w:spacing w:line="360" w:lineRule="auto"/>
              <w:jc w:val="center"/>
              <w:rPr>
                <w:bCs/>
                <w:color w:val="auto"/>
                <w:sz w:val="21"/>
                <w:szCs w:val="21"/>
                <w:highlight w:val="none"/>
              </w:rPr>
            </w:pPr>
            <w:r>
              <w:rPr>
                <w:rFonts w:hint="eastAsia"/>
                <w:bCs/>
                <w:color w:val="auto"/>
                <w:spacing w:val="27"/>
                <w:sz w:val="21"/>
                <w:szCs w:val="21"/>
                <w:highlight w:val="none"/>
              </w:rPr>
              <w:t>编号</w:t>
            </w:r>
          </w:p>
        </w:tc>
        <w:tc>
          <w:tcPr>
            <w:tcW w:w="1618" w:type="dxa"/>
            <w:gridSpan w:val="2"/>
          </w:tcPr>
          <w:p w14:paraId="5B012325">
            <w:pPr>
              <w:pStyle w:val="42"/>
              <w:shd w:val="clear" w:color="auto" w:fill="FFFFFF"/>
              <w:spacing w:line="360" w:lineRule="auto"/>
              <w:jc w:val="center"/>
              <w:rPr>
                <w:bCs/>
                <w:color w:val="auto"/>
                <w:sz w:val="21"/>
                <w:szCs w:val="21"/>
                <w:highlight w:val="none"/>
              </w:rPr>
            </w:pPr>
            <w:r>
              <w:rPr>
                <w:rFonts w:hint="eastAsia"/>
                <w:bCs/>
                <w:color w:val="auto"/>
                <w:spacing w:val="16"/>
                <w:sz w:val="21"/>
                <w:szCs w:val="21"/>
                <w:highlight w:val="none"/>
              </w:rPr>
              <w:t>发证时间</w:t>
            </w:r>
          </w:p>
        </w:tc>
        <w:tc>
          <w:tcPr>
            <w:tcW w:w="933" w:type="dxa"/>
          </w:tcPr>
          <w:p w14:paraId="2FB45FA0">
            <w:pPr>
              <w:pStyle w:val="42"/>
              <w:shd w:val="clear" w:color="auto" w:fill="FFFFFF"/>
              <w:spacing w:before="0" w:beforeAutospacing="0" w:after="0" w:afterAutospacing="0" w:line="360" w:lineRule="auto"/>
              <w:jc w:val="center"/>
              <w:rPr>
                <w:bCs/>
                <w:color w:val="auto"/>
                <w:sz w:val="21"/>
                <w:szCs w:val="21"/>
                <w:highlight w:val="none"/>
              </w:rPr>
            </w:pPr>
            <w:r>
              <w:rPr>
                <w:rFonts w:hint="eastAsia"/>
                <w:bCs/>
                <w:color w:val="auto"/>
                <w:spacing w:val="27"/>
                <w:sz w:val="21"/>
                <w:szCs w:val="21"/>
                <w:highlight w:val="none"/>
              </w:rPr>
              <w:t>期限</w:t>
            </w:r>
          </w:p>
        </w:tc>
      </w:tr>
      <w:tr w14:paraId="3B2E6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857" w:type="dxa"/>
            <w:vMerge w:val="continue"/>
          </w:tcPr>
          <w:p w14:paraId="6C4BC745">
            <w:pPr>
              <w:pStyle w:val="42"/>
              <w:shd w:val="clear" w:color="auto" w:fill="FFFFFF"/>
              <w:spacing w:line="360" w:lineRule="auto"/>
              <w:ind w:left="107"/>
              <w:rPr>
                <w:bCs/>
                <w:color w:val="auto"/>
                <w:sz w:val="21"/>
                <w:szCs w:val="21"/>
                <w:highlight w:val="none"/>
              </w:rPr>
            </w:pPr>
          </w:p>
        </w:tc>
        <w:tc>
          <w:tcPr>
            <w:tcW w:w="1378" w:type="dxa"/>
            <w:gridSpan w:val="2"/>
            <w:vMerge w:val="continue"/>
          </w:tcPr>
          <w:p w14:paraId="51B29DC2">
            <w:pPr>
              <w:pStyle w:val="42"/>
              <w:shd w:val="clear" w:color="auto" w:fill="FFFFFF"/>
              <w:spacing w:line="360" w:lineRule="auto"/>
              <w:rPr>
                <w:bCs/>
                <w:color w:val="auto"/>
                <w:sz w:val="21"/>
                <w:szCs w:val="21"/>
                <w:highlight w:val="none"/>
              </w:rPr>
            </w:pPr>
          </w:p>
        </w:tc>
        <w:tc>
          <w:tcPr>
            <w:tcW w:w="1333" w:type="dxa"/>
            <w:gridSpan w:val="3"/>
          </w:tcPr>
          <w:p w14:paraId="17A5E334">
            <w:pPr>
              <w:pStyle w:val="42"/>
              <w:shd w:val="clear" w:color="auto" w:fill="FFFFFF"/>
              <w:spacing w:line="360" w:lineRule="auto"/>
              <w:rPr>
                <w:bCs/>
                <w:color w:val="auto"/>
                <w:sz w:val="21"/>
                <w:szCs w:val="21"/>
                <w:highlight w:val="none"/>
              </w:rPr>
            </w:pPr>
          </w:p>
        </w:tc>
        <w:tc>
          <w:tcPr>
            <w:tcW w:w="1418" w:type="dxa"/>
            <w:gridSpan w:val="2"/>
          </w:tcPr>
          <w:p w14:paraId="33E0A068">
            <w:pPr>
              <w:pStyle w:val="42"/>
              <w:shd w:val="clear" w:color="auto" w:fill="FFFFFF"/>
              <w:spacing w:line="360" w:lineRule="auto"/>
              <w:rPr>
                <w:bCs/>
                <w:color w:val="auto"/>
                <w:sz w:val="21"/>
                <w:szCs w:val="21"/>
                <w:highlight w:val="none"/>
              </w:rPr>
            </w:pPr>
          </w:p>
        </w:tc>
        <w:tc>
          <w:tcPr>
            <w:tcW w:w="1276" w:type="dxa"/>
          </w:tcPr>
          <w:p w14:paraId="4E8BFE3A">
            <w:pPr>
              <w:pStyle w:val="42"/>
              <w:shd w:val="clear" w:color="auto" w:fill="FFFFFF"/>
              <w:spacing w:line="360" w:lineRule="auto"/>
              <w:rPr>
                <w:bCs/>
                <w:color w:val="auto"/>
                <w:sz w:val="21"/>
                <w:szCs w:val="21"/>
                <w:highlight w:val="none"/>
              </w:rPr>
            </w:pPr>
          </w:p>
        </w:tc>
        <w:tc>
          <w:tcPr>
            <w:tcW w:w="2551" w:type="dxa"/>
            <w:gridSpan w:val="3"/>
          </w:tcPr>
          <w:p w14:paraId="6A2334B3">
            <w:pPr>
              <w:pStyle w:val="42"/>
              <w:shd w:val="clear" w:color="auto" w:fill="FFFFFF"/>
              <w:spacing w:line="360" w:lineRule="auto"/>
              <w:rPr>
                <w:bCs/>
                <w:color w:val="auto"/>
                <w:sz w:val="21"/>
                <w:szCs w:val="21"/>
                <w:highlight w:val="none"/>
              </w:rPr>
            </w:pPr>
          </w:p>
        </w:tc>
      </w:tr>
      <w:tr w14:paraId="07ACE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857" w:type="dxa"/>
            <w:vMerge w:val="continue"/>
          </w:tcPr>
          <w:p w14:paraId="79C534F3">
            <w:pPr>
              <w:pStyle w:val="42"/>
              <w:shd w:val="clear" w:color="auto" w:fill="FFFFFF"/>
              <w:spacing w:line="360" w:lineRule="auto"/>
              <w:ind w:left="107"/>
              <w:rPr>
                <w:bCs/>
                <w:color w:val="auto"/>
                <w:spacing w:val="16"/>
                <w:sz w:val="21"/>
                <w:szCs w:val="21"/>
                <w:highlight w:val="none"/>
              </w:rPr>
            </w:pPr>
          </w:p>
        </w:tc>
        <w:tc>
          <w:tcPr>
            <w:tcW w:w="1378" w:type="dxa"/>
            <w:gridSpan w:val="2"/>
          </w:tcPr>
          <w:p w14:paraId="0D86D82A">
            <w:pPr>
              <w:pStyle w:val="42"/>
              <w:shd w:val="clear" w:color="auto" w:fill="FFFFFF"/>
              <w:spacing w:before="0" w:beforeAutospacing="0" w:after="0" w:afterAutospacing="0" w:line="360" w:lineRule="auto"/>
              <w:ind w:right="-107" w:rightChars="-51"/>
              <w:rPr>
                <w:bCs/>
                <w:color w:val="auto"/>
                <w:spacing w:val="41"/>
                <w:sz w:val="21"/>
                <w:szCs w:val="21"/>
                <w:highlight w:val="none"/>
              </w:rPr>
            </w:pPr>
            <w:r>
              <w:rPr>
                <w:rFonts w:hint="eastAsia"/>
                <w:bCs/>
                <w:color w:val="auto"/>
                <w:spacing w:val="41"/>
                <w:sz w:val="21"/>
                <w:szCs w:val="21"/>
                <w:highlight w:val="none"/>
              </w:rPr>
              <w:t>企业通过质量体系、环保</w:t>
            </w:r>
            <w:r>
              <w:rPr>
                <w:rFonts w:hint="eastAsia"/>
                <w:bCs/>
                <w:color w:val="auto"/>
                <w:spacing w:val="11"/>
                <w:sz w:val="21"/>
                <w:szCs w:val="21"/>
                <w:highlight w:val="none"/>
              </w:rPr>
              <w:t>体系、计量等认证情况</w:t>
            </w:r>
          </w:p>
        </w:tc>
        <w:tc>
          <w:tcPr>
            <w:tcW w:w="6578" w:type="dxa"/>
            <w:gridSpan w:val="9"/>
          </w:tcPr>
          <w:p w14:paraId="48143143">
            <w:pPr>
              <w:pStyle w:val="42"/>
              <w:shd w:val="clear" w:color="auto" w:fill="FFFFFF"/>
              <w:spacing w:line="360" w:lineRule="auto"/>
              <w:rPr>
                <w:bCs/>
                <w:color w:val="auto"/>
                <w:spacing w:val="16"/>
                <w:sz w:val="21"/>
                <w:szCs w:val="21"/>
                <w:highlight w:val="none"/>
              </w:rPr>
            </w:pPr>
          </w:p>
        </w:tc>
      </w:tr>
      <w:tr w14:paraId="6798E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857" w:type="dxa"/>
            <w:vMerge w:val="continue"/>
          </w:tcPr>
          <w:p w14:paraId="66DD49B6">
            <w:pPr>
              <w:pStyle w:val="42"/>
              <w:shd w:val="clear" w:color="auto" w:fill="FFFFFF"/>
              <w:spacing w:line="360" w:lineRule="auto"/>
              <w:ind w:left="107"/>
              <w:rPr>
                <w:bCs/>
                <w:color w:val="auto"/>
                <w:spacing w:val="27"/>
                <w:sz w:val="21"/>
                <w:szCs w:val="21"/>
                <w:highlight w:val="none"/>
              </w:rPr>
            </w:pPr>
          </w:p>
        </w:tc>
        <w:tc>
          <w:tcPr>
            <w:tcW w:w="1378" w:type="dxa"/>
            <w:gridSpan w:val="2"/>
          </w:tcPr>
          <w:p w14:paraId="6DAC9118">
            <w:pPr>
              <w:pStyle w:val="42"/>
              <w:shd w:val="clear" w:color="auto" w:fill="FFFFFF"/>
              <w:spacing w:line="360" w:lineRule="auto"/>
              <w:rPr>
                <w:bCs/>
                <w:color w:val="auto"/>
                <w:spacing w:val="16"/>
                <w:sz w:val="21"/>
                <w:szCs w:val="21"/>
                <w:highlight w:val="none"/>
              </w:rPr>
            </w:pPr>
            <w:r>
              <w:rPr>
                <w:rFonts w:hint="eastAsia"/>
                <w:bCs/>
                <w:color w:val="auto"/>
                <w:spacing w:val="10"/>
                <w:sz w:val="21"/>
                <w:szCs w:val="21"/>
                <w:highlight w:val="none"/>
              </w:rPr>
              <w:t>企业获得专利情况</w:t>
            </w:r>
          </w:p>
        </w:tc>
        <w:tc>
          <w:tcPr>
            <w:tcW w:w="6578" w:type="dxa"/>
            <w:gridSpan w:val="9"/>
          </w:tcPr>
          <w:p w14:paraId="07ECCC39">
            <w:pPr>
              <w:pStyle w:val="42"/>
              <w:shd w:val="clear" w:color="auto" w:fill="FFFFFF"/>
              <w:spacing w:line="360" w:lineRule="auto"/>
              <w:rPr>
                <w:bCs/>
                <w:color w:val="auto"/>
                <w:spacing w:val="16"/>
                <w:sz w:val="21"/>
                <w:szCs w:val="21"/>
                <w:highlight w:val="none"/>
              </w:rPr>
            </w:pPr>
          </w:p>
        </w:tc>
      </w:tr>
    </w:tbl>
    <w:p w14:paraId="69C2F26E">
      <w:pPr>
        <w:pStyle w:val="42"/>
        <w:shd w:val="clear" w:color="auto" w:fill="FFFFFF"/>
        <w:spacing w:before="0" w:beforeAutospacing="0" w:after="0" w:afterAutospacing="0" w:line="360" w:lineRule="auto"/>
        <w:rPr>
          <w:color w:val="auto"/>
          <w:sz w:val="21"/>
          <w:szCs w:val="21"/>
          <w:highlight w:val="none"/>
        </w:rPr>
      </w:pPr>
    </w:p>
    <w:p w14:paraId="34F57AC5">
      <w:pPr>
        <w:pStyle w:val="42"/>
        <w:shd w:val="clear" w:color="auto" w:fill="FFFFFF"/>
        <w:spacing w:before="0" w:beforeAutospacing="0" w:after="0" w:afterAutospacing="0" w:line="360" w:lineRule="auto"/>
        <w:rPr>
          <w:b/>
          <w:color w:val="auto"/>
          <w:sz w:val="21"/>
          <w:szCs w:val="21"/>
          <w:highlight w:val="none"/>
        </w:rPr>
      </w:pPr>
      <w:r>
        <w:rPr>
          <w:rFonts w:hint="eastAsia"/>
          <w:b/>
          <w:color w:val="auto"/>
          <w:sz w:val="21"/>
          <w:szCs w:val="21"/>
          <w:highlight w:val="none"/>
        </w:rPr>
        <w:t>要求：</w:t>
      </w:r>
    </w:p>
    <w:p w14:paraId="18B4CDC9">
      <w:pPr>
        <w:pStyle w:val="42"/>
        <w:shd w:val="clear" w:color="auto" w:fill="FFFFFF"/>
        <w:spacing w:before="0" w:beforeAutospacing="0" w:after="0" w:afterAutospacing="0" w:line="360" w:lineRule="auto"/>
        <w:ind w:firstLine="424" w:firstLineChars="202"/>
        <w:rPr>
          <w:color w:val="auto"/>
          <w:sz w:val="21"/>
          <w:szCs w:val="21"/>
          <w:highlight w:val="none"/>
        </w:rPr>
      </w:pPr>
      <w:r>
        <w:rPr>
          <w:rFonts w:hint="eastAsia"/>
          <w:color w:val="auto"/>
          <w:sz w:val="21"/>
          <w:szCs w:val="21"/>
          <w:highlight w:val="none"/>
        </w:rPr>
        <w:t>1、姓名栏必须将所有股东都统计在内，若非股份公司此行（第三行）无需填写；</w:t>
      </w:r>
    </w:p>
    <w:p w14:paraId="646C06DD">
      <w:pPr>
        <w:rPr>
          <w:rFonts w:ascii="宋体" w:hAnsi="宋体" w:cs="宋体"/>
          <w:color w:val="auto"/>
          <w:szCs w:val="21"/>
          <w:highlight w:val="none"/>
        </w:rPr>
      </w:pPr>
    </w:p>
    <w:p w14:paraId="7703A998">
      <w:pPr>
        <w:ind w:firstLine="371" w:firstLineChars="177"/>
        <w:rPr>
          <w:rFonts w:ascii="宋体" w:hAnsi="宋体" w:cs="宋体"/>
          <w:color w:val="auto"/>
          <w:szCs w:val="21"/>
          <w:highlight w:val="none"/>
          <w:u w:val="single"/>
        </w:rPr>
      </w:pPr>
      <w:r>
        <w:rPr>
          <w:rFonts w:hint="eastAsia" w:ascii="宋体" w:hAnsi="宋体" w:cs="宋体"/>
          <w:color w:val="auto"/>
          <w:szCs w:val="21"/>
          <w:highlight w:val="none"/>
        </w:rPr>
        <w:t>磋商供应商名称（盖章）：</w:t>
      </w:r>
      <w:r>
        <w:rPr>
          <w:rFonts w:hint="eastAsia" w:ascii="宋体" w:hAnsi="宋体" w:cs="宋体"/>
          <w:color w:val="auto"/>
          <w:szCs w:val="21"/>
          <w:highlight w:val="none"/>
          <w:u w:val="single"/>
        </w:rPr>
        <w:t xml:space="preserve">                                        </w:t>
      </w:r>
    </w:p>
    <w:p w14:paraId="15B450A4">
      <w:pPr>
        <w:ind w:left="420"/>
        <w:rPr>
          <w:rFonts w:ascii="宋体" w:hAnsi="宋体" w:cs="宋体"/>
          <w:color w:val="auto"/>
          <w:szCs w:val="21"/>
          <w:highlight w:val="none"/>
        </w:rPr>
      </w:pPr>
    </w:p>
    <w:p w14:paraId="24AF15BE">
      <w:pPr>
        <w:ind w:firstLine="371" w:firstLineChars="177"/>
        <w:rPr>
          <w:rFonts w:ascii="宋体" w:hAnsi="宋体" w:cs="宋体"/>
          <w:color w:val="auto"/>
          <w:szCs w:val="21"/>
          <w:highlight w:val="none"/>
        </w:rPr>
      </w:pPr>
      <w:r>
        <w:rPr>
          <w:rFonts w:hint="eastAsia" w:ascii="宋体" w:hAnsi="宋体" w:cs="宋体"/>
          <w:color w:val="auto"/>
          <w:szCs w:val="21"/>
          <w:highlight w:val="none"/>
        </w:rPr>
        <w:t>法定代表人或授权委托代理人签字或盖章：</w:t>
      </w:r>
      <w:r>
        <w:rPr>
          <w:rFonts w:hint="eastAsia" w:ascii="宋体" w:hAnsi="宋体" w:cs="宋体"/>
          <w:color w:val="auto"/>
          <w:szCs w:val="21"/>
          <w:highlight w:val="none"/>
          <w:u w:val="single"/>
        </w:rPr>
        <w:t xml:space="preserve">                          </w:t>
      </w:r>
    </w:p>
    <w:p w14:paraId="41C21BA3">
      <w:pPr>
        <w:ind w:firstLine="435"/>
        <w:rPr>
          <w:rFonts w:ascii="宋体" w:hAnsi="宋体" w:cs="宋体"/>
          <w:color w:val="auto"/>
          <w:szCs w:val="21"/>
          <w:highlight w:val="none"/>
        </w:rPr>
      </w:pPr>
    </w:p>
    <w:p w14:paraId="4D683274">
      <w:pPr>
        <w:ind w:firstLine="371" w:firstLineChars="177"/>
        <w:rPr>
          <w:rFonts w:ascii="宋体" w:hAnsi="宋体" w:cs="宋体"/>
          <w:color w:val="auto"/>
          <w:szCs w:val="21"/>
          <w:highlight w:val="none"/>
          <w:u w:val="single"/>
        </w:rPr>
      </w:pPr>
      <w:r>
        <w:rPr>
          <w:rFonts w:hint="eastAsia" w:ascii="宋体" w:hAnsi="宋体" w:cs="宋体"/>
          <w:color w:val="auto"/>
          <w:szCs w:val="21"/>
          <w:highlight w:val="none"/>
        </w:rPr>
        <w:t>职        务：</w:t>
      </w:r>
      <w:r>
        <w:rPr>
          <w:rFonts w:hint="eastAsia" w:ascii="宋体" w:hAnsi="宋体" w:cs="宋体"/>
          <w:color w:val="auto"/>
          <w:szCs w:val="21"/>
          <w:highlight w:val="none"/>
          <w:u w:val="single"/>
        </w:rPr>
        <w:t xml:space="preserve">                             </w:t>
      </w:r>
    </w:p>
    <w:p w14:paraId="05105566">
      <w:pPr>
        <w:rPr>
          <w:rFonts w:ascii="宋体" w:hAnsi="宋体" w:cs="宋体"/>
          <w:color w:val="auto"/>
          <w:szCs w:val="21"/>
          <w:highlight w:val="none"/>
        </w:rPr>
      </w:pPr>
    </w:p>
    <w:p w14:paraId="32D553BB">
      <w:pPr>
        <w:pStyle w:val="42"/>
        <w:shd w:val="clear" w:color="auto" w:fill="FFFFFF"/>
        <w:spacing w:before="0" w:beforeAutospacing="0" w:after="0" w:afterAutospacing="0"/>
        <w:ind w:firstLine="371" w:firstLineChars="177"/>
        <w:rPr>
          <w:b/>
          <w:color w:val="auto"/>
          <w:sz w:val="28"/>
          <w:highlight w:val="none"/>
        </w:rPr>
      </w:pPr>
      <w:r>
        <w:rPr>
          <w:rFonts w:hint="eastAsia"/>
          <w:color w:val="auto"/>
          <w:sz w:val="21"/>
          <w:szCs w:val="21"/>
          <w:highlight w:val="none"/>
        </w:rPr>
        <w:t>日        期：</w:t>
      </w:r>
      <w:r>
        <w:rPr>
          <w:rFonts w:hint="eastAsia"/>
          <w:color w:val="auto"/>
          <w:sz w:val="21"/>
          <w:szCs w:val="21"/>
          <w:highlight w:val="none"/>
          <w:u w:val="single"/>
        </w:rPr>
        <w:t xml:space="preserve">                            </w:t>
      </w:r>
    </w:p>
    <w:p w14:paraId="11CBEC4D">
      <w:pPr>
        <w:pStyle w:val="42"/>
        <w:shd w:val="clear" w:color="auto" w:fill="FFFFFF"/>
        <w:spacing w:before="0" w:beforeAutospacing="0" w:after="0" w:afterAutospacing="0" w:line="360" w:lineRule="auto"/>
        <w:rPr>
          <w:b/>
          <w:color w:val="auto"/>
          <w:sz w:val="28"/>
          <w:highlight w:val="none"/>
        </w:rPr>
        <w:sectPr>
          <w:pgSz w:w="11906" w:h="16838"/>
          <w:pgMar w:top="1440" w:right="1800" w:bottom="1440" w:left="1800" w:header="851" w:footer="992" w:gutter="0"/>
          <w:cols w:space="425" w:num="1"/>
          <w:docGrid w:type="lines" w:linePitch="312" w:charSpace="0"/>
        </w:sectPr>
      </w:pPr>
    </w:p>
    <w:p w14:paraId="1DD72CBF">
      <w:pPr>
        <w:pStyle w:val="42"/>
        <w:shd w:val="clear" w:color="auto" w:fill="FFFFFF"/>
        <w:spacing w:before="0" w:beforeAutospacing="0" w:after="0" w:afterAutospacing="0" w:line="360" w:lineRule="auto"/>
        <w:rPr>
          <w:color w:val="auto"/>
          <w:highlight w:val="none"/>
        </w:rPr>
      </w:pPr>
      <w:r>
        <w:rPr>
          <w:rFonts w:hint="eastAsia"/>
          <w:b/>
          <w:color w:val="auto"/>
          <w:sz w:val="28"/>
          <w:highlight w:val="none"/>
        </w:rPr>
        <w:t>附件7</w:t>
      </w:r>
    </w:p>
    <w:p w14:paraId="025FB095">
      <w:pPr>
        <w:snapToGrid w:val="0"/>
        <w:spacing w:beforeLines="50" w:after="50" w:line="360" w:lineRule="auto"/>
        <w:jc w:val="center"/>
        <w:rPr>
          <w:rFonts w:ascii="宋体" w:hAnsi="宋体" w:cs="宋体"/>
          <w:b/>
          <w:color w:val="auto"/>
          <w:sz w:val="36"/>
          <w:szCs w:val="36"/>
          <w:highlight w:val="none"/>
        </w:rPr>
      </w:pPr>
      <w:r>
        <w:rPr>
          <w:rFonts w:hint="eastAsia" w:ascii="宋体" w:hAnsi="宋体" w:cs="宋体"/>
          <w:b/>
          <w:color w:val="auto"/>
          <w:sz w:val="32"/>
          <w:szCs w:val="32"/>
          <w:highlight w:val="none"/>
        </w:rPr>
        <w:t>项目实施人员一览表</w:t>
      </w:r>
    </w:p>
    <w:p w14:paraId="1B8164AC">
      <w:pPr>
        <w:snapToGrid w:val="0"/>
        <w:spacing w:beforeLines="50" w:after="50" w:line="360" w:lineRule="auto"/>
        <w:ind w:firstLine="2400" w:firstLineChars="1000"/>
        <w:rPr>
          <w:rFonts w:ascii="宋体" w:hAnsi="宋体" w:cs="宋体"/>
          <w:color w:val="auto"/>
          <w:sz w:val="24"/>
          <w:highlight w:val="none"/>
        </w:rPr>
      </w:pPr>
      <w:r>
        <w:rPr>
          <w:rFonts w:hint="eastAsia" w:ascii="宋体" w:hAnsi="宋体" w:cs="宋体"/>
          <w:color w:val="auto"/>
          <w:sz w:val="24"/>
          <w:highlight w:val="none"/>
        </w:rPr>
        <w:t>（主要从业人员及其技术资格）</w:t>
      </w:r>
    </w:p>
    <w:tbl>
      <w:tblPr>
        <w:tblStyle w:val="22"/>
        <w:tblW w:w="9175" w:type="dxa"/>
        <w:tblInd w:w="-42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38"/>
        <w:gridCol w:w="880"/>
        <w:gridCol w:w="921"/>
        <w:gridCol w:w="857"/>
        <w:gridCol w:w="1586"/>
        <w:gridCol w:w="1221"/>
        <w:gridCol w:w="1436"/>
        <w:gridCol w:w="1536"/>
      </w:tblGrid>
      <w:tr w14:paraId="5630CF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38" w:type="dxa"/>
            <w:tcBorders>
              <w:top w:val="single" w:color="auto" w:sz="4" w:space="0"/>
              <w:bottom w:val="single" w:color="auto" w:sz="4" w:space="0"/>
              <w:right w:val="single" w:color="auto" w:sz="4" w:space="0"/>
            </w:tcBorders>
            <w:vAlign w:val="center"/>
          </w:tcPr>
          <w:p w14:paraId="718EC8CB">
            <w:pPr>
              <w:snapToGrid w:val="0"/>
              <w:spacing w:beforeLines="50" w:after="50" w:line="360" w:lineRule="auto"/>
              <w:jc w:val="center"/>
              <w:rPr>
                <w:rFonts w:ascii="宋体" w:hAnsi="宋体" w:cs="宋体"/>
                <w:b/>
                <w:color w:val="auto"/>
                <w:szCs w:val="21"/>
                <w:highlight w:val="none"/>
              </w:rPr>
            </w:pPr>
            <w:r>
              <w:rPr>
                <w:rFonts w:hint="eastAsia" w:ascii="宋体" w:hAnsi="宋体" w:cs="宋体"/>
                <w:b/>
                <w:color w:val="auto"/>
                <w:szCs w:val="21"/>
                <w:highlight w:val="none"/>
              </w:rPr>
              <w:t>序号</w:t>
            </w:r>
          </w:p>
        </w:tc>
        <w:tc>
          <w:tcPr>
            <w:tcW w:w="880" w:type="dxa"/>
            <w:tcBorders>
              <w:top w:val="single" w:color="auto" w:sz="4" w:space="0"/>
              <w:left w:val="single" w:color="auto" w:sz="4" w:space="0"/>
              <w:bottom w:val="single" w:color="auto" w:sz="4" w:space="0"/>
              <w:right w:val="single" w:color="auto" w:sz="4" w:space="0"/>
            </w:tcBorders>
            <w:vAlign w:val="center"/>
          </w:tcPr>
          <w:p w14:paraId="2D9A0C62">
            <w:pPr>
              <w:snapToGrid w:val="0"/>
              <w:spacing w:beforeLines="50" w:after="50" w:line="360" w:lineRule="auto"/>
              <w:jc w:val="center"/>
              <w:rPr>
                <w:rFonts w:ascii="宋体" w:hAnsi="宋体" w:cs="宋体"/>
                <w:b/>
                <w:color w:val="auto"/>
                <w:szCs w:val="21"/>
                <w:highlight w:val="none"/>
              </w:rPr>
            </w:pPr>
            <w:r>
              <w:rPr>
                <w:rFonts w:hint="eastAsia" w:ascii="宋体" w:hAnsi="宋体" w:cs="宋体"/>
                <w:b/>
                <w:color w:val="auto"/>
                <w:szCs w:val="21"/>
                <w:highlight w:val="none"/>
              </w:rPr>
              <w:t>姓名</w:t>
            </w:r>
          </w:p>
        </w:tc>
        <w:tc>
          <w:tcPr>
            <w:tcW w:w="921" w:type="dxa"/>
            <w:tcBorders>
              <w:top w:val="single" w:color="auto" w:sz="4" w:space="0"/>
              <w:left w:val="single" w:color="auto" w:sz="4" w:space="0"/>
              <w:bottom w:val="single" w:color="auto" w:sz="4" w:space="0"/>
              <w:right w:val="single" w:color="auto" w:sz="4" w:space="0"/>
            </w:tcBorders>
            <w:vAlign w:val="center"/>
          </w:tcPr>
          <w:p w14:paraId="1DBF1B00">
            <w:pPr>
              <w:snapToGrid w:val="0"/>
              <w:spacing w:beforeLines="50" w:after="50" w:line="360" w:lineRule="auto"/>
              <w:jc w:val="center"/>
              <w:rPr>
                <w:rFonts w:ascii="宋体" w:hAnsi="宋体" w:cs="宋体"/>
                <w:b/>
                <w:color w:val="auto"/>
                <w:szCs w:val="21"/>
                <w:highlight w:val="none"/>
              </w:rPr>
            </w:pPr>
            <w:r>
              <w:rPr>
                <w:rFonts w:hint="eastAsia" w:ascii="宋体" w:hAnsi="宋体" w:cs="宋体"/>
                <w:b/>
                <w:color w:val="auto"/>
                <w:szCs w:val="21"/>
                <w:highlight w:val="none"/>
              </w:rPr>
              <w:t>职务</w:t>
            </w:r>
          </w:p>
        </w:tc>
        <w:tc>
          <w:tcPr>
            <w:tcW w:w="857" w:type="dxa"/>
            <w:tcBorders>
              <w:top w:val="single" w:color="auto" w:sz="4" w:space="0"/>
              <w:left w:val="single" w:color="auto" w:sz="4" w:space="0"/>
              <w:bottom w:val="single" w:color="auto" w:sz="4" w:space="0"/>
              <w:right w:val="single" w:color="auto" w:sz="4" w:space="0"/>
            </w:tcBorders>
            <w:vAlign w:val="center"/>
          </w:tcPr>
          <w:p w14:paraId="00672361">
            <w:pPr>
              <w:snapToGrid w:val="0"/>
              <w:spacing w:beforeLines="50" w:after="50" w:line="360" w:lineRule="auto"/>
              <w:jc w:val="center"/>
              <w:rPr>
                <w:rFonts w:ascii="宋体" w:hAnsi="宋体" w:cs="宋体"/>
                <w:b/>
                <w:color w:val="auto"/>
                <w:szCs w:val="21"/>
                <w:highlight w:val="none"/>
              </w:rPr>
            </w:pPr>
            <w:r>
              <w:rPr>
                <w:rFonts w:hint="eastAsia" w:ascii="宋体" w:hAnsi="宋体" w:cs="宋体"/>
                <w:b/>
                <w:color w:val="auto"/>
                <w:szCs w:val="21"/>
                <w:highlight w:val="none"/>
              </w:rPr>
              <w:t>职责</w:t>
            </w:r>
          </w:p>
        </w:tc>
        <w:tc>
          <w:tcPr>
            <w:tcW w:w="1586" w:type="dxa"/>
            <w:tcBorders>
              <w:top w:val="single" w:color="auto" w:sz="4" w:space="0"/>
              <w:left w:val="single" w:color="auto" w:sz="4" w:space="0"/>
              <w:bottom w:val="single" w:color="auto" w:sz="4" w:space="0"/>
              <w:right w:val="single" w:color="auto" w:sz="4" w:space="0"/>
            </w:tcBorders>
            <w:vAlign w:val="center"/>
          </w:tcPr>
          <w:p w14:paraId="5F78C694">
            <w:pPr>
              <w:snapToGrid w:val="0"/>
              <w:spacing w:beforeLines="50" w:after="50" w:line="360" w:lineRule="auto"/>
              <w:jc w:val="center"/>
              <w:rPr>
                <w:rFonts w:ascii="宋体" w:hAnsi="宋体" w:cs="宋体"/>
                <w:b/>
                <w:color w:val="auto"/>
                <w:szCs w:val="21"/>
                <w:highlight w:val="none"/>
              </w:rPr>
            </w:pPr>
            <w:r>
              <w:rPr>
                <w:rFonts w:hint="eastAsia" w:ascii="宋体" w:hAnsi="宋体" w:cs="宋体"/>
                <w:b/>
                <w:color w:val="auto"/>
                <w:szCs w:val="21"/>
                <w:highlight w:val="none"/>
              </w:rPr>
              <w:t>专业技术资格</w:t>
            </w:r>
          </w:p>
        </w:tc>
        <w:tc>
          <w:tcPr>
            <w:tcW w:w="1221" w:type="dxa"/>
            <w:tcBorders>
              <w:top w:val="single" w:color="auto" w:sz="4" w:space="0"/>
              <w:left w:val="single" w:color="auto" w:sz="4" w:space="0"/>
              <w:bottom w:val="single" w:color="auto" w:sz="4" w:space="0"/>
              <w:right w:val="single" w:color="auto" w:sz="4" w:space="0"/>
            </w:tcBorders>
            <w:vAlign w:val="center"/>
          </w:tcPr>
          <w:p w14:paraId="1B10ADF5">
            <w:pPr>
              <w:snapToGrid w:val="0"/>
              <w:spacing w:beforeLines="50" w:after="50" w:line="360" w:lineRule="auto"/>
              <w:jc w:val="center"/>
              <w:rPr>
                <w:rFonts w:ascii="宋体" w:hAnsi="宋体" w:cs="宋体"/>
                <w:b/>
                <w:color w:val="auto"/>
                <w:szCs w:val="21"/>
                <w:highlight w:val="none"/>
              </w:rPr>
            </w:pPr>
            <w:r>
              <w:rPr>
                <w:rFonts w:hint="eastAsia" w:ascii="宋体" w:hAnsi="宋体" w:cs="宋体"/>
                <w:b/>
                <w:color w:val="auto"/>
                <w:szCs w:val="21"/>
                <w:highlight w:val="none"/>
              </w:rPr>
              <w:t>证书编号</w:t>
            </w:r>
          </w:p>
        </w:tc>
        <w:tc>
          <w:tcPr>
            <w:tcW w:w="1436" w:type="dxa"/>
            <w:tcBorders>
              <w:top w:val="single" w:color="auto" w:sz="4" w:space="0"/>
              <w:left w:val="single" w:color="auto" w:sz="4" w:space="0"/>
              <w:bottom w:val="single" w:color="auto" w:sz="4" w:space="0"/>
              <w:right w:val="single" w:color="auto" w:sz="4" w:space="0"/>
            </w:tcBorders>
            <w:vAlign w:val="center"/>
          </w:tcPr>
          <w:p w14:paraId="31A26C6E">
            <w:pPr>
              <w:snapToGrid w:val="0"/>
              <w:spacing w:beforeLines="50" w:after="50"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参加本单位工作时间</w:t>
            </w:r>
          </w:p>
        </w:tc>
        <w:tc>
          <w:tcPr>
            <w:tcW w:w="1536" w:type="dxa"/>
            <w:tcBorders>
              <w:top w:val="single" w:color="auto" w:sz="4" w:space="0"/>
              <w:left w:val="single" w:color="auto" w:sz="4" w:space="0"/>
              <w:bottom w:val="single" w:color="auto" w:sz="4" w:space="0"/>
            </w:tcBorders>
            <w:vAlign w:val="center"/>
          </w:tcPr>
          <w:p w14:paraId="5F7DEBEC">
            <w:pPr>
              <w:snapToGrid w:val="0"/>
              <w:spacing w:beforeLines="50" w:after="50" w:line="360" w:lineRule="auto"/>
              <w:jc w:val="center"/>
              <w:rPr>
                <w:rFonts w:ascii="宋体" w:hAnsi="宋体" w:cs="宋体"/>
                <w:b/>
                <w:bCs/>
                <w:color w:val="auto"/>
                <w:szCs w:val="21"/>
                <w:highlight w:val="none"/>
              </w:rPr>
            </w:pPr>
            <w:r>
              <w:rPr>
                <w:rFonts w:hint="eastAsia" w:ascii="宋体" w:hAnsi="宋体" w:cs="宋体"/>
                <w:b/>
                <w:color w:val="auto"/>
                <w:szCs w:val="21"/>
                <w:highlight w:val="none"/>
              </w:rPr>
              <w:t>劳动合同编号</w:t>
            </w:r>
          </w:p>
        </w:tc>
      </w:tr>
      <w:tr w14:paraId="09C79A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38" w:type="dxa"/>
            <w:tcBorders>
              <w:top w:val="single" w:color="auto" w:sz="4" w:space="0"/>
              <w:bottom w:val="single" w:color="auto" w:sz="4" w:space="0"/>
              <w:right w:val="single" w:color="auto" w:sz="4" w:space="0"/>
            </w:tcBorders>
          </w:tcPr>
          <w:p w14:paraId="53C72A9A">
            <w:pPr>
              <w:snapToGrid w:val="0"/>
              <w:spacing w:beforeLines="50" w:after="50" w:line="360" w:lineRule="auto"/>
              <w:rPr>
                <w:rFonts w:ascii="宋体" w:hAnsi="宋体" w:cs="宋体"/>
                <w:color w:val="auto"/>
                <w:szCs w:val="21"/>
                <w:highlight w:val="none"/>
              </w:rPr>
            </w:pPr>
          </w:p>
        </w:tc>
        <w:tc>
          <w:tcPr>
            <w:tcW w:w="880" w:type="dxa"/>
            <w:tcBorders>
              <w:top w:val="single" w:color="auto" w:sz="4" w:space="0"/>
              <w:left w:val="single" w:color="auto" w:sz="4" w:space="0"/>
              <w:bottom w:val="single" w:color="auto" w:sz="4" w:space="0"/>
              <w:right w:val="single" w:color="auto" w:sz="4" w:space="0"/>
            </w:tcBorders>
          </w:tcPr>
          <w:p w14:paraId="1FCF5B5D">
            <w:pPr>
              <w:snapToGrid w:val="0"/>
              <w:spacing w:beforeLines="50" w:after="50" w:line="360" w:lineRule="auto"/>
              <w:rPr>
                <w:rFonts w:ascii="宋体" w:hAnsi="宋体" w:cs="宋体"/>
                <w:b/>
                <w:color w:val="auto"/>
                <w:kern w:val="44"/>
                <w:szCs w:val="21"/>
                <w:highlight w:val="none"/>
              </w:rPr>
            </w:pPr>
          </w:p>
        </w:tc>
        <w:tc>
          <w:tcPr>
            <w:tcW w:w="921" w:type="dxa"/>
            <w:tcBorders>
              <w:top w:val="single" w:color="auto" w:sz="4" w:space="0"/>
              <w:left w:val="single" w:color="auto" w:sz="4" w:space="0"/>
              <w:bottom w:val="single" w:color="auto" w:sz="4" w:space="0"/>
              <w:right w:val="single" w:color="auto" w:sz="4" w:space="0"/>
            </w:tcBorders>
          </w:tcPr>
          <w:p w14:paraId="29C68FB9">
            <w:pPr>
              <w:snapToGrid w:val="0"/>
              <w:spacing w:beforeLines="50" w:after="50" w:line="360" w:lineRule="auto"/>
              <w:rPr>
                <w:rFonts w:ascii="宋体" w:hAnsi="宋体" w:cs="宋体"/>
                <w:b/>
                <w:color w:val="auto"/>
                <w:kern w:val="44"/>
                <w:szCs w:val="21"/>
                <w:highlight w:val="none"/>
              </w:rPr>
            </w:pPr>
          </w:p>
        </w:tc>
        <w:tc>
          <w:tcPr>
            <w:tcW w:w="857" w:type="dxa"/>
            <w:tcBorders>
              <w:top w:val="single" w:color="auto" w:sz="4" w:space="0"/>
              <w:left w:val="single" w:color="auto" w:sz="4" w:space="0"/>
              <w:bottom w:val="single" w:color="auto" w:sz="4" w:space="0"/>
              <w:right w:val="single" w:color="auto" w:sz="4" w:space="0"/>
            </w:tcBorders>
          </w:tcPr>
          <w:p w14:paraId="6C8EEDC1">
            <w:pPr>
              <w:snapToGrid w:val="0"/>
              <w:spacing w:beforeLines="50" w:after="50" w:line="360" w:lineRule="auto"/>
              <w:rPr>
                <w:rFonts w:ascii="宋体" w:hAnsi="宋体" w:cs="宋体"/>
                <w:b/>
                <w:color w:val="auto"/>
                <w:kern w:val="44"/>
                <w:szCs w:val="21"/>
                <w:highlight w:val="none"/>
              </w:rPr>
            </w:pPr>
          </w:p>
        </w:tc>
        <w:tc>
          <w:tcPr>
            <w:tcW w:w="1586" w:type="dxa"/>
            <w:tcBorders>
              <w:top w:val="single" w:color="auto" w:sz="4" w:space="0"/>
              <w:left w:val="single" w:color="auto" w:sz="4" w:space="0"/>
              <w:bottom w:val="single" w:color="auto" w:sz="4" w:space="0"/>
              <w:right w:val="single" w:color="auto" w:sz="4" w:space="0"/>
            </w:tcBorders>
          </w:tcPr>
          <w:p w14:paraId="5150C3CA">
            <w:pPr>
              <w:snapToGrid w:val="0"/>
              <w:spacing w:beforeLines="50" w:after="50" w:line="360" w:lineRule="auto"/>
              <w:rPr>
                <w:rFonts w:ascii="宋体" w:hAnsi="宋体" w:cs="宋体"/>
                <w:b/>
                <w:color w:val="auto"/>
                <w:kern w:val="44"/>
                <w:szCs w:val="21"/>
                <w:highlight w:val="none"/>
              </w:rPr>
            </w:pPr>
          </w:p>
        </w:tc>
        <w:tc>
          <w:tcPr>
            <w:tcW w:w="1221" w:type="dxa"/>
            <w:tcBorders>
              <w:top w:val="single" w:color="auto" w:sz="4" w:space="0"/>
              <w:left w:val="single" w:color="auto" w:sz="4" w:space="0"/>
              <w:bottom w:val="single" w:color="auto" w:sz="4" w:space="0"/>
              <w:right w:val="single" w:color="auto" w:sz="4" w:space="0"/>
            </w:tcBorders>
          </w:tcPr>
          <w:p w14:paraId="1FDA0C1C">
            <w:pPr>
              <w:snapToGrid w:val="0"/>
              <w:spacing w:beforeLines="50" w:after="50" w:line="360" w:lineRule="auto"/>
              <w:rPr>
                <w:rFonts w:ascii="宋体" w:hAnsi="宋体" w:cs="宋体"/>
                <w:b/>
                <w:color w:val="auto"/>
                <w:kern w:val="44"/>
                <w:szCs w:val="21"/>
                <w:highlight w:val="none"/>
              </w:rPr>
            </w:pPr>
          </w:p>
        </w:tc>
        <w:tc>
          <w:tcPr>
            <w:tcW w:w="1436" w:type="dxa"/>
            <w:tcBorders>
              <w:top w:val="single" w:color="auto" w:sz="4" w:space="0"/>
              <w:left w:val="single" w:color="auto" w:sz="4" w:space="0"/>
              <w:bottom w:val="single" w:color="auto" w:sz="4" w:space="0"/>
              <w:right w:val="single" w:color="auto" w:sz="4" w:space="0"/>
            </w:tcBorders>
          </w:tcPr>
          <w:p w14:paraId="3FBF811C">
            <w:pPr>
              <w:snapToGrid w:val="0"/>
              <w:spacing w:beforeLines="50" w:after="50" w:line="360" w:lineRule="auto"/>
              <w:rPr>
                <w:rFonts w:ascii="宋体" w:hAnsi="宋体" w:cs="宋体"/>
                <w:b/>
                <w:color w:val="auto"/>
                <w:kern w:val="44"/>
                <w:szCs w:val="21"/>
                <w:highlight w:val="none"/>
              </w:rPr>
            </w:pPr>
          </w:p>
        </w:tc>
        <w:tc>
          <w:tcPr>
            <w:tcW w:w="1536" w:type="dxa"/>
            <w:tcBorders>
              <w:top w:val="single" w:color="auto" w:sz="4" w:space="0"/>
              <w:left w:val="single" w:color="auto" w:sz="4" w:space="0"/>
              <w:bottom w:val="single" w:color="auto" w:sz="4" w:space="0"/>
            </w:tcBorders>
          </w:tcPr>
          <w:p w14:paraId="1C677F17">
            <w:pPr>
              <w:snapToGrid w:val="0"/>
              <w:spacing w:beforeLines="50" w:after="50" w:line="360" w:lineRule="auto"/>
              <w:rPr>
                <w:rFonts w:ascii="宋体" w:hAnsi="宋体" w:cs="宋体"/>
                <w:b/>
                <w:color w:val="auto"/>
                <w:kern w:val="44"/>
                <w:szCs w:val="21"/>
                <w:highlight w:val="none"/>
              </w:rPr>
            </w:pPr>
          </w:p>
        </w:tc>
      </w:tr>
      <w:tr w14:paraId="2AE79E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38" w:type="dxa"/>
            <w:tcBorders>
              <w:top w:val="single" w:color="auto" w:sz="4" w:space="0"/>
              <w:bottom w:val="single" w:color="auto" w:sz="4" w:space="0"/>
              <w:right w:val="single" w:color="auto" w:sz="4" w:space="0"/>
            </w:tcBorders>
          </w:tcPr>
          <w:p w14:paraId="68CF5C7B">
            <w:pPr>
              <w:snapToGrid w:val="0"/>
              <w:spacing w:beforeLines="50" w:after="50" w:line="360" w:lineRule="auto"/>
              <w:rPr>
                <w:rFonts w:ascii="宋体" w:hAnsi="宋体" w:cs="宋体"/>
                <w:color w:val="auto"/>
                <w:szCs w:val="21"/>
                <w:highlight w:val="none"/>
              </w:rPr>
            </w:pPr>
          </w:p>
        </w:tc>
        <w:tc>
          <w:tcPr>
            <w:tcW w:w="880" w:type="dxa"/>
            <w:tcBorders>
              <w:top w:val="single" w:color="auto" w:sz="4" w:space="0"/>
              <w:left w:val="single" w:color="auto" w:sz="4" w:space="0"/>
              <w:bottom w:val="single" w:color="auto" w:sz="4" w:space="0"/>
              <w:right w:val="single" w:color="auto" w:sz="4" w:space="0"/>
            </w:tcBorders>
          </w:tcPr>
          <w:p w14:paraId="06A5609E">
            <w:pPr>
              <w:snapToGrid w:val="0"/>
              <w:spacing w:beforeLines="50" w:after="50" w:line="360" w:lineRule="auto"/>
              <w:rPr>
                <w:rFonts w:ascii="宋体" w:hAnsi="宋体" w:cs="宋体"/>
                <w:b/>
                <w:color w:val="auto"/>
                <w:kern w:val="44"/>
                <w:szCs w:val="21"/>
                <w:highlight w:val="none"/>
              </w:rPr>
            </w:pPr>
          </w:p>
        </w:tc>
        <w:tc>
          <w:tcPr>
            <w:tcW w:w="921" w:type="dxa"/>
            <w:tcBorders>
              <w:top w:val="single" w:color="auto" w:sz="4" w:space="0"/>
              <w:left w:val="single" w:color="auto" w:sz="4" w:space="0"/>
              <w:bottom w:val="single" w:color="auto" w:sz="4" w:space="0"/>
              <w:right w:val="single" w:color="auto" w:sz="4" w:space="0"/>
            </w:tcBorders>
          </w:tcPr>
          <w:p w14:paraId="07FF22C7">
            <w:pPr>
              <w:snapToGrid w:val="0"/>
              <w:spacing w:beforeLines="50" w:after="50" w:line="360" w:lineRule="auto"/>
              <w:rPr>
                <w:rFonts w:ascii="宋体" w:hAnsi="宋体" w:cs="宋体"/>
                <w:b/>
                <w:color w:val="auto"/>
                <w:kern w:val="44"/>
                <w:szCs w:val="21"/>
                <w:highlight w:val="none"/>
              </w:rPr>
            </w:pPr>
          </w:p>
        </w:tc>
        <w:tc>
          <w:tcPr>
            <w:tcW w:w="857" w:type="dxa"/>
            <w:tcBorders>
              <w:top w:val="single" w:color="auto" w:sz="4" w:space="0"/>
              <w:left w:val="single" w:color="auto" w:sz="4" w:space="0"/>
              <w:bottom w:val="single" w:color="auto" w:sz="4" w:space="0"/>
              <w:right w:val="single" w:color="auto" w:sz="4" w:space="0"/>
            </w:tcBorders>
          </w:tcPr>
          <w:p w14:paraId="6787592D">
            <w:pPr>
              <w:snapToGrid w:val="0"/>
              <w:spacing w:beforeLines="50" w:after="50" w:line="360" w:lineRule="auto"/>
              <w:rPr>
                <w:rFonts w:ascii="宋体" w:hAnsi="宋体" w:cs="宋体"/>
                <w:b/>
                <w:color w:val="auto"/>
                <w:kern w:val="44"/>
                <w:szCs w:val="21"/>
                <w:highlight w:val="none"/>
              </w:rPr>
            </w:pPr>
          </w:p>
        </w:tc>
        <w:tc>
          <w:tcPr>
            <w:tcW w:w="1586" w:type="dxa"/>
            <w:tcBorders>
              <w:top w:val="single" w:color="auto" w:sz="4" w:space="0"/>
              <w:left w:val="single" w:color="auto" w:sz="4" w:space="0"/>
              <w:bottom w:val="single" w:color="auto" w:sz="4" w:space="0"/>
              <w:right w:val="single" w:color="auto" w:sz="4" w:space="0"/>
            </w:tcBorders>
          </w:tcPr>
          <w:p w14:paraId="13B780F3">
            <w:pPr>
              <w:snapToGrid w:val="0"/>
              <w:spacing w:beforeLines="50" w:after="50" w:line="360" w:lineRule="auto"/>
              <w:rPr>
                <w:rFonts w:ascii="宋体" w:hAnsi="宋体" w:cs="宋体"/>
                <w:b/>
                <w:color w:val="auto"/>
                <w:kern w:val="44"/>
                <w:szCs w:val="21"/>
                <w:highlight w:val="none"/>
              </w:rPr>
            </w:pPr>
          </w:p>
        </w:tc>
        <w:tc>
          <w:tcPr>
            <w:tcW w:w="1221" w:type="dxa"/>
            <w:tcBorders>
              <w:top w:val="single" w:color="auto" w:sz="4" w:space="0"/>
              <w:left w:val="single" w:color="auto" w:sz="4" w:space="0"/>
              <w:bottom w:val="single" w:color="auto" w:sz="4" w:space="0"/>
              <w:right w:val="single" w:color="auto" w:sz="4" w:space="0"/>
            </w:tcBorders>
          </w:tcPr>
          <w:p w14:paraId="412888CE">
            <w:pPr>
              <w:snapToGrid w:val="0"/>
              <w:spacing w:beforeLines="50" w:after="50" w:line="360" w:lineRule="auto"/>
              <w:rPr>
                <w:rFonts w:ascii="宋体" w:hAnsi="宋体" w:cs="宋体"/>
                <w:b/>
                <w:color w:val="auto"/>
                <w:kern w:val="44"/>
                <w:szCs w:val="21"/>
                <w:highlight w:val="none"/>
              </w:rPr>
            </w:pPr>
          </w:p>
        </w:tc>
        <w:tc>
          <w:tcPr>
            <w:tcW w:w="1436" w:type="dxa"/>
            <w:tcBorders>
              <w:top w:val="single" w:color="auto" w:sz="4" w:space="0"/>
              <w:left w:val="single" w:color="auto" w:sz="4" w:space="0"/>
              <w:bottom w:val="single" w:color="auto" w:sz="4" w:space="0"/>
              <w:right w:val="single" w:color="auto" w:sz="4" w:space="0"/>
            </w:tcBorders>
          </w:tcPr>
          <w:p w14:paraId="3ACAC534">
            <w:pPr>
              <w:snapToGrid w:val="0"/>
              <w:spacing w:beforeLines="50" w:after="50" w:line="360" w:lineRule="auto"/>
              <w:rPr>
                <w:rFonts w:ascii="宋体" w:hAnsi="宋体" w:cs="宋体"/>
                <w:b/>
                <w:color w:val="auto"/>
                <w:kern w:val="44"/>
                <w:szCs w:val="21"/>
                <w:highlight w:val="none"/>
              </w:rPr>
            </w:pPr>
          </w:p>
        </w:tc>
        <w:tc>
          <w:tcPr>
            <w:tcW w:w="1536" w:type="dxa"/>
            <w:tcBorders>
              <w:top w:val="single" w:color="auto" w:sz="4" w:space="0"/>
              <w:left w:val="single" w:color="auto" w:sz="4" w:space="0"/>
              <w:bottom w:val="single" w:color="auto" w:sz="4" w:space="0"/>
            </w:tcBorders>
          </w:tcPr>
          <w:p w14:paraId="0CB15E92">
            <w:pPr>
              <w:snapToGrid w:val="0"/>
              <w:spacing w:beforeLines="50" w:after="50" w:line="360" w:lineRule="auto"/>
              <w:rPr>
                <w:rFonts w:ascii="宋体" w:hAnsi="宋体" w:cs="宋体"/>
                <w:b/>
                <w:color w:val="auto"/>
                <w:kern w:val="44"/>
                <w:szCs w:val="21"/>
                <w:highlight w:val="none"/>
              </w:rPr>
            </w:pPr>
          </w:p>
        </w:tc>
      </w:tr>
      <w:tr w14:paraId="1DBAC6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38" w:type="dxa"/>
            <w:tcBorders>
              <w:top w:val="single" w:color="auto" w:sz="4" w:space="0"/>
              <w:bottom w:val="single" w:color="auto" w:sz="4" w:space="0"/>
              <w:right w:val="single" w:color="auto" w:sz="4" w:space="0"/>
            </w:tcBorders>
          </w:tcPr>
          <w:p w14:paraId="7EDD65F0">
            <w:pPr>
              <w:snapToGrid w:val="0"/>
              <w:spacing w:beforeLines="50" w:after="50" w:line="360" w:lineRule="auto"/>
              <w:rPr>
                <w:rFonts w:ascii="宋体" w:hAnsi="宋体" w:cs="宋体"/>
                <w:color w:val="auto"/>
                <w:szCs w:val="21"/>
                <w:highlight w:val="none"/>
              </w:rPr>
            </w:pPr>
          </w:p>
        </w:tc>
        <w:tc>
          <w:tcPr>
            <w:tcW w:w="880" w:type="dxa"/>
            <w:tcBorders>
              <w:top w:val="single" w:color="auto" w:sz="4" w:space="0"/>
              <w:left w:val="single" w:color="auto" w:sz="4" w:space="0"/>
              <w:bottom w:val="single" w:color="auto" w:sz="4" w:space="0"/>
              <w:right w:val="single" w:color="auto" w:sz="4" w:space="0"/>
            </w:tcBorders>
          </w:tcPr>
          <w:p w14:paraId="634872DC">
            <w:pPr>
              <w:snapToGrid w:val="0"/>
              <w:spacing w:beforeLines="50" w:after="50" w:line="360" w:lineRule="auto"/>
              <w:rPr>
                <w:rFonts w:ascii="宋体" w:hAnsi="宋体" w:cs="宋体"/>
                <w:b/>
                <w:color w:val="auto"/>
                <w:kern w:val="44"/>
                <w:szCs w:val="21"/>
                <w:highlight w:val="none"/>
              </w:rPr>
            </w:pPr>
          </w:p>
        </w:tc>
        <w:tc>
          <w:tcPr>
            <w:tcW w:w="921" w:type="dxa"/>
            <w:tcBorders>
              <w:top w:val="single" w:color="auto" w:sz="4" w:space="0"/>
              <w:left w:val="single" w:color="auto" w:sz="4" w:space="0"/>
              <w:bottom w:val="single" w:color="auto" w:sz="4" w:space="0"/>
              <w:right w:val="single" w:color="auto" w:sz="4" w:space="0"/>
            </w:tcBorders>
          </w:tcPr>
          <w:p w14:paraId="24133BA9">
            <w:pPr>
              <w:snapToGrid w:val="0"/>
              <w:spacing w:beforeLines="50" w:after="50" w:line="360" w:lineRule="auto"/>
              <w:rPr>
                <w:rFonts w:ascii="宋体" w:hAnsi="宋体" w:cs="宋体"/>
                <w:b/>
                <w:color w:val="auto"/>
                <w:kern w:val="44"/>
                <w:szCs w:val="21"/>
                <w:highlight w:val="none"/>
              </w:rPr>
            </w:pPr>
          </w:p>
        </w:tc>
        <w:tc>
          <w:tcPr>
            <w:tcW w:w="857" w:type="dxa"/>
            <w:tcBorders>
              <w:top w:val="single" w:color="auto" w:sz="4" w:space="0"/>
              <w:left w:val="single" w:color="auto" w:sz="4" w:space="0"/>
              <w:bottom w:val="single" w:color="auto" w:sz="4" w:space="0"/>
              <w:right w:val="single" w:color="auto" w:sz="4" w:space="0"/>
            </w:tcBorders>
          </w:tcPr>
          <w:p w14:paraId="4EDA932D">
            <w:pPr>
              <w:pStyle w:val="13"/>
              <w:snapToGrid w:val="0"/>
              <w:spacing w:beforeLines="50" w:after="50" w:line="360" w:lineRule="auto"/>
              <w:ind w:left="5250"/>
              <w:rPr>
                <w:rFonts w:ascii="宋体" w:hAnsi="宋体" w:eastAsia="宋体" w:cs="宋体"/>
                <w:b/>
                <w:color w:val="auto"/>
                <w:kern w:val="44"/>
                <w:sz w:val="21"/>
                <w:szCs w:val="21"/>
                <w:highlight w:val="none"/>
              </w:rPr>
            </w:pPr>
          </w:p>
        </w:tc>
        <w:tc>
          <w:tcPr>
            <w:tcW w:w="1586" w:type="dxa"/>
            <w:tcBorders>
              <w:top w:val="single" w:color="auto" w:sz="4" w:space="0"/>
              <w:left w:val="single" w:color="auto" w:sz="4" w:space="0"/>
              <w:bottom w:val="single" w:color="auto" w:sz="4" w:space="0"/>
              <w:right w:val="single" w:color="auto" w:sz="4" w:space="0"/>
            </w:tcBorders>
          </w:tcPr>
          <w:p w14:paraId="7E4BDF37">
            <w:pPr>
              <w:pStyle w:val="13"/>
              <w:snapToGrid w:val="0"/>
              <w:spacing w:beforeLines="50" w:after="50" w:line="360" w:lineRule="auto"/>
              <w:ind w:left="5250"/>
              <w:rPr>
                <w:rFonts w:ascii="宋体" w:hAnsi="宋体" w:eastAsia="宋体" w:cs="宋体"/>
                <w:b/>
                <w:color w:val="auto"/>
                <w:kern w:val="44"/>
                <w:sz w:val="21"/>
                <w:szCs w:val="21"/>
                <w:highlight w:val="none"/>
              </w:rPr>
            </w:pPr>
          </w:p>
        </w:tc>
        <w:tc>
          <w:tcPr>
            <w:tcW w:w="1221" w:type="dxa"/>
            <w:tcBorders>
              <w:top w:val="single" w:color="auto" w:sz="4" w:space="0"/>
              <w:left w:val="single" w:color="auto" w:sz="4" w:space="0"/>
              <w:bottom w:val="single" w:color="auto" w:sz="4" w:space="0"/>
              <w:right w:val="single" w:color="auto" w:sz="4" w:space="0"/>
            </w:tcBorders>
          </w:tcPr>
          <w:p w14:paraId="3B726052">
            <w:pPr>
              <w:pStyle w:val="13"/>
              <w:spacing w:line="360" w:lineRule="auto"/>
              <w:ind w:left="5250"/>
              <w:rPr>
                <w:rFonts w:ascii="宋体" w:hAnsi="宋体" w:eastAsia="宋体" w:cs="宋体"/>
                <w:color w:val="auto"/>
                <w:sz w:val="21"/>
                <w:szCs w:val="21"/>
                <w:highlight w:val="none"/>
              </w:rPr>
            </w:pPr>
          </w:p>
        </w:tc>
        <w:tc>
          <w:tcPr>
            <w:tcW w:w="1436" w:type="dxa"/>
            <w:tcBorders>
              <w:top w:val="single" w:color="auto" w:sz="4" w:space="0"/>
              <w:left w:val="single" w:color="auto" w:sz="4" w:space="0"/>
              <w:bottom w:val="single" w:color="auto" w:sz="4" w:space="0"/>
              <w:right w:val="single" w:color="auto" w:sz="4" w:space="0"/>
            </w:tcBorders>
          </w:tcPr>
          <w:p w14:paraId="50FADB0D">
            <w:pPr>
              <w:snapToGrid w:val="0"/>
              <w:spacing w:beforeLines="50" w:after="50" w:line="360" w:lineRule="auto"/>
              <w:rPr>
                <w:rFonts w:ascii="宋体" w:hAnsi="宋体" w:cs="宋体"/>
                <w:color w:val="auto"/>
                <w:szCs w:val="21"/>
                <w:highlight w:val="none"/>
              </w:rPr>
            </w:pPr>
          </w:p>
        </w:tc>
        <w:tc>
          <w:tcPr>
            <w:tcW w:w="1536" w:type="dxa"/>
            <w:tcBorders>
              <w:top w:val="single" w:color="auto" w:sz="4" w:space="0"/>
              <w:left w:val="single" w:color="auto" w:sz="4" w:space="0"/>
              <w:bottom w:val="single" w:color="auto" w:sz="4" w:space="0"/>
            </w:tcBorders>
          </w:tcPr>
          <w:p w14:paraId="017D7395">
            <w:pPr>
              <w:snapToGrid w:val="0"/>
              <w:spacing w:beforeLines="50" w:after="50" w:line="360" w:lineRule="auto"/>
              <w:rPr>
                <w:rFonts w:ascii="宋体" w:hAnsi="宋体" w:cs="宋体"/>
                <w:b/>
                <w:color w:val="auto"/>
                <w:kern w:val="44"/>
                <w:szCs w:val="21"/>
                <w:highlight w:val="none"/>
              </w:rPr>
            </w:pPr>
          </w:p>
        </w:tc>
      </w:tr>
      <w:tr w14:paraId="2D9DE7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38" w:type="dxa"/>
            <w:tcBorders>
              <w:top w:val="single" w:color="auto" w:sz="4" w:space="0"/>
              <w:bottom w:val="single" w:color="auto" w:sz="4" w:space="0"/>
              <w:right w:val="single" w:color="auto" w:sz="4" w:space="0"/>
            </w:tcBorders>
          </w:tcPr>
          <w:p w14:paraId="3F02943D">
            <w:pPr>
              <w:snapToGrid w:val="0"/>
              <w:spacing w:beforeLines="50" w:after="50" w:line="360" w:lineRule="auto"/>
              <w:rPr>
                <w:rFonts w:ascii="宋体" w:hAnsi="宋体" w:cs="宋体"/>
                <w:color w:val="auto"/>
                <w:szCs w:val="21"/>
                <w:highlight w:val="none"/>
              </w:rPr>
            </w:pPr>
          </w:p>
        </w:tc>
        <w:tc>
          <w:tcPr>
            <w:tcW w:w="880" w:type="dxa"/>
            <w:tcBorders>
              <w:top w:val="single" w:color="auto" w:sz="4" w:space="0"/>
              <w:left w:val="single" w:color="auto" w:sz="4" w:space="0"/>
              <w:bottom w:val="single" w:color="auto" w:sz="4" w:space="0"/>
              <w:right w:val="single" w:color="auto" w:sz="4" w:space="0"/>
            </w:tcBorders>
          </w:tcPr>
          <w:p w14:paraId="0CD79214">
            <w:pPr>
              <w:snapToGrid w:val="0"/>
              <w:spacing w:beforeLines="50" w:after="50" w:line="360" w:lineRule="auto"/>
              <w:rPr>
                <w:rFonts w:ascii="宋体" w:hAnsi="宋体" w:cs="宋体"/>
                <w:b/>
                <w:color w:val="auto"/>
                <w:kern w:val="44"/>
                <w:szCs w:val="21"/>
                <w:highlight w:val="none"/>
              </w:rPr>
            </w:pPr>
          </w:p>
        </w:tc>
        <w:tc>
          <w:tcPr>
            <w:tcW w:w="921" w:type="dxa"/>
            <w:tcBorders>
              <w:top w:val="single" w:color="auto" w:sz="4" w:space="0"/>
              <w:left w:val="single" w:color="auto" w:sz="4" w:space="0"/>
              <w:bottom w:val="single" w:color="auto" w:sz="4" w:space="0"/>
              <w:right w:val="single" w:color="auto" w:sz="4" w:space="0"/>
            </w:tcBorders>
          </w:tcPr>
          <w:p w14:paraId="01D50403">
            <w:pPr>
              <w:snapToGrid w:val="0"/>
              <w:spacing w:beforeLines="50" w:after="50" w:line="360" w:lineRule="auto"/>
              <w:rPr>
                <w:rFonts w:ascii="宋体" w:hAnsi="宋体" w:cs="宋体"/>
                <w:b/>
                <w:color w:val="auto"/>
                <w:kern w:val="44"/>
                <w:szCs w:val="21"/>
                <w:highlight w:val="none"/>
              </w:rPr>
            </w:pPr>
          </w:p>
        </w:tc>
        <w:tc>
          <w:tcPr>
            <w:tcW w:w="857" w:type="dxa"/>
            <w:tcBorders>
              <w:top w:val="single" w:color="auto" w:sz="4" w:space="0"/>
              <w:left w:val="single" w:color="auto" w:sz="4" w:space="0"/>
              <w:bottom w:val="single" w:color="auto" w:sz="4" w:space="0"/>
              <w:right w:val="single" w:color="auto" w:sz="4" w:space="0"/>
            </w:tcBorders>
          </w:tcPr>
          <w:p w14:paraId="250C05F2">
            <w:pPr>
              <w:snapToGrid w:val="0"/>
              <w:spacing w:beforeLines="50" w:after="50" w:line="360" w:lineRule="auto"/>
              <w:rPr>
                <w:rFonts w:ascii="宋体" w:hAnsi="宋体" w:cs="宋体"/>
                <w:b/>
                <w:color w:val="auto"/>
                <w:kern w:val="44"/>
                <w:szCs w:val="21"/>
                <w:highlight w:val="none"/>
              </w:rPr>
            </w:pPr>
          </w:p>
        </w:tc>
        <w:tc>
          <w:tcPr>
            <w:tcW w:w="1586" w:type="dxa"/>
            <w:tcBorders>
              <w:top w:val="single" w:color="auto" w:sz="4" w:space="0"/>
              <w:left w:val="single" w:color="auto" w:sz="4" w:space="0"/>
              <w:bottom w:val="single" w:color="auto" w:sz="4" w:space="0"/>
              <w:right w:val="single" w:color="auto" w:sz="4" w:space="0"/>
            </w:tcBorders>
          </w:tcPr>
          <w:p w14:paraId="1251A9A8">
            <w:pPr>
              <w:snapToGrid w:val="0"/>
              <w:spacing w:beforeLines="50" w:after="50" w:line="360" w:lineRule="auto"/>
              <w:rPr>
                <w:rFonts w:ascii="宋体" w:hAnsi="宋体" w:cs="宋体"/>
                <w:b/>
                <w:color w:val="auto"/>
                <w:kern w:val="44"/>
                <w:szCs w:val="21"/>
                <w:highlight w:val="none"/>
              </w:rPr>
            </w:pPr>
          </w:p>
        </w:tc>
        <w:tc>
          <w:tcPr>
            <w:tcW w:w="1221" w:type="dxa"/>
            <w:tcBorders>
              <w:top w:val="single" w:color="auto" w:sz="4" w:space="0"/>
              <w:left w:val="single" w:color="auto" w:sz="4" w:space="0"/>
              <w:bottom w:val="single" w:color="auto" w:sz="4" w:space="0"/>
              <w:right w:val="single" w:color="auto" w:sz="4" w:space="0"/>
            </w:tcBorders>
          </w:tcPr>
          <w:p w14:paraId="1C0D962B">
            <w:pPr>
              <w:snapToGrid w:val="0"/>
              <w:spacing w:beforeLines="50" w:after="50" w:line="360" w:lineRule="auto"/>
              <w:rPr>
                <w:rFonts w:ascii="宋体" w:hAnsi="宋体" w:cs="宋体"/>
                <w:b/>
                <w:color w:val="auto"/>
                <w:kern w:val="44"/>
                <w:szCs w:val="21"/>
                <w:highlight w:val="none"/>
              </w:rPr>
            </w:pPr>
          </w:p>
        </w:tc>
        <w:tc>
          <w:tcPr>
            <w:tcW w:w="1436" w:type="dxa"/>
            <w:tcBorders>
              <w:top w:val="single" w:color="auto" w:sz="4" w:space="0"/>
              <w:left w:val="single" w:color="auto" w:sz="4" w:space="0"/>
              <w:bottom w:val="single" w:color="auto" w:sz="4" w:space="0"/>
              <w:right w:val="single" w:color="auto" w:sz="4" w:space="0"/>
            </w:tcBorders>
          </w:tcPr>
          <w:p w14:paraId="43891D00">
            <w:pPr>
              <w:snapToGrid w:val="0"/>
              <w:spacing w:beforeLines="50" w:after="50" w:line="360" w:lineRule="auto"/>
              <w:rPr>
                <w:rFonts w:ascii="宋体" w:hAnsi="宋体" w:cs="宋体"/>
                <w:b/>
                <w:color w:val="auto"/>
                <w:kern w:val="44"/>
                <w:szCs w:val="21"/>
                <w:highlight w:val="none"/>
              </w:rPr>
            </w:pPr>
          </w:p>
        </w:tc>
        <w:tc>
          <w:tcPr>
            <w:tcW w:w="1536" w:type="dxa"/>
            <w:tcBorders>
              <w:top w:val="single" w:color="auto" w:sz="4" w:space="0"/>
              <w:left w:val="single" w:color="auto" w:sz="4" w:space="0"/>
              <w:bottom w:val="single" w:color="auto" w:sz="4" w:space="0"/>
            </w:tcBorders>
          </w:tcPr>
          <w:p w14:paraId="497CEF07">
            <w:pPr>
              <w:snapToGrid w:val="0"/>
              <w:spacing w:beforeLines="50" w:after="50" w:line="360" w:lineRule="auto"/>
              <w:rPr>
                <w:rFonts w:ascii="宋体" w:hAnsi="宋体" w:cs="宋体"/>
                <w:b/>
                <w:color w:val="auto"/>
                <w:kern w:val="44"/>
                <w:szCs w:val="21"/>
                <w:highlight w:val="none"/>
              </w:rPr>
            </w:pPr>
          </w:p>
        </w:tc>
      </w:tr>
      <w:tr w14:paraId="06DB69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38" w:type="dxa"/>
            <w:tcBorders>
              <w:top w:val="single" w:color="auto" w:sz="4" w:space="0"/>
              <w:bottom w:val="single" w:color="auto" w:sz="4" w:space="0"/>
              <w:right w:val="single" w:color="auto" w:sz="4" w:space="0"/>
            </w:tcBorders>
          </w:tcPr>
          <w:p w14:paraId="4B444B8B">
            <w:pPr>
              <w:snapToGrid w:val="0"/>
              <w:spacing w:beforeLines="50" w:after="50" w:line="360" w:lineRule="auto"/>
              <w:rPr>
                <w:rFonts w:ascii="宋体" w:hAnsi="宋体" w:cs="宋体"/>
                <w:color w:val="auto"/>
                <w:szCs w:val="21"/>
                <w:highlight w:val="none"/>
              </w:rPr>
            </w:pPr>
          </w:p>
        </w:tc>
        <w:tc>
          <w:tcPr>
            <w:tcW w:w="880" w:type="dxa"/>
            <w:tcBorders>
              <w:top w:val="single" w:color="auto" w:sz="4" w:space="0"/>
              <w:left w:val="single" w:color="auto" w:sz="4" w:space="0"/>
              <w:bottom w:val="single" w:color="auto" w:sz="4" w:space="0"/>
              <w:right w:val="single" w:color="auto" w:sz="4" w:space="0"/>
            </w:tcBorders>
          </w:tcPr>
          <w:p w14:paraId="0D5A3C98">
            <w:pPr>
              <w:snapToGrid w:val="0"/>
              <w:spacing w:beforeLines="50" w:after="50" w:line="360" w:lineRule="auto"/>
              <w:rPr>
                <w:rFonts w:ascii="宋体" w:hAnsi="宋体" w:cs="宋体"/>
                <w:b/>
                <w:color w:val="auto"/>
                <w:kern w:val="44"/>
                <w:szCs w:val="21"/>
                <w:highlight w:val="none"/>
              </w:rPr>
            </w:pPr>
          </w:p>
        </w:tc>
        <w:tc>
          <w:tcPr>
            <w:tcW w:w="921" w:type="dxa"/>
            <w:tcBorders>
              <w:top w:val="single" w:color="auto" w:sz="4" w:space="0"/>
              <w:left w:val="single" w:color="auto" w:sz="4" w:space="0"/>
              <w:bottom w:val="single" w:color="auto" w:sz="4" w:space="0"/>
              <w:right w:val="single" w:color="auto" w:sz="4" w:space="0"/>
            </w:tcBorders>
          </w:tcPr>
          <w:p w14:paraId="31E1D988">
            <w:pPr>
              <w:snapToGrid w:val="0"/>
              <w:spacing w:beforeLines="50" w:after="50" w:line="360" w:lineRule="auto"/>
              <w:rPr>
                <w:rFonts w:ascii="宋体" w:hAnsi="宋体" w:cs="宋体"/>
                <w:b/>
                <w:color w:val="auto"/>
                <w:kern w:val="44"/>
                <w:szCs w:val="21"/>
                <w:highlight w:val="none"/>
              </w:rPr>
            </w:pPr>
          </w:p>
        </w:tc>
        <w:tc>
          <w:tcPr>
            <w:tcW w:w="857" w:type="dxa"/>
            <w:tcBorders>
              <w:top w:val="single" w:color="auto" w:sz="4" w:space="0"/>
              <w:left w:val="single" w:color="auto" w:sz="4" w:space="0"/>
              <w:bottom w:val="single" w:color="auto" w:sz="4" w:space="0"/>
              <w:right w:val="single" w:color="auto" w:sz="4" w:space="0"/>
            </w:tcBorders>
          </w:tcPr>
          <w:p w14:paraId="7E94FD5D">
            <w:pPr>
              <w:snapToGrid w:val="0"/>
              <w:spacing w:beforeLines="50" w:after="50" w:line="360" w:lineRule="auto"/>
              <w:rPr>
                <w:rFonts w:ascii="宋体" w:hAnsi="宋体" w:cs="宋体"/>
                <w:b/>
                <w:color w:val="auto"/>
                <w:kern w:val="44"/>
                <w:szCs w:val="21"/>
                <w:highlight w:val="none"/>
              </w:rPr>
            </w:pPr>
          </w:p>
        </w:tc>
        <w:tc>
          <w:tcPr>
            <w:tcW w:w="1586" w:type="dxa"/>
            <w:tcBorders>
              <w:top w:val="single" w:color="auto" w:sz="4" w:space="0"/>
              <w:left w:val="single" w:color="auto" w:sz="4" w:space="0"/>
              <w:bottom w:val="single" w:color="auto" w:sz="4" w:space="0"/>
              <w:right w:val="single" w:color="auto" w:sz="4" w:space="0"/>
            </w:tcBorders>
          </w:tcPr>
          <w:p w14:paraId="08DB4A2F">
            <w:pPr>
              <w:snapToGrid w:val="0"/>
              <w:spacing w:beforeLines="50" w:after="50" w:line="360" w:lineRule="auto"/>
              <w:rPr>
                <w:rFonts w:ascii="宋体" w:hAnsi="宋体" w:cs="宋体"/>
                <w:b/>
                <w:color w:val="auto"/>
                <w:kern w:val="44"/>
                <w:szCs w:val="21"/>
                <w:highlight w:val="none"/>
              </w:rPr>
            </w:pPr>
          </w:p>
        </w:tc>
        <w:tc>
          <w:tcPr>
            <w:tcW w:w="1221" w:type="dxa"/>
            <w:tcBorders>
              <w:top w:val="single" w:color="auto" w:sz="4" w:space="0"/>
              <w:left w:val="single" w:color="auto" w:sz="4" w:space="0"/>
              <w:bottom w:val="single" w:color="auto" w:sz="4" w:space="0"/>
              <w:right w:val="single" w:color="auto" w:sz="4" w:space="0"/>
            </w:tcBorders>
          </w:tcPr>
          <w:p w14:paraId="459FA857">
            <w:pPr>
              <w:snapToGrid w:val="0"/>
              <w:spacing w:beforeLines="50" w:after="50" w:line="360" w:lineRule="auto"/>
              <w:rPr>
                <w:rFonts w:ascii="宋体" w:hAnsi="宋体" w:cs="宋体"/>
                <w:b/>
                <w:color w:val="auto"/>
                <w:kern w:val="44"/>
                <w:szCs w:val="21"/>
                <w:highlight w:val="none"/>
              </w:rPr>
            </w:pPr>
          </w:p>
        </w:tc>
        <w:tc>
          <w:tcPr>
            <w:tcW w:w="1436" w:type="dxa"/>
            <w:tcBorders>
              <w:top w:val="single" w:color="auto" w:sz="4" w:space="0"/>
              <w:left w:val="single" w:color="auto" w:sz="4" w:space="0"/>
              <w:bottom w:val="single" w:color="auto" w:sz="4" w:space="0"/>
              <w:right w:val="single" w:color="auto" w:sz="4" w:space="0"/>
            </w:tcBorders>
          </w:tcPr>
          <w:p w14:paraId="3869A830">
            <w:pPr>
              <w:snapToGrid w:val="0"/>
              <w:spacing w:beforeLines="50" w:after="50" w:line="360" w:lineRule="auto"/>
              <w:rPr>
                <w:rFonts w:ascii="宋体" w:hAnsi="宋体" w:cs="宋体"/>
                <w:b/>
                <w:color w:val="auto"/>
                <w:kern w:val="44"/>
                <w:szCs w:val="21"/>
                <w:highlight w:val="none"/>
              </w:rPr>
            </w:pPr>
          </w:p>
        </w:tc>
        <w:tc>
          <w:tcPr>
            <w:tcW w:w="1536" w:type="dxa"/>
            <w:tcBorders>
              <w:top w:val="single" w:color="auto" w:sz="4" w:space="0"/>
              <w:left w:val="single" w:color="auto" w:sz="4" w:space="0"/>
              <w:bottom w:val="single" w:color="auto" w:sz="4" w:space="0"/>
            </w:tcBorders>
          </w:tcPr>
          <w:p w14:paraId="521AA78F">
            <w:pPr>
              <w:snapToGrid w:val="0"/>
              <w:spacing w:beforeLines="50" w:after="50" w:line="360" w:lineRule="auto"/>
              <w:rPr>
                <w:rFonts w:ascii="宋体" w:hAnsi="宋体" w:cs="宋体"/>
                <w:b/>
                <w:color w:val="auto"/>
                <w:kern w:val="44"/>
                <w:szCs w:val="21"/>
                <w:highlight w:val="none"/>
              </w:rPr>
            </w:pPr>
          </w:p>
        </w:tc>
      </w:tr>
      <w:tr w14:paraId="00519A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38" w:type="dxa"/>
            <w:tcBorders>
              <w:top w:val="single" w:color="auto" w:sz="4" w:space="0"/>
              <w:bottom w:val="single" w:color="auto" w:sz="4" w:space="0"/>
              <w:right w:val="single" w:color="auto" w:sz="4" w:space="0"/>
            </w:tcBorders>
          </w:tcPr>
          <w:p w14:paraId="00F9DB7F">
            <w:pPr>
              <w:snapToGrid w:val="0"/>
              <w:spacing w:beforeLines="50" w:after="50" w:line="360" w:lineRule="auto"/>
              <w:rPr>
                <w:rFonts w:ascii="宋体" w:hAnsi="宋体" w:cs="宋体"/>
                <w:color w:val="auto"/>
                <w:szCs w:val="21"/>
                <w:highlight w:val="none"/>
              </w:rPr>
            </w:pPr>
          </w:p>
        </w:tc>
        <w:tc>
          <w:tcPr>
            <w:tcW w:w="880" w:type="dxa"/>
            <w:tcBorders>
              <w:top w:val="single" w:color="auto" w:sz="4" w:space="0"/>
              <w:left w:val="single" w:color="auto" w:sz="4" w:space="0"/>
              <w:bottom w:val="single" w:color="auto" w:sz="4" w:space="0"/>
              <w:right w:val="single" w:color="auto" w:sz="4" w:space="0"/>
            </w:tcBorders>
          </w:tcPr>
          <w:p w14:paraId="7F32115F">
            <w:pPr>
              <w:snapToGrid w:val="0"/>
              <w:spacing w:beforeLines="50" w:after="50" w:line="360" w:lineRule="auto"/>
              <w:rPr>
                <w:rFonts w:ascii="宋体" w:hAnsi="宋体" w:cs="宋体"/>
                <w:b/>
                <w:color w:val="auto"/>
                <w:kern w:val="44"/>
                <w:szCs w:val="21"/>
                <w:highlight w:val="none"/>
              </w:rPr>
            </w:pPr>
          </w:p>
        </w:tc>
        <w:tc>
          <w:tcPr>
            <w:tcW w:w="921" w:type="dxa"/>
            <w:tcBorders>
              <w:top w:val="single" w:color="auto" w:sz="4" w:space="0"/>
              <w:left w:val="single" w:color="auto" w:sz="4" w:space="0"/>
              <w:bottom w:val="single" w:color="auto" w:sz="4" w:space="0"/>
              <w:right w:val="single" w:color="auto" w:sz="4" w:space="0"/>
            </w:tcBorders>
          </w:tcPr>
          <w:p w14:paraId="1618A3B2">
            <w:pPr>
              <w:snapToGrid w:val="0"/>
              <w:spacing w:beforeLines="50" w:after="50" w:line="360" w:lineRule="auto"/>
              <w:rPr>
                <w:rFonts w:ascii="宋体" w:hAnsi="宋体" w:cs="宋体"/>
                <w:b/>
                <w:color w:val="auto"/>
                <w:kern w:val="44"/>
                <w:szCs w:val="21"/>
                <w:highlight w:val="none"/>
              </w:rPr>
            </w:pPr>
          </w:p>
        </w:tc>
        <w:tc>
          <w:tcPr>
            <w:tcW w:w="857" w:type="dxa"/>
            <w:tcBorders>
              <w:top w:val="single" w:color="auto" w:sz="4" w:space="0"/>
              <w:left w:val="single" w:color="auto" w:sz="4" w:space="0"/>
              <w:bottom w:val="single" w:color="auto" w:sz="4" w:space="0"/>
              <w:right w:val="single" w:color="auto" w:sz="4" w:space="0"/>
            </w:tcBorders>
          </w:tcPr>
          <w:p w14:paraId="64B24229">
            <w:pPr>
              <w:snapToGrid w:val="0"/>
              <w:spacing w:beforeLines="50" w:after="50" w:line="360" w:lineRule="auto"/>
              <w:rPr>
                <w:rFonts w:ascii="宋体" w:hAnsi="宋体" w:cs="宋体"/>
                <w:b/>
                <w:color w:val="auto"/>
                <w:kern w:val="44"/>
                <w:szCs w:val="21"/>
                <w:highlight w:val="none"/>
              </w:rPr>
            </w:pPr>
          </w:p>
        </w:tc>
        <w:tc>
          <w:tcPr>
            <w:tcW w:w="1586" w:type="dxa"/>
            <w:tcBorders>
              <w:top w:val="single" w:color="auto" w:sz="4" w:space="0"/>
              <w:left w:val="single" w:color="auto" w:sz="4" w:space="0"/>
              <w:bottom w:val="single" w:color="auto" w:sz="4" w:space="0"/>
              <w:right w:val="single" w:color="auto" w:sz="4" w:space="0"/>
            </w:tcBorders>
          </w:tcPr>
          <w:p w14:paraId="39336EA1">
            <w:pPr>
              <w:snapToGrid w:val="0"/>
              <w:spacing w:beforeLines="50" w:after="50" w:line="360" w:lineRule="auto"/>
              <w:rPr>
                <w:rFonts w:ascii="宋体" w:hAnsi="宋体" w:cs="宋体"/>
                <w:b/>
                <w:color w:val="auto"/>
                <w:kern w:val="44"/>
                <w:szCs w:val="21"/>
                <w:highlight w:val="none"/>
              </w:rPr>
            </w:pPr>
          </w:p>
        </w:tc>
        <w:tc>
          <w:tcPr>
            <w:tcW w:w="1221" w:type="dxa"/>
            <w:tcBorders>
              <w:top w:val="single" w:color="auto" w:sz="4" w:space="0"/>
              <w:left w:val="single" w:color="auto" w:sz="4" w:space="0"/>
              <w:bottom w:val="single" w:color="auto" w:sz="4" w:space="0"/>
              <w:right w:val="single" w:color="auto" w:sz="4" w:space="0"/>
            </w:tcBorders>
          </w:tcPr>
          <w:p w14:paraId="7ADF05E1">
            <w:pPr>
              <w:snapToGrid w:val="0"/>
              <w:spacing w:beforeLines="50" w:after="50" w:line="360" w:lineRule="auto"/>
              <w:rPr>
                <w:rFonts w:ascii="宋体" w:hAnsi="宋体" w:cs="宋体"/>
                <w:b/>
                <w:color w:val="auto"/>
                <w:kern w:val="44"/>
                <w:szCs w:val="21"/>
                <w:highlight w:val="none"/>
              </w:rPr>
            </w:pPr>
          </w:p>
        </w:tc>
        <w:tc>
          <w:tcPr>
            <w:tcW w:w="1436" w:type="dxa"/>
            <w:tcBorders>
              <w:top w:val="single" w:color="auto" w:sz="4" w:space="0"/>
              <w:left w:val="single" w:color="auto" w:sz="4" w:space="0"/>
              <w:bottom w:val="single" w:color="auto" w:sz="4" w:space="0"/>
              <w:right w:val="single" w:color="auto" w:sz="4" w:space="0"/>
            </w:tcBorders>
          </w:tcPr>
          <w:p w14:paraId="54019D06">
            <w:pPr>
              <w:snapToGrid w:val="0"/>
              <w:spacing w:beforeLines="50" w:after="50" w:line="360" w:lineRule="auto"/>
              <w:rPr>
                <w:rFonts w:ascii="宋体" w:hAnsi="宋体" w:cs="宋体"/>
                <w:b/>
                <w:color w:val="auto"/>
                <w:kern w:val="44"/>
                <w:szCs w:val="21"/>
                <w:highlight w:val="none"/>
              </w:rPr>
            </w:pPr>
          </w:p>
        </w:tc>
        <w:tc>
          <w:tcPr>
            <w:tcW w:w="1536" w:type="dxa"/>
            <w:tcBorders>
              <w:top w:val="single" w:color="auto" w:sz="4" w:space="0"/>
              <w:left w:val="single" w:color="auto" w:sz="4" w:space="0"/>
              <w:bottom w:val="single" w:color="auto" w:sz="4" w:space="0"/>
            </w:tcBorders>
          </w:tcPr>
          <w:p w14:paraId="11DE75E9">
            <w:pPr>
              <w:snapToGrid w:val="0"/>
              <w:spacing w:beforeLines="50" w:after="50" w:line="360" w:lineRule="auto"/>
              <w:rPr>
                <w:rFonts w:ascii="宋体" w:hAnsi="宋体" w:cs="宋体"/>
                <w:b/>
                <w:color w:val="auto"/>
                <w:kern w:val="44"/>
                <w:szCs w:val="21"/>
                <w:highlight w:val="none"/>
              </w:rPr>
            </w:pPr>
          </w:p>
        </w:tc>
      </w:tr>
      <w:tr w14:paraId="74A560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38" w:type="dxa"/>
            <w:tcBorders>
              <w:top w:val="single" w:color="auto" w:sz="4" w:space="0"/>
              <w:bottom w:val="single" w:color="auto" w:sz="4" w:space="0"/>
              <w:right w:val="single" w:color="auto" w:sz="4" w:space="0"/>
            </w:tcBorders>
          </w:tcPr>
          <w:p w14:paraId="1AE612E5">
            <w:pPr>
              <w:snapToGrid w:val="0"/>
              <w:spacing w:beforeLines="50" w:after="50" w:line="360" w:lineRule="auto"/>
              <w:rPr>
                <w:rFonts w:ascii="宋体" w:hAnsi="宋体" w:cs="宋体"/>
                <w:color w:val="auto"/>
                <w:szCs w:val="21"/>
                <w:highlight w:val="none"/>
              </w:rPr>
            </w:pPr>
          </w:p>
        </w:tc>
        <w:tc>
          <w:tcPr>
            <w:tcW w:w="880" w:type="dxa"/>
            <w:tcBorders>
              <w:top w:val="single" w:color="auto" w:sz="4" w:space="0"/>
              <w:left w:val="single" w:color="auto" w:sz="4" w:space="0"/>
              <w:bottom w:val="single" w:color="auto" w:sz="4" w:space="0"/>
              <w:right w:val="single" w:color="auto" w:sz="4" w:space="0"/>
            </w:tcBorders>
          </w:tcPr>
          <w:p w14:paraId="15D07F59">
            <w:pPr>
              <w:snapToGrid w:val="0"/>
              <w:spacing w:beforeLines="50" w:after="50" w:line="360" w:lineRule="auto"/>
              <w:rPr>
                <w:rFonts w:ascii="宋体" w:hAnsi="宋体" w:cs="宋体"/>
                <w:b/>
                <w:color w:val="auto"/>
                <w:kern w:val="44"/>
                <w:szCs w:val="21"/>
                <w:highlight w:val="none"/>
              </w:rPr>
            </w:pPr>
          </w:p>
        </w:tc>
        <w:tc>
          <w:tcPr>
            <w:tcW w:w="921" w:type="dxa"/>
            <w:tcBorders>
              <w:top w:val="single" w:color="auto" w:sz="4" w:space="0"/>
              <w:left w:val="single" w:color="auto" w:sz="4" w:space="0"/>
              <w:bottom w:val="single" w:color="auto" w:sz="4" w:space="0"/>
              <w:right w:val="single" w:color="auto" w:sz="4" w:space="0"/>
            </w:tcBorders>
          </w:tcPr>
          <w:p w14:paraId="2E52F554">
            <w:pPr>
              <w:snapToGrid w:val="0"/>
              <w:spacing w:beforeLines="50" w:after="50" w:line="360" w:lineRule="auto"/>
              <w:rPr>
                <w:rFonts w:ascii="宋体" w:hAnsi="宋体" w:cs="宋体"/>
                <w:b/>
                <w:color w:val="auto"/>
                <w:kern w:val="44"/>
                <w:szCs w:val="21"/>
                <w:highlight w:val="none"/>
              </w:rPr>
            </w:pPr>
          </w:p>
        </w:tc>
        <w:tc>
          <w:tcPr>
            <w:tcW w:w="857" w:type="dxa"/>
            <w:tcBorders>
              <w:top w:val="single" w:color="auto" w:sz="4" w:space="0"/>
              <w:left w:val="single" w:color="auto" w:sz="4" w:space="0"/>
              <w:bottom w:val="single" w:color="auto" w:sz="4" w:space="0"/>
              <w:right w:val="single" w:color="auto" w:sz="4" w:space="0"/>
            </w:tcBorders>
          </w:tcPr>
          <w:p w14:paraId="3904825B">
            <w:pPr>
              <w:snapToGrid w:val="0"/>
              <w:spacing w:beforeLines="50" w:after="50" w:line="360" w:lineRule="auto"/>
              <w:rPr>
                <w:rFonts w:ascii="宋体" w:hAnsi="宋体" w:cs="宋体"/>
                <w:b/>
                <w:color w:val="auto"/>
                <w:kern w:val="44"/>
                <w:szCs w:val="21"/>
                <w:highlight w:val="none"/>
              </w:rPr>
            </w:pPr>
          </w:p>
        </w:tc>
        <w:tc>
          <w:tcPr>
            <w:tcW w:w="1586" w:type="dxa"/>
            <w:tcBorders>
              <w:top w:val="single" w:color="auto" w:sz="4" w:space="0"/>
              <w:left w:val="single" w:color="auto" w:sz="4" w:space="0"/>
              <w:bottom w:val="single" w:color="auto" w:sz="4" w:space="0"/>
              <w:right w:val="single" w:color="auto" w:sz="4" w:space="0"/>
            </w:tcBorders>
          </w:tcPr>
          <w:p w14:paraId="1CB89E59">
            <w:pPr>
              <w:snapToGrid w:val="0"/>
              <w:spacing w:beforeLines="50" w:after="50" w:line="360" w:lineRule="auto"/>
              <w:rPr>
                <w:rFonts w:ascii="宋体" w:hAnsi="宋体" w:cs="宋体"/>
                <w:b/>
                <w:color w:val="auto"/>
                <w:kern w:val="44"/>
                <w:szCs w:val="21"/>
                <w:highlight w:val="none"/>
              </w:rPr>
            </w:pPr>
          </w:p>
        </w:tc>
        <w:tc>
          <w:tcPr>
            <w:tcW w:w="1221" w:type="dxa"/>
            <w:tcBorders>
              <w:top w:val="single" w:color="auto" w:sz="4" w:space="0"/>
              <w:left w:val="single" w:color="auto" w:sz="4" w:space="0"/>
              <w:bottom w:val="single" w:color="auto" w:sz="4" w:space="0"/>
              <w:right w:val="single" w:color="auto" w:sz="4" w:space="0"/>
            </w:tcBorders>
          </w:tcPr>
          <w:p w14:paraId="4FD9E454">
            <w:pPr>
              <w:snapToGrid w:val="0"/>
              <w:spacing w:beforeLines="50" w:after="50" w:line="360" w:lineRule="auto"/>
              <w:rPr>
                <w:rFonts w:ascii="宋体" w:hAnsi="宋体" w:cs="宋体"/>
                <w:b/>
                <w:color w:val="auto"/>
                <w:kern w:val="44"/>
                <w:szCs w:val="21"/>
                <w:highlight w:val="none"/>
              </w:rPr>
            </w:pPr>
          </w:p>
        </w:tc>
        <w:tc>
          <w:tcPr>
            <w:tcW w:w="1436" w:type="dxa"/>
            <w:tcBorders>
              <w:top w:val="single" w:color="auto" w:sz="4" w:space="0"/>
              <w:left w:val="single" w:color="auto" w:sz="4" w:space="0"/>
              <w:bottom w:val="single" w:color="auto" w:sz="4" w:space="0"/>
              <w:right w:val="single" w:color="auto" w:sz="4" w:space="0"/>
            </w:tcBorders>
          </w:tcPr>
          <w:p w14:paraId="2A323469">
            <w:pPr>
              <w:snapToGrid w:val="0"/>
              <w:spacing w:beforeLines="50" w:after="50" w:line="360" w:lineRule="auto"/>
              <w:rPr>
                <w:rFonts w:ascii="宋体" w:hAnsi="宋体" w:cs="宋体"/>
                <w:b/>
                <w:color w:val="auto"/>
                <w:kern w:val="44"/>
                <w:szCs w:val="21"/>
                <w:highlight w:val="none"/>
              </w:rPr>
            </w:pPr>
          </w:p>
        </w:tc>
        <w:tc>
          <w:tcPr>
            <w:tcW w:w="1536" w:type="dxa"/>
            <w:tcBorders>
              <w:top w:val="single" w:color="auto" w:sz="4" w:space="0"/>
              <w:left w:val="single" w:color="auto" w:sz="4" w:space="0"/>
              <w:bottom w:val="single" w:color="auto" w:sz="4" w:space="0"/>
            </w:tcBorders>
          </w:tcPr>
          <w:p w14:paraId="52442293">
            <w:pPr>
              <w:snapToGrid w:val="0"/>
              <w:spacing w:beforeLines="50" w:after="50" w:line="360" w:lineRule="auto"/>
              <w:rPr>
                <w:rFonts w:ascii="宋体" w:hAnsi="宋体" w:cs="宋体"/>
                <w:b/>
                <w:color w:val="auto"/>
                <w:kern w:val="44"/>
                <w:szCs w:val="21"/>
                <w:highlight w:val="none"/>
              </w:rPr>
            </w:pPr>
          </w:p>
        </w:tc>
      </w:tr>
      <w:tr w14:paraId="604990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38" w:type="dxa"/>
            <w:tcBorders>
              <w:top w:val="single" w:color="auto" w:sz="4" w:space="0"/>
              <w:bottom w:val="single" w:color="auto" w:sz="4" w:space="0"/>
              <w:right w:val="single" w:color="auto" w:sz="4" w:space="0"/>
            </w:tcBorders>
          </w:tcPr>
          <w:p w14:paraId="1B3BA2D9">
            <w:pPr>
              <w:snapToGrid w:val="0"/>
              <w:spacing w:beforeLines="50" w:after="50" w:line="360" w:lineRule="auto"/>
              <w:rPr>
                <w:rFonts w:ascii="宋体" w:hAnsi="宋体" w:cs="宋体"/>
                <w:color w:val="auto"/>
                <w:szCs w:val="21"/>
                <w:highlight w:val="none"/>
              </w:rPr>
            </w:pPr>
          </w:p>
        </w:tc>
        <w:tc>
          <w:tcPr>
            <w:tcW w:w="880" w:type="dxa"/>
            <w:tcBorders>
              <w:top w:val="single" w:color="auto" w:sz="4" w:space="0"/>
              <w:left w:val="single" w:color="auto" w:sz="4" w:space="0"/>
              <w:bottom w:val="single" w:color="auto" w:sz="4" w:space="0"/>
              <w:right w:val="single" w:color="auto" w:sz="4" w:space="0"/>
            </w:tcBorders>
          </w:tcPr>
          <w:p w14:paraId="5DFE8E3C">
            <w:pPr>
              <w:snapToGrid w:val="0"/>
              <w:spacing w:beforeLines="50" w:after="50" w:line="360" w:lineRule="auto"/>
              <w:rPr>
                <w:rFonts w:ascii="宋体" w:hAnsi="宋体" w:cs="宋体"/>
                <w:b/>
                <w:color w:val="auto"/>
                <w:kern w:val="44"/>
                <w:szCs w:val="21"/>
                <w:highlight w:val="none"/>
              </w:rPr>
            </w:pPr>
          </w:p>
        </w:tc>
        <w:tc>
          <w:tcPr>
            <w:tcW w:w="921" w:type="dxa"/>
            <w:tcBorders>
              <w:top w:val="single" w:color="auto" w:sz="4" w:space="0"/>
              <w:left w:val="single" w:color="auto" w:sz="4" w:space="0"/>
              <w:bottom w:val="single" w:color="auto" w:sz="4" w:space="0"/>
              <w:right w:val="single" w:color="auto" w:sz="4" w:space="0"/>
            </w:tcBorders>
          </w:tcPr>
          <w:p w14:paraId="7F2CDE3C">
            <w:pPr>
              <w:snapToGrid w:val="0"/>
              <w:spacing w:beforeLines="50" w:after="50" w:line="360" w:lineRule="auto"/>
              <w:rPr>
                <w:rFonts w:ascii="宋体" w:hAnsi="宋体" w:cs="宋体"/>
                <w:b/>
                <w:color w:val="auto"/>
                <w:kern w:val="44"/>
                <w:szCs w:val="21"/>
                <w:highlight w:val="none"/>
              </w:rPr>
            </w:pPr>
          </w:p>
        </w:tc>
        <w:tc>
          <w:tcPr>
            <w:tcW w:w="857" w:type="dxa"/>
            <w:tcBorders>
              <w:top w:val="single" w:color="auto" w:sz="4" w:space="0"/>
              <w:left w:val="single" w:color="auto" w:sz="4" w:space="0"/>
              <w:bottom w:val="single" w:color="auto" w:sz="4" w:space="0"/>
              <w:right w:val="single" w:color="auto" w:sz="4" w:space="0"/>
            </w:tcBorders>
          </w:tcPr>
          <w:p w14:paraId="2D05B0F2">
            <w:pPr>
              <w:snapToGrid w:val="0"/>
              <w:spacing w:beforeLines="50" w:after="50" w:line="360" w:lineRule="auto"/>
              <w:rPr>
                <w:rFonts w:ascii="宋体" w:hAnsi="宋体" w:cs="宋体"/>
                <w:b/>
                <w:color w:val="auto"/>
                <w:kern w:val="44"/>
                <w:szCs w:val="21"/>
                <w:highlight w:val="none"/>
              </w:rPr>
            </w:pPr>
          </w:p>
        </w:tc>
        <w:tc>
          <w:tcPr>
            <w:tcW w:w="1586" w:type="dxa"/>
            <w:tcBorders>
              <w:top w:val="single" w:color="auto" w:sz="4" w:space="0"/>
              <w:left w:val="single" w:color="auto" w:sz="4" w:space="0"/>
              <w:bottom w:val="single" w:color="auto" w:sz="4" w:space="0"/>
              <w:right w:val="single" w:color="auto" w:sz="4" w:space="0"/>
            </w:tcBorders>
          </w:tcPr>
          <w:p w14:paraId="67C0445D">
            <w:pPr>
              <w:snapToGrid w:val="0"/>
              <w:spacing w:beforeLines="50" w:after="50" w:line="360" w:lineRule="auto"/>
              <w:rPr>
                <w:rFonts w:ascii="宋体" w:hAnsi="宋体" w:cs="宋体"/>
                <w:b/>
                <w:color w:val="auto"/>
                <w:kern w:val="44"/>
                <w:szCs w:val="21"/>
                <w:highlight w:val="none"/>
              </w:rPr>
            </w:pPr>
          </w:p>
        </w:tc>
        <w:tc>
          <w:tcPr>
            <w:tcW w:w="1221" w:type="dxa"/>
            <w:tcBorders>
              <w:top w:val="single" w:color="auto" w:sz="4" w:space="0"/>
              <w:left w:val="single" w:color="auto" w:sz="4" w:space="0"/>
              <w:bottom w:val="single" w:color="auto" w:sz="4" w:space="0"/>
              <w:right w:val="single" w:color="auto" w:sz="4" w:space="0"/>
            </w:tcBorders>
          </w:tcPr>
          <w:p w14:paraId="7E08B151">
            <w:pPr>
              <w:snapToGrid w:val="0"/>
              <w:spacing w:beforeLines="50" w:after="50" w:line="360" w:lineRule="auto"/>
              <w:rPr>
                <w:rFonts w:ascii="宋体" w:hAnsi="宋体" w:cs="宋体"/>
                <w:b/>
                <w:color w:val="auto"/>
                <w:kern w:val="44"/>
                <w:szCs w:val="21"/>
                <w:highlight w:val="none"/>
              </w:rPr>
            </w:pPr>
          </w:p>
        </w:tc>
        <w:tc>
          <w:tcPr>
            <w:tcW w:w="1436" w:type="dxa"/>
            <w:tcBorders>
              <w:top w:val="single" w:color="auto" w:sz="4" w:space="0"/>
              <w:left w:val="single" w:color="auto" w:sz="4" w:space="0"/>
              <w:bottom w:val="single" w:color="auto" w:sz="4" w:space="0"/>
              <w:right w:val="single" w:color="auto" w:sz="4" w:space="0"/>
            </w:tcBorders>
          </w:tcPr>
          <w:p w14:paraId="769120DD">
            <w:pPr>
              <w:snapToGrid w:val="0"/>
              <w:spacing w:beforeLines="50" w:after="50" w:line="360" w:lineRule="auto"/>
              <w:rPr>
                <w:rFonts w:ascii="宋体" w:hAnsi="宋体" w:cs="宋体"/>
                <w:b/>
                <w:color w:val="auto"/>
                <w:kern w:val="44"/>
                <w:szCs w:val="21"/>
                <w:highlight w:val="none"/>
              </w:rPr>
            </w:pPr>
          </w:p>
        </w:tc>
        <w:tc>
          <w:tcPr>
            <w:tcW w:w="1536" w:type="dxa"/>
            <w:tcBorders>
              <w:top w:val="single" w:color="auto" w:sz="4" w:space="0"/>
              <w:left w:val="single" w:color="auto" w:sz="4" w:space="0"/>
              <w:bottom w:val="single" w:color="auto" w:sz="4" w:space="0"/>
            </w:tcBorders>
          </w:tcPr>
          <w:p w14:paraId="36FD010A">
            <w:pPr>
              <w:snapToGrid w:val="0"/>
              <w:spacing w:beforeLines="50" w:after="50" w:line="360" w:lineRule="auto"/>
              <w:rPr>
                <w:rFonts w:ascii="宋体" w:hAnsi="宋体" w:cs="宋体"/>
                <w:b/>
                <w:color w:val="auto"/>
                <w:kern w:val="44"/>
                <w:szCs w:val="21"/>
                <w:highlight w:val="none"/>
              </w:rPr>
            </w:pPr>
          </w:p>
        </w:tc>
      </w:tr>
    </w:tbl>
    <w:p w14:paraId="403E3DC1">
      <w:pPr>
        <w:spacing w:line="360" w:lineRule="auto"/>
        <w:rPr>
          <w:rFonts w:ascii="宋体" w:hAnsi="宋体" w:cs="宋体"/>
          <w:b/>
          <w:color w:val="auto"/>
          <w:szCs w:val="21"/>
          <w:highlight w:val="none"/>
        </w:rPr>
      </w:pPr>
      <w:r>
        <w:rPr>
          <w:rFonts w:hint="eastAsia" w:ascii="宋体" w:hAnsi="宋体" w:cs="宋体"/>
          <w:b/>
          <w:color w:val="auto"/>
          <w:szCs w:val="21"/>
          <w:highlight w:val="none"/>
        </w:rPr>
        <w:t>要求：</w:t>
      </w:r>
    </w:p>
    <w:p w14:paraId="555BFFB8">
      <w:pPr>
        <w:spacing w:line="360" w:lineRule="auto"/>
        <w:rPr>
          <w:rFonts w:ascii="宋体" w:hAnsi="宋体" w:cs="宋体"/>
          <w:color w:val="auto"/>
          <w:szCs w:val="21"/>
          <w:highlight w:val="none"/>
        </w:rPr>
      </w:pPr>
      <w:r>
        <w:rPr>
          <w:rFonts w:hint="eastAsia" w:ascii="宋体" w:hAnsi="宋体" w:cs="宋体"/>
          <w:bCs/>
          <w:color w:val="auto"/>
          <w:szCs w:val="21"/>
          <w:highlight w:val="none"/>
        </w:rPr>
        <w:t>1、</w:t>
      </w:r>
      <w:r>
        <w:rPr>
          <w:rFonts w:hint="eastAsia" w:ascii="宋体" w:hAnsi="宋体" w:cs="宋体"/>
          <w:color w:val="auto"/>
          <w:szCs w:val="21"/>
          <w:highlight w:val="none"/>
        </w:rPr>
        <w:t>在填写时，如本表格不适合投标单位的实际情况，可根据本表格式自行划表填写。</w:t>
      </w:r>
    </w:p>
    <w:p w14:paraId="73C01B3C">
      <w:pPr>
        <w:pStyle w:val="43"/>
        <w:spacing w:line="360" w:lineRule="auto"/>
        <w:rPr>
          <w:rFonts w:ascii="宋体" w:hAnsi="宋体" w:cs="宋体"/>
          <w:color w:val="auto"/>
          <w:szCs w:val="21"/>
          <w:highlight w:val="none"/>
        </w:rPr>
      </w:pPr>
      <w:r>
        <w:rPr>
          <w:rFonts w:hint="eastAsia" w:ascii="宋体" w:hAnsi="宋体" w:cs="宋体"/>
          <w:color w:val="auto"/>
          <w:szCs w:val="21"/>
          <w:highlight w:val="none"/>
        </w:rPr>
        <w:t>2、附人员证书复印件；</w:t>
      </w:r>
    </w:p>
    <w:p w14:paraId="4766935F">
      <w:pPr>
        <w:pStyle w:val="43"/>
        <w:spacing w:line="360" w:lineRule="auto"/>
        <w:rPr>
          <w:rFonts w:ascii="宋体" w:hAnsi="宋体" w:cs="宋体"/>
          <w:color w:val="auto"/>
          <w:szCs w:val="21"/>
          <w:highlight w:val="none"/>
        </w:rPr>
      </w:pPr>
      <w:r>
        <w:rPr>
          <w:rFonts w:hint="eastAsia" w:ascii="宋体" w:hAnsi="宋体" w:cs="宋体"/>
          <w:color w:val="auto"/>
          <w:szCs w:val="21"/>
          <w:highlight w:val="none"/>
        </w:rPr>
        <w:t>3、出具上述人员在本单位服务的外部证明，如：投标截止日之前的代缴个税税单、参加社会保险的《投保单》或《社会保险参保人员证明》等。</w:t>
      </w:r>
    </w:p>
    <w:p w14:paraId="362D5031">
      <w:pPr>
        <w:spacing w:line="360" w:lineRule="auto"/>
        <w:ind w:left="420"/>
        <w:rPr>
          <w:rFonts w:ascii="宋体" w:hAnsi="宋体" w:cs="宋体"/>
          <w:color w:val="auto"/>
          <w:szCs w:val="21"/>
          <w:highlight w:val="none"/>
          <w:u w:val="single"/>
        </w:rPr>
      </w:pPr>
      <w:r>
        <w:rPr>
          <w:rFonts w:hint="eastAsia" w:ascii="宋体" w:hAnsi="宋体" w:cs="宋体"/>
          <w:color w:val="auto"/>
          <w:szCs w:val="21"/>
          <w:highlight w:val="none"/>
        </w:rPr>
        <w:t>磋商供应商名称（盖章）：</w:t>
      </w:r>
      <w:r>
        <w:rPr>
          <w:rFonts w:hint="eastAsia" w:ascii="宋体" w:hAnsi="宋体" w:cs="宋体"/>
          <w:color w:val="auto"/>
          <w:szCs w:val="21"/>
          <w:highlight w:val="none"/>
          <w:u w:val="single"/>
        </w:rPr>
        <w:t xml:space="preserve">                                        </w:t>
      </w:r>
    </w:p>
    <w:p w14:paraId="128DE886">
      <w:pPr>
        <w:spacing w:line="360" w:lineRule="auto"/>
        <w:ind w:left="420"/>
        <w:rPr>
          <w:rFonts w:ascii="宋体" w:hAnsi="宋体" w:cs="宋体"/>
          <w:color w:val="auto"/>
          <w:szCs w:val="21"/>
          <w:highlight w:val="none"/>
        </w:rPr>
      </w:pPr>
      <w:r>
        <w:rPr>
          <w:rFonts w:hint="eastAsia" w:ascii="宋体" w:hAnsi="宋体" w:cs="宋体"/>
          <w:color w:val="auto"/>
          <w:szCs w:val="21"/>
          <w:highlight w:val="none"/>
        </w:rPr>
        <w:t xml:space="preserve"> </w:t>
      </w:r>
    </w:p>
    <w:p w14:paraId="5E4E232C">
      <w:pPr>
        <w:spacing w:line="360" w:lineRule="auto"/>
        <w:ind w:firstLine="435"/>
        <w:rPr>
          <w:rFonts w:ascii="宋体" w:hAnsi="宋体" w:cs="宋体"/>
          <w:color w:val="auto"/>
          <w:szCs w:val="21"/>
          <w:highlight w:val="none"/>
        </w:rPr>
      </w:pPr>
      <w:r>
        <w:rPr>
          <w:rFonts w:hint="eastAsia" w:ascii="宋体" w:hAnsi="宋体" w:cs="宋体"/>
          <w:color w:val="auto"/>
          <w:szCs w:val="21"/>
          <w:highlight w:val="none"/>
        </w:rPr>
        <w:t>法定代表人或授权委托代理人签字或盖章：</w:t>
      </w:r>
      <w:r>
        <w:rPr>
          <w:rFonts w:hint="eastAsia" w:ascii="宋体" w:hAnsi="宋体" w:cs="宋体"/>
          <w:color w:val="auto"/>
          <w:szCs w:val="21"/>
          <w:highlight w:val="none"/>
          <w:u w:val="single"/>
        </w:rPr>
        <w:t xml:space="preserve">                          </w:t>
      </w:r>
    </w:p>
    <w:p w14:paraId="47309DA6">
      <w:pPr>
        <w:spacing w:line="360" w:lineRule="auto"/>
        <w:ind w:firstLine="435"/>
        <w:rPr>
          <w:rFonts w:ascii="宋体" w:hAnsi="宋体" w:cs="宋体"/>
          <w:color w:val="auto"/>
          <w:szCs w:val="21"/>
          <w:highlight w:val="none"/>
        </w:rPr>
      </w:pPr>
    </w:p>
    <w:p w14:paraId="2BF0DBB9">
      <w:pPr>
        <w:spacing w:line="360" w:lineRule="auto"/>
        <w:ind w:firstLine="435"/>
        <w:rPr>
          <w:rFonts w:ascii="宋体" w:hAnsi="宋体" w:cs="宋体"/>
          <w:color w:val="auto"/>
          <w:szCs w:val="21"/>
          <w:highlight w:val="none"/>
        </w:rPr>
      </w:pPr>
      <w:r>
        <w:rPr>
          <w:rFonts w:hint="eastAsia" w:ascii="宋体" w:hAnsi="宋体" w:cs="宋体"/>
          <w:color w:val="auto"/>
          <w:szCs w:val="21"/>
          <w:highlight w:val="none"/>
        </w:rPr>
        <w:t>职        务：</w:t>
      </w:r>
      <w:r>
        <w:rPr>
          <w:rFonts w:hint="eastAsia" w:ascii="宋体" w:hAnsi="宋体" w:cs="宋体"/>
          <w:color w:val="auto"/>
          <w:szCs w:val="21"/>
          <w:highlight w:val="none"/>
          <w:u w:val="single"/>
        </w:rPr>
        <w:t xml:space="preserve">                            </w:t>
      </w:r>
    </w:p>
    <w:p w14:paraId="37364553">
      <w:pPr>
        <w:spacing w:line="360" w:lineRule="auto"/>
        <w:ind w:firstLine="435"/>
        <w:rPr>
          <w:rFonts w:ascii="宋体" w:hAnsi="宋体" w:cs="宋体"/>
          <w:color w:val="auto"/>
          <w:szCs w:val="21"/>
          <w:highlight w:val="none"/>
        </w:rPr>
      </w:pPr>
    </w:p>
    <w:p w14:paraId="432D2DC2">
      <w:pPr>
        <w:spacing w:line="360" w:lineRule="auto"/>
        <w:ind w:firstLine="435"/>
        <w:rPr>
          <w:rFonts w:ascii="宋体" w:hAnsi="宋体" w:cs="宋体"/>
          <w:b/>
          <w:color w:val="auto"/>
          <w:sz w:val="28"/>
          <w:highlight w:val="none"/>
        </w:rPr>
      </w:pPr>
      <w:r>
        <w:rPr>
          <w:rFonts w:hint="eastAsia" w:ascii="宋体" w:hAnsi="宋体" w:cs="宋体"/>
          <w:color w:val="auto"/>
          <w:szCs w:val="21"/>
          <w:highlight w:val="none"/>
        </w:rPr>
        <w:t>日        期：</w:t>
      </w:r>
      <w:r>
        <w:rPr>
          <w:rFonts w:hint="eastAsia" w:ascii="宋体" w:hAnsi="宋体" w:cs="宋体"/>
          <w:color w:val="auto"/>
          <w:szCs w:val="21"/>
          <w:highlight w:val="none"/>
          <w:u w:val="single"/>
        </w:rPr>
        <w:t xml:space="preserve">                         </w:t>
      </w:r>
      <w:r>
        <w:rPr>
          <w:rFonts w:hint="eastAsia" w:ascii="宋体" w:hAnsi="宋体" w:cs="宋体"/>
          <w:color w:val="auto"/>
          <w:sz w:val="24"/>
          <w:highlight w:val="none"/>
          <w:u w:val="single"/>
        </w:rPr>
        <w:t xml:space="preserve">   </w:t>
      </w:r>
    </w:p>
    <w:p w14:paraId="7F740588">
      <w:pPr>
        <w:snapToGrid w:val="0"/>
        <w:spacing w:before="50" w:after="50" w:line="360" w:lineRule="auto"/>
        <w:rPr>
          <w:rFonts w:ascii="宋体" w:hAnsi="宋体" w:cs="宋体"/>
          <w:b/>
          <w:color w:val="auto"/>
          <w:sz w:val="28"/>
          <w:highlight w:val="none"/>
        </w:rPr>
        <w:sectPr>
          <w:pgSz w:w="11906" w:h="16838"/>
          <w:pgMar w:top="1440" w:right="1800" w:bottom="1440" w:left="1800" w:header="851" w:footer="992" w:gutter="0"/>
          <w:cols w:space="425" w:num="1"/>
          <w:docGrid w:type="lines" w:linePitch="312" w:charSpace="0"/>
        </w:sectPr>
      </w:pPr>
    </w:p>
    <w:p w14:paraId="78D9C43E">
      <w:pPr>
        <w:snapToGrid w:val="0"/>
        <w:spacing w:before="50" w:after="50" w:line="360" w:lineRule="auto"/>
        <w:rPr>
          <w:rFonts w:ascii="宋体" w:hAnsi="宋体" w:cs="宋体"/>
          <w:b/>
          <w:color w:val="auto"/>
          <w:sz w:val="32"/>
          <w:szCs w:val="32"/>
          <w:highlight w:val="none"/>
        </w:rPr>
      </w:pPr>
      <w:r>
        <w:rPr>
          <w:rFonts w:hint="eastAsia" w:ascii="宋体" w:hAnsi="宋体" w:cs="宋体"/>
          <w:b/>
          <w:color w:val="auto"/>
          <w:sz w:val="28"/>
          <w:highlight w:val="none"/>
        </w:rPr>
        <w:t>附件8</w:t>
      </w:r>
    </w:p>
    <w:p w14:paraId="41F8EEDE">
      <w:pPr>
        <w:snapToGrid w:val="0"/>
        <w:spacing w:beforeLines="50" w:after="50"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项目负责人资格情况表</w:t>
      </w:r>
    </w:p>
    <w:p w14:paraId="30FC6E2F">
      <w:pPr>
        <w:spacing w:line="360" w:lineRule="auto"/>
        <w:rPr>
          <w:rFonts w:ascii="宋体" w:hAnsi="宋体" w:cs="宋体"/>
          <w:color w:val="auto"/>
          <w:szCs w:val="21"/>
          <w:highlight w:val="none"/>
        </w:rPr>
      </w:pPr>
      <w:r>
        <w:rPr>
          <w:rFonts w:hint="eastAsia" w:ascii="宋体" w:hAnsi="宋体" w:cs="宋体"/>
          <w:color w:val="auto"/>
          <w:szCs w:val="21"/>
          <w:highlight w:val="none"/>
        </w:rPr>
        <w:t>采购项目：                                                 采购编号：</w:t>
      </w:r>
    </w:p>
    <w:tbl>
      <w:tblPr>
        <w:tblStyle w:val="22"/>
        <w:tblW w:w="8626" w:type="dxa"/>
        <w:tblInd w:w="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967"/>
        <w:gridCol w:w="3685"/>
      </w:tblGrid>
      <w:tr w14:paraId="0ACF9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974" w:type="dxa"/>
            <w:tcBorders>
              <w:top w:val="single" w:color="auto" w:sz="12" w:space="0"/>
              <w:left w:val="single" w:color="auto" w:sz="12" w:space="0"/>
            </w:tcBorders>
            <w:vAlign w:val="center"/>
          </w:tcPr>
          <w:p w14:paraId="69ABDC61">
            <w:pPr>
              <w:autoSpaceDE w:val="0"/>
              <w:autoSpaceDN w:val="0"/>
              <w:adjustRightInd w:val="0"/>
              <w:snapToGrid w:val="0"/>
              <w:spacing w:line="360" w:lineRule="auto"/>
              <w:jc w:val="center"/>
              <w:rPr>
                <w:rFonts w:ascii="宋体" w:hAnsi="宋体" w:cs="宋体"/>
                <w:b/>
                <w:bCs/>
                <w:color w:val="auto"/>
                <w:szCs w:val="21"/>
                <w:highlight w:val="none"/>
                <w:lang w:val="zh-CN"/>
              </w:rPr>
            </w:pPr>
            <w:r>
              <w:rPr>
                <w:rFonts w:hint="eastAsia" w:ascii="宋体" w:hAnsi="宋体" w:cs="宋体"/>
                <w:b/>
                <w:bCs/>
                <w:color w:val="auto"/>
                <w:szCs w:val="21"/>
                <w:highlight w:val="none"/>
                <w:lang w:val="zh-CN"/>
              </w:rPr>
              <w:t>姓名</w:t>
            </w:r>
          </w:p>
        </w:tc>
        <w:tc>
          <w:tcPr>
            <w:tcW w:w="2967" w:type="dxa"/>
            <w:tcBorders>
              <w:top w:val="single" w:color="auto" w:sz="12" w:space="0"/>
            </w:tcBorders>
            <w:vAlign w:val="center"/>
          </w:tcPr>
          <w:p w14:paraId="627D7AA9">
            <w:pPr>
              <w:autoSpaceDE w:val="0"/>
              <w:autoSpaceDN w:val="0"/>
              <w:adjustRightInd w:val="0"/>
              <w:snapToGrid w:val="0"/>
              <w:spacing w:line="360" w:lineRule="auto"/>
              <w:jc w:val="center"/>
              <w:rPr>
                <w:rFonts w:ascii="宋体" w:hAnsi="宋体" w:cs="宋体"/>
                <w:color w:val="auto"/>
                <w:szCs w:val="21"/>
                <w:highlight w:val="none"/>
                <w:lang w:val="zh-CN"/>
              </w:rPr>
            </w:pPr>
          </w:p>
        </w:tc>
        <w:tc>
          <w:tcPr>
            <w:tcW w:w="3685" w:type="dxa"/>
            <w:tcBorders>
              <w:top w:val="single" w:color="auto" w:sz="12" w:space="0"/>
              <w:right w:val="single" w:color="auto" w:sz="12" w:space="0"/>
            </w:tcBorders>
            <w:vAlign w:val="center"/>
          </w:tcPr>
          <w:p w14:paraId="5CE63D3A">
            <w:pPr>
              <w:autoSpaceDE w:val="0"/>
              <w:autoSpaceDN w:val="0"/>
              <w:adjustRightInd w:val="0"/>
              <w:snapToGrid w:val="0"/>
              <w:spacing w:line="360" w:lineRule="auto"/>
              <w:jc w:val="center"/>
              <w:rPr>
                <w:rFonts w:ascii="宋体" w:hAnsi="宋体" w:cs="宋体"/>
                <w:b/>
                <w:bCs/>
                <w:color w:val="auto"/>
                <w:szCs w:val="21"/>
                <w:highlight w:val="none"/>
                <w:lang w:val="zh-CN"/>
              </w:rPr>
            </w:pPr>
            <w:r>
              <w:rPr>
                <w:rFonts w:hint="eastAsia" w:ascii="宋体" w:hAnsi="宋体" w:cs="宋体"/>
                <w:b/>
                <w:bCs/>
                <w:color w:val="auto"/>
                <w:szCs w:val="21"/>
                <w:highlight w:val="none"/>
                <w:lang w:val="zh-CN"/>
              </w:rPr>
              <w:t>近年来主要工作业绩</w:t>
            </w:r>
          </w:p>
        </w:tc>
      </w:tr>
      <w:tr w14:paraId="53F3C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417BC296">
            <w:pPr>
              <w:autoSpaceDE w:val="0"/>
              <w:autoSpaceDN w:val="0"/>
              <w:adjustRightInd w:val="0"/>
              <w:snapToGrid w:val="0"/>
              <w:spacing w:line="360" w:lineRule="auto"/>
              <w:jc w:val="center"/>
              <w:rPr>
                <w:rFonts w:ascii="宋体" w:hAnsi="宋体" w:cs="宋体"/>
                <w:b/>
                <w:bCs/>
                <w:color w:val="auto"/>
                <w:szCs w:val="21"/>
                <w:highlight w:val="none"/>
                <w:lang w:val="zh-CN"/>
              </w:rPr>
            </w:pPr>
            <w:r>
              <w:rPr>
                <w:rFonts w:hint="eastAsia" w:ascii="宋体" w:hAnsi="宋体" w:cs="宋体"/>
                <w:b/>
                <w:bCs/>
                <w:color w:val="auto"/>
                <w:szCs w:val="21"/>
                <w:highlight w:val="none"/>
                <w:lang w:val="zh-CN"/>
              </w:rPr>
              <w:t>性别</w:t>
            </w:r>
          </w:p>
        </w:tc>
        <w:tc>
          <w:tcPr>
            <w:tcW w:w="2967" w:type="dxa"/>
            <w:vAlign w:val="center"/>
          </w:tcPr>
          <w:p w14:paraId="2B9E16DC">
            <w:pPr>
              <w:autoSpaceDE w:val="0"/>
              <w:autoSpaceDN w:val="0"/>
              <w:adjustRightInd w:val="0"/>
              <w:snapToGrid w:val="0"/>
              <w:spacing w:line="360" w:lineRule="auto"/>
              <w:jc w:val="center"/>
              <w:rPr>
                <w:rFonts w:ascii="宋体" w:hAnsi="宋体" w:cs="宋体"/>
                <w:color w:val="auto"/>
                <w:szCs w:val="21"/>
                <w:highlight w:val="none"/>
                <w:lang w:val="zh-CN"/>
              </w:rPr>
            </w:pPr>
          </w:p>
        </w:tc>
        <w:tc>
          <w:tcPr>
            <w:tcW w:w="3685" w:type="dxa"/>
            <w:vMerge w:val="restart"/>
            <w:tcBorders>
              <w:right w:val="single" w:color="auto" w:sz="12" w:space="0"/>
            </w:tcBorders>
            <w:vAlign w:val="center"/>
          </w:tcPr>
          <w:p w14:paraId="252313DE">
            <w:pPr>
              <w:autoSpaceDE w:val="0"/>
              <w:autoSpaceDN w:val="0"/>
              <w:adjustRightInd w:val="0"/>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注：业绩证明应提供佐证材料</w:t>
            </w:r>
          </w:p>
          <w:p w14:paraId="04CD3211">
            <w:pPr>
              <w:autoSpaceDE w:val="0"/>
              <w:autoSpaceDN w:val="0"/>
              <w:adjustRightInd w:val="0"/>
              <w:snapToGrid w:val="0"/>
              <w:spacing w:line="360" w:lineRule="auto"/>
              <w:jc w:val="center"/>
              <w:rPr>
                <w:rFonts w:ascii="宋体" w:hAnsi="宋体" w:cs="宋体"/>
                <w:color w:val="auto"/>
                <w:szCs w:val="21"/>
                <w:highlight w:val="none"/>
                <w:lang w:val="zh-CN"/>
              </w:rPr>
            </w:pPr>
            <w:r>
              <w:rPr>
                <w:rFonts w:hint="eastAsia" w:ascii="宋体" w:hAnsi="宋体" w:cs="宋体"/>
                <w:color w:val="auto"/>
                <w:szCs w:val="21"/>
                <w:highlight w:val="none"/>
              </w:rPr>
              <w:t>（服务合同或中标通知书）。</w:t>
            </w:r>
          </w:p>
        </w:tc>
      </w:tr>
      <w:tr w14:paraId="128B3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7C3120DE">
            <w:pPr>
              <w:autoSpaceDE w:val="0"/>
              <w:autoSpaceDN w:val="0"/>
              <w:adjustRightInd w:val="0"/>
              <w:snapToGrid w:val="0"/>
              <w:spacing w:line="360" w:lineRule="auto"/>
              <w:jc w:val="center"/>
              <w:rPr>
                <w:rFonts w:ascii="宋体" w:hAnsi="宋体" w:cs="宋体"/>
                <w:b/>
                <w:bCs/>
                <w:color w:val="auto"/>
                <w:szCs w:val="21"/>
                <w:highlight w:val="none"/>
                <w:lang w:val="zh-CN"/>
              </w:rPr>
            </w:pPr>
            <w:r>
              <w:rPr>
                <w:rFonts w:hint="eastAsia" w:ascii="宋体" w:hAnsi="宋体" w:cs="宋体"/>
                <w:b/>
                <w:bCs/>
                <w:color w:val="auto"/>
                <w:szCs w:val="21"/>
                <w:highlight w:val="none"/>
                <w:lang w:val="zh-CN"/>
              </w:rPr>
              <w:t>年龄</w:t>
            </w:r>
          </w:p>
        </w:tc>
        <w:tc>
          <w:tcPr>
            <w:tcW w:w="2967" w:type="dxa"/>
            <w:vAlign w:val="center"/>
          </w:tcPr>
          <w:p w14:paraId="4CF05B89">
            <w:pPr>
              <w:autoSpaceDE w:val="0"/>
              <w:autoSpaceDN w:val="0"/>
              <w:adjustRightInd w:val="0"/>
              <w:snapToGrid w:val="0"/>
              <w:spacing w:line="360" w:lineRule="auto"/>
              <w:jc w:val="center"/>
              <w:rPr>
                <w:rFonts w:ascii="宋体" w:hAnsi="宋体" w:cs="宋体"/>
                <w:color w:val="auto"/>
                <w:szCs w:val="21"/>
                <w:highlight w:val="none"/>
                <w:lang w:val="zh-CN"/>
              </w:rPr>
            </w:pPr>
          </w:p>
        </w:tc>
        <w:tc>
          <w:tcPr>
            <w:tcW w:w="3685" w:type="dxa"/>
            <w:vMerge w:val="continue"/>
            <w:tcBorders>
              <w:right w:val="single" w:color="auto" w:sz="12" w:space="0"/>
            </w:tcBorders>
            <w:vAlign w:val="center"/>
          </w:tcPr>
          <w:p w14:paraId="3546B832">
            <w:pPr>
              <w:autoSpaceDE w:val="0"/>
              <w:autoSpaceDN w:val="0"/>
              <w:adjustRightInd w:val="0"/>
              <w:snapToGrid w:val="0"/>
              <w:spacing w:line="360" w:lineRule="auto"/>
              <w:jc w:val="center"/>
              <w:rPr>
                <w:rFonts w:ascii="宋体" w:hAnsi="宋体" w:cs="宋体"/>
                <w:color w:val="auto"/>
                <w:szCs w:val="21"/>
                <w:highlight w:val="none"/>
                <w:lang w:val="zh-CN"/>
              </w:rPr>
            </w:pPr>
          </w:p>
        </w:tc>
      </w:tr>
      <w:tr w14:paraId="6ADC5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53AAAF0F">
            <w:pPr>
              <w:autoSpaceDE w:val="0"/>
              <w:autoSpaceDN w:val="0"/>
              <w:adjustRightInd w:val="0"/>
              <w:snapToGrid w:val="0"/>
              <w:spacing w:line="360" w:lineRule="auto"/>
              <w:jc w:val="center"/>
              <w:rPr>
                <w:rFonts w:ascii="宋体" w:hAnsi="宋体" w:cs="宋体"/>
                <w:b/>
                <w:bCs/>
                <w:color w:val="auto"/>
                <w:szCs w:val="21"/>
                <w:highlight w:val="none"/>
                <w:lang w:val="zh-CN"/>
              </w:rPr>
            </w:pPr>
            <w:r>
              <w:rPr>
                <w:rFonts w:hint="eastAsia" w:ascii="宋体" w:hAnsi="宋体" w:cs="宋体"/>
                <w:b/>
                <w:bCs/>
                <w:color w:val="auto"/>
                <w:szCs w:val="21"/>
                <w:highlight w:val="none"/>
                <w:lang w:val="zh-CN"/>
              </w:rPr>
              <w:t>职称</w:t>
            </w:r>
          </w:p>
        </w:tc>
        <w:tc>
          <w:tcPr>
            <w:tcW w:w="2967" w:type="dxa"/>
            <w:vAlign w:val="center"/>
          </w:tcPr>
          <w:p w14:paraId="67F443E9">
            <w:pPr>
              <w:autoSpaceDE w:val="0"/>
              <w:autoSpaceDN w:val="0"/>
              <w:adjustRightInd w:val="0"/>
              <w:snapToGrid w:val="0"/>
              <w:spacing w:line="360" w:lineRule="auto"/>
              <w:jc w:val="center"/>
              <w:rPr>
                <w:rFonts w:ascii="宋体" w:hAnsi="宋体" w:cs="宋体"/>
                <w:color w:val="auto"/>
                <w:szCs w:val="21"/>
                <w:highlight w:val="none"/>
                <w:lang w:val="zh-CN"/>
              </w:rPr>
            </w:pPr>
          </w:p>
        </w:tc>
        <w:tc>
          <w:tcPr>
            <w:tcW w:w="3685" w:type="dxa"/>
            <w:vMerge w:val="continue"/>
            <w:tcBorders>
              <w:right w:val="single" w:color="auto" w:sz="12" w:space="0"/>
            </w:tcBorders>
            <w:vAlign w:val="center"/>
          </w:tcPr>
          <w:p w14:paraId="0C036641">
            <w:pPr>
              <w:autoSpaceDE w:val="0"/>
              <w:autoSpaceDN w:val="0"/>
              <w:adjustRightInd w:val="0"/>
              <w:snapToGrid w:val="0"/>
              <w:spacing w:line="360" w:lineRule="auto"/>
              <w:jc w:val="center"/>
              <w:rPr>
                <w:rFonts w:ascii="宋体" w:hAnsi="宋体" w:cs="宋体"/>
                <w:color w:val="auto"/>
                <w:szCs w:val="21"/>
                <w:highlight w:val="none"/>
                <w:lang w:val="zh-CN"/>
              </w:rPr>
            </w:pPr>
          </w:p>
        </w:tc>
      </w:tr>
      <w:tr w14:paraId="0AFE4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1AEAB736">
            <w:pPr>
              <w:autoSpaceDE w:val="0"/>
              <w:autoSpaceDN w:val="0"/>
              <w:adjustRightInd w:val="0"/>
              <w:snapToGrid w:val="0"/>
              <w:spacing w:line="360" w:lineRule="auto"/>
              <w:jc w:val="center"/>
              <w:rPr>
                <w:rFonts w:ascii="宋体" w:hAnsi="宋体" w:cs="宋体"/>
                <w:b/>
                <w:bCs/>
                <w:color w:val="auto"/>
                <w:szCs w:val="21"/>
                <w:highlight w:val="none"/>
                <w:lang w:val="zh-CN"/>
              </w:rPr>
            </w:pPr>
            <w:r>
              <w:rPr>
                <w:rFonts w:hint="eastAsia" w:ascii="宋体" w:hAnsi="宋体" w:cs="宋体"/>
                <w:b/>
                <w:bCs/>
                <w:color w:val="auto"/>
                <w:szCs w:val="21"/>
                <w:highlight w:val="none"/>
                <w:lang w:val="zh-CN"/>
              </w:rPr>
              <w:t>毕业时间</w:t>
            </w:r>
          </w:p>
        </w:tc>
        <w:tc>
          <w:tcPr>
            <w:tcW w:w="2967" w:type="dxa"/>
            <w:vAlign w:val="center"/>
          </w:tcPr>
          <w:p w14:paraId="0F372A84">
            <w:pPr>
              <w:autoSpaceDE w:val="0"/>
              <w:autoSpaceDN w:val="0"/>
              <w:adjustRightInd w:val="0"/>
              <w:snapToGrid w:val="0"/>
              <w:spacing w:line="360" w:lineRule="auto"/>
              <w:jc w:val="center"/>
              <w:rPr>
                <w:rFonts w:ascii="宋体" w:hAnsi="宋体" w:cs="宋体"/>
                <w:color w:val="auto"/>
                <w:szCs w:val="21"/>
                <w:highlight w:val="none"/>
                <w:lang w:val="zh-CN"/>
              </w:rPr>
            </w:pPr>
          </w:p>
        </w:tc>
        <w:tc>
          <w:tcPr>
            <w:tcW w:w="3685" w:type="dxa"/>
            <w:vMerge w:val="continue"/>
            <w:tcBorders>
              <w:right w:val="single" w:color="auto" w:sz="12" w:space="0"/>
            </w:tcBorders>
            <w:vAlign w:val="center"/>
          </w:tcPr>
          <w:p w14:paraId="4BEB8C09">
            <w:pPr>
              <w:autoSpaceDE w:val="0"/>
              <w:autoSpaceDN w:val="0"/>
              <w:adjustRightInd w:val="0"/>
              <w:snapToGrid w:val="0"/>
              <w:spacing w:line="360" w:lineRule="auto"/>
              <w:jc w:val="center"/>
              <w:rPr>
                <w:rFonts w:ascii="宋体" w:hAnsi="宋体" w:cs="宋体"/>
                <w:color w:val="auto"/>
                <w:szCs w:val="21"/>
                <w:highlight w:val="none"/>
                <w:lang w:val="zh-CN"/>
              </w:rPr>
            </w:pPr>
          </w:p>
        </w:tc>
      </w:tr>
      <w:tr w14:paraId="7584E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6A01BD8B">
            <w:pPr>
              <w:autoSpaceDE w:val="0"/>
              <w:autoSpaceDN w:val="0"/>
              <w:adjustRightInd w:val="0"/>
              <w:snapToGrid w:val="0"/>
              <w:spacing w:line="360" w:lineRule="auto"/>
              <w:jc w:val="center"/>
              <w:rPr>
                <w:rFonts w:ascii="宋体" w:hAnsi="宋体" w:cs="宋体"/>
                <w:b/>
                <w:bCs/>
                <w:color w:val="auto"/>
                <w:szCs w:val="21"/>
                <w:highlight w:val="none"/>
                <w:lang w:val="zh-CN"/>
              </w:rPr>
            </w:pPr>
            <w:r>
              <w:rPr>
                <w:rFonts w:hint="eastAsia" w:ascii="宋体" w:hAnsi="宋体" w:cs="宋体"/>
                <w:b/>
                <w:bCs/>
                <w:color w:val="auto"/>
                <w:szCs w:val="21"/>
                <w:highlight w:val="none"/>
                <w:lang w:val="zh-CN"/>
              </w:rPr>
              <w:t>学校专业</w:t>
            </w:r>
          </w:p>
        </w:tc>
        <w:tc>
          <w:tcPr>
            <w:tcW w:w="2967" w:type="dxa"/>
            <w:vAlign w:val="center"/>
          </w:tcPr>
          <w:p w14:paraId="575FD3C2">
            <w:pPr>
              <w:autoSpaceDE w:val="0"/>
              <w:autoSpaceDN w:val="0"/>
              <w:adjustRightInd w:val="0"/>
              <w:snapToGrid w:val="0"/>
              <w:spacing w:line="360" w:lineRule="auto"/>
              <w:jc w:val="center"/>
              <w:rPr>
                <w:rFonts w:ascii="宋体" w:hAnsi="宋体" w:cs="宋体"/>
                <w:color w:val="auto"/>
                <w:szCs w:val="21"/>
                <w:highlight w:val="none"/>
                <w:lang w:val="zh-CN"/>
              </w:rPr>
            </w:pPr>
          </w:p>
        </w:tc>
        <w:tc>
          <w:tcPr>
            <w:tcW w:w="3685" w:type="dxa"/>
            <w:vMerge w:val="continue"/>
            <w:tcBorders>
              <w:right w:val="single" w:color="auto" w:sz="12" w:space="0"/>
            </w:tcBorders>
            <w:vAlign w:val="center"/>
          </w:tcPr>
          <w:p w14:paraId="209FC0CF">
            <w:pPr>
              <w:autoSpaceDE w:val="0"/>
              <w:autoSpaceDN w:val="0"/>
              <w:adjustRightInd w:val="0"/>
              <w:snapToGrid w:val="0"/>
              <w:spacing w:line="360" w:lineRule="auto"/>
              <w:jc w:val="center"/>
              <w:rPr>
                <w:rFonts w:ascii="宋体" w:hAnsi="宋体" w:cs="宋体"/>
                <w:color w:val="auto"/>
                <w:szCs w:val="21"/>
                <w:highlight w:val="none"/>
                <w:lang w:val="zh-CN"/>
              </w:rPr>
            </w:pPr>
          </w:p>
        </w:tc>
      </w:tr>
      <w:tr w14:paraId="685B1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75EF6D1A">
            <w:pPr>
              <w:autoSpaceDE w:val="0"/>
              <w:autoSpaceDN w:val="0"/>
              <w:adjustRightInd w:val="0"/>
              <w:snapToGrid w:val="0"/>
              <w:spacing w:line="360" w:lineRule="auto"/>
              <w:jc w:val="center"/>
              <w:rPr>
                <w:rFonts w:ascii="宋体" w:hAnsi="宋体" w:cs="宋体"/>
                <w:b/>
                <w:bCs/>
                <w:color w:val="auto"/>
                <w:szCs w:val="21"/>
                <w:highlight w:val="none"/>
                <w:lang w:val="zh-CN"/>
              </w:rPr>
            </w:pPr>
            <w:r>
              <w:rPr>
                <w:rFonts w:hint="eastAsia" w:ascii="宋体" w:hAnsi="宋体" w:cs="宋体"/>
                <w:b/>
                <w:bCs/>
                <w:color w:val="auto"/>
                <w:szCs w:val="21"/>
                <w:highlight w:val="none"/>
                <w:lang w:val="zh-CN"/>
              </w:rPr>
              <w:t>联系电话</w:t>
            </w:r>
          </w:p>
        </w:tc>
        <w:tc>
          <w:tcPr>
            <w:tcW w:w="2967" w:type="dxa"/>
            <w:vAlign w:val="center"/>
          </w:tcPr>
          <w:p w14:paraId="1576C6BB">
            <w:pPr>
              <w:autoSpaceDE w:val="0"/>
              <w:autoSpaceDN w:val="0"/>
              <w:adjustRightInd w:val="0"/>
              <w:snapToGrid w:val="0"/>
              <w:spacing w:line="360" w:lineRule="auto"/>
              <w:jc w:val="center"/>
              <w:rPr>
                <w:rFonts w:ascii="宋体" w:hAnsi="宋体" w:cs="宋体"/>
                <w:color w:val="auto"/>
                <w:szCs w:val="21"/>
                <w:highlight w:val="none"/>
                <w:lang w:val="zh-CN"/>
              </w:rPr>
            </w:pPr>
          </w:p>
        </w:tc>
        <w:tc>
          <w:tcPr>
            <w:tcW w:w="3685" w:type="dxa"/>
            <w:vMerge w:val="continue"/>
            <w:tcBorders>
              <w:right w:val="single" w:color="auto" w:sz="12" w:space="0"/>
            </w:tcBorders>
            <w:vAlign w:val="center"/>
          </w:tcPr>
          <w:p w14:paraId="4209B226">
            <w:pPr>
              <w:autoSpaceDE w:val="0"/>
              <w:autoSpaceDN w:val="0"/>
              <w:adjustRightInd w:val="0"/>
              <w:snapToGrid w:val="0"/>
              <w:spacing w:line="360" w:lineRule="auto"/>
              <w:jc w:val="center"/>
              <w:rPr>
                <w:rFonts w:ascii="宋体" w:hAnsi="宋体" w:cs="宋体"/>
                <w:color w:val="auto"/>
                <w:szCs w:val="21"/>
                <w:highlight w:val="none"/>
                <w:lang w:val="zh-CN"/>
              </w:rPr>
            </w:pPr>
          </w:p>
        </w:tc>
      </w:tr>
      <w:tr w14:paraId="5572C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0DCE35B0">
            <w:pPr>
              <w:autoSpaceDE w:val="0"/>
              <w:autoSpaceDN w:val="0"/>
              <w:adjustRightInd w:val="0"/>
              <w:snapToGrid w:val="0"/>
              <w:spacing w:line="360" w:lineRule="auto"/>
              <w:jc w:val="center"/>
              <w:rPr>
                <w:rFonts w:ascii="宋体" w:hAnsi="宋体" w:cs="宋体"/>
                <w:b/>
                <w:bCs/>
                <w:color w:val="auto"/>
                <w:szCs w:val="21"/>
                <w:highlight w:val="none"/>
                <w:lang w:val="zh-CN"/>
              </w:rPr>
            </w:pPr>
            <w:r>
              <w:rPr>
                <w:rFonts w:hint="eastAsia" w:ascii="宋体" w:hAnsi="宋体" w:cs="宋体"/>
                <w:b/>
                <w:bCs/>
                <w:color w:val="auto"/>
                <w:szCs w:val="21"/>
                <w:highlight w:val="none"/>
              </w:rPr>
              <w:t>最近一年工作状况</w:t>
            </w:r>
          </w:p>
        </w:tc>
        <w:tc>
          <w:tcPr>
            <w:tcW w:w="2967" w:type="dxa"/>
            <w:vAlign w:val="center"/>
          </w:tcPr>
          <w:p w14:paraId="79522AB5">
            <w:pPr>
              <w:autoSpaceDE w:val="0"/>
              <w:autoSpaceDN w:val="0"/>
              <w:adjustRightInd w:val="0"/>
              <w:snapToGrid w:val="0"/>
              <w:spacing w:line="360" w:lineRule="auto"/>
              <w:jc w:val="center"/>
              <w:rPr>
                <w:rFonts w:ascii="宋体" w:hAnsi="宋体" w:cs="宋体"/>
                <w:color w:val="auto"/>
                <w:szCs w:val="21"/>
                <w:highlight w:val="none"/>
                <w:lang w:val="zh-CN"/>
              </w:rPr>
            </w:pPr>
          </w:p>
        </w:tc>
        <w:tc>
          <w:tcPr>
            <w:tcW w:w="3685" w:type="dxa"/>
            <w:vMerge w:val="continue"/>
            <w:tcBorders>
              <w:right w:val="single" w:color="auto" w:sz="12" w:space="0"/>
            </w:tcBorders>
            <w:vAlign w:val="center"/>
          </w:tcPr>
          <w:p w14:paraId="3013224A">
            <w:pPr>
              <w:autoSpaceDE w:val="0"/>
              <w:autoSpaceDN w:val="0"/>
              <w:adjustRightInd w:val="0"/>
              <w:snapToGrid w:val="0"/>
              <w:spacing w:line="360" w:lineRule="auto"/>
              <w:jc w:val="center"/>
              <w:rPr>
                <w:rFonts w:ascii="宋体" w:hAnsi="宋体" w:cs="宋体"/>
                <w:color w:val="auto"/>
                <w:szCs w:val="21"/>
                <w:highlight w:val="none"/>
                <w:lang w:val="zh-CN"/>
              </w:rPr>
            </w:pPr>
          </w:p>
        </w:tc>
      </w:tr>
      <w:tr w14:paraId="18763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974" w:type="dxa"/>
            <w:tcBorders>
              <w:left w:val="single" w:color="auto" w:sz="12" w:space="0"/>
              <w:bottom w:val="single" w:color="auto" w:sz="12" w:space="0"/>
            </w:tcBorders>
            <w:vAlign w:val="center"/>
          </w:tcPr>
          <w:p w14:paraId="2B4133CA">
            <w:pPr>
              <w:autoSpaceDE w:val="0"/>
              <w:autoSpaceDN w:val="0"/>
              <w:adjustRightInd w:val="0"/>
              <w:snapToGrid w:val="0"/>
              <w:spacing w:line="360" w:lineRule="auto"/>
              <w:jc w:val="center"/>
              <w:rPr>
                <w:rFonts w:ascii="宋体" w:hAnsi="宋体" w:cs="宋体"/>
                <w:b/>
                <w:bCs/>
                <w:color w:val="auto"/>
                <w:szCs w:val="21"/>
                <w:highlight w:val="none"/>
                <w:lang w:val="zh-CN"/>
              </w:rPr>
            </w:pPr>
            <w:r>
              <w:rPr>
                <w:rFonts w:hint="eastAsia" w:ascii="宋体" w:hAnsi="宋体" w:cs="宋体"/>
                <w:b/>
                <w:bCs/>
                <w:color w:val="auto"/>
                <w:szCs w:val="21"/>
                <w:highlight w:val="none"/>
                <w:lang w:val="zh-CN"/>
              </w:rPr>
              <w:t>拟在本项目中担任主要工作</w:t>
            </w:r>
          </w:p>
        </w:tc>
        <w:tc>
          <w:tcPr>
            <w:tcW w:w="6652" w:type="dxa"/>
            <w:gridSpan w:val="2"/>
            <w:tcBorders>
              <w:bottom w:val="single" w:color="auto" w:sz="12" w:space="0"/>
              <w:right w:val="single" w:color="auto" w:sz="12" w:space="0"/>
            </w:tcBorders>
            <w:vAlign w:val="center"/>
          </w:tcPr>
          <w:p w14:paraId="3DE1658B">
            <w:pPr>
              <w:autoSpaceDE w:val="0"/>
              <w:autoSpaceDN w:val="0"/>
              <w:adjustRightInd w:val="0"/>
              <w:snapToGrid w:val="0"/>
              <w:spacing w:line="360" w:lineRule="auto"/>
              <w:jc w:val="center"/>
              <w:rPr>
                <w:rFonts w:ascii="宋体" w:hAnsi="宋体" w:cs="宋体"/>
                <w:color w:val="auto"/>
                <w:szCs w:val="21"/>
                <w:highlight w:val="none"/>
                <w:lang w:val="zh-CN"/>
              </w:rPr>
            </w:pPr>
          </w:p>
        </w:tc>
      </w:tr>
    </w:tbl>
    <w:p w14:paraId="5EABA861">
      <w:pPr>
        <w:spacing w:line="360" w:lineRule="auto"/>
        <w:ind w:left="420"/>
        <w:rPr>
          <w:rFonts w:ascii="宋体" w:hAnsi="宋体" w:cs="宋体"/>
          <w:color w:val="auto"/>
          <w:szCs w:val="21"/>
          <w:highlight w:val="none"/>
        </w:rPr>
      </w:pPr>
    </w:p>
    <w:p w14:paraId="461C2AA8">
      <w:pPr>
        <w:spacing w:line="360" w:lineRule="auto"/>
        <w:ind w:left="420"/>
        <w:rPr>
          <w:rFonts w:ascii="宋体" w:hAnsi="宋体" w:cs="宋体"/>
          <w:color w:val="auto"/>
          <w:szCs w:val="21"/>
          <w:highlight w:val="none"/>
          <w:u w:val="single"/>
        </w:rPr>
      </w:pPr>
      <w:r>
        <w:rPr>
          <w:rFonts w:hint="eastAsia" w:ascii="宋体" w:hAnsi="宋体" w:cs="宋体"/>
          <w:color w:val="auto"/>
          <w:szCs w:val="21"/>
          <w:highlight w:val="none"/>
        </w:rPr>
        <w:t>磋商供应商名称（盖章）：</w:t>
      </w:r>
      <w:r>
        <w:rPr>
          <w:rFonts w:hint="eastAsia" w:ascii="宋体" w:hAnsi="宋体" w:cs="宋体"/>
          <w:color w:val="auto"/>
          <w:szCs w:val="21"/>
          <w:highlight w:val="none"/>
          <w:u w:val="single"/>
        </w:rPr>
        <w:t xml:space="preserve">                                        </w:t>
      </w:r>
    </w:p>
    <w:p w14:paraId="5D924B76">
      <w:pPr>
        <w:spacing w:line="360" w:lineRule="auto"/>
        <w:ind w:left="420"/>
        <w:rPr>
          <w:rFonts w:ascii="宋体" w:hAnsi="宋体" w:cs="宋体"/>
          <w:color w:val="auto"/>
          <w:szCs w:val="21"/>
          <w:highlight w:val="none"/>
        </w:rPr>
      </w:pPr>
      <w:r>
        <w:rPr>
          <w:rFonts w:hint="eastAsia" w:ascii="宋体" w:hAnsi="宋体" w:cs="宋体"/>
          <w:color w:val="auto"/>
          <w:szCs w:val="21"/>
          <w:highlight w:val="none"/>
        </w:rPr>
        <w:t xml:space="preserve"> </w:t>
      </w:r>
    </w:p>
    <w:p w14:paraId="174AFB4D">
      <w:pPr>
        <w:spacing w:line="360" w:lineRule="auto"/>
        <w:ind w:firstLine="435"/>
        <w:rPr>
          <w:rFonts w:ascii="宋体" w:hAnsi="宋体" w:cs="宋体"/>
          <w:color w:val="auto"/>
          <w:szCs w:val="21"/>
          <w:highlight w:val="none"/>
        </w:rPr>
      </w:pPr>
      <w:r>
        <w:rPr>
          <w:rFonts w:hint="eastAsia" w:ascii="宋体" w:hAnsi="宋体" w:cs="宋体"/>
          <w:color w:val="auto"/>
          <w:szCs w:val="21"/>
          <w:highlight w:val="none"/>
        </w:rPr>
        <w:t>法定代表人或授权委托代理人签字或盖章：</w:t>
      </w:r>
      <w:r>
        <w:rPr>
          <w:rFonts w:hint="eastAsia" w:ascii="宋体" w:hAnsi="宋体" w:cs="宋体"/>
          <w:color w:val="auto"/>
          <w:szCs w:val="21"/>
          <w:highlight w:val="none"/>
          <w:u w:val="single"/>
        </w:rPr>
        <w:t xml:space="preserve">                          </w:t>
      </w:r>
    </w:p>
    <w:p w14:paraId="0B6BDED9">
      <w:pPr>
        <w:spacing w:line="360" w:lineRule="auto"/>
        <w:ind w:firstLine="435"/>
        <w:rPr>
          <w:rFonts w:ascii="宋体" w:hAnsi="宋体" w:cs="宋体"/>
          <w:color w:val="auto"/>
          <w:szCs w:val="21"/>
          <w:highlight w:val="none"/>
        </w:rPr>
      </w:pPr>
    </w:p>
    <w:p w14:paraId="0DD29025">
      <w:pPr>
        <w:spacing w:line="360" w:lineRule="auto"/>
        <w:ind w:firstLine="435"/>
        <w:rPr>
          <w:rFonts w:ascii="宋体" w:hAnsi="宋体" w:cs="宋体"/>
          <w:color w:val="auto"/>
          <w:szCs w:val="21"/>
          <w:highlight w:val="none"/>
        </w:rPr>
      </w:pPr>
      <w:r>
        <w:rPr>
          <w:rFonts w:hint="eastAsia" w:ascii="宋体" w:hAnsi="宋体" w:cs="宋体"/>
          <w:color w:val="auto"/>
          <w:szCs w:val="21"/>
          <w:highlight w:val="none"/>
        </w:rPr>
        <w:t>职        务：</w:t>
      </w:r>
      <w:r>
        <w:rPr>
          <w:rFonts w:hint="eastAsia" w:ascii="宋体" w:hAnsi="宋体" w:cs="宋体"/>
          <w:color w:val="auto"/>
          <w:szCs w:val="21"/>
          <w:highlight w:val="none"/>
          <w:u w:val="single"/>
        </w:rPr>
        <w:t xml:space="preserve">                            </w:t>
      </w:r>
    </w:p>
    <w:p w14:paraId="1AA5A38F">
      <w:pPr>
        <w:spacing w:line="360" w:lineRule="auto"/>
        <w:ind w:firstLine="435"/>
        <w:rPr>
          <w:rFonts w:ascii="宋体" w:hAnsi="宋体" w:cs="宋体"/>
          <w:color w:val="auto"/>
          <w:szCs w:val="21"/>
          <w:highlight w:val="none"/>
        </w:rPr>
      </w:pPr>
    </w:p>
    <w:p w14:paraId="6E319403">
      <w:pPr>
        <w:spacing w:line="360" w:lineRule="auto"/>
        <w:ind w:firstLine="435"/>
        <w:rPr>
          <w:rFonts w:ascii="宋体" w:hAnsi="宋体" w:cs="宋体"/>
          <w:b/>
          <w:color w:val="auto"/>
          <w:sz w:val="28"/>
          <w:highlight w:val="none"/>
        </w:rPr>
      </w:pPr>
      <w:r>
        <w:rPr>
          <w:rFonts w:hint="eastAsia" w:ascii="宋体" w:hAnsi="宋体" w:cs="宋体"/>
          <w:color w:val="auto"/>
          <w:szCs w:val="21"/>
          <w:highlight w:val="none"/>
        </w:rPr>
        <w:t>日        期：</w:t>
      </w:r>
      <w:r>
        <w:rPr>
          <w:rFonts w:hint="eastAsia" w:ascii="宋体" w:hAnsi="宋体" w:cs="宋体"/>
          <w:color w:val="auto"/>
          <w:szCs w:val="21"/>
          <w:highlight w:val="none"/>
          <w:u w:val="single"/>
        </w:rPr>
        <w:t xml:space="preserve">                         </w:t>
      </w:r>
      <w:r>
        <w:rPr>
          <w:rFonts w:hint="eastAsia" w:ascii="宋体" w:hAnsi="宋体" w:cs="宋体"/>
          <w:color w:val="auto"/>
          <w:sz w:val="24"/>
          <w:highlight w:val="none"/>
          <w:u w:val="single"/>
        </w:rPr>
        <w:t xml:space="preserve">   </w:t>
      </w:r>
    </w:p>
    <w:p w14:paraId="2E8FB7EF">
      <w:pPr>
        <w:spacing w:line="360" w:lineRule="auto"/>
        <w:rPr>
          <w:rFonts w:ascii="宋体" w:hAnsi="宋体" w:cs="宋体"/>
          <w:b/>
          <w:color w:val="auto"/>
          <w:sz w:val="28"/>
          <w:highlight w:val="none"/>
        </w:rPr>
      </w:pPr>
      <w:r>
        <w:rPr>
          <w:rFonts w:hint="eastAsia" w:ascii="宋体" w:hAnsi="宋体" w:cs="宋体"/>
          <w:b/>
          <w:color w:val="auto"/>
          <w:sz w:val="28"/>
          <w:highlight w:val="none"/>
        </w:rPr>
        <w:t>附件9</w:t>
      </w:r>
    </w:p>
    <w:p w14:paraId="5327A000">
      <w:pPr>
        <w:pStyle w:val="12"/>
        <w:adjustRightInd w:val="0"/>
        <w:snapToGrid w:val="0"/>
        <w:spacing w:line="360" w:lineRule="auto"/>
        <w:jc w:val="center"/>
        <w:rPr>
          <w:rFonts w:hAnsi="宋体" w:cs="宋体"/>
          <w:b/>
          <w:color w:val="auto"/>
          <w:sz w:val="32"/>
          <w:szCs w:val="32"/>
          <w:highlight w:val="none"/>
        </w:rPr>
      </w:pPr>
      <w:r>
        <w:rPr>
          <w:rFonts w:hint="eastAsia" w:hAnsi="宋体" w:cs="宋体"/>
          <w:b/>
          <w:color w:val="auto"/>
          <w:sz w:val="32"/>
          <w:szCs w:val="32"/>
          <w:highlight w:val="none"/>
        </w:rPr>
        <w:t>商务及技术响应表</w:t>
      </w:r>
    </w:p>
    <w:p w14:paraId="23A6DF92">
      <w:pPr>
        <w:pStyle w:val="12"/>
        <w:adjustRightInd w:val="0"/>
        <w:snapToGrid w:val="0"/>
        <w:spacing w:line="360" w:lineRule="auto"/>
        <w:jc w:val="left"/>
        <w:rPr>
          <w:rFonts w:hAnsi="宋体" w:cs="宋体"/>
          <w:b/>
          <w:color w:val="auto"/>
          <w:szCs w:val="21"/>
          <w:highlight w:val="none"/>
        </w:rPr>
      </w:pPr>
      <w:r>
        <w:rPr>
          <w:rFonts w:hint="eastAsia" w:hAnsi="宋体" w:cs="宋体"/>
          <w:b/>
          <w:bCs/>
          <w:color w:val="auto"/>
          <w:szCs w:val="21"/>
          <w:highlight w:val="none"/>
        </w:rPr>
        <w:t>项目名称及编号：</w:t>
      </w:r>
    </w:p>
    <w:tbl>
      <w:tblPr>
        <w:tblStyle w:val="22"/>
        <w:tblW w:w="0" w:type="auto"/>
        <w:tblInd w:w="0" w:type="dxa"/>
        <w:tblLayout w:type="fixed"/>
        <w:tblCellMar>
          <w:top w:w="0" w:type="dxa"/>
          <w:left w:w="108" w:type="dxa"/>
          <w:bottom w:w="0" w:type="dxa"/>
          <w:right w:w="108" w:type="dxa"/>
        </w:tblCellMar>
      </w:tblPr>
      <w:tblGrid>
        <w:gridCol w:w="1202"/>
        <w:gridCol w:w="1831"/>
        <w:gridCol w:w="2160"/>
        <w:gridCol w:w="2127"/>
        <w:gridCol w:w="1472"/>
      </w:tblGrid>
      <w:tr w14:paraId="0FC02040">
        <w:tblPrEx>
          <w:tblCellMar>
            <w:top w:w="0" w:type="dxa"/>
            <w:left w:w="108" w:type="dxa"/>
            <w:bottom w:w="0" w:type="dxa"/>
            <w:right w:w="108" w:type="dxa"/>
          </w:tblCellMar>
        </w:tblPrEx>
        <w:trPr>
          <w:trHeight w:val="690" w:hRule="atLeast"/>
        </w:trPr>
        <w:tc>
          <w:tcPr>
            <w:tcW w:w="1202" w:type="dxa"/>
            <w:tcBorders>
              <w:top w:val="single" w:color="auto" w:sz="4" w:space="0"/>
              <w:left w:val="single" w:color="auto" w:sz="4" w:space="0"/>
              <w:bottom w:val="single" w:color="auto" w:sz="4" w:space="0"/>
              <w:right w:val="single" w:color="auto" w:sz="4" w:space="0"/>
            </w:tcBorders>
            <w:vAlign w:val="center"/>
          </w:tcPr>
          <w:p w14:paraId="38AB71EC">
            <w:pPr>
              <w:pStyle w:val="12"/>
              <w:adjustRightInd w:val="0"/>
              <w:snapToGrid w:val="0"/>
              <w:spacing w:line="360" w:lineRule="auto"/>
              <w:jc w:val="center"/>
              <w:rPr>
                <w:rFonts w:hAnsi="宋体" w:cs="宋体"/>
                <w:b/>
                <w:color w:val="auto"/>
                <w:spacing w:val="10"/>
                <w:kern w:val="0"/>
                <w:szCs w:val="21"/>
                <w:highlight w:val="none"/>
              </w:rPr>
            </w:pPr>
            <w:r>
              <w:rPr>
                <w:rFonts w:hint="eastAsia" w:hAnsi="宋体" w:cs="宋体"/>
                <w:b/>
                <w:color w:val="auto"/>
                <w:spacing w:val="10"/>
                <w:kern w:val="0"/>
                <w:szCs w:val="21"/>
                <w:highlight w:val="none"/>
              </w:rPr>
              <w:t>类别</w:t>
            </w:r>
          </w:p>
        </w:tc>
        <w:tc>
          <w:tcPr>
            <w:tcW w:w="1831" w:type="dxa"/>
            <w:tcBorders>
              <w:top w:val="single" w:color="auto" w:sz="4" w:space="0"/>
              <w:left w:val="single" w:color="auto" w:sz="4" w:space="0"/>
              <w:bottom w:val="single" w:color="auto" w:sz="4" w:space="0"/>
              <w:right w:val="single" w:color="auto" w:sz="4" w:space="0"/>
            </w:tcBorders>
            <w:vAlign w:val="center"/>
          </w:tcPr>
          <w:p w14:paraId="16051CCE">
            <w:pPr>
              <w:pStyle w:val="12"/>
              <w:adjustRightInd w:val="0"/>
              <w:snapToGrid w:val="0"/>
              <w:spacing w:line="360" w:lineRule="auto"/>
              <w:jc w:val="center"/>
              <w:rPr>
                <w:rFonts w:hAnsi="宋体" w:cs="宋体"/>
                <w:b/>
                <w:color w:val="auto"/>
                <w:spacing w:val="10"/>
                <w:kern w:val="0"/>
                <w:szCs w:val="21"/>
                <w:highlight w:val="none"/>
              </w:rPr>
            </w:pPr>
            <w:r>
              <w:rPr>
                <w:rFonts w:hint="eastAsia" w:hAnsi="宋体" w:cs="宋体"/>
                <w:b/>
                <w:color w:val="auto"/>
                <w:spacing w:val="10"/>
                <w:kern w:val="0"/>
                <w:szCs w:val="21"/>
                <w:highlight w:val="none"/>
              </w:rPr>
              <w:t>内容</w:t>
            </w:r>
          </w:p>
        </w:tc>
        <w:tc>
          <w:tcPr>
            <w:tcW w:w="2160" w:type="dxa"/>
            <w:tcBorders>
              <w:top w:val="single" w:color="auto" w:sz="4" w:space="0"/>
              <w:left w:val="single" w:color="auto" w:sz="4" w:space="0"/>
              <w:bottom w:val="single" w:color="auto" w:sz="4" w:space="0"/>
              <w:right w:val="single" w:color="auto" w:sz="4" w:space="0"/>
            </w:tcBorders>
            <w:vAlign w:val="center"/>
          </w:tcPr>
          <w:p w14:paraId="06682EA4">
            <w:pPr>
              <w:pStyle w:val="12"/>
              <w:adjustRightInd w:val="0"/>
              <w:snapToGrid w:val="0"/>
              <w:spacing w:line="360" w:lineRule="auto"/>
              <w:jc w:val="center"/>
              <w:rPr>
                <w:rFonts w:hAnsi="宋体" w:cs="宋体"/>
                <w:b/>
                <w:color w:val="auto"/>
                <w:spacing w:val="10"/>
                <w:kern w:val="0"/>
                <w:szCs w:val="21"/>
                <w:highlight w:val="none"/>
              </w:rPr>
            </w:pPr>
            <w:r>
              <w:rPr>
                <w:rFonts w:hint="eastAsia" w:hAnsi="宋体" w:cs="宋体"/>
                <w:b/>
                <w:color w:val="auto"/>
                <w:spacing w:val="10"/>
                <w:kern w:val="0"/>
                <w:szCs w:val="21"/>
                <w:highlight w:val="none"/>
              </w:rPr>
              <w:t>磋商文件技术要求</w:t>
            </w:r>
          </w:p>
        </w:tc>
        <w:tc>
          <w:tcPr>
            <w:tcW w:w="2127" w:type="dxa"/>
            <w:tcBorders>
              <w:top w:val="single" w:color="auto" w:sz="4" w:space="0"/>
              <w:left w:val="single" w:color="auto" w:sz="4" w:space="0"/>
              <w:bottom w:val="single" w:color="auto" w:sz="4" w:space="0"/>
              <w:right w:val="single" w:color="auto" w:sz="4" w:space="0"/>
            </w:tcBorders>
            <w:vAlign w:val="center"/>
          </w:tcPr>
          <w:p w14:paraId="47B6C040">
            <w:pPr>
              <w:pStyle w:val="12"/>
              <w:adjustRightInd w:val="0"/>
              <w:snapToGrid w:val="0"/>
              <w:spacing w:line="360" w:lineRule="auto"/>
              <w:jc w:val="center"/>
              <w:rPr>
                <w:rFonts w:hAnsi="宋体" w:cs="宋体"/>
                <w:b/>
                <w:color w:val="auto"/>
                <w:spacing w:val="10"/>
                <w:kern w:val="0"/>
                <w:szCs w:val="21"/>
                <w:highlight w:val="none"/>
              </w:rPr>
            </w:pPr>
            <w:r>
              <w:rPr>
                <w:rFonts w:hint="eastAsia" w:hAnsi="宋体" w:cs="宋体"/>
                <w:b/>
                <w:color w:val="auto"/>
                <w:spacing w:val="10"/>
                <w:kern w:val="0"/>
                <w:szCs w:val="21"/>
                <w:highlight w:val="none"/>
              </w:rPr>
              <w:t>磋商响应文件技术响应</w:t>
            </w:r>
          </w:p>
        </w:tc>
        <w:tc>
          <w:tcPr>
            <w:tcW w:w="1472" w:type="dxa"/>
            <w:tcBorders>
              <w:top w:val="single" w:color="auto" w:sz="4" w:space="0"/>
              <w:left w:val="single" w:color="auto" w:sz="4" w:space="0"/>
              <w:bottom w:val="single" w:color="auto" w:sz="4" w:space="0"/>
              <w:right w:val="single" w:color="auto" w:sz="4" w:space="0"/>
            </w:tcBorders>
            <w:vAlign w:val="center"/>
          </w:tcPr>
          <w:p w14:paraId="4E0074F2">
            <w:pPr>
              <w:pStyle w:val="12"/>
              <w:adjustRightInd w:val="0"/>
              <w:snapToGrid w:val="0"/>
              <w:spacing w:line="360" w:lineRule="auto"/>
              <w:jc w:val="center"/>
              <w:rPr>
                <w:rFonts w:hAnsi="宋体" w:cs="宋体"/>
                <w:b/>
                <w:color w:val="auto"/>
                <w:spacing w:val="10"/>
                <w:kern w:val="0"/>
                <w:szCs w:val="21"/>
                <w:highlight w:val="none"/>
              </w:rPr>
            </w:pPr>
            <w:r>
              <w:rPr>
                <w:rFonts w:hint="eastAsia" w:hAnsi="宋体" w:cs="宋体"/>
                <w:b/>
                <w:color w:val="auto"/>
                <w:spacing w:val="10"/>
                <w:kern w:val="0"/>
                <w:szCs w:val="21"/>
                <w:highlight w:val="none"/>
              </w:rPr>
              <w:t>偏离情况</w:t>
            </w:r>
          </w:p>
        </w:tc>
      </w:tr>
      <w:tr w14:paraId="6003528E">
        <w:tblPrEx>
          <w:tblCellMar>
            <w:top w:w="0" w:type="dxa"/>
            <w:left w:w="108" w:type="dxa"/>
            <w:bottom w:w="0" w:type="dxa"/>
            <w:right w:w="108" w:type="dxa"/>
          </w:tblCellMar>
        </w:tblPrEx>
        <w:trPr>
          <w:trHeight w:val="519" w:hRule="atLeast"/>
        </w:trPr>
        <w:tc>
          <w:tcPr>
            <w:tcW w:w="1202" w:type="dxa"/>
            <w:vMerge w:val="restart"/>
            <w:tcBorders>
              <w:top w:val="single" w:color="auto" w:sz="4" w:space="0"/>
              <w:left w:val="single" w:color="auto" w:sz="4" w:space="0"/>
              <w:right w:val="single" w:color="auto" w:sz="4" w:space="0"/>
            </w:tcBorders>
            <w:vAlign w:val="center"/>
          </w:tcPr>
          <w:p w14:paraId="5FB54EA7">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商务响应情况</w:t>
            </w:r>
          </w:p>
        </w:tc>
        <w:tc>
          <w:tcPr>
            <w:tcW w:w="1831" w:type="dxa"/>
            <w:tcBorders>
              <w:top w:val="single" w:color="auto" w:sz="4" w:space="0"/>
              <w:left w:val="single" w:color="auto" w:sz="4" w:space="0"/>
              <w:bottom w:val="single" w:color="auto" w:sz="4" w:space="0"/>
              <w:right w:val="single" w:color="auto" w:sz="4" w:space="0"/>
            </w:tcBorders>
            <w:vAlign w:val="center"/>
          </w:tcPr>
          <w:p w14:paraId="046A6CFE">
            <w:pPr>
              <w:jc w:val="center"/>
              <w:rPr>
                <w:rFonts w:ascii="宋体" w:hAnsi="宋体" w:cs="宋体"/>
                <w:color w:val="auto"/>
                <w:szCs w:val="21"/>
                <w:highlight w:val="none"/>
              </w:rPr>
            </w:pPr>
            <w:r>
              <w:rPr>
                <w:rFonts w:hint="eastAsia" w:ascii="宋体" w:hAnsi="宋体" w:cs="宋体"/>
                <w:color w:val="auto"/>
                <w:szCs w:val="21"/>
                <w:highlight w:val="none"/>
              </w:rPr>
              <w:t>服务期</w:t>
            </w:r>
          </w:p>
        </w:tc>
        <w:tc>
          <w:tcPr>
            <w:tcW w:w="2160" w:type="dxa"/>
            <w:tcBorders>
              <w:top w:val="single" w:color="auto" w:sz="4" w:space="0"/>
              <w:left w:val="single" w:color="auto" w:sz="4" w:space="0"/>
              <w:bottom w:val="single" w:color="auto" w:sz="4" w:space="0"/>
              <w:right w:val="single" w:color="auto" w:sz="4" w:space="0"/>
            </w:tcBorders>
          </w:tcPr>
          <w:p w14:paraId="14237C84">
            <w:pPr>
              <w:pStyle w:val="12"/>
              <w:adjustRightInd w:val="0"/>
              <w:snapToGrid w:val="0"/>
              <w:spacing w:line="360" w:lineRule="auto"/>
              <w:jc w:val="center"/>
              <w:rPr>
                <w:rFonts w:hAnsi="宋体" w:cs="宋体"/>
                <w:color w:val="auto"/>
                <w:spacing w:val="20"/>
                <w:szCs w:val="21"/>
                <w:highlight w:val="none"/>
              </w:rPr>
            </w:pPr>
          </w:p>
        </w:tc>
        <w:tc>
          <w:tcPr>
            <w:tcW w:w="2127" w:type="dxa"/>
            <w:tcBorders>
              <w:top w:val="single" w:color="auto" w:sz="4" w:space="0"/>
              <w:left w:val="single" w:color="auto" w:sz="4" w:space="0"/>
              <w:bottom w:val="single" w:color="auto" w:sz="4" w:space="0"/>
              <w:right w:val="single" w:color="auto" w:sz="4" w:space="0"/>
            </w:tcBorders>
            <w:vAlign w:val="center"/>
          </w:tcPr>
          <w:p w14:paraId="251BF888">
            <w:pPr>
              <w:pStyle w:val="12"/>
              <w:adjustRightInd w:val="0"/>
              <w:snapToGrid w:val="0"/>
              <w:spacing w:line="360" w:lineRule="auto"/>
              <w:jc w:val="center"/>
              <w:rPr>
                <w:rFonts w:hAnsi="宋体" w:cs="宋体"/>
                <w:color w:val="auto"/>
                <w:spacing w:val="20"/>
                <w:szCs w:val="21"/>
                <w:highlight w:val="none"/>
              </w:rPr>
            </w:pPr>
          </w:p>
        </w:tc>
        <w:tc>
          <w:tcPr>
            <w:tcW w:w="1472" w:type="dxa"/>
            <w:tcBorders>
              <w:top w:val="single" w:color="auto" w:sz="4" w:space="0"/>
              <w:left w:val="single" w:color="auto" w:sz="4" w:space="0"/>
              <w:bottom w:val="single" w:color="auto" w:sz="4" w:space="0"/>
              <w:right w:val="single" w:color="auto" w:sz="4" w:space="0"/>
            </w:tcBorders>
            <w:vAlign w:val="center"/>
          </w:tcPr>
          <w:p w14:paraId="1C9DEFA7">
            <w:pPr>
              <w:pStyle w:val="12"/>
              <w:adjustRightInd w:val="0"/>
              <w:snapToGrid w:val="0"/>
              <w:spacing w:line="360" w:lineRule="auto"/>
              <w:jc w:val="center"/>
              <w:rPr>
                <w:rFonts w:hAnsi="宋体" w:cs="宋体"/>
                <w:color w:val="auto"/>
                <w:spacing w:val="20"/>
                <w:szCs w:val="21"/>
                <w:highlight w:val="none"/>
              </w:rPr>
            </w:pPr>
          </w:p>
        </w:tc>
      </w:tr>
      <w:tr w14:paraId="2C0B0E79">
        <w:tblPrEx>
          <w:tblCellMar>
            <w:top w:w="0" w:type="dxa"/>
            <w:left w:w="108" w:type="dxa"/>
            <w:bottom w:w="0" w:type="dxa"/>
            <w:right w:w="108" w:type="dxa"/>
          </w:tblCellMar>
        </w:tblPrEx>
        <w:trPr>
          <w:trHeight w:val="519" w:hRule="atLeast"/>
        </w:trPr>
        <w:tc>
          <w:tcPr>
            <w:tcW w:w="1202" w:type="dxa"/>
            <w:vMerge w:val="continue"/>
            <w:tcBorders>
              <w:left w:val="single" w:color="auto" w:sz="4" w:space="0"/>
              <w:right w:val="single" w:color="auto" w:sz="4" w:space="0"/>
            </w:tcBorders>
            <w:vAlign w:val="center"/>
          </w:tcPr>
          <w:p w14:paraId="62304335">
            <w:pPr>
              <w:widowControl/>
              <w:jc w:val="center"/>
              <w:rPr>
                <w:rFonts w:ascii="宋体" w:hAnsi="宋体" w:cs="宋体"/>
                <w:color w:val="auto"/>
                <w:kern w:val="0"/>
                <w:szCs w:val="21"/>
                <w:highlight w:val="none"/>
              </w:rPr>
            </w:pPr>
          </w:p>
        </w:tc>
        <w:tc>
          <w:tcPr>
            <w:tcW w:w="1831" w:type="dxa"/>
            <w:tcBorders>
              <w:top w:val="single" w:color="auto" w:sz="4" w:space="0"/>
              <w:left w:val="single" w:color="auto" w:sz="4" w:space="0"/>
              <w:bottom w:val="single" w:color="auto" w:sz="4" w:space="0"/>
              <w:right w:val="single" w:color="auto" w:sz="4" w:space="0"/>
            </w:tcBorders>
            <w:vAlign w:val="center"/>
          </w:tcPr>
          <w:p w14:paraId="71735C35">
            <w:pPr>
              <w:jc w:val="center"/>
              <w:rPr>
                <w:rFonts w:ascii="宋体" w:hAnsi="宋体" w:cs="宋体"/>
                <w:color w:val="auto"/>
                <w:szCs w:val="21"/>
                <w:highlight w:val="none"/>
              </w:rPr>
            </w:pPr>
            <w:r>
              <w:rPr>
                <w:rFonts w:hint="eastAsia" w:ascii="宋体" w:hAnsi="宋体" w:cs="宋体"/>
                <w:color w:val="auto"/>
                <w:szCs w:val="21"/>
                <w:highlight w:val="none"/>
              </w:rPr>
              <w:t>付款方式</w:t>
            </w:r>
          </w:p>
        </w:tc>
        <w:tc>
          <w:tcPr>
            <w:tcW w:w="2160" w:type="dxa"/>
            <w:tcBorders>
              <w:top w:val="single" w:color="auto" w:sz="4" w:space="0"/>
              <w:left w:val="single" w:color="auto" w:sz="4" w:space="0"/>
              <w:bottom w:val="single" w:color="auto" w:sz="4" w:space="0"/>
              <w:right w:val="single" w:color="auto" w:sz="4" w:space="0"/>
            </w:tcBorders>
          </w:tcPr>
          <w:p w14:paraId="4B7D3827">
            <w:pPr>
              <w:pStyle w:val="12"/>
              <w:adjustRightInd w:val="0"/>
              <w:snapToGrid w:val="0"/>
              <w:spacing w:line="360" w:lineRule="auto"/>
              <w:jc w:val="center"/>
              <w:rPr>
                <w:rFonts w:hAnsi="宋体" w:cs="宋体"/>
                <w:color w:val="auto"/>
                <w:spacing w:val="20"/>
                <w:szCs w:val="21"/>
                <w:highlight w:val="none"/>
              </w:rPr>
            </w:pPr>
          </w:p>
        </w:tc>
        <w:tc>
          <w:tcPr>
            <w:tcW w:w="2127" w:type="dxa"/>
            <w:tcBorders>
              <w:top w:val="single" w:color="auto" w:sz="4" w:space="0"/>
              <w:left w:val="single" w:color="auto" w:sz="4" w:space="0"/>
              <w:bottom w:val="single" w:color="auto" w:sz="4" w:space="0"/>
              <w:right w:val="single" w:color="auto" w:sz="4" w:space="0"/>
            </w:tcBorders>
            <w:vAlign w:val="center"/>
          </w:tcPr>
          <w:p w14:paraId="1E2B3E84">
            <w:pPr>
              <w:pStyle w:val="12"/>
              <w:adjustRightInd w:val="0"/>
              <w:snapToGrid w:val="0"/>
              <w:spacing w:line="360" w:lineRule="auto"/>
              <w:jc w:val="center"/>
              <w:rPr>
                <w:rFonts w:hAnsi="宋体" w:cs="宋体"/>
                <w:color w:val="auto"/>
                <w:spacing w:val="20"/>
                <w:szCs w:val="21"/>
                <w:highlight w:val="none"/>
              </w:rPr>
            </w:pPr>
          </w:p>
        </w:tc>
        <w:tc>
          <w:tcPr>
            <w:tcW w:w="1472" w:type="dxa"/>
            <w:tcBorders>
              <w:top w:val="single" w:color="auto" w:sz="4" w:space="0"/>
              <w:left w:val="single" w:color="auto" w:sz="4" w:space="0"/>
              <w:bottom w:val="single" w:color="auto" w:sz="4" w:space="0"/>
              <w:right w:val="single" w:color="auto" w:sz="4" w:space="0"/>
            </w:tcBorders>
            <w:vAlign w:val="center"/>
          </w:tcPr>
          <w:p w14:paraId="1D4B6C26">
            <w:pPr>
              <w:pStyle w:val="12"/>
              <w:adjustRightInd w:val="0"/>
              <w:snapToGrid w:val="0"/>
              <w:spacing w:line="360" w:lineRule="auto"/>
              <w:jc w:val="center"/>
              <w:rPr>
                <w:rFonts w:hAnsi="宋体" w:cs="宋体"/>
                <w:color w:val="auto"/>
                <w:spacing w:val="20"/>
                <w:szCs w:val="21"/>
                <w:highlight w:val="none"/>
              </w:rPr>
            </w:pPr>
          </w:p>
        </w:tc>
      </w:tr>
      <w:tr w14:paraId="467E92E3">
        <w:tblPrEx>
          <w:tblCellMar>
            <w:top w:w="0" w:type="dxa"/>
            <w:left w:w="108" w:type="dxa"/>
            <w:bottom w:w="0" w:type="dxa"/>
            <w:right w:w="108" w:type="dxa"/>
          </w:tblCellMar>
        </w:tblPrEx>
        <w:trPr>
          <w:trHeight w:val="519" w:hRule="atLeast"/>
        </w:trPr>
        <w:tc>
          <w:tcPr>
            <w:tcW w:w="1202" w:type="dxa"/>
            <w:vMerge w:val="continue"/>
            <w:tcBorders>
              <w:left w:val="single" w:color="auto" w:sz="4" w:space="0"/>
              <w:right w:val="single" w:color="auto" w:sz="4" w:space="0"/>
            </w:tcBorders>
            <w:vAlign w:val="center"/>
          </w:tcPr>
          <w:p w14:paraId="670E35B6">
            <w:pPr>
              <w:widowControl/>
              <w:jc w:val="center"/>
              <w:rPr>
                <w:rFonts w:ascii="宋体" w:hAnsi="宋体" w:cs="宋体"/>
                <w:color w:val="auto"/>
                <w:kern w:val="0"/>
                <w:szCs w:val="21"/>
                <w:highlight w:val="none"/>
              </w:rPr>
            </w:pPr>
          </w:p>
        </w:tc>
        <w:tc>
          <w:tcPr>
            <w:tcW w:w="1831" w:type="dxa"/>
            <w:tcBorders>
              <w:top w:val="single" w:color="auto" w:sz="4" w:space="0"/>
              <w:left w:val="single" w:color="auto" w:sz="4" w:space="0"/>
              <w:bottom w:val="single" w:color="auto" w:sz="4" w:space="0"/>
              <w:right w:val="single" w:color="auto" w:sz="4" w:space="0"/>
            </w:tcBorders>
            <w:vAlign w:val="center"/>
          </w:tcPr>
          <w:p w14:paraId="69061A00">
            <w:pPr>
              <w:jc w:val="center"/>
              <w:rPr>
                <w:rFonts w:ascii="宋体" w:hAnsi="宋体" w:cs="宋体"/>
                <w:color w:val="auto"/>
                <w:szCs w:val="21"/>
                <w:highlight w:val="none"/>
              </w:rPr>
            </w:pPr>
            <w:r>
              <w:rPr>
                <w:rFonts w:hint="eastAsia" w:ascii="宋体" w:hAnsi="宋体" w:cs="宋体"/>
                <w:color w:val="auto"/>
                <w:szCs w:val="21"/>
                <w:highlight w:val="none"/>
              </w:rPr>
              <w:t>……</w:t>
            </w:r>
          </w:p>
        </w:tc>
        <w:tc>
          <w:tcPr>
            <w:tcW w:w="2160" w:type="dxa"/>
            <w:tcBorders>
              <w:top w:val="single" w:color="auto" w:sz="4" w:space="0"/>
              <w:left w:val="single" w:color="auto" w:sz="4" w:space="0"/>
              <w:bottom w:val="single" w:color="auto" w:sz="4" w:space="0"/>
              <w:right w:val="single" w:color="auto" w:sz="4" w:space="0"/>
            </w:tcBorders>
          </w:tcPr>
          <w:p w14:paraId="0C57F674">
            <w:pPr>
              <w:pStyle w:val="12"/>
              <w:adjustRightInd w:val="0"/>
              <w:snapToGrid w:val="0"/>
              <w:spacing w:line="360" w:lineRule="auto"/>
              <w:jc w:val="center"/>
              <w:rPr>
                <w:rFonts w:hAnsi="宋体" w:cs="宋体"/>
                <w:color w:val="auto"/>
                <w:spacing w:val="20"/>
                <w:szCs w:val="21"/>
                <w:highlight w:val="none"/>
              </w:rPr>
            </w:pPr>
          </w:p>
        </w:tc>
        <w:tc>
          <w:tcPr>
            <w:tcW w:w="2127" w:type="dxa"/>
            <w:tcBorders>
              <w:top w:val="single" w:color="auto" w:sz="4" w:space="0"/>
              <w:left w:val="single" w:color="auto" w:sz="4" w:space="0"/>
              <w:bottom w:val="single" w:color="auto" w:sz="4" w:space="0"/>
              <w:right w:val="single" w:color="auto" w:sz="4" w:space="0"/>
            </w:tcBorders>
            <w:vAlign w:val="center"/>
          </w:tcPr>
          <w:p w14:paraId="514890A2">
            <w:pPr>
              <w:pStyle w:val="12"/>
              <w:adjustRightInd w:val="0"/>
              <w:snapToGrid w:val="0"/>
              <w:spacing w:line="360" w:lineRule="auto"/>
              <w:jc w:val="center"/>
              <w:rPr>
                <w:rFonts w:hAnsi="宋体" w:cs="宋体"/>
                <w:color w:val="auto"/>
                <w:spacing w:val="20"/>
                <w:szCs w:val="21"/>
                <w:highlight w:val="none"/>
              </w:rPr>
            </w:pPr>
          </w:p>
        </w:tc>
        <w:tc>
          <w:tcPr>
            <w:tcW w:w="1472" w:type="dxa"/>
            <w:tcBorders>
              <w:top w:val="single" w:color="auto" w:sz="4" w:space="0"/>
              <w:left w:val="single" w:color="auto" w:sz="4" w:space="0"/>
              <w:bottom w:val="single" w:color="auto" w:sz="4" w:space="0"/>
              <w:right w:val="single" w:color="auto" w:sz="4" w:space="0"/>
            </w:tcBorders>
            <w:vAlign w:val="center"/>
          </w:tcPr>
          <w:p w14:paraId="75C721F9">
            <w:pPr>
              <w:pStyle w:val="12"/>
              <w:adjustRightInd w:val="0"/>
              <w:snapToGrid w:val="0"/>
              <w:spacing w:line="360" w:lineRule="auto"/>
              <w:jc w:val="center"/>
              <w:rPr>
                <w:rFonts w:hAnsi="宋体" w:cs="宋体"/>
                <w:color w:val="auto"/>
                <w:spacing w:val="20"/>
                <w:szCs w:val="21"/>
                <w:highlight w:val="none"/>
              </w:rPr>
            </w:pPr>
          </w:p>
        </w:tc>
      </w:tr>
      <w:tr w14:paraId="4F68AE96">
        <w:tblPrEx>
          <w:tblCellMar>
            <w:top w:w="0" w:type="dxa"/>
            <w:left w:w="108" w:type="dxa"/>
            <w:bottom w:w="0" w:type="dxa"/>
            <w:right w:w="108" w:type="dxa"/>
          </w:tblCellMar>
        </w:tblPrEx>
        <w:trPr>
          <w:trHeight w:val="519" w:hRule="atLeast"/>
        </w:trPr>
        <w:tc>
          <w:tcPr>
            <w:tcW w:w="1202" w:type="dxa"/>
            <w:vMerge w:val="continue"/>
            <w:tcBorders>
              <w:left w:val="single" w:color="auto" w:sz="4" w:space="0"/>
              <w:bottom w:val="single" w:color="auto" w:sz="4" w:space="0"/>
              <w:right w:val="single" w:color="auto" w:sz="4" w:space="0"/>
            </w:tcBorders>
            <w:vAlign w:val="center"/>
          </w:tcPr>
          <w:p w14:paraId="7E5198F2">
            <w:pPr>
              <w:widowControl/>
              <w:jc w:val="center"/>
              <w:rPr>
                <w:rFonts w:ascii="宋体" w:hAnsi="宋体" w:cs="宋体"/>
                <w:color w:val="auto"/>
                <w:kern w:val="0"/>
                <w:szCs w:val="21"/>
                <w:highlight w:val="none"/>
              </w:rPr>
            </w:pPr>
          </w:p>
        </w:tc>
        <w:tc>
          <w:tcPr>
            <w:tcW w:w="1831" w:type="dxa"/>
            <w:tcBorders>
              <w:top w:val="single" w:color="auto" w:sz="4" w:space="0"/>
              <w:left w:val="single" w:color="auto" w:sz="4" w:space="0"/>
              <w:bottom w:val="single" w:color="auto" w:sz="4" w:space="0"/>
              <w:right w:val="single" w:color="auto" w:sz="4" w:space="0"/>
            </w:tcBorders>
            <w:vAlign w:val="center"/>
          </w:tcPr>
          <w:p w14:paraId="09C7CBFA">
            <w:pPr>
              <w:jc w:val="center"/>
              <w:rPr>
                <w:rFonts w:ascii="宋体" w:hAnsi="宋体" w:cs="宋体"/>
                <w:color w:val="auto"/>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14:paraId="53EED224">
            <w:pPr>
              <w:pStyle w:val="12"/>
              <w:adjustRightInd w:val="0"/>
              <w:snapToGrid w:val="0"/>
              <w:spacing w:line="360" w:lineRule="auto"/>
              <w:jc w:val="center"/>
              <w:rPr>
                <w:rFonts w:hAnsi="宋体" w:cs="宋体"/>
                <w:color w:val="auto"/>
                <w:spacing w:val="20"/>
                <w:szCs w:val="21"/>
                <w:highlight w:val="none"/>
              </w:rPr>
            </w:pPr>
          </w:p>
        </w:tc>
        <w:tc>
          <w:tcPr>
            <w:tcW w:w="2127" w:type="dxa"/>
            <w:tcBorders>
              <w:top w:val="single" w:color="auto" w:sz="4" w:space="0"/>
              <w:left w:val="single" w:color="auto" w:sz="4" w:space="0"/>
              <w:bottom w:val="single" w:color="auto" w:sz="4" w:space="0"/>
              <w:right w:val="single" w:color="auto" w:sz="4" w:space="0"/>
            </w:tcBorders>
            <w:vAlign w:val="center"/>
          </w:tcPr>
          <w:p w14:paraId="783F69A3">
            <w:pPr>
              <w:pStyle w:val="12"/>
              <w:adjustRightInd w:val="0"/>
              <w:snapToGrid w:val="0"/>
              <w:spacing w:line="360" w:lineRule="auto"/>
              <w:jc w:val="center"/>
              <w:rPr>
                <w:rFonts w:hAnsi="宋体" w:cs="宋体"/>
                <w:color w:val="auto"/>
                <w:spacing w:val="20"/>
                <w:szCs w:val="21"/>
                <w:highlight w:val="none"/>
              </w:rPr>
            </w:pPr>
          </w:p>
        </w:tc>
        <w:tc>
          <w:tcPr>
            <w:tcW w:w="1472" w:type="dxa"/>
            <w:tcBorders>
              <w:top w:val="single" w:color="auto" w:sz="4" w:space="0"/>
              <w:left w:val="single" w:color="auto" w:sz="4" w:space="0"/>
              <w:bottom w:val="single" w:color="auto" w:sz="4" w:space="0"/>
              <w:right w:val="single" w:color="auto" w:sz="4" w:space="0"/>
            </w:tcBorders>
            <w:vAlign w:val="center"/>
          </w:tcPr>
          <w:p w14:paraId="77D087D8">
            <w:pPr>
              <w:pStyle w:val="12"/>
              <w:adjustRightInd w:val="0"/>
              <w:snapToGrid w:val="0"/>
              <w:spacing w:line="360" w:lineRule="auto"/>
              <w:jc w:val="center"/>
              <w:rPr>
                <w:rFonts w:hAnsi="宋体" w:cs="宋体"/>
                <w:color w:val="auto"/>
                <w:spacing w:val="20"/>
                <w:szCs w:val="21"/>
                <w:highlight w:val="none"/>
              </w:rPr>
            </w:pPr>
          </w:p>
        </w:tc>
      </w:tr>
      <w:tr w14:paraId="06B8D8FE">
        <w:tblPrEx>
          <w:tblCellMar>
            <w:top w:w="0" w:type="dxa"/>
            <w:left w:w="108" w:type="dxa"/>
            <w:bottom w:w="0" w:type="dxa"/>
            <w:right w:w="108" w:type="dxa"/>
          </w:tblCellMar>
        </w:tblPrEx>
        <w:trPr>
          <w:trHeight w:val="690" w:hRule="atLeast"/>
        </w:trPr>
        <w:tc>
          <w:tcPr>
            <w:tcW w:w="1202" w:type="dxa"/>
            <w:tcBorders>
              <w:top w:val="single" w:color="auto" w:sz="4" w:space="0"/>
              <w:left w:val="single" w:color="auto" w:sz="4" w:space="0"/>
              <w:bottom w:val="single" w:color="auto" w:sz="4" w:space="0"/>
              <w:right w:val="single" w:color="auto" w:sz="4" w:space="0"/>
            </w:tcBorders>
            <w:vAlign w:val="center"/>
          </w:tcPr>
          <w:p w14:paraId="2203A3EC">
            <w:pPr>
              <w:pStyle w:val="12"/>
              <w:adjustRightInd w:val="0"/>
              <w:snapToGrid w:val="0"/>
              <w:spacing w:line="360" w:lineRule="auto"/>
              <w:jc w:val="center"/>
              <w:rPr>
                <w:rFonts w:hAnsi="宋体" w:cs="宋体"/>
                <w:b/>
                <w:bCs/>
                <w:color w:val="auto"/>
                <w:kern w:val="0"/>
                <w:szCs w:val="21"/>
                <w:highlight w:val="none"/>
              </w:rPr>
            </w:pPr>
            <w:r>
              <w:rPr>
                <w:rFonts w:hint="eastAsia" w:hAnsi="宋体" w:cs="宋体"/>
                <w:b/>
                <w:bCs/>
                <w:color w:val="auto"/>
                <w:kern w:val="0"/>
                <w:szCs w:val="21"/>
                <w:highlight w:val="none"/>
              </w:rPr>
              <w:t>类别</w:t>
            </w:r>
          </w:p>
        </w:tc>
        <w:tc>
          <w:tcPr>
            <w:tcW w:w="1831" w:type="dxa"/>
            <w:tcBorders>
              <w:top w:val="single" w:color="auto" w:sz="4" w:space="0"/>
              <w:left w:val="single" w:color="auto" w:sz="4" w:space="0"/>
              <w:bottom w:val="single" w:color="auto" w:sz="4" w:space="0"/>
              <w:right w:val="single" w:color="auto" w:sz="4" w:space="0"/>
            </w:tcBorders>
            <w:vAlign w:val="center"/>
          </w:tcPr>
          <w:p w14:paraId="4458394D">
            <w:pPr>
              <w:pStyle w:val="12"/>
              <w:adjustRightInd w:val="0"/>
              <w:snapToGrid w:val="0"/>
              <w:spacing w:line="360" w:lineRule="auto"/>
              <w:jc w:val="center"/>
              <w:rPr>
                <w:rFonts w:hAnsi="宋体" w:cs="宋体"/>
                <w:b/>
                <w:bCs/>
                <w:color w:val="auto"/>
                <w:kern w:val="0"/>
                <w:szCs w:val="21"/>
                <w:highlight w:val="none"/>
              </w:rPr>
            </w:pPr>
            <w:r>
              <w:rPr>
                <w:rFonts w:hint="eastAsia" w:hAnsi="宋体" w:cs="宋体"/>
                <w:b/>
                <w:bCs/>
                <w:color w:val="auto"/>
                <w:kern w:val="0"/>
                <w:szCs w:val="21"/>
                <w:highlight w:val="none"/>
              </w:rPr>
              <w:t>名称</w:t>
            </w:r>
          </w:p>
        </w:tc>
        <w:tc>
          <w:tcPr>
            <w:tcW w:w="2160" w:type="dxa"/>
            <w:tcBorders>
              <w:top w:val="single" w:color="auto" w:sz="4" w:space="0"/>
              <w:left w:val="single" w:color="auto" w:sz="4" w:space="0"/>
              <w:bottom w:val="single" w:color="auto" w:sz="4" w:space="0"/>
              <w:right w:val="single" w:color="auto" w:sz="4" w:space="0"/>
            </w:tcBorders>
            <w:vAlign w:val="center"/>
          </w:tcPr>
          <w:p w14:paraId="359BC86C">
            <w:pPr>
              <w:pStyle w:val="12"/>
              <w:adjustRightInd w:val="0"/>
              <w:snapToGrid w:val="0"/>
              <w:spacing w:line="360" w:lineRule="auto"/>
              <w:jc w:val="center"/>
              <w:rPr>
                <w:rFonts w:hAnsi="宋体" w:cs="宋体"/>
                <w:b/>
                <w:bCs/>
                <w:color w:val="auto"/>
                <w:kern w:val="0"/>
                <w:szCs w:val="21"/>
                <w:highlight w:val="none"/>
              </w:rPr>
            </w:pPr>
            <w:r>
              <w:rPr>
                <w:rFonts w:hint="eastAsia" w:hAnsi="宋体" w:cs="宋体"/>
                <w:b/>
                <w:bCs/>
                <w:color w:val="auto"/>
                <w:kern w:val="0"/>
                <w:szCs w:val="21"/>
                <w:highlight w:val="none"/>
              </w:rPr>
              <w:t>磋商文件技术要求</w:t>
            </w:r>
          </w:p>
        </w:tc>
        <w:tc>
          <w:tcPr>
            <w:tcW w:w="2127" w:type="dxa"/>
            <w:tcBorders>
              <w:top w:val="single" w:color="auto" w:sz="4" w:space="0"/>
              <w:left w:val="single" w:color="auto" w:sz="4" w:space="0"/>
              <w:bottom w:val="single" w:color="auto" w:sz="4" w:space="0"/>
              <w:right w:val="single" w:color="auto" w:sz="4" w:space="0"/>
            </w:tcBorders>
            <w:vAlign w:val="center"/>
          </w:tcPr>
          <w:p w14:paraId="287CC450">
            <w:pPr>
              <w:pStyle w:val="12"/>
              <w:adjustRightInd w:val="0"/>
              <w:snapToGrid w:val="0"/>
              <w:spacing w:line="360" w:lineRule="auto"/>
              <w:jc w:val="center"/>
              <w:rPr>
                <w:rFonts w:hAnsi="宋体" w:cs="宋体"/>
                <w:b/>
                <w:bCs/>
                <w:color w:val="auto"/>
                <w:kern w:val="0"/>
                <w:szCs w:val="21"/>
                <w:highlight w:val="none"/>
              </w:rPr>
            </w:pPr>
            <w:r>
              <w:rPr>
                <w:rFonts w:hint="eastAsia" w:hAnsi="宋体" w:cs="宋体"/>
                <w:b/>
                <w:bCs/>
                <w:color w:val="auto"/>
                <w:kern w:val="0"/>
                <w:szCs w:val="21"/>
                <w:highlight w:val="none"/>
              </w:rPr>
              <w:t>磋商响应技术响应</w:t>
            </w:r>
          </w:p>
        </w:tc>
        <w:tc>
          <w:tcPr>
            <w:tcW w:w="1472" w:type="dxa"/>
            <w:tcBorders>
              <w:top w:val="single" w:color="auto" w:sz="4" w:space="0"/>
              <w:left w:val="single" w:color="auto" w:sz="4" w:space="0"/>
              <w:bottom w:val="single" w:color="auto" w:sz="4" w:space="0"/>
              <w:right w:val="single" w:color="auto" w:sz="4" w:space="0"/>
            </w:tcBorders>
            <w:vAlign w:val="center"/>
          </w:tcPr>
          <w:p w14:paraId="2E62F1EB">
            <w:pPr>
              <w:pStyle w:val="12"/>
              <w:adjustRightInd w:val="0"/>
              <w:snapToGrid w:val="0"/>
              <w:spacing w:line="360" w:lineRule="auto"/>
              <w:jc w:val="center"/>
              <w:rPr>
                <w:rFonts w:hAnsi="宋体" w:cs="宋体"/>
                <w:b/>
                <w:bCs/>
                <w:color w:val="auto"/>
                <w:kern w:val="0"/>
                <w:szCs w:val="21"/>
                <w:highlight w:val="none"/>
              </w:rPr>
            </w:pPr>
            <w:r>
              <w:rPr>
                <w:rFonts w:hint="eastAsia" w:hAnsi="宋体" w:cs="宋体"/>
                <w:b/>
                <w:bCs/>
                <w:color w:val="auto"/>
                <w:kern w:val="0"/>
                <w:szCs w:val="21"/>
                <w:highlight w:val="none"/>
              </w:rPr>
              <w:t>偏离情况</w:t>
            </w:r>
          </w:p>
        </w:tc>
      </w:tr>
      <w:tr w14:paraId="2F47D5D0">
        <w:tblPrEx>
          <w:tblCellMar>
            <w:top w:w="0" w:type="dxa"/>
            <w:left w:w="108" w:type="dxa"/>
            <w:bottom w:w="0" w:type="dxa"/>
            <w:right w:w="108" w:type="dxa"/>
          </w:tblCellMar>
        </w:tblPrEx>
        <w:trPr>
          <w:trHeight w:val="519" w:hRule="atLeast"/>
        </w:trPr>
        <w:tc>
          <w:tcPr>
            <w:tcW w:w="1202" w:type="dxa"/>
            <w:vMerge w:val="restart"/>
            <w:tcBorders>
              <w:top w:val="single" w:color="auto" w:sz="4" w:space="0"/>
              <w:left w:val="single" w:color="auto" w:sz="4" w:space="0"/>
              <w:bottom w:val="single" w:color="auto" w:sz="4" w:space="0"/>
              <w:right w:val="single" w:color="auto" w:sz="4" w:space="0"/>
            </w:tcBorders>
            <w:vAlign w:val="center"/>
          </w:tcPr>
          <w:p w14:paraId="560C1278">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技术响应情况</w:t>
            </w:r>
          </w:p>
        </w:tc>
        <w:tc>
          <w:tcPr>
            <w:tcW w:w="1831" w:type="dxa"/>
            <w:tcBorders>
              <w:top w:val="single" w:color="auto" w:sz="4" w:space="0"/>
              <w:left w:val="single" w:color="auto" w:sz="4" w:space="0"/>
              <w:bottom w:val="single" w:color="auto" w:sz="4" w:space="0"/>
              <w:right w:val="single" w:color="auto" w:sz="4" w:space="0"/>
            </w:tcBorders>
            <w:vAlign w:val="center"/>
          </w:tcPr>
          <w:p w14:paraId="244F5EB7">
            <w:pPr>
              <w:jc w:val="center"/>
              <w:rPr>
                <w:rFonts w:ascii="宋体" w:hAnsi="宋体" w:cs="宋体"/>
                <w:color w:val="auto"/>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14:paraId="4304CB08">
            <w:pPr>
              <w:pStyle w:val="12"/>
              <w:adjustRightInd w:val="0"/>
              <w:snapToGrid w:val="0"/>
              <w:spacing w:line="360" w:lineRule="auto"/>
              <w:jc w:val="center"/>
              <w:rPr>
                <w:rFonts w:hAnsi="宋体" w:cs="宋体"/>
                <w:color w:val="auto"/>
                <w:spacing w:val="20"/>
                <w:szCs w:val="21"/>
                <w:highlight w:val="none"/>
              </w:rPr>
            </w:pPr>
          </w:p>
        </w:tc>
        <w:tc>
          <w:tcPr>
            <w:tcW w:w="2127" w:type="dxa"/>
            <w:tcBorders>
              <w:top w:val="single" w:color="auto" w:sz="4" w:space="0"/>
              <w:left w:val="single" w:color="auto" w:sz="4" w:space="0"/>
              <w:bottom w:val="single" w:color="auto" w:sz="4" w:space="0"/>
              <w:right w:val="single" w:color="auto" w:sz="4" w:space="0"/>
            </w:tcBorders>
            <w:vAlign w:val="center"/>
          </w:tcPr>
          <w:p w14:paraId="7EBDA9C8">
            <w:pPr>
              <w:pStyle w:val="12"/>
              <w:adjustRightInd w:val="0"/>
              <w:snapToGrid w:val="0"/>
              <w:spacing w:line="360" w:lineRule="auto"/>
              <w:jc w:val="center"/>
              <w:rPr>
                <w:rFonts w:hAnsi="宋体" w:cs="宋体"/>
                <w:color w:val="auto"/>
                <w:spacing w:val="20"/>
                <w:szCs w:val="21"/>
                <w:highlight w:val="none"/>
              </w:rPr>
            </w:pPr>
          </w:p>
        </w:tc>
        <w:tc>
          <w:tcPr>
            <w:tcW w:w="1472" w:type="dxa"/>
            <w:tcBorders>
              <w:top w:val="single" w:color="auto" w:sz="4" w:space="0"/>
              <w:left w:val="single" w:color="auto" w:sz="4" w:space="0"/>
              <w:bottom w:val="single" w:color="auto" w:sz="4" w:space="0"/>
              <w:right w:val="single" w:color="auto" w:sz="4" w:space="0"/>
            </w:tcBorders>
            <w:vAlign w:val="center"/>
          </w:tcPr>
          <w:p w14:paraId="5D5C33C3">
            <w:pPr>
              <w:pStyle w:val="12"/>
              <w:adjustRightInd w:val="0"/>
              <w:snapToGrid w:val="0"/>
              <w:spacing w:line="360" w:lineRule="auto"/>
              <w:jc w:val="center"/>
              <w:rPr>
                <w:rFonts w:hAnsi="宋体" w:cs="宋体"/>
                <w:color w:val="auto"/>
                <w:spacing w:val="20"/>
                <w:szCs w:val="21"/>
                <w:highlight w:val="none"/>
              </w:rPr>
            </w:pPr>
          </w:p>
        </w:tc>
      </w:tr>
      <w:tr w14:paraId="6BE38A89">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vAlign w:val="center"/>
          </w:tcPr>
          <w:p w14:paraId="7DA23B38">
            <w:pPr>
              <w:widowControl/>
              <w:jc w:val="center"/>
              <w:rPr>
                <w:rFonts w:ascii="宋体" w:hAnsi="宋体" w:cs="宋体"/>
                <w:color w:val="auto"/>
                <w:kern w:val="0"/>
                <w:szCs w:val="21"/>
                <w:highlight w:val="none"/>
              </w:rPr>
            </w:pPr>
          </w:p>
        </w:tc>
        <w:tc>
          <w:tcPr>
            <w:tcW w:w="1831" w:type="dxa"/>
            <w:tcBorders>
              <w:top w:val="single" w:color="auto" w:sz="4" w:space="0"/>
              <w:left w:val="single" w:color="auto" w:sz="4" w:space="0"/>
              <w:bottom w:val="single" w:color="auto" w:sz="4" w:space="0"/>
              <w:right w:val="single" w:color="auto" w:sz="4" w:space="0"/>
            </w:tcBorders>
            <w:vAlign w:val="center"/>
          </w:tcPr>
          <w:p w14:paraId="565E1AC5">
            <w:pPr>
              <w:pStyle w:val="12"/>
              <w:adjustRightInd w:val="0"/>
              <w:snapToGrid w:val="0"/>
              <w:spacing w:line="360" w:lineRule="auto"/>
              <w:jc w:val="center"/>
              <w:rPr>
                <w:rFonts w:hAnsi="宋体" w:cs="宋体"/>
                <w:color w:val="auto"/>
                <w:spacing w:val="20"/>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14:paraId="033A17C8">
            <w:pPr>
              <w:pStyle w:val="12"/>
              <w:adjustRightInd w:val="0"/>
              <w:snapToGrid w:val="0"/>
              <w:spacing w:line="360" w:lineRule="auto"/>
              <w:jc w:val="center"/>
              <w:rPr>
                <w:rFonts w:hAnsi="宋体" w:cs="宋体"/>
                <w:color w:val="auto"/>
                <w:spacing w:val="20"/>
                <w:szCs w:val="21"/>
                <w:highlight w:val="none"/>
              </w:rPr>
            </w:pPr>
          </w:p>
        </w:tc>
        <w:tc>
          <w:tcPr>
            <w:tcW w:w="2127" w:type="dxa"/>
            <w:tcBorders>
              <w:top w:val="single" w:color="auto" w:sz="4" w:space="0"/>
              <w:left w:val="single" w:color="auto" w:sz="4" w:space="0"/>
              <w:bottom w:val="single" w:color="auto" w:sz="4" w:space="0"/>
              <w:right w:val="single" w:color="auto" w:sz="4" w:space="0"/>
            </w:tcBorders>
            <w:vAlign w:val="center"/>
          </w:tcPr>
          <w:p w14:paraId="2DAFA3EB">
            <w:pPr>
              <w:pStyle w:val="12"/>
              <w:adjustRightInd w:val="0"/>
              <w:snapToGrid w:val="0"/>
              <w:spacing w:line="360" w:lineRule="auto"/>
              <w:jc w:val="center"/>
              <w:rPr>
                <w:rFonts w:hAnsi="宋体" w:cs="宋体"/>
                <w:color w:val="auto"/>
                <w:spacing w:val="20"/>
                <w:szCs w:val="21"/>
                <w:highlight w:val="none"/>
              </w:rPr>
            </w:pPr>
          </w:p>
        </w:tc>
        <w:tc>
          <w:tcPr>
            <w:tcW w:w="1472" w:type="dxa"/>
            <w:tcBorders>
              <w:top w:val="single" w:color="auto" w:sz="4" w:space="0"/>
              <w:left w:val="single" w:color="auto" w:sz="4" w:space="0"/>
              <w:bottom w:val="single" w:color="auto" w:sz="4" w:space="0"/>
              <w:right w:val="single" w:color="auto" w:sz="4" w:space="0"/>
            </w:tcBorders>
            <w:vAlign w:val="center"/>
          </w:tcPr>
          <w:p w14:paraId="306F1F3A">
            <w:pPr>
              <w:pStyle w:val="12"/>
              <w:adjustRightInd w:val="0"/>
              <w:snapToGrid w:val="0"/>
              <w:spacing w:line="360" w:lineRule="auto"/>
              <w:jc w:val="center"/>
              <w:rPr>
                <w:rFonts w:hAnsi="宋体" w:cs="宋体"/>
                <w:color w:val="auto"/>
                <w:spacing w:val="20"/>
                <w:szCs w:val="21"/>
                <w:highlight w:val="none"/>
              </w:rPr>
            </w:pPr>
          </w:p>
        </w:tc>
      </w:tr>
      <w:tr w14:paraId="251B9405">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vAlign w:val="center"/>
          </w:tcPr>
          <w:p w14:paraId="6972A48B">
            <w:pPr>
              <w:widowControl/>
              <w:jc w:val="center"/>
              <w:rPr>
                <w:rFonts w:ascii="宋体" w:hAnsi="宋体" w:cs="宋体"/>
                <w:color w:val="auto"/>
                <w:kern w:val="0"/>
                <w:szCs w:val="21"/>
                <w:highlight w:val="none"/>
              </w:rPr>
            </w:pPr>
          </w:p>
        </w:tc>
        <w:tc>
          <w:tcPr>
            <w:tcW w:w="1831" w:type="dxa"/>
            <w:tcBorders>
              <w:top w:val="single" w:color="auto" w:sz="4" w:space="0"/>
              <w:left w:val="single" w:color="auto" w:sz="4" w:space="0"/>
              <w:bottom w:val="single" w:color="auto" w:sz="4" w:space="0"/>
              <w:right w:val="single" w:color="auto" w:sz="4" w:space="0"/>
            </w:tcBorders>
            <w:vAlign w:val="center"/>
          </w:tcPr>
          <w:p w14:paraId="32DB43D9">
            <w:pPr>
              <w:pStyle w:val="12"/>
              <w:adjustRightInd w:val="0"/>
              <w:snapToGrid w:val="0"/>
              <w:spacing w:line="360" w:lineRule="auto"/>
              <w:jc w:val="center"/>
              <w:rPr>
                <w:rFonts w:hAnsi="宋体" w:cs="宋体"/>
                <w:color w:val="auto"/>
                <w:spacing w:val="20"/>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14:paraId="04F66449">
            <w:pPr>
              <w:pStyle w:val="12"/>
              <w:adjustRightInd w:val="0"/>
              <w:snapToGrid w:val="0"/>
              <w:spacing w:line="360" w:lineRule="auto"/>
              <w:jc w:val="center"/>
              <w:rPr>
                <w:rFonts w:hAnsi="宋体" w:cs="宋体"/>
                <w:color w:val="auto"/>
                <w:spacing w:val="20"/>
                <w:szCs w:val="21"/>
                <w:highlight w:val="none"/>
              </w:rPr>
            </w:pPr>
          </w:p>
        </w:tc>
        <w:tc>
          <w:tcPr>
            <w:tcW w:w="2127" w:type="dxa"/>
            <w:tcBorders>
              <w:top w:val="single" w:color="auto" w:sz="4" w:space="0"/>
              <w:left w:val="single" w:color="auto" w:sz="4" w:space="0"/>
              <w:bottom w:val="single" w:color="auto" w:sz="4" w:space="0"/>
              <w:right w:val="single" w:color="auto" w:sz="4" w:space="0"/>
            </w:tcBorders>
            <w:vAlign w:val="center"/>
          </w:tcPr>
          <w:p w14:paraId="0032F8CF">
            <w:pPr>
              <w:pStyle w:val="12"/>
              <w:adjustRightInd w:val="0"/>
              <w:snapToGrid w:val="0"/>
              <w:spacing w:line="360" w:lineRule="auto"/>
              <w:jc w:val="center"/>
              <w:rPr>
                <w:rFonts w:hAnsi="宋体" w:cs="宋体"/>
                <w:color w:val="auto"/>
                <w:spacing w:val="20"/>
                <w:szCs w:val="21"/>
                <w:highlight w:val="none"/>
              </w:rPr>
            </w:pPr>
          </w:p>
        </w:tc>
        <w:tc>
          <w:tcPr>
            <w:tcW w:w="1472" w:type="dxa"/>
            <w:tcBorders>
              <w:top w:val="single" w:color="auto" w:sz="4" w:space="0"/>
              <w:left w:val="single" w:color="auto" w:sz="4" w:space="0"/>
              <w:bottom w:val="single" w:color="auto" w:sz="4" w:space="0"/>
              <w:right w:val="single" w:color="auto" w:sz="4" w:space="0"/>
            </w:tcBorders>
            <w:vAlign w:val="center"/>
          </w:tcPr>
          <w:p w14:paraId="5B7B2099">
            <w:pPr>
              <w:pStyle w:val="12"/>
              <w:adjustRightInd w:val="0"/>
              <w:snapToGrid w:val="0"/>
              <w:spacing w:line="360" w:lineRule="auto"/>
              <w:jc w:val="center"/>
              <w:rPr>
                <w:rFonts w:hAnsi="宋体" w:cs="宋体"/>
                <w:color w:val="auto"/>
                <w:spacing w:val="20"/>
                <w:szCs w:val="21"/>
                <w:highlight w:val="none"/>
              </w:rPr>
            </w:pPr>
          </w:p>
        </w:tc>
      </w:tr>
      <w:tr w14:paraId="63D3B5AD">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vAlign w:val="center"/>
          </w:tcPr>
          <w:p w14:paraId="4EE993E3">
            <w:pPr>
              <w:widowControl/>
              <w:jc w:val="center"/>
              <w:rPr>
                <w:rFonts w:ascii="宋体" w:hAnsi="宋体" w:cs="宋体"/>
                <w:color w:val="auto"/>
                <w:kern w:val="0"/>
                <w:szCs w:val="21"/>
                <w:highlight w:val="none"/>
              </w:rPr>
            </w:pPr>
          </w:p>
        </w:tc>
        <w:tc>
          <w:tcPr>
            <w:tcW w:w="1831" w:type="dxa"/>
            <w:tcBorders>
              <w:top w:val="single" w:color="auto" w:sz="4" w:space="0"/>
              <w:left w:val="single" w:color="auto" w:sz="4" w:space="0"/>
              <w:bottom w:val="single" w:color="auto" w:sz="4" w:space="0"/>
              <w:right w:val="single" w:color="auto" w:sz="4" w:space="0"/>
            </w:tcBorders>
            <w:vAlign w:val="center"/>
          </w:tcPr>
          <w:p w14:paraId="14681F51">
            <w:pPr>
              <w:pStyle w:val="12"/>
              <w:adjustRightInd w:val="0"/>
              <w:snapToGrid w:val="0"/>
              <w:spacing w:line="360" w:lineRule="auto"/>
              <w:jc w:val="center"/>
              <w:rPr>
                <w:rFonts w:hAnsi="宋体" w:cs="宋体"/>
                <w:color w:val="auto"/>
                <w:spacing w:val="20"/>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14:paraId="15545445">
            <w:pPr>
              <w:pStyle w:val="12"/>
              <w:adjustRightInd w:val="0"/>
              <w:snapToGrid w:val="0"/>
              <w:spacing w:line="360" w:lineRule="auto"/>
              <w:jc w:val="center"/>
              <w:rPr>
                <w:rFonts w:hAnsi="宋体" w:cs="宋体"/>
                <w:color w:val="auto"/>
                <w:spacing w:val="20"/>
                <w:szCs w:val="21"/>
                <w:highlight w:val="none"/>
              </w:rPr>
            </w:pPr>
          </w:p>
        </w:tc>
        <w:tc>
          <w:tcPr>
            <w:tcW w:w="2127" w:type="dxa"/>
            <w:tcBorders>
              <w:top w:val="single" w:color="auto" w:sz="4" w:space="0"/>
              <w:left w:val="single" w:color="auto" w:sz="4" w:space="0"/>
              <w:bottom w:val="single" w:color="auto" w:sz="4" w:space="0"/>
              <w:right w:val="single" w:color="auto" w:sz="4" w:space="0"/>
            </w:tcBorders>
            <w:vAlign w:val="center"/>
          </w:tcPr>
          <w:p w14:paraId="594D5DAC">
            <w:pPr>
              <w:pStyle w:val="12"/>
              <w:adjustRightInd w:val="0"/>
              <w:snapToGrid w:val="0"/>
              <w:spacing w:line="360" w:lineRule="auto"/>
              <w:jc w:val="center"/>
              <w:rPr>
                <w:rFonts w:hAnsi="宋体" w:cs="宋体"/>
                <w:color w:val="auto"/>
                <w:spacing w:val="20"/>
                <w:szCs w:val="21"/>
                <w:highlight w:val="none"/>
              </w:rPr>
            </w:pPr>
          </w:p>
        </w:tc>
        <w:tc>
          <w:tcPr>
            <w:tcW w:w="1472" w:type="dxa"/>
            <w:tcBorders>
              <w:top w:val="single" w:color="auto" w:sz="4" w:space="0"/>
              <w:left w:val="single" w:color="auto" w:sz="4" w:space="0"/>
              <w:bottom w:val="single" w:color="auto" w:sz="4" w:space="0"/>
              <w:right w:val="single" w:color="auto" w:sz="4" w:space="0"/>
            </w:tcBorders>
            <w:vAlign w:val="center"/>
          </w:tcPr>
          <w:p w14:paraId="4FC94B42">
            <w:pPr>
              <w:pStyle w:val="12"/>
              <w:adjustRightInd w:val="0"/>
              <w:snapToGrid w:val="0"/>
              <w:spacing w:line="360" w:lineRule="auto"/>
              <w:jc w:val="center"/>
              <w:rPr>
                <w:rFonts w:hAnsi="宋体" w:cs="宋体"/>
                <w:color w:val="auto"/>
                <w:spacing w:val="20"/>
                <w:szCs w:val="21"/>
                <w:highlight w:val="none"/>
              </w:rPr>
            </w:pPr>
          </w:p>
        </w:tc>
      </w:tr>
      <w:tr w14:paraId="3985F975">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vAlign w:val="center"/>
          </w:tcPr>
          <w:p w14:paraId="5C19D3A5">
            <w:pPr>
              <w:widowControl/>
              <w:jc w:val="center"/>
              <w:rPr>
                <w:rFonts w:ascii="宋体" w:hAnsi="宋体" w:cs="宋体"/>
                <w:color w:val="auto"/>
                <w:kern w:val="0"/>
                <w:szCs w:val="21"/>
                <w:highlight w:val="none"/>
              </w:rPr>
            </w:pPr>
          </w:p>
        </w:tc>
        <w:tc>
          <w:tcPr>
            <w:tcW w:w="1831" w:type="dxa"/>
            <w:tcBorders>
              <w:top w:val="single" w:color="auto" w:sz="4" w:space="0"/>
              <w:left w:val="single" w:color="auto" w:sz="4" w:space="0"/>
              <w:bottom w:val="single" w:color="auto" w:sz="4" w:space="0"/>
              <w:right w:val="single" w:color="auto" w:sz="4" w:space="0"/>
            </w:tcBorders>
            <w:vAlign w:val="center"/>
          </w:tcPr>
          <w:p w14:paraId="002EECF8">
            <w:pPr>
              <w:pStyle w:val="12"/>
              <w:adjustRightInd w:val="0"/>
              <w:snapToGrid w:val="0"/>
              <w:spacing w:line="360" w:lineRule="auto"/>
              <w:jc w:val="center"/>
              <w:rPr>
                <w:rFonts w:hAnsi="宋体" w:cs="宋体"/>
                <w:color w:val="auto"/>
                <w:spacing w:val="20"/>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14:paraId="060531A5">
            <w:pPr>
              <w:pStyle w:val="12"/>
              <w:adjustRightInd w:val="0"/>
              <w:snapToGrid w:val="0"/>
              <w:spacing w:line="360" w:lineRule="auto"/>
              <w:jc w:val="center"/>
              <w:rPr>
                <w:rFonts w:hAnsi="宋体" w:cs="宋体"/>
                <w:color w:val="auto"/>
                <w:spacing w:val="20"/>
                <w:szCs w:val="21"/>
                <w:highlight w:val="none"/>
              </w:rPr>
            </w:pPr>
          </w:p>
        </w:tc>
        <w:tc>
          <w:tcPr>
            <w:tcW w:w="2127" w:type="dxa"/>
            <w:tcBorders>
              <w:top w:val="single" w:color="auto" w:sz="4" w:space="0"/>
              <w:left w:val="single" w:color="auto" w:sz="4" w:space="0"/>
              <w:bottom w:val="single" w:color="auto" w:sz="4" w:space="0"/>
              <w:right w:val="single" w:color="auto" w:sz="4" w:space="0"/>
            </w:tcBorders>
            <w:vAlign w:val="center"/>
          </w:tcPr>
          <w:p w14:paraId="20DEA067">
            <w:pPr>
              <w:pStyle w:val="12"/>
              <w:adjustRightInd w:val="0"/>
              <w:snapToGrid w:val="0"/>
              <w:spacing w:line="360" w:lineRule="auto"/>
              <w:jc w:val="center"/>
              <w:rPr>
                <w:rFonts w:hAnsi="宋体" w:cs="宋体"/>
                <w:color w:val="auto"/>
                <w:spacing w:val="20"/>
                <w:szCs w:val="21"/>
                <w:highlight w:val="none"/>
              </w:rPr>
            </w:pPr>
          </w:p>
        </w:tc>
        <w:tc>
          <w:tcPr>
            <w:tcW w:w="1472" w:type="dxa"/>
            <w:tcBorders>
              <w:top w:val="single" w:color="auto" w:sz="4" w:space="0"/>
              <w:left w:val="single" w:color="auto" w:sz="4" w:space="0"/>
              <w:bottom w:val="single" w:color="auto" w:sz="4" w:space="0"/>
              <w:right w:val="single" w:color="auto" w:sz="4" w:space="0"/>
            </w:tcBorders>
            <w:vAlign w:val="center"/>
          </w:tcPr>
          <w:p w14:paraId="402AC03E">
            <w:pPr>
              <w:pStyle w:val="12"/>
              <w:adjustRightInd w:val="0"/>
              <w:snapToGrid w:val="0"/>
              <w:spacing w:line="360" w:lineRule="auto"/>
              <w:jc w:val="center"/>
              <w:rPr>
                <w:rFonts w:hAnsi="宋体" w:cs="宋体"/>
                <w:color w:val="auto"/>
                <w:spacing w:val="20"/>
                <w:szCs w:val="21"/>
                <w:highlight w:val="none"/>
              </w:rPr>
            </w:pPr>
          </w:p>
        </w:tc>
      </w:tr>
      <w:tr w14:paraId="4330C9C3">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vAlign w:val="center"/>
          </w:tcPr>
          <w:p w14:paraId="442259ED">
            <w:pPr>
              <w:widowControl/>
              <w:jc w:val="center"/>
              <w:rPr>
                <w:rFonts w:ascii="宋体" w:hAnsi="宋体" w:cs="宋体"/>
                <w:color w:val="auto"/>
                <w:kern w:val="0"/>
                <w:szCs w:val="21"/>
                <w:highlight w:val="none"/>
              </w:rPr>
            </w:pPr>
          </w:p>
        </w:tc>
        <w:tc>
          <w:tcPr>
            <w:tcW w:w="1831" w:type="dxa"/>
            <w:tcBorders>
              <w:top w:val="single" w:color="auto" w:sz="4" w:space="0"/>
              <w:left w:val="single" w:color="auto" w:sz="4" w:space="0"/>
              <w:bottom w:val="single" w:color="auto" w:sz="4" w:space="0"/>
              <w:right w:val="single" w:color="auto" w:sz="4" w:space="0"/>
            </w:tcBorders>
            <w:vAlign w:val="center"/>
          </w:tcPr>
          <w:p w14:paraId="6001BA8F">
            <w:pPr>
              <w:pStyle w:val="12"/>
              <w:adjustRightInd w:val="0"/>
              <w:snapToGrid w:val="0"/>
              <w:spacing w:line="360" w:lineRule="auto"/>
              <w:jc w:val="center"/>
              <w:rPr>
                <w:rFonts w:hAnsi="宋体" w:cs="宋体"/>
                <w:color w:val="auto"/>
                <w:spacing w:val="20"/>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14:paraId="085B5A4B">
            <w:pPr>
              <w:pStyle w:val="12"/>
              <w:adjustRightInd w:val="0"/>
              <w:snapToGrid w:val="0"/>
              <w:spacing w:line="360" w:lineRule="auto"/>
              <w:jc w:val="center"/>
              <w:rPr>
                <w:rFonts w:hAnsi="宋体" w:cs="宋体"/>
                <w:color w:val="auto"/>
                <w:spacing w:val="20"/>
                <w:szCs w:val="21"/>
                <w:highlight w:val="none"/>
              </w:rPr>
            </w:pPr>
          </w:p>
        </w:tc>
        <w:tc>
          <w:tcPr>
            <w:tcW w:w="2127" w:type="dxa"/>
            <w:tcBorders>
              <w:top w:val="single" w:color="auto" w:sz="4" w:space="0"/>
              <w:left w:val="single" w:color="auto" w:sz="4" w:space="0"/>
              <w:bottom w:val="single" w:color="auto" w:sz="4" w:space="0"/>
              <w:right w:val="single" w:color="auto" w:sz="4" w:space="0"/>
            </w:tcBorders>
            <w:vAlign w:val="center"/>
          </w:tcPr>
          <w:p w14:paraId="03653EB0">
            <w:pPr>
              <w:pStyle w:val="12"/>
              <w:adjustRightInd w:val="0"/>
              <w:snapToGrid w:val="0"/>
              <w:spacing w:line="360" w:lineRule="auto"/>
              <w:jc w:val="center"/>
              <w:rPr>
                <w:rFonts w:hAnsi="宋体" w:cs="宋体"/>
                <w:color w:val="auto"/>
                <w:spacing w:val="20"/>
                <w:szCs w:val="21"/>
                <w:highlight w:val="none"/>
              </w:rPr>
            </w:pPr>
          </w:p>
        </w:tc>
        <w:tc>
          <w:tcPr>
            <w:tcW w:w="1472" w:type="dxa"/>
            <w:tcBorders>
              <w:top w:val="single" w:color="auto" w:sz="4" w:space="0"/>
              <w:left w:val="single" w:color="auto" w:sz="4" w:space="0"/>
              <w:bottom w:val="single" w:color="auto" w:sz="4" w:space="0"/>
              <w:right w:val="single" w:color="auto" w:sz="4" w:space="0"/>
            </w:tcBorders>
            <w:vAlign w:val="center"/>
          </w:tcPr>
          <w:p w14:paraId="2134598D">
            <w:pPr>
              <w:pStyle w:val="12"/>
              <w:adjustRightInd w:val="0"/>
              <w:snapToGrid w:val="0"/>
              <w:spacing w:line="360" w:lineRule="auto"/>
              <w:jc w:val="center"/>
              <w:rPr>
                <w:rFonts w:hAnsi="宋体" w:cs="宋体"/>
                <w:color w:val="auto"/>
                <w:spacing w:val="20"/>
                <w:szCs w:val="21"/>
                <w:highlight w:val="none"/>
              </w:rPr>
            </w:pPr>
          </w:p>
        </w:tc>
      </w:tr>
      <w:tr w14:paraId="5E3E2ACD">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vAlign w:val="center"/>
          </w:tcPr>
          <w:p w14:paraId="1D4B24A1">
            <w:pPr>
              <w:widowControl/>
              <w:jc w:val="center"/>
              <w:rPr>
                <w:rFonts w:ascii="宋体" w:hAnsi="宋体" w:cs="宋体"/>
                <w:color w:val="auto"/>
                <w:kern w:val="0"/>
                <w:szCs w:val="21"/>
                <w:highlight w:val="none"/>
              </w:rPr>
            </w:pPr>
          </w:p>
        </w:tc>
        <w:tc>
          <w:tcPr>
            <w:tcW w:w="1831" w:type="dxa"/>
            <w:tcBorders>
              <w:top w:val="single" w:color="auto" w:sz="4" w:space="0"/>
              <w:left w:val="single" w:color="auto" w:sz="4" w:space="0"/>
              <w:bottom w:val="single" w:color="auto" w:sz="4" w:space="0"/>
              <w:right w:val="single" w:color="auto" w:sz="4" w:space="0"/>
            </w:tcBorders>
            <w:vAlign w:val="center"/>
          </w:tcPr>
          <w:p w14:paraId="46B8B73C">
            <w:pPr>
              <w:pStyle w:val="12"/>
              <w:adjustRightInd w:val="0"/>
              <w:snapToGrid w:val="0"/>
              <w:spacing w:line="360" w:lineRule="auto"/>
              <w:jc w:val="center"/>
              <w:rPr>
                <w:rFonts w:hAnsi="宋体" w:cs="宋体"/>
                <w:color w:val="auto"/>
                <w:spacing w:val="20"/>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14:paraId="7C28CFD8">
            <w:pPr>
              <w:pStyle w:val="12"/>
              <w:adjustRightInd w:val="0"/>
              <w:snapToGrid w:val="0"/>
              <w:spacing w:line="360" w:lineRule="auto"/>
              <w:jc w:val="center"/>
              <w:rPr>
                <w:rFonts w:hAnsi="宋体" w:cs="宋体"/>
                <w:color w:val="auto"/>
                <w:spacing w:val="20"/>
                <w:szCs w:val="21"/>
                <w:highlight w:val="none"/>
              </w:rPr>
            </w:pPr>
          </w:p>
        </w:tc>
        <w:tc>
          <w:tcPr>
            <w:tcW w:w="2127" w:type="dxa"/>
            <w:tcBorders>
              <w:top w:val="single" w:color="auto" w:sz="4" w:space="0"/>
              <w:left w:val="single" w:color="auto" w:sz="4" w:space="0"/>
              <w:bottom w:val="single" w:color="auto" w:sz="4" w:space="0"/>
              <w:right w:val="single" w:color="auto" w:sz="4" w:space="0"/>
            </w:tcBorders>
            <w:vAlign w:val="center"/>
          </w:tcPr>
          <w:p w14:paraId="1E523F25">
            <w:pPr>
              <w:pStyle w:val="12"/>
              <w:adjustRightInd w:val="0"/>
              <w:snapToGrid w:val="0"/>
              <w:spacing w:line="360" w:lineRule="auto"/>
              <w:jc w:val="center"/>
              <w:rPr>
                <w:rFonts w:hAnsi="宋体" w:cs="宋体"/>
                <w:color w:val="auto"/>
                <w:spacing w:val="20"/>
                <w:szCs w:val="21"/>
                <w:highlight w:val="none"/>
              </w:rPr>
            </w:pPr>
          </w:p>
        </w:tc>
        <w:tc>
          <w:tcPr>
            <w:tcW w:w="1472" w:type="dxa"/>
            <w:tcBorders>
              <w:top w:val="single" w:color="auto" w:sz="4" w:space="0"/>
              <w:left w:val="single" w:color="auto" w:sz="4" w:space="0"/>
              <w:bottom w:val="single" w:color="auto" w:sz="4" w:space="0"/>
              <w:right w:val="single" w:color="auto" w:sz="4" w:space="0"/>
            </w:tcBorders>
            <w:vAlign w:val="center"/>
          </w:tcPr>
          <w:p w14:paraId="7F2F7681">
            <w:pPr>
              <w:pStyle w:val="12"/>
              <w:adjustRightInd w:val="0"/>
              <w:snapToGrid w:val="0"/>
              <w:spacing w:line="360" w:lineRule="auto"/>
              <w:jc w:val="center"/>
              <w:rPr>
                <w:rFonts w:hAnsi="宋体" w:cs="宋体"/>
                <w:color w:val="auto"/>
                <w:spacing w:val="20"/>
                <w:szCs w:val="21"/>
                <w:highlight w:val="none"/>
              </w:rPr>
            </w:pPr>
          </w:p>
        </w:tc>
      </w:tr>
    </w:tbl>
    <w:p w14:paraId="7C5C7286">
      <w:pPr>
        <w:ind w:firstLine="371" w:firstLineChars="177"/>
        <w:rPr>
          <w:rFonts w:ascii="宋体" w:hAnsi="宋体" w:cs="宋体"/>
          <w:color w:val="auto"/>
          <w:szCs w:val="21"/>
          <w:highlight w:val="none"/>
        </w:rPr>
      </w:pPr>
    </w:p>
    <w:p w14:paraId="39501904">
      <w:pPr>
        <w:ind w:firstLine="371" w:firstLineChars="177"/>
        <w:rPr>
          <w:rFonts w:ascii="宋体" w:hAnsi="宋体" w:cs="宋体"/>
          <w:color w:val="auto"/>
          <w:szCs w:val="21"/>
          <w:highlight w:val="none"/>
        </w:rPr>
      </w:pPr>
    </w:p>
    <w:p w14:paraId="51C5DE82">
      <w:pPr>
        <w:ind w:firstLine="371" w:firstLineChars="177"/>
        <w:rPr>
          <w:rFonts w:ascii="宋体" w:hAnsi="宋体" w:cs="宋体"/>
          <w:color w:val="auto"/>
          <w:szCs w:val="21"/>
          <w:highlight w:val="none"/>
          <w:u w:val="single"/>
        </w:rPr>
      </w:pPr>
      <w:r>
        <w:rPr>
          <w:rFonts w:hint="eastAsia" w:ascii="宋体" w:hAnsi="宋体" w:cs="宋体"/>
          <w:color w:val="auto"/>
          <w:szCs w:val="21"/>
          <w:highlight w:val="none"/>
        </w:rPr>
        <w:t>磋商供应商名称（盖章）：</w:t>
      </w:r>
      <w:r>
        <w:rPr>
          <w:rFonts w:hint="eastAsia" w:ascii="宋体" w:hAnsi="宋体" w:cs="宋体"/>
          <w:color w:val="auto"/>
          <w:szCs w:val="21"/>
          <w:highlight w:val="none"/>
          <w:u w:val="single"/>
        </w:rPr>
        <w:t xml:space="preserve">                                        </w:t>
      </w:r>
    </w:p>
    <w:p w14:paraId="406C81D3">
      <w:pPr>
        <w:ind w:left="420"/>
        <w:rPr>
          <w:rFonts w:ascii="宋体" w:hAnsi="宋体" w:cs="宋体"/>
          <w:color w:val="auto"/>
          <w:szCs w:val="21"/>
          <w:highlight w:val="none"/>
        </w:rPr>
      </w:pPr>
    </w:p>
    <w:p w14:paraId="1A4B31D0">
      <w:pPr>
        <w:ind w:firstLine="371" w:firstLineChars="177"/>
        <w:rPr>
          <w:rFonts w:ascii="宋体" w:hAnsi="宋体" w:cs="宋体"/>
          <w:color w:val="auto"/>
          <w:szCs w:val="21"/>
          <w:highlight w:val="none"/>
        </w:rPr>
      </w:pPr>
      <w:r>
        <w:rPr>
          <w:rFonts w:hint="eastAsia" w:ascii="宋体" w:hAnsi="宋体" w:cs="宋体"/>
          <w:color w:val="auto"/>
          <w:szCs w:val="21"/>
          <w:highlight w:val="none"/>
        </w:rPr>
        <w:t>法定代表人或授权委托代理人签字或盖章：</w:t>
      </w:r>
      <w:r>
        <w:rPr>
          <w:rFonts w:hint="eastAsia" w:ascii="宋体" w:hAnsi="宋体" w:cs="宋体"/>
          <w:color w:val="auto"/>
          <w:szCs w:val="21"/>
          <w:highlight w:val="none"/>
          <w:u w:val="single"/>
        </w:rPr>
        <w:t xml:space="preserve">                          </w:t>
      </w:r>
    </w:p>
    <w:p w14:paraId="5E82762A">
      <w:pPr>
        <w:ind w:firstLine="435"/>
        <w:rPr>
          <w:rFonts w:ascii="宋体" w:hAnsi="宋体" w:cs="宋体"/>
          <w:color w:val="auto"/>
          <w:szCs w:val="21"/>
          <w:highlight w:val="none"/>
        </w:rPr>
      </w:pPr>
    </w:p>
    <w:p w14:paraId="34DF2555">
      <w:pPr>
        <w:ind w:firstLine="371" w:firstLineChars="177"/>
        <w:rPr>
          <w:rFonts w:ascii="宋体" w:hAnsi="宋体" w:cs="宋体"/>
          <w:color w:val="auto"/>
          <w:szCs w:val="21"/>
          <w:highlight w:val="none"/>
          <w:u w:val="single"/>
        </w:rPr>
      </w:pPr>
      <w:r>
        <w:rPr>
          <w:rFonts w:hint="eastAsia" w:ascii="宋体" w:hAnsi="宋体" w:cs="宋体"/>
          <w:color w:val="auto"/>
          <w:szCs w:val="21"/>
          <w:highlight w:val="none"/>
        </w:rPr>
        <w:t>职        务：</w:t>
      </w:r>
      <w:r>
        <w:rPr>
          <w:rFonts w:hint="eastAsia" w:ascii="宋体" w:hAnsi="宋体" w:cs="宋体"/>
          <w:color w:val="auto"/>
          <w:szCs w:val="21"/>
          <w:highlight w:val="none"/>
          <w:u w:val="single"/>
        </w:rPr>
        <w:t xml:space="preserve">                             </w:t>
      </w:r>
    </w:p>
    <w:p w14:paraId="77D2F0E9">
      <w:pPr>
        <w:rPr>
          <w:rFonts w:ascii="宋体" w:hAnsi="宋体" w:cs="宋体"/>
          <w:color w:val="auto"/>
          <w:szCs w:val="21"/>
          <w:highlight w:val="none"/>
        </w:rPr>
      </w:pPr>
    </w:p>
    <w:p w14:paraId="5EFF001D">
      <w:pPr>
        <w:pStyle w:val="42"/>
        <w:shd w:val="clear" w:color="auto" w:fill="FFFFFF"/>
        <w:spacing w:before="0" w:beforeAutospacing="0" w:after="0" w:afterAutospacing="0"/>
        <w:ind w:firstLine="371" w:firstLineChars="177"/>
        <w:rPr>
          <w:b/>
          <w:color w:val="auto"/>
          <w:sz w:val="21"/>
          <w:szCs w:val="21"/>
          <w:highlight w:val="none"/>
        </w:rPr>
      </w:pPr>
      <w:r>
        <w:rPr>
          <w:rFonts w:hint="eastAsia"/>
          <w:color w:val="auto"/>
          <w:sz w:val="21"/>
          <w:szCs w:val="21"/>
          <w:highlight w:val="none"/>
        </w:rPr>
        <w:t>日        期：</w:t>
      </w:r>
      <w:r>
        <w:rPr>
          <w:rFonts w:hint="eastAsia"/>
          <w:color w:val="auto"/>
          <w:sz w:val="21"/>
          <w:szCs w:val="21"/>
          <w:highlight w:val="none"/>
          <w:u w:val="single"/>
        </w:rPr>
        <w:t xml:space="preserve">                            </w:t>
      </w:r>
    </w:p>
    <w:p w14:paraId="68656C72">
      <w:pPr>
        <w:snapToGrid w:val="0"/>
        <w:spacing w:beforeLines="50" w:after="50" w:line="360" w:lineRule="auto"/>
        <w:rPr>
          <w:rFonts w:ascii="宋体" w:hAnsi="宋体" w:cs="宋体"/>
          <w:b/>
          <w:color w:val="auto"/>
          <w:sz w:val="28"/>
          <w:highlight w:val="none"/>
        </w:rPr>
      </w:pPr>
    </w:p>
    <w:p w14:paraId="5FE3B95C">
      <w:pPr>
        <w:snapToGrid w:val="0"/>
        <w:spacing w:beforeLines="50" w:after="50" w:line="360" w:lineRule="auto"/>
        <w:rPr>
          <w:rFonts w:ascii="宋体" w:hAnsi="宋体" w:cs="宋体"/>
          <w:b/>
          <w:color w:val="auto"/>
          <w:sz w:val="28"/>
          <w:highlight w:val="none"/>
        </w:rPr>
      </w:pPr>
    </w:p>
    <w:p w14:paraId="012985A1">
      <w:pPr>
        <w:snapToGrid w:val="0"/>
        <w:spacing w:beforeLines="50" w:after="50" w:line="360" w:lineRule="auto"/>
        <w:rPr>
          <w:rFonts w:ascii="宋体" w:hAnsi="宋体" w:cs="宋体"/>
          <w:b/>
          <w:color w:val="auto"/>
          <w:sz w:val="28"/>
          <w:highlight w:val="none"/>
        </w:rPr>
      </w:pPr>
    </w:p>
    <w:p w14:paraId="36AFC186">
      <w:pPr>
        <w:snapToGrid w:val="0"/>
        <w:spacing w:beforeLines="50" w:after="50" w:line="360" w:lineRule="auto"/>
        <w:rPr>
          <w:rFonts w:ascii="宋体" w:hAnsi="宋体" w:cs="宋体"/>
          <w:b/>
          <w:color w:val="auto"/>
          <w:sz w:val="28"/>
          <w:highlight w:val="none"/>
        </w:rPr>
        <w:sectPr>
          <w:pgSz w:w="11906" w:h="16838"/>
          <w:pgMar w:top="1440" w:right="1800" w:bottom="1440" w:left="1800" w:header="851" w:footer="992" w:gutter="0"/>
          <w:cols w:space="425" w:num="1"/>
          <w:docGrid w:type="lines" w:linePitch="312" w:charSpace="0"/>
        </w:sectPr>
      </w:pPr>
    </w:p>
    <w:p w14:paraId="692F567A">
      <w:pPr>
        <w:snapToGrid w:val="0"/>
        <w:spacing w:beforeLines="50" w:after="50" w:line="360" w:lineRule="auto"/>
        <w:rPr>
          <w:rFonts w:ascii="宋体" w:hAnsi="宋体" w:cs="宋体"/>
          <w:b/>
          <w:color w:val="auto"/>
          <w:sz w:val="28"/>
          <w:highlight w:val="none"/>
        </w:rPr>
      </w:pPr>
      <w:r>
        <w:rPr>
          <w:rFonts w:hint="eastAsia" w:ascii="宋体" w:hAnsi="宋体" w:cs="宋体"/>
          <w:b/>
          <w:color w:val="auto"/>
          <w:sz w:val="28"/>
          <w:highlight w:val="none"/>
        </w:rPr>
        <w:t>附件10</w:t>
      </w:r>
    </w:p>
    <w:p w14:paraId="543C1A61">
      <w:pPr>
        <w:pStyle w:val="46"/>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企业证书一览表</w:t>
      </w:r>
    </w:p>
    <w:p w14:paraId="5859B919">
      <w:pPr>
        <w:pStyle w:val="46"/>
        <w:spacing w:line="360" w:lineRule="auto"/>
        <w:jc w:val="center"/>
        <w:rPr>
          <w:rFonts w:ascii="宋体" w:hAnsi="宋体" w:cs="宋体"/>
          <w:color w:val="auto"/>
          <w:sz w:val="28"/>
          <w:szCs w:val="28"/>
          <w:highlight w:val="none"/>
        </w:rPr>
      </w:pPr>
    </w:p>
    <w:tbl>
      <w:tblPr>
        <w:tblStyle w:val="22"/>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2258"/>
        <w:gridCol w:w="2260"/>
        <w:gridCol w:w="2047"/>
      </w:tblGrid>
      <w:tr w14:paraId="35E2A27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867" w:type="dxa"/>
            <w:tcBorders>
              <w:top w:val="single" w:color="auto" w:sz="4" w:space="0"/>
              <w:left w:val="single" w:color="auto" w:sz="4" w:space="0"/>
              <w:bottom w:val="single" w:color="auto" w:sz="4" w:space="0"/>
            </w:tcBorders>
          </w:tcPr>
          <w:p w14:paraId="6B5DA0A3">
            <w:pPr>
              <w:pStyle w:val="46"/>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证书名称</w:t>
            </w:r>
          </w:p>
        </w:tc>
        <w:tc>
          <w:tcPr>
            <w:tcW w:w="2258" w:type="dxa"/>
            <w:tcBorders>
              <w:top w:val="single" w:color="auto" w:sz="4" w:space="0"/>
              <w:bottom w:val="single" w:color="auto" w:sz="4" w:space="0"/>
            </w:tcBorders>
          </w:tcPr>
          <w:p w14:paraId="4169F71F">
            <w:pPr>
              <w:pStyle w:val="46"/>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发证单位</w:t>
            </w:r>
          </w:p>
        </w:tc>
        <w:tc>
          <w:tcPr>
            <w:tcW w:w="2260" w:type="dxa"/>
            <w:tcBorders>
              <w:top w:val="single" w:color="auto" w:sz="4" w:space="0"/>
              <w:bottom w:val="single" w:color="auto" w:sz="4" w:space="0"/>
            </w:tcBorders>
          </w:tcPr>
          <w:p w14:paraId="72241E14">
            <w:pPr>
              <w:pStyle w:val="46"/>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证书等级</w:t>
            </w:r>
          </w:p>
        </w:tc>
        <w:tc>
          <w:tcPr>
            <w:tcW w:w="2047" w:type="dxa"/>
            <w:tcBorders>
              <w:top w:val="single" w:color="auto" w:sz="4" w:space="0"/>
              <w:bottom w:val="single" w:color="auto" w:sz="4" w:space="0"/>
              <w:right w:val="single" w:color="auto" w:sz="4" w:space="0"/>
            </w:tcBorders>
          </w:tcPr>
          <w:p w14:paraId="05779C4C">
            <w:pPr>
              <w:pStyle w:val="46"/>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证书有效期</w:t>
            </w:r>
          </w:p>
        </w:tc>
      </w:tr>
      <w:tr w14:paraId="6EAF30C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top w:val="single" w:color="auto" w:sz="4" w:space="0"/>
              <w:left w:val="single" w:color="auto" w:sz="4" w:space="0"/>
            </w:tcBorders>
          </w:tcPr>
          <w:p w14:paraId="5FFB0455">
            <w:pPr>
              <w:pStyle w:val="46"/>
              <w:spacing w:line="360" w:lineRule="auto"/>
              <w:jc w:val="center"/>
              <w:rPr>
                <w:rFonts w:ascii="宋体" w:hAnsi="宋体" w:cs="宋体"/>
                <w:color w:val="auto"/>
                <w:szCs w:val="21"/>
                <w:highlight w:val="none"/>
              </w:rPr>
            </w:pPr>
          </w:p>
        </w:tc>
        <w:tc>
          <w:tcPr>
            <w:tcW w:w="2258" w:type="dxa"/>
            <w:tcBorders>
              <w:top w:val="single" w:color="auto" w:sz="4" w:space="0"/>
            </w:tcBorders>
          </w:tcPr>
          <w:p w14:paraId="0B13A57B">
            <w:pPr>
              <w:pStyle w:val="46"/>
              <w:spacing w:line="360" w:lineRule="auto"/>
              <w:jc w:val="center"/>
              <w:rPr>
                <w:rFonts w:ascii="宋体" w:hAnsi="宋体" w:cs="宋体"/>
                <w:color w:val="auto"/>
                <w:szCs w:val="21"/>
                <w:highlight w:val="none"/>
              </w:rPr>
            </w:pPr>
          </w:p>
        </w:tc>
        <w:tc>
          <w:tcPr>
            <w:tcW w:w="2260" w:type="dxa"/>
            <w:tcBorders>
              <w:top w:val="single" w:color="auto" w:sz="4" w:space="0"/>
            </w:tcBorders>
          </w:tcPr>
          <w:p w14:paraId="24A7BF8E">
            <w:pPr>
              <w:pStyle w:val="46"/>
              <w:spacing w:line="360" w:lineRule="auto"/>
              <w:jc w:val="center"/>
              <w:rPr>
                <w:rFonts w:ascii="宋体" w:hAnsi="宋体" w:cs="宋体"/>
                <w:color w:val="auto"/>
                <w:szCs w:val="21"/>
                <w:highlight w:val="none"/>
              </w:rPr>
            </w:pPr>
          </w:p>
        </w:tc>
        <w:tc>
          <w:tcPr>
            <w:tcW w:w="2047" w:type="dxa"/>
            <w:tcBorders>
              <w:top w:val="single" w:color="auto" w:sz="4" w:space="0"/>
              <w:right w:val="single" w:color="auto" w:sz="4" w:space="0"/>
            </w:tcBorders>
          </w:tcPr>
          <w:p w14:paraId="32ED2F3A">
            <w:pPr>
              <w:pStyle w:val="46"/>
              <w:spacing w:line="360" w:lineRule="auto"/>
              <w:jc w:val="center"/>
              <w:rPr>
                <w:rFonts w:ascii="宋体" w:hAnsi="宋体" w:cs="宋体"/>
                <w:color w:val="auto"/>
                <w:szCs w:val="21"/>
                <w:highlight w:val="none"/>
              </w:rPr>
            </w:pPr>
          </w:p>
        </w:tc>
      </w:tr>
      <w:tr w14:paraId="09C1B8F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773124DF">
            <w:pPr>
              <w:pStyle w:val="46"/>
              <w:spacing w:line="360" w:lineRule="auto"/>
              <w:jc w:val="center"/>
              <w:rPr>
                <w:rFonts w:ascii="宋体" w:hAnsi="宋体" w:cs="宋体"/>
                <w:color w:val="auto"/>
                <w:szCs w:val="21"/>
                <w:highlight w:val="none"/>
              </w:rPr>
            </w:pPr>
          </w:p>
        </w:tc>
        <w:tc>
          <w:tcPr>
            <w:tcW w:w="2258" w:type="dxa"/>
          </w:tcPr>
          <w:p w14:paraId="5A98DB76">
            <w:pPr>
              <w:pStyle w:val="46"/>
              <w:spacing w:line="360" w:lineRule="auto"/>
              <w:jc w:val="center"/>
              <w:rPr>
                <w:rFonts w:ascii="宋体" w:hAnsi="宋体" w:cs="宋体"/>
                <w:color w:val="auto"/>
                <w:szCs w:val="21"/>
                <w:highlight w:val="none"/>
              </w:rPr>
            </w:pPr>
          </w:p>
        </w:tc>
        <w:tc>
          <w:tcPr>
            <w:tcW w:w="2260" w:type="dxa"/>
          </w:tcPr>
          <w:p w14:paraId="7D8EE77F">
            <w:pPr>
              <w:pStyle w:val="46"/>
              <w:spacing w:line="360" w:lineRule="auto"/>
              <w:jc w:val="center"/>
              <w:rPr>
                <w:rFonts w:ascii="宋体" w:hAnsi="宋体" w:cs="宋体"/>
                <w:color w:val="auto"/>
                <w:szCs w:val="21"/>
                <w:highlight w:val="none"/>
              </w:rPr>
            </w:pPr>
          </w:p>
        </w:tc>
        <w:tc>
          <w:tcPr>
            <w:tcW w:w="2047" w:type="dxa"/>
            <w:tcBorders>
              <w:right w:val="single" w:color="auto" w:sz="4" w:space="0"/>
            </w:tcBorders>
          </w:tcPr>
          <w:p w14:paraId="76AEF1C9">
            <w:pPr>
              <w:pStyle w:val="46"/>
              <w:spacing w:line="360" w:lineRule="auto"/>
              <w:jc w:val="center"/>
              <w:rPr>
                <w:rFonts w:ascii="宋体" w:hAnsi="宋体" w:cs="宋体"/>
                <w:color w:val="auto"/>
                <w:szCs w:val="21"/>
                <w:highlight w:val="none"/>
              </w:rPr>
            </w:pPr>
          </w:p>
        </w:tc>
      </w:tr>
      <w:tr w14:paraId="2AA90FA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60A5CBCB">
            <w:pPr>
              <w:pStyle w:val="46"/>
              <w:spacing w:line="360" w:lineRule="auto"/>
              <w:jc w:val="center"/>
              <w:rPr>
                <w:rFonts w:ascii="宋体" w:hAnsi="宋体" w:cs="宋体"/>
                <w:color w:val="auto"/>
                <w:szCs w:val="21"/>
                <w:highlight w:val="none"/>
              </w:rPr>
            </w:pPr>
          </w:p>
        </w:tc>
        <w:tc>
          <w:tcPr>
            <w:tcW w:w="2258" w:type="dxa"/>
          </w:tcPr>
          <w:p w14:paraId="2DE50956">
            <w:pPr>
              <w:pStyle w:val="46"/>
              <w:spacing w:line="360" w:lineRule="auto"/>
              <w:jc w:val="center"/>
              <w:rPr>
                <w:rFonts w:ascii="宋体" w:hAnsi="宋体" w:cs="宋体"/>
                <w:color w:val="auto"/>
                <w:szCs w:val="21"/>
                <w:highlight w:val="none"/>
              </w:rPr>
            </w:pPr>
          </w:p>
        </w:tc>
        <w:tc>
          <w:tcPr>
            <w:tcW w:w="2260" w:type="dxa"/>
          </w:tcPr>
          <w:p w14:paraId="35C0F167">
            <w:pPr>
              <w:pStyle w:val="46"/>
              <w:spacing w:line="360" w:lineRule="auto"/>
              <w:jc w:val="center"/>
              <w:rPr>
                <w:rFonts w:ascii="宋体" w:hAnsi="宋体" w:cs="宋体"/>
                <w:color w:val="auto"/>
                <w:szCs w:val="21"/>
                <w:highlight w:val="none"/>
              </w:rPr>
            </w:pPr>
          </w:p>
        </w:tc>
        <w:tc>
          <w:tcPr>
            <w:tcW w:w="2047" w:type="dxa"/>
            <w:tcBorders>
              <w:right w:val="single" w:color="auto" w:sz="4" w:space="0"/>
            </w:tcBorders>
          </w:tcPr>
          <w:p w14:paraId="0664DFC1">
            <w:pPr>
              <w:pStyle w:val="46"/>
              <w:spacing w:line="360" w:lineRule="auto"/>
              <w:jc w:val="center"/>
              <w:rPr>
                <w:rFonts w:ascii="宋体" w:hAnsi="宋体" w:cs="宋体"/>
                <w:color w:val="auto"/>
                <w:szCs w:val="21"/>
                <w:highlight w:val="none"/>
              </w:rPr>
            </w:pPr>
          </w:p>
        </w:tc>
      </w:tr>
      <w:tr w14:paraId="64A2A88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01A11B41">
            <w:pPr>
              <w:pStyle w:val="46"/>
              <w:spacing w:line="360" w:lineRule="auto"/>
              <w:jc w:val="center"/>
              <w:rPr>
                <w:rFonts w:ascii="宋体" w:hAnsi="宋体" w:cs="宋体"/>
                <w:color w:val="auto"/>
                <w:szCs w:val="21"/>
                <w:highlight w:val="none"/>
              </w:rPr>
            </w:pPr>
          </w:p>
        </w:tc>
        <w:tc>
          <w:tcPr>
            <w:tcW w:w="2258" w:type="dxa"/>
          </w:tcPr>
          <w:p w14:paraId="3CE464D5">
            <w:pPr>
              <w:pStyle w:val="46"/>
              <w:spacing w:line="360" w:lineRule="auto"/>
              <w:jc w:val="center"/>
              <w:rPr>
                <w:rFonts w:ascii="宋体" w:hAnsi="宋体" w:cs="宋体"/>
                <w:color w:val="auto"/>
                <w:szCs w:val="21"/>
                <w:highlight w:val="none"/>
              </w:rPr>
            </w:pPr>
          </w:p>
        </w:tc>
        <w:tc>
          <w:tcPr>
            <w:tcW w:w="2260" w:type="dxa"/>
          </w:tcPr>
          <w:p w14:paraId="54944EC5">
            <w:pPr>
              <w:pStyle w:val="46"/>
              <w:spacing w:line="360" w:lineRule="auto"/>
              <w:jc w:val="center"/>
              <w:rPr>
                <w:rFonts w:ascii="宋体" w:hAnsi="宋体" w:cs="宋体"/>
                <w:color w:val="auto"/>
                <w:szCs w:val="21"/>
                <w:highlight w:val="none"/>
              </w:rPr>
            </w:pPr>
          </w:p>
        </w:tc>
        <w:tc>
          <w:tcPr>
            <w:tcW w:w="2047" w:type="dxa"/>
            <w:tcBorders>
              <w:right w:val="single" w:color="auto" w:sz="4" w:space="0"/>
            </w:tcBorders>
          </w:tcPr>
          <w:p w14:paraId="246948A3">
            <w:pPr>
              <w:pStyle w:val="46"/>
              <w:spacing w:line="360" w:lineRule="auto"/>
              <w:jc w:val="center"/>
              <w:rPr>
                <w:rFonts w:ascii="宋体" w:hAnsi="宋体" w:cs="宋体"/>
                <w:color w:val="auto"/>
                <w:szCs w:val="21"/>
                <w:highlight w:val="none"/>
              </w:rPr>
            </w:pPr>
          </w:p>
        </w:tc>
      </w:tr>
      <w:tr w14:paraId="40380F9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2B2D30FC">
            <w:pPr>
              <w:pStyle w:val="46"/>
              <w:spacing w:line="360" w:lineRule="auto"/>
              <w:jc w:val="center"/>
              <w:rPr>
                <w:rFonts w:ascii="宋体" w:hAnsi="宋体" w:cs="宋体"/>
                <w:color w:val="auto"/>
                <w:szCs w:val="21"/>
                <w:highlight w:val="none"/>
              </w:rPr>
            </w:pPr>
          </w:p>
        </w:tc>
        <w:tc>
          <w:tcPr>
            <w:tcW w:w="2258" w:type="dxa"/>
          </w:tcPr>
          <w:p w14:paraId="1EE89AB8">
            <w:pPr>
              <w:pStyle w:val="46"/>
              <w:spacing w:line="360" w:lineRule="auto"/>
              <w:jc w:val="center"/>
              <w:rPr>
                <w:rFonts w:ascii="宋体" w:hAnsi="宋体" w:cs="宋体"/>
                <w:color w:val="auto"/>
                <w:szCs w:val="21"/>
                <w:highlight w:val="none"/>
              </w:rPr>
            </w:pPr>
          </w:p>
        </w:tc>
        <w:tc>
          <w:tcPr>
            <w:tcW w:w="2260" w:type="dxa"/>
          </w:tcPr>
          <w:p w14:paraId="20F669FA">
            <w:pPr>
              <w:pStyle w:val="46"/>
              <w:spacing w:line="360" w:lineRule="auto"/>
              <w:jc w:val="center"/>
              <w:rPr>
                <w:rFonts w:ascii="宋体" w:hAnsi="宋体" w:cs="宋体"/>
                <w:color w:val="auto"/>
                <w:szCs w:val="21"/>
                <w:highlight w:val="none"/>
              </w:rPr>
            </w:pPr>
          </w:p>
        </w:tc>
        <w:tc>
          <w:tcPr>
            <w:tcW w:w="2047" w:type="dxa"/>
            <w:tcBorders>
              <w:right w:val="single" w:color="auto" w:sz="4" w:space="0"/>
            </w:tcBorders>
          </w:tcPr>
          <w:p w14:paraId="5E7DC729">
            <w:pPr>
              <w:pStyle w:val="46"/>
              <w:spacing w:line="360" w:lineRule="auto"/>
              <w:jc w:val="center"/>
              <w:rPr>
                <w:rFonts w:ascii="宋体" w:hAnsi="宋体" w:cs="宋体"/>
                <w:color w:val="auto"/>
                <w:szCs w:val="21"/>
                <w:highlight w:val="none"/>
              </w:rPr>
            </w:pPr>
          </w:p>
        </w:tc>
      </w:tr>
      <w:tr w14:paraId="0DF5CDA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2E0ED9DB">
            <w:pPr>
              <w:pStyle w:val="46"/>
              <w:spacing w:line="360" w:lineRule="auto"/>
              <w:jc w:val="center"/>
              <w:rPr>
                <w:rFonts w:ascii="宋体" w:hAnsi="宋体" w:cs="宋体"/>
                <w:color w:val="auto"/>
                <w:szCs w:val="21"/>
                <w:highlight w:val="none"/>
              </w:rPr>
            </w:pPr>
          </w:p>
        </w:tc>
        <w:tc>
          <w:tcPr>
            <w:tcW w:w="2258" w:type="dxa"/>
          </w:tcPr>
          <w:p w14:paraId="058344AA">
            <w:pPr>
              <w:pStyle w:val="46"/>
              <w:spacing w:line="360" w:lineRule="auto"/>
              <w:jc w:val="center"/>
              <w:rPr>
                <w:rFonts w:ascii="宋体" w:hAnsi="宋体" w:cs="宋体"/>
                <w:color w:val="auto"/>
                <w:szCs w:val="21"/>
                <w:highlight w:val="none"/>
              </w:rPr>
            </w:pPr>
          </w:p>
        </w:tc>
        <w:tc>
          <w:tcPr>
            <w:tcW w:w="2260" w:type="dxa"/>
          </w:tcPr>
          <w:p w14:paraId="624C0115">
            <w:pPr>
              <w:pStyle w:val="46"/>
              <w:spacing w:line="360" w:lineRule="auto"/>
              <w:jc w:val="center"/>
              <w:rPr>
                <w:rFonts w:ascii="宋体" w:hAnsi="宋体" w:cs="宋体"/>
                <w:color w:val="auto"/>
                <w:szCs w:val="21"/>
                <w:highlight w:val="none"/>
              </w:rPr>
            </w:pPr>
          </w:p>
        </w:tc>
        <w:tc>
          <w:tcPr>
            <w:tcW w:w="2047" w:type="dxa"/>
            <w:tcBorders>
              <w:right w:val="single" w:color="auto" w:sz="4" w:space="0"/>
            </w:tcBorders>
          </w:tcPr>
          <w:p w14:paraId="74C65CBF">
            <w:pPr>
              <w:pStyle w:val="46"/>
              <w:spacing w:line="360" w:lineRule="auto"/>
              <w:jc w:val="center"/>
              <w:rPr>
                <w:rFonts w:ascii="宋体" w:hAnsi="宋体" w:cs="宋体"/>
                <w:color w:val="auto"/>
                <w:szCs w:val="21"/>
                <w:highlight w:val="none"/>
              </w:rPr>
            </w:pPr>
          </w:p>
        </w:tc>
      </w:tr>
      <w:tr w14:paraId="0642566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bottom w:val="single" w:color="auto" w:sz="4" w:space="0"/>
            </w:tcBorders>
          </w:tcPr>
          <w:p w14:paraId="7D3EB503">
            <w:pPr>
              <w:pStyle w:val="46"/>
              <w:spacing w:line="360" w:lineRule="auto"/>
              <w:jc w:val="center"/>
              <w:rPr>
                <w:rFonts w:ascii="宋体" w:hAnsi="宋体" w:cs="宋体"/>
                <w:color w:val="auto"/>
                <w:szCs w:val="21"/>
                <w:highlight w:val="none"/>
              </w:rPr>
            </w:pPr>
          </w:p>
        </w:tc>
        <w:tc>
          <w:tcPr>
            <w:tcW w:w="2258" w:type="dxa"/>
            <w:tcBorders>
              <w:bottom w:val="single" w:color="auto" w:sz="4" w:space="0"/>
            </w:tcBorders>
          </w:tcPr>
          <w:p w14:paraId="45B8E157">
            <w:pPr>
              <w:pStyle w:val="46"/>
              <w:spacing w:line="360" w:lineRule="auto"/>
              <w:jc w:val="center"/>
              <w:rPr>
                <w:rFonts w:ascii="宋体" w:hAnsi="宋体" w:cs="宋体"/>
                <w:color w:val="auto"/>
                <w:szCs w:val="21"/>
                <w:highlight w:val="none"/>
              </w:rPr>
            </w:pPr>
          </w:p>
        </w:tc>
        <w:tc>
          <w:tcPr>
            <w:tcW w:w="2260" w:type="dxa"/>
            <w:tcBorders>
              <w:bottom w:val="single" w:color="auto" w:sz="4" w:space="0"/>
            </w:tcBorders>
          </w:tcPr>
          <w:p w14:paraId="1D4EB4C6">
            <w:pPr>
              <w:pStyle w:val="46"/>
              <w:spacing w:line="360" w:lineRule="auto"/>
              <w:jc w:val="center"/>
              <w:rPr>
                <w:rFonts w:ascii="宋体" w:hAnsi="宋体" w:cs="宋体"/>
                <w:color w:val="auto"/>
                <w:szCs w:val="21"/>
                <w:highlight w:val="none"/>
              </w:rPr>
            </w:pPr>
          </w:p>
        </w:tc>
        <w:tc>
          <w:tcPr>
            <w:tcW w:w="2047" w:type="dxa"/>
            <w:tcBorders>
              <w:bottom w:val="single" w:color="auto" w:sz="4" w:space="0"/>
              <w:right w:val="single" w:color="auto" w:sz="4" w:space="0"/>
            </w:tcBorders>
          </w:tcPr>
          <w:p w14:paraId="50852CD9">
            <w:pPr>
              <w:pStyle w:val="46"/>
              <w:spacing w:line="360" w:lineRule="auto"/>
              <w:jc w:val="center"/>
              <w:rPr>
                <w:rFonts w:ascii="宋体" w:hAnsi="宋体" w:cs="宋体"/>
                <w:color w:val="auto"/>
                <w:szCs w:val="21"/>
                <w:highlight w:val="none"/>
              </w:rPr>
            </w:pPr>
          </w:p>
        </w:tc>
      </w:tr>
    </w:tbl>
    <w:p w14:paraId="120F4E3C">
      <w:pPr>
        <w:pStyle w:val="46"/>
        <w:tabs>
          <w:tab w:val="left" w:pos="1050"/>
        </w:tabs>
        <w:spacing w:line="360" w:lineRule="auto"/>
        <w:rPr>
          <w:rFonts w:ascii="宋体" w:hAnsi="宋体" w:cs="宋体"/>
          <w:color w:val="auto"/>
          <w:szCs w:val="21"/>
          <w:highlight w:val="none"/>
        </w:rPr>
      </w:pPr>
    </w:p>
    <w:p w14:paraId="2C6F72C8">
      <w:pPr>
        <w:pStyle w:val="46"/>
        <w:tabs>
          <w:tab w:val="left" w:pos="1050"/>
        </w:tabs>
        <w:spacing w:line="360" w:lineRule="auto"/>
        <w:rPr>
          <w:rFonts w:ascii="宋体" w:hAnsi="宋体" w:cs="宋体"/>
          <w:color w:val="auto"/>
          <w:szCs w:val="21"/>
          <w:highlight w:val="none"/>
        </w:rPr>
      </w:pPr>
      <w:r>
        <w:rPr>
          <w:rFonts w:hint="eastAsia" w:ascii="宋体" w:hAnsi="宋体" w:cs="宋体"/>
          <w:b/>
          <w:color w:val="auto"/>
          <w:szCs w:val="21"/>
          <w:highlight w:val="none"/>
        </w:rPr>
        <w:t>要求：</w:t>
      </w:r>
    </w:p>
    <w:p w14:paraId="36AB47BC">
      <w:pPr>
        <w:pStyle w:val="46"/>
        <w:tabs>
          <w:tab w:val="left" w:pos="1050"/>
        </w:tabs>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1、填写磋商供应商获得资质、认证或企业信誉证书。</w:t>
      </w:r>
    </w:p>
    <w:p w14:paraId="51BA8C83">
      <w:pPr>
        <w:pStyle w:val="46"/>
        <w:tabs>
          <w:tab w:val="left" w:pos="1050"/>
        </w:tabs>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2、附所列证书复印件或其他证明材料。</w:t>
      </w:r>
    </w:p>
    <w:p w14:paraId="5C154C94">
      <w:pPr>
        <w:pStyle w:val="46"/>
        <w:tabs>
          <w:tab w:val="left" w:pos="1050"/>
        </w:tabs>
        <w:spacing w:line="360" w:lineRule="auto"/>
        <w:ind w:firstLine="424" w:firstLineChars="202"/>
        <w:rPr>
          <w:rFonts w:ascii="宋体" w:hAnsi="宋体" w:cs="宋体"/>
          <w:color w:val="auto"/>
          <w:szCs w:val="21"/>
          <w:highlight w:val="none"/>
        </w:rPr>
      </w:pPr>
    </w:p>
    <w:p w14:paraId="7ED83047">
      <w:pPr>
        <w:pStyle w:val="46"/>
        <w:tabs>
          <w:tab w:val="left" w:pos="1050"/>
        </w:tabs>
        <w:spacing w:line="360" w:lineRule="auto"/>
        <w:ind w:firstLine="630" w:firstLineChars="300"/>
        <w:rPr>
          <w:rFonts w:ascii="宋体" w:hAnsi="宋体" w:cs="宋体"/>
          <w:color w:val="auto"/>
          <w:szCs w:val="21"/>
          <w:highlight w:val="none"/>
        </w:rPr>
      </w:pPr>
    </w:p>
    <w:p w14:paraId="7DBDE3AE">
      <w:pPr>
        <w:pStyle w:val="46"/>
        <w:tabs>
          <w:tab w:val="left" w:pos="1050"/>
        </w:tabs>
        <w:spacing w:line="360" w:lineRule="auto"/>
        <w:ind w:firstLine="630" w:firstLineChars="300"/>
        <w:rPr>
          <w:rFonts w:ascii="宋体" w:hAnsi="宋体" w:cs="宋体"/>
          <w:color w:val="auto"/>
          <w:szCs w:val="21"/>
          <w:highlight w:val="none"/>
        </w:rPr>
      </w:pPr>
    </w:p>
    <w:p w14:paraId="74E6378A">
      <w:pPr>
        <w:pStyle w:val="46"/>
        <w:tabs>
          <w:tab w:val="left" w:pos="1050"/>
        </w:tabs>
        <w:spacing w:line="360" w:lineRule="auto"/>
        <w:ind w:firstLine="630" w:firstLineChars="300"/>
        <w:rPr>
          <w:rFonts w:ascii="宋体" w:hAnsi="宋体" w:cs="宋体"/>
          <w:color w:val="auto"/>
          <w:szCs w:val="21"/>
          <w:highlight w:val="none"/>
        </w:rPr>
      </w:pPr>
    </w:p>
    <w:p w14:paraId="4A129976">
      <w:pPr>
        <w:spacing w:line="360" w:lineRule="auto"/>
        <w:ind w:firstLine="371" w:firstLineChars="177"/>
        <w:rPr>
          <w:rFonts w:ascii="宋体" w:hAnsi="宋体" w:cs="宋体"/>
          <w:color w:val="auto"/>
          <w:szCs w:val="21"/>
          <w:highlight w:val="none"/>
          <w:u w:val="single"/>
        </w:rPr>
      </w:pPr>
      <w:r>
        <w:rPr>
          <w:rFonts w:hint="eastAsia" w:ascii="宋体" w:hAnsi="宋体" w:cs="宋体"/>
          <w:color w:val="auto"/>
          <w:szCs w:val="21"/>
          <w:highlight w:val="none"/>
        </w:rPr>
        <w:t>磋商供应商名称（盖章）：</w:t>
      </w:r>
      <w:r>
        <w:rPr>
          <w:rFonts w:hint="eastAsia" w:ascii="宋体" w:hAnsi="宋体" w:cs="宋体"/>
          <w:color w:val="auto"/>
          <w:szCs w:val="21"/>
          <w:highlight w:val="none"/>
          <w:u w:val="single"/>
        </w:rPr>
        <w:t xml:space="preserve">                                        </w:t>
      </w:r>
    </w:p>
    <w:p w14:paraId="32837A9C">
      <w:pPr>
        <w:spacing w:line="360" w:lineRule="auto"/>
        <w:ind w:left="420"/>
        <w:rPr>
          <w:rFonts w:ascii="宋体" w:hAnsi="宋体" w:cs="宋体"/>
          <w:color w:val="auto"/>
          <w:szCs w:val="21"/>
          <w:highlight w:val="none"/>
        </w:rPr>
      </w:pPr>
    </w:p>
    <w:p w14:paraId="32425777">
      <w:pPr>
        <w:spacing w:line="360" w:lineRule="auto"/>
        <w:ind w:firstLine="371" w:firstLineChars="177"/>
        <w:rPr>
          <w:rFonts w:ascii="宋体" w:hAnsi="宋体" w:cs="宋体"/>
          <w:color w:val="auto"/>
          <w:szCs w:val="21"/>
          <w:highlight w:val="none"/>
        </w:rPr>
      </w:pPr>
      <w:r>
        <w:rPr>
          <w:rFonts w:hint="eastAsia" w:ascii="宋体" w:hAnsi="宋体" w:cs="宋体"/>
          <w:color w:val="auto"/>
          <w:szCs w:val="21"/>
          <w:highlight w:val="none"/>
        </w:rPr>
        <w:t>法定代表人或授权委托代理人签字或盖章：</w:t>
      </w:r>
      <w:r>
        <w:rPr>
          <w:rFonts w:hint="eastAsia" w:ascii="宋体" w:hAnsi="宋体" w:cs="宋体"/>
          <w:color w:val="auto"/>
          <w:szCs w:val="21"/>
          <w:highlight w:val="none"/>
          <w:u w:val="single"/>
        </w:rPr>
        <w:t xml:space="preserve">                          </w:t>
      </w:r>
    </w:p>
    <w:p w14:paraId="7536E4AE">
      <w:pPr>
        <w:spacing w:line="360" w:lineRule="auto"/>
        <w:ind w:firstLine="435"/>
        <w:rPr>
          <w:rFonts w:ascii="宋体" w:hAnsi="宋体" w:cs="宋体"/>
          <w:color w:val="auto"/>
          <w:szCs w:val="21"/>
          <w:highlight w:val="none"/>
        </w:rPr>
      </w:pPr>
    </w:p>
    <w:p w14:paraId="27783A4F">
      <w:pPr>
        <w:spacing w:line="360" w:lineRule="auto"/>
        <w:ind w:firstLine="371" w:firstLineChars="177"/>
        <w:rPr>
          <w:rFonts w:ascii="宋体" w:hAnsi="宋体" w:cs="宋体"/>
          <w:color w:val="auto"/>
          <w:szCs w:val="21"/>
          <w:highlight w:val="none"/>
          <w:u w:val="single"/>
        </w:rPr>
      </w:pPr>
      <w:r>
        <w:rPr>
          <w:rFonts w:hint="eastAsia" w:ascii="宋体" w:hAnsi="宋体" w:cs="宋体"/>
          <w:color w:val="auto"/>
          <w:szCs w:val="21"/>
          <w:highlight w:val="none"/>
        </w:rPr>
        <w:t>职        务：</w:t>
      </w:r>
      <w:r>
        <w:rPr>
          <w:rFonts w:hint="eastAsia" w:ascii="宋体" w:hAnsi="宋体" w:cs="宋体"/>
          <w:color w:val="auto"/>
          <w:szCs w:val="21"/>
          <w:highlight w:val="none"/>
          <w:u w:val="single"/>
        </w:rPr>
        <w:t xml:space="preserve">                             </w:t>
      </w:r>
    </w:p>
    <w:p w14:paraId="166741B3">
      <w:pPr>
        <w:spacing w:line="360" w:lineRule="auto"/>
        <w:rPr>
          <w:rFonts w:ascii="宋体" w:hAnsi="宋体" w:cs="宋体"/>
          <w:color w:val="auto"/>
          <w:szCs w:val="21"/>
          <w:highlight w:val="none"/>
        </w:rPr>
      </w:pPr>
    </w:p>
    <w:p w14:paraId="45FB8765">
      <w:pPr>
        <w:pStyle w:val="42"/>
        <w:shd w:val="clear" w:color="auto" w:fill="FFFFFF"/>
        <w:spacing w:before="0" w:beforeAutospacing="0" w:after="0" w:afterAutospacing="0" w:line="360" w:lineRule="auto"/>
        <w:ind w:firstLine="371" w:firstLineChars="177"/>
        <w:rPr>
          <w:b/>
          <w:bCs/>
          <w:color w:val="auto"/>
          <w:spacing w:val="11"/>
          <w:highlight w:val="none"/>
        </w:rPr>
      </w:pPr>
      <w:r>
        <w:rPr>
          <w:rFonts w:hint="eastAsia"/>
          <w:color w:val="auto"/>
          <w:sz w:val="21"/>
          <w:szCs w:val="21"/>
          <w:highlight w:val="none"/>
        </w:rPr>
        <w:t>日        期：</w:t>
      </w:r>
      <w:r>
        <w:rPr>
          <w:rFonts w:hint="eastAsia"/>
          <w:color w:val="auto"/>
          <w:sz w:val="21"/>
          <w:szCs w:val="21"/>
          <w:highlight w:val="none"/>
          <w:u w:val="single"/>
        </w:rPr>
        <w:t xml:space="preserve">                            </w:t>
      </w:r>
    </w:p>
    <w:p w14:paraId="6DBDBBCB">
      <w:pPr>
        <w:spacing w:line="360" w:lineRule="auto"/>
        <w:rPr>
          <w:rFonts w:ascii="宋体" w:hAnsi="宋体" w:cs="宋体"/>
          <w:b/>
          <w:color w:val="auto"/>
          <w:sz w:val="28"/>
          <w:highlight w:val="none"/>
        </w:rPr>
      </w:pPr>
    </w:p>
    <w:p w14:paraId="56623BB4">
      <w:pPr>
        <w:spacing w:line="360" w:lineRule="auto"/>
        <w:rPr>
          <w:rFonts w:ascii="宋体" w:hAnsi="宋体" w:cs="宋体"/>
          <w:b/>
          <w:color w:val="auto"/>
          <w:sz w:val="28"/>
          <w:highlight w:val="none"/>
        </w:rPr>
      </w:pPr>
    </w:p>
    <w:p w14:paraId="35FF311B">
      <w:pPr>
        <w:spacing w:line="360" w:lineRule="auto"/>
        <w:rPr>
          <w:rFonts w:ascii="宋体" w:hAnsi="宋体" w:cs="宋体"/>
          <w:b/>
          <w:color w:val="auto"/>
          <w:sz w:val="28"/>
          <w:highlight w:val="none"/>
        </w:rPr>
        <w:sectPr>
          <w:pgSz w:w="11906" w:h="16838"/>
          <w:pgMar w:top="1440" w:right="1800" w:bottom="1440" w:left="1800" w:header="851" w:footer="992" w:gutter="0"/>
          <w:cols w:space="425" w:num="1"/>
          <w:docGrid w:type="lines" w:linePitch="312" w:charSpace="0"/>
        </w:sectPr>
      </w:pPr>
    </w:p>
    <w:p w14:paraId="16FE0949">
      <w:pPr>
        <w:spacing w:line="360" w:lineRule="auto"/>
        <w:rPr>
          <w:rFonts w:ascii="宋体" w:hAnsi="宋体" w:cs="宋体"/>
          <w:b/>
          <w:color w:val="auto"/>
          <w:sz w:val="28"/>
          <w:highlight w:val="none"/>
        </w:rPr>
      </w:pPr>
      <w:r>
        <w:rPr>
          <w:rFonts w:hint="eastAsia" w:ascii="宋体" w:hAnsi="宋体" w:cs="宋体"/>
          <w:b/>
          <w:color w:val="auto"/>
          <w:sz w:val="28"/>
          <w:highlight w:val="none"/>
        </w:rPr>
        <w:t>附件11</w:t>
      </w:r>
    </w:p>
    <w:p w14:paraId="010F1231">
      <w:pPr>
        <w:pStyle w:val="45"/>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类似项目实施情况一览表</w:t>
      </w:r>
    </w:p>
    <w:p w14:paraId="59673984">
      <w:pPr>
        <w:pStyle w:val="45"/>
        <w:spacing w:line="360" w:lineRule="auto"/>
        <w:jc w:val="center"/>
        <w:rPr>
          <w:rFonts w:ascii="宋体" w:hAnsi="宋体" w:cs="宋体"/>
          <w:b/>
          <w:color w:val="auto"/>
          <w:sz w:val="28"/>
          <w:szCs w:val="28"/>
          <w:highlight w:val="none"/>
        </w:rPr>
      </w:pPr>
    </w:p>
    <w:tbl>
      <w:tblPr>
        <w:tblStyle w:val="22"/>
        <w:tblW w:w="931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12"/>
        <w:gridCol w:w="1309"/>
        <w:gridCol w:w="1307"/>
        <w:gridCol w:w="1230"/>
        <w:gridCol w:w="1418"/>
        <w:gridCol w:w="1351"/>
        <w:gridCol w:w="1990"/>
      </w:tblGrid>
      <w:tr w14:paraId="230786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4" w:hRule="atLeast"/>
          <w:jc w:val="center"/>
        </w:trPr>
        <w:tc>
          <w:tcPr>
            <w:tcW w:w="712" w:type="dxa"/>
            <w:tcBorders>
              <w:top w:val="single" w:color="auto" w:sz="6" w:space="0"/>
              <w:left w:val="single" w:color="auto" w:sz="6" w:space="0"/>
              <w:bottom w:val="single" w:color="auto" w:sz="6" w:space="0"/>
              <w:right w:val="single" w:color="auto" w:sz="6" w:space="0"/>
            </w:tcBorders>
            <w:vAlign w:val="center"/>
          </w:tcPr>
          <w:p w14:paraId="2D301BA9">
            <w:pPr>
              <w:pStyle w:val="45"/>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序号</w:t>
            </w:r>
          </w:p>
        </w:tc>
        <w:tc>
          <w:tcPr>
            <w:tcW w:w="1309" w:type="dxa"/>
            <w:tcBorders>
              <w:top w:val="single" w:color="auto" w:sz="6" w:space="0"/>
              <w:left w:val="single" w:color="auto" w:sz="6" w:space="0"/>
              <w:bottom w:val="single" w:color="auto" w:sz="6" w:space="0"/>
              <w:right w:val="single" w:color="auto" w:sz="6" w:space="0"/>
            </w:tcBorders>
            <w:vAlign w:val="center"/>
          </w:tcPr>
          <w:p w14:paraId="7687EA76">
            <w:pPr>
              <w:pStyle w:val="45"/>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项目名称</w:t>
            </w:r>
          </w:p>
        </w:tc>
        <w:tc>
          <w:tcPr>
            <w:tcW w:w="1307" w:type="dxa"/>
            <w:tcBorders>
              <w:top w:val="single" w:color="auto" w:sz="6" w:space="0"/>
              <w:left w:val="single" w:color="auto" w:sz="6" w:space="0"/>
              <w:bottom w:val="single" w:color="auto" w:sz="6" w:space="0"/>
              <w:right w:val="single" w:color="auto" w:sz="6" w:space="0"/>
            </w:tcBorders>
            <w:vAlign w:val="center"/>
          </w:tcPr>
          <w:p w14:paraId="08E75C8F">
            <w:pPr>
              <w:pStyle w:val="45"/>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项目地址</w:t>
            </w:r>
          </w:p>
        </w:tc>
        <w:tc>
          <w:tcPr>
            <w:tcW w:w="1230" w:type="dxa"/>
            <w:tcBorders>
              <w:top w:val="single" w:color="auto" w:sz="6" w:space="0"/>
              <w:left w:val="single" w:color="auto" w:sz="6" w:space="0"/>
              <w:bottom w:val="single" w:color="auto" w:sz="6" w:space="0"/>
              <w:right w:val="single" w:color="auto" w:sz="6" w:space="0"/>
            </w:tcBorders>
            <w:vAlign w:val="center"/>
          </w:tcPr>
          <w:p w14:paraId="1E2EC729">
            <w:pPr>
              <w:pStyle w:val="45"/>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合同总价</w:t>
            </w:r>
          </w:p>
        </w:tc>
        <w:tc>
          <w:tcPr>
            <w:tcW w:w="1418" w:type="dxa"/>
            <w:tcBorders>
              <w:top w:val="single" w:color="auto" w:sz="6" w:space="0"/>
              <w:left w:val="single" w:color="auto" w:sz="6" w:space="0"/>
              <w:bottom w:val="single" w:color="auto" w:sz="6" w:space="0"/>
              <w:right w:val="single" w:color="auto" w:sz="6" w:space="0"/>
            </w:tcBorders>
            <w:vAlign w:val="center"/>
          </w:tcPr>
          <w:p w14:paraId="71A40F74">
            <w:pPr>
              <w:pStyle w:val="45"/>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实施时间</w:t>
            </w:r>
          </w:p>
        </w:tc>
        <w:tc>
          <w:tcPr>
            <w:tcW w:w="1351" w:type="dxa"/>
            <w:tcBorders>
              <w:top w:val="single" w:color="auto" w:sz="6" w:space="0"/>
              <w:left w:val="single" w:color="auto" w:sz="6" w:space="0"/>
              <w:bottom w:val="single" w:color="auto" w:sz="6" w:space="0"/>
              <w:right w:val="single" w:color="auto" w:sz="6" w:space="0"/>
            </w:tcBorders>
            <w:vAlign w:val="center"/>
          </w:tcPr>
          <w:p w14:paraId="13636686">
            <w:pPr>
              <w:pStyle w:val="45"/>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项目质量</w:t>
            </w:r>
          </w:p>
        </w:tc>
        <w:tc>
          <w:tcPr>
            <w:tcW w:w="1990" w:type="dxa"/>
            <w:tcBorders>
              <w:top w:val="single" w:color="auto" w:sz="6" w:space="0"/>
              <w:left w:val="single" w:color="auto" w:sz="6" w:space="0"/>
              <w:bottom w:val="single" w:color="auto" w:sz="6" w:space="0"/>
              <w:right w:val="single" w:color="auto" w:sz="6" w:space="0"/>
            </w:tcBorders>
            <w:vAlign w:val="center"/>
          </w:tcPr>
          <w:p w14:paraId="2168D467">
            <w:pPr>
              <w:pStyle w:val="45"/>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项目单位名称及其联系人电话</w:t>
            </w:r>
          </w:p>
        </w:tc>
      </w:tr>
      <w:tr w14:paraId="4DD3EF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6" w:hRule="atLeast"/>
          <w:jc w:val="center"/>
        </w:trPr>
        <w:tc>
          <w:tcPr>
            <w:tcW w:w="712" w:type="dxa"/>
            <w:tcBorders>
              <w:top w:val="single" w:color="auto" w:sz="6" w:space="0"/>
              <w:left w:val="single" w:color="auto" w:sz="6" w:space="0"/>
              <w:bottom w:val="single" w:color="auto" w:sz="6" w:space="0"/>
              <w:right w:val="single" w:color="auto" w:sz="6" w:space="0"/>
            </w:tcBorders>
          </w:tcPr>
          <w:p w14:paraId="52B0B3A7">
            <w:pPr>
              <w:pStyle w:val="45"/>
              <w:spacing w:line="360"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1309" w:type="dxa"/>
            <w:tcBorders>
              <w:top w:val="single" w:color="auto" w:sz="6" w:space="0"/>
              <w:left w:val="single" w:color="auto" w:sz="6" w:space="0"/>
              <w:bottom w:val="single" w:color="auto" w:sz="6" w:space="0"/>
              <w:right w:val="single" w:color="auto" w:sz="6" w:space="0"/>
            </w:tcBorders>
          </w:tcPr>
          <w:p w14:paraId="71D8406F">
            <w:pPr>
              <w:pStyle w:val="45"/>
              <w:spacing w:line="360" w:lineRule="auto"/>
              <w:rPr>
                <w:rFonts w:ascii="宋体" w:hAnsi="宋体" w:cs="宋体"/>
                <w:color w:val="auto"/>
                <w:szCs w:val="21"/>
                <w:highlight w:val="none"/>
              </w:rPr>
            </w:pPr>
          </w:p>
        </w:tc>
        <w:tc>
          <w:tcPr>
            <w:tcW w:w="1307" w:type="dxa"/>
            <w:tcBorders>
              <w:top w:val="single" w:color="auto" w:sz="6" w:space="0"/>
              <w:left w:val="single" w:color="auto" w:sz="6" w:space="0"/>
              <w:bottom w:val="single" w:color="auto" w:sz="6" w:space="0"/>
              <w:right w:val="single" w:color="auto" w:sz="6" w:space="0"/>
            </w:tcBorders>
          </w:tcPr>
          <w:p w14:paraId="511A3A49">
            <w:pPr>
              <w:pStyle w:val="45"/>
              <w:spacing w:line="360" w:lineRule="auto"/>
              <w:rPr>
                <w:rFonts w:ascii="宋体" w:hAnsi="宋体" w:cs="宋体"/>
                <w:color w:val="auto"/>
                <w:szCs w:val="21"/>
                <w:highlight w:val="none"/>
              </w:rPr>
            </w:pPr>
          </w:p>
        </w:tc>
        <w:tc>
          <w:tcPr>
            <w:tcW w:w="1230" w:type="dxa"/>
            <w:tcBorders>
              <w:top w:val="single" w:color="auto" w:sz="6" w:space="0"/>
              <w:left w:val="single" w:color="auto" w:sz="6" w:space="0"/>
              <w:bottom w:val="single" w:color="auto" w:sz="6" w:space="0"/>
              <w:right w:val="single" w:color="auto" w:sz="6" w:space="0"/>
            </w:tcBorders>
          </w:tcPr>
          <w:p w14:paraId="70D5AF57">
            <w:pPr>
              <w:pStyle w:val="45"/>
              <w:spacing w:line="360" w:lineRule="auto"/>
              <w:rPr>
                <w:rFonts w:ascii="宋体" w:hAnsi="宋体" w:cs="宋体"/>
                <w:color w:val="auto"/>
                <w:szCs w:val="21"/>
                <w:highlight w:val="none"/>
              </w:rPr>
            </w:pPr>
          </w:p>
        </w:tc>
        <w:tc>
          <w:tcPr>
            <w:tcW w:w="1418" w:type="dxa"/>
            <w:tcBorders>
              <w:top w:val="single" w:color="auto" w:sz="6" w:space="0"/>
              <w:left w:val="single" w:color="auto" w:sz="6" w:space="0"/>
              <w:bottom w:val="single" w:color="auto" w:sz="6" w:space="0"/>
              <w:right w:val="single" w:color="auto" w:sz="6" w:space="0"/>
            </w:tcBorders>
          </w:tcPr>
          <w:p w14:paraId="6E4543A3">
            <w:pPr>
              <w:pStyle w:val="45"/>
              <w:spacing w:line="360" w:lineRule="auto"/>
              <w:rPr>
                <w:rFonts w:ascii="宋体" w:hAnsi="宋体" w:cs="宋体"/>
                <w:color w:val="auto"/>
                <w:szCs w:val="21"/>
                <w:highlight w:val="none"/>
              </w:rPr>
            </w:pPr>
          </w:p>
        </w:tc>
        <w:tc>
          <w:tcPr>
            <w:tcW w:w="1351" w:type="dxa"/>
            <w:tcBorders>
              <w:top w:val="single" w:color="auto" w:sz="6" w:space="0"/>
              <w:left w:val="single" w:color="auto" w:sz="6" w:space="0"/>
              <w:bottom w:val="single" w:color="auto" w:sz="6" w:space="0"/>
              <w:right w:val="single" w:color="auto" w:sz="6" w:space="0"/>
            </w:tcBorders>
          </w:tcPr>
          <w:p w14:paraId="5E720F34">
            <w:pPr>
              <w:pStyle w:val="45"/>
              <w:spacing w:line="360" w:lineRule="auto"/>
              <w:rPr>
                <w:rFonts w:ascii="宋体" w:hAnsi="宋体" w:cs="宋体"/>
                <w:color w:val="auto"/>
                <w:szCs w:val="21"/>
                <w:highlight w:val="none"/>
              </w:rPr>
            </w:pPr>
          </w:p>
        </w:tc>
        <w:tc>
          <w:tcPr>
            <w:tcW w:w="1990" w:type="dxa"/>
            <w:tcBorders>
              <w:top w:val="single" w:color="auto" w:sz="6" w:space="0"/>
              <w:left w:val="single" w:color="auto" w:sz="6" w:space="0"/>
              <w:bottom w:val="single" w:color="auto" w:sz="6" w:space="0"/>
              <w:right w:val="single" w:color="auto" w:sz="6" w:space="0"/>
            </w:tcBorders>
          </w:tcPr>
          <w:p w14:paraId="07FA22F0">
            <w:pPr>
              <w:pStyle w:val="45"/>
              <w:spacing w:line="360" w:lineRule="auto"/>
              <w:rPr>
                <w:rFonts w:ascii="宋体" w:hAnsi="宋体" w:cs="宋体"/>
                <w:color w:val="auto"/>
                <w:szCs w:val="21"/>
                <w:highlight w:val="none"/>
              </w:rPr>
            </w:pPr>
          </w:p>
        </w:tc>
      </w:tr>
      <w:tr w14:paraId="6A8A18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7" w:hRule="atLeast"/>
          <w:jc w:val="center"/>
        </w:trPr>
        <w:tc>
          <w:tcPr>
            <w:tcW w:w="712" w:type="dxa"/>
            <w:tcBorders>
              <w:top w:val="single" w:color="auto" w:sz="6" w:space="0"/>
              <w:left w:val="single" w:color="auto" w:sz="6" w:space="0"/>
              <w:bottom w:val="single" w:color="auto" w:sz="6" w:space="0"/>
              <w:right w:val="single" w:color="auto" w:sz="6" w:space="0"/>
            </w:tcBorders>
          </w:tcPr>
          <w:p w14:paraId="34EAA574">
            <w:pPr>
              <w:pStyle w:val="45"/>
              <w:spacing w:line="360" w:lineRule="auto"/>
              <w:jc w:val="center"/>
              <w:rPr>
                <w:rFonts w:ascii="宋体" w:hAnsi="宋体" w:cs="宋体"/>
                <w:color w:val="auto"/>
                <w:szCs w:val="21"/>
                <w:highlight w:val="none"/>
              </w:rPr>
            </w:pPr>
            <w:r>
              <w:rPr>
                <w:rFonts w:hint="eastAsia" w:ascii="宋体" w:hAnsi="宋体" w:cs="宋体"/>
                <w:color w:val="auto"/>
                <w:szCs w:val="21"/>
                <w:highlight w:val="none"/>
              </w:rPr>
              <w:t>2</w:t>
            </w:r>
          </w:p>
        </w:tc>
        <w:tc>
          <w:tcPr>
            <w:tcW w:w="1309" w:type="dxa"/>
            <w:tcBorders>
              <w:top w:val="single" w:color="auto" w:sz="6" w:space="0"/>
              <w:left w:val="single" w:color="auto" w:sz="6" w:space="0"/>
              <w:bottom w:val="single" w:color="auto" w:sz="6" w:space="0"/>
              <w:right w:val="single" w:color="auto" w:sz="6" w:space="0"/>
            </w:tcBorders>
          </w:tcPr>
          <w:p w14:paraId="1544B6F7">
            <w:pPr>
              <w:pStyle w:val="45"/>
              <w:spacing w:line="360" w:lineRule="auto"/>
              <w:rPr>
                <w:rFonts w:ascii="宋体" w:hAnsi="宋体" w:cs="宋体"/>
                <w:color w:val="auto"/>
                <w:szCs w:val="21"/>
                <w:highlight w:val="none"/>
              </w:rPr>
            </w:pPr>
          </w:p>
        </w:tc>
        <w:tc>
          <w:tcPr>
            <w:tcW w:w="1307" w:type="dxa"/>
            <w:tcBorders>
              <w:top w:val="single" w:color="auto" w:sz="6" w:space="0"/>
              <w:left w:val="single" w:color="auto" w:sz="6" w:space="0"/>
              <w:bottom w:val="single" w:color="auto" w:sz="6" w:space="0"/>
              <w:right w:val="single" w:color="auto" w:sz="6" w:space="0"/>
            </w:tcBorders>
          </w:tcPr>
          <w:p w14:paraId="08974826">
            <w:pPr>
              <w:pStyle w:val="45"/>
              <w:spacing w:line="360" w:lineRule="auto"/>
              <w:rPr>
                <w:rFonts w:ascii="宋体" w:hAnsi="宋体" w:cs="宋体"/>
                <w:color w:val="auto"/>
                <w:szCs w:val="21"/>
                <w:highlight w:val="none"/>
              </w:rPr>
            </w:pPr>
          </w:p>
        </w:tc>
        <w:tc>
          <w:tcPr>
            <w:tcW w:w="1230" w:type="dxa"/>
            <w:tcBorders>
              <w:top w:val="single" w:color="auto" w:sz="6" w:space="0"/>
              <w:left w:val="single" w:color="auto" w:sz="6" w:space="0"/>
              <w:bottom w:val="single" w:color="auto" w:sz="6" w:space="0"/>
              <w:right w:val="single" w:color="auto" w:sz="6" w:space="0"/>
            </w:tcBorders>
          </w:tcPr>
          <w:p w14:paraId="73DDB099">
            <w:pPr>
              <w:pStyle w:val="45"/>
              <w:spacing w:line="360" w:lineRule="auto"/>
              <w:rPr>
                <w:rFonts w:ascii="宋体" w:hAnsi="宋体" w:cs="宋体"/>
                <w:color w:val="auto"/>
                <w:szCs w:val="21"/>
                <w:highlight w:val="none"/>
              </w:rPr>
            </w:pPr>
          </w:p>
        </w:tc>
        <w:tc>
          <w:tcPr>
            <w:tcW w:w="1418" w:type="dxa"/>
            <w:tcBorders>
              <w:top w:val="single" w:color="auto" w:sz="6" w:space="0"/>
              <w:left w:val="single" w:color="auto" w:sz="6" w:space="0"/>
              <w:bottom w:val="single" w:color="auto" w:sz="6" w:space="0"/>
              <w:right w:val="single" w:color="auto" w:sz="6" w:space="0"/>
            </w:tcBorders>
          </w:tcPr>
          <w:p w14:paraId="33C0F5E5">
            <w:pPr>
              <w:pStyle w:val="45"/>
              <w:spacing w:line="360" w:lineRule="auto"/>
              <w:rPr>
                <w:rFonts w:ascii="宋体" w:hAnsi="宋体" w:cs="宋体"/>
                <w:color w:val="auto"/>
                <w:szCs w:val="21"/>
                <w:highlight w:val="none"/>
              </w:rPr>
            </w:pPr>
          </w:p>
        </w:tc>
        <w:tc>
          <w:tcPr>
            <w:tcW w:w="1351" w:type="dxa"/>
            <w:tcBorders>
              <w:top w:val="single" w:color="auto" w:sz="6" w:space="0"/>
              <w:left w:val="single" w:color="auto" w:sz="6" w:space="0"/>
              <w:bottom w:val="single" w:color="auto" w:sz="6" w:space="0"/>
              <w:right w:val="single" w:color="auto" w:sz="6" w:space="0"/>
            </w:tcBorders>
          </w:tcPr>
          <w:p w14:paraId="6251287E">
            <w:pPr>
              <w:pStyle w:val="45"/>
              <w:spacing w:line="360" w:lineRule="auto"/>
              <w:rPr>
                <w:rFonts w:ascii="宋体" w:hAnsi="宋体" w:cs="宋体"/>
                <w:color w:val="auto"/>
                <w:szCs w:val="21"/>
                <w:highlight w:val="none"/>
              </w:rPr>
            </w:pPr>
          </w:p>
        </w:tc>
        <w:tc>
          <w:tcPr>
            <w:tcW w:w="1990" w:type="dxa"/>
            <w:tcBorders>
              <w:top w:val="single" w:color="auto" w:sz="6" w:space="0"/>
              <w:left w:val="single" w:color="auto" w:sz="6" w:space="0"/>
              <w:bottom w:val="single" w:color="auto" w:sz="6" w:space="0"/>
              <w:right w:val="single" w:color="auto" w:sz="6" w:space="0"/>
            </w:tcBorders>
          </w:tcPr>
          <w:p w14:paraId="5796CB50">
            <w:pPr>
              <w:pStyle w:val="45"/>
              <w:spacing w:line="360" w:lineRule="auto"/>
              <w:rPr>
                <w:rFonts w:ascii="宋体" w:hAnsi="宋体" w:cs="宋体"/>
                <w:color w:val="auto"/>
                <w:szCs w:val="21"/>
                <w:highlight w:val="none"/>
              </w:rPr>
            </w:pPr>
          </w:p>
        </w:tc>
      </w:tr>
      <w:tr w14:paraId="03557F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2" w:hRule="atLeast"/>
          <w:jc w:val="center"/>
        </w:trPr>
        <w:tc>
          <w:tcPr>
            <w:tcW w:w="712" w:type="dxa"/>
            <w:tcBorders>
              <w:top w:val="single" w:color="auto" w:sz="6" w:space="0"/>
              <w:left w:val="single" w:color="auto" w:sz="6" w:space="0"/>
              <w:bottom w:val="single" w:color="auto" w:sz="6" w:space="0"/>
              <w:right w:val="single" w:color="auto" w:sz="6" w:space="0"/>
            </w:tcBorders>
          </w:tcPr>
          <w:p w14:paraId="1D50993F">
            <w:pPr>
              <w:pStyle w:val="45"/>
              <w:spacing w:line="360" w:lineRule="auto"/>
              <w:jc w:val="center"/>
              <w:rPr>
                <w:rFonts w:ascii="宋体" w:hAnsi="宋体" w:cs="宋体"/>
                <w:color w:val="auto"/>
                <w:szCs w:val="21"/>
                <w:highlight w:val="none"/>
              </w:rPr>
            </w:pPr>
            <w:r>
              <w:rPr>
                <w:rFonts w:hint="eastAsia" w:ascii="宋体" w:hAnsi="宋体" w:cs="宋体"/>
                <w:color w:val="auto"/>
                <w:szCs w:val="21"/>
                <w:highlight w:val="none"/>
              </w:rPr>
              <w:t>3</w:t>
            </w:r>
          </w:p>
        </w:tc>
        <w:tc>
          <w:tcPr>
            <w:tcW w:w="1309" w:type="dxa"/>
            <w:tcBorders>
              <w:top w:val="single" w:color="auto" w:sz="6" w:space="0"/>
              <w:left w:val="single" w:color="auto" w:sz="6" w:space="0"/>
              <w:bottom w:val="single" w:color="auto" w:sz="6" w:space="0"/>
              <w:right w:val="single" w:color="auto" w:sz="6" w:space="0"/>
            </w:tcBorders>
          </w:tcPr>
          <w:p w14:paraId="20DAF210">
            <w:pPr>
              <w:pStyle w:val="45"/>
              <w:spacing w:line="360" w:lineRule="auto"/>
              <w:rPr>
                <w:rFonts w:ascii="宋体" w:hAnsi="宋体" w:cs="宋体"/>
                <w:color w:val="auto"/>
                <w:szCs w:val="21"/>
                <w:highlight w:val="none"/>
              </w:rPr>
            </w:pPr>
          </w:p>
        </w:tc>
        <w:tc>
          <w:tcPr>
            <w:tcW w:w="1307" w:type="dxa"/>
            <w:tcBorders>
              <w:top w:val="single" w:color="auto" w:sz="6" w:space="0"/>
              <w:left w:val="single" w:color="auto" w:sz="6" w:space="0"/>
              <w:bottom w:val="single" w:color="auto" w:sz="6" w:space="0"/>
              <w:right w:val="single" w:color="auto" w:sz="6" w:space="0"/>
            </w:tcBorders>
          </w:tcPr>
          <w:p w14:paraId="1AC6EBC0">
            <w:pPr>
              <w:pStyle w:val="45"/>
              <w:spacing w:line="360" w:lineRule="auto"/>
              <w:rPr>
                <w:rFonts w:ascii="宋体" w:hAnsi="宋体" w:cs="宋体"/>
                <w:color w:val="auto"/>
                <w:szCs w:val="21"/>
                <w:highlight w:val="none"/>
              </w:rPr>
            </w:pPr>
          </w:p>
        </w:tc>
        <w:tc>
          <w:tcPr>
            <w:tcW w:w="1230" w:type="dxa"/>
            <w:tcBorders>
              <w:top w:val="single" w:color="auto" w:sz="6" w:space="0"/>
              <w:left w:val="single" w:color="auto" w:sz="6" w:space="0"/>
              <w:bottom w:val="single" w:color="auto" w:sz="6" w:space="0"/>
              <w:right w:val="single" w:color="auto" w:sz="6" w:space="0"/>
            </w:tcBorders>
          </w:tcPr>
          <w:p w14:paraId="48424A33">
            <w:pPr>
              <w:pStyle w:val="45"/>
              <w:spacing w:line="360" w:lineRule="auto"/>
              <w:rPr>
                <w:rFonts w:ascii="宋体" w:hAnsi="宋体" w:cs="宋体"/>
                <w:color w:val="auto"/>
                <w:szCs w:val="21"/>
                <w:highlight w:val="none"/>
              </w:rPr>
            </w:pPr>
          </w:p>
        </w:tc>
        <w:tc>
          <w:tcPr>
            <w:tcW w:w="1418" w:type="dxa"/>
            <w:tcBorders>
              <w:top w:val="single" w:color="auto" w:sz="6" w:space="0"/>
              <w:left w:val="single" w:color="auto" w:sz="6" w:space="0"/>
              <w:bottom w:val="single" w:color="auto" w:sz="6" w:space="0"/>
              <w:right w:val="single" w:color="auto" w:sz="6" w:space="0"/>
            </w:tcBorders>
          </w:tcPr>
          <w:p w14:paraId="152BC553">
            <w:pPr>
              <w:pStyle w:val="45"/>
              <w:spacing w:line="360" w:lineRule="auto"/>
              <w:rPr>
                <w:rFonts w:ascii="宋体" w:hAnsi="宋体" w:cs="宋体"/>
                <w:color w:val="auto"/>
                <w:szCs w:val="21"/>
                <w:highlight w:val="none"/>
              </w:rPr>
            </w:pPr>
          </w:p>
        </w:tc>
        <w:tc>
          <w:tcPr>
            <w:tcW w:w="1351" w:type="dxa"/>
            <w:tcBorders>
              <w:top w:val="single" w:color="auto" w:sz="6" w:space="0"/>
              <w:left w:val="single" w:color="auto" w:sz="6" w:space="0"/>
              <w:bottom w:val="single" w:color="auto" w:sz="6" w:space="0"/>
              <w:right w:val="single" w:color="auto" w:sz="6" w:space="0"/>
            </w:tcBorders>
          </w:tcPr>
          <w:p w14:paraId="10255AF5">
            <w:pPr>
              <w:pStyle w:val="45"/>
              <w:spacing w:line="360" w:lineRule="auto"/>
              <w:rPr>
                <w:rFonts w:ascii="宋体" w:hAnsi="宋体" w:cs="宋体"/>
                <w:color w:val="auto"/>
                <w:szCs w:val="21"/>
                <w:highlight w:val="none"/>
              </w:rPr>
            </w:pPr>
          </w:p>
        </w:tc>
        <w:tc>
          <w:tcPr>
            <w:tcW w:w="1990" w:type="dxa"/>
            <w:tcBorders>
              <w:top w:val="single" w:color="auto" w:sz="6" w:space="0"/>
              <w:left w:val="single" w:color="auto" w:sz="6" w:space="0"/>
              <w:bottom w:val="single" w:color="auto" w:sz="6" w:space="0"/>
              <w:right w:val="single" w:color="auto" w:sz="6" w:space="0"/>
            </w:tcBorders>
          </w:tcPr>
          <w:p w14:paraId="238C50E7">
            <w:pPr>
              <w:pStyle w:val="45"/>
              <w:spacing w:line="360" w:lineRule="auto"/>
              <w:rPr>
                <w:rFonts w:ascii="宋体" w:hAnsi="宋体" w:cs="宋体"/>
                <w:color w:val="auto"/>
                <w:szCs w:val="21"/>
                <w:highlight w:val="none"/>
              </w:rPr>
            </w:pPr>
          </w:p>
        </w:tc>
      </w:tr>
      <w:tr w14:paraId="6ECA45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712" w:type="dxa"/>
            <w:tcBorders>
              <w:top w:val="single" w:color="auto" w:sz="6" w:space="0"/>
              <w:left w:val="single" w:color="auto" w:sz="6" w:space="0"/>
              <w:bottom w:val="single" w:color="auto" w:sz="6" w:space="0"/>
              <w:right w:val="single" w:color="auto" w:sz="6" w:space="0"/>
            </w:tcBorders>
          </w:tcPr>
          <w:p w14:paraId="16E6C5AC">
            <w:pPr>
              <w:pStyle w:val="45"/>
              <w:spacing w:line="360" w:lineRule="auto"/>
              <w:rPr>
                <w:rFonts w:ascii="宋体" w:hAnsi="宋体" w:cs="宋体"/>
                <w:color w:val="auto"/>
                <w:szCs w:val="21"/>
                <w:highlight w:val="none"/>
              </w:rPr>
            </w:pPr>
            <w:r>
              <w:rPr>
                <w:rFonts w:hint="eastAsia" w:ascii="宋体" w:hAnsi="宋体" w:cs="宋体"/>
                <w:color w:val="auto"/>
                <w:szCs w:val="21"/>
                <w:highlight w:val="none"/>
              </w:rPr>
              <w:t>…</w:t>
            </w:r>
          </w:p>
        </w:tc>
        <w:tc>
          <w:tcPr>
            <w:tcW w:w="1309" w:type="dxa"/>
            <w:tcBorders>
              <w:top w:val="single" w:color="auto" w:sz="6" w:space="0"/>
              <w:left w:val="single" w:color="auto" w:sz="6" w:space="0"/>
              <w:bottom w:val="single" w:color="auto" w:sz="6" w:space="0"/>
              <w:right w:val="single" w:color="auto" w:sz="6" w:space="0"/>
            </w:tcBorders>
          </w:tcPr>
          <w:p w14:paraId="2414E91F">
            <w:pPr>
              <w:pStyle w:val="45"/>
              <w:spacing w:line="360" w:lineRule="auto"/>
              <w:rPr>
                <w:rFonts w:ascii="宋体" w:hAnsi="宋体" w:cs="宋体"/>
                <w:color w:val="auto"/>
                <w:szCs w:val="21"/>
                <w:highlight w:val="none"/>
              </w:rPr>
            </w:pPr>
          </w:p>
        </w:tc>
        <w:tc>
          <w:tcPr>
            <w:tcW w:w="1307" w:type="dxa"/>
            <w:tcBorders>
              <w:top w:val="single" w:color="auto" w:sz="6" w:space="0"/>
              <w:left w:val="single" w:color="auto" w:sz="6" w:space="0"/>
              <w:bottom w:val="single" w:color="auto" w:sz="6" w:space="0"/>
              <w:right w:val="single" w:color="auto" w:sz="6" w:space="0"/>
            </w:tcBorders>
          </w:tcPr>
          <w:p w14:paraId="456B899D">
            <w:pPr>
              <w:pStyle w:val="45"/>
              <w:spacing w:line="360" w:lineRule="auto"/>
              <w:rPr>
                <w:rFonts w:ascii="宋体" w:hAnsi="宋体" w:cs="宋体"/>
                <w:color w:val="auto"/>
                <w:szCs w:val="21"/>
                <w:highlight w:val="none"/>
              </w:rPr>
            </w:pPr>
          </w:p>
        </w:tc>
        <w:tc>
          <w:tcPr>
            <w:tcW w:w="1230" w:type="dxa"/>
            <w:tcBorders>
              <w:top w:val="single" w:color="auto" w:sz="6" w:space="0"/>
              <w:left w:val="single" w:color="auto" w:sz="6" w:space="0"/>
              <w:bottom w:val="single" w:color="auto" w:sz="6" w:space="0"/>
              <w:right w:val="single" w:color="auto" w:sz="6" w:space="0"/>
            </w:tcBorders>
          </w:tcPr>
          <w:p w14:paraId="4FDAE563">
            <w:pPr>
              <w:pStyle w:val="45"/>
              <w:spacing w:line="360" w:lineRule="auto"/>
              <w:rPr>
                <w:rFonts w:ascii="宋体" w:hAnsi="宋体" w:cs="宋体"/>
                <w:color w:val="auto"/>
                <w:szCs w:val="21"/>
                <w:highlight w:val="none"/>
              </w:rPr>
            </w:pPr>
          </w:p>
        </w:tc>
        <w:tc>
          <w:tcPr>
            <w:tcW w:w="1418" w:type="dxa"/>
            <w:tcBorders>
              <w:top w:val="single" w:color="auto" w:sz="6" w:space="0"/>
              <w:left w:val="single" w:color="auto" w:sz="6" w:space="0"/>
              <w:bottom w:val="single" w:color="auto" w:sz="6" w:space="0"/>
              <w:right w:val="single" w:color="auto" w:sz="6" w:space="0"/>
            </w:tcBorders>
          </w:tcPr>
          <w:p w14:paraId="02C5F42F">
            <w:pPr>
              <w:pStyle w:val="45"/>
              <w:spacing w:line="360" w:lineRule="auto"/>
              <w:rPr>
                <w:rFonts w:ascii="宋体" w:hAnsi="宋体" w:cs="宋体"/>
                <w:color w:val="auto"/>
                <w:szCs w:val="21"/>
                <w:highlight w:val="none"/>
              </w:rPr>
            </w:pPr>
          </w:p>
        </w:tc>
        <w:tc>
          <w:tcPr>
            <w:tcW w:w="1351" w:type="dxa"/>
            <w:tcBorders>
              <w:top w:val="single" w:color="auto" w:sz="6" w:space="0"/>
              <w:left w:val="single" w:color="auto" w:sz="6" w:space="0"/>
              <w:bottom w:val="single" w:color="auto" w:sz="6" w:space="0"/>
              <w:right w:val="single" w:color="auto" w:sz="6" w:space="0"/>
            </w:tcBorders>
          </w:tcPr>
          <w:p w14:paraId="15854A7A">
            <w:pPr>
              <w:pStyle w:val="45"/>
              <w:spacing w:line="360" w:lineRule="auto"/>
              <w:rPr>
                <w:rFonts w:ascii="宋体" w:hAnsi="宋体" w:cs="宋体"/>
                <w:color w:val="auto"/>
                <w:szCs w:val="21"/>
                <w:highlight w:val="none"/>
              </w:rPr>
            </w:pPr>
          </w:p>
        </w:tc>
        <w:tc>
          <w:tcPr>
            <w:tcW w:w="1990" w:type="dxa"/>
            <w:tcBorders>
              <w:top w:val="single" w:color="auto" w:sz="6" w:space="0"/>
              <w:left w:val="single" w:color="auto" w:sz="6" w:space="0"/>
              <w:bottom w:val="single" w:color="auto" w:sz="6" w:space="0"/>
              <w:right w:val="single" w:color="auto" w:sz="6" w:space="0"/>
            </w:tcBorders>
          </w:tcPr>
          <w:p w14:paraId="1152EBCA">
            <w:pPr>
              <w:pStyle w:val="45"/>
              <w:spacing w:line="360" w:lineRule="auto"/>
              <w:rPr>
                <w:rFonts w:ascii="宋体" w:hAnsi="宋体" w:cs="宋体"/>
                <w:color w:val="auto"/>
                <w:szCs w:val="21"/>
                <w:highlight w:val="none"/>
              </w:rPr>
            </w:pPr>
          </w:p>
        </w:tc>
      </w:tr>
      <w:tr w14:paraId="2AC80C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712" w:type="dxa"/>
            <w:tcBorders>
              <w:top w:val="single" w:color="auto" w:sz="6" w:space="0"/>
              <w:left w:val="single" w:color="auto" w:sz="6" w:space="0"/>
              <w:bottom w:val="single" w:color="auto" w:sz="6" w:space="0"/>
              <w:right w:val="single" w:color="auto" w:sz="6" w:space="0"/>
            </w:tcBorders>
          </w:tcPr>
          <w:p w14:paraId="36F07BFC">
            <w:pPr>
              <w:pStyle w:val="45"/>
              <w:spacing w:line="360" w:lineRule="auto"/>
              <w:rPr>
                <w:rFonts w:ascii="宋体" w:hAnsi="宋体" w:cs="宋体"/>
                <w:color w:val="auto"/>
                <w:szCs w:val="21"/>
                <w:highlight w:val="none"/>
              </w:rPr>
            </w:pPr>
          </w:p>
        </w:tc>
        <w:tc>
          <w:tcPr>
            <w:tcW w:w="1309" w:type="dxa"/>
            <w:tcBorders>
              <w:top w:val="single" w:color="auto" w:sz="6" w:space="0"/>
              <w:left w:val="single" w:color="auto" w:sz="6" w:space="0"/>
              <w:bottom w:val="single" w:color="auto" w:sz="6" w:space="0"/>
              <w:right w:val="single" w:color="auto" w:sz="6" w:space="0"/>
            </w:tcBorders>
          </w:tcPr>
          <w:p w14:paraId="13F122FD">
            <w:pPr>
              <w:pStyle w:val="45"/>
              <w:spacing w:line="360" w:lineRule="auto"/>
              <w:rPr>
                <w:rFonts w:ascii="宋体" w:hAnsi="宋体" w:cs="宋体"/>
                <w:color w:val="auto"/>
                <w:szCs w:val="21"/>
                <w:highlight w:val="none"/>
              </w:rPr>
            </w:pPr>
          </w:p>
        </w:tc>
        <w:tc>
          <w:tcPr>
            <w:tcW w:w="1307" w:type="dxa"/>
            <w:tcBorders>
              <w:top w:val="single" w:color="auto" w:sz="6" w:space="0"/>
              <w:left w:val="single" w:color="auto" w:sz="6" w:space="0"/>
              <w:bottom w:val="single" w:color="auto" w:sz="6" w:space="0"/>
              <w:right w:val="single" w:color="auto" w:sz="6" w:space="0"/>
            </w:tcBorders>
          </w:tcPr>
          <w:p w14:paraId="0F6FD914">
            <w:pPr>
              <w:pStyle w:val="45"/>
              <w:spacing w:line="360" w:lineRule="auto"/>
              <w:rPr>
                <w:rFonts w:ascii="宋体" w:hAnsi="宋体" w:cs="宋体"/>
                <w:color w:val="auto"/>
                <w:szCs w:val="21"/>
                <w:highlight w:val="none"/>
              </w:rPr>
            </w:pPr>
          </w:p>
        </w:tc>
        <w:tc>
          <w:tcPr>
            <w:tcW w:w="1230" w:type="dxa"/>
            <w:tcBorders>
              <w:top w:val="single" w:color="auto" w:sz="6" w:space="0"/>
              <w:left w:val="single" w:color="auto" w:sz="6" w:space="0"/>
              <w:bottom w:val="single" w:color="auto" w:sz="6" w:space="0"/>
              <w:right w:val="single" w:color="auto" w:sz="6" w:space="0"/>
            </w:tcBorders>
          </w:tcPr>
          <w:p w14:paraId="066C61C5">
            <w:pPr>
              <w:pStyle w:val="45"/>
              <w:spacing w:line="360" w:lineRule="auto"/>
              <w:rPr>
                <w:rFonts w:ascii="宋体" w:hAnsi="宋体" w:cs="宋体"/>
                <w:color w:val="auto"/>
                <w:szCs w:val="21"/>
                <w:highlight w:val="none"/>
              </w:rPr>
            </w:pPr>
          </w:p>
        </w:tc>
        <w:tc>
          <w:tcPr>
            <w:tcW w:w="1418" w:type="dxa"/>
            <w:tcBorders>
              <w:top w:val="single" w:color="auto" w:sz="6" w:space="0"/>
              <w:left w:val="single" w:color="auto" w:sz="6" w:space="0"/>
              <w:bottom w:val="single" w:color="auto" w:sz="6" w:space="0"/>
              <w:right w:val="single" w:color="auto" w:sz="6" w:space="0"/>
            </w:tcBorders>
          </w:tcPr>
          <w:p w14:paraId="2D61CF13">
            <w:pPr>
              <w:pStyle w:val="45"/>
              <w:spacing w:line="360" w:lineRule="auto"/>
              <w:rPr>
                <w:rFonts w:ascii="宋体" w:hAnsi="宋体" w:cs="宋体"/>
                <w:color w:val="auto"/>
                <w:szCs w:val="21"/>
                <w:highlight w:val="none"/>
              </w:rPr>
            </w:pPr>
          </w:p>
        </w:tc>
        <w:tc>
          <w:tcPr>
            <w:tcW w:w="1351" w:type="dxa"/>
            <w:tcBorders>
              <w:top w:val="single" w:color="auto" w:sz="6" w:space="0"/>
              <w:left w:val="single" w:color="auto" w:sz="6" w:space="0"/>
              <w:bottom w:val="single" w:color="auto" w:sz="6" w:space="0"/>
              <w:right w:val="single" w:color="auto" w:sz="6" w:space="0"/>
            </w:tcBorders>
          </w:tcPr>
          <w:p w14:paraId="305D6A28">
            <w:pPr>
              <w:pStyle w:val="45"/>
              <w:spacing w:line="360" w:lineRule="auto"/>
              <w:rPr>
                <w:rFonts w:ascii="宋体" w:hAnsi="宋体" w:cs="宋体"/>
                <w:color w:val="auto"/>
                <w:szCs w:val="21"/>
                <w:highlight w:val="none"/>
              </w:rPr>
            </w:pPr>
          </w:p>
        </w:tc>
        <w:tc>
          <w:tcPr>
            <w:tcW w:w="1990" w:type="dxa"/>
            <w:tcBorders>
              <w:top w:val="single" w:color="auto" w:sz="6" w:space="0"/>
              <w:left w:val="single" w:color="auto" w:sz="6" w:space="0"/>
              <w:bottom w:val="single" w:color="auto" w:sz="6" w:space="0"/>
              <w:right w:val="single" w:color="auto" w:sz="6" w:space="0"/>
            </w:tcBorders>
          </w:tcPr>
          <w:p w14:paraId="343D0D6C">
            <w:pPr>
              <w:pStyle w:val="45"/>
              <w:spacing w:line="360" w:lineRule="auto"/>
              <w:rPr>
                <w:rFonts w:ascii="宋体" w:hAnsi="宋体" w:cs="宋体"/>
                <w:color w:val="auto"/>
                <w:szCs w:val="21"/>
                <w:highlight w:val="none"/>
              </w:rPr>
            </w:pPr>
          </w:p>
        </w:tc>
      </w:tr>
      <w:tr w14:paraId="1DE58C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712" w:type="dxa"/>
            <w:tcBorders>
              <w:top w:val="single" w:color="auto" w:sz="6" w:space="0"/>
              <w:left w:val="single" w:color="auto" w:sz="6" w:space="0"/>
              <w:bottom w:val="single" w:color="auto" w:sz="6" w:space="0"/>
              <w:right w:val="single" w:color="auto" w:sz="6" w:space="0"/>
            </w:tcBorders>
          </w:tcPr>
          <w:p w14:paraId="56809DE4">
            <w:pPr>
              <w:pStyle w:val="45"/>
              <w:spacing w:line="360" w:lineRule="auto"/>
              <w:rPr>
                <w:rFonts w:ascii="宋体" w:hAnsi="宋体" w:cs="宋体"/>
                <w:color w:val="auto"/>
                <w:szCs w:val="21"/>
                <w:highlight w:val="none"/>
              </w:rPr>
            </w:pPr>
          </w:p>
        </w:tc>
        <w:tc>
          <w:tcPr>
            <w:tcW w:w="1309" w:type="dxa"/>
            <w:tcBorders>
              <w:top w:val="single" w:color="auto" w:sz="6" w:space="0"/>
              <w:left w:val="single" w:color="auto" w:sz="6" w:space="0"/>
              <w:bottom w:val="single" w:color="auto" w:sz="6" w:space="0"/>
              <w:right w:val="single" w:color="auto" w:sz="6" w:space="0"/>
            </w:tcBorders>
          </w:tcPr>
          <w:p w14:paraId="66C5893B">
            <w:pPr>
              <w:pStyle w:val="45"/>
              <w:spacing w:line="360" w:lineRule="auto"/>
              <w:rPr>
                <w:rFonts w:ascii="宋体" w:hAnsi="宋体" w:cs="宋体"/>
                <w:color w:val="auto"/>
                <w:szCs w:val="21"/>
                <w:highlight w:val="none"/>
              </w:rPr>
            </w:pPr>
          </w:p>
        </w:tc>
        <w:tc>
          <w:tcPr>
            <w:tcW w:w="1307" w:type="dxa"/>
            <w:tcBorders>
              <w:top w:val="single" w:color="auto" w:sz="6" w:space="0"/>
              <w:left w:val="single" w:color="auto" w:sz="6" w:space="0"/>
              <w:bottom w:val="single" w:color="auto" w:sz="6" w:space="0"/>
              <w:right w:val="single" w:color="auto" w:sz="6" w:space="0"/>
            </w:tcBorders>
          </w:tcPr>
          <w:p w14:paraId="2E487C01">
            <w:pPr>
              <w:pStyle w:val="45"/>
              <w:spacing w:line="360" w:lineRule="auto"/>
              <w:rPr>
                <w:rFonts w:ascii="宋体" w:hAnsi="宋体" w:cs="宋体"/>
                <w:color w:val="auto"/>
                <w:szCs w:val="21"/>
                <w:highlight w:val="none"/>
              </w:rPr>
            </w:pPr>
          </w:p>
        </w:tc>
        <w:tc>
          <w:tcPr>
            <w:tcW w:w="1230" w:type="dxa"/>
            <w:tcBorders>
              <w:top w:val="single" w:color="auto" w:sz="6" w:space="0"/>
              <w:left w:val="single" w:color="auto" w:sz="6" w:space="0"/>
              <w:bottom w:val="single" w:color="auto" w:sz="6" w:space="0"/>
              <w:right w:val="single" w:color="auto" w:sz="6" w:space="0"/>
            </w:tcBorders>
          </w:tcPr>
          <w:p w14:paraId="40C7A52C">
            <w:pPr>
              <w:pStyle w:val="45"/>
              <w:spacing w:line="360" w:lineRule="auto"/>
              <w:rPr>
                <w:rFonts w:ascii="宋体" w:hAnsi="宋体" w:cs="宋体"/>
                <w:color w:val="auto"/>
                <w:szCs w:val="21"/>
                <w:highlight w:val="none"/>
              </w:rPr>
            </w:pPr>
          </w:p>
        </w:tc>
        <w:tc>
          <w:tcPr>
            <w:tcW w:w="1418" w:type="dxa"/>
            <w:tcBorders>
              <w:top w:val="single" w:color="auto" w:sz="6" w:space="0"/>
              <w:left w:val="single" w:color="auto" w:sz="6" w:space="0"/>
              <w:bottom w:val="single" w:color="auto" w:sz="6" w:space="0"/>
              <w:right w:val="single" w:color="auto" w:sz="6" w:space="0"/>
            </w:tcBorders>
          </w:tcPr>
          <w:p w14:paraId="71E15098">
            <w:pPr>
              <w:pStyle w:val="45"/>
              <w:spacing w:line="360" w:lineRule="auto"/>
              <w:rPr>
                <w:rFonts w:ascii="宋体" w:hAnsi="宋体" w:cs="宋体"/>
                <w:color w:val="auto"/>
                <w:szCs w:val="21"/>
                <w:highlight w:val="none"/>
              </w:rPr>
            </w:pPr>
          </w:p>
        </w:tc>
        <w:tc>
          <w:tcPr>
            <w:tcW w:w="1351" w:type="dxa"/>
            <w:tcBorders>
              <w:top w:val="single" w:color="auto" w:sz="6" w:space="0"/>
              <w:left w:val="single" w:color="auto" w:sz="6" w:space="0"/>
              <w:bottom w:val="single" w:color="auto" w:sz="6" w:space="0"/>
              <w:right w:val="single" w:color="auto" w:sz="6" w:space="0"/>
            </w:tcBorders>
          </w:tcPr>
          <w:p w14:paraId="3AE710FF">
            <w:pPr>
              <w:pStyle w:val="45"/>
              <w:spacing w:line="360" w:lineRule="auto"/>
              <w:rPr>
                <w:rFonts w:ascii="宋体" w:hAnsi="宋体" w:cs="宋体"/>
                <w:color w:val="auto"/>
                <w:szCs w:val="21"/>
                <w:highlight w:val="none"/>
              </w:rPr>
            </w:pPr>
          </w:p>
        </w:tc>
        <w:tc>
          <w:tcPr>
            <w:tcW w:w="1990" w:type="dxa"/>
            <w:tcBorders>
              <w:top w:val="single" w:color="auto" w:sz="6" w:space="0"/>
              <w:left w:val="single" w:color="auto" w:sz="6" w:space="0"/>
              <w:bottom w:val="single" w:color="auto" w:sz="6" w:space="0"/>
              <w:right w:val="single" w:color="auto" w:sz="6" w:space="0"/>
            </w:tcBorders>
          </w:tcPr>
          <w:p w14:paraId="393F6B66">
            <w:pPr>
              <w:pStyle w:val="45"/>
              <w:spacing w:line="360" w:lineRule="auto"/>
              <w:rPr>
                <w:rFonts w:ascii="宋体" w:hAnsi="宋体" w:cs="宋体"/>
                <w:color w:val="auto"/>
                <w:szCs w:val="21"/>
                <w:highlight w:val="none"/>
              </w:rPr>
            </w:pPr>
          </w:p>
        </w:tc>
      </w:tr>
      <w:tr w14:paraId="65E7F4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4" w:hRule="atLeast"/>
          <w:jc w:val="center"/>
        </w:trPr>
        <w:tc>
          <w:tcPr>
            <w:tcW w:w="712" w:type="dxa"/>
            <w:tcBorders>
              <w:top w:val="single" w:color="auto" w:sz="6" w:space="0"/>
              <w:left w:val="single" w:color="auto" w:sz="6" w:space="0"/>
              <w:bottom w:val="single" w:color="auto" w:sz="6" w:space="0"/>
              <w:right w:val="single" w:color="auto" w:sz="6" w:space="0"/>
            </w:tcBorders>
          </w:tcPr>
          <w:p w14:paraId="3913C8B1">
            <w:pPr>
              <w:pStyle w:val="45"/>
              <w:spacing w:line="360" w:lineRule="auto"/>
              <w:rPr>
                <w:rFonts w:ascii="宋体" w:hAnsi="宋体" w:cs="宋体"/>
                <w:color w:val="auto"/>
                <w:szCs w:val="21"/>
                <w:highlight w:val="none"/>
              </w:rPr>
            </w:pPr>
          </w:p>
        </w:tc>
        <w:tc>
          <w:tcPr>
            <w:tcW w:w="1309" w:type="dxa"/>
            <w:tcBorders>
              <w:top w:val="single" w:color="auto" w:sz="6" w:space="0"/>
              <w:left w:val="single" w:color="auto" w:sz="6" w:space="0"/>
              <w:bottom w:val="single" w:color="auto" w:sz="6" w:space="0"/>
              <w:right w:val="single" w:color="auto" w:sz="6" w:space="0"/>
            </w:tcBorders>
          </w:tcPr>
          <w:p w14:paraId="6D5716DA">
            <w:pPr>
              <w:pStyle w:val="45"/>
              <w:spacing w:line="360" w:lineRule="auto"/>
              <w:rPr>
                <w:rFonts w:ascii="宋体" w:hAnsi="宋体" w:cs="宋体"/>
                <w:color w:val="auto"/>
                <w:szCs w:val="21"/>
                <w:highlight w:val="none"/>
              </w:rPr>
            </w:pPr>
          </w:p>
        </w:tc>
        <w:tc>
          <w:tcPr>
            <w:tcW w:w="1307" w:type="dxa"/>
            <w:tcBorders>
              <w:top w:val="single" w:color="auto" w:sz="6" w:space="0"/>
              <w:left w:val="single" w:color="auto" w:sz="6" w:space="0"/>
              <w:bottom w:val="single" w:color="auto" w:sz="6" w:space="0"/>
              <w:right w:val="single" w:color="auto" w:sz="6" w:space="0"/>
            </w:tcBorders>
          </w:tcPr>
          <w:p w14:paraId="4CD33398">
            <w:pPr>
              <w:pStyle w:val="45"/>
              <w:spacing w:line="360" w:lineRule="auto"/>
              <w:rPr>
                <w:rFonts w:ascii="宋体" w:hAnsi="宋体" w:cs="宋体"/>
                <w:color w:val="auto"/>
                <w:szCs w:val="21"/>
                <w:highlight w:val="none"/>
              </w:rPr>
            </w:pPr>
          </w:p>
        </w:tc>
        <w:tc>
          <w:tcPr>
            <w:tcW w:w="1230" w:type="dxa"/>
            <w:tcBorders>
              <w:top w:val="single" w:color="auto" w:sz="6" w:space="0"/>
              <w:left w:val="single" w:color="auto" w:sz="6" w:space="0"/>
              <w:bottom w:val="single" w:color="auto" w:sz="6" w:space="0"/>
              <w:right w:val="single" w:color="auto" w:sz="6" w:space="0"/>
            </w:tcBorders>
          </w:tcPr>
          <w:p w14:paraId="0A0C3D63">
            <w:pPr>
              <w:pStyle w:val="45"/>
              <w:spacing w:line="360" w:lineRule="auto"/>
              <w:rPr>
                <w:rFonts w:ascii="宋体" w:hAnsi="宋体" w:cs="宋体"/>
                <w:color w:val="auto"/>
                <w:szCs w:val="21"/>
                <w:highlight w:val="none"/>
              </w:rPr>
            </w:pPr>
          </w:p>
        </w:tc>
        <w:tc>
          <w:tcPr>
            <w:tcW w:w="1418" w:type="dxa"/>
            <w:tcBorders>
              <w:top w:val="single" w:color="auto" w:sz="6" w:space="0"/>
              <w:left w:val="single" w:color="auto" w:sz="6" w:space="0"/>
              <w:bottom w:val="single" w:color="auto" w:sz="6" w:space="0"/>
              <w:right w:val="single" w:color="auto" w:sz="6" w:space="0"/>
            </w:tcBorders>
          </w:tcPr>
          <w:p w14:paraId="609B6AFA">
            <w:pPr>
              <w:pStyle w:val="45"/>
              <w:spacing w:line="360" w:lineRule="auto"/>
              <w:rPr>
                <w:rFonts w:ascii="宋体" w:hAnsi="宋体" w:cs="宋体"/>
                <w:color w:val="auto"/>
                <w:szCs w:val="21"/>
                <w:highlight w:val="none"/>
              </w:rPr>
            </w:pPr>
          </w:p>
        </w:tc>
        <w:tc>
          <w:tcPr>
            <w:tcW w:w="1351" w:type="dxa"/>
            <w:tcBorders>
              <w:top w:val="single" w:color="auto" w:sz="6" w:space="0"/>
              <w:left w:val="single" w:color="auto" w:sz="6" w:space="0"/>
              <w:bottom w:val="single" w:color="auto" w:sz="6" w:space="0"/>
              <w:right w:val="single" w:color="auto" w:sz="6" w:space="0"/>
            </w:tcBorders>
          </w:tcPr>
          <w:p w14:paraId="20A6E88E">
            <w:pPr>
              <w:pStyle w:val="45"/>
              <w:spacing w:line="360" w:lineRule="auto"/>
              <w:rPr>
                <w:rFonts w:ascii="宋体" w:hAnsi="宋体" w:cs="宋体"/>
                <w:color w:val="auto"/>
                <w:szCs w:val="21"/>
                <w:highlight w:val="none"/>
              </w:rPr>
            </w:pPr>
          </w:p>
        </w:tc>
        <w:tc>
          <w:tcPr>
            <w:tcW w:w="1990" w:type="dxa"/>
            <w:tcBorders>
              <w:top w:val="single" w:color="auto" w:sz="6" w:space="0"/>
              <w:left w:val="single" w:color="auto" w:sz="6" w:space="0"/>
              <w:bottom w:val="single" w:color="auto" w:sz="6" w:space="0"/>
              <w:right w:val="single" w:color="auto" w:sz="6" w:space="0"/>
            </w:tcBorders>
          </w:tcPr>
          <w:p w14:paraId="22E68731">
            <w:pPr>
              <w:pStyle w:val="45"/>
              <w:spacing w:line="360" w:lineRule="auto"/>
              <w:rPr>
                <w:rFonts w:ascii="宋体" w:hAnsi="宋体" w:cs="宋体"/>
                <w:color w:val="auto"/>
                <w:szCs w:val="21"/>
                <w:highlight w:val="none"/>
              </w:rPr>
            </w:pPr>
          </w:p>
        </w:tc>
      </w:tr>
    </w:tbl>
    <w:p w14:paraId="158CC04E">
      <w:pPr>
        <w:autoSpaceDE w:val="0"/>
        <w:autoSpaceDN w:val="0"/>
        <w:adjustRightInd w:val="0"/>
        <w:spacing w:beforeLines="50" w:line="360" w:lineRule="auto"/>
        <w:rPr>
          <w:rFonts w:ascii="宋体" w:hAnsi="宋体" w:cs="宋体"/>
          <w:b/>
          <w:color w:val="auto"/>
          <w:szCs w:val="21"/>
          <w:highlight w:val="none"/>
        </w:rPr>
      </w:pPr>
      <w:r>
        <w:rPr>
          <w:rFonts w:hint="eastAsia" w:ascii="宋体" w:hAnsi="宋体" w:cs="宋体"/>
          <w:b/>
          <w:color w:val="auto"/>
          <w:szCs w:val="21"/>
          <w:highlight w:val="none"/>
        </w:rPr>
        <w:t>要求：</w:t>
      </w:r>
    </w:p>
    <w:p w14:paraId="78F1914F">
      <w:pPr>
        <w:autoSpaceDE w:val="0"/>
        <w:autoSpaceDN w:val="0"/>
        <w:adjustRightInd w:val="0"/>
        <w:spacing w:beforeLines="50" w:line="360" w:lineRule="auto"/>
        <w:ind w:firstLine="424" w:firstLineChars="202"/>
        <w:rPr>
          <w:rFonts w:ascii="宋体" w:hAnsi="宋体" w:cs="宋体"/>
          <w:b/>
          <w:color w:val="auto"/>
          <w:szCs w:val="21"/>
          <w:highlight w:val="none"/>
        </w:rPr>
      </w:pPr>
      <w:r>
        <w:rPr>
          <w:rFonts w:hint="eastAsia" w:ascii="宋体" w:hAnsi="宋体" w:cs="宋体"/>
          <w:color w:val="auto"/>
          <w:szCs w:val="21"/>
          <w:highlight w:val="none"/>
        </w:rPr>
        <w:t>1、业绩证明应提供证明材料（合同复印件可只提供首页、含金额页、盖章页并加盖磋商供应商公章）；</w:t>
      </w:r>
    </w:p>
    <w:p w14:paraId="468B784A">
      <w:pPr>
        <w:spacing w:line="360" w:lineRule="auto"/>
        <w:ind w:firstLine="424" w:firstLineChars="202"/>
        <w:jc w:val="left"/>
        <w:rPr>
          <w:rFonts w:ascii="宋体" w:hAnsi="宋体" w:cs="宋体"/>
          <w:color w:val="auto"/>
          <w:szCs w:val="21"/>
          <w:highlight w:val="none"/>
        </w:rPr>
      </w:pPr>
      <w:r>
        <w:rPr>
          <w:rFonts w:hint="eastAsia" w:ascii="宋体" w:hAnsi="宋体" w:cs="宋体"/>
          <w:color w:val="auto"/>
          <w:szCs w:val="21"/>
          <w:highlight w:val="none"/>
        </w:rPr>
        <w:t>2、磋商供应商可按此表格式复制。</w:t>
      </w:r>
    </w:p>
    <w:p w14:paraId="7B870B99">
      <w:pPr>
        <w:spacing w:line="360" w:lineRule="auto"/>
        <w:rPr>
          <w:rFonts w:ascii="宋体" w:hAnsi="宋体" w:cs="宋体"/>
          <w:color w:val="auto"/>
          <w:sz w:val="22"/>
          <w:szCs w:val="22"/>
          <w:highlight w:val="none"/>
        </w:rPr>
      </w:pPr>
    </w:p>
    <w:p w14:paraId="45A992D4">
      <w:pPr>
        <w:spacing w:line="360" w:lineRule="auto"/>
        <w:ind w:left="420"/>
        <w:rPr>
          <w:rFonts w:ascii="宋体" w:hAnsi="宋体" w:cs="宋体"/>
          <w:color w:val="auto"/>
          <w:szCs w:val="21"/>
          <w:highlight w:val="none"/>
          <w:u w:val="single"/>
        </w:rPr>
      </w:pPr>
      <w:r>
        <w:rPr>
          <w:rFonts w:hint="eastAsia" w:ascii="宋体" w:hAnsi="宋体" w:cs="宋体"/>
          <w:color w:val="auto"/>
          <w:szCs w:val="21"/>
          <w:highlight w:val="none"/>
        </w:rPr>
        <w:t>磋商供应商名称（盖章）：</w:t>
      </w:r>
      <w:r>
        <w:rPr>
          <w:rFonts w:hint="eastAsia" w:ascii="宋体" w:hAnsi="宋体" w:cs="宋体"/>
          <w:color w:val="auto"/>
          <w:szCs w:val="21"/>
          <w:highlight w:val="none"/>
          <w:u w:val="single"/>
        </w:rPr>
        <w:t xml:space="preserve">                                        </w:t>
      </w:r>
    </w:p>
    <w:p w14:paraId="77BFDF1F">
      <w:pPr>
        <w:spacing w:line="360" w:lineRule="auto"/>
        <w:ind w:left="420"/>
        <w:rPr>
          <w:rFonts w:ascii="宋体" w:hAnsi="宋体" w:cs="宋体"/>
          <w:color w:val="auto"/>
          <w:szCs w:val="21"/>
          <w:highlight w:val="none"/>
        </w:rPr>
      </w:pPr>
    </w:p>
    <w:p w14:paraId="1192A557">
      <w:pPr>
        <w:spacing w:line="360" w:lineRule="auto"/>
        <w:ind w:firstLine="435"/>
        <w:rPr>
          <w:rFonts w:ascii="宋体" w:hAnsi="宋体" w:cs="宋体"/>
          <w:color w:val="auto"/>
          <w:szCs w:val="21"/>
          <w:highlight w:val="none"/>
        </w:rPr>
      </w:pPr>
      <w:r>
        <w:rPr>
          <w:rFonts w:hint="eastAsia" w:ascii="宋体" w:hAnsi="宋体" w:cs="宋体"/>
          <w:color w:val="auto"/>
          <w:szCs w:val="21"/>
          <w:highlight w:val="none"/>
        </w:rPr>
        <w:t>法定代表人或授权委托代理人签字或盖章：</w:t>
      </w:r>
      <w:r>
        <w:rPr>
          <w:rFonts w:hint="eastAsia" w:ascii="宋体" w:hAnsi="宋体" w:cs="宋体"/>
          <w:color w:val="auto"/>
          <w:szCs w:val="21"/>
          <w:highlight w:val="none"/>
          <w:u w:val="single"/>
        </w:rPr>
        <w:t xml:space="preserve">                          </w:t>
      </w:r>
    </w:p>
    <w:p w14:paraId="4BE3D8C3">
      <w:pPr>
        <w:spacing w:line="360" w:lineRule="auto"/>
        <w:ind w:firstLine="435"/>
        <w:rPr>
          <w:rFonts w:ascii="宋体" w:hAnsi="宋体" w:cs="宋体"/>
          <w:color w:val="auto"/>
          <w:szCs w:val="21"/>
          <w:highlight w:val="none"/>
        </w:rPr>
      </w:pPr>
    </w:p>
    <w:p w14:paraId="34C9B570">
      <w:pPr>
        <w:spacing w:line="360" w:lineRule="auto"/>
        <w:ind w:firstLine="435"/>
        <w:rPr>
          <w:rFonts w:ascii="宋体" w:hAnsi="宋体" w:cs="宋体"/>
          <w:color w:val="auto"/>
          <w:szCs w:val="21"/>
          <w:highlight w:val="none"/>
          <w:u w:val="single"/>
        </w:rPr>
      </w:pPr>
      <w:r>
        <w:rPr>
          <w:rFonts w:hint="eastAsia" w:ascii="宋体" w:hAnsi="宋体" w:cs="宋体"/>
          <w:color w:val="auto"/>
          <w:szCs w:val="21"/>
          <w:highlight w:val="none"/>
        </w:rPr>
        <w:t>职        务：</w:t>
      </w:r>
      <w:r>
        <w:rPr>
          <w:rFonts w:hint="eastAsia" w:ascii="宋体" w:hAnsi="宋体" w:cs="宋体"/>
          <w:color w:val="auto"/>
          <w:szCs w:val="21"/>
          <w:highlight w:val="none"/>
          <w:u w:val="single"/>
        </w:rPr>
        <w:t xml:space="preserve">                             </w:t>
      </w:r>
    </w:p>
    <w:p w14:paraId="04B9B55E">
      <w:pPr>
        <w:spacing w:line="360" w:lineRule="auto"/>
        <w:rPr>
          <w:rFonts w:ascii="宋体" w:hAnsi="宋体" w:cs="宋体"/>
          <w:color w:val="auto"/>
          <w:szCs w:val="21"/>
          <w:highlight w:val="none"/>
        </w:rPr>
      </w:pPr>
    </w:p>
    <w:p w14:paraId="2CCF60DD">
      <w:pPr>
        <w:spacing w:line="360" w:lineRule="auto"/>
        <w:ind w:firstLine="435"/>
        <w:rPr>
          <w:rFonts w:ascii="宋体" w:hAnsi="宋体" w:cs="宋体"/>
          <w:color w:val="auto"/>
          <w:szCs w:val="21"/>
          <w:highlight w:val="none"/>
        </w:rPr>
      </w:pPr>
      <w:r>
        <w:rPr>
          <w:rFonts w:hint="eastAsia" w:ascii="宋体" w:hAnsi="宋体" w:cs="宋体"/>
          <w:color w:val="auto"/>
          <w:szCs w:val="21"/>
          <w:highlight w:val="none"/>
        </w:rPr>
        <w:t>日        期：</w:t>
      </w:r>
      <w:r>
        <w:rPr>
          <w:rFonts w:hint="eastAsia" w:ascii="宋体" w:hAnsi="宋体" w:cs="宋体"/>
          <w:color w:val="auto"/>
          <w:szCs w:val="21"/>
          <w:highlight w:val="none"/>
          <w:u w:val="single"/>
        </w:rPr>
        <w:t xml:space="preserve">                             </w:t>
      </w:r>
    </w:p>
    <w:p w14:paraId="37D8A0EA">
      <w:pPr>
        <w:tabs>
          <w:tab w:val="left" w:pos="2460"/>
        </w:tabs>
        <w:spacing w:line="360" w:lineRule="auto"/>
        <w:rPr>
          <w:rFonts w:ascii="宋体" w:hAnsi="宋体" w:cs="宋体"/>
          <w:b/>
          <w:color w:val="auto"/>
          <w:sz w:val="28"/>
          <w:highlight w:val="none"/>
        </w:rPr>
      </w:pPr>
    </w:p>
    <w:p w14:paraId="4F6C5698">
      <w:pPr>
        <w:tabs>
          <w:tab w:val="left" w:pos="2460"/>
        </w:tabs>
        <w:spacing w:line="360" w:lineRule="auto"/>
        <w:rPr>
          <w:rFonts w:ascii="宋体" w:hAnsi="宋体" w:cs="宋体"/>
          <w:b/>
          <w:color w:val="auto"/>
          <w:sz w:val="28"/>
          <w:highlight w:val="none"/>
        </w:rPr>
        <w:sectPr>
          <w:pgSz w:w="11906" w:h="16838"/>
          <w:pgMar w:top="1440" w:right="1800" w:bottom="1440" w:left="1800" w:header="851" w:footer="992" w:gutter="0"/>
          <w:cols w:space="425" w:num="1"/>
          <w:docGrid w:type="lines" w:linePitch="312" w:charSpace="0"/>
        </w:sectPr>
      </w:pPr>
    </w:p>
    <w:p w14:paraId="0EF6D7E4">
      <w:pPr>
        <w:tabs>
          <w:tab w:val="left" w:pos="2460"/>
        </w:tabs>
        <w:spacing w:line="360" w:lineRule="auto"/>
        <w:rPr>
          <w:rFonts w:ascii="宋体" w:hAnsi="宋体" w:cs="宋体"/>
          <w:b/>
          <w:color w:val="auto"/>
          <w:sz w:val="28"/>
          <w:highlight w:val="none"/>
        </w:rPr>
      </w:pPr>
      <w:r>
        <w:rPr>
          <w:rFonts w:hint="eastAsia" w:ascii="宋体" w:hAnsi="宋体" w:cs="宋体"/>
          <w:b/>
          <w:color w:val="auto"/>
          <w:sz w:val="28"/>
          <w:highlight w:val="none"/>
        </w:rPr>
        <w:t>附件12</w:t>
      </w:r>
      <w:r>
        <w:rPr>
          <w:rFonts w:hint="eastAsia" w:ascii="宋体" w:hAnsi="宋体" w:cs="宋体"/>
          <w:b/>
          <w:color w:val="auto"/>
          <w:sz w:val="28"/>
          <w:highlight w:val="none"/>
        </w:rPr>
        <w:tab/>
      </w:r>
    </w:p>
    <w:p w14:paraId="0C45C9B8">
      <w:pPr>
        <w:spacing w:line="360" w:lineRule="auto"/>
        <w:ind w:firstLine="435"/>
        <w:jc w:val="center"/>
        <w:rPr>
          <w:rFonts w:ascii="宋体" w:hAnsi="宋体" w:cs="宋体"/>
          <w:b/>
          <w:color w:val="auto"/>
          <w:sz w:val="32"/>
          <w:szCs w:val="32"/>
          <w:highlight w:val="none"/>
        </w:rPr>
      </w:pPr>
      <w:r>
        <w:rPr>
          <w:rFonts w:hint="eastAsia" w:ascii="宋体" w:hAnsi="宋体" w:cs="宋体"/>
          <w:b/>
          <w:color w:val="auto"/>
          <w:sz w:val="32"/>
          <w:szCs w:val="32"/>
          <w:highlight w:val="none"/>
        </w:rPr>
        <w:t>售后服务情况表</w:t>
      </w:r>
    </w:p>
    <w:p w14:paraId="5A687B40">
      <w:pPr>
        <w:spacing w:line="360" w:lineRule="auto"/>
        <w:ind w:firstLine="435"/>
        <w:jc w:val="center"/>
        <w:rPr>
          <w:rFonts w:ascii="宋体" w:hAnsi="宋体" w:cs="宋体"/>
          <w:b/>
          <w:color w:val="auto"/>
          <w:sz w:val="36"/>
          <w:szCs w:val="36"/>
          <w:highlight w:val="none"/>
        </w:rPr>
      </w:pPr>
    </w:p>
    <w:tbl>
      <w:tblPr>
        <w:tblStyle w:val="22"/>
        <w:tblW w:w="852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9"/>
        <w:gridCol w:w="2355"/>
        <w:gridCol w:w="4061"/>
        <w:gridCol w:w="1373"/>
      </w:tblGrid>
      <w:tr w14:paraId="45F381A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18" w:hRule="atLeast"/>
          <w:jc w:val="center"/>
        </w:trPr>
        <w:tc>
          <w:tcPr>
            <w:tcW w:w="739" w:type="dxa"/>
            <w:vAlign w:val="center"/>
          </w:tcPr>
          <w:p w14:paraId="3AB4FB48">
            <w:pPr>
              <w:pStyle w:val="47"/>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序号</w:t>
            </w:r>
          </w:p>
        </w:tc>
        <w:tc>
          <w:tcPr>
            <w:tcW w:w="2355" w:type="dxa"/>
            <w:vAlign w:val="center"/>
          </w:tcPr>
          <w:p w14:paraId="67E161B2">
            <w:pPr>
              <w:pStyle w:val="47"/>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项目</w:t>
            </w:r>
          </w:p>
        </w:tc>
        <w:tc>
          <w:tcPr>
            <w:tcW w:w="4061" w:type="dxa"/>
            <w:vAlign w:val="center"/>
          </w:tcPr>
          <w:p w14:paraId="6FCFF8B6">
            <w:pPr>
              <w:pStyle w:val="47"/>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磋商供应商承诺</w:t>
            </w:r>
          </w:p>
        </w:tc>
        <w:tc>
          <w:tcPr>
            <w:tcW w:w="1373" w:type="dxa"/>
            <w:vAlign w:val="center"/>
          </w:tcPr>
          <w:p w14:paraId="1AE93A73">
            <w:pPr>
              <w:pStyle w:val="47"/>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备注</w:t>
            </w:r>
          </w:p>
        </w:tc>
      </w:tr>
      <w:tr w14:paraId="6EFCC0D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318" w:hRule="atLeast"/>
          <w:jc w:val="center"/>
        </w:trPr>
        <w:tc>
          <w:tcPr>
            <w:tcW w:w="739" w:type="dxa"/>
            <w:vAlign w:val="center"/>
          </w:tcPr>
          <w:p w14:paraId="78E27EF8">
            <w:pPr>
              <w:pStyle w:val="47"/>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1</w:t>
            </w:r>
          </w:p>
        </w:tc>
        <w:tc>
          <w:tcPr>
            <w:tcW w:w="2355" w:type="dxa"/>
            <w:vAlign w:val="center"/>
          </w:tcPr>
          <w:p w14:paraId="73E5B1CF">
            <w:pPr>
              <w:pStyle w:val="47"/>
              <w:widowControl/>
              <w:spacing w:line="360" w:lineRule="auto"/>
              <w:jc w:val="left"/>
              <w:rPr>
                <w:rFonts w:ascii="宋体" w:hAnsi="宋体" w:cs="宋体"/>
                <w:bCs/>
                <w:color w:val="auto"/>
                <w:szCs w:val="21"/>
                <w:highlight w:val="none"/>
              </w:rPr>
            </w:pPr>
            <w:r>
              <w:rPr>
                <w:rFonts w:hint="eastAsia" w:ascii="宋体" w:hAnsi="宋体" w:cs="Arial"/>
                <w:bCs/>
                <w:color w:val="auto"/>
                <w:szCs w:val="21"/>
                <w:highlight w:val="none"/>
              </w:rPr>
              <w:t>服务期内售后服务情况(</w:t>
            </w:r>
            <w:r>
              <w:rPr>
                <w:rFonts w:ascii="宋体" w:hAnsi="宋体" w:cs="Arial"/>
                <w:bCs/>
                <w:color w:val="auto"/>
                <w:szCs w:val="21"/>
                <w:highlight w:val="none"/>
              </w:rPr>
              <w:t>服务</w:t>
            </w:r>
            <w:r>
              <w:rPr>
                <w:rFonts w:hint="eastAsia" w:ascii="宋体" w:hAnsi="宋体" w:cs="Arial"/>
                <w:bCs/>
                <w:color w:val="auto"/>
                <w:szCs w:val="21"/>
                <w:highlight w:val="none"/>
              </w:rPr>
              <w:t>方式、服务网点</w:t>
            </w:r>
            <w:r>
              <w:rPr>
                <w:rFonts w:ascii="宋体" w:hAnsi="宋体" w:cs="Arial"/>
                <w:bCs/>
                <w:color w:val="auto"/>
                <w:szCs w:val="21"/>
                <w:highlight w:val="none"/>
              </w:rPr>
              <w:t>、售后服务的内容和措施</w:t>
            </w:r>
            <w:r>
              <w:rPr>
                <w:rFonts w:hint="eastAsia" w:ascii="宋体" w:hAnsi="宋体" w:cs="Arial"/>
                <w:bCs/>
                <w:color w:val="auto"/>
                <w:szCs w:val="21"/>
                <w:highlight w:val="none"/>
              </w:rPr>
              <w:t>等等，可用附页和宣传材料)</w:t>
            </w:r>
          </w:p>
        </w:tc>
        <w:tc>
          <w:tcPr>
            <w:tcW w:w="4061" w:type="dxa"/>
          </w:tcPr>
          <w:p w14:paraId="54E3E29B">
            <w:pPr>
              <w:pStyle w:val="47"/>
              <w:spacing w:line="360" w:lineRule="auto"/>
              <w:rPr>
                <w:rFonts w:ascii="宋体" w:hAnsi="宋体" w:cs="宋体"/>
                <w:bCs/>
                <w:color w:val="auto"/>
                <w:szCs w:val="21"/>
                <w:highlight w:val="none"/>
              </w:rPr>
            </w:pPr>
            <w:r>
              <w:rPr>
                <w:rFonts w:hint="eastAsia" w:ascii="宋体" w:hAnsi="宋体" w:cs="宋体"/>
                <w:bCs/>
                <w:color w:val="auto"/>
                <w:szCs w:val="21"/>
                <w:highlight w:val="none"/>
              </w:rPr>
              <w:t>磋商供应商售后服务情况：</w:t>
            </w:r>
          </w:p>
        </w:tc>
        <w:tc>
          <w:tcPr>
            <w:tcW w:w="1373" w:type="dxa"/>
          </w:tcPr>
          <w:p w14:paraId="4DF2469C">
            <w:pPr>
              <w:pStyle w:val="47"/>
              <w:spacing w:line="360" w:lineRule="auto"/>
              <w:rPr>
                <w:rFonts w:ascii="宋体" w:hAnsi="宋体" w:cs="宋体"/>
                <w:bCs/>
                <w:color w:val="auto"/>
                <w:szCs w:val="21"/>
                <w:highlight w:val="none"/>
              </w:rPr>
            </w:pPr>
          </w:p>
        </w:tc>
      </w:tr>
      <w:tr w14:paraId="3892157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925" w:hRule="exact"/>
          <w:jc w:val="center"/>
        </w:trPr>
        <w:tc>
          <w:tcPr>
            <w:tcW w:w="739" w:type="dxa"/>
            <w:vAlign w:val="center"/>
          </w:tcPr>
          <w:p w14:paraId="7F636201">
            <w:pPr>
              <w:pStyle w:val="47"/>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2</w:t>
            </w:r>
          </w:p>
        </w:tc>
        <w:tc>
          <w:tcPr>
            <w:tcW w:w="2355" w:type="dxa"/>
            <w:vAlign w:val="center"/>
          </w:tcPr>
          <w:p w14:paraId="1D2E4B5D">
            <w:pPr>
              <w:pStyle w:val="47"/>
              <w:spacing w:line="360" w:lineRule="auto"/>
              <w:rPr>
                <w:rFonts w:ascii="宋体" w:hAnsi="宋体" w:cs="宋体"/>
                <w:bCs/>
                <w:color w:val="auto"/>
                <w:szCs w:val="21"/>
                <w:highlight w:val="none"/>
              </w:rPr>
            </w:pPr>
            <w:r>
              <w:rPr>
                <w:rFonts w:hint="eastAsia" w:ascii="宋体" w:hAnsi="宋体" w:cs="Arial"/>
                <w:bCs/>
                <w:color w:val="auto"/>
                <w:szCs w:val="21"/>
                <w:highlight w:val="none"/>
              </w:rPr>
              <w:t>服务期后售后服务</w:t>
            </w:r>
          </w:p>
        </w:tc>
        <w:tc>
          <w:tcPr>
            <w:tcW w:w="4061" w:type="dxa"/>
          </w:tcPr>
          <w:p w14:paraId="40F7B062">
            <w:pPr>
              <w:pStyle w:val="47"/>
              <w:widowControl/>
              <w:spacing w:line="360" w:lineRule="auto"/>
              <w:jc w:val="left"/>
              <w:rPr>
                <w:rFonts w:ascii="宋体" w:hAnsi="宋体" w:cs="宋体"/>
                <w:bCs/>
                <w:color w:val="auto"/>
                <w:szCs w:val="21"/>
                <w:highlight w:val="none"/>
              </w:rPr>
            </w:pPr>
          </w:p>
          <w:p w14:paraId="3EBFC3D1">
            <w:pPr>
              <w:pStyle w:val="47"/>
              <w:widowControl/>
              <w:spacing w:line="360" w:lineRule="auto"/>
              <w:jc w:val="left"/>
              <w:rPr>
                <w:rFonts w:ascii="宋体" w:hAnsi="宋体" w:cs="宋体"/>
                <w:bCs/>
                <w:color w:val="auto"/>
                <w:szCs w:val="21"/>
                <w:highlight w:val="none"/>
              </w:rPr>
            </w:pPr>
          </w:p>
          <w:p w14:paraId="29EBD30B">
            <w:pPr>
              <w:pStyle w:val="47"/>
              <w:spacing w:line="360" w:lineRule="auto"/>
              <w:rPr>
                <w:rFonts w:ascii="宋体" w:hAnsi="宋体" w:cs="宋体"/>
                <w:bCs/>
                <w:color w:val="auto"/>
                <w:szCs w:val="21"/>
                <w:highlight w:val="none"/>
              </w:rPr>
            </w:pPr>
          </w:p>
        </w:tc>
        <w:tc>
          <w:tcPr>
            <w:tcW w:w="1373" w:type="dxa"/>
          </w:tcPr>
          <w:p w14:paraId="05121C00">
            <w:pPr>
              <w:pStyle w:val="47"/>
              <w:widowControl/>
              <w:spacing w:line="360" w:lineRule="auto"/>
              <w:jc w:val="left"/>
              <w:rPr>
                <w:rFonts w:ascii="宋体" w:hAnsi="宋体" w:cs="宋体"/>
                <w:bCs/>
                <w:color w:val="auto"/>
                <w:szCs w:val="21"/>
                <w:highlight w:val="none"/>
              </w:rPr>
            </w:pPr>
          </w:p>
          <w:p w14:paraId="5B90648E">
            <w:pPr>
              <w:pStyle w:val="47"/>
              <w:widowControl/>
              <w:spacing w:line="360" w:lineRule="auto"/>
              <w:jc w:val="left"/>
              <w:rPr>
                <w:rFonts w:ascii="宋体" w:hAnsi="宋体" w:cs="宋体"/>
                <w:bCs/>
                <w:color w:val="auto"/>
                <w:szCs w:val="21"/>
                <w:highlight w:val="none"/>
              </w:rPr>
            </w:pPr>
          </w:p>
          <w:p w14:paraId="5C0C803E">
            <w:pPr>
              <w:pStyle w:val="47"/>
              <w:spacing w:line="360" w:lineRule="auto"/>
              <w:rPr>
                <w:rFonts w:ascii="宋体" w:hAnsi="宋体" w:cs="宋体"/>
                <w:bCs/>
                <w:color w:val="auto"/>
                <w:szCs w:val="21"/>
                <w:highlight w:val="none"/>
              </w:rPr>
            </w:pPr>
          </w:p>
        </w:tc>
      </w:tr>
      <w:tr w14:paraId="2FB67D3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620" w:hRule="exact"/>
          <w:jc w:val="center"/>
        </w:trPr>
        <w:tc>
          <w:tcPr>
            <w:tcW w:w="739" w:type="dxa"/>
            <w:vAlign w:val="center"/>
          </w:tcPr>
          <w:p w14:paraId="008EA198">
            <w:pPr>
              <w:pStyle w:val="47"/>
              <w:widowControl/>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3</w:t>
            </w:r>
          </w:p>
        </w:tc>
        <w:tc>
          <w:tcPr>
            <w:tcW w:w="2355" w:type="dxa"/>
            <w:vAlign w:val="center"/>
          </w:tcPr>
          <w:p w14:paraId="2C96BE0A">
            <w:pPr>
              <w:pStyle w:val="47"/>
              <w:widowControl/>
              <w:spacing w:line="360" w:lineRule="auto"/>
              <w:jc w:val="left"/>
              <w:rPr>
                <w:rFonts w:ascii="宋体" w:hAnsi="宋体" w:cs="宋体"/>
                <w:bCs/>
                <w:color w:val="auto"/>
                <w:szCs w:val="21"/>
                <w:highlight w:val="none"/>
              </w:rPr>
            </w:pPr>
            <w:r>
              <w:rPr>
                <w:rFonts w:hint="eastAsia" w:ascii="宋体" w:hAnsi="宋体" w:cs="宋体"/>
                <w:bCs/>
                <w:color w:val="auto"/>
                <w:szCs w:val="21"/>
                <w:highlight w:val="none"/>
              </w:rPr>
              <w:t>培训方案（可用附页）</w:t>
            </w:r>
          </w:p>
        </w:tc>
        <w:tc>
          <w:tcPr>
            <w:tcW w:w="4061" w:type="dxa"/>
          </w:tcPr>
          <w:p w14:paraId="75F4FBD4">
            <w:pPr>
              <w:pStyle w:val="47"/>
              <w:widowControl/>
              <w:spacing w:line="360" w:lineRule="auto"/>
              <w:jc w:val="left"/>
              <w:rPr>
                <w:rFonts w:ascii="宋体" w:hAnsi="宋体" w:cs="宋体"/>
                <w:bCs/>
                <w:i/>
                <w:color w:val="auto"/>
                <w:szCs w:val="21"/>
                <w:highlight w:val="none"/>
              </w:rPr>
            </w:pPr>
          </w:p>
          <w:p w14:paraId="7F02C114">
            <w:pPr>
              <w:pStyle w:val="47"/>
              <w:widowControl/>
              <w:spacing w:line="360" w:lineRule="auto"/>
              <w:jc w:val="left"/>
              <w:rPr>
                <w:rFonts w:ascii="宋体" w:hAnsi="宋体" w:cs="宋体"/>
                <w:bCs/>
                <w:i/>
                <w:color w:val="auto"/>
                <w:szCs w:val="21"/>
                <w:highlight w:val="none"/>
              </w:rPr>
            </w:pPr>
          </w:p>
        </w:tc>
        <w:tc>
          <w:tcPr>
            <w:tcW w:w="1373" w:type="dxa"/>
          </w:tcPr>
          <w:p w14:paraId="11288F67">
            <w:pPr>
              <w:pStyle w:val="47"/>
              <w:widowControl/>
              <w:spacing w:line="360" w:lineRule="auto"/>
              <w:jc w:val="left"/>
              <w:rPr>
                <w:rFonts w:ascii="宋体" w:hAnsi="宋体" w:cs="宋体"/>
                <w:bCs/>
                <w:i/>
                <w:color w:val="auto"/>
                <w:szCs w:val="21"/>
                <w:highlight w:val="none"/>
              </w:rPr>
            </w:pPr>
          </w:p>
          <w:p w14:paraId="2A02458A">
            <w:pPr>
              <w:pStyle w:val="47"/>
              <w:widowControl/>
              <w:spacing w:line="360" w:lineRule="auto"/>
              <w:jc w:val="left"/>
              <w:rPr>
                <w:rFonts w:ascii="宋体" w:hAnsi="宋体" w:cs="宋体"/>
                <w:bCs/>
                <w:i/>
                <w:color w:val="auto"/>
                <w:szCs w:val="21"/>
                <w:highlight w:val="none"/>
              </w:rPr>
            </w:pPr>
          </w:p>
          <w:p w14:paraId="53B0EE23">
            <w:pPr>
              <w:pStyle w:val="47"/>
              <w:widowControl/>
              <w:spacing w:line="360" w:lineRule="auto"/>
              <w:jc w:val="left"/>
              <w:rPr>
                <w:rFonts w:ascii="宋体" w:hAnsi="宋体" w:cs="宋体"/>
                <w:bCs/>
                <w:i/>
                <w:color w:val="auto"/>
                <w:szCs w:val="21"/>
                <w:highlight w:val="none"/>
              </w:rPr>
            </w:pPr>
          </w:p>
        </w:tc>
      </w:tr>
      <w:tr w14:paraId="373E636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89" w:hRule="exact"/>
          <w:jc w:val="center"/>
        </w:trPr>
        <w:tc>
          <w:tcPr>
            <w:tcW w:w="739" w:type="dxa"/>
            <w:vAlign w:val="center"/>
          </w:tcPr>
          <w:p w14:paraId="376533B0">
            <w:pPr>
              <w:pStyle w:val="47"/>
              <w:widowControl/>
              <w:spacing w:line="360" w:lineRule="auto"/>
              <w:jc w:val="left"/>
              <w:rPr>
                <w:rFonts w:ascii="宋体" w:hAnsi="宋体" w:cs="宋体"/>
                <w:bCs/>
                <w:color w:val="auto"/>
                <w:szCs w:val="21"/>
                <w:highlight w:val="none"/>
              </w:rPr>
            </w:pPr>
            <w:r>
              <w:rPr>
                <w:rFonts w:hint="eastAsia" w:ascii="宋体" w:hAnsi="宋体" w:cs="宋体"/>
                <w:bCs/>
                <w:color w:val="auto"/>
                <w:szCs w:val="21"/>
                <w:highlight w:val="none"/>
              </w:rPr>
              <w:t>……</w:t>
            </w:r>
          </w:p>
        </w:tc>
        <w:tc>
          <w:tcPr>
            <w:tcW w:w="2355" w:type="dxa"/>
            <w:vAlign w:val="center"/>
          </w:tcPr>
          <w:p w14:paraId="7F1FC879">
            <w:pPr>
              <w:pStyle w:val="47"/>
              <w:widowControl/>
              <w:spacing w:line="360" w:lineRule="auto"/>
              <w:jc w:val="left"/>
              <w:rPr>
                <w:rFonts w:ascii="宋体" w:hAnsi="宋体" w:cs="宋体"/>
                <w:bCs/>
                <w:color w:val="auto"/>
                <w:szCs w:val="21"/>
                <w:highlight w:val="none"/>
              </w:rPr>
            </w:pPr>
            <w:r>
              <w:rPr>
                <w:rFonts w:hint="eastAsia" w:ascii="宋体" w:hAnsi="宋体" w:cs="宋体"/>
                <w:bCs/>
                <w:color w:val="auto"/>
                <w:szCs w:val="21"/>
                <w:highlight w:val="none"/>
              </w:rPr>
              <w:t>……</w:t>
            </w:r>
          </w:p>
        </w:tc>
        <w:tc>
          <w:tcPr>
            <w:tcW w:w="4061" w:type="dxa"/>
          </w:tcPr>
          <w:p w14:paraId="1503FA03">
            <w:pPr>
              <w:pStyle w:val="47"/>
              <w:widowControl/>
              <w:spacing w:line="360" w:lineRule="auto"/>
              <w:jc w:val="left"/>
              <w:rPr>
                <w:rFonts w:ascii="宋体" w:hAnsi="宋体" w:cs="宋体"/>
                <w:bCs/>
                <w:color w:val="auto"/>
                <w:szCs w:val="21"/>
                <w:highlight w:val="none"/>
              </w:rPr>
            </w:pPr>
          </w:p>
        </w:tc>
        <w:tc>
          <w:tcPr>
            <w:tcW w:w="1373" w:type="dxa"/>
          </w:tcPr>
          <w:p w14:paraId="7C088E04">
            <w:pPr>
              <w:pStyle w:val="47"/>
              <w:widowControl/>
              <w:spacing w:line="360" w:lineRule="auto"/>
              <w:jc w:val="left"/>
              <w:rPr>
                <w:rFonts w:ascii="宋体" w:hAnsi="宋体" w:cs="宋体"/>
                <w:bCs/>
                <w:color w:val="auto"/>
                <w:szCs w:val="21"/>
                <w:highlight w:val="none"/>
              </w:rPr>
            </w:pPr>
          </w:p>
        </w:tc>
      </w:tr>
    </w:tbl>
    <w:p w14:paraId="307A00DA">
      <w:pPr>
        <w:spacing w:line="360" w:lineRule="auto"/>
        <w:ind w:left="420"/>
        <w:rPr>
          <w:rFonts w:ascii="宋体" w:hAnsi="宋体" w:cs="宋体"/>
          <w:color w:val="auto"/>
          <w:szCs w:val="21"/>
          <w:highlight w:val="none"/>
        </w:rPr>
      </w:pPr>
    </w:p>
    <w:p w14:paraId="20504A92">
      <w:pPr>
        <w:spacing w:line="360" w:lineRule="auto"/>
        <w:ind w:left="420"/>
        <w:rPr>
          <w:rFonts w:ascii="宋体" w:hAnsi="宋体" w:cs="宋体"/>
          <w:color w:val="auto"/>
          <w:szCs w:val="21"/>
          <w:highlight w:val="none"/>
        </w:rPr>
      </w:pPr>
    </w:p>
    <w:p w14:paraId="31CEE0A7">
      <w:pPr>
        <w:spacing w:line="360" w:lineRule="auto"/>
        <w:ind w:left="420"/>
        <w:rPr>
          <w:rFonts w:ascii="宋体" w:hAnsi="宋体" w:cs="宋体"/>
          <w:color w:val="auto"/>
          <w:szCs w:val="21"/>
          <w:highlight w:val="none"/>
          <w:u w:val="single"/>
        </w:rPr>
      </w:pPr>
      <w:r>
        <w:rPr>
          <w:rFonts w:hint="eastAsia" w:ascii="宋体" w:hAnsi="宋体" w:cs="宋体"/>
          <w:color w:val="auto"/>
          <w:szCs w:val="21"/>
          <w:highlight w:val="none"/>
        </w:rPr>
        <w:t>磋商供应商名称（盖章）：</w:t>
      </w:r>
      <w:r>
        <w:rPr>
          <w:rFonts w:hint="eastAsia" w:ascii="宋体" w:hAnsi="宋体" w:cs="宋体"/>
          <w:color w:val="auto"/>
          <w:szCs w:val="21"/>
          <w:highlight w:val="none"/>
          <w:u w:val="single"/>
        </w:rPr>
        <w:t xml:space="preserve">                                        </w:t>
      </w:r>
    </w:p>
    <w:p w14:paraId="34169523">
      <w:pPr>
        <w:spacing w:line="360" w:lineRule="auto"/>
        <w:ind w:left="420"/>
        <w:rPr>
          <w:rFonts w:ascii="宋体" w:hAnsi="宋体" w:cs="宋体"/>
          <w:color w:val="auto"/>
          <w:szCs w:val="21"/>
          <w:highlight w:val="none"/>
        </w:rPr>
      </w:pPr>
      <w:r>
        <w:rPr>
          <w:rFonts w:hint="eastAsia" w:ascii="宋体" w:hAnsi="宋体" w:cs="宋体"/>
          <w:color w:val="auto"/>
          <w:szCs w:val="21"/>
          <w:highlight w:val="none"/>
        </w:rPr>
        <w:t xml:space="preserve"> </w:t>
      </w:r>
    </w:p>
    <w:p w14:paraId="4AE7D73C">
      <w:pPr>
        <w:spacing w:line="360" w:lineRule="auto"/>
        <w:ind w:firstLine="435"/>
        <w:rPr>
          <w:rFonts w:ascii="宋体" w:hAnsi="宋体" w:cs="宋体"/>
          <w:color w:val="auto"/>
          <w:szCs w:val="21"/>
          <w:highlight w:val="none"/>
        </w:rPr>
      </w:pPr>
      <w:r>
        <w:rPr>
          <w:rFonts w:hint="eastAsia" w:ascii="宋体" w:hAnsi="宋体" w:cs="宋体"/>
          <w:color w:val="auto"/>
          <w:szCs w:val="21"/>
          <w:highlight w:val="none"/>
        </w:rPr>
        <w:t>法定代表人或授权委托代理人签字或盖章：</w:t>
      </w:r>
      <w:r>
        <w:rPr>
          <w:rFonts w:hint="eastAsia" w:ascii="宋体" w:hAnsi="宋体" w:cs="宋体"/>
          <w:color w:val="auto"/>
          <w:szCs w:val="21"/>
          <w:highlight w:val="none"/>
          <w:u w:val="single"/>
        </w:rPr>
        <w:t xml:space="preserve">                          </w:t>
      </w:r>
    </w:p>
    <w:p w14:paraId="57C667EF">
      <w:pPr>
        <w:spacing w:line="360" w:lineRule="auto"/>
        <w:ind w:firstLine="435"/>
        <w:rPr>
          <w:rFonts w:ascii="宋体" w:hAnsi="宋体" w:cs="宋体"/>
          <w:color w:val="auto"/>
          <w:szCs w:val="21"/>
          <w:highlight w:val="none"/>
        </w:rPr>
      </w:pPr>
    </w:p>
    <w:p w14:paraId="5137D1B5">
      <w:pPr>
        <w:spacing w:line="360" w:lineRule="auto"/>
        <w:ind w:firstLine="435"/>
        <w:rPr>
          <w:rFonts w:ascii="宋体" w:hAnsi="宋体" w:cs="宋体"/>
          <w:color w:val="auto"/>
          <w:szCs w:val="21"/>
          <w:highlight w:val="none"/>
        </w:rPr>
      </w:pPr>
      <w:r>
        <w:rPr>
          <w:rFonts w:hint="eastAsia" w:ascii="宋体" w:hAnsi="宋体" w:cs="宋体"/>
          <w:color w:val="auto"/>
          <w:szCs w:val="21"/>
          <w:highlight w:val="none"/>
        </w:rPr>
        <w:t>职        务：</w:t>
      </w:r>
      <w:r>
        <w:rPr>
          <w:rFonts w:hint="eastAsia" w:ascii="宋体" w:hAnsi="宋体" w:cs="宋体"/>
          <w:color w:val="auto"/>
          <w:szCs w:val="21"/>
          <w:highlight w:val="none"/>
          <w:u w:val="single"/>
        </w:rPr>
        <w:t xml:space="preserve">                            </w:t>
      </w:r>
    </w:p>
    <w:p w14:paraId="0A070200">
      <w:pPr>
        <w:spacing w:line="360" w:lineRule="auto"/>
        <w:ind w:firstLine="435"/>
        <w:rPr>
          <w:rFonts w:ascii="宋体" w:hAnsi="宋体" w:cs="宋体"/>
          <w:color w:val="auto"/>
          <w:szCs w:val="21"/>
          <w:highlight w:val="none"/>
        </w:rPr>
      </w:pPr>
    </w:p>
    <w:p w14:paraId="2A227F13">
      <w:pPr>
        <w:spacing w:line="360" w:lineRule="auto"/>
        <w:ind w:firstLine="435"/>
        <w:rPr>
          <w:rFonts w:ascii="宋体" w:hAnsi="宋体" w:cs="宋体"/>
          <w:color w:val="auto"/>
          <w:szCs w:val="21"/>
          <w:highlight w:val="none"/>
          <w:u w:val="single"/>
        </w:rPr>
      </w:pPr>
      <w:r>
        <w:rPr>
          <w:rFonts w:hint="eastAsia" w:ascii="宋体" w:hAnsi="宋体" w:cs="宋体"/>
          <w:color w:val="auto"/>
          <w:szCs w:val="21"/>
          <w:highlight w:val="none"/>
        </w:rPr>
        <w:t>日        期：</w:t>
      </w:r>
      <w:r>
        <w:rPr>
          <w:rFonts w:hint="eastAsia" w:ascii="宋体" w:hAnsi="宋体" w:cs="宋体"/>
          <w:color w:val="auto"/>
          <w:szCs w:val="21"/>
          <w:highlight w:val="none"/>
          <w:u w:val="single"/>
        </w:rPr>
        <w:t xml:space="preserve">                            </w:t>
      </w:r>
    </w:p>
    <w:p w14:paraId="343FCD63">
      <w:pPr>
        <w:spacing w:line="360" w:lineRule="auto"/>
        <w:ind w:firstLine="435"/>
        <w:rPr>
          <w:rFonts w:ascii="宋体" w:hAnsi="宋体" w:cs="宋体"/>
          <w:color w:val="auto"/>
          <w:szCs w:val="21"/>
          <w:highlight w:val="none"/>
          <w:u w:val="single"/>
        </w:rPr>
      </w:pPr>
    </w:p>
    <w:p w14:paraId="5BE566FF">
      <w:pPr>
        <w:spacing w:line="360" w:lineRule="auto"/>
        <w:rPr>
          <w:rFonts w:ascii="宋体" w:hAnsi="宋体" w:cs="宋体"/>
          <w:b/>
          <w:color w:val="auto"/>
          <w:sz w:val="28"/>
          <w:highlight w:val="none"/>
        </w:rPr>
      </w:pPr>
    </w:p>
    <w:p w14:paraId="45733C14">
      <w:pPr>
        <w:snapToGrid w:val="0"/>
        <w:spacing w:beforeLines="50" w:after="50" w:line="360" w:lineRule="auto"/>
        <w:rPr>
          <w:rFonts w:ascii="宋体" w:hAnsi="宋体" w:cs="宋体"/>
          <w:b/>
          <w:color w:val="auto"/>
          <w:sz w:val="28"/>
          <w:highlight w:val="none"/>
        </w:rPr>
      </w:pPr>
    </w:p>
    <w:p w14:paraId="26F37C61">
      <w:pPr>
        <w:snapToGrid w:val="0"/>
        <w:spacing w:beforeLines="50" w:after="50" w:line="360" w:lineRule="auto"/>
        <w:rPr>
          <w:rFonts w:ascii="宋体" w:hAnsi="宋体" w:cs="宋体"/>
          <w:b/>
          <w:color w:val="auto"/>
          <w:sz w:val="28"/>
          <w:highlight w:val="none"/>
        </w:rPr>
        <w:sectPr>
          <w:pgSz w:w="11906" w:h="16838"/>
          <w:pgMar w:top="1440" w:right="1800" w:bottom="1440" w:left="1800" w:header="851" w:footer="992" w:gutter="0"/>
          <w:cols w:space="425" w:num="1"/>
          <w:docGrid w:type="lines" w:linePitch="312" w:charSpace="0"/>
        </w:sectPr>
      </w:pPr>
    </w:p>
    <w:p w14:paraId="13490B42">
      <w:pPr>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附件13</w:t>
      </w:r>
      <w:r>
        <w:rPr>
          <w:rFonts w:hint="eastAsia" w:ascii="宋体" w:hAnsi="宋体" w:cs="宋体"/>
          <w:b/>
          <w:color w:val="auto"/>
          <w:sz w:val="30"/>
          <w:szCs w:val="30"/>
          <w:highlight w:val="none"/>
        </w:rPr>
        <w:t xml:space="preserve">                           </w:t>
      </w:r>
      <w:r>
        <w:rPr>
          <w:rFonts w:hint="eastAsia" w:ascii="宋体" w:hAnsi="宋体" w:cs="宋体"/>
          <w:color w:val="auto"/>
          <w:sz w:val="30"/>
          <w:szCs w:val="30"/>
          <w:highlight w:val="none"/>
        </w:rPr>
        <w:t xml:space="preserve"> 　　　</w:t>
      </w:r>
      <w:r>
        <w:rPr>
          <w:rFonts w:hint="eastAsia" w:ascii="宋体" w:hAnsi="宋体" w:cs="宋体"/>
          <w:b/>
          <w:color w:val="auto"/>
          <w:sz w:val="28"/>
          <w:highlight w:val="none"/>
        </w:rPr>
        <w:t xml:space="preserve">        </w:t>
      </w:r>
      <w:r>
        <w:rPr>
          <w:rFonts w:hint="eastAsia" w:ascii="宋体" w:hAnsi="宋体" w:cs="宋体"/>
          <w:b/>
          <w:color w:val="auto"/>
          <w:sz w:val="28"/>
          <w:highlight w:val="none"/>
          <w:u w:val="single"/>
        </w:rPr>
        <w:t xml:space="preserve">     </w:t>
      </w:r>
      <w:r>
        <w:rPr>
          <w:rFonts w:hint="eastAsia" w:ascii="宋体" w:hAnsi="宋体" w:cs="宋体"/>
          <w:bCs/>
          <w:color w:val="auto"/>
          <w:sz w:val="24"/>
          <w:highlight w:val="none"/>
        </w:rPr>
        <w:t>本</w:t>
      </w:r>
    </w:p>
    <w:p w14:paraId="36B55DF9">
      <w:pPr>
        <w:ind w:right="-110"/>
        <w:jc w:val="center"/>
        <w:rPr>
          <w:rFonts w:ascii="宋体" w:hAnsi="宋体" w:cs="宋体"/>
          <w:color w:val="auto"/>
          <w:spacing w:val="40"/>
          <w:sz w:val="52"/>
          <w:szCs w:val="52"/>
          <w:highlight w:val="none"/>
        </w:rPr>
      </w:pPr>
    </w:p>
    <w:p w14:paraId="7C565C7C">
      <w:pPr>
        <w:spacing w:line="360" w:lineRule="auto"/>
        <w:ind w:right="-110"/>
        <w:jc w:val="center"/>
        <w:rPr>
          <w:rFonts w:ascii="宋体" w:hAnsi="宋体" w:cs="宋体"/>
          <w:color w:val="auto"/>
          <w:spacing w:val="40"/>
          <w:sz w:val="52"/>
          <w:szCs w:val="52"/>
          <w:highlight w:val="none"/>
        </w:rPr>
      </w:pPr>
      <w:r>
        <w:rPr>
          <w:rFonts w:hint="eastAsia" w:ascii="宋体" w:hAnsi="宋体" w:cs="宋体"/>
          <w:color w:val="auto"/>
          <w:spacing w:val="40"/>
          <w:sz w:val="52"/>
          <w:szCs w:val="52"/>
          <w:highlight w:val="none"/>
        </w:rPr>
        <w:t>项目名称</w:t>
      </w:r>
    </w:p>
    <w:p w14:paraId="04529C84">
      <w:pPr>
        <w:spacing w:beforeLines="100" w:line="360" w:lineRule="auto"/>
        <w:ind w:right="-108" w:firstLine="2160" w:firstLineChars="600"/>
        <w:rPr>
          <w:rFonts w:ascii="宋体" w:hAnsi="宋体" w:cs="宋体"/>
          <w:color w:val="auto"/>
          <w:sz w:val="36"/>
          <w:szCs w:val="36"/>
          <w:highlight w:val="none"/>
          <w:u w:val="single"/>
        </w:rPr>
      </w:pPr>
      <w:r>
        <w:rPr>
          <w:rFonts w:hint="eastAsia" w:ascii="宋体" w:hAnsi="宋体" w:cs="宋体"/>
          <w:color w:val="auto"/>
          <w:sz w:val="36"/>
          <w:szCs w:val="36"/>
          <w:highlight w:val="none"/>
        </w:rPr>
        <w:t>项目编号：</w:t>
      </w:r>
      <w:r>
        <w:rPr>
          <w:rFonts w:hint="eastAsia" w:ascii="宋体" w:hAnsi="宋体" w:cs="宋体"/>
          <w:color w:val="auto"/>
          <w:sz w:val="36"/>
          <w:szCs w:val="36"/>
          <w:highlight w:val="none"/>
          <w:u w:val="single"/>
        </w:rPr>
        <w:t xml:space="preserve">            </w:t>
      </w:r>
    </w:p>
    <w:p w14:paraId="1C36DB41">
      <w:pPr>
        <w:pStyle w:val="20"/>
        <w:outlineLvl w:val="9"/>
        <w:rPr>
          <w:rFonts w:ascii="宋体" w:hAnsi="宋体" w:cs="宋体"/>
          <w:color w:val="auto"/>
          <w:highlight w:val="none"/>
        </w:rPr>
      </w:pPr>
    </w:p>
    <w:p w14:paraId="6B7FC7E6">
      <w:pPr>
        <w:spacing w:after="100" w:afterAutospacing="1" w:line="800" w:lineRule="exact"/>
        <w:ind w:right="-108"/>
        <w:jc w:val="center"/>
        <w:rPr>
          <w:rFonts w:ascii="宋体" w:hAnsi="宋体" w:cs="宋体"/>
          <w:b/>
          <w:color w:val="auto"/>
          <w:spacing w:val="40"/>
          <w:sz w:val="72"/>
          <w:szCs w:val="72"/>
          <w:highlight w:val="none"/>
        </w:rPr>
      </w:pPr>
      <w:r>
        <w:rPr>
          <w:rFonts w:hint="eastAsia" w:ascii="宋体" w:hAnsi="宋体" w:cs="宋体"/>
          <w:b/>
          <w:color w:val="auto"/>
          <w:spacing w:val="40"/>
          <w:sz w:val="72"/>
          <w:szCs w:val="72"/>
          <w:highlight w:val="none"/>
        </w:rPr>
        <w:t>磋</w:t>
      </w:r>
    </w:p>
    <w:p w14:paraId="0D6349E2">
      <w:pPr>
        <w:spacing w:after="100" w:afterAutospacing="1" w:line="800" w:lineRule="exact"/>
        <w:ind w:right="-108"/>
        <w:jc w:val="center"/>
        <w:rPr>
          <w:rFonts w:ascii="宋体" w:hAnsi="宋体" w:cs="宋体"/>
          <w:b/>
          <w:color w:val="auto"/>
          <w:spacing w:val="40"/>
          <w:sz w:val="72"/>
          <w:szCs w:val="72"/>
          <w:highlight w:val="none"/>
        </w:rPr>
      </w:pPr>
      <w:r>
        <w:rPr>
          <w:rFonts w:hint="eastAsia" w:ascii="宋体" w:hAnsi="宋体" w:cs="宋体"/>
          <w:b/>
          <w:color w:val="auto"/>
          <w:spacing w:val="40"/>
          <w:sz w:val="72"/>
          <w:szCs w:val="72"/>
          <w:highlight w:val="none"/>
        </w:rPr>
        <w:t>商</w:t>
      </w:r>
    </w:p>
    <w:p w14:paraId="3BA7254E">
      <w:pPr>
        <w:spacing w:after="100" w:afterAutospacing="1" w:line="800" w:lineRule="exact"/>
        <w:ind w:right="-108"/>
        <w:jc w:val="center"/>
        <w:rPr>
          <w:rFonts w:ascii="宋体" w:hAnsi="宋体" w:cs="宋体"/>
          <w:b/>
          <w:color w:val="auto"/>
          <w:spacing w:val="40"/>
          <w:sz w:val="72"/>
          <w:szCs w:val="72"/>
          <w:highlight w:val="none"/>
        </w:rPr>
      </w:pPr>
      <w:r>
        <w:rPr>
          <w:rFonts w:hint="eastAsia" w:ascii="宋体" w:hAnsi="宋体" w:cs="宋体"/>
          <w:b/>
          <w:color w:val="auto"/>
          <w:spacing w:val="40"/>
          <w:sz w:val="72"/>
          <w:szCs w:val="72"/>
          <w:highlight w:val="none"/>
        </w:rPr>
        <w:t>响</w:t>
      </w:r>
    </w:p>
    <w:p w14:paraId="27017955">
      <w:pPr>
        <w:spacing w:after="100" w:afterAutospacing="1" w:line="800" w:lineRule="exact"/>
        <w:ind w:right="-108"/>
        <w:jc w:val="center"/>
        <w:rPr>
          <w:rFonts w:ascii="宋体" w:hAnsi="宋体" w:cs="宋体"/>
          <w:b/>
          <w:color w:val="auto"/>
          <w:spacing w:val="40"/>
          <w:sz w:val="72"/>
          <w:szCs w:val="72"/>
          <w:highlight w:val="none"/>
        </w:rPr>
      </w:pPr>
      <w:r>
        <w:rPr>
          <w:rFonts w:hint="eastAsia" w:ascii="宋体" w:hAnsi="宋体" w:cs="宋体"/>
          <w:b/>
          <w:color w:val="auto"/>
          <w:spacing w:val="40"/>
          <w:sz w:val="72"/>
          <w:szCs w:val="72"/>
          <w:highlight w:val="none"/>
        </w:rPr>
        <w:t>应</w:t>
      </w:r>
    </w:p>
    <w:p w14:paraId="20DC3B9D">
      <w:pPr>
        <w:spacing w:after="100" w:afterAutospacing="1" w:line="800" w:lineRule="exact"/>
        <w:ind w:right="-108"/>
        <w:jc w:val="center"/>
        <w:rPr>
          <w:rFonts w:ascii="宋体" w:hAnsi="宋体" w:cs="宋体"/>
          <w:b/>
          <w:color w:val="auto"/>
          <w:spacing w:val="40"/>
          <w:sz w:val="72"/>
          <w:szCs w:val="72"/>
          <w:highlight w:val="none"/>
        </w:rPr>
      </w:pPr>
      <w:r>
        <w:rPr>
          <w:rFonts w:hint="eastAsia" w:ascii="宋体" w:hAnsi="宋体" w:cs="宋体"/>
          <w:b/>
          <w:color w:val="auto"/>
          <w:spacing w:val="40"/>
          <w:sz w:val="72"/>
          <w:szCs w:val="72"/>
          <w:highlight w:val="none"/>
        </w:rPr>
        <w:t>文</w:t>
      </w:r>
    </w:p>
    <w:p w14:paraId="2B53E202">
      <w:pPr>
        <w:spacing w:after="100" w:afterAutospacing="1" w:line="800" w:lineRule="exact"/>
        <w:ind w:right="-108"/>
        <w:jc w:val="center"/>
        <w:rPr>
          <w:rFonts w:ascii="宋体" w:hAnsi="宋体" w:cs="宋体"/>
          <w:b/>
          <w:color w:val="auto"/>
          <w:spacing w:val="40"/>
          <w:sz w:val="72"/>
          <w:szCs w:val="72"/>
          <w:highlight w:val="none"/>
        </w:rPr>
      </w:pPr>
      <w:r>
        <w:rPr>
          <w:rFonts w:hint="eastAsia" w:ascii="宋体" w:hAnsi="宋体" w:cs="宋体"/>
          <w:b/>
          <w:color w:val="auto"/>
          <w:spacing w:val="40"/>
          <w:sz w:val="72"/>
          <w:szCs w:val="72"/>
          <w:highlight w:val="none"/>
        </w:rPr>
        <w:t>件</w:t>
      </w:r>
    </w:p>
    <w:p w14:paraId="7A3A2BED">
      <w:pPr>
        <w:spacing w:after="100" w:afterAutospacing="1" w:line="360" w:lineRule="auto"/>
        <w:ind w:right="-108"/>
        <w:jc w:val="center"/>
        <w:rPr>
          <w:rFonts w:ascii="宋体" w:hAnsi="宋体" w:cs="宋体"/>
          <w:b/>
          <w:color w:val="auto"/>
          <w:spacing w:val="40"/>
          <w:sz w:val="28"/>
          <w:szCs w:val="28"/>
          <w:highlight w:val="none"/>
          <w:lang w:val="zh-CN"/>
        </w:rPr>
      </w:pPr>
      <w:r>
        <w:rPr>
          <w:rFonts w:hint="eastAsia" w:ascii="宋体" w:hAnsi="宋体" w:cs="宋体"/>
          <w:b/>
          <w:color w:val="auto"/>
          <w:spacing w:val="40"/>
          <w:sz w:val="28"/>
          <w:szCs w:val="28"/>
          <w:highlight w:val="none"/>
          <w:lang w:val="zh-CN"/>
        </w:rPr>
        <w:t>（</w:t>
      </w:r>
      <w:r>
        <w:rPr>
          <w:rFonts w:hint="eastAsia" w:ascii="宋体" w:hAnsi="宋体" w:cs="宋体"/>
          <w:b/>
          <w:color w:val="auto"/>
          <w:spacing w:val="40"/>
          <w:sz w:val="28"/>
          <w:szCs w:val="28"/>
          <w:highlight w:val="none"/>
        </w:rPr>
        <w:t>报价</w:t>
      </w:r>
      <w:r>
        <w:rPr>
          <w:rFonts w:hint="eastAsia" w:ascii="宋体" w:hAnsi="宋体" w:cs="宋体"/>
          <w:b/>
          <w:color w:val="auto"/>
          <w:spacing w:val="40"/>
          <w:sz w:val="28"/>
          <w:szCs w:val="28"/>
          <w:highlight w:val="none"/>
          <w:lang w:val="zh-CN"/>
        </w:rPr>
        <w:t>文件）</w:t>
      </w:r>
    </w:p>
    <w:p w14:paraId="11C87CB3">
      <w:pPr>
        <w:spacing w:line="500" w:lineRule="exact"/>
        <w:ind w:right="532" w:firstLine="640" w:firstLineChars="200"/>
        <w:rPr>
          <w:rFonts w:ascii="宋体" w:hAnsi="宋体" w:cs="宋体"/>
          <w:color w:val="auto"/>
          <w:sz w:val="32"/>
          <w:szCs w:val="32"/>
          <w:highlight w:val="none"/>
        </w:rPr>
      </w:pPr>
      <w:r>
        <w:rPr>
          <w:rFonts w:hint="eastAsia" w:ascii="宋体" w:hAnsi="宋体" w:cs="宋体"/>
          <w:color w:val="auto"/>
          <w:sz w:val="32"/>
          <w:szCs w:val="32"/>
          <w:highlight w:val="none"/>
        </w:rPr>
        <w:t>供应商全称（公章）：</w:t>
      </w:r>
    </w:p>
    <w:p w14:paraId="40E5340B">
      <w:pPr>
        <w:wordWrap w:val="0"/>
        <w:spacing w:line="500" w:lineRule="exact"/>
        <w:ind w:right="-108" w:firstLine="640" w:firstLineChars="200"/>
        <w:rPr>
          <w:rFonts w:ascii="宋体" w:hAnsi="宋体" w:cs="宋体"/>
          <w:color w:val="auto"/>
          <w:sz w:val="32"/>
          <w:szCs w:val="32"/>
          <w:highlight w:val="none"/>
        </w:rPr>
      </w:pPr>
      <w:r>
        <w:rPr>
          <w:rFonts w:hint="eastAsia" w:ascii="宋体" w:hAnsi="宋体" w:cs="宋体"/>
          <w:color w:val="auto"/>
          <w:sz w:val="32"/>
          <w:szCs w:val="32"/>
          <w:highlight w:val="none"/>
        </w:rPr>
        <w:t>地    址：</w:t>
      </w:r>
    </w:p>
    <w:p w14:paraId="101EDEAC">
      <w:pPr>
        <w:wordWrap w:val="0"/>
        <w:spacing w:line="500" w:lineRule="exact"/>
        <w:ind w:right="-108" w:firstLine="640" w:firstLineChars="200"/>
        <w:rPr>
          <w:rFonts w:ascii="宋体" w:hAnsi="宋体" w:cs="宋体"/>
          <w:b/>
          <w:bCs/>
          <w:color w:val="auto"/>
          <w:sz w:val="28"/>
          <w:szCs w:val="28"/>
          <w:highlight w:val="none"/>
        </w:rPr>
      </w:pPr>
      <w:r>
        <w:rPr>
          <w:rFonts w:hint="eastAsia" w:ascii="宋体" w:hAnsi="宋体" w:cs="宋体"/>
          <w:color w:val="auto"/>
          <w:sz w:val="32"/>
          <w:szCs w:val="32"/>
          <w:highlight w:val="none"/>
        </w:rPr>
        <w:t>时    间：</w:t>
      </w:r>
    </w:p>
    <w:p w14:paraId="4E641061">
      <w:pPr>
        <w:spacing w:line="360" w:lineRule="auto"/>
        <w:ind w:right="-108" w:firstLine="316" w:firstLineChars="150"/>
        <w:rPr>
          <w:rFonts w:ascii="宋体" w:hAnsi="宋体" w:cs="宋体"/>
          <w:b/>
          <w:bCs/>
          <w:color w:val="auto"/>
          <w:kern w:val="0"/>
          <w:szCs w:val="21"/>
          <w:highlight w:val="none"/>
        </w:rPr>
      </w:pPr>
    </w:p>
    <w:p w14:paraId="20B82292">
      <w:pPr>
        <w:snapToGrid w:val="0"/>
        <w:spacing w:line="360" w:lineRule="auto"/>
        <w:ind w:firstLine="723" w:firstLineChars="200"/>
        <w:jc w:val="center"/>
        <w:outlineLvl w:val="1"/>
        <w:rPr>
          <w:rFonts w:ascii="宋体" w:hAnsi="宋体" w:cs="宋体"/>
          <w:b/>
          <w:color w:val="auto"/>
          <w:sz w:val="36"/>
          <w:szCs w:val="32"/>
          <w:highlight w:val="none"/>
        </w:rPr>
      </w:pPr>
      <w:r>
        <w:rPr>
          <w:rFonts w:hint="eastAsia" w:ascii="宋体" w:hAnsi="宋体" w:cs="宋体"/>
          <w:b/>
          <w:color w:val="auto"/>
          <w:sz w:val="36"/>
          <w:szCs w:val="32"/>
          <w:highlight w:val="none"/>
        </w:rPr>
        <w:t>报价文件目录</w:t>
      </w:r>
    </w:p>
    <w:p w14:paraId="1DC3CBAF">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1、开标一览表（附件14）；</w:t>
      </w:r>
    </w:p>
    <w:p w14:paraId="013A6C7F">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2、报价明细表（附件15）</w:t>
      </w:r>
    </w:p>
    <w:p w14:paraId="34D38107">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3、中小企业声明函（附件16）；（如有需提供）</w:t>
      </w:r>
    </w:p>
    <w:p w14:paraId="6827302D">
      <w:pPr>
        <w:snapToGrid w:val="0"/>
        <w:spacing w:line="360" w:lineRule="auto"/>
        <w:ind w:firstLine="420" w:firstLineChars="200"/>
        <w:rPr>
          <w:rFonts w:ascii="宋体" w:hAnsi="宋体" w:cs="宋体"/>
          <w:color w:val="auto"/>
          <w:szCs w:val="21"/>
          <w:highlight w:val="none"/>
        </w:rPr>
        <w:sectPr>
          <w:pgSz w:w="11906" w:h="16838"/>
          <w:pgMar w:top="1440" w:right="1800" w:bottom="1440" w:left="1800" w:header="851" w:footer="992" w:gutter="0"/>
          <w:cols w:space="425" w:num="1"/>
          <w:docGrid w:type="lines" w:linePitch="312" w:charSpace="0"/>
        </w:sectPr>
      </w:pPr>
      <w:r>
        <w:rPr>
          <w:rFonts w:hint="eastAsia" w:ascii="宋体" w:hAnsi="宋体" w:cs="宋体"/>
          <w:color w:val="auto"/>
          <w:szCs w:val="21"/>
          <w:highlight w:val="none"/>
        </w:rPr>
        <w:t>4；针对报价投标人认为其他需要说明的；</w:t>
      </w:r>
    </w:p>
    <w:p w14:paraId="74CDCD3E">
      <w:pPr>
        <w:snapToGrid w:val="0"/>
        <w:spacing w:beforeLines="50" w:after="50" w:line="360" w:lineRule="auto"/>
        <w:rPr>
          <w:rFonts w:ascii="宋体" w:hAnsi="宋体" w:cs="宋体"/>
          <w:b/>
          <w:color w:val="auto"/>
          <w:sz w:val="30"/>
          <w:szCs w:val="30"/>
          <w:highlight w:val="none"/>
        </w:rPr>
      </w:pPr>
      <w:r>
        <w:rPr>
          <w:rFonts w:hint="eastAsia" w:ascii="宋体" w:hAnsi="宋体" w:cs="宋体"/>
          <w:b/>
          <w:color w:val="auto"/>
          <w:sz w:val="28"/>
          <w:highlight w:val="none"/>
        </w:rPr>
        <w:t>附件14</w:t>
      </w:r>
      <w:r>
        <w:rPr>
          <w:rFonts w:hint="eastAsia" w:ascii="宋体" w:hAnsi="宋体" w:cs="宋体"/>
          <w:b/>
          <w:color w:val="auto"/>
          <w:sz w:val="30"/>
          <w:szCs w:val="30"/>
          <w:highlight w:val="none"/>
        </w:rPr>
        <w:t xml:space="preserve">                                     </w:t>
      </w:r>
    </w:p>
    <w:p w14:paraId="6E3EF089">
      <w:pPr>
        <w:spacing w:line="360" w:lineRule="auto"/>
        <w:ind w:left="-2" w:hanging="2"/>
        <w:jc w:val="center"/>
        <w:rPr>
          <w:rFonts w:ascii="宋体" w:hAnsi="宋体" w:cs="宋体"/>
          <w:b/>
          <w:color w:val="auto"/>
          <w:sz w:val="32"/>
          <w:szCs w:val="32"/>
          <w:highlight w:val="none"/>
        </w:rPr>
      </w:pPr>
      <w:r>
        <w:rPr>
          <w:rFonts w:hint="eastAsia" w:ascii="宋体" w:hAnsi="宋体" w:cs="宋体"/>
          <w:b/>
          <w:color w:val="auto"/>
          <w:sz w:val="32"/>
          <w:szCs w:val="32"/>
          <w:highlight w:val="none"/>
        </w:rPr>
        <w:t xml:space="preserve">开标一览表 </w:t>
      </w:r>
    </w:p>
    <w:p w14:paraId="6C95BAA9">
      <w:pPr>
        <w:pStyle w:val="12"/>
        <w:spacing w:line="320" w:lineRule="exact"/>
        <w:rPr>
          <w:rFonts w:hAnsi="宋体" w:cs="宋体"/>
          <w:b/>
          <w:color w:val="auto"/>
          <w:sz w:val="24"/>
          <w:highlight w:val="none"/>
        </w:rPr>
      </w:pPr>
    </w:p>
    <w:p w14:paraId="033D17B3">
      <w:pPr>
        <w:pStyle w:val="12"/>
        <w:spacing w:line="320" w:lineRule="exact"/>
        <w:rPr>
          <w:rFonts w:hAnsi="宋体" w:cs="宋体"/>
          <w:b/>
          <w:color w:val="auto"/>
          <w:szCs w:val="21"/>
          <w:highlight w:val="none"/>
          <w:u w:val="single"/>
        </w:rPr>
      </w:pPr>
      <w:r>
        <w:rPr>
          <w:rFonts w:hint="eastAsia" w:hAnsi="宋体" w:cs="宋体"/>
          <w:b/>
          <w:color w:val="auto"/>
          <w:szCs w:val="21"/>
          <w:highlight w:val="none"/>
        </w:rPr>
        <w:t>项目编号：</w:t>
      </w:r>
      <w:r>
        <w:rPr>
          <w:rFonts w:hint="eastAsia" w:hAnsi="宋体" w:cs="宋体"/>
          <w:b/>
          <w:color w:val="auto"/>
          <w:szCs w:val="21"/>
          <w:highlight w:val="none"/>
          <w:u w:val="single"/>
        </w:rPr>
        <w:t xml:space="preserve">               </w:t>
      </w:r>
    </w:p>
    <w:p w14:paraId="654855D0">
      <w:pPr>
        <w:pStyle w:val="51"/>
        <w:spacing w:line="360" w:lineRule="auto"/>
        <w:ind w:right="480"/>
        <w:jc w:val="left"/>
        <w:rPr>
          <w:rFonts w:ascii="宋体" w:hAnsi="宋体" w:cs="宋体"/>
          <w:color w:val="auto"/>
          <w:szCs w:val="21"/>
          <w:highlight w:val="none"/>
        </w:rPr>
      </w:pPr>
      <w:r>
        <w:rPr>
          <w:rFonts w:hint="eastAsia" w:ascii="宋体" w:hAnsi="宋体" w:cs="宋体"/>
          <w:b/>
          <w:color w:val="auto"/>
          <w:szCs w:val="21"/>
          <w:highlight w:val="none"/>
        </w:rPr>
        <w:t>项目名称：</w:t>
      </w:r>
      <w:r>
        <w:rPr>
          <w:rFonts w:hint="eastAsia" w:ascii="宋体" w:hAnsi="宋体" w:cs="宋体"/>
          <w:b/>
          <w:color w:val="auto"/>
          <w:szCs w:val="21"/>
          <w:highlight w:val="none"/>
          <w:u w:val="single"/>
        </w:rPr>
        <w:t xml:space="preserve">               </w:t>
      </w:r>
      <w:r>
        <w:rPr>
          <w:rFonts w:hint="eastAsia" w:ascii="宋体" w:hAnsi="宋体" w:cs="宋体"/>
          <w:color w:val="auto"/>
          <w:szCs w:val="21"/>
          <w:highlight w:val="none"/>
        </w:rPr>
        <w:t xml:space="preserve">                    [货币单位：人民币元]</w:t>
      </w:r>
    </w:p>
    <w:tbl>
      <w:tblPr>
        <w:tblStyle w:val="22"/>
        <w:tblW w:w="0" w:type="auto"/>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2694"/>
        <w:gridCol w:w="1349"/>
        <w:gridCol w:w="4629"/>
      </w:tblGrid>
      <w:tr w14:paraId="6B328994">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469" w:hRule="atLeast"/>
          <w:jc w:val="center"/>
        </w:trPr>
        <w:tc>
          <w:tcPr>
            <w:tcW w:w="2694" w:type="dxa"/>
            <w:vMerge w:val="restart"/>
            <w:tcBorders>
              <w:top w:val="single" w:color="auto" w:sz="12" w:space="0"/>
              <w:left w:val="single" w:color="auto" w:sz="12" w:space="0"/>
              <w:bottom w:val="single" w:color="auto" w:sz="4" w:space="0"/>
              <w:right w:val="single" w:color="auto" w:sz="4" w:space="0"/>
            </w:tcBorders>
            <w:vAlign w:val="center"/>
          </w:tcPr>
          <w:p w14:paraId="3E3F8F08">
            <w:pPr>
              <w:autoSpaceDE w:val="0"/>
              <w:autoSpaceDN w:val="0"/>
              <w:spacing w:line="450" w:lineRule="exact"/>
              <w:jc w:val="center"/>
              <w:textAlignment w:val="bottom"/>
              <w:rPr>
                <w:rFonts w:ascii="宋体" w:hAnsi="宋体" w:cs="宋体"/>
                <w:color w:val="auto"/>
                <w:szCs w:val="21"/>
                <w:highlight w:val="none"/>
              </w:rPr>
            </w:pPr>
            <w:r>
              <w:rPr>
                <w:rFonts w:hint="eastAsia" w:ascii="宋体" w:hAnsi="宋体" w:cs="宋体"/>
                <w:color w:val="auto"/>
                <w:szCs w:val="21"/>
                <w:highlight w:val="none"/>
              </w:rPr>
              <w:t>投标总报价(元)</w:t>
            </w:r>
          </w:p>
        </w:tc>
        <w:tc>
          <w:tcPr>
            <w:tcW w:w="1349" w:type="dxa"/>
            <w:tcBorders>
              <w:top w:val="single" w:color="auto" w:sz="12" w:space="0"/>
              <w:left w:val="single" w:color="auto" w:sz="4" w:space="0"/>
              <w:bottom w:val="single" w:color="auto" w:sz="4" w:space="0"/>
              <w:right w:val="single" w:color="auto" w:sz="4" w:space="0"/>
            </w:tcBorders>
            <w:vAlign w:val="center"/>
          </w:tcPr>
          <w:p w14:paraId="497EB636">
            <w:pPr>
              <w:autoSpaceDE w:val="0"/>
              <w:autoSpaceDN w:val="0"/>
              <w:spacing w:line="450" w:lineRule="exact"/>
              <w:jc w:val="center"/>
              <w:textAlignment w:val="bottom"/>
              <w:rPr>
                <w:rFonts w:ascii="宋体" w:hAnsi="宋体" w:cs="宋体"/>
                <w:color w:val="auto"/>
                <w:szCs w:val="21"/>
                <w:highlight w:val="none"/>
              </w:rPr>
            </w:pPr>
            <w:r>
              <w:rPr>
                <w:rFonts w:hint="eastAsia" w:ascii="宋体" w:hAnsi="宋体" w:cs="宋体"/>
                <w:color w:val="auto"/>
                <w:szCs w:val="21"/>
                <w:highlight w:val="none"/>
              </w:rPr>
              <w:t>大写</w:t>
            </w:r>
          </w:p>
        </w:tc>
        <w:tc>
          <w:tcPr>
            <w:tcW w:w="4629" w:type="dxa"/>
            <w:tcBorders>
              <w:top w:val="single" w:color="auto" w:sz="12" w:space="0"/>
              <w:left w:val="single" w:color="auto" w:sz="4" w:space="0"/>
              <w:bottom w:val="single" w:color="auto" w:sz="4" w:space="0"/>
              <w:right w:val="single" w:color="auto" w:sz="12" w:space="0"/>
            </w:tcBorders>
            <w:vAlign w:val="center"/>
          </w:tcPr>
          <w:p w14:paraId="0E81DEF2">
            <w:pPr>
              <w:autoSpaceDE w:val="0"/>
              <w:autoSpaceDN w:val="0"/>
              <w:spacing w:line="450" w:lineRule="exact"/>
              <w:jc w:val="center"/>
              <w:textAlignment w:val="bottom"/>
              <w:rPr>
                <w:rFonts w:ascii="宋体" w:hAnsi="宋体" w:cs="宋体"/>
                <w:color w:val="auto"/>
                <w:szCs w:val="21"/>
                <w:highlight w:val="none"/>
              </w:rPr>
            </w:pPr>
          </w:p>
        </w:tc>
      </w:tr>
      <w:tr w14:paraId="517C8CCB">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530" w:hRule="atLeast"/>
          <w:jc w:val="center"/>
        </w:trPr>
        <w:tc>
          <w:tcPr>
            <w:tcW w:w="2694" w:type="dxa"/>
            <w:vMerge w:val="continue"/>
            <w:tcBorders>
              <w:top w:val="single" w:color="auto" w:sz="12" w:space="0"/>
              <w:left w:val="single" w:color="auto" w:sz="12" w:space="0"/>
              <w:bottom w:val="single" w:color="auto" w:sz="4" w:space="0"/>
              <w:right w:val="single" w:color="auto" w:sz="4" w:space="0"/>
            </w:tcBorders>
            <w:vAlign w:val="center"/>
          </w:tcPr>
          <w:p w14:paraId="7020081D">
            <w:pPr>
              <w:rPr>
                <w:rFonts w:ascii="宋体" w:hAnsi="宋体" w:cs="宋体"/>
                <w:color w:val="auto"/>
                <w:szCs w:val="21"/>
                <w:highlight w:val="none"/>
              </w:rPr>
            </w:pPr>
          </w:p>
        </w:tc>
        <w:tc>
          <w:tcPr>
            <w:tcW w:w="1349" w:type="dxa"/>
            <w:tcBorders>
              <w:top w:val="single" w:color="auto" w:sz="4" w:space="0"/>
              <w:left w:val="single" w:color="auto" w:sz="4" w:space="0"/>
              <w:bottom w:val="single" w:color="auto" w:sz="4" w:space="0"/>
              <w:right w:val="single" w:color="auto" w:sz="4" w:space="0"/>
            </w:tcBorders>
            <w:vAlign w:val="center"/>
          </w:tcPr>
          <w:p w14:paraId="1E676D97">
            <w:pPr>
              <w:autoSpaceDE w:val="0"/>
              <w:autoSpaceDN w:val="0"/>
              <w:spacing w:line="450" w:lineRule="exact"/>
              <w:jc w:val="center"/>
              <w:textAlignment w:val="bottom"/>
              <w:rPr>
                <w:rFonts w:ascii="宋体" w:hAnsi="宋体" w:cs="宋体"/>
                <w:color w:val="auto"/>
                <w:szCs w:val="21"/>
                <w:highlight w:val="none"/>
              </w:rPr>
            </w:pPr>
            <w:r>
              <w:rPr>
                <w:rFonts w:hint="eastAsia" w:ascii="宋体" w:hAnsi="宋体" w:cs="宋体"/>
                <w:color w:val="auto"/>
                <w:szCs w:val="21"/>
                <w:highlight w:val="none"/>
              </w:rPr>
              <w:t>小写</w:t>
            </w:r>
          </w:p>
        </w:tc>
        <w:tc>
          <w:tcPr>
            <w:tcW w:w="4629" w:type="dxa"/>
            <w:tcBorders>
              <w:top w:val="single" w:color="auto" w:sz="4" w:space="0"/>
              <w:left w:val="single" w:color="auto" w:sz="4" w:space="0"/>
              <w:bottom w:val="single" w:color="auto" w:sz="4" w:space="0"/>
              <w:right w:val="single" w:color="auto" w:sz="12" w:space="0"/>
            </w:tcBorders>
            <w:vAlign w:val="center"/>
          </w:tcPr>
          <w:p w14:paraId="48237DB0">
            <w:pPr>
              <w:autoSpaceDE w:val="0"/>
              <w:autoSpaceDN w:val="0"/>
              <w:spacing w:line="450" w:lineRule="exact"/>
              <w:jc w:val="center"/>
              <w:textAlignment w:val="bottom"/>
              <w:rPr>
                <w:rFonts w:ascii="宋体" w:hAnsi="宋体" w:cs="宋体"/>
                <w:color w:val="auto"/>
                <w:szCs w:val="21"/>
                <w:highlight w:val="none"/>
              </w:rPr>
            </w:pPr>
          </w:p>
        </w:tc>
      </w:tr>
    </w:tbl>
    <w:p w14:paraId="4A58A08E">
      <w:pPr>
        <w:spacing w:line="360" w:lineRule="auto"/>
        <w:ind w:left="480"/>
        <w:rPr>
          <w:rFonts w:ascii="宋体" w:hAnsi="宋体" w:cs="宋体"/>
          <w:b/>
          <w:color w:val="auto"/>
          <w:szCs w:val="21"/>
          <w:highlight w:val="none"/>
        </w:rPr>
      </w:pPr>
    </w:p>
    <w:p w14:paraId="1FCF534F">
      <w:pPr>
        <w:spacing w:line="360" w:lineRule="auto"/>
        <w:rPr>
          <w:rFonts w:ascii="宋体" w:hAnsi="宋体" w:cs="宋体"/>
          <w:color w:val="auto"/>
          <w:szCs w:val="21"/>
          <w:highlight w:val="none"/>
        </w:rPr>
      </w:pPr>
      <w:r>
        <w:rPr>
          <w:rFonts w:hint="eastAsia" w:ascii="宋体" w:hAnsi="宋体" w:cs="宋体"/>
          <w:b/>
          <w:color w:val="auto"/>
          <w:szCs w:val="21"/>
          <w:highlight w:val="none"/>
        </w:rPr>
        <w:t>填报要求：</w:t>
      </w:r>
    </w:p>
    <w:p w14:paraId="0744B424">
      <w:pPr>
        <w:pStyle w:val="5"/>
        <w:spacing w:line="360" w:lineRule="auto"/>
        <w:ind w:firstLineChars="200"/>
        <w:rPr>
          <w:rFonts w:ascii="宋体" w:hAnsi="宋体" w:cs="宋体"/>
          <w:color w:val="auto"/>
          <w:kern w:val="0"/>
          <w:szCs w:val="21"/>
          <w:highlight w:val="none"/>
        </w:rPr>
      </w:pPr>
      <w:r>
        <w:rPr>
          <w:rFonts w:hint="eastAsia" w:ascii="宋体" w:hAnsi="宋体" w:cs="宋体"/>
          <w:color w:val="auto"/>
          <w:kern w:val="0"/>
          <w:szCs w:val="21"/>
          <w:highlight w:val="none"/>
        </w:rPr>
        <w:t>1、</w:t>
      </w:r>
      <w:r>
        <w:rPr>
          <w:rFonts w:hint="eastAsia" w:ascii="宋体" w:hAnsi="宋体" w:cs="宋体"/>
          <w:color w:val="auto"/>
          <w:szCs w:val="21"/>
          <w:highlight w:val="none"/>
        </w:rPr>
        <w:t>投标总报价为完成本项目的所有费用，包括所有人员的人工费、交通费、住宿费、伙食费、办公设施费、管理费、利润、税金、合同包含的所有风险责任等各项费用及不可预见费等所需的全部费用，全部费用已包含在投标报价中</w:t>
      </w:r>
      <w:r>
        <w:rPr>
          <w:rFonts w:hint="eastAsia" w:ascii="宋体" w:hAnsi="宋体" w:cs="宋体"/>
          <w:color w:val="auto"/>
          <w:kern w:val="0"/>
          <w:szCs w:val="21"/>
          <w:highlight w:val="none"/>
        </w:rPr>
        <w:t>。</w:t>
      </w:r>
    </w:p>
    <w:p w14:paraId="20301F6C">
      <w:pPr>
        <w:spacing w:line="360" w:lineRule="auto"/>
        <w:ind w:firstLine="420" w:firstLineChars="200"/>
        <w:rPr>
          <w:rFonts w:ascii="宋体" w:hAnsi="宋体" w:cs="宋体"/>
          <w:b/>
          <w:i/>
          <w:color w:val="auto"/>
          <w:szCs w:val="21"/>
          <w:highlight w:val="none"/>
          <w:u w:val="single"/>
        </w:rPr>
      </w:pPr>
      <w:r>
        <w:rPr>
          <w:rFonts w:hint="eastAsia" w:ascii="宋体" w:hAnsi="宋体" w:cs="宋体"/>
          <w:color w:val="auto"/>
          <w:kern w:val="0"/>
          <w:szCs w:val="21"/>
          <w:highlight w:val="none"/>
        </w:rPr>
        <w:t>▲2、报价一经涂改，应在涂改处加盖单位公章，或者由法定代表人或授权委托代理人签字或盖章，否则作无效标处理。</w:t>
      </w:r>
    </w:p>
    <w:p w14:paraId="4E9C4E9F">
      <w:pPr>
        <w:spacing w:line="360" w:lineRule="auto"/>
        <w:ind w:left="420"/>
        <w:rPr>
          <w:rFonts w:ascii="宋体" w:hAnsi="宋体" w:cs="宋体"/>
          <w:color w:val="auto"/>
          <w:szCs w:val="21"/>
          <w:highlight w:val="none"/>
        </w:rPr>
      </w:pPr>
    </w:p>
    <w:p w14:paraId="249A6BE7">
      <w:pPr>
        <w:spacing w:line="320" w:lineRule="exact"/>
        <w:ind w:left="420"/>
        <w:rPr>
          <w:rFonts w:ascii="宋体" w:hAnsi="宋体" w:cs="宋体"/>
          <w:color w:val="auto"/>
          <w:szCs w:val="21"/>
          <w:highlight w:val="none"/>
        </w:rPr>
      </w:pPr>
    </w:p>
    <w:p w14:paraId="4CEEA496">
      <w:pPr>
        <w:spacing w:line="320" w:lineRule="exact"/>
        <w:ind w:left="420"/>
        <w:rPr>
          <w:rFonts w:ascii="宋体" w:hAnsi="宋体" w:cs="宋体"/>
          <w:color w:val="auto"/>
          <w:szCs w:val="21"/>
          <w:highlight w:val="none"/>
          <w:u w:val="single"/>
        </w:rPr>
      </w:pPr>
      <w:r>
        <w:rPr>
          <w:rFonts w:hint="eastAsia" w:ascii="宋体" w:hAnsi="宋体" w:cs="宋体"/>
          <w:color w:val="auto"/>
          <w:szCs w:val="21"/>
          <w:highlight w:val="none"/>
        </w:rPr>
        <w:t>磋商供应商名称（盖章）：</w:t>
      </w:r>
      <w:r>
        <w:rPr>
          <w:rFonts w:hint="eastAsia" w:ascii="宋体" w:hAnsi="宋体" w:cs="宋体"/>
          <w:color w:val="auto"/>
          <w:szCs w:val="21"/>
          <w:highlight w:val="none"/>
          <w:u w:val="single"/>
        </w:rPr>
        <w:t xml:space="preserve">                                       </w:t>
      </w:r>
    </w:p>
    <w:p w14:paraId="74CCCF78">
      <w:pPr>
        <w:spacing w:line="320" w:lineRule="exact"/>
        <w:ind w:left="420"/>
        <w:rPr>
          <w:rFonts w:ascii="宋体" w:hAnsi="宋体" w:cs="宋体"/>
          <w:color w:val="auto"/>
          <w:szCs w:val="21"/>
          <w:highlight w:val="none"/>
        </w:rPr>
      </w:pPr>
    </w:p>
    <w:p w14:paraId="28C11CC0">
      <w:pPr>
        <w:spacing w:line="320" w:lineRule="exact"/>
        <w:ind w:firstLine="435"/>
        <w:rPr>
          <w:rFonts w:ascii="宋体" w:hAnsi="宋体" w:cs="宋体"/>
          <w:color w:val="auto"/>
          <w:szCs w:val="21"/>
          <w:highlight w:val="none"/>
        </w:rPr>
      </w:pPr>
      <w:r>
        <w:rPr>
          <w:rFonts w:hint="eastAsia" w:ascii="宋体" w:hAnsi="宋体" w:cs="宋体"/>
          <w:color w:val="auto"/>
          <w:szCs w:val="21"/>
          <w:highlight w:val="none"/>
        </w:rPr>
        <w:t>法定代表人或授权委托代理人签字或盖章：</w:t>
      </w:r>
      <w:r>
        <w:rPr>
          <w:rFonts w:hint="eastAsia" w:ascii="宋体" w:hAnsi="宋体" w:cs="宋体"/>
          <w:color w:val="auto"/>
          <w:szCs w:val="21"/>
          <w:highlight w:val="none"/>
          <w:u w:val="single"/>
        </w:rPr>
        <w:t xml:space="preserve">                         </w:t>
      </w:r>
    </w:p>
    <w:p w14:paraId="0E8FAB63">
      <w:pPr>
        <w:spacing w:line="320" w:lineRule="exact"/>
        <w:ind w:firstLine="435"/>
        <w:rPr>
          <w:rFonts w:ascii="宋体" w:hAnsi="宋体" w:cs="宋体"/>
          <w:color w:val="auto"/>
          <w:szCs w:val="21"/>
          <w:highlight w:val="none"/>
        </w:rPr>
      </w:pPr>
    </w:p>
    <w:p w14:paraId="21122B56">
      <w:pPr>
        <w:spacing w:line="320" w:lineRule="exact"/>
        <w:ind w:firstLine="435"/>
        <w:rPr>
          <w:rFonts w:ascii="宋体" w:hAnsi="宋体" w:cs="宋体"/>
          <w:color w:val="auto"/>
          <w:szCs w:val="21"/>
          <w:highlight w:val="none"/>
        </w:rPr>
      </w:pPr>
      <w:r>
        <w:rPr>
          <w:rFonts w:hint="eastAsia" w:ascii="宋体" w:hAnsi="宋体" w:cs="宋体"/>
          <w:color w:val="auto"/>
          <w:szCs w:val="21"/>
          <w:highlight w:val="none"/>
        </w:rPr>
        <w:t>职        务：</w:t>
      </w:r>
      <w:r>
        <w:rPr>
          <w:rFonts w:hint="eastAsia" w:ascii="宋体" w:hAnsi="宋体" w:cs="宋体"/>
          <w:color w:val="auto"/>
          <w:szCs w:val="21"/>
          <w:highlight w:val="none"/>
          <w:u w:val="single"/>
        </w:rPr>
        <w:t xml:space="preserve">                             </w:t>
      </w:r>
    </w:p>
    <w:p w14:paraId="5FA89E06">
      <w:pPr>
        <w:spacing w:line="320" w:lineRule="exact"/>
        <w:ind w:firstLine="435"/>
        <w:rPr>
          <w:rFonts w:ascii="宋体" w:hAnsi="宋体" w:cs="宋体"/>
          <w:color w:val="auto"/>
          <w:szCs w:val="21"/>
          <w:highlight w:val="none"/>
        </w:rPr>
      </w:pPr>
    </w:p>
    <w:p w14:paraId="02D57CBE">
      <w:pPr>
        <w:spacing w:line="320" w:lineRule="exact"/>
        <w:ind w:firstLine="435"/>
        <w:rPr>
          <w:rFonts w:ascii="宋体" w:hAnsi="宋体" w:cs="宋体"/>
          <w:color w:val="auto"/>
          <w:szCs w:val="21"/>
          <w:highlight w:val="none"/>
        </w:rPr>
      </w:pPr>
      <w:r>
        <w:rPr>
          <w:rFonts w:hint="eastAsia" w:ascii="宋体" w:hAnsi="宋体" w:cs="宋体"/>
          <w:color w:val="auto"/>
          <w:szCs w:val="21"/>
          <w:highlight w:val="none"/>
        </w:rPr>
        <w:t>日        期：</w:t>
      </w:r>
      <w:r>
        <w:rPr>
          <w:rFonts w:hint="eastAsia" w:ascii="宋体" w:hAnsi="宋体" w:cs="宋体"/>
          <w:color w:val="auto"/>
          <w:szCs w:val="21"/>
          <w:highlight w:val="none"/>
          <w:u w:val="single"/>
        </w:rPr>
        <w:t xml:space="preserve">                             </w:t>
      </w:r>
    </w:p>
    <w:p w14:paraId="672F28EC">
      <w:pPr>
        <w:adjustRightInd w:val="0"/>
        <w:snapToGrid w:val="0"/>
        <w:spacing w:line="360" w:lineRule="auto"/>
        <w:ind w:right="480"/>
        <w:jc w:val="center"/>
        <w:rPr>
          <w:rFonts w:ascii="宋体" w:hAnsi="宋体" w:cs="宋体"/>
          <w:color w:val="auto"/>
          <w:kern w:val="0"/>
          <w:sz w:val="24"/>
          <w:highlight w:val="none"/>
          <w:lang w:val="zh-CN"/>
        </w:rPr>
      </w:pPr>
    </w:p>
    <w:p w14:paraId="4386F668">
      <w:pPr>
        <w:spacing w:line="400" w:lineRule="exact"/>
        <w:rPr>
          <w:rFonts w:ascii="宋体" w:hAnsi="宋体" w:cs="宋体"/>
          <w:b/>
          <w:color w:val="auto"/>
          <w:sz w:val="28"/>
          <w:highlight w:val="none"/>
        </w:rPr>
      </w:pPr>
    </w:p>
    <w:p w14:paraId="1AE1FEBC">
      <w:pPr>
        <w:spacing w:line="400" w:lineRule="exact"/>
        <w:rPr>
          <w:rFonts w:ascii="宋体" w:hAnsi="宋体" w:cs="宋体"/>
          <w:b/>
          <w:color w:val="auto"/>
          <w:sz w:val="28"/>
          <w:highlight w:val="none"/>
        </w:rPr>
      </w:pPr>
    </w:p>
    <w:p w14:paraId="145B86CD">
      <w:pPr>
        <w:spacing w:line="400" w:lineRule="exact"/>
        <w:rPr>
          <w:rFonts w:ascii="宋体" w:hAnsi="宋体" w:cs="宋体"/>
          <w:b/>
          <w:color w:val="auto"/>
          <w:sz w:val="28"/>
          <w:highlight w:val="none"/>
        </w:rPr>
      </w:pPr>
    </w:p>
    <w:p w14:paraId="1C1E56FF">
      <w:pPr>
        <w:spacing w:line="400" w:lineRule="exact"/>
        <w:rPr>
          <w:rFonts w:ascii="宋体" w:hAnsi="宋体" w:cs="宋体"/>
          <w:b/>
          <w:color w:val="auto"/>
          <w:sz w:val="28"/>
          <w:highlight w:val="none"/>
        </w:rPr>
      </w:pPr>
    </w:p>
    <w:p w14:paraId="239BBE1D">
      <w:pPr>
        <w:spacing w:line="400" w:lineRule="exact"/>
        <w:rPr>
          <w:rFonts w:ascii="宋体" w:hAnsi="宋体" w:cs="宋体"/>
          <w:b/>
          <w:color w:val="auto"/>
          <w:sz w:val="28"/>
          <w:highlight w:val="none"/>
        </w:rPr>
        <w:sectPr>
          <w:pgSz w:w="11906" w:h="16838"/>
          <w:pgMar w:top="1440" w:right="1800" w:bottom="1440" w:left="1800" w:header="851" w:footer="992" w:gutter="0"/>
          <w:cols w:space="425" w:num="1"/>
          <w:docGrid w:type="lines" w:linePitch="312" w:charSpace="0"/>
        </w:sectPr>
      </w:pPr>
    </w:p>
    <w:p w14:paraId="54D96C72">
      <w:pPr>
        <w:spacing w:line="400" w:lineRule="exact"/>
        <w:rPr>
          <w:rFonts w:ascii="宋体" w:hAnsi="宋体" w:cs="宋体"/>
          <w:bCs/>
          <w:color w:val="auto"/>
          <w:sz w:val="30"/>
          <w:szCs w:val="30"/>
          <w:highlight w:val="none"/>
        </w:rPr>
      </w:pPr>
      <w:r>
        <w:rPr>
          <w:rFonts w:hint="eastAsia" w:ascii="宋体" w:hAnsi="宋体" w:cs="宋体"/>
          <w:b/>
          <w:color w:val="auto"/>
          <w:sz w:val="28"/>
          <w:highlight w:val="none"/>
        </w:rPr>
        <w:t>附件15</w:t>
      </w:r>
    </w:p>
    <w:p w14:paraId="584BC4C5">
      <w:pPr>
        <w:spacing w:line="360" w:lineRule="auto"/>
        <w:ind w:left="480"/>
        <w:jc w:val="center"/>
        <w:rPr>
          <w:rFonts w:ascii="宋体" w:hAnsi="宋体" w:cs="宋体"/>
          <w:color w:val="auto"/>
          <w:highlight w:val="none"/>
        </w:rPr>
      </w:pPr>
      <w:r>
        <w:rPr>
          <w:rFonts w:hint="eastAsia" w:ascii="宋体" w:hAnsi="宋体" w:cs="宋体"/>
          <w:b/>
          <w:color w:val="auto"/>
          <w:sz w:val="32"/>
          <w:szCs w:val="32"/>
          <w:highlight w:val="none"/>
        </w:rPr>
        <w:t>报价明细表</w:t>
      </w:r>
    </w:p>
    <w:p w14:paraId="3E8B06DA">
      <w:pPr>
        <w:spacing w:line="360" w:lineRule="auto"/>
        <w:rPr>
          <w:rFonts w:ascii="宋体" w:hAnsi="宋体" w:cs="宋体"/>
          <w:color w:val="auto"/>
          <w:sz w:val="24"/>
          <w:highlight w:val="none"/>
        </w:rPr>
      </w:pPr>
    </w:p>
    <w:p w14:paraId="7BF09DA1">
      <w:pPr>
        <w:pStyle w:val="12"/>
        <w:spacing w:line="360" w:lineRule="auto"/>
        <w:rPr>
          <w:rFonts w:hAnsi="宋体" w:cs="宋体"/>
          <w:b/>
          <w:color w:val="auto"/>
          <w:szCs w:val="21"/>
          <w:highlight w:val="none"/>
        </w:rPr>
      </w:pPr>
      <w:r>
        <w:rPr>
          <w:rFonts w:hint="eastAsia" w:hAnsi="宋体" w:cs="宋体"/>
          <w:b/>
          <w:color w:val="auto"/>
          <w:szCs w:val="21"/>
          <w:highlight w:val="none"/>
        </w:rPr>
        <w:t>项目编号：</w:t>
      </w:r>
    </w:p>
    <w:p w14:paraId="1C424517">
      <w:pPr>
        <w:pStyle w:val="51"/>
        <w:spacing w:line="360" w:lineRule="auto"/>
        <w:ind w:right="480"/>
        <w:jc w:val="left"/>
        <w:rPr>
          <w:rFonts w:ascii="宋体" w:hAnsi="宋体" w:cs="宋体"/>
          <w:b/>
          <w:color w:val="auto"/>
          <w:szCs w:val="21"/>
          <w:highlight w:val="none"/>
        </w:rPr>
      </w:pPr>
      <w:r>
        <w:rPr>
          <w:rFonts w:hint="eastAsia" w:ascii="宋体" w:hAnsi="宋体" w:cs="宋体"/>
          <w:b/>
          <w:color w:val="auto"/>
          <w:szCs w:val="21"/>
          <w:highlight w:val="none"/>
        </w:rPr>
        <w:t>项目名称：</w:t>
      </w:r>
      <w:r>
        <w:rPr>
          <w:rFonts w:hint="eastAsia" w:ascii="宋体" w:hAnsi="宋体" w:cs="宋体"/>
          <w:color w:val="auto"/>
          <w:szCs w:val="21"/>
          <w:highlight w:val="none"/>
        </w:rPr>
        <w:t xml:space="preserve">                                     [货币单位：人民币元]</w:t>
      </w:r>
      <w:r>
        <w:rPr>
          <w:rFonts w:hint="eastAsia" w:ascii="宋体" w:hAnsi="宋体" w:cs="宋体"/>
          <w:color w:val="auto"/>
          <w:sz w:val="24"/>
          <w:highlight w:val="none"/>
        </w:rPr>
        <w:t xml:space="preserve">                             </w:t>
      </w:r>
    </w:p>
    <w:tbl>
      <w:tblPr>
        <w:tblStyle w:val="22"/>
        <w:tblW w:w="92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3263"/>
        <w:gridCol w:w="825"/>
        <w:gridCol w:w="938"/>
        <w:gridCol w:w="1162"/>
        <w:gridCol w:w="1164"/>
        <w:gridCol w:w="1040"/>
      </w:tblGrid>
      <w:tr w14:paraId="684FC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900" w:type="dxa"/>
            <w:vAlign w:val="center"/>
          </w:tcPr>
          <w:p w14:paraId="4E3DBDF0">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序号</w:t>
            </w:r>
          </w:p>
        </w:tc>
        <w:tc>
          <w:tcPr>
            <w:tcW w:w="3263" w:type="dxa"/>
            <w:vAlign w:val="center"/>
          </w:tcPr>
          <w:p w14:paraId="18E940B7">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服务内容清单</w:t>
            </w:r>
          </w:p>
        </w:tc>
        <w:tc>
          <w:tcPr>
            <w:tcW w:w="825" w:type="dxa"/>
            <w:vAlign w:val="center"/>
          </w:tcPr>
          <w:p w14:paraId="41B340AC">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数量</w:t>
            </w:r>
          </w:p>
        </w:tc>
        <w:tc>
          <w:tcPr>
            <w:tcW w:w="938" w:type="dxa"/>
            <w:vAlign w:val="center"/>
          </w:tcPr>
          <w:p w14:paraId="705436AC">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单位</w:t>
            </w:r>
          </w:p>
        </w:tc>
        <w:tc>
          <w:tcPr>
            <w:tcW w:w="1162" w:type="dxa"/>
            <w:vAlign w:val="center"/>
          </w:tcPr>
          <w:p w14:paraId="4CFC4E5D">
            <w:pPr>
              <w:spacing w:line="360" w:lineRule="auto"/>
              <w:jc w:val="center"/>
              <w:rPr>
                <w:rFonts w:hint="eastAsia" w:ascii="宋体" w:hAnsi="宋体" w:eastAsia="宋体" w:cs="宋体"/>
                <w:b/>
                <w:color w:val="auto"/>
                <w:szCs w:val="21"/>
                <w:highlight w:val="none"/>
                <w:lang w:val="en-US" w:eastAsia="zh-CN"/>
              </w:rPr>
            </w:pPr>
            <w:r>
              <w:rPr>
                <w:rFonts w:hint="eastAsia" w:ascii="宋体" w:hAnsi="宋体" w:cs="宋体"/>
                <w:b/>
                <w:color w:val="auto"/>
                <w:szCs w:val="21"/>
                <w:highlight w:val="none"/>
                <w:lang w:val="en-US" w:eastAsia="zh-CN"/>
              </w:rPr>
              <w:t>单价</w:t>
            </w:r>
          </w:p>
        </w:tc>
        <w:tc>
          <w:tcPr>
            <w:tcW w:w="1164" w:type="dxa"/>
            <w:vAlign w:val="center"/>
          </w:tcPr>
          <w:p w14:paraId="06122660">
            <w:pPr>
              <w:spacing w:line="360" w:lineRule="auto"/>
              <w:jc w:val="center"/>
              <w:rPr>
                <w:rFonts w:hint="default" w:ascii="宋体" w:hAnsi="宋体" w:cs="宋体"/>
                <w:b/>
                <w:color w:val="auto"/>
                <w:szCs w:val="21"/>
                <w:highlight w:val="none"/>
                <w:lang w:val="en-US" w:eastAsia="zh-CN"/>
              </w:rPr>
            </w:pPr>
            <w:r>
              <w:rPr>
                <w:rFonts w:hint="eastAsia" w:ascii="宋体" w:hAnsi="宋体" w:cs="宋体"/>
                <w:b/>
                <w:color w:val="auto"/>
                <w:szCs w:val="21"/>
                <w:highlight w:val="none"/>
                <w:lang w:val="en-US" w:eastAsia="zh-CN"/>
              </w:rPr>
              <w:t>小计</w:t>
            </w:r>
          </w:p>
        </w:tc>
        <w:tc>
          <w:tcPr>
            <w:tcW w:w="1040" w:type="dxa"/>
            <w:vAlign w:val="center"/>
          </w:tcPr>
          <w:p w14:paraId="1E76D56F">
            <w:pPr>
              <w:spacing w:line="360" w:lineRule="auto"/>
              <w:jc w:val="center"/>
              <w:rPr>
                <w:rFonts w:hint="default" w:ascii="宋体" w:hAnsi="宋体" w:cs="宋体"/>
                <w:b/>
                <w:color w:val="auto"/>
                <w:szCs w:val="21"/>
                <w:highlight w:val="none"/>
                <w:lang w:val="en-US" w:eastAsia="zh-CN"/>
              </w:rPr>
            </w:pPr>
            <w:r>
              <w:rPr>
                <w:rFonts w:hint="eastAsia" w:ascii="宋体" w:hAnsi="宋体" w:cs="宋体"/>
                <w:b/>
                <w:color w:val="auto"/>
                <w:szCs w:val="21"/>
                <w:highlight w:val="none"/>
                <w:lang w:val="en-US" w:eastAsia="zh-CN"/>
              </w:rPr>
              <w:t>备注</w:t>
            </w:r>
          </w:p>
        </w:tc>
      </w:tr>
      <w:tr w14:paraId="7097D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5926" w:type="dxa"/>
            <w:gridSpan w:val="4"/>
            <w:vAlign w:val="center"/>
          </w:tcPr>
          <w:p w14:paraId="4B911CFA">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互联网安全服务</w:t>
            </w:r>
          </w:p>
        </w:tc>
        <w:tc>
          <w:tcPr>
            <w:tcW w:w="1162" w:type="dxa"/>
            <w:vAlign w:val="center"/>
          </w:tcPr>
          <w:p w14:paraId="7DA211BB">
            <w:pPr>
              <w:spacing w:line="360" w:lineRule="auto"/>
              <w:jc w:val="center"/>
              <w:rPr>
                <w:rFonts w:hint="eastAsia" w:ascii="宋体" w:hAnsi="宋体" w:cs="宋体"/>
                <w:b/>
                <w:color w:val="auto"/>
                <w:szCs w:val="21"/>
                <w:highlight w:val="none"/>
              </w:rPr>
            </w:pPr>
          </w:p>
        </w:tc>
        <w:tc>
          <w:tcPr>
            <w:tcW w:w="1164" w:type="dxa"/>
            <w:vAlign w:val="center"/>
          </w:tcPr>
          <w:p w14:paraId="34CBEAD5">
            <w:pPr>
              <w:spacing w:line="360" w:lineRule="auto"/>
              <w:jc w:val="center"/>
              <w:rPr>
                <w:rFonts w:hint="eastAsia" w:ascii="宋体" w:hAnsi="宋体" w:cs="宋体"/>
                <w:b/>
                <w:color w:val="auto"/>
                <w:szCs w:val="21"/>
                <w:highlight w:val="none"/>
              </w:rPr>
            </w:pPr>
          </w:p>
        </w:tc>
        <w:tc>
          <w:tcPr>
            <w:tcW w:w="1040" w:type="dxa"/>
            <w:vAlign w:val="center"/>
          </w:tcPr>
          <w:p w14:paraId="270743E8">
            <w:pPr>
              <w:spacing w:line="360" w:lineRule="auto"/>
              <w:jc w:val="center"/>
              <w:rPr>
                <w:rFonts w:hint="eastAsia" w:ascii="宋体" w:hAnsi="宋体" w:cs="宋体"/>
                <w:b/>
                <w:color w:val="auto"/>
                <w:szCs w:val="21"/>
                <w:highlight w:val="none"/>
              </w:rPr>
            </w:pPr>
          </w:p>
        </w:tc>
      </w:tr>
      <w:tr w14:paraId="5155E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900" w:type="dxa"/>
            <w:vAlign w:val="center"/>
          </w:tcPr>
          <w:p w14:paraId="1B761807">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3263" w:type="dxa"/>
            <w:vAlign w:val="center"/>
          </w:tcPr>
          <w:p w14:paraId="374B385D">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互联网出口安全防护服务</w:t>
            </w:r>
          </w:p>
        </w:tc>
        <w:tc>
          <w:tcPr>
            <w:tcW w:w="825" w:type="dxa"/>
            <w:vAlign w:val="center"/>
          </w:tcPr>
          <w:p w14:paraId="3C20C7D4">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938" w:type="dxa"/>
            <w:vAlign w:val="center"/>
          </w:tcPr>
          <w:p w14:paraId="4D8CADCE">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套</w:t>
            </w:r>
          </w:p>
        </w:tc>
        <w:tc>
          <w:tcPr>
            <w:tcW w:w="1162" w:type="dxa"/>
            <w:vAlign w:val="center"/>
          </w:tcPr>
          <w:p w14:paraId="2D8A47D1">
            <w:pPr>
              <w:spacing w:line="360" w:lineRule="auto"/>
              <w:jc w:val="center"/>
              <w:rPr>
                <w:rFonts w:hint="eastAsia" w:ascii="宋体" w:hAnsi="宋体" w:cs="宋体"/>
                <w:color w:val="auto"/>
                <w:szCs w:val="21"/>
                <w:highlight w:val="none"/>
              </w:rPr>
            </w:pPr>
          </w:p>
        </w:tc>
        <w:tc>
          <w:tcPr>
            <w:tcW w:w="1164" w:type="dxa"/>
            <w:vAlign w:val="center"/>
          </w:tcPr>
          <w:p w14:paraId="570284ED">
            <w:pPr>
              <w:spacing w:line="360" w:lineRule="auto"/>
              <w:jc w:val="center"/>
              <w:rPr>
                <w:rFonts w:hint="eastAsia" w:ascii="宋体" w:hAnsi="宋体" w:cs="宋体"/>
                <w:color w:val="auto"/>
                <w:szCs w:val="21"/>
                <w:highlight w:val="none"/>
              </w:rPr>
            </w:pPr>
          </w:p>
        </w:tc>
        <w:tc>
          <w:tcPr>
            <w:tcW w:w="1040" w:type="dxa"/>
            <w:vAlign w:val="center"/>
          </w:tcPr>
          <w:p w14:paraId="6ECC4EFC">
            <w:pPr>
              <w:spacing w:line="360" w:lineRule="auto"/>
              <w:jc w:val="center"/>
              <w:rPr>
                <w:rFonts w:hint="eastAsia" w:ascii="宋体" w:hAnsi="宋体" w:cs="宋体"/>
                <w:color w:val="auto"/>
                <w:szCs w:val="21"/>
                <w:highlight w:val="none"/>
              </w:rPr>
            </w:pPr>
          </w:p>
        </w:tc>
      </w:tr>
      <w:tr w14:paraId="0E931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900" w:type="dxa"/>
            <w:vAlign w:val="center"/>
          </w:tcPr>
          <w:p w14:paraId="6E0E3F39">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w:t>
            </w:r>
          </w:p>
        </w:tc>
        <w:tc>
          <w:tcPr>
            <w:tcW w:w="3263" w:type="dxa"/>
            <w:vAlign w:val="center"/>
          </w:tcPr>
          <w:p w14:paraId="0E4CBD0A">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终端入网控制服务</w:t>
            </w:r>
          </w:p>
        </w:tc>
        <w:tc>
          <w:tcPr>
            <w:tcW w:w="825" w:type="dxa"/>
            <w:vAlign w:val="center"/>
          </w:tcPr>
          <w:p w14:paraId="2710294E">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938" w:type="dxa"/>
            <w:vAlign w:val="center"/>
          </w:tcPr>
          <w:p w14:paraId="007C4F71">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套</w:t>
            </w:r>
          </w:p>
        </w:tc>
        <w:tc>
          <w:tcPr>
            <w:tcW w:w="1162" w:type="dxa"/>
            <w:vAlign w:val="center"/>
          </w:tcPr>
          <w:p w14:paraId="7B21D3D5">
            <w:pPr>
              <w:spacing w:line="360" w:lineRule="auto"/>
              <w:jc w:val="center"/>
              <w:rPr>
                <w:rFonts w:hint="eastAsia" w:ascii="宋体" w:hAnsi="宋体" w:cs="宋体"/>
                <w:color w:val="auto"/>
                <w:szCs w:val="21"/>
                <w:highlight w:val="none"/>
              </w:rPr>
            </w:pPr>
          </w:p>
        </w:tc>
        <w:tc>
          <w:tcPr>
            <w:tcW w:w="1164" w:type="dxa"/>
            <w:vAlign w:val="center"/>
          </w:tcPr>
          <w:p w14:paraId="5F6A0CE2">
            <w:pPr>
              <w:spacing w:line="360" w:lineRule="auto"/>
              <w:jc w:val="center"/>
              <w:rPr>
                <w:rFonts w:hint="eastAsia" w:ascii="宋体" w:hAnsi="宋体" w:cs="宋体"/>
                <w:color w:val="auto"/>
                <w:szCs w:val="21"/>
                <w:highlight w:val="none"/>
              </w:rPr>
            </w:pPr>
          </w:p>
        </w:tc>
        <w:tc>
          <w:tcPr>
            <w:tcW w:w="1040" w:type="dxa"/>
            <w:vAlign w:val="center"/>
          </w:tcPr>
          <w:p w14:paraId="3524D6CE">
            <w:pPr>
              <w:spacing w:line="360" w:lineRule="auto"/>
              <w:jc w:val="center"/>
              <w:rPr>
                <w:rFonts w:hint="eastAsia" w:ascii="宋体" w:hAnsi="宋体" w:cs="宋体"/>
                <w:color w:val="auto"/>
                <w:szCs w:val="21"/>
                <w:highlight w:val="none"/>
              </w:rPr>
            </w:pPr>
          </w:p>
        </w:tc>
      </w:tr>
      <w:tr w14:paraId="21E67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900" w:type="dxa"/>
            <w:vAlign w:val="center"/>
          </w:tcPr>
          <w:p w14:paraId="788A1AC8">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w:t>
            </w:r>
          </w:p>
        </w:tc>
        <w:tc>
          <w:tcPr>
            <w:tcW w:w="3263" w:type="dxa"/>
            <w:vAlign w:val="center"/>
          </w:tcPr>
          <w:p w14:paraId="7D89950F">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上网行为管理服务</w:t>
            </w:r>
          </w:p>
        </w:tc>
        <w:tc>
          <w:tcPr>
            <w:tcW w:w="825" w:type="dxa"/>
            <w:vAlign w:val="center"/>
          </w:tcPr>
          <w:p w14:paraId="5B1599A8">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938" w:type="dxa"/>
            <w:vAlign w:val="center"/>
          </w:tcPr>
          <w:p w14:paraId="7A2FF109">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套</w:t>
            </w:r>
          </w:p>
        </w:tc>
        <w:tc>
          <w:tcPr>
            <w:tcW w:w="1162" w:type="dxa"/>
            <w:vAlign w:val="center"/>
          </w:tcPr>
          <w:p w14:paraId="6F76602D">
            <w:pPr>
              <w:spacing w:line="360" w:lineRule="auto"/>
              <w:jc w:val="center"/>
              <w:rPr>
                <w:rFonts w:hint="eastAsia" w:ascii="宋体" w:hAnsi="宋体" w:cs="宋体"/>
                <w:color w:val="auto"/>
                <w:szCs w:val="21"/>
                <w:highlight w:val="none"/>
              </w:rPr>
            </w:pPr>
          </w:p>
        </w:tc>
        <w:tc>
          <w:tcPr>
            <w:tcW w:w="1164" w:type="dxa"/>
            <w:vAlign w:val="center"/>
          </w:tcPr>
          <w:p w14:paraId="33903710">
            <w:pPr>
              <w:spacing w:line="360" w:lineRule="auto"/>
              <w:jc w:val="center"/>
              <w:rPr>
                <w:rFonts w:hint="eastAsia" w:ascii="宋体" w:hAnsi="宋体" w:cs="宋体"/>
                <w:color w:val="auto"/>
                <w:szCs w:val="21"/>
                <w:highlight w:val="none"/>
              </w:rPr>
            </w:pPr>
          </w:p>
        </w:tc>
        <w:tc>
          <w:tcPr>
            <w:tcW w:w="1040" w:type="dxa"/>
            <w:vAlign w:val="center"/>
          </w:tcPr>
          <w:p w14:paraId="4B7CA99D">
            <w:pPr>
              <w:spacing w:line="360" w:lineRule="auto"/>
              <w:jc w:val="center"/>
              <w:rPr>
                <w:rFonts w:hint="eastAsia" w:ascii="宋体" w:hAnsi="宋体" w:cs="宋体"/>
                <w:color w:val="auto"/>
                <w:szCs w:val="21"/>
                <w:highlight w:val="none"/>
              </w:rPr>
            </w:pPr>
          </w:p>
        </w:tc>
      </w:tr>
      <w:tr w14:paraId="3A5B9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900" w:type="dxa"/>
            <w:vAlign w:val="center"/>
          </w:tcPr>
          <w:p w14:paraId="2B1196C8">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4</w:t>
            </w:r>
          </w:p>
        </w:tc>
        <w:tc>
          <w:tcPr>
            <w:tcW w:w="3263" w:type="dxa"/>
            <w:vAlign w:val="center"/>
          </w:tcPr>
          <w:p w14:paraId="35922045">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互联网大数据安全分析服务</w:t>
            </w:r>
          </w:p>
        </w:tc>
        <w:tc>
          <w:tcPr>
            <w:tcW w:w="825" w:type="dxa"/>
            <w:vAlign w:val="center"/>
          </w:tcPr>
          <w:p w14:paraId="27701538">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938" w:type="dxa"/>
            <w:vAlign w:val="center"/>
          </w:tcPr>
          <w:p w14:paraId="3E56C955">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套</w:t>
            </w:r>
          </w:p>
        </w:tc>
        <w:tc>
          <w:tcPr>
            <w:tcW w:w="1162" w:type="dxa"/>
            <w:vAlign w:val="center"/>
          </w:tcPr>
          <w:p w14:paraId="32FD8C41">
            <w:pPr>
              <w:spacing w:line="360" w:lineRule="auto"/>
              <w:jc w:val="center"/>
              <w:rPr>
                <w:rFonts w:hint="eastAsia" w:ascii="宋体" w:hAnsi="宋体" w:cs="宋体"/>
                <w:color w:val="auto"/>
                <w:szCs w:val="21"/>
                <w:highlight w:val="none"/>
              </w:rPr>
            </w:pPr>
          </w:p>
        </w:tc>
        <w:tc>
          <w:tcPr>
            <w:tcW w:w="1164" w:type="dxa"/>
            <w:vAlign w:val="center"/>
          </w:tcPr>
          <w:p w14:paraId="2B57F06C">
            <w:pPr>
              <w:spacing w:line="360" w:lineRule="auto"/>
              <w:jc w:val="center"/>
              <w:rPr>
                <w:rFonts w:hint="eastAsia" w:ascii="宋体" w:hAnsi="宋体" w:cs="宋体"/>
                <w:color w:val="auto"/>
                <w:szCs w:val="21"/>
                <w:highlight w:val="none"/>
              </w:rPr>
            </w:pPr>
          </w:p>
        </w:tc>
        <w:tc>
          <w:tcPr>
            <w:tcW w:w="1040" w:type="dxa"/>
            <w:vAlign w:val="center"/>
          </w:tcPr>
          <w:p w14:paraId="7AD127B5">
            <w:pPr>
              <w:spacing w:line="360" w:lineRule="auto"/>
              <w:jc w:val="center"/>
              <w:rPr>
                <w:rFonts w:hint="eastAsia" w:ascii="宋体" w:hAnsi="宋体" w:cs="宋体"/>
                <w:color w:val="auto"/>
                <w:szCs w:val="21"/>
                <w:highlight w:val="none"/>
              </w:rPr>
            </w:pPr>
          </w:p>
        </w:tc>
      </w:tr>
      <w:tr w14:paraId="6AC1C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900" w:type="dxa"/>
            <w:vAlign w:val="center"/>
          </w:tcPr>
          <w:p w14:paraId="5B60A3CE">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5</w:t>
            </w:r>
          </w:p>
        </w:tc>
        <w:tc>
          <w:tcPr>
            <w:tcW w:w="3263" w:type="dxa"/>
            <w:vAlign w:val="center"/>
          </w:tcPr>
          <w:p w14:paraId="0489D989">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互联网主机安全及管理服务</w:t>
            </w:r>
          </w:p>
        </w:tc>
        <w:tc>
          <w:tcPr>
            <w:tcW w:w="825" w:type="dxa"/>
            <w:vAlign w:val="center"/>
          </w:tcPr>
          <w:p w14:paraId="5A2F2A80">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938" w:type="dxa"/>
            <w:vAlign w:val="center"/>
          </w:tcPr>
          <w:p w14:paraId="2AB28D52">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套</w:t>
            </w:r>
          </w:p>
        </w:tc>
        <w:tc>
          <w:tcPr>
            <w:tcW w:w="1162" w:type="dxa"/>
            <w:vAlign w:val="center"/>
          </w:tcPr>
          <w:p w14:paraId="472A49CE">
            <w:pPr>
              <w:spacing w:line="360" w:lineRule="auto"/>
              <w:jc w:val="center"/>
              <w:rPr>
                <w:rFonts w:hint="eastAsia" w:ascii="宋体" w:hAnsi="宋体" w:cs="宋体"/>
                <w:color w:val="auto"/>
                <w:szCs w:val="21"/>
                <w:highlight w:val="none"/>
              </w:rPr>
            </w:pPr>
          </w:p>
        </w:tc>
        <w:tc>
          <w:tcPr>
            <w:tcW w:w="1164" w:type="dxa"/>
            <w:vAlign w:val="center"/>
          </w:tcPr>
          <w:p w14:paraId="4F741407">
            <w:pPr>
              <w:spacing w:line="360" w:lineRule="auto"/>
              <w:jc w:val="center"/>
              <w:rPr>
                <w:rFonts w:hint="eastAsia" w:ascii="宋体" w:hAnsi="宋体" w:cs="宋体"/>
                <w:color w:val="auto"/>
                <w:szCs w:val="21"/>
                <w:highlight w:val="none"/>
              </w:rPr>
            </w:pPr>
          </w:p>
        </w:tc>
        <w:tc>
          <w:tcPr>
            <w:tcW w:w="1040" w:type="dxa"/>
            <w:vAlign w:val="center"/>
          </w:tcPr>
          <w:p w14:paraId="7FE312F4">
            <w:pPr>
              <w:spacing w:line="360" w:lineRule="auto"/>
              <w:jc w:val="center"/>
              <w:rPr>
                <w:rFonts w:hint="eastAsia" w:ascii="宋体" w:hAnsi="宋体" w:cs="宋体"/>
                <w:color w:val="auto"/>
                <w:szCs w:val="21"/>
                <w:highlight w:val="none"/>
              </w:rPr>
            </w:pPr>
          </w:p>
        </w:tc>
      </w:tr>
      <w:tr w14:paraId="1B1FE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5926" w:type="dxa"/>
            <w:gridSpan w:val="4"/>
            <w:vAlign w:val="center"/>
          </w:tcPr>
          <w:p w14:paraId="6C37C0B9">
            <w:pPr>
              <w:spacing w:line="360" w:lineRule="auto"/>
              <w:jc w:val="center"/>
              <w:rPr>
                <w:rFonts w:ascii="宋体" w:hAnsi="宋体" w:cs="宋体"/>
                <w:color w:val="auto"/>
                <w:szCs w:val="21"/>
                <w:highlight w:val="none"/>
              </w:rPr>
            </w:pPr>
            <w:r>
              <w:rPr>
                <w:rFonts w:hint="eastAsia" w:ascii="宋体" w:hAnsi="宋体" w:cs="宋体"/>
                <w:b/>
                <w:bCs/>
                <w:color w:val="auto"/>
                <w:szCs w:val="21"/>
                <w:highlight w:val="none"/>
              </w:rPr>
              <w:t>法院专网安全服务</w:t>
            </w:r>
          </w:p>
        </w:tc>
        <w:tc>
          <w:tcPr>
            <w:tcW w:w="1162" w:type="dxa"/>
            <w:vAlign w:val="center"/>
          </w:tcPr>
          <w:p w14:paraId="25EA5745">
            <w:pPr>
              <w:spacing w:line="360" w:lineRule="auto"/>
              <w:jc w:val="center"/>
              <w:rPr>
                <w:rFonts w:hint="eastAsia" w:ascii="宋体" w:hAnsi="宋体" w:cs="宋体"/>
                <w:b/>
                <w:bCs/>
                <w:color w:val="auto"/>
                <w:szCs w:val="21"/>
                <w:highlight w:val="none"/>
              </w:rPr>
            </w:pPr>
          </w:p>
        </w:tc>
        <w:tc>
          <w:tcPr>
            <w:tcW w:w="1164" w:type="dxa"/>
            <w:vAlign w:val="center"/>
          </w:tcPr>
          <w:p w14:paraId="15B7FAC5">
            <w:pPr>
              <w:spacing w:line="360" w:lineRule="auto"/>
              <w:jc w:val="center"/>
              <w:rPr>
                <w:rFonts w:hint="eastAsia" w:ascii="宋体" w:hAnsi="宋体" w:cs="宋体"/>
                <w:b/>
                <w:bCs/>
                <w:color w:val="auto"/>
                <w:szCs w:val="21"/>
                <w:highlight w:val="none"/>
              </w:rPr>
            </w:pPr>
          </w:p>
        </w:tc>
        <w:tc>
          <w:tcPr>
            <w:tcW w:w="1040" w:type="dxa"/>
            <w:vAlign w:val="center"/>
          </w:tcPr>
          <w:p w14:paraId="30D7CBBB">
            <w:pPr>
              <w:spacing w:line="360" w:lineRule="auto"/>
              <w:jc w:val="center"/>
              <w:rPr>
                <w:rFonts w:hint="eastAsia" w:ascii="宋体" w:hAnsi="宋体" w:cs="宋体"/>
                <w:b/>
                <w:bCs/>
                <w:color w:val="auto"/>
                <w:szCs w:val="21"/>
                <w:highlight w:val="none"/>
              </w:rPr>
            </w:pPr>
          </w:p>
        </w:tc>
      </w:tr>
      <w:tr w14:paraId="09C12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900" w:type="dxa"/>
            <w:vAlign w:val="center"/>
          </w:tcPr>
          <w:p w14:paraId="5679AB19">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6</w:t>
            </w:r>
          </w:p>
        </w:tc>
        <w:tc>
          <w:tcPr>
            <w:tcW w:w="3263" w:type="dxa"/>
            <w:vAlign w:val="center"/>
          </w:tcPr>
          <w:p w14:paraId="51B57D52">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专网运维审计系统服务</w:t>
            </w:r>
          </w:p>
        </w:tc>
        <w:tc>
          <w:tcPr>
            <w:tcW w:w="825" w:type="dxa"/>
            <w:vAlign w:val="center"/>
          </w:tcPr>
          <w:p w14:paraId="1CD2A6E6">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938" w:type="dxa"/>
            <w:vAlign w:val="center"/>
          </w:tcPr>
          <w:p w14:paraId="5C1D27F7">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套</w:t>
            </w:r>
          </w:p>
        </w:tc>
        <w:tc>
          <w:tcPr>
            <w:tcW w:w="1162" w:type="dxa"/>
            <w:vAlign w:val="center"/>
          </w:tcPr>
          <w:p w14:paraId="602646BE">
            <w:pPr>
              <w:spacing w:line="360" w:lineRule="auto"/>
              <w:jc w:val="center"/>
              <w:rPr>
                <w:rFonts w:hint="eastAsia" w:ascii="宋体" w:hAnsi="宋体" w:cs="宋体"/>
                <w:color w:val="auto"/>
                <w:szCs w:val="21"/>
                <w:highlight w:val="none"/>
              </w:rPr>
            </w:pPr>
          </w:p>
        </w:tc>
        <w:tc>
          <w:tcPr>
            <w:tcW w:w="1164" w:type="dxa"/>
            <w:vAlign w:val="center"/>
          </w:tcPr>
          <w:p w14:paraId="3F7AC2E0">
            <w:pPr>
              <w:spacing w:line="360" w:lineRule="auto"/>
              <w:jc w:val="center"/>
              <w:rPr>
                <w:rFonts w:hint="eastAsia" w:ascii="宋体" w:hAnsi="宋体" w:cs="宋体"/>
                <w:color w:val="auto"/>
                <w:szCs w:val="21"/>
                <w:highlight w:val="none"/>
              </w:rPr>
            </w:pPr>
          </w:p>
        </w:tc>
        <w:tc>
          <w:tcPr>
            <w:tcW w:w="1040" w:type="dxa"/>
            <w:vAlign w:val="center"/>
          </w:tcPr>
          <w:p w14:paraId="2E80C19C">
            <w:pPr>
              <w:spacing w:line="360" w:lineRule="auto"/>
              <w:jc w:val="center"/>
              <w:rPr>
                <w:rFonts w:hint="eastAsia" w:ascii="宋体" w:hAnsi="宋体" w:cs="宋体"/>
                <w:color w:val="auto"/>
                <w:szCs w:val="21"/>
                <w:highlight w:val="none"/>
              </w:rPr>
            </w:pPr>
          </w:p>
        </w:tc>
      </w:tr>
      <w:tr w14:paraId="0B59C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900" w:type="dxa"/>
            <w:vAlign w:val="center"/>
          </w:tcPr>
          <w:p w14:paraId="5FE1DF14">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7</w:t>
            </w:r>
          </w:p>
        </w:tc>
        <w:tc>
          <w:tcPr>
            <w:tcW w:w="3263" w:type="dxa"/>
            <w:vAlign w:val="center"/>
          </w:tcPr>
          <w:p w14:paraId="57B269E6">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专网综合日志审计系统服务</w:t>
            </w:r>
          </w:p>
        </w:tc>
        <w:tc>
          <w:tcPr>
            <w:tcW w:w="825" w:type="dxa"/>
            <w:vAlign w:val="center"/>
          </w:tcPr>
          <w:p w14:paraId="5A3BDBE2">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938" w:type="dxa"/>
            <w:vAlign w:val="center"/>
          </w:tcPr>
          <w:p w14:paraId="0FEB972B">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套</w:t>
            </w:r>
          </w:p>
        </w:tc>
        <w:tc>
          <w:tcPr>
            <w:tcW w:w="1162" w:type="dxa"/>
            <w:vAlign w:val="center"/>
          </w:tcPr>
          <w:p w14:paraId="755C1CFB">
            <w:pPr>
              <w:spacing w:line="360" w:lineRule="auto"/>
              <w:jc w:val="center"/>
              <w:rPr>
                <w:rFonts w:hint="eastAsia" w:ascii="宋体" w:hAnsi="宋体" w:cs="宋体"/>
                <w:color w:val="auto"/>
                <w:szCs w:val="21"/>
                <w:highlight w:val="none"/>
              </w:rPr>
            </w:pPr>
          </w:p>
        </w:tc>
        <w:tc>
          <w:tcPr>
            <w:tcW w:w="1164" w:type="dxa"/>
            <w:vAlign w:val="center"/>
          </w:tcPr>
          <w:p w14:paraId="53553CCC">
            <w:pPr>
              <w:spacing w:line="360" w:lineRule="auto"/>
              <w:jc w:val="center"/>
              <w:rPr>
                <w:rFonts w:hint="eastAsia" w:ascii="宋体" w:hAnsi="宋体" w:cs="宋体"/>
                <w:color w:val="auto"/>
                <w:szCs w:val="21"/>
                <w:highlight w:val="none"/>
              </w:rPr>
            </w:pPr>
          </w:p>
        </w:tc>
        <w:tc>
          <w:tcPr>
            <w:tcW w:w="1040" w:type="dxa"/>
            <w:vAlign w:val="center"/>
          </w:tcPr>
          <w:p w14:paraId="0BE86FB1">
            <w:pPr>
              <w:spacing w:line="360" w:lineRule="auto"/>
              <w:jc w:val="center"/>
              <w:rPr>
                <w:rFonts w:hint="eastAsia" w:ascii="宋体" w:hAnsi="宋体" w:cs="宋体"/>
                <w:color w:val="auto"/>
                <w:szCs w:val="21"/>
                <w:highlight w:val="none"/>
              </w:rPr>
            </w:pPr>
          </w:p>
        </w:tc>
      </w:tr>
      <w:tr w14:paraId="15F12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900" w:type="dxa"/>
            <w:vAlign w:val="center"/>
          </w:tcPr>
          <w:p w14:paraId="6D34FC40">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8</w:t>
            </w:r>
          </w:p>
        </w:tc>
        <w:tc>
          <w:tcPr>
            <w:tcW w:w="3263" w:type="dxa"/>
            <w:vAlign w:val="center"/>
          </w:tcPr>
          <w:p w14:paraId="13F62CEA">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专网APT预警平台服务</w:t>
            </w:r>
          </w:p>
        </w:tc>
        <w:tc>
          <w:tcPr>
            <w:tcW w:w="825" w:type="dxa"/>
            <w:vAlign w:val="center"/>
          </w:tcPr>
          <w:p w14:paraId="46764283">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938" w:type="dxa"/>
            <w:vAlign w:val="center"/>
          </w:tcPr>
          <w:p w14:paraId="2FB1D7F1">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套</w:t>
            </w:r>
          </w:p>
        </w:tc>
        <w:tc>
          <w:tcPr>
            <w:tcW w:w="1162" w:type="dxa"/>
            <w:vAlign w:val="center"/>
          </w:tcPr>
          <w:p w14:paraId="29C8B0E2">
            <w:pPr>
              <w:spacing w:line="360" w:lineRule="auto"/>
              <w:jc w:val="center"/>
              <w:rPr>
                <w:rFonts w:hint="eastAsia" w:ascii="宋体" w:hAnsi="宋体" w:cs="宋体"/>
                <w:color w:val="auto"/>
                <w:szCs w:val="21"/>
                <w:highlight w:val="none"/>
              </w:rPr>
            </w:pPr>
          </w:p>
        </w:tc>
        <w:tc>
          <w:tcPr>
            <w:tcW w:w="1164" w:type="dxa"/>
            <w:vAlign w:val="center"/>
          </w:tcPr>
          <w:p w14:paraId="36635EC3">
            <w:pPr>
              <w:spacing w:line="360" w:lineRule="auto"/>
              <w:jc w:val="center"/>
              <w:rPr>
                <w:rFonts w:hint="eastAsia" w:ascii="宋体" w:hAnsi="宋体" w:cs="宋体"/>
                <w:color w:val="auto"/>
                <w:szCs w:val="21"/>
                <w:highlight w:val="none"/>
              </w:rPr>
            </w:pPr>
          </w:p>
        </w:tc>
        <w:tc>
          <w:tcPr>
            <w:tcW w:w="1040" w:type="dxa"/>
            <w:vAlign w:val="center"/>
          </w:tcPr>
          <w:p w14:paraId="09297E6F">
            <w:pPr>
              <w:spacing w:line="360" w:lineRule="auto"/>
              <w:jc w:val="center"/>
              <w:rPr>
                <w:rFonts w:hint="eastAsia" w:ascii="宋体" w:hAnsi="宋体" w:cs="宋体"/>
                <w:color w:val="auto"/>
                <w:szCs w:val="21"/>
                <w:highlight w:val="none"/>
              </w:rPr>
            </w:pPr>
          </w:p>
        </w:tc>
      </w:tr>
      <w:tr w14:paraId="655EC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900" w:type="dxa"/>
            <w:vAlign w:val="center"/>
          </w:tcPr>
          <w:p w14:paraId="1C33C561">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9</w:t>
            </w:r>
          </w:p>
        </w:tc>
        <w:tc>
          <w:tcPr>
            <w:tcW w:w="3263" w:type="dxa"/>
            <w:vAlign w:val="center"/>
          </w:tcPr>
          <w:p w14:paraId="1E004C0E">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专网大数据安全管理平台服务</w:t>
            </w:r>
          </w:p>
        </w:tc>
        <w:tc>
          <w:tcPr>
            <w:tcW w:w="825" w:type="dxa"/>
            <w:vAlign w:val="center"/>
          </w:tcPr>
          <w:p w14:paraId="63F9EF9E">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938" w:type="dxa"/>
            <w:vAlign w:val="center"/>
          </w:tcPr>
          <w:p w14:paraId="28AC1278">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套</w:t>
            </w:r>
          </w:p>
        </w:tc>
        <w:tc>
          <w:tcPr>
            <w:tcW w:w="1162" w:type="dxa"/>
            <w:vAlign w:val="center"/>
          </w:tcPr>
          <w:p w14:paraId="3DFF6819">
            <w:pPr>
              <w:spacing w:line="360" w:lineRule="auto"/>
              <w:jc w:val="center"/>
              <w:rPr>
                <w:rFonts w:hint="eastAsia" w:ascii="宋体" w:hAnsi="宋体" w:cs="宋体"/>
                <w:color w:val="auto"/>
                <w:szCs w:val="21"/>
                <w:highlight w:val="none"/>
              </w:rPr>
            </w:pPr>
          </w:p>
        </w:tc>
        <w:tc>
          <w:tcPr>
            <w:tcW w:w="1164" w:type="dxa"/>
            <w:vAlign w:val="center"/>
          </w:tcPr>
          <w:p w14:paraId="258ADCA6">
            <w:pPr>
              <w:spacing w:line="360" w:lineRule="auto"/>
              <w:jc w:val="center"/>
              <w:rPr>
                <w:rFonts w:hint="eastAsia" w:ascii="宋体" w:hAnsi="宋体" w:cs="宋体"/>
                <w:color w:val="auto"/>
                <w:szCs w:val="21"/>
                <w:highlight w:val="none"/>
              </w:rPr>
            </w:pPr>
          </w:p>
        </w:tc>
        <w:tc>
          <w:tcPr>
            <w:tcW w:w="1040" w:type="dxa"/>
            <w:vAlign w:val="center"/>
          </w:tcPr>
          <w:p w14:paraId="2E649677">
            <w:pPr>
              <w:spacing w:line="360" w:lineRule="auto"/>
              <w:jc w:val="center"/>
              <w:rPr>
                <w:rFonts w:hint="eastAsia" w:ascii="宋体" w:hAnsi="宋体" w:cs="宋体"/>
                <w:color w:val="auto"/>
                <w:szCs w:val="21"/>
                <w:highlight w:val="none"/>
              </w:rPr>
            </w:pPr>
          </w:p>
        </w:tc>
      </w:tr>
      <w:tr w14:paraId="275E9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900" w:type="dxa"/>
            <w:vAlign w:val="center"/>
          </w:tcPr>
          <w:p w14:paraId="6476E873">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10</w:t>
            </w:r>
          </w:p>
        </w:tc>
        <w:tc>
          <w:tcPr>
            <w:tcW w:w="3263" w:type="dxa"/>
            <w:vAlign w:val="center"/>
          </w:tcPr>
          <w:p w14:paraId="70720EB0">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专网数据库审计服务</w:t>
            </w:r>
          </w:p>
        </w:tc>
        <w:tc>
          <w:tcPr>
            <w:tcW w:w="825" w:type="dxa"/>
            <w:vAlign w:val="center"/>
          </w:tcPr>
          <w:p w14:paraId="4008FF22">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938" w:type="dxa"/>
            <w:vAlign w:val="center"/>
          </w:tcPr>
          <w:p w14:paraId="26AA8DDC">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套</w:t>
            </w:r>
          </w:p>
        </w:tc>
        <w:tc>
          <w:tcPr>
            <w:tcW w:w="1162" w:type="dxa"/>
            <w:vAlign w:val="center"/>
          </w:tcPr>
          <w:p w14:paraId="13B3B301">
            <w:pPr>
              <w:spacing w:line="360" w:lineRule="auto"/>
              <w:jc w:val="center"/>
              <w:rPr>
                <w:rFonts w:hint="eastAsia" w:ascii="宋体" w:hAnsi="宋体" w:cs="宋体"/>
                <w:color w:val="auto"/>
                <w:szCs w:val="21"/>
                <w:highlight w:val="none"/>
              </w:rPr>
            </w:pPr>
          </w:p>
        </w:tc>
        <w:tc>
          <w:tcPr>
            <w:tcW w:w="1164" w:type="dxa"/>
            <w:vAlign w:val="center"/>
          </w:tcPr>
          <w:p w14:paraId="5B7E65BE">
            <w:pPr>
              <w:spacing w:line="360" w:lineRule="auto"/>
              <w:jc w:val="center"/>
              <w:rPr>
                <w:rFonts w:hint="eastAsia" w:ascii="宋体" w:hAnsi="宋体" w:cs="宋体"/>
                <w:color w:val="auto"/>
                <w:szCs w:val="21"/>
                <w:highlight w:val="none"/>
              </w:rPr>
            </w:pPr>
          </w:p>
        </w:tc>
        <w:tc>
          <w:tcPr>
            <w:tcW w:w="1040" w:type="dxa"/>
            <w:vAlign w:val="center"/>
          </w:tcPr>
          <w:p w14:paraId="18FE2747">
            <w:pPr>
              <w:spacing w:line="360" w:lineRule="auto"/>
              <w:jc w:val="center"/>
              <w:rPr>
                <w:rFonts w:hint="eastAsia" w:ascii="宋体" w:hAnsi="宋体" w:cs="宋体"/>
                <w:color w:val="auto"/>
                <w:szCs w:val="21"/>
                <w:highlight w:val="none"/>
              </w:rPr>
            </w:pPr>
          </w:p>
        </w:tc>
      </w:tr>
      <w:tr w14:paraId="7BAF4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900" w:type="dxa"/>
            <w:vAlign w:val="center"/>
          </w:tcPr>
          <w:p w14:paraId="001F8469">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11</w:t>
            </w:r>
          </w:p>
        </w:tc>
        <w:tc>
          <w:tcPr>
            <w:tcW w:w="3263" w:type="dxa"/>
            <w:vAlign w:val="center"/>
          </w:tcPr>
          <w:p w14:paraId="42E1C065">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威胁情报分析服务</w:t>
            </w:r>
          </w:p>
        </w:tc>
        <w:tc>
          <w:tcPr>
            <w:tcW w:w="825" w:type="dxa"/>
            <w:vAlign w:val="center"/>
          </w:tcPr>
          <w:p w14:paraId="7FFF7CB7">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938" w:type="dxa"/>
            <w:vAlign w:val="center"/>
          </w:tcPr>
          <w:p w14:paraId="0F910A8D">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套</w:t>
            </w:r>
          </w:p>
        </w:tc>
        <w:tc>
          <w:tcPr>
            <w:tcW w:w="1162" w:type="dxa"/>
            <w:vAlign w:val="center"/>
          </w:tcPr>
          <w:p w14:paraId="4F129A9C">
            <w:pPr>
              <w:spacing w:line="360" w:lineRule="auto"/>
              <w:jc w:val="center"/>
              <w:rPr>
                <w:rFonts w:hint="eastAsia" w:ascii="宋体" w:hAnsi="宋体" w:cs="宋体"/>
                <w:color w:val="auto"/>
                <w:szCs w:val="21"/>
                <w:highlight w:val="none"/>
              </w:rPr>
            </w:pPr>
          </w:p>
        </w:tc>
        <w:tc>
          <w:tcPr>
            <w:tcW w:w="1164" w:type="dxa"/>
            <w:vAlign w:val="center"/>
          </w:tcPr>
          <w:p w14:paraId="433C6C06">
            <w:pPr>
              <w:spacing w:line="360" w:lineRule="auto"/>
              <w:jc w:val="center"/>
              <w:rPr>
                <w:rFonts w:hint="eastAsia" w:ascii="宋体" w:hAnsi="宋体" w:cs="宋体"/>
                <w:color w:val="auto"/>
                <w:szCs w:val="21"/>
                <w:highlight w:val="none"/>
              </w:rPr>
            </w:pPr>
          </w:p>
        </w:tc>
        <w:tc>
          <w:tcPr>
            <w:tcW w:w="1040" w:type="dxa"/>
            <w:vAlign w:val="center"/>
          </w:tcPr>
          <w:p w14:paraId="17CA8FC3">
            <w:pPr>
              <w:spacing w:line="360" w:lineRule="auto"/>
              <w:jc w:val="center"/>
              <w:rPr>
                <w:rFonts w:hint="eastAsia" w:ascii="宋体" w:hAnsi="宋体" w:cs="宋体"/>
                <w:color w:val="auto"/>
                <w:szCs w:val="21"/>
                <w:highlight w:val="none"/>
              </w:rPr>
            </w:pPr>
          </w:p>
        </w:tc>
      </w:tr>
      <w:tr w14:paraId="42CC6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900" w:type="dxa"/>
            <w:vAlign w:val="center"/>
          </w:tcPr>
          <w:p w14:paraId="6D78407F">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12</w:t>
            </w:r>
          </w:p>
        </w:tc>
        <w:tc>
          <w:tcPr>
            <w:tcW w:w="3263" w:type="dxa"/>
            <w:vAlign w:val="center"/>
          </w:tcPr>
          <w:p w14:paraId="498FE910">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威胁情报收集服务</w:t>
            </w:r>
          </w:p>
        </w:tc>
        <w:tc>
          <w:tcPr>
            <w:tcW w:w="825" w:type="dxa"/>
            <w:vAlign w:val="center"/>
          </w:tcPr>
          <w:p w14:paraId="2F4DFF1C">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938" w:type="dxa"/>
            <w:vAlign w:val="center"/>
          </w:tcPr>
          <w:p w14:paraId="4C6920F6">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套</w:t>
            </w:r>
          </w:p>
        </w:tc>
        <w:tc>
          <w:tcPr>
            <w:tcW w:w="1162" w:type="dxa"/>
            <w:vAlign w:val="center"/>
          </w:tcPr>
          <w:p w14:paraId="4A87A916">
            <w:pPr>
              <w:spacing w:line="360" w:lineRule="auto"/>
              <w:jc w:val="center"/>
              <w:rPr>
                <w:rFonts w:hint="eastAsia" w:ascii="宋体" w:hAnsi="宋体" w:cs="宋体"/>
                <w:color w:val="auto"/>
                <w:szCs w:val="21"/>
                <w:highlight w:val="none"/>
              </w:rPr>
            </w:pPr>
          </w:p>
        </w:tc>
        <w:tc>
          <w:tcPr>
            <w:tcW w:w="1164" w:type="dxa"/>
            <w:vAlign w:val="center"/>
          </w:tcPr>
          <w:p w14:paraId="44FA6F7A">
            <w:pPr>
              <w:spacing w:line="360" w:lineRule="auto"/>
              <w:jc w:val="center"/>
              <w:rPr>
                <w:rFonts w:hint="eastAsia" w:ascii="宋体" w:hAnsi="宋体" w:cs="宋体"/>
                <w:color w:val="auto"/>
                <w:szCs w:val="21"/>
                <w:highlight w:val="none"/>
              </w:rPr>
            </w:pPr>
          </w:p>
        </w:tc>
        <w:tc>
          <w:tcPr>
            <w:tcW w:w="1040" w:type="dxa"/>
            <w:vAlign w:val="center"/>
          </w:tcPr>
          <w:p w14:paraId="4686AA72">
            <w:pPr>
              <w:spacing w:line="360" w:lineRule="auto"/>
              <w:jc w:val="center"/>
              <w:rPr>
                <w:rFonts w:hint="eastAsia" w:ascii="宋体" w:hAnsi="宋体" w:cs="宋体"/>
                <w:color w:val="auto"/>
                <w:szCs w:val="21"/>
                <w:highlight w:val="none"/>
              </w:rPr>
            </w:pPr>
          </w:p>
        </w:tc>
      </w:tr>
      <w:tr w14:paraId="4D952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900" w:type="dxa"/>
            <w:vAlign w:val="center"/>
          </w:tcPr>
          <w:p w14:paraId="1673602B">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13</w:t>
            </w:r>
          </w:p>
        </w:tc>
        <w:tc>
          <w:tcPr>
            <w:tcW w:w="3263" w:type="dxa"/>
            <w:vAlign w:val="center"/>
          </w:tcPr>
          <w:p w14:paraId="2A8B9483">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安全准入服务</w:t>
            </w:r>
          </w:p>
        </w:tc>
        <w:tc>
          <w:tcPr>
            <w:tcW w:w="825" w:type="dxa"/>
            <w:vAlign w:val="center"/>
          </w:tcPr>
          <w:p w14:paraId="6D2E07A5">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938" w:type="dxa"/>
            <w:vAlign w:val="center"/>
          </w:tcPr>
          <w:p w14:paraId="3CBD4F8D">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套</w:t>
            </w:r>
          </w:p>
        </w:tc>
        <w:tc>
          <w:tcPr>
            <w:tcW w:w="1162" w:type="dxa"/>
            <w:vAlign w:val="center"/>
          </w:tcPr>
          <w:p w14:paraId="767CCC6E">
            <w:pPr>
              <w:spacing w:line="360" w:lineRule="auto"/>
              <w:jc w:val="center"/>
              <w:rPr>
                <w:rFonts w:hint="eastAsia" w:ascii="宋体" w:hAnsi="宋体" w:cs="宋体"/>
                <w:color w:val="auto"/>
                <w:szCs w:val="21"/>
                <w:highlight w:val="none"/>
              </w:rPr>
            </w:pPr>
          </w:p>
        </w:tc>
        <w:tc>
          <w:tcPr>
            <w:tcW w:w="1164" w:type="dxa"/>
            <w:vAlign w:val="center"/>
          </w:tcPr>
          <w:p w14:paraId="411E0424">
            <w:pPr>
              <w:spacing w:line="360" w:lineRule="auto"/>
              <w:jc w:val="center"/>
              <w:rPr>
                <w:rFonts w:hint="eastAsia" w:ascii="宋体" w:hAnsi="宋体" w:cs="宋体"/>
                <w:color w:val="auto"/>
                <w:szCs w:val="21"/>
                <w:highlight w:val="none"/>
              </w:rPr>
            </w:pPr>
          </w:p>
        </w:tc>
        <w:tc>
          <w:tcPr>
            <w:tcW w:w="1040" w:type="dxa"/>
            <w:vAlign w:val="center"/>
          </w:tcPr>
          <w:p w14:paraId="1436813B">
            <w:pPr>
              <w:spacing w:line="360" w:lineRule="auto"/>
              <w:jc w:val="center"/>
              <w:rPr>
                <w:rFonts w:hint="eastAsia" w:ascii="宋体" w:hAnsi="宋体" w:cs="宋体"/>
                <w:color w:val="auto"/>
                <w:szCs w:val="21"/>
                <w:highlight w:val="none"/>
              </w:rPr>
            </w:pPr>
          </w:p>
        </w:tc>
      </w:tr>
      <w:tr w14:paraId="161F0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5926" w:type="dxa"/>
            <w:gridSpan w:val="4"/>
            <w:vAlign w:val="center"/>
          </w:tcPr>
          <w:p w14:paraId="006365B2">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其他安全服务</w:t>
            </w:r>
          </w:p>
        </w:tc>
        <w:tc>
          <w:tcPr>
            <w:tcW w:w="1162" w:type="dxa"/>
            <w:vAlign w:val="center"/>
          </w:tcPr>
          <w:p w14:paraId="5606D2CF">
            <w:pPr>
              <w:spacing w:line="360" w:lineRule="auto"/>
              <w:jc w:val="center"/>
              <w:rPr>
                <w:rFonts w:hint="eastAsia" w:ascii="宋体" w:hAnsi="宋体" w:cs="宋体"/>
                <w:b/>
                <w:color w:val="auto"/>
                <w:szCs w:val="21"/>
                <w:highlight w:val="none"/>
              </w:rPr>
            </w:pPr>
          </w:p>
        </w:tc>
        <w:tc>
          <w:tcPr>
            <w:tcW w:w="1164" w:type="dxa"/>
            <w:vAlign w:val="center"/>
          </w:tcPr>
          <w:p w14:paraId="18766D7C">
            <w:pPr>
              <w:spacing w:line="360" w:lineRule="auto"/>
              <w:jc w:val="center"/>
              <w:rPr>
                <w:rFonts w:hint="eastAsia" w:ascii="宋体" w:hAnsi="宋体" w:cs="宋体"/>
                <w:b/>
                <w:color w:val="auto"/>
                <w:szCs w:val="21"/>
                <w:highlight w:val="none"/>
              </w:rPr>
            </w:pPr>
          </w:p>
        </w:tc>
        <w:tc>
          <w:tcPr>
            <w:tcW w:w="1040" w:type="dxa"/>
            <w:vAlign w:val="center"/>
          </w:tcPr>
          <w:p w14:paraId="65CBF1E5">
            <w:pPr>
              <w:spacing w:line="360" w:lineRule="auto"/>
              <w:jc w:val="center"/>
              <w:rPr>
                <w:rFonts w:hint="eastAsia" w:ascii="宋体" w:hAnsi="宋体" w:cs="宋体"/>
                <w:b/>
                <w:color w:val="auto"/>
                <w:szCs w:val="21"/>
                <w:highlight w:val="none"/>
              </w:rPr>
            </w:pPr>
          </w:p>
        </w:tc>
      </w:tr>
      <w:tr w14:paraId="558D6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900" w:type="dxa"/>
            <w:vAlign w:val="center"/>
          </w:tcPr>
          <w:p w14:paraId="5E4E9996">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14</w:t>
            </w:r>
          </w:p>
        </w:tc>
        <w:tc>
          <w:tcPr>
            <w:tcW w:w="3263" w:type="dxa"/>
            <w:vAlign w:val="center"/>
          </w:tcPr>
          <w:p w14:paraId="64A3CD24">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安全培训服务</w:t>
            </w:r>
          </w:p>
        </w:tc>
        <w:tc>
          <w:tcPr>
            <w:tcW w:w="825" w:type="dxa"/>
            <w:vAlign w:val="center"/>
          </w:tcPr>
          <w:p w14:paraId="21B44162">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938" w:type="dxa"/>
            <w:vAlign w:val="top"/>
          </w:tcPr>
          <w:p w14:paraId="52BBB508">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年</w:t>
            </w:r>
          </w:p>
        </w:tc>
        <w:tc>
          <w:tcPr>
            <w:tcW w:w="1162" w:type="dxa"/>
          </w:tcPr>
          <w:p w14:paraId="0AD1D3C5">
            <w:pPr>
              <w:spacing w:line="360" w:lineRule="auto"/>
              <w:jc w:val="center"/>
              <w:rPr>
                <w:rFonts w:hint="eastAsia" w:ascii="宋体" w:hAnsi="宋体" w:cs="宋体"/>
                <w:color w:val="auto"/>
                <w:szCs w:val="21"/>
                <w:highlight w:val="none"/>
              </w:rPr>
            </w:pPr>
          </w:p>
        </w:tc>
        <w:tc>
          <w:tcPr>
            <w:tcW w:w="1164" w:type="dxa"/>
          </w:tcPr>
          <w:p w14:paraId="630B019F">
            <w:pPr>
              <w:spacing w:line="360" w:lineRule="auto"/>
              <w:jc w:val="center"/>
              <w:rPr>
                <w:rFonts w:hint="eastAsia" w:ascii="宋体" w:hAnsi="宋体" w:cs="宋体"/>
                <w:color w:val="auto"/>
                <w:szCs w:val="21"/>
                <w:highlight w:val="none"/>
              </w:rPr>
            </w:pPr>
          </w:p>
        </w:tc>
        <w:tc>
          <w:tcPr>
            <w:tcW w:w="1040" w:type="dxa"/>
          </w:tcPr>
          <w:p w14:paraId="752611D4">
            <w:pPr>
              <w:spacing w:line="360" w:lineRule="auto"/>
              <w:jc w:val="center"/>
              <w:rPr>
                <w:rFonts w:hint="eastAsia" w:ascii="宋体" w:hAnsi="宋体" w:cs="宋体"/>
                <w:color w:val="auto"/>
                <w:szCs w:val="21"/>
                <w:highlight w:val="none"/>
              </w:rPr>
            </w:pPr>
          </w:p>
        </w:tc>
      </w:tr>
      <w:tr w14:paraId="0BBB9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900" w:type="dxa"/>
            <w:vAlign w:val="center"/>
          </w:tcPr>
          <w:p w14:paraId="57F70991">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15</w:t>
            </w:r>
          </w:p>
        </w:tc>
        <w:tc>
          <w:tcPr>
            <w:tcW w:w="3263" w:type="dxa"/>
            <w:vAlign w:val="center"/>
          </w:tcPr>
          <w:p w14:paraId="532E5F7A">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应急演练服务</w:t>
            </w:r>
          </w:p>
        </w:tc>
        <w:tc>
          <w:tcPr>
            <w:tcW w:w="825" w:type="dxa"/>
            <w:vAlign w:val="center"/>
          </w:tcPr>
          <w:p w14:paraId="30779FAC">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938" w:type="dxa"/>
            <w:vAlign w:val="top"/>
          </w:tcPr>
          <w:p w14:paraId="6F2BFFB1">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年</w:t>
            </w:r>
          </w:p>
        </w:tc>
        <w:tc>
          <w:tcPr>
            <w:tcW w:w="1162" w:type="dxa"/>
          </w:tcPr>
          <w:p w14:paraId="5F550B74">
            <w:pPr>
              <w:spacing w:line="360" w:lineRule="auto"/>
              <w:jc w:val="center"/>
              <w:rPr>
                <w:rFonts w:hint="eastAsia" w:ascii="宋体" w:hAnsi="宋体" w:cs="宋体"/>
                <w:color w:val="auto"/>
                <w:szCs w:val="21"/>
                <w:highlight w:val="none"/>
              </w:rPr>
            </w:pPr>
          </w:p>
        </w:tc>
        <w:tc>
          <w:tcPr>
            <w:tcW w:w="1164" w:type="dxa"/>
          </w:tcPr>
          <w:p w14:paraId="420AE343">
            <w:pPr>
              <w:spacing w:line="360" w:lineRule="auto"/>
              <w:jc w:val="center"/>
              <w:rPr>
                <w:rFonts w:hint="eastAsia" w:ascii="宋体" w:hAnsi="宋体" w:cs="宋体"/>
                <w:color w:val="auto"/>
                <w:szCs w:val="21"/>
                <w:highlight w:val="none"/>
              </w:rPr>
            </w:pPr>
          </w:p>
        </w:tc>
        <w:tc>
          <w:tcPr>
            <w:tcW w:w="1040" w:type="dxa"/>
          </w:tcPr>
          <w:p w14:paraId="100B98A5">
            <w:pPr>
              <w:spacing w:line="360" w:lineRule="auto"/>
              <w:jc w:val="center"/>
              <w:rPr>
                <w:rFonts w:hint="eastAsia" w:ascii="宋体" w:hAnsi="宋体" w:cs="宋体"/>
                <w:color w:val="auto"/>
                <w:szCs w:val="21"/>
                <w:highlight w:val="none"/>
              </w:rPr>
            </w:pPr>
          </w:p>
        </w:tc>
      </w:tr>
      <w:tr w14:paraId="3D058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900" w:type="dxa"/>
            <w:vAlign w:val="center"/>
          </w:tcPr>
          <w:p w14:paraId="361F636C">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16</w:t>
            </w:r>
          </w:p>
        </w:tc>
        <w:tc>
          <w:tcPr>
            <w:tcW w:w="3263" w:type="dxa"/>
            <w:vAlign w:val="center"/>
          </w:tcPr>
          <w:p w14:paraId="4455601C">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网络安全专项检查服务</w:t>
            </w:r>
          </w:p>
        </w:tc>
        <w:tc>
          <w:tcPr>
            <w:tcW w:w="825" w:type="dxa"/>
            <w:vAlign w:val="center"/>
          </w:tcPr>
          <w:p w14:paraId="6075EB5F">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938" w:type="dxa"/>
            <w:vAlign w:val="top"/>
          </w:tcPr>
          <w:p w14:paraId="7DB7AFBE">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年</w:t>
            </w:r>
          </w:p>
        </w:tc>
        <w:tc>
          <w:tcPr>
            <w:tcW w:w="1162" w:type="dxa"/>
          </w:tcPr>
          <w:p w14:paraId="17E26BFD">
            <w:pPr>
              <w:spacing w:line="360" w:lineRule="auto"/>
              <w:jc w:val="center"/>
              <w:rPr>
                <w:rFonts w:hint="eastAsia" w:ascii="宋体" w:hAnsi="宋体" w:cs="宋体"/>
                <w:color w:val="auto"/>
                <w:szCs w:val="21"/>
                <w:highlight w:val="none"/>
              </w:rPr>
            </w:pPr>
          </w:p>
        </w:tc>
        <w:tc>
          <w:tcPr>
            <w:tcW w:w="1164" w:type="dxa"/>
          </w:tcPr>
          <w:p w14:paraId="6FE90BF6">
            <w:pPr>
              <w:spacing w:line="360" w:lineRule="auto"/>
              <w:jc w:val="center"/>
              <w:rPr>
                <w:rFonts w:hint="eastAsia" w:ascii="宋体" w:hAnsi="宋体" w:cs="宋体"/>
                <w:color w:val="auto"/>
                <w:szCs w:val="21"/>
                <w:highlight w:val="none"/>
              </w:rPr>
            </w:pPr>
          </w:p>
        </w:tc>
        <w:tc>
          <w:tcPr>
            <w:tcW w:w="1040" w:type="dxa"/>
          </w:tcPr>
          <w:p w14:paraId="32BDC3F6">
            <w:pPr>
              <w:spacing w:line="360" w:lineRule="auto"/>
              <w:jc w:val="center"/>
              <w:rPr>
                <w:rFonts w:hint="eastAsia" w:ascii="宋体" w:hAnsi="宋体" w:cs="宋体"/>
                <w:color w:val="auto"/>
                <w:szCs w:val="21"/>
                <w:highlight w:val="none"/>
              </w:rPr>
            </w:pPr>
          </w:p>
        </w:tc>
      </w:tr>
      <w:tr w14:paraId="57870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900" w:type="dxa"/>
            <w:vAlign w:val="center"/>
          </w:tcPr>
          <w:p w14:paraId="0C131B82">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17</w:t>
            </w:r>
          </w:p>
        </w:tc>
        <w:tc>
          <w:tcPr>
            <w:tcW w:w="3263" w:type="dxa"/>
            <w:vAlign w:val="center"/>
          </w:tcPr>
          <w:p w14:paraId="1EF46FDA">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漏洞扫描服务</w:t>
            </w:r>
          </w:p>
        </w:tc>
        <w:tc>
          <w:tcPr>
            <w:tcW w:w="825" w:type="dxa"/>
            <w:vAlign w:val="center"/>
          </w:tcPr>
          <w:p w14:paraId="26095D18">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938" w:type="dxa"/>
            <w:vAlign w:val="top"/>
          </w:tcPr>
          <w:p w14:paraId="0BD0ACB2">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年</w:t>
            </w:r>
          </w:p>
        </w:tc>
        <w:tc>
          <w:tcPr>
            <w:tcW w:w="1162" w:type="dxa"/>
          </w:tcPr>
          <w:p w14:paraId="54343E7B">
            <w:pPr>
              <w:spacing w:line="360" w:lineRule="auto"/>
              <w:jc w:val="center"/>
              <w:rPr>
                <w:rFonts w:hint="eastAsia" w:ascii="宋体" w:hAnsi="宋体" w:cs="宋体"/>
                <w:color w:val="auto"/>
                <w:szCs w:val="21"/>
                <w:highlight w:val="none"/>
              </w:rPr>
            </w:pPr>
          </w:p>
        </w:tc>
        <w:tc>
          <w:tcPr>
            <w:tcW w:w="1164" w:type="dxa"/>
          </w:tcPr>
          <w:p w14:paraId="53D0B20F">
            <w:pPr>
              <w:spacing w:line="360" w:lineRule="auto"/>
              <w:jc w:val="center"/>
              <w:rPr>
                <w:rFonts w:hint="eastAsia" w:ascii="宋体" w:hAnsi="宋体" w:cs="宋体"/>
                <w:color w:val="auto"/>
                <w:szCs w:val="21"/>
                <w:highlight w:val="none"/>
              </w:rPr>
            </w:pPr>
          </w:p>
        </w:tc>
        <w:tc>
          <w:tcPr>
            <w:tcW w:w="1040" w:type="dxa"/>
          </w:tcPr>
          <w:p w14:paraId="46B1F610">
            <w:pPr>
              <w:spacing w:line="360" w:lineRule="auto"/>
              <w:jc w:val="center"/>
              <w:rPr>
                <w:rFonts w:hint="eastAsia" w:ascii="宋体" w:hAnsi="宋体" w:cs="宋体"/>
                <w:color w:val="auto"/>
                <w:szCs w:val="21"/>
                <w:highlight w:val="none"/>
              </w:rPr>
            </w:pPr>
          </w:p>
        </w:tc>
      </w:tr>
      <w:tr w14:paraId="46B32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900" w:type="dxa"/>
            <w:vAlign w:val="center"/>
          </w:tcPr>
          <w:p w14:paraId="07558E4B">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18</w:t>
            </w:r>
          </w:p>
        </w:tc>
        <w:tc>
          <w:tcPr>
            <w:tcW w:w="3263" w:type="dxa"/>
            <w:vAlign w:val="center"/>
          </w:tcPr>
          <w:p w14:paraId="4CFC1039">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基线核查服务</w:t>
            </w:r>
          </w:p>
        </w:tc>
        <w:tc>
          <w:tcPr>
            <w:tcW w:w="825" w:type="dxa"/>
            <w:vAlign w:val="center"/>
          </w:tcPr>
          <w:p w14:paraId="012A2676">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938" w:type="dxa"/>
            <w:vAlign w:val="top"/>
          </w:tcPr>
          <w:p w14:paraId="50AEFA1B">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年</w:t>
            </w:r>
          </w:p>
        </w:tc>
        <w:tc>
          <w:tcPr>
            <w:tcW w:w="1162" w:type="dxa"/>
          </w:tcPr>
          <w:p w14:paraId="4CAB0EA2">
            <w:pPr>
              <w:spacing w:line="360" w:lineRule="auto"/>
              <w:jc w:val="center"/>
              <w:rPr>
                <w:rFonts w:hint="eastAsia" w:ascii="宋体" w:hAnsi="宋体" w:cs="宋体"/>
                <w:color w:val="auto"/>
                <w:szCs w:val="21"/>
                <w:highlight w:val="none"/>
              </w:rPr>
            </w:pPr>
          </w:p>
        </w:tc>
        <w:tc>
          <w:tcPr>
            <w:tcW w:w="1164" w:type="dxa"/>
          </w:tcPr>
          <w:p w14:paraId="607DF0EA">
            <w:pPr>
              <w:spacing w:line="360" w:lineRule="auto"/>
              <w:jc w:val="center"/>
              <w:rPr>
                <w:rFonts w:hint="eastAsia" w:ascii="宋体" w:hAnsi="宋体" w:cs="宋体"/>
                <w:color w:val="auto"/>
                <w:szCs w:val="21"/>
                <w:highlight w:val="none"/>
              </w:rPr>
            </w:pPr>
          </w:p>
        </w:tc>
        <w:tc>
          <w:tcPr>
            <w:tcW w:w="1040" w:type="dxa"/>
          </w:tcPr>
          <w:p w14:paraId="4D50EF6E">
            <w:pPr>
              <w:spacing w:line="360" w:lineRule="auto"/>
              <w:jc w:val="center"/>
              <w:rPr>
                <w:rFonts w:hint="eastAsia" w:ascii="宋体" w:hAnsi="宋体" w:cs="宋体"/>
                <w:color w:val="auto"/>
                <w:szCs w:val="21"/>
                <w:highlight w:val="none"/>
              </w:rPr>
            </w:pPr>
          </w:p>
        </w:tc>
      </w:tr>
      <w:tr w14:paraId="1FC5D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900" w:type="dxa"/>
            <w:vAlign w:val="center"/>
          </w:tcPr>
          <w:p w14:paraId="526D0558">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19</w:t>
            </w:r>
          </w:p>
        </w:tc>
        <w:tc>
          <w:tcPr>
            <w:tcW w:w="3263" w:type="dxa"/>
            <w:vAlign w:val="center"/>
          </w:tcPr>
          <w:p w14:paraId="175D25DC">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渗透测试服务</w:t>
            </w:r>
          </w:p>
        </w:tc>
        <w:tc>
          <w:tcPr>
            <w:tcW w:w="825" w:type="dxa"/>
            <w:vAlign w:val="center"/>
          </w:tcPr>
          <w:p w14:paraId="0FB99919">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938" w:type="dxa"/>
            <w:vAlign w:val="top"/>
          </w:tcPr>
          <w:p w14:paraId="1848F586">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年</w:t>
            </w:r>
          </w:p>
        </w:tc>
        <w:tc>
          <w:tcPr>
            <w:tcW w:w="1162" w:type="dxa"/>
          </w:tcPr>
          <w:p w14:paraId="607CE04C">
            <w:pPr>
              <w:spacing w:line="360" w:lineRule="auto"/>
              <w:jc w:val="center"/>
              <w:rPr>
                <w:rFonts w:hint="eastAsia" w:ascii="宋体" w:hAnsi="宋体" w:cs="宋体"/>
                <w:color w:val="auto"/>
                <w:szCs w:val="21"/>
                <w:highlight w:val="none"/>
              </w:rPr>
            </w:pPr>
          </w:p>
        </w:tc>
        <w:tc>
          <w:tcPr>
            <w:tcW w:w="1164" w:type="dxa"/>
          </w:tcPr>
          <w:p w14:paraId="6AD1E95C">
            <w:pPr>
              <w:spacing w:line="360" w:lineRule="auto"/>
              <w:jc w:val="center"/>
              <w:rPr>
                <w:rFonts w:hint="eastAsia" w:ascii="宋体" w:hAnsi="宋体" w:cs="宋体"/>
                <w:color w:val="auto"/>
                <w:szCs w:val="21"/>
                <w:highlight w:val="none"/>
              </w:rPr>
            </w:pPr>
          </w:p>
        </w:tc>
        <w:tc>
          <w:tcPr>
            <w:tcW w:w="1040" w:type="dxa"/>
          </w:tcPr>
          <w:p w14:paraId="520E786A">
            <w:pPr>
              <w:spacing w:line="360" w:lineRule="auto"/>
              <w:jc w:val="center"/>
              <w:rPr>
                <w:rFonts w:hint="eastAsia" w:ascii="宋体" w:hAnsi="宋体" w:cs="宋体"/>
                <w:color w:val="auto"/>
                <w:szCs w:val="21"/>
                <w:highlight w:val="none"/>
              </w:rPr>
            </w:pPr>
          </w:p>
        </w:tc>
      </w:tr>
      <w:tr w14:paraId="3683C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900" w:type="dxa"/>
            <w:vAlign w:val="center"/>
          </w:tcPr>
          <w:p w14:paraId="7A35EEF9">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20</w:t>
            </w:r>
          </w:p>
        </w:tc>
        <w:tc>
          <w:tcPr>
            <w:tcW w:w="3263" w:type="dxa"/>
            <w:vAlign w:val="center"/>
          </w:tcPr>
          <w:p w14:paraId="64E8B0D8">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应用上线检查服务</w:t>
            </w:r>
          </w:p>
        </w:tc>
        <w:tc>
          <w:tcPr>
            <w:tcW w:w="825" w:type="dxa"/>
            <w:vAlign w:val="center"/>
          </w:tcPr>
          <w:p w14:paraId="705B6276">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938" w:type="dxa"/>
            <w:vAlign w:val="top"/>
          </w:tcPr>
          <w:p w14:paraId="73C39650">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年</w:t>
            </w:r>
          </w:p>
        </w:tc>
        <w:tc>
          <w:tcPr>
            <w:tcW w:w="1162" w:type="dxa"/>
          </w:tcPr>
          <w:p w14:paraId="373979CF">
            <w:pPr>
              <w:spacing w:line="360" w:lineRule="auto"/>
              <w:jc w:val="center"/>
              <w:rPr>
                <w:rFonts w:hint="eastAsia" w:ascii="宋体" w:hAnsi="宋体" w:cs="宋体"/>
                <w:color w:val="auto"/>
                <w:szCs w:val="21"/>
                <w:highlight w:val="none"/>
              </w:rPr>
            </w:pPr>
          </w:p>
        </w:tc>
        <w:tc>
          <w:tcPr>
            <w:tcW w:w="1164" w:type="dxa"/>
          </w:tcPr>
          <w:p w14:paraId="6AE28001">
            <w:pPr>
              <w:spacing w:line="360" w:lineRule="auto"/>
              <w:jc w:val="center"/>
              <w:rPr>
                <w:rFonts w:hint="eastAsia" w:ascii="宋体" w:hAnsi="宋体" w:cs="宋体"/>
                <w:color w:val="auto"/>
                <w:szCs w:val="21"/>
                <w:highlight w:val="none"/>
              </w:rPr>
            </w:pPr>
          </w:p>
        </w:tc>
        <w:tc>
          <w:tcPr>
            <w:tcW w:w="1040" w:type="dxa"/>
          </w:tcPr>
          <w:p w14:paraId="39953657">
            <w:pPr>
              <w:spacing w:line="360" w:lineRule="auto"/>
              <w:jc w:val="center"/>
              <w:rPr>
                <w:rFonts w:hint="eastAsia" w:ascii="宋体" w:hAnsi="宋体" w:cs="宋体"/>
                <w:color w:val="auto"/>
                <w:szCs w:val="21"/>
                <w:highlight w:val="none"/>
              </w:rPr>
            </w:pPr>
          </w:p>
        </w:tc>
      </w:tr>
      <w:tr w14:paraId="61A10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900" w:type="dxa"/>
            <w:vAlign w:val="center"/>
          </w:tcPr>
          <w:p w14:paraId="01C6B33E">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21</w:t>
            </w:r>
          </w:p>
        </w:tc>
        <w:tc>
          <w:tcPr>
            <w:tcW w:w="3263" w:type="dxa"/>
            <w:vAlign w:val="center"/>
          </w:tcPr>
          <w:p w14:paraId="03AFEB7A">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安全运维服务</w:t>
            </w:r>
          </w:p>
        </w:tc>
        <w:tc>
          <w:tcPr>
            <w:tcW w:w="825" w:type="dxa"/>
            <w:vAlign w:val="center"/>
          </w:tcPr>
          <w:p w14:paraId="2E889117">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938" w:type="dxa"/>
            <w:vAlign w:val="top"/>
          </w:tcPr>
          <w:p w14:paraId="46D42EBA">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年</w:t>
            </w:r>
          </w:p>
        </w:tc>
        <w:tc>
          <w:tcPr>
            <w:tcW w:w="1162" w:type="dxa"/>
          </w:tcPr>
          <w:p w14:paraId="5C937259">
            <w:pPr>
              <w:spacing w:line="360" w:lineRule="auto"/>
              <w:jc w:val="center"/>
              <w:rPr>
                <w:rFonts w:hint="eastAsia" w:ascii="宋体" w:hAnsi="宋体" w:cs="宋体"/>
                <w:color w:val="auto"/>
                <w:szCs w:val="21"/>
                <w:highlight w:val="none"/>
              </w:rPr>
            </w:pPr>
          </w:p>
        </w:tc>
        <w:tc>
          <w:tcPr>
            <w:tcW w:w="1164" w:type="dxa"/>
          </w:tcPr>
          <w:p w14:paraId="04C1F956">
            <w:pPr>
              <w:spacing w:line="360" w:lineRule="auto"/>
              <w:jc w:val="center"/>
              <w:rPr>
                <w:rFonts w:hint="eastAsia" w:ascii="宋体" w:hAnsi="宋体" w:cs="宋体"/>
                <w:color w:val="auto"/>
                <w:szCs w:val="21"/>
                <w:highlight w:val="none"/>
              </w:rPr>
            </w:pPr>
          </w:p>
        </w:tc>
        <w:tc>
          <w:tcPr>
            <w:tcW w:w="1040" w:type="dxa"/>
          </w:tcPr>
          <w:p w14:paraId="226B46BD">
            <w:pPr>
              <w:spacing w:line="360" w:lineRule="auto"/>
              <w:jc w:val="center"/>
              <w:rPr>
                <w:rFonts w:hint="eastAsia" w:ascii="宋体" w:hAnsi="宋体" w:cs="宋体"/>
                <w:color w:val="auto"/>
                <w:szCs w:val="21"/>
                <w:highlight w:val="none"/>
              </w:rPr>
            </w:pPr>
          </w:p>
        </w:tc>
      </w:tr>
      <w:tr w14:paraId="64A39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900" w:type="dxa"/>
            <w:vAlign w:val="center"/>
          </w:tcPr>
          <w:p w14:paraId="27FB1D2D">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22</w:t>
            </w:r>
          </w:p>
        </w:tc>
        <w:tc>
          <w:tcPr>
            <w:tcW w:w="3263" w:type="dxa"/>
            <w:vAlign w:val="center"/>
          </w:tcPr>
          <w:p w14:paraId="69BA5DD5">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资产梳理服务</w:t>
            </w:r>
          </w:p>
        </w:tc>
        <w:tc>
          <w:tcPr>
            <w:tcW w:w="825" w:type="dxa"/>
            <w:vAlign w:val="center"/>
          </w:tcPr>
          <w:p w14:paraId="5F64693E">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938" w:type="dxa"/>
            <w:vAlign w:val="center"/>
          </w:tcPr>
          <w:p w14:paraId="46F10A9A">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年</w:t>
            </w:r>
          </w:p>
        </w:tc>
        <w:tc>
          <w:tcPr>
            <w:tcW w:w="1162" w:type="dxa"/>
            <w:vAlign w:val="center"/>
          </w:tcPr>
          <w:p w14:paraId="3D9ECCE2">
            <w:pPr>
              <w:spacing w:line="360" w:lineRule="auto"/>
              <w:jc w:val="center"/>
              <w:rPr>
                <w:rFonts w:hint="eastAsia" w:ascii="宋体" w:hAnsi="宋体" w:cs="宋体"/>
                <w:color w:val="auto"/>
                <w:szCs w:val="21"/>
                <w:highlight w:val="none"/>
              </w:rPr>
            </w:pPr>
          </w:p>
        </w:tc>
        <w:tc>
          <w:tcPr>
            <w:tcW w:w="1164" w:type="dxa"/>
            <w:vAlign w:val="center"/>
          </w:tcPr>
          <w:p w14:paraId="3B789916">
            <w:pPr>
              <w:spacing w:line="360" w:lineRule="auto"/>
              <w:jc w:val="center"/>
              <w:rPr>
                <w:rFonts w:hint="eastAsia" w:ascii="宋体" w:hAnsi="宋体" w:cs="宋体"/>
                <w:color w:val="auto"/>
                <w:szCs w:val="21"/>
                <w:highlight w:val="none"/>
              </w:rPr>
            </w:pPr>
          </w:p>
        </w:tc>
        <w:tc>
          <w:tcPr>
            <w:tcW w:w="1040" w:type="dxa"/>
            <w:vAlign w:val="center"/>
          </w:tcPr>
          <w:p w14:paraId="4F00A3D3">
            <w:pPr>
              <w:spacing w:line="360" w:lineRule="auto"/>
              <w:jc w:val="center"/>
              <w:rPr>
                <w:rFonts w:hint="eastAsia" w:ascii="宋体" w:hAnsi="宋体" w:cs="宋体"/>
                <w:color w:val="auto"/>
                <w:szCs w:val="21"/>
                <w:highlight w:val="none"/>
              </w:rPr>
            </w:pPr>
          </w:p>
        </w:tc>
      </w:tr>
      <w:tr w14:paraId="3DAD3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900" w:type="dxa"/>
            <w:vAlign w:val="center"/>
          </w:tcPr>
          <w:p w14:paraId="557D5552">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23</w:t>
            </w:r>
          </w:p>
        </w:tc>
        <w:tc>
          <w:tcPr>
            <w:tcW w:w="3263" w:type="dxa"/>
            <w:vAlign w:val="center"/>
          </w:tcPr>
          <w:p w14:paraId="0DF9A339">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数据备份服务</w:t>
            </w:r>
          </w:p>
        </w:tc>
        <w:tc>
          <w:tcPr>
            <w:tcW w:w="825" w:type="dxa"/>
            <w:vAlign w:val="center"/>
          </w:tcPr>
          <w:p w14:paraId="72FF4704">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938" w:type="dxa"/>
            <w:vAlign w:val="top"/>
          </w:tcPr>
          <w:p w14:paraId="3CF5BA50">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年</w:t>
            </w:r>
          </w:p>
        </w:tc>
        <w:tc>
          <w:tcPr>
            <w:tcW w:w="1162" w:type="dxa"/>
          </w:tcPr>
          <w:p w14:paraId="369FAAF3">
            <w:pPr>
              <w:spacing w:line="360" w:lineRule="auto"/>
              <w:jc w:val="center"/>
              <w:rPr>
                <w:rFonts w:hint="eastAsia" w:ascii="宋体" w:hAnsi="宋体" w:cs="宋体"/>
                <w:color w:val="auto"/>
                <w:szCs w:val="21"/>
                <w:highlight w:val="none"/>
              </w:rPr>
            </w:pPr>
          </w:p>
        </w:tc>
        <w:tc>
          <w:tcPr>
            <w:tcW w:w="1164" w:type="dxa"/>
          </w:tcPr>
          <w:p w14:paraId="131EB8BD">
            <w:pPr>
              <w:spacing w:line="360" w:lineRule="auto"/>
              <w:jc w:val="center"/>
              <w:rPr>
                <w:rFonts w:hint="eastAsia" w:ascii="宋体" w:hAnsi="宋体" w:cs="宋体"/>
                <w:color w:val="auto"/>
                <w:szCs w:val="21"/>
                <w:highlight w:val="none"/>
              </w:rPr>
            </w:pPr>
          </w:p>
        </w:tc>
        <w:tc>
          <w:tcPr>
            <w:tcW w:w="1040" w:type="dxa"/>
          </w:tcPr>
          <w:p w14:paraId="13786F61">
            <w:pPr>
              <w:spacing w:line="360" w:lineRule="auto"/>
              <w:jc w:val="center"/>
              <w:rPr>
                <w:rFonts w:hint="eastAsia" w:ascii="宋体" w:hAnsi="宋体" w:cs="宋体"/>
                <w:color w:val="auto"/>
                <w:szCs w:val="21"/>
                <w:highlight w:val="none"/>
              </w:rPr>
            </w:pPr>
          </w:p>
        </w:tc>
      </w:tr>
      <w:tr w14:paraId="570A4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900" w:type="dxa"/>
            <w:vAlign w:val="center"/>
          </w:tcPr>
          <w:p w14:paraId="09392D69">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24</w:t>
            </w:r>
          </w:p>
        </w:tc>
        <w:tc>
          <w:tcPr>
            <w:tcW w:w="3263" w:type="dxa"/>
            <w:vAlign w:val="center"/>
          </w:tcPr>
          <w:p w14:paraId="0FA2A5E1">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网络入侵攻击监测分析服务</w:t>
            </w:r>
          </w:p>
        </w:tc>
        <w:tc>
          <w:tcPr>
            <w:tcW w:w="825" w:type="dxa"/>
            <w:vAlign w:val="center"/>
          </w:tcPr>
          <w:p w14:paraId="25CF9B3D">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938" w:type="dxa"/>
            <w:vAlign w:val="top"/>
          </w:tcPr>
          <w:p w14:paraId="0C18B19E">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年</w:t>
            </w:r>
          </w:p>
        </w:tc>
        <w:tc>
          <w:tcPr>
            <w:tcW w:w="1162" w:type="dxa"/>
          </w:tcPr>
          <w:p w14:paraId="6B206535">
            <w:pPr>
              <w:spacing w:line="360" w:lineRule="auto"/>
              <w:jc w:val="center"/>
              <w:rPr>
                <w:rFonts w:hint="eastAsia" w:ascii="宋体" w:hAnsi="宋体" w:cs="宋体"/>
                <w:color w:val="auto"/>
                <w:szCs w:val="21"/>
                <w:highlight w:val="none"/>
              </w:rPr>
            </w:pPr>
          </w:p>
        </w:tc>
        <w:tc>
          <w:tcPr>
            <w:tcW w:w="1164" w:type="dxa"/>
          </w:tcPr>
          <w:p w14:paraId="5B769D44">
            <w:pPr>
              <w:spacing w:line="360" w:lineRule="auto"/>
              <w:jc w:val="center"/>
              <w:rPr>
                <w:rFonts w:hint="eastAsia" w:ascii="宋体" w:hAnsi="宋体" w:cs="宋体"/>
                <w:color w:val="auto"/>
                <w:szCs w:val="21"/>
                <w:highlight w:val="none"/>
              </w:rPr>
            </w:pPr>
          </w:p>
        </w:tc>
        <w:tc>
          <w:tcPr>
            <w:tcW w:w="1040" w:type="dxa"/>
          </w:tcPr>
          <w:p w14:paraId="51801B5F">
            <w:pPr>
              <w:spacing w:line="360" w:lineRule="auto"/>
              <w:jc w:val="center"/>
              <w:rPr>
                <w:rFonts w:hint="eastAsia" w:ascii="宋体" w:hAnsi="宋体" w:cs="宋体"/>
                <w:color w:val="auto"/>
                <w:szCs w:val="21"/>
                <w:highlight w:val="none"/>
              </w:rPr>
            </w:pPr>
          </w:p>
        </w:tc>
      </w:tr>
      <w:tr w14:paraId="4898B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900" w:type="dxa"/>
            <w:vAlign w:val="center"/>
          </w:tcPr>
          <w:p w14:paraId="713DC861">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25</w:t>
            </w:r>
          </w:p>
        </w:tc>
        <w:tc>
          <w:tcPr>
            <w:tcW w:w="3263" w:type="dxa"/>
            <w:vAlign w:val="center"/>
          </w:tcPr>
          <w:p w14:paraId="4198FD9F">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异常流量态势监测服务</w:t>
            </w:r>
          </w:p>
        </w:tc>
        <w:tc>
          <w:tcPr>
            <w:tcW w:w="825" w:type="dxa"/>
            <w:vAlign w:val="center"/>
          </w:tcPr>
          <w:p w14:paraId="03C1B668">
            <w:pPr>
              <w:spacing w:line="360" w:lineRule="auto"/>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w:t>
            </w:r>
          </w:p>
        </w:tc>
        <w:tc>
          <w:tcPr>
            <w:tcW w:w="938" w:type="dxa"/>
            <w:vAlign w:val="top"/>
          </w:tcPr>
          <w:p w14:paraId="7FCEBED7">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年</w:t>
            </w:r>
          </w:p>
        </w:tc>
        <w:tc>
          <w:tcPr>
            <w:tcW w:w="1162" w:type="dxa"/>
          </w:tcPr>
          <w:p w14:paraId="3C70112A">
            <w:pPr>
              <w:spacing w:line="360" w:lineRule="auto"/>
              <w:jc w:val="center"/>
              <w:rPr>
                <w:rFonts w:hint="eastAsia" w:ascii="宋体" w:hAnsi="宋体" w:cs="宋体"/>
                <w:color w:val="auto"/>
                <w:szCs w:val="21"/>
                <w:highlight w:val="none"/>
              </w:rPr>
            </w:pPr>
          </w:p>
        </w:tc>
        <w:tc>
          <w:tcPr>
            <w:tcW w:w="1164" w:type="dxa"/>
          </w:tcPr>
          <w:p w14:paraId="70D96704">
            <w:pPr>
              <w:spacing w:line="360" w:lineRule="auto"/>
              <w:jc w:val="center"/>
              <w:rPr>
                <w:rFonts w:hint="eastAsia" w:ascii="宋体" w:hAnsi="宋体" w:cs="宋体"/>
                <w:color w:val="auto"/>
                <w:szCs w:val="21"/>
                <w:highlight w:val="none"/>
              </w:rPr>
            </w:pPr>
          </w:p>
        </w:tc>
        <w:tc>
          <w:tcPr>
            <w:tcW w:w="1040" w:type="dxa"/>
          </w:tcPr>
          <w:p w14:paraId="611A7FFC">
            <w:pPr>
              <w:spacing w:line="360" w:lineRule="auto"/>
              <w:jc w:val="center"/>
              <w:rPr>
                <w:rFonts w:hint="eastAsia" w:ascii="宋体" w:hAnsi="宋体" w:cs="宋体"/>
                <w:color w:val="auto"/>
                <w:szCs w:val="21"/>
                <w:highlight w:val="none"/>
              </w:rPr>
            </w:pPr>
          </w:p>
        </w:tc>
      </w:tr>
      <w:tr w14:paraId="62C2A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900" w:type="dxa"/>
            <w:vAlign w:val="center"/>
          </w:tcPr>
          <w:p w14:paraId="6097F5FF">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26</w:t>
            </w:r>
          </w:p>
        </w:tc>
        <w:tc>
          <w:tcPr>
            <w:tcW w:w="3263" w:type="dxa"/>
            <w:vAlign w:val="center"/>
          </w:tcPr>
          <w:p w14:paraId="170532B4">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安全隐患处置服务</w:t>
            </w:r>
          </w:p>
        </w:tc>
        <w:tc>
          <w:tcPr>
            <w:tcW w:w="825" w:type="dxa"/>
            <w:vAlign w:val="center"/>
          </w:tcPr>
          <w:p w14:paraId="3B7B8D0F">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938" w:type="dxa"/>
            <w:vAlign w:val="top"/>
          </w:tcPr>
          <w:p w14:paraId="053983BD">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年</w:t>
            </w:r>
          </w:p>
        </w:tc>
        <w:tc>
          <w:tcPr>
            <w:tcW w:w="1162" w:type="dxa"/>
          </w:tcPr>
          <w:p w14:paraId="55296BCD">
            <w:pPr>
              <w:spacing w:line="360" w:lineRule="auto"/>
              <w:jc w:val="center"/>
              <w:rPr>
                <w:rFonts w:hint="eastAsia" w:ascii="宋体" w:hAnsi="宋体" w:cs="宋体"/>
                <w:color w:val="auto"/>
                <w:szCs w:val="21"/>
                <w:highlight w:val="none"/>
              </w:rPr>
            </w:pPr>
          </w:p>
        </w:tc>
        <w:tc>
          <w:tcPr>
            <w:tcW w:w="1164" w:type="dxa"/>
          </w:tcPr>
          <w:p w14:paraId="30727B1F">
            <w:pPr>
              <w:spacing w:line="360" w:lineRule="auto"/>
              <w:jc w:val="center"/>
              <w:rPr>
                <w:rFonts w:hint="eastAsia" w:ascii="宋体" w:hAnsi="宋体" w:cs="宋体"/>
                <w:color w:val="auto"/>
                <w:szCs w:val="21"/>
                <w:highlight w:val="none"/>
              </w:rPr>
            </w:pPr>
          </w:p>
        </w:tc>
        <w:tc>
          <w:tcPr>
            <w:tcW w:w="1040" w:type="dxa"/>
          </w:tcPr>
          <w:p w14:paraId="2648021A">
            <w:pPr>
              <w:spacing w:line="360" w:lineRule="auto"/>
              <w:jc w:val="center"/>
              <w:rPr>
                <w:rFonts w:hint="eastAsia" w:ascii="宋体" w:hAnsi="宋体" w:cs="宋体"/>
                <w:color w:val="auto"/>
                <w:szCs w:val="21"/>
                <w:highlight w:val="none"/>
              </w:rPr>
            </w:pPr>
          </w:p>
        </w:tc>
      </w:tr>
      <w:tr w14:paraId="7D47D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900" w:type="dxa"/>
            <w:vAlign w:val="center"/>
          </w:tcPr>
          <w:p w14:paraId="7D4F7530">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27</w:t>
            </w:r>
          </w:p>
        </w:tc>
        <w:tc>
          <w:tcPr>
            <w:tcW w:w="3263" w:type="dxa"/>
            <w:vAlign w:val="center"/>
          </w:tcPr>
          <w:p w14:paraId="0EBBBC33">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重大事件应急响应服务</w:t>
            </w:r>
          </w:p>
        </w:tc>
        <w:tc>
          <w:tcPr>
            <w:tcW w:w="825" w:type="dxa"/>
            <w:vAlign w:val="center"/>
          </w:tcPr>
          <w:p w14:paraId="25EF7362">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938" w:type="dxa"/>
            <w:vAlign w:val="center"/>
          </w:tcPr>
          <w:p w14:paraId="5157F45C">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年</w:t>
            </w:r>
          </w:p>
        </w:tc>
        <w:tc>
          <w:tcPr>
            <w:tcW w:w="1162" w:type="dxa"/>
            <w:vAlign w:val="center"/>
          </w:tcPr>
          <w:p w14:paraId="69CB2AD0">
            <w:pPr>
              <w:spacing w:line="360" w:lineRule="auto"/>
              <w:jc w:val="center"/>
              <w:rPr>
                <w:rFonts w:hint="eastAsia" w:ascii="宋体" w:hAnsi="宋体" w:cs="宋体"/>
                <w:color w:val="auto"/>
                <w:szCs w:val="21"/>
                <w:highlight w:val="none"/>
              </w:rPr>
            </w:pPr>
          </w:p>
        </w:tc>
        <w:tc>
          <w:tcPr>
            <w:tcW w:w="1164" w:type="dxa"/>
            <w:vAlign w:val="center"/>
          </w:tcPr>
          <w:p w14:paraId="7DED1E41">
            <w:pPr>
              <w:spacing w:line="360" w:lineRule="auto"/>
              <w:jc w:val="center"/>
              <w:rPr>
                <w:rFonts w:hint="eastAsia" w:ascii="宋体" w:hAnsi="宋体" w:cs="宋体"/>
                <w:color w:val="auto"/>
                <w:szCs w:val="21"/>
                <w:highlight w:val="none"/>
              </w:rPr>
            </w:pPr>
          </w:p>
        </w:tc>
        <w:tc>
          <w:tcPr>
            <w:tcW w:w="1040" w:type="dxa"/>
            <w:vAlign w:val="center"/>
          </w:tcPr>
          <w:p w14:paraId="3BC5A6F9">
            <w:pPr>
              <w:spacing w:line="360" w:lineRule="auto"/>
              <w:jc w:val="center"/>
              <w:rPr>
                <w:rFonts w:hint="eastAsia" w:ascii="宋体" w:hAnsi="宋体" w:cs="宋体"/>
                <w:color w:val="auto"/>
                <w:szCs w:val="21"/>
                <w:highlight w:val="none"/>
              </w:rPr>
            </w:pPr>
          </w:p>
        </w:tc>
      </w:tr>
      <w:tr w14:paraId="0C40D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900" w:type="dxa"/>
            <w:vAlign w:val="center"/>
          </w:tcPr>
          <w:p w14:paraId="5E02E3EB">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28</w:t>
            </w:r>
          </w:p>
        </w:tc>
        <w:tc>
          <w:tcPr>
            <w:tcW w:w="3263" w:type="dxa"/>
            <w:vAlign w:val="center"/>
          </w:tcPr>
          <w:p w14:paraId="4C17B1C0">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特殊时期的安全巡检和保障服务</w:t>
            </w:r>
          </w:p>
        </w:tc>
        <w:tc>
          <w:tcPr>
            <w:tcW w:w="825" w:type="dxa"/>
            <w:vAlign w:val="center"/>
          </w:tcPr>
          <w:p w14:paraId="66DA6787">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938" w:type="dxa"/>
            <w:vAlign w:val="top"/>
          </w:tcPr>
          <w:p w14:paraId="6997B2AE">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年</w:t>
            </w:r>
          </w:p>
        </w:tc>
        <w:tc>
          <w:tcPr>
            <w:tcW w:w="1162" w:type="dxa"/>
          </w:tcPr>
          <w:p w14:paraId="126AFCF6">
            <w:pPr>
              <w:spacing w:line="360" w:lineRule="auto"/>
              <w:jc w:val="center"/>
              <w:rPr>
                <w:rFonts w:hint="eastAsia" w:ascii="宋体" w:hAnsi="宋体" w:cs="宋体"/>
                <w:color w:val="auto"/>
                <w:szCs w:val="21"/>
                <w:highlight w:val="none"/>
              </w:rPr>
            </w:pPr>
          </w:p>
        </w:tc>
        <w:tc>
          <w:tcPr>
            <w:tcW w:w="1164" w:type="dxa"/>
          </w:tcPr>
          <w:p w14:paraId="34B12864">
            <w:pPr>
              <w:spacing w:line="360" w:lineRule="auto"/>
              <w:jc w:val="center"/>
              <w:rPr>
                <w:rFonts w:hint="eastAsia" w:ascii="宋体" w:hAnsi="宋体" w:cs="宋体"/>
                <w:color w:val="auto"/>
                <w:szCs w:val="21"/>
                <w:highlight w:val="none"/>
              </w:rPr>
            </w:pPr>
          </w:p>
        </w:tc>
        <w:tc>
          <w:tcPr>
            <w:tcW w:w="1040" w:type="dxa"/>
          </w:tcPr>
          <w:p w14:paraId="7A51FF99">
            <w:pPr>
              <w:spacing w:line="360" w:lineRule="auto"/>
              <w:jc w:val="center"/>
              <w:rPr>
                <w:rFonts w:hint="eastAsia" w:ascii="宋体" w:hAnsi="宋体" w:cs="宋体"/>
                <w:color w:val="auto"/>
                <w:szCs w:val="21"/>
                <w:highlight w:val="none"/>
              </w:rPr>
            </w:pPr>
          </w:p>
        </w:tc>
      </w:tr>
      <w:tr w14:paraId="069C7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7088" w:type="dxa"/>
            <w:gridSpan w:val="5"/>
            <w:vAlign w:val="center"/>
          </w:tcPr>
          <w:p w14:paraId="0A6D4F4B">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投标人认为需说明的其他</w:t>
            </w:r>
          </w:p>
        </w:tc>
        <w:tc>
          <w:tcPr>
            <w:tcW w:w="1164" w:type="dxa"/>
          </w:tcPr>
          <w:p w14:paraId="54021DB8">
            <w:pPr>
              <w:spacing w:line="360" w:lineRule="auto"/>
              <w:jc w:val="center"/>
              <w:rPr>
                <w:rFonts w:hint="eastAsia" w:ascii="宋体" w:hAnsi="宋体" w:cs="宋体"/>
                <w:color w:val="auto"/>
                <w:szCs w:val="21"/>
                <w:highlight w:val="none"/>
              </w:rPr>
            </w:pPr>
          </w:p>
        </w:tc>
        <w:tc>
          <w:tcPr>
            <w:tcW w:w="1040" w:type="dxa"/>
          </w:tcPr>
          <w:p w14:paraId="7E3DA3F4">
            <w:pPr>
              <w:spacing w:line="360" w:lineRule="auto"/>
              <w:jc w:val="center"/>
              <w:rPr>
                <w:rFonts w:hint="eastAsia" w:ascii="宋体" w:hAnsi="宋体" w:cs="宋体"/>
                <w:color w:val="auto"/>
                <w:szCs w:val="21"/>
                <w:highlight w:val="none"/>
              </w:rPr>
            </w:pPr>
          </w:p>
        </w:tc>
      </w:tr>
      <w:tr w14:paraId="7D814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9292" w:type="dxa"/>
            <w:gridSpan w:val="7"/>
            <w:vAlign w:val="center"/>
          </w:tcPr>
          <w:p w14:paraId="34D045CC">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合计  大写</w:t>
            </w:r>
          </w:p>
          <w:p w14:paraId="6B42B33E">
            <w:pPr>
              <w:spacing w:line="360" w:lineRule="auto"/>
              <w:ind w:firstLine="723" w:firstLineChars="300"/>
              <w:jc w:val="both"/>
              <w:rPr>
                <w:rFonts w:hint="eastAsia" w:ascii="宋体" w:hAnsi="宋体" w:cs="宋体"/>
                <w:color w:val="auto"/>
                <w:szCs w:val="21"/>
                <w:highlight w:val="none"/>
              </w:rPr>
            </w:pPr>
            <w:r>
              <w:rPr>
                <w:rFonts w:hint="eastAsia" w:ascii="宋体" w:hAnsi="宋体" w:cs="宋体"/>
                <w:b/>
                <w:bCs/>
                <w:color w:val="auto"/>
                <w:sz w:val="24"/>
                <w:highlight w:val="none"/>
              </w:rPr>
              <w:t>小写</w:t>
            </w:r>
          </w:p>
        </w:tc>
      </w:tr>
    </w:tbl>
    <w:p w14:paraId="401AC164">
      <w:pPr>
        <w:spacing w:line="360" w:lineRule="auto"/>
        <w:rPr>
          <w:rFonts w:ascii="宋体" w:hAnsi="宋体" w:cs="宋体"/>
          <w:b/>
          <w:color w:val="auto"/>
          <w:szCs w:val="21"/>
          <w:highlight w:val="none"/>
        </w:rPr>
      </w:pPr>
      <w:r>
        <w:rPr>
          <w:rFonts w:hint="eastAsia" w:ascii="宋体" w:hAnsi="宋体" w:cs="宋体"/>
          <w:b/>
          <w:color w:val="auto"/>
          <w:szCs w:val="21"/>
          <w:highlight w:val="none"/>
        </w:rPr>
        <w:t>要求：</w:t>
      </w:r>
    </w:p>
    <w:p w14:paraId="02D7B189">
      <w:pPr>
        <w:spacing w:line="360" w:lineRule="auto"/>
        <w:ind w:left="435"/>
        <w:rPr>
          <w:rFonts w:ascii="宋体" w:hAnsi="宋体" w:cs="宋体"/>
          <w:color w:val="auto"/>
          <w:szCs w:val="21"/>
          <w:highlight w:val="none"/>
        </w:rPr>
      </w:pPr>
      <w:r>
        <w:rPr>
          <w:rFonts w:hint="eastAsia" w:ascii="宋体" w:hAnsi="宋体" w:cs="宋体"/>
          <w:color w:val="auto"/>
          <w:szCs w:val="21"/>
          <w:highlight w:val="none"/>
        </w:rPr>
        <w:t>1、本表为《开标一览表》的报价明细表，如有缺项、漏项，视为投标报价中已包含相关费用，采购人无需另外支付任何费用。</w:t>
      </w:r>
    </w:p>
    <w:p w14:paraId="20B8E02D">
      <w:pPr>
        <w:spacing w:line="360" w:lineRule="auto"/>
        <w:ind w:left="435"/>
        <w:rPr>
          <w:rFonts w:ascii="宋体" w:hAnsi="宋体" w:cs="宋体"/>
          <w:color w:val="auto"/>
          <w:szCs w:val="21"/>
          <w:highlight w:val="none"/>
          <w:lang w:val="zh-CN"/>
        </w:rPr>
      </w:pPr>
      <w:r>
        <w:rPr>
          <w:rFonts w:hint="eastAsia" w:ascii="宋体" w:hAnsi="宋体" w:cs="宋体"/>
          <w:color w:val="auto"/>
          <w:szCs w:val="21"/>
          <w:highlight w:val="none"/>
        </w:rPr>
        <w:t>2、</w:t>
      </w:r>
      <w:r>
        <w:rPr>
          <w:rFonts w:hint="eastAsia" w:ascii="宋体" w:hAnsi="宋体" w:cs="宋体"/>
          <w:color w:val="auto"/>
          <w:szCs w:val="21"/>
          <w:highlight w:val="none"/>
          <w:lang w:val="zh-CN"/>
        </w:rPr>
        <w:t>“报价明细表”中的报价合计应与“开标一览表”中的投标总报价相一致，不一致时，以开标一览表为准。</w:t>
      </w:r>
    </w:p>
    <w:p w14:paraId="145B83AF">
      <w:pPr>
        <w:spacing w:line="360" w:lineRule="auto"/>
        <w:ind w:left="435"/>
        <w:rPr>
          <w:rFonts w:ascii="宋体" w:hAnsi="宋体" w:cs="宋体"/>
          <w:color w:val="auto"/>
          <w:szCs w:val="21"/>
          <w:highlight w:val="none"/>
          <w:lang w:val="zh-CN"/>
        </w:rPr>
      </w:pPr>
      <w:r>
        <w:rPr>
          <w:rFonts w:hint="eastAsia" w:ascii="宋体" w:hAnsi="宋体" w:cs="宋体"/>
          <w:color w:val="auto"/>
          <w:kern w:val="0"/>
          <w:szCs w:val="21"/>
          <w:highlight w:val="none"/>
        </w:rPr>
        <w:t>▲</w:t>
      </w:r>
      <w:r>
        <w:rPr>
          <w:rFonts w:hint="eastAsia" w:ascii="宋体" w:hAnsi="宋体" w:cs="宋体"/>
          <w:color w:val="auto"/>
          <w:szCs w:val="21"/>
          <w:highlight w:val="none"/>
        </w:rPr>
        <w:t>3、</w:t>
      </w:r>
      <w:r>
        <w:rPr>
          <w:rFonts w:hint="eastAsia" w:ascii="宋体" w:hAnsi="宋体" w:cs="宋体"/>
          <w:color w:val="auto"/>
          <w:szCs w:val="21"/>
          <w:highlight w:val="none"/>
          <w:lang w:val="zh-CN"/>
        </w:rPr>
        <w:t>投标报价明细表所填内容按采购文件采购</w:t>
      </w:r>
      <w:r>
        <w:rPr>
          <w:rFonts w:hint="eastAsia" w:ascii="宋体" w:hAnsi="宋体" w:cs="宋体"/>
          <w:color w:val="auto"/>
          <w:szCs w:val="21"/>
          <w:highlight w:val="none"/>
        </w:rPr>
        <w:t>内容</w:t>
      </w:r>
      <w:r>
        <w:rPr>
          <w:rFonts w:hint="eastAsia" w:ascii="宋体" w:hAnsi="宋体" w:cs="宋体"/>
          <w:color w:val="auto"/>
          <w:szCs w:val="21"/>
          <w:highlight w:val="none"/>
          <w:lang w:val="zh-CN"/>
        </w:rPr>
        <w:t>要求为准。如有漏报的，视同已包含在投标总价内或已作优惠处理。有重大缺项的将作无效标处理。</w:t>
      </w:r>
    </w:p>
    <w:p w14:paraId="382F8218">
      <w:pPr>
        <w:spacing w:line="360" w:lineRule="auto"/>
        <w:rPr>
          <w:rFonts w:ascii="宋体" w:hAnsi="宋体" w:cs="宋体"/>
          <w:color w:val="auto"/>
          <w:szCs w:val="21"/>
          <w:highlight w:val="none"/>
        </w:rPr>
      </w:pPr>
    </w:p>
    <w:p w14:paraId="7BF5D7FF">
      <w:pPr>
        <w:spacing w:line="360" w:lineRule="auto"/>
        <w:ind w:firstLine="420" w:firstLineChars="200"/>
        <w:rPr>
          <w:rFonts w:ascii="宋体" w:hAnsi="宋体" w:cs="宋体"/>
          <w:color w:val="auto"/>
          <w:szCs w:val="21"/>
          <w:highlight w:val="none"/>
        </w:rPr>
      </w:pPr>
    </w:p>
    <w:p w14:paraId="62C4AFC3">
      <w:pPr>
        <w:spacing w:line="320" w:lineRule="exact"/>
        <w:ind w:left="420"/>
        <w:rPr>
          <w:rFonts w:ascii="宋体" w:hAnsi="宋体" w:cs="宋体"/>
          <w:color w:val="auto"/>
          <w:szCs w:val="21"/>
          <w:highlight w:val="none"/>
          <w:u w:val="single"/>
        </w:rPr>
      </w:pPr>
      <w:r>
        <w:rPr>
          <w:rFonts w:hint="eastAsia" w:ascii="宋体" w:hAnsi="宋体" w:cs="宋体"/>
          <w:color w:val="auto"/>
          <w:szCs w:val="21"/>
          <w:highlight w:val="none"/>
        </w:rPr>
        <w:t>磋商供应商名称（盖章）：</w:t>
      </w:r>
      <w:r>
        <w:rPr>
          <w:rFonts w:hint="eastAsia" w:ascii="宋体" w:hAnsi="宋体" w:cs="宋体"/>
          <w:color w:val="auto"/>
          <w:szCs w:val="21"/>
          <w:highlight w:val="none"/>
          <w:u w:val="single"/>
        </w:rPr>
        <w:t xml:space="preserve">                                       </w:t>
      </w:r>
    </w:p>
    <w:p w14:paraId="1591770F">
      <w:pPr>
        <w:spacing w:line="320" w:lineRule="exact"/>
        <w:ind w:left="420"/>
        <w:rPr>
          <w:rFonts w:ascii="宋体" w:hAnsi="宋体" w:cs="宋体"/>
          <w:color w:val="auto"/>
          <w:szCs w:val="21"/>
          <w:highlight w:val="none"/>
        </w:rPr>
      </w:pPr>
    </w:p>
    <w:p w14:paraId="0EE5F39B">
      <w:pPr>
        <w:spacing w:line="320" w:lineRule="exact"/>
        <w:ind w:firstLine="435"/>
        <w:rPr>
          <w:rFonts w:ascii="宋体" w:hAnsi="宋体" w:cs="宋体"/>
          <w:color w:val="auto"/>
          <w:szCs w:val="21"/>
          <w:highlight w:val="none"/>
        </w:rPr>
      </w:pPr>
      <w:r>
        <w:rPr>
          <w:rFonts w:hint="eastAsia" w:ascii="宋体" w:hAnsi="宋体" w:cs="宋体"/>
          <w:color w:val="auto"/>
          <w:szCs w:val="21"/>
          <w:highlight w:val="none"/>
        </w:rPr>
        <w:t>法定代表人或授权委托代理人签字或盖章：</w:t>
      </w:r>
      <w:r>
        <w:rPr>
          <w:rFonts w:hint="eastAsia" w:ascii="宋体" w:hAnsi="宋体" w:cs="宋体"/>
          <w:color w:val="auto"/>
          <w:szCs w:val="21"/>
          <w:highlight w:val="none"/>
          <w:u w:val="single"/>
        </w:rPr>
        <w:t xml:space="preserve">                         </w:t>
      </w:r>
    </w:p>
    <w:p w14:paraId="00E8A0E6">
      <w:pPr>
        <w:spacing w:line="320" w:lineRule="exact"/>
        <w:ind w:firstLine="435"/>
        <w:rPr>
          <w:rFonts w:ascii="宋体" w:hAnsi="宋体" w:cs="宋体"/>
          <w:color w:val="auto"/>
          <w:szCs w:val="21"/>
          <w:highlight w:val="none"/>
        </w:rPr>
      </w:pPr>
    </w:p>
    <w:p w14:paraId="31118606">
      <w:pPr>
        <w:spacing w:line="320" w:lineRule="exact"/>
        <w:ind w:firstLine="435"/>
        <w:rPr>
          <w:rFonts w:ascii="宋体" w:hAnsi="宋体" w:cs="宋体"/>
          <w:color w:val="auto"/>
          <w:szCs w:val="21"/>
          <w:highlight w:val="none"/>
        </w:rPr>
      </w:pPr>
      <w:r>
        <w:rPr>
          <w:rFonts w:hint="eastAsia" w:ascii="宋体" w:hAnsi="宋体" w:cs="宋体"/>
          <w:color w:val="auto"/>
          <w:szCs w:val="21"/>
          <w:highlight w:val="none"/>
        </w:rPr>
        <w:t>职        务：</w:t>
      </w:r>
      <w:r>
        <w:rPr>
          <w:rFonts w:hint="eastAsia" w:ascii="宋体" w:hAnsi="宋体" w:cs="宋体"/>
          <w:color w:val="auto"/>
          <w:szCs w:val="21"/>
          <w:highlight w:val="none"/>
          <w:u w:val="single"/>
        </w:rPr>
        <w:t xml:space="preserve">                             </w:t>
      </w:r>
    </w:p>
    <w:p w14:paraId="60C1EB19">
      <w:pPr>
        <w:spacing w:line="320" w:lineRule="exact"/>
        <w:ind w:firstLine="435"/>
        <w:rPr>
          <w:rFonts w:ascii="宋体" w:hAnsi="宋体" w:cs="宋体"/>
          <w:color w:val="auto"/>
          <w:szCs w:val="21"/>
          <w:highlight w:val="none"/>
        </w:rPr>
      </w:pPr>
    </w:p>
    <w:p w14:paraId="3EE6B67E">
      <w:pPr>
        <w:spacing w:line="320" w:lineRule="exact"/>
        <w:ind w:firstLine="435"/>
        <w:rPr>
          <w:rFonts w:ascii="宋体" w:hAnsi="宋体" w:cs="宋体"/>
          <w:color w:val="auto"/>
          <w:szCs w:val="21"/>
          <w:highlight w:val="none"/>
        </w:rPr>
      </w:pPr>
      <w:r>
        <w:rPr>
          <w:rFonts w:hint="eastAsia" w:ascii="宋体" w:hAnsi="宋体" w:cs="宋体"/>
          <w:color w:val="auto"/>
          <w:szCs w:val="21"/>
          <w:highlight w:val="none"/>
        </w:rPr>
        <w:t>日        期：</w:t>
      </w:r>
      <w:r>
        <w:rPr>
          <w:rFonts w:hint="eastAsia" w:ascii="宋体" w:hAnsi="宋体" w:cs="宋体"/>
          <w:color w:val="auto"/>
          <w:szCs w:val="21"/>
          <w:highlight w:val="none"/>
          <w:u w:val="single"/>
        </w:rPr>
        <w:t xml:space="preserve">                             </w:t>
      </w:r>
    </w:p>
    <w:p w14:paraId="40AE825E">
      <w:pPr>
        <w:spacing w:line="400" w:lineRule="exact"/>
        <w:rPr>
          <w:rFonts w:ascii="宋体" w:hAnsi="宋体" w:cs="宋体"/>
          <w:b/>
          <w:color w:val="auto"/>
          <w:sz w:val="28"/>
          <w:highlight w:val="none"/>
        </w:rPr>
      </w:pPr>
    </w:p>
    <w:p w14:paraId="74D0FE12">
      <w:pPr>
        <w:rPr>
          <w:rFonts w:ascii="宋体" w:hAnsi="宋体" w:cs="宋体"/>
          <w:b/>
          <w:color w:val="auto"/>
          <w:sz w:val="28"/>
          <w:highlight w:val="none"/>
        </w:rPr>
      </w:pPr>
      <w:r>
        <w:rPr>
          <w:rFonts w:hint="eastAsia" w:ascii="宋体" w:hAnsi="宋体" w:cs="宋体"/>
          <w:b/>
          <w:color w:val="auto"/>
          <w:sz w:val="28"/>
          <w:highlight w:val="none"/>
        </w:rPr>
        <w:br w:type="page"/>
      </w:r>
    </w:p>
    <w:p w14:paraId="1F59AF89">
      <w:pPr>
        <w:spacing w:line="400" w:lineRule="exact"/>
        <w:rPr>
          <w:rFonts w:ascii="宋体" w:hAnsi="宋体" w:cs="宋体"/>
          <w:b/>
          <w:color w:val="auto"/>
          <w:sz w:val="32"/>
          <w:szCs w:val="32"/>
          <w:highlight w:val="none"/>
          <w:lang w:val="en-GB"/>
        </w:rPr>
      </w:pPr>
      <w:r>
        <w:rPr>
          <w:rFonts w:hint="eastAsia" w:ascii="宋体" w:hAnsi="宋体" w:cs="宋体"/>
          <w:b/>
          <w:color w:val="auto"/>
          <w:sz w:val="28"/>
          <w:highlight w:val="none"/>
        </w:rPr>
        <w:t>附件16</w:t>
      </w:r>
    </w:p>
    <w:p w14:paraId="3B5396F6">
      <w:pPr>
        <w:spacing w:line="400" w:lineRule="exact"/>
        <w:jc w:val="center"/>
        <w:rPr>
          <w:rFonts w:ascii="宋体" w:hAnsi="宋体" w:cs="宋体"/>
          <w:b/>
          <w:bCs/>
          <w:snapToGrid w:val="0"/>
          <w:color w:val="auto"/>
          <w:sz w:val="28"/>
          <w:szCs w:val="28"/>
          <w:highlight w:val="none"/>
        </w:rPr>
      </w:pPr>
      <w:r>
        <w:rPr>
          <w:rFonts w:hint="eastAsia" w:ascii="宋体" w:hAnsi="宋体" w:cs="宋体"/>
          <w:b/>
          <w:bCs/>
          <w:snapToGrid w:val="0"/>
          <w:color w:val="auto"/>
          <w:sz w:val="28"/>
          <w:szCs w:val="28"/>
          <w:highlight w:val="none"/>
        </w:rPr>
        <w:t>中小企业声明函</w:t>
      </w:r>
    </w:p>
    <w:p w14:paraId="5819A7BE">
      <w:pPr>
        <w:pStyle w:val="8"/>
        <w:spacing w:before="5"/>
        <w:rPr>
          <w:rFonts w:ascii="宋体" w:hAnsi="宋体" w:cs="宋体"/>
          <w:b/>
          <w:color w:val="auto"/>
          <w:sz w:val="18"/>
          <w:szCs w:val="18"/>
          <w:highlight w:val="none"/>
        </w:rPr>
      </w:pPr>
    </w:p>
    <w:p w14:paraId="052CAF06">
      <w:pPr>
        <w:pStyle w:val="8"/>
        <w:autoSpaceDE w:val="0"/>
        <w:autoSpaceDN w:val="0"/>
        <w:spacing w:line="360" w:lineRule="auto"/>
        <w:ind w:right="-54" w:firstLine="420" w:firstLineChars="200"/>
        <w:rPr>
          <w:rFonts w:ascii="宋体" w:hAnsi="宋体" w:cs="宋体"/>
          <w:color w:val="auto"/>
          <w:szCs w:val="21"/>
          <w:highlight w:val="none"/>
          <w:lang w:val="zh-CN"/>
        </w:rPr>
      </w:pPr>
      <w:r>
        <w:rPr>
          <w:rFonts w:hint="eastAsia" w:ascii="宋体" w:hAnsi="宋体" w:cs="宋体"/>
          <w:color w:val="auto"/>
          <w:szCs w:val="21"/>
          <w:highlight w:val="none"/>
          <w:lang w:val="zh-CN"/>
        </w:rPr>
        <w:t>本公司（联合体）郑重声明，根据《政府采购促进中小企业发展管理办法》（财库﹝2020﹞46号）的规定，本公司（联合体）参加</w:t>
      </w:r>
      <w:r>
        <w:rPr>
          <w:rFonts w:hint="eastAsia" w:ascii="宋体" w:hAnsi="宋体" w:cs="宋体"/>
          <w:iCs/>
          <w:color w:val="auto"/>
          <w:szCs w:val="21"/>
          <w:highlight w:val="none"/>
          <w:u w:val="single"/>
        </w:rPr>
        <w:t>（单位名称）</w:t>
      </w:r>
      <w:r>
        <w:rPr>
          <w:rFonts w:hint="eastAsia" w:ascii="宋体" w:hAnsi="宋体" w:cs="宋体"/>
          <w:color w:val="auto"/>
          <w:szCs w:val="21"/>
          <w:highlight w:val="none"/>
        </w:rPr>
        <w:t>的</w:t>
      </w:r>
      <w:r>
        <w:rPr>
          <w:rFonts w:hint="eastAsia" w:ascii="宋体" w:hAnsi="宋体" w:cs="宋体"/>
          <w:iCs/>
          <w:color w:val="auto"/>
          <w:szCs w:val="21"/>
          <w:highlight w:val="none"/>
          <w:u w:val="single"/>
        </w:rPr>
        <w:t>（项目名称）</w:t>
      </w:r>
      <w:r>
        <w:rPr>
          <w:rFonts w:hint="eastAsia" w:ascii="宋体" w:hAnsi="宋体" w:cs="宋体"/>
          <w:color w:val="auto"/>
          <w:szCs w:val="21"/>
          <w:highlight w:val="none"/>
        </w:rPr>
        <w:t>采购活动，</w:t>
      </w:r>
      <w:r>
        <w:rPr>
          <w:rFonts w:hint="eastAsia" w:ascii="宋体" w:hAnsi="宋体" w:cs="宋体"/>
          <w:color w:val="auto"/>
          <w:szCs w:val="21"/>
          <w:highlight w:val="none"/>
          <w:lang w:val="zh-CN"/>
        </w:rPr>
        <w:t>服务全部由符合政策要求的中小企业承接。相关企业（含联合体中的中小企业、签订分包意向协议的中小企业）的具体情况如下：</w:t>
      </w:r>
    </w:p>
    <w:p w14:paraId="5FFED0D7">
      <w:pPr>
        <w:pStyle w:val="8"/>
        <w:autoSpaceDE w:val="0"/>
        <w:autoSpaceDN w:val="0"/>
        <w:spacing w:line="360" w:lineRule="auto"/>
        <w:ind w:right="-54" w:firstLine="402" w:firstLineChars="200"/>
        <w:rPr>
          <w:rFonts w:ascii="宋体" w:hAnsi="宋体" w:cs="宋体"/>
          <w:iCs/>
          <w:color w:val="auto"/>
          <w:w w:val="99"/>
          <w:szCs w:val="21"/>
          <w:highlight w:val="none"/>
        </w:rPr>
      </w:pPr>
      <w:r>
        <w:rPr>
          <w:rFonts w:hint="eastAsia" w:ascii="宋体" w:hAnsi="宋体" w:cs="宋体"/>
          <w:iCs/>
          <w:color w:val="auto"/>
          <w:w w:val="96"/>
          <w:szCs w:val="21"/>
          <w:highlight w:val="none"/>
        </w:rPr>
        <w:t>一、</w:t>
      </w:r>
      <w:r>
        <w:rPr>
          <w:rFonts w:hint="eastAsia" w:ascii="宋体" w:hAnsi="宋体" w:cs="宋体"/>
          <w:iCs/>
          <w:color w:val="auto"/>
          <w:w w:val="96"/>
          <w:szCs w:val="21"/>
          <w:highlight w:val="none"/>
          <w:u w:val="single"/>
        </w:rPr>
        <w:t>（标的名称）</w:t>
      </w:r>
      <w:r>
        <w:rPr>
          <w:rFonts w:hint="eastAsia" w:ascii="宋体" w:hAnsi="宋体" w:cs="宋体"/>
          <w:color w:val="auto"/>
          <w:w w:val="99"/>
          <w:szCs w:val="21"/>
          <w:highlight w:val="none"/>
        </w:rPr>
        <w:t>，属于</w:t>
      </w:r>
      <w:r>
        <w:rPr>
          <w:rFonts w:hint="eastAsia" w:ascii="宋体" w:hAnsi="宋体" w:cs="宋体"/>
          <w:iCs/>
          <w:color w:val="auto"/>
          <w:w w:val="96"/>
          <w:szCs w:val="21"/>
          <w:highlight w:val="none"/>
        </w:rPr>
        <w:t>（</w:t>
      </w:r>
      <w:r>
        <w:rPr>
          <w:rFonts w:hint="eastAsia" w:ascii="宋体" w:hAnsi="宋体" w:cs="宋体"/>
          <w:iCs/>
          <w:color w:val="auto"/>
          <w:w w:val="96"/>
          <w:szCs w:val="21"/>
          <w:highlight w:val="none"/>
          <w:u w:val="single"/>
        </w:rPr>
        <w:t>采购文件中明确的所属行业）</w:t>
      </w:r>
      <w:r>
        <w:rPr>
          <w:rFonts w:hint="eastAsia" w:ascii="宋体" w:hAnsi="宋体" w:cs="宋体"/>
          <w:color w:val="auto"/>
          <w:w w:val="99"/>
          <w:szCs w:val="21"/>
          <w:highlight w:val="none"/>
        </w:rPr>
        <w:t>；承建（承接）企业为</w:t>
      </w:r>
      <w:r>
        <w:rPr>
          <w:rFonts w:hint="eastAsia" w:ascii="宋体" w:hAnsi="宋体" w:cs="宋体"/>
          <w:iCs/>
          <w:color w:val="auto"/>
          <w:w w:val="96"/>
          <w:szCs w:val="21"/>
          <w:highlight w:val="none"/>
          <w:u w:val="single"/>
        </w:rPr>
        <w:t>（企业名称）</w:t>
      </w:r>
      <w:r>
        <w:rPr>
          <w:rFonts w:hint="eastAsia" w:ascii="宋体" w:hAnsi="宋体" w:cs="宋体"/>
          <w:color w:val="auto"/>
          <w:w w:val="99"/>
          <w:szCs w:val="21"/>
          <w:highlight w:val="none"/>
        </w:rPr>
        <w:t>，从业人员</w:t>
      </w:r>
      <w:r>
        <w:rPr>
          <w:rFonts w:hint="eastAsia" w:ascii="宋体" w:hAnsi="宋体" w:cs="宋体"/>
          <w:color w:val="auto"/>
          <w:w w:val="99"/>
          <w:szCs w:val="21"/>
          <w:highlight w:val="none"/>
          <w:u w:val="single"/>
        </w:rPr>
        <w:t xml:space="preserve">  </w:t>
      </w:r>
      <w:r>
        <w:rPr>
          <w:rFonts w:hint="eastAsia" w:ascii="宋体" w:hAnsi="宋体" w:cs="宋体"/>
          <w:color w:val="auto"/>
          <w:w w:val="99"/>
          <w:szCs w:val="21"/>
          <w:highlight w:val="none"/>
        </w:rPr>
        <w:t>人，营业</w:t>
      </w:r>
      <w:r>
        <w:rPr>
          <w:rFonts w:hint="eastAsia" w:ascii="宋体" w:hAnsi="宋体" w:cs="宋体"/>
          <w:color w:val="auto"/>
          <w:szCs w:val="21"/>
          <w:highlight w:val="none"/>
        </w:rPr>
        <w:t>收入为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万元，资产总额为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万元</w:t>
      </w:r>
      <w:r>
        <w:rPr>
          <w:rFonts w:hint="eastAsia" w:ascii="宋体" w:hAnsi="宋体" w:cs="宋体"/>
          <w:color w:val="auto"/>
          <w:szCs w:val="21"/>
          <w:highlight w:val="none"/>
          <w:vertAlign w:val="superscript"/>
        </w:rPr>
        <w:t>1</w:t>
      </w:r>
      <w:r>
        <w:rPr>
          <w:rFonts w:hint="eastAsia" w:ascii="宋体" w:hAnsi="宋体" w:cs="宋体"/>
          <w:color w:val="auto"/>
          <w:szCs w:val="21"/>
          <w:highlight w:val="none"/>
        </w:rPr>
        <w:t>，属于</w:t>
      </w:r>
      <w:r>
        <w:rPr>
          <w:rFonts w:hint="eastAsia" w:ascii="宋体" w:hAnsi="宋体" w:cs="宋体"/>
          <w:iCs/>
          <w:color w:val="auto"/>
          <w:szCs w:val="21"/>
          <w:highlight w:val="none"/>
          <w:u w:val="single"/>
        </w:rPr>
        <w:t>（中型企业、</w:t>
      </w:r>
      <w:r>
        <w:rPr>
          <w:rFonts w:hint="eastAsia" w:ascii="宋体" w:hAnsi="宋体" w:cs="宋体"/>
          <w:iCs/>
          <w:color w:val="auto"/>
          <w:w w:val="96"/>
          <w:szCs w:val="21"/>
          <w:highlight w:val="none"/>
          <w:u w:val="single"/>
        </w:rPr>
        <w:t>小型企业、微型企业）</w:t>
      </w:r>
      <w:r>
        <w:rPr>
          <w:rFonts w:hint="eastAsia" w:ascii="宋体" w:hAnsi="宋体" w:cs="宋体"/>
          <w:iCs/>
          <w:color w:val="auto"/>
          <w:w w:val="99"/>
          <w:szCs w:val="21"/>
          <w:highlight w:val="none"/>
        </w:rPr>
        <w:t>；</w:t>
      </w:r>
    </w:p>
    <w:p w14:paraId="34E7060D">
      <w:pPr>
        <w:pStyle w:val="8"/>
        <w:autoSpaceDE w:val="0"/>
        <w:autoSpaceDN w:val="0"/>
        <w:spacing w:line="360" w:lineRule="auto"/>
        <w:ind w:right="-54" w:firstLine="402" w:firstLineChars="200"/>
        <w:rPr>
          <w:rFonts w:ascii="宋体" w:hAnsi="宋体" w:cs="宋体"/>
          <w:iCs/>
          <w:color w:val="auto"/>
          <w:w w:val="99"/>
          <w:szCs w:val="21"/>
          <w:highlight w:val="none"/>
        </w:rPr>
      </w:pPr>
      <w:r>
        <w:rPr>
          <w:rFonts w:hint="eastAsia" w:ascii="宋体" w:hAnsi="宋体" w:cs="宋体"/>
          <w:iCs/>
          <w:color w:val="auto"/>
          <w:w w:val="96"/>
          <w:szCs w:val="21"/>
          <w:highlight w:val="none"/>
        </w:rPr>
        <w:t>二、</w:t>
      </w:r>
      <w:r>
        <w:rPr>
          <w:rFonts w:hint="eastAsia" w:ascii="宋体" w:hAnsi="宋体" w:cs="宋体"/>
          <w:iCs/>
          <w:color w:val="auto"/>
          <w:w w:val="96"/>
          <w:szCs w:val="21"/>
          <w:highlight w:val="none"/>
          <w:u w:val="single"/>
        </w:rPr>
        <w:t>（标的名称）</w:t>
      </w:r>
      <w:r>
        <w:rPr>
          <w:rFonts w:hint="eastAsia" w:ascii="宋体" w:hAnsi="宋体" w:cs="宋体"/>
          <w:color w:val="auto"/>
          <w:w w:val="99"/>
          <w:szCs w:val="21"/>
          <w:highlight w:val="none"/>
        </w:rPr>
        <w:t>，属于</w:t>
      </w:r>
      <w:r>
        <w:rPr>
          <w:rFonts w:hint="eastAsia" w:ascii="宋体" w:hAnsi="宋体" w:cs="宋体"/>
          <w:iCs/>
          <w:color w:val="auto"/>
          <w:w w:val="96"/>
          <w:szCs w:val="21"/>
          <w:highlight w:val="none"/>
        </w:rPr>
        <w:t>（</w:t>
      </w:r>
      <w:r>
        <w:rPr>
          <w:rFonts w:hint="eastAsia" w:ascii="宋体" w:hAnsi="宋体" w:cs="宋体"/>
          <w:iCs/>
          <w:color w:val="auto"/>
          <w:w w:val="96"/>
          <w:szCs w:val="21"/>
          <w:highlight w:val="none"/>
          <w:u w:val="single"/>
        </w:rPr>
        <w:t>采购文件中明确的所属行业）</w:t>
      </w:r>
      <w:r>
        <w:rPr>
          <w:rFonts w:hint="eastAsia" w:ascii="宋体" w:hAnsi="宋体" w:cs="宋体"/>
          <w:color w:val="auto"/>
          <w:w w:val="99"/>
          <w:szCs w:val="21"/>
          <w:highlight w:val="none"/>
        </w:rPr>
        <w:t>；承建（承接）企业为</w:t>
      </w:r>
      <w:r>
        <w:rPr>
          <w:rFonts w:hint="eastAsia" w:ascii="宋体" w:hAnsi="宋体" w:cs="宋体"/>
          <w:iCs/>
          <w:color w:val="auto"/>
          <w:w w:val="96"/>
          <w:szCs w:val="21"/>
          <w:highlight w:val="none"/>
          <w:u w:val="single"/>
        </w:rPr>
        <w:t>（企业名称）</w:t>
      </w:r>
      <w:r>
        <w:rPr>
          <w:rFonts w:hint="eastAsia" w:ascii="宋体" w:hAnsi="宋体" w:cs="宋体"/>
          <w:color w:val="auto"/>
          <w:w w:val="99"/>
          <w:szCs w:val="21"/>
          <w:highlight w:val="none"/>
        </w:rPr>
        <w:t>，从业人员</w:t>
      </w:r>
      <w:r>
        <w:rPr>
          <w:rFonts w:hint="eastAsia" w:ascii="宋体" w:hAnsi="宋体" w:cs="宋体"/>
          <w:color w:val="auto"/>
          <w:w w:val="99"/>
          <w:szCs w:val="21"/>
          <w:highlight w:val="none"/>
          <w:u w:val="single"/>
        </w:rPr>
        <w:t xml:space="preserve">  </w:t>
      </w:r>
      <w:r>
        <w:rPr>
          <w:rFonts w:hint="eastAsia" w:ascii="宋体" w:hAnsi="宋体" w:cs="宋体"/>
          <w:color w:val="auto"/>
          <w:w w:val="99"/>
          <w:szCs w:val="21"/>
          <w:highlight w:val="none"/>
        </w:rPr>
        <w:t>人，营业</w:t>
      </w:r>
      <w:r>
        <w:rPr>
          <w:rFonts w:hint="eastAsia" w:ascii="宋体" w:hAnsi="宋体" w:cs="宋体"/>
          <w:color w:val="auto"/>
          <w:szCs w:val="21"/>
          <w:highlight w:val="none"/>
        </w:rPr>
        <w:t>收入为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万元，资产总额为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万元，属于</w:t>
      </w:r>
      <w:r>
        <w:rPr>
          <w:rFonts w:hint="eastAsia" w:ascii="宋体" w:hAnsi="宋体" w:cs="宋体"/>
          <w:iCs/>
          <w:color w:val="auto"/>
          <w:szCs w:val="21"/>
          <w:highlight w:val="none"/>
          <w:u w:val="single"/>
        </w:rPr>
        <w:t>（中型企业、</w:t>
      </w:r>
      <w:r>
        <w:rPr>
          <w:rFonts w:hint="eastAsia" w:ascii="宋体" w:hAnsi="宋体" w:cs="宋体"/>
          <w:iCs/>
          <w:color w:val="auto"/>
          <w:w w:val="96"/>
          <w:szCs w:val="21"/>
          <w:highlight w:val="none"/>
          <w:u w:val="single"/>
        </w:rPr>
        <w:t>小型企业、微型企业）</w:t>
      </w:r>
      <w:r>
        <w:rPr>
          <w:rFonts w:hint="eastAsia" w:ascii="宋体" w:hAnsi="宋体" w:cs="宋体"/>
          <w:iCs/>
          <w:color w:val="auto"/>
          <w:w w:val="99"/>
          <w:szCs w:val="21"/>
          <w:highlight w:val="none"/>
        </w:rPr>
        <w:t>；</w:t>
      </w:r>
    </w:p>
    <w:p w14:paraId="479EB089">
      <w:pPr>
        <w:pStyle w:val="8"/>
        <w:autoSpaceDE w:val="0"/>
        <w:autoSpaceDN w:val="0"/>
        <w:spacing w:line="360" w:lineRule="auto"/>
        <w:ind w:right="-54" w:firstLine="420" w:firstLineChars="200"/>
        <w:rPr>
          <w:rFonts w:ascii="宋体" w:hAnsi="宋体" w:cs="宋体"/>
          <w:color w:val="auto"/>
          <w:szCs w:val="21"/>
          <w:highlight w:val="none"/>
        </w:rPr>
      </w:pPr>
      <w:r>
        <w:rPr>
          <w:rFonts w:hint="eastAsia" w:ascii="宋体" w:hAnsi="宋体" w:cs="宋体"/>
          <w:color w:val="auto"/>
          <w:szCs w:val="21"/>
          <w:highlight w:val="none"/>
        </w:rPr>
        <w:t>……</w:t>
      </w:r>
    </w:p>
    <w:p w14:paraId="2EBB4355">
      <w:pPr>
        <w:pStyle w:val="8"/>
        <w:autoSpaceDE w:val="0"/>
        <w:autoSpaceDN w:val="0"/>
        <w:spacing w:line="360" w:lineRule="auto"/>
        <w:ind w:right="-54" w:firstLine="420" w:firstLineChars="200"/>
        <w:rPr>
          <w:rFonts w:ascii="宋体" w:hAnsi="宋体" w:cs="宋体"/>
          <w:color w:val="auto"/>
          <w:szCs w:val="21"/>
          <w:highlight w:val="none"/>
        </w:rPr>
      </w:pPr>
      <w:r>
        <w:rPr>
          <w:rFonts w:hint="eastAsia" w:ascii="宋体" w:hAnsi="宋体" w:cs="宋体"/>
          <w:color w:val="auto"/>
          <w:szCs w:val="21"/>
          <w:highlight w:val="none"/>
        </w:rPr>
        <w:t>以上企业，不属于大企业的分支机构，不存在控股股东为大企业的情形，也不存在与大企业的负责人为同一人的情形。</w:t>
      </w:r>
    </w:p>
    <w:p w14:paraId="6AE3AAB1">
      <w:pPr>
        <w:pStyle w:val="8"/>
        <w:autoSpaceDE w:val="0"/>
        <w:autoSpaceDN w:val="0"/>
        <w:spacing w:line="360" w:lineRule="auto"/>
        <w:ind w:right="-54" w:firstLine="420" w:firstLineChars="200"/>
        <w:rPr>
          <w:rFonts w:ascii="宋体" w:hAnsi="宋体" w:cs="宋体"/>
          <w:color w:val="auto"/>
          <w:szCs w:val="21"/>
          <w:highlight w:val="none"/>
        </w:rPr>
      </w:pPr>
      <w:r>
        <w:rPr>
          <w:rFonts w:hint="eastAsia" w:ascii="宋体" w:hAnsi="宋体" w:cs="宋体"/>
          <w:color w:val="auto"/>
          <w:szCs w:val="21"/>
          <w:highlight w:val="none"/>
        </w:rPr>
        <w:t>本企业对上述声明内容的真实性负责。如有虚假，将依法承担相应责任。</w:t>
      </w:r>
    </w:p>
    <w:p w14:paraId="186E7A75">
      <w:pPr>
        <w:pStyle w:val="8"/>
        <w:autoSpaceDE w:val="0"/>
        <w:autoSpaceDN w:val="0"/>
        <w:spacing w:before="29" w:line="360" w:lineRule="auto"/>
        <w:ind w:left="4060" w:right="-54"/>
        <w:rPr>
          <w:rFonts w:ascii="宋体" w:hAnsi="宋体" w:cs="宋体"/>
          <w:color w:val="auto"/>
          <w:w w:val="99"/>
          <w:szCs w:val="21"/>
          <w:highlight w:val="none"/>
        </w:rPr>
      </w:pPr>
    </w:p>
    <w:p w14:paraId="3E6BA665">
      <w:pPr>
        <w:pStyle w:val="8"/>
        <w:autoSpaceDE w:val="0"/>
        <w:autoSpaceDN w:val="0"/>
        <w:spacing w:before="29" w:line="360" w:lineRule="auto"/>
        <w:ind w:left="4060" w:right="-54"/>
        <w:rPr>
          <w:rFonts w:ascii="宋体" w:hAnsi="宋体" w:cs="宋体"/>
          <w:color w:val="auto"/>
          <w:w w:val="99"/>
          <w:szCs w:val="21"/>
          <w:highlight w:val="none"/>
        </w:rPr>
      </w:pPr>
    </w:p>
    <w:p w14:paraId="684E14F8">
      <w:pPr>
        <w:pStyle w:val="8"/>
        <w:autoSpaceDE w:val="0"/>
        <w:autoSpaceDN w:val="0"/>
        <w:spacing w:before="29" w:line="360" w:lineRule="auto"/>
        <w:ind w:right="-54" w:firstLine="3990" w:firstLineChars="1900"/>
        <w:rPr>
          <w:rFonts w:ascii="宋体" w:hAnsi="宋体" w:cs="宋体"/>
          <w:color w:val="auto"/>
          <w:szCs w:val="21"/>
          <w:highlight w:val="none"/>
        </w:rPr>
      </w:pPr>
      <w:r>
        <w:rPr>
          <w:rFonts w:hint="eastAsia" w:ascii="宋体" w:hAnsi="宋体" w:cs="宋体"/>
          <w:color w:val="auto"/>
          <w:szCs w:val="21"/>
          <w:highlight w:val="none"/>
        </w:rPr>
        <w:t>企业名称（盖章）：</w:t>
      </w:r>
    </w:p>
    <w:p w14:paraId="33626288">
      <w:pPr>
        <w:pStyle w:val="8"/>
        <w:autoSpaceDE w:val="0"/>
        <w:autoSpaceDN w:val="0"/>
        <w:spacing w:before="29" w:line="360" w:lineRule="auto"/>
        <w:ind w:right="-54" w:firstLine="3990" w:firstLineChars="1900"/>
        <w:rPr>
          <w:rFonts w:ascii="宋体" w:hAnsi="宋体" w:cs="宋体"/>
          <w:color w:val="auto"/>
          <w:kern w:val="0"/>
          <w:szCs w:val="21"/>
          <w:highlight w:val="none"/>
        </w:rPr>
      </w:pPr>
      <w:r>
        <w:rPr>
          <w:rFonts w:hint="eastAsia" w:ascii="宋体" w:hAnsi="宋体" w:cs="宋体"/>
          <w:color w:val="auto"/>
          <w:szCs w:val="21"/>
          <w:highlight w:val="none"/>
        </w:rPr>
        <w:t>日期：</w:t>
      </w:r>
    </w:p>
    <w:p w14:paraId="2547C345">
      <w:pPr>
        <w:pStyle w:val="12"/>
        <w:spacing w:line="360" w:lineRule="auto"/>
        <w:rPr>
          <w:rFonts w:hAnsi="宋体" w:cs="宋体"/>
          <w:b/>
          <w:color w:val="auto"/>
          <w:highlight w:val="none"/>
        </w:rPr>
      </w:pPr>
      <w:r>
        <w:rPr>
          <w:rFonts w:hint="eastAsia" w:hAnsi="宋体" w:cs="宋体"/>
          <w:color w:val="auto"/>
          <w:szCs w:val="21"/>
          <w:highlight w:val="none"/>
        </w:rPr>
        <w:t>注：1、从业人员、营业收入、资产总额填报上一年度数据，无上一年度数据的新成立企业可不填报。</w:t>
      </w:r>
    </w:p>
    <w:p w14:paraId="19A2A38C">
      <w:pPr>
        <w:pStyle w:val="52"/>
        <w:spacing w:line="360" w:lineRule="auto"/>
        <w:ind w:left="403"/>
        <w:rPr>
          <w:rFonts w:ascii="宋体" w:hAnsi="宋体" w:cs="宋体"/>
          <w:color w:val="auto"/>
          <w:spacing w:val="20"/>
          <w:kern w:val="0"/>
          <w:szCs w:val="21"/>
          <w:highlight w:val="none"/>
        </w:rPr>
      </w:pPr>
      <w:r>
        <w:rPr>
          <w:rFonts w:hint="eastAsia" w:ascii="宋体" w:hAnsi="宋体" w:cs="宋体"/>
          <w:color w:val="auto"/>
          <w:szCs w:val="21"/>
          <w:highlight w:val="none"/>
        </w:rPr>
        <w:t>2、</w:t>
      </w:r>
      <w:r>
        <w:rPr>
          <w:rFonts w:hint="eastAsia" w:ascii="宋体" w:hAnsi="宋体" w:cs="宋体"/>
          <w:color w:val="auto"/>
          <w:spacing w:val="20"/>
          <w:kern w:val="0"/>
          <w:szCs w:val="21"/>
          <w:highlight w:val="none"/>
        </w:rPr>
        <w:t>投标人按各自参加投标的对应标包分别编制、分别成册、分别提交。</w:t>
      </w:r>
    </w:p>
    <w:p w14:paraId="4EFA81CE">
      <w:pPr>
        <w:pStyle w:val="52"/>
        <w:spacing w:line="360" w:lineRule="auto"/>
        <w:jc w:val="center"/>
        <w:rPr>
          <w:rFonts w:ascii="宋体" w:hAnsi="宋体" w:cs="宋体"/>
          <w:b/>
          <w:color w:val="auto"/>
          <w:sz w:val="32"/>
          <w:szCs w:val="32"/>
          <w:highlight w:val="none"/>
          <w:lang w:val="en-GB"/>
        </w:rPr>
      </w:pPr>
    </w:p>
    <w:p w14:paraId="0A50C4BC">
      <w:pPr>
        <w:pStyle w:val="52"/>
        <w:spacing w:line="360" w:lineRule="auto"/>
        <w:jc w:val="center"/>
        <w:rPr>
          <w:rFonts w:ascii="宋体" w:hAnsi="宋体" w:cs="宋体"/>
          <w:b/>
          <w:color w:val="auto"/>
          <w:sz w:val="32"/>
          <w:szCs w:val="32"/>
          <w:highlight w:val="none"/>
          <w:lang w:val="en-GB"/>
        </w:rPr>
      </w:pPr>
    </w:p>
    <w:p w14:paraId="3CC798AA">
      <w:pPr>
        <w:pStyle w:val="12"/>
        <w:spacing w:line="360" w:lineRule="auto"/>
        <w:jc w:val="center"/>
        <w:rPr>
          <w:rFonts w:hAnsi="宋体" w:cs="宋体"/>
          <w:b/>
          <w:color w:val="auto"/>
          <w:sz w:val="32"/>
          <w:szCs w:val="32"/>
          <w:highlight w:val="none"/>
          <w:lang w:val="en-GB"/>
        </w:rPr>
        <w:sectPr>
          <w:pgSz w:w="11906" w:h="16838"/>
          <w:pgMar w:top="1440" w:right="1800" w:bottom="1440" w:left="1800" w:header="851" w:footer="992" w:gutter="0"/>
          <w:cols w:space="425" w:num="1"/>
          <w:docGrid w:type="lines" w:linePitch="312" w:charSpace="0"/>
        </w:sectPr>
      </w:pPr>
    </w:p>
    <w:p w14:paraId="54C3A2AC">
      <w:pPr>
        <w:pStyle w:val="12"/>
        <w:spacing w:line="360" w:lineRule="auto"/>
        <w:jc w:val="center"/>
        <w:rPr>
          <w:rFonts w:hAnsi="宋体" w:cs="宋体"/>
          <w:b/>
          <w:color w:val="auto"/>
          <w:sz w:val="32"/>
          <w:szCs w:val="32"/>
          <w:highlight w:val="none"/>
          <w:lang w:val="en-GB"/>
        </w:rPr>
      </w:pPr>
      <w:r>
        <w:rPr>
          <w:rFonts w:hint="eastAsia" w:hAnsi="宋体" w:cs="宋体"/>
          <w:b/>
          <w:color w:val="auto"/>
          <w:sz w:val="32"/>
          <w:szCs w:val="32"/>
          <w:highlight w:val="none"/>
          <w:lang w:val="en-GB"/>
        </w:rPr>
        <w:t>残疾人福利性单位声明函</w:t>
      </w:r>
    </w:p>
    <w:p w14:paraId="56073BDD">
      <w:pPr>
        <w:spacing w:line="360" w:lineRule="auto"/>
        <w:ind w:firstLine="444" w:firstLineChars="200"/>
        <w:rPr>
          <w:rFonts w:ascii="宋体" w:hAnsi="宋体" w:cs="宋体"/>
          <w:color w:val="auto"/>
          <w:spacing w:val="6"/>
          <w:szCs w:val="21"/>
          <w:highlight w:val="none"/>
        </w:rPr>
      </w:pPr>
      <w:r>
        <w:rPr>
          <w:rFonts w:hint="eastAsia" w:ascii="宋体" w:hAnsi="宋体" w:cs="宋体"/>
          <w:color w:val="auto"/>
          <w:spacing w:val="6"/>
          <w:szCs w:val="21"/>
          <w:highlight w:val="none"/>
        </w:rPr>
        <w:t>本单位郑重声明，根据《财政部民政部中国残疾人联合会关于促进残疾人就业政府采购政策的通知》（财库〔2017〕 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5A22949E">
      <w:pPr>
        <w:spacing w:line="360" w:lineRule="auto"/>
        <w:ind w:firstLine="444" w:firstLineChars="200"/>
        <w:rPr>
          <w:rFonts w:ascii="宋体" w:hAnsi="宋体" w:cs="宋体"/>
          <w:color w:val="auto"/>
          <w:spacing w:val="6"/>
          <w:szCs w:val="21"/>
          <w:highlight w:val="none"/>
        </w:rPr>
      </w:pPr>
      <w:r>
        <w:rPr>
          <w:rFonts w:hint="eastAsia" w:ascii="宋体" w:hAnsi="宋体" w:cs="宋体"/>
          <w:color w:val="auto"/>
          <w:spacing w:val="6"/>
          <w:szCs w:val="21"/>
          <w:highlight w:val="none"/>
        </w:rPr>
        <w:t>本单位对上述声明的真实性负责。如有虚假，将依法承担相应责任。</w:t>
      </w:r>
    </w:p>
    <w:p w14:paraId="5944D0F2">
      <w:pPr>
        <w:tabs>
          <w:tab w:val="left" w:pos="4860"/>
        </w:tabs>
        <w:spacing w:line="360" w:lineRule="auto"/>
        <w:ind w:right="1560" w:firstLine="444" w:firstLineChars="200"/>
        <w:jc w:val="center"/>
        <w:rPr>
          <w:rFonts w:ascii="宋体" w:hAnsi="宋体" w:cs="宋体"/>
          <w:color w:val="auto"/>
          <w:spacing w:val="6"/>
          <w:szCs w:val="21"/>
          <w:highlight w:val="none"/>
        </w:rPr>
      </w:pPr>
    </w:p>
    <w:p w14:paraId="7B22AADE">
      <w:pPr>
        <w:tabs>
          <w:tab w:val="left" w:pos="4860"/>
        </w:tabs>
        <w:spacing w:line="360" w:lineRule="auto"/>
        <w:ind w:right="1560" w:firstLine="444" w:firstLineChars="200"/>
        <w:jc w:val="center"/>
        <w:rPr>
          <w:rFonts w:ascii="宋体" w:hAnsi="宋体" w:cs="宋体"/>
          <w:color w:val="auto"/>
          <w:spacing w:val="6"/>
          <w:szCs w:val="21"/>
          <w:highlight w:val="none"/>
        </w:rPr>
      </w:pPr>
      <w:r>
        <w:rPr>
          <w:rFonts w:hint="eastAsia" w:ascii="宋体" w:hAnsi="宋体" w:cs="宋体"/>
          <w:color w:val="auto"/>
          <w:spacing w:val="6"/>
          <w:szCs w:val="21"/>
          <w:highlight w:val="none"/>
        </w:rPr>
        <w:t xml:space="preserve">   磋商供应商名称（盖章）：</w:t>
      </w:r>
    </w:p>
    <w:p w14:paraId="45BF3CF1">
      <w:pPr>
        <w:tabs>
          <w:tab w:val="left" w:pos="4860"/>
        </w:tabs>
        <w:spacing w:line="360" w:lineRule="auto"/>
        <w:ind w:right="1560" w:firstLine="420" w:firstLineChars="200"/>
        <w:jc w:val="center"/>
        <w:rPr>
          <w:rFonts w:ascii="宋体" w:hAnsi="宋体" w:cs="宋体"/>
          <w:color w:val="auto"/>
          <w:szCs w:val="21"/>
          <w:highlight w:val="none"/>
        </w:rPr>
      </w:pPr>
      <w:r>
        <w:rPr>
          <w:rFonts w:hint="eastAsia" w:ascii="宋体" w:hAnsi="宋体" w:cs="宋体"/>
          <w:color w:val="auto"/>
          <w:szCs w:val="21"/>
          <w:highlight w:val="none"/>
        </w:rPr>
        <w:t xml:space="preserve">   法定代表人（签字或盖章）：</w:t>
      </w:r>
    </w:p>
    <w:p w14:paraId="08D6C01A">
      <w:pPr>
        <w:tabs>
          <w:tab w:val="left" w:pos="4860"/>
        </w:tabs>
        <w:spacing w:line="360" w:lineRule="auto"/>
        <w:ind w:right="1560" w:firstLine="444" w:firstLineChars="200"/>
        <w:jc w:val="center"/>
        <w:rPr>
          <w:rFonts w:ascii="宋体" w:hAnsi="宋体" w:cs="宋体"/>
          <w:color w:val="auto"/>
          <w:szCs w:val="21"/>
          <w:highlight w:val="none"/>
        </w:rPr>
      </w:pPr>
      <w:r>
        <w:rPr>
          <w:rFonts w:hint="eastAsia" w:ascii="宋体" w:hAnsi="宋体" w:cs="宋体"/>
          <w:color w:val="auto"/>
          <w:spacing w:val="6"/>
          <w:szCs w:val="21"/>
          <w:highlight w:val="none"/>
        </w:rPr>
        <w:t>日期：</w:t>
      </w:r>
    </w:p>
    <w:p w14:paraId="3CCB54E4">
      <w:pPr>
        <w:pStyle w:val="52"/>
        <w:spacing w:line="360" w:lineRule="auto"/>
        <w:rPr>
          <w:rFonts w:ascii="宋体" w:hAnsi="宋体" w:cs="宋体"/>
          <w:b/>
          <w:color w:val="auto"/>
          <w:sz w:val="28"/>
          <w:szCs w:val="28"/>
          <w:highlight w:val="none"/>
        </w:rPr>
      </w:pPr>
    </w:p>
    <w:p w14:paraId="13BA4176">
      <w:pPr>
        <w:pStyle w:val="52"/>
        <w:spacing w:line="360" w:lineRule="auto"/>
        <w:rPr>
          <w:rFonts w:ascii="宋体" w:hAnsi="宋体" w:cs="宋体"/>
          <w:b/>
          <w:color w:val="000000" w:themeColor="text1"/>
          <w:sz w:val="28"/>
          <w:szCs w:val="28"/>
        </w:rPr>
      </w:pPr>
    </w:p>
    <w:p w14:paraId="2AD2FD4B">
      <w:pPr>
        <w:pStyle w:val="52"/>
        <w:spacing w:line="360" w:lineRule="auto"/>
        <w:rPr>
          <w:rFonts w:ascii="宋体" w:hAnsi="宋体" w:cs="宋体"/>
          <w:b/>
          <w:color w:val="000000" w:themeColor="text1"/>
          <w:sz w:val="28"/>
          <w:szCs w:val="28"/>
        </w:rPr>
      </w:pPr>
    </w:p>
    <w:p w14:paraId="6372FC42">
      <w:pPr>
        <w:pStyle w:val="52"/>
        <w:spacing w:line="360" w:lineRule="auto"/>
        <w:rPr>
          <w:rFonts w:ascii="宋体" w:hAnsi="宋体" w:cs="宋体"/>
          <w:b/>
          <w:color w:val="000000" w:themeColor="text1"/>
          <w:sz w:val="28"/>
          <w:szCs w:val="28"/>
        </w:rPr>
      </w:pPr>
    </w:p>
    <w:p w14:paraId="3CD16A36">
      <w:pPr>
        <w:pStyle w:val="52"/>
        <w:spacing w:line="360" w:lineRule="auto"/>
        <w:rPr>
          <w:rFonts w:ascii="宋体" w:hAnsi="宋体" w:cs="宋体"/>
          <w:b/>
          <w:color w:val="000000" w:themeColor="text1"/>
          <w:sz w:val="28"/>
          <w:szCs w:val="28"/>
        </w:rPr>
      </w:pPr>
    </w:p>
    <w:p w14:paraId="29EFD617">
      <w:pPr>
        <w:pStyle w:val="52"/>
        <w:spacing w:line="360" w:lineRule="auto"/>
        <w:rPr>
          <w:rFonts w:ascii="宋体" w:hAnsi="宋体" w:cs="宋体"/>
          <w:b/>
          <w:color w:val="000000" w:themeColor="text1"/>
          <w:sz w:val="28"/>
          <w:szCs w:val="28"/>
        </w:rPr>
      </w:pPr>
    </w:p>
    <w:p w14:paraId="443F5577">
      <w:pPr>
        <w:pStyle w:val="52"/>
        <w:spacing w:line="360" w:lineRule="auto"/>
        <w:rPr>
          <w:rFonts w:ascii="宋体" w:hAnsi="宋体" w:cs="宋体"/>
          <w:b/>
          <w:color w:val="000000" w:themeColor="text1"/>
          <w:sz w:val="28"/>
          <w:szCs w:val="28"/>
        </w:rPr>
      </w:pPr>
    </w:p>
    <w:p w14:paraId="42E3AF6A">
      <w:pPr>
        <w:pStyle w:val="52"/>
        <w:spacing w:line="360" w:lineRule="auto"/>
        <w:rPr>
          <w:rFonts w:ascii="宋体" w:hAnsi="宋体" w:cs="宋体"/>
          <w:b/>
          <w:color w:val="000000" w:themeColor="text1"/>
          <w:sz w:val="28"/>
          <w:szCs w:val="28"/>
        </w:rPr>
      </w:pPr>
    </w:p>
    <w:p w14:paraId="4B0A73E6">
      <w:pPr>
        <w:pStyle w:val="52"/>
        <w:spacing w:line="360" w:lineRule="auto"/>
        <w:rPr>
          <w:rFonts w:ascii="宋体" w:hAnsi="宋体" w:cs="宋体"/>
          <w:b/>
          <w:color w:val="000000" w:themeColor="text1"/>
          <w:sz w:val="28"/>
          <w:szCs w:val="28"/>
        </w:rPr>
      </w:pPr>
    </w:p>
    <w:p w14:paraId="1AB064A2">
      <w:pPr>
        <w:pStyle w:val="8"/>
        <w:rPr>
          <w:rFonts w:ascii="宋体" w:hAnsi="宋体" w:cs="宋体"/>
          <w:color w:val="000000" w:themeColor="text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方正书宋简体">
    <w:altName w:val="宋体"/>
    <w:panose1 w:val="00000000000000000000"/>
    <w:charset w:val="86"/>
    <w:family w:val="auto"/>
    <w:pitch w:val="default"/>
    <w:sig w:usb0="00000000" w:usb1="00000000" w:usb2="00000012" w:usb3="00000000" w:csb0="00040001" w:csb1="00000000"/>
  </w:font>
  <w:font w:name="微软雅黑">
    <w:panose1 w:val="020B0503020204020204"/>
    <w:charset w:val="86"/>
    <w:family w:val="swiss"/>
    <w:pitch w:val="default"/>
    <w:sig w:usb0="80000287" w:usb1="2ACF3C50" w:usb2="00000016" w:usb3="00000000" w:csb0="0004001F" w:csb1="00000000"/>
  </w:font>
  <w:font w:name="华文细黑">
    <w:altName w:val="微软雅黑"/>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F91360">
    <w:pPr>
      <w:pStyle w:val="15"/>
    </w:pPr>
    <w:r>
      <w:pict>
        <v:shape id="_x0000_s2050" o:spid="_x0000_s2050" o:spt="202" type="#_x0000_t202" style="position:absolute;left:0pt;margin-top:0pt;height:11.65pt;width:76.55pt;mso-position-horizontal:center;mso-position-horizontal-relative:margin;mso-wrap-style:none;z-index:251659264;mso-width-relative:page;mso-height-relative:page;" filled="f" stroked="f" coordsize="21600,21600" o:gfxdata="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EDF8ZnSAAAABAEAAA8AAAAAAAAAAQAgAAAAIgAAAGRycy9kb3ducmV2Lnht&#10;bFBLAQIUABQAAAAIAIdO4kC1WXqyOAIAAG8EAAAOAAAAAAAAAAEAIAAAACEBAABkcnMvZTJvRG9j&#10;LnhtbFBLBQYAAAAABgAGAFkBAADLBQAAAAA=&#10;">
          <v:path/>
          <v:fill on="f" focussize="0,0"/>
          <v:stroke on="f" weight="0.5pt" joinstyle="miter"/>
          <v:imagedata o:title=""/>
          <o:lock v:ext="edit"/>
          <v:textbox inset="0mm,0mm,0mm,0mm" style="mso-fit-shape-to-text:t;">
            <w:txbxContent>
              <w:p w14:paraId="138A19D9">
                <w:pPr>
                  <w:pStyle w:val="15"/>
                </w:pPr>
                <w:r>
                  <w:fldChar w:fldCharType="begin"/>
                </w:r>
                <w:r>
                  <w:instrText xml:space="preserve"> PAGE  \* MERGEFORMAT </w:instrText>
                </w:r>
                <w:r>
                  <w:fldChar w:fldCharType="separate"/>
                </w:r>
                <w:r>
                  <w:t>34</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AB39FE">
    <w:pPr>
      <w:pStyle w:val="15"/>
    </w:pPr>
    <w:r>
      <w:pict>
        <v:shape id="_x0000_s2049" o:spid="_x0000_s2049"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path/>
          <v:fill on="f" focussize="0,0"/>
          <v:stroke on="f" weight="0.5pt" joinstyle="miter"/>
          <v:imagedata o:title=""/>
          <o:lock v:ext="edit"/>
          <v:textbox inset="0mm,0mm,0mm,0mm" style="mso-fit-shape-to-text:t;">
            <w:txbxContent>
              <w:p w14:paraId="0DA0DCF8">
                <w:pPr>
                  <w:pStyle w:val="15"/>
                  <w:rPr>
                    <w:rFonts w:eastAsia="宋体"/>
                  </w:rPr>
                </w:pPr>
                <w:r>
                  <w:fldChar w:fldCharType="begin"/>
                </w:r>
                <w:r>
                  <w:instrText xml:space="preserve"> PAGE  \* MERGEFORMAT </w:instrText>
                </w:r>
                <w:r>
                  <w:fldChar w:fldCharType="separate"/>
                </w:r>
                <w:r>
                  <w:t>67</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3EFBFA">
    <w:pPr>
      <w:rPr>
        <w:iCs/>
      </w:rPr>
    </w:pPr>
    <w:r>
      <w:rPr>
        <w:rFonts w:hint="eastAsia"/>
        <w:b/>
        <w:iCs/>
        <w:color w:val="000000"/>
        <w:kern w:val="0"/>
        <w:sz w:val="18"/>
        <w:u w:val="single"/>
      </w:rPr>
      <w:t>政府采购竞争性磋商文件</w:t>
    </w:r>
    <w:r>
      <w:rPr>
        <w:b/>
        <w:iCs/>
        <w:color w:val="000000"/>
        <w:kern w:val="0"/>
        <w:sz w:val="18"/>
        <w:u w:val="single"/>
      </w:rPr>
      <w:t>--</w:t>
    </w:r>
    <w:r>
      <w:rPr>
        <w:rFonts w:hint="eastAsia"/>
        <w:b/>
        <w:iCs/>
        <w:color w:val="000000"/>
        <w:kern w:val="0"/>
        <w:sz w:val="18"/>
        <w:u w:val="single"/>
      </w:rPr>
      <w:t>信息安全运维服务项目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977F9A">
    <w:pPr>
      <w:pStyle w:val="1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C7953C"/>
    <w:multiLevelType w:val="singleLevel"/>
    <w:tmpl w:val="AFC7953C"/>
    <w:lvl w:ilvl="0" w:tentative="0">
      <w:start w:val="22"/>
      <w:numFmt w:val="decimal"/>
      <w:suff w:val="space"/>
      <w:lvlText w:val="%1."/>
      <w:lvlJc w:val="left"/>
    </w:lvl>
  </w:abstractNum>
  <w:abstractNum w:abstractNumId="1">
    <w:nsid w:val="E845603C"/>
    <w:multiLevelType w:val="singleLevel"/>
    <w:tmpl w:val="E845603C"/>
    <w:lvl w:ilvl="0" w:tentative="0">
      <w:start w:val="2"/>
      <w:numFmt w:val="decimal"/>
      <w:suff w:val="nothing"/>
      <w:lvlText w:val="%1、"/>
      <w:lvlJc w:val="left"/>
    </w:lvl>
  </w:abstractNum>
  <w:abstractNum w:abstractNumId="2">
    <w:nsid w:val="471E06A1"/>
    <w:multiLevelType w:val="singleLevel"/>
    <w:tmpl w:val="471E06A1"/>
    <w:lvl w:ilvl="0" w:tentative="0">
      <w:start w:val="1"/>
      <w:numFmt w:val="japaneseCounting"/>
      <w:lvlText w:val="%1、"/>
      <w:lvlJc w:val="left"/>
      <w:pPr>
        <w:tabs>
          <w:tab w:val="left" w:pos="960"/>
        </w:tabs>
        <w:ind w:left="960" w:hanging="600"/>
      </w:pPr>
      <w:rPr>
        <w:rFonts w:hint="eastAsia" w:cs="Times New Roman"/>
      </w:rPr>
    </w:lvl>
  </w:abstractNum>
  <w:abstractNum w:abstractNumId="3">
    <w:nsid w:val="770A450F"/>
    <w:multiLevelType w:val="singleLevel"/>
    <w:tmpl w:val="770A450F"/>
    <w:lvl w:ilvl="0" w:tentative="0">
      <w:start w:val="2"/>
      <w:numFmt w:val="chineseCounting"/>
      <w:suff w:val="space"/>
      <w:lvlText w:val="（%1）"/>
      <w:lvlJc w:val="left"/>
      <w:rPr>
        <w:rFonts w:hint="eastAsia"/>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1"/>
  <w:bordersDoNotSurroundFooter w:val="1"/>
  <w:hideSpellingError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2"/>
  </w:compat>
  <w:docVars>
    <w:docVar w:name="commondata" w:val="eyJoZGlkIjoiZTM3MGY4ODYxYTJmOGU5MjE1YjUzOGFlOWUyNmI5YTkifQ=="/>
  </w:docVars>
  <w:rsids>
    <w:rsidRoot w:val="00BE3149"/>
    <w:rsid w:val="00003563"/>
    <w:rsid w:val="00020E8F"/>
    <w:rsid w:val="0008396C"/>
    <w:rsid w:val="001C045C"/>
    <w:rsid w:val="003C6577"/>
    <w:rsid w:val="004C3E82"/>
    <w:rsid w:val="00532108"/>
    <w:rsid w:val="00535553"/>
    <w:rsid w:val="005C69E7"/>
    <w:rsid w:val="005E0476"/>
    <w:rsid w:val="006932E2"/>
    <w:rsid w:val="006A2B77"/>
    <w:rsid w:val="006E4C60"/>
    <w:rsid w:val="00777425"/>
    <w:rsid w:val="007901AD"/>
    <w:rsid w:val="008704DA"/>
    <w:rsid w:val="008929F9"/>
    <w:rsid w:val="009B7365"/>
    <w:rsid w:val="009C6908"/>
    <w:rsid w:val="009E7B9B"/>
    <w:rsid w:val="00B0088C"/>
    <w:rsid w:val="00B77BBE"/>
    <w:rsid w:val="00BE3149"/>
    <w:rsid w:val="00C143C0"/>
    <w:rsid w:val="00D27694"/>
    <w:rsid w:val="00E03F49"/>
    <w:rsid w:val="00E04ED8"/>
    <w:rsid w:val="00ED278B"/>
    <w:rsid w:val="00F7079C"/>
    <w:rsid w:val="00FC32D9"/>
    <w:rsid w:val="00FD1E0C"/>
    <w:rsid w:val="00FF74E6"/>
    <w:rsid w:val="01307AD0"/>
    <w:rsid w:val="017D1E30"/>
    <w:rsid w:val="02231574"/>
    <w:rsid w:val="02380D19"/>
    <w:rsid w:val="02E5202C"/>
    <w:rsid w:val="03466AA6"/>
    <w:rsid w:val="036C1E9F"/>
    <w:rsid w:val="03E47CA3"/>
    <w:rsid w:val="043F4777"/>
    <w:rsid w:val="043F7FC4"/>
    <w:rsid w:val="04E74FBD"/>
    <w:rsid w:val="05D4117F"/>
    <w:rsid w:val="064419F4"/>
    <w:rsid w:val="066F5863"/>
    <w:rsid w:val="07685A63"/>
    <w:rsid w:val="07A306E4"/>
    <w:rsid w:val="08390248"/>
    <w:rsid w:val="08A563E6"/>
    <w:rsid w:val="08E04465"/>
    <w:rsid w:val="09001A02"/>
    <w:rsid w:val="09070999"/>
    <w:rsid w:val="090D2444"/>
    <w:rsid w:val="09426C23"/>
    <w:rsid w:val="0943100A"/>
    <w:rsid w:val="09E03F7D"/>
    <w:rsid w:val="09E705AA"/>
    <w:rsid w:val="09F33DD0"/>
    <w:rsid w:val="09F35FF4"/>
    <w:rsid w:val="0A113E78"/>
    <w:rsid w:val="0A1B53D3"/>
    <w:rsid w:val="0AA92A82"/>
    <w:rsid w:val="0AF64F0D"/>
    <w:rsid w:val="0B2A4CED"/>
    <w:rsid w:val="0B6173A5"/>
    <w:rsid w:val="0B7D1897"/>
    <w:rsid w:val="0C1803D6"/>
    <w:rsid w:val="0C181AC6"/>
    <w:rsid w:val="0CDE4E9F"/>
    <w:rsid w:val="0CE8154C"/>
    <w:rsid w:val="0CFA4EFD"/>
    <w:rsid w:val="0D1F4CD0"/>
    <w:rsid w:val="0D6C490D"/>
    <w:rsid w:val="0DB856B1"/>
    <w:rsid w:val="0E0F138C"/>
    <w:rsid w:val="0E732C77"/>
    <w:rsid w:val="0EC6046D"/>
    <w:rsid w:val="0ECC2ABC"/>
    <w:rsid w:val="0ED2632B"/>
    <w:rsid w:val="0F7E6199"/>
    <w:rsid w:val="0F943ED7"/>
    <w:rsid w:val="0FE53655"/>
    <w:rsid w:val="0FE74D1C"/>
    <w:rsid w:val="10452B67"/>
    <w:rsid w:val="109F080C"/>
    <w:rsid w:val="10AB5685"/>
    <w:rsid w:val="10AF6F0E"/>
    <w:rsid w:val="11E77423"/>
    <w:rsid w:val="121665CB"/>
    <w:rsid w:val="12704EB7"/>
    <w:rsid w:val="129E4025"/>
    <w:rsid w:val="12EC03CE"/>
    <w:rsid w:val="132107E8"/>
    <w:rsid w:val="135C66DF"/>
    <w:rsid w:val="13D95ADA"/>
    <w:rsid w:val="13F01B8E"/>
    <w:rsid w:val="14A14A06"/>
    <w:rsid w:val="14CC336A"/>
    <w:rsid w:val="14F06271"/>
    <w:rsid w:val="15544BDD"/>
    <w:rsid w:val="156D5593"/>
    <w:rsid w:val="159E68EB"/>
    <w:rsid w:val="15DB5957"/>
    <w:rsid w:val="168339D9"/>
    <w:rsid w:val="16916269"/>
    <w:rsid w:val="16C47771"/>
    <w:rsid w:val="16D009D7"/>
    <w:rsid w:val="16D70F66"/>
    <w:rsid w:val="17047DD8"/>
    <w:rsid w:val="171D6CDD"/>
    <w:rsid w:val="17461D47"/>
    <w:rsid w:val="17831DAC"/>
    <w:rsid w:val="17D2330C"/>
    <w:rsid w:val="17E81FCE"/>
    <w:rsid w:val="186C5334"/>
    <w:rsid w:val="18D4797B"/>
    <w:rsid w:val="18ED431E"/>
    <w:rsid w:val="1906061C"/>
    <w:rsid w:val="191533D1"/>
    <w:rsid w:val="19630549"/>
    <w:rsid w:val="196500DE"/>
    <w:rsid w:val="19BF4FF7"/>
    <w:rsid w:val="1A1D777D"/>
    <w:rsid w:val="1A8060E9"/>
    <w:rsid w:val="1BB6506B"/>
    <w:rsid w:val="1BC0155F"/>
    <w:rsid w:val="1C2B49D8"/>
    <w:rsid w:val="1CAE7941"/>
    <w:rsid w:val="1CBF0303"/>
    <w:rsid w:val="1CC61F19"/>
    <w:rsid w:val="1D3E6559"/>
    <w:rsid w:val="1D465475"/>
    <w:rsid w:val="1DF55E7A"/>
    <w:rsid w:val="1ED11F54"/>
    <w:rsid w:val="1F162724"/>
    <w:rsid w:val="1F4F69F4"/>
    <w:rsid w:val="1FF67981"/>
    <w:rsid w:val="201C7B31"/>
    <w:rsid w:val="20264618"/>
    <w:rsid w:val="20506F69"/>
    <w:rsid w:val="20AA0083"/>
    <w:rsid w:val="20ED3C16"/>
    <w:rsid w:val="21492AD8"/>
    <w:rsid w:val="21680D6A"/>
    <w:rsid w:val="216C787B"/>
    <w:rsid w:val="223C363E"/>
    <w:rsid w:val="224700DF"/>
    <w:rsid w:val="22662AEC"/>
    <w:rsid w:val="232C2DE8"/>
    <w:rsid w:val="23FA686C"/>
    <w:rsid w:val="255B67E8"/>
    <w:rsid w:val="27BB78F3"/>
    <w:rsid w:val="28653289"/>
    <w:rsid w:val="287946BA"/>
    <w:rsid w:val="28C029FD"/>
    <w:rsid w:val="28C07331"/>
    <w:rsid w:val="28D80E9E"/>
    <w:rsid w:val="299A4677"/>
    <w:rsid w:val="29E63530"/>
    <w:rsid w:val="29F21359"/>
    <w:rsid w:val="2C5B59EF"/>
    <w:rsid w:val="2C794E25"/>
    <w:rsid w:val="2C8A158E"/>
    <w:rsid w:val="2C9D13B6"/>
    <w:rsid w:val="2CB70270"/>
    <w:rsid w:val="2D4C733E"/>
    <w:rsid w:val="2E2229F7"/>
    <w:rsid w:val="2F607C49"/>
    <w:rsid w:val="2F7B1BB4"/>
    <w:rsid w:val="2FA813FE"/>
    <w:rsid w:val="2FCC2EC1"/>
    <w:rsid w:val="30150257"/>
    <w:rsid w:val="306830B9"/>
    <w:rsid w:val="309703E8"/>
    <w:rsid w:val="30B54309"/>
    <w:rsid w:val="30CF5D28"/>
    <w:rsid w:val="317B75B1"/>
    <w:rsid w:val="31813005"/>
    <w:rsid w:val="31BE3FBA"/>
    <w:rsid w:val="323740AF"/>
    <w:rsid w:val="324F159B"/>
    <w:rsid w:val="325D7AE4"/>
    <w:rsid w:val="32745651"/>
    <w:rsid w:val="328B6879"/>
    <w:rsid w:val="32D9171D"/>
    <w:rsid w:val="332913B8"/>
    <w:rsid w:val="332F5751"/>
    <w:rsid w:val="33545332"/>
    <w:rsid w:val="342D5ABF"/>
    <w:rsid w:val="34772ADD"/>
    <w:rsid w:val="348B70ED"/>
    <w:rsid w:val="350262F0"/>
    <w:rsid w:val="35246EC1"/>
    <w:rsid w:val="352979DC"/>
    <w:rsid w:val="352D047D"/>
    <w:rsid w:val="362A1767"/>
    <w:rsid w:val="36411D61"/>
    <w:rsid w:val="36A60F32"/>
    <w:rsid w:val="36D706BD"/>
    <w:rsid w:val="36DB71B3"/>
    <w:rsid w:val="370B4954"/>
    <w:rsid w:val="37551CA3"/>
    <w:rsid w:val="378D23FD"/>
    <w:rsid w:val="3A0A7D51"/>
    <w:rsid w:val="3A316D41"/>
    <w:rsid w:val="3A672904"/>
    <w:rsid w:val="3A791AB3"/>
    <w:rsid w:val="3A7A6F1E"/>
    <w:rsid w:val="3B692A8A"/>
    <w:rsid w:val="3C1F2D54"/>
    <w:rsid w:val="3C203FE1"/>
    <w:rsid w:val="3C98764E"/>
    <w:rsid w:val="3D074FD1"/>
    <w:rsid w:val="3D326006"/>
    <w:rsid w:val="3D6038C9"/>
    <w:rsid w:val="3D843DB4"/>
    <w:rsid w:val="3D976EBB"/>
    <w:rsid w:val="3DAF1FA5"/>
    <w:rsid w:val="3DF950F9"/>
    <w:rsid w:val="3E491B7F"/>
    <w:rsid w:val="3E4E6F02"/>
    <w:rsid w:val="3E6B3B3E"/>
    <w:rsid w:val="3F610984"/>
    <w:rsid w:val="3F95513E"/>
    <w:rsid w:val="3FA323D6"/>
    <w:rsid w:val="40411C0D"/>
    <w:rsid w:val="4079340C"/>
    <w:rsid w:val="40B63C2E"/>
    <w:rsid w:val="40B9483F"/>
    <w:rsid w:val="416F0E3A"/>
    <w:rsid w:val="4230278E"/>
    <w:rsid w:val="42505454"/>
    <w:rsid w:val="4356268C"/>
    <w:rsid w:val="437F0F97"/>
    <w:rsid w:val="4412111F"/>
    <w:rsid w:val="448F4DA9"/>
    <w:rsid w:val="45185FC7"/>
    <w:rsid w:val="4557347D"/>
    <w:rsid w:val="45CE6E28"/>
    <w:rsid w:val="45DB40BB"/>
    <w:rsid w:val="46CD5E17"/>
    <w:rsid w:val="470216C0"/>
    <w:rsid w:val="476449B7"/>
    <w:rsid w:val="47AE28FC"/>
    <w:rsid w:val="47C11F07"/>
    <w:rsid w:val="47E83667"/>
    <w:rsid w:val="485A062F"/>
    <w:rsid w:val="49411A6B"/>
    <w:rsid w:val="494A187D"/>
    <w:rsid w:val="49D648FF"/>
    <w:rsid w:val="4A007A95"/>
    <w:rsid w:val="4A3B6D2F"/>
    <w:rsid w:val="4A5B78B4"/>
    <w:rsid w:val="4A6A77A1"/>
    <w:rsid w:val="4A802F02"/>
    <w:rsid w:val="4A8A58C2"/>
    <w:rsid w:val="4B366641"/>
    <w:rsid w:val="4B4C5C6D"/>
    <w:rsid w:val="4B762894"/>
    <w:rsid w:val="4BDC2DA4"/>
    <w:rsid w:val="4C392F39"/>
    <w:rsid w:val="4C6F03D6"/>
    <w:rsid w:val="4CF53B42"/>
    <w:rsid w:val="4CF72E0A"/>
    <w:rsid w:val="4D190A3D"/>
    <w:rsid w:val="4E3623E0"/>
    <w:rsid w:val="4E541E27"/>
    <w:rsid w:val="4F16559F"/>
    <w:rsid w:val="4F4966DE"/>
    <w:rsid w:val="4F6F57A9"/>
    <w:rsid w:val="50964EB3"/>
    <w:rsid w:val="513371C0"/>
    <w:rsid w:val="51345314"/>
    <w:rsid w:val="51FE2459"/>
    <w:rsid w:val="524B29D2"/>
    <w:rsid w:val="52777B4B"/>
    <w:rsid w:val="52D607DB"/>
    <w:rsid w:val="53183CF5"/>
    <w:rsid w:val="53240DE2"/>
    <w:rsid w:val="532D7BDF"/>
    <w:rsid w:val="53E31F32"/>
    <w:rsid w:val="54CF56D2"/>
    <w:rsid w:val="54E15B7B"/>
    <w:rsid w:val="554479B3"/>
    <w:rsid w:val="55741877"/>
    <w:rsid w:val="557A21AE"/>
    <w:rsid w:val="55FB6E38"/>
    <w:rsid w:val="55FC25AC"/>
    <w:rsid w:val="56E53448"/>
    <w:rsid w:val="572432E0"/>
    <w:rsid w:val="576D604E"/>
    <w:rsid w:val="57977A16"/>
    <w:rsid w:val="58117322"/>
    <w:rsid w:val="584E4D01"/>
    <w:rsid w:val="593F68E5"/>
    <w:rsid w:val="5A653FE4"/>
    <w:rsid w:val="5A664EC7"/>
    <w:rsid w:val="5AAA567C"/>
    <w:rsid w:val="5ACE03B2"/>
    <w:rsid w:val="5AFA0CD5"/>
    <w:rsid w:val="5BBC3082"/>
    <w:rsid w:val="5BC21978"/>
    <w:rsid w:val="5C542188"/>
    <w:rsid w:val="5C700425"/>
    <w:rsid w:val="5C8A42C3"/>
    <w:rsid w:val="5CCC5F39"/>
    <w:rsid w:val="5D033C9D"/>
    <w:rsid w:val="5D2F1C8F"/>
    <w:rsid w:val="5D74328A"/>
    <w:rsid w:val="5DF31F87"/>
    <w:rsid w:val="5E8450BB"/>
    <w:rsid w:val="5E9C5841"/>
    <w:rsid w:val="5F0D2C6F"/>
    <w:rsid w:val="5F6C101F"/>
    <w:rsid w:val="5F874F96"/>
    <w:rsid w:val="60205697"/>
    <w:rsid w:val="605E571B"/>
    <w:rsid w:val="60635BFA"/>
    <w:rsid w:val="60666010"/>
    <w:rsid w:val="60BD1FFE"/>
    <w:rsid w:val="61702F2E"/>
    <w:rsid w:val="61AF29FF"/>
    <w:rsid w:val="61E30582"/>
    <w:rsid w:val="62237A2E"/>
    <w:rsid w:val="629B53E3"/>
    <w:rsid w:val="62EB12D7"/>
    <w:rsid w:val="64EC39B6"/>
    <w:rsid w:val="65516178"/>
    <w:rsid w:val="65622F6B"/>
    <w:rsid w:val="65776951"/>
    <w:rsid w:val="659A6889"/>
    <w:rsid w:val="66651023"/>
    <w:rsid w:val="668F5D43"/>
    <w:rsid w:val="66950943"/>
    <w:rsid w:val="66B53B59"/>
    <w:rsid w:val="66F94CE9"/>
    <w:rsid w:val="68036FA4"/>
    <w:rsid w:val="68877B1A"/>
    <w:rsid w:val="68A92394"/>
    <w:rsid w:val="68B2407B"/>
    <w:rsid w:val="68C07FC3"/>
    <w:rsid w:val="696E11BA"/>
    <w:rsid w:val="6A035AFF"/>
    <w:rsid w:val="6A36621D"/>
    <w:rsid w:val="6A970C4A"/>
    <w:rsid w:val="6AAB5773"/>
    <w:rsid w:val="6AEF2BD6"/>
    <w:rsid w:val="6B0242A5"/>
    <w:rsid w:val="6B753032"/>
    <w:rsid w:val="6BAC07E2"/>
    <w:rsid w:val="6C1D38BD"/>
    <w:rsid w:val="6C5F676B"/>
    <w:rsid w:val="6CEC2E98"/>
    <w:rsid w:val="6D827B01"/>
    <w:rsid w:val="6DA018A4"/>
    <w:rsid w:val="6E6E1E0B"/>
    <w:rsid w:val="6F156B47"/>
    <w:rsid w:val="6F4126A8"/>
    <w:rsid w:val="6F52577A"/>
    <w:rsid w:val="706A014F"/>
    <w:rsid w:val="71020C28"/>
    <w:rsid w:val="716661C7"/>
    <w:rsid w:val="730D0933"/>
    <w:rsid w:val="73625312"/>
    <w:rsid w:val="736A469A"/>
    <w:rsid w:val="73876D66"/>
    <w:rsid w:val="74660813"/>
    <w:rsid w:val="748266FC"/>
    <w:rsid w:val="74B4003A"/>
    <w:rsid w:val="754526DD"/>
    <w:rsid w:val="75BB0C3B"/>
    <w:rsid w:val="75D56CB6"/>
    <w:rsid w:val="7632681F"/>
    <w:rsid w:val="764D2959"/>
    <w:rsid w:val="767D593D"/>
    <w:rsid w:val="76AC673B"/>
    <w:rsid w:val="76D43F8B"/>
    <w:rsid w:val="770A7D21"/>
    <w:rsid w:val="77B0242F"/>
    <w:rsid w:val="77CC6EA5"/>
    <w:rsid w:val="781624C8"/>
    <w:rsid w:val="78E41C51"/>
    <w:rsid w:val="78FA1692"/>
    <w:rsid w:val="791145E2"/>
    <w:rsid w:val="792D6B6B"/>
    <w:rsid w:val="79767DB3"/>
    <w:rsid w:val="79AF3E98"/>
    <w:rsid w:val="7A963BD8"/>
    <w:rsid w:val="7AE07CFD"/>
    <w:rsid w:val="7B376CA9"/>
    <w:rsid w:val="7C8D1673"/>
    <w:rsid w:val="7C902F57"/>
    <w:rsid w:val="7D567401"/>
    <w:rsid w:val="7D5817FB"/>
    <w:rsid w:val="7DAA5FB8"/>
    <w:rsid w:val="7DC93F96"/>
    <w:rsid w:val="7E3A598E"/>
    <w:rsid w:val="7E4E7602"/>
    <w:rsid w:val="7E723EF0"/>
    <w:rsid w:val="7ECE10A0"/>
    <w:rsid w:val="7F0B410B"/>
    <w:rsid w:val="7FAA7F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spacing w:line="360" w:lineRule="auto"/>
      <w:jc w:val="center"/>
      <w:outlineLvl w:val="0"/>
    </w:pPr>
    <w:rPr>
      <w:rFonts w:ascii="Arial" w:hAnsi="Arial" w:eastAsia="华文中宋"/>
      <w:b/>
      <w:color w:val="000000"/>
      <w:sz w:val="32"/>
    </w:rPr>
  </w:style>
  <w:style w:type="paragraph" w:styleId="3">
    <w:name w:val="heading 2"/>
    <w:basedOn w:val="1"/>
    <w:next w:val="1"/>
    <w:autoRedefine/>
    <w:qFormat/>
    <w:uiPriority w:val="0"/>
    <w:pPr>
      <w:keepNext/>
      <w:keepLines/>
      <w:widowControl/>
      <w:spacing w:before="260" w:after="260" w:line="416" w:lineRule="auto"/>
      <w:jc w:val="left"/>
      <w:outlineLvl w:val="1"/>
    </w:pPr>
    <w:rPr>
      <w:rFonts w:ascii="Arial" w:hAnsi="Arial" w:eastAsia="黑体"/>
      <w:b/>
      <w:bCs/>
      <w:sz w:val="32"/>
      <w:szCs w:val="32"/>
    </w:rPr>
  </w:style>
  <w:style w:type="paragraph" w:styleId="4">
    <w:name w:val="heading 3"/>
    <w:basedOn w:val="1"/>
    <w:next w:val="1"/>
    <w:autoRedefine/>
    <w:qFormat/>
    <w:uiPriority w:val="0"/>
    <w:pPr>
      <w:keepNext/>
      <w:keepLines/>
      <w:spacing w:before="260" w:after="260" w:line="360" w:lineRule="auto"/>
      <w:ind w:firstLine="602" w:firstLineChars="200"/>
      <w:outlineLvl w:val="2"/>
    </w:pPr>
    <w:rPr>
      <w:rFonts w:ascii="仿宋_GB2312" w:eastAsia="仿宋_GB2312"/>
      <w:b/>
      <w:bCs/>
      <w:sz w:val="30"/>
      <w:szCs w:val="20"/>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6"/>
    <w:autoRedefine/>
    <w:qFormat/>
    <w:uiPriority w:val="0"/>
    <w:pPr>
      <w:ind w:firstLine="420"/>
    </w:pPr>
    <w:rPr>
      <w:szCs w:val="20"/>
    </w:rPr>
  </w:style>
  <w:style w:type="paragraph" w:styleId="6">
    <w:name w:val="toc 2"/>
    <w:basedOn w:val="1"/>
    <w:next w:val="1"/>
    <w:autoRedefine/>
    <w:qFormat/>
    <w:uiPriority w:val="0"/>
    <w:pPr>
      <w:tabs>
        <w:tab w:val="right" w:leader="dot" w:pos="10070"/>
      </w:tabs>
      <w:spacing w:line="480" w:lineRule="auto"/>
      <w:ind w:left="200" w:leftChars="200"/>
    </w:pPr>
  </w:style>
  <w:style w:type="paragraph" w:styleId="7">
    <w:name w:val="annotation text"/>
    <w:basedOn w:val="1"/>
    <w:link w:val="60"/>
    <w:autoRedefine/>
    <w:qFormat/>
    <w:uiPriority w:val="0"/>
    <w:pPr>
      <w:jc w:val="left"/>
    </w:pPr>
  </w:style>
  <w:style w:type="paragraph" w:styleId="8">
    <w:name w:val="Body Text"/>
    <w:basedOn w:val="1"/>
    <w:next w:val="9"/>
    <w:link w:val="35"/>
    <w:autoRedefine/>
    <w:semiHidden/>
    <w:unhideWhenUsed/>
    <w:qFormat/>
    <w:uiPriority w:val="99"/>
    <w:pPr>
      <w:spacing w:after="120"/>
    </w:pPr>
  </w:style>
  <w:style w:type="paragraph" w:styleId="9">
    <w:name w:val="Body Text First Indent"/>
    <w:basedOn w:val="8"/>
    <w:next w:val="1"/>
    <w:autoRedefine/>
    <w:qFormat/>
    <w:uiPriority w:val="0"/>
    <w:pPr>
      <w:ind w:firstLine="420" w:firstLineChars="100"/>
    </w:pPr>
  </w:style>
  <w:style w:type="paragraph" w:styleId="10">
    <w:name w:val="Body Text Indent"/>
    <w:basedOn w:val="1"/>
    <w:next w:val="11"/>
    <w:link w:val="36"/>
    <w:autoRedefine/>
    <w:qFormat/>
    <w:uiPriority w:val="99"/>
    <w:pPr>
      <w:spacing w:after="120"/>
      <w:ind w:left="420" w:leftChars="200"/>
    </w:pPr>
  </w:style>
  <w:style w:type="paragraph" w:styleId="11">
    <w:name w:val="Body Text First Indent 2"/>
    <w:basedOn w:val="10"/>
    <w:next w:val="1"/>
    <w:autoRedefine/>
    <w:unhideWhenUsed/>
    <w:qFormat/>
    <w:uiPriority w:val="99"/>
    <w:pPr>
      <w:ind w:firstLine="420"/>
    </w:pPr>
  </w:style>
  <w:style w:type="paragraph" w:styleId="12">
    <w:name w:val="Plain Text"/>
    <w:basedOn w:val="1"/>
    <w:next w:val="13"/>
    <w:autoRedefine/>
    <w:qFormat/>
    <w:uiPriority w:val="0"/>
    <w:rPr>
      <w:rFonts w:ascii="宋体" w:hAnsi="Courier New" w:cstheme="minorBidi"/>
    </w:rPr>
  </w:style>
  <w:style w:type="paragraph" w:styleId="13">
    <w:name w:val="Date"/>
    <w:basedOn w:val="1"/>
    <w:next w:val="1"/>
    <w:autoRedefine/>
    <w:qFormat/>
    <w:uiPriority w:val="99"/>
    <w:pPr>
      <w:ind w:left="2500" w:leftChars="2500"/>
    </w:pPr>
    <w:rPr>
      <w:rFonts w:ascii="Calibri" w:hAnsi="Calibri" w:eastAsia="楷体_GB2312"/>
      <w:sz w:val="32"/>
      <w:szCs w:val="22"/>
    </w:rPr>
  </w:style>
  <w:style w:type="paragraph" w:styleId="14">
    <w:name w:val="Balloon Text"/>
    <w:basedOn w:val="1"/>
    <w:link w:val="37"/>
    <w:autoRedefine/>
    <w:semiHidden/>
    <w:unhideWhenUsed/>
    <w:qFormat/>
    <w:uiPriority w:val="99"/>
    <w:rPr>
      <w:sz w:val="18"/>
      <w:szCs w:val="18"/>
    </w:rPr>
  </w:style>
  <w:style w:type="paragraph" w:styleId="15">
    <w:name w:val="footer"/>
    <w:basedOn w:val="1"/>
    <w:link w:val="34"/>
    <w:autoRedefine/>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6">
    <w:name w:val="header"/>
    <w:basedOn w:val="1"/>
    <w:link w:val="33"/>
    <w:autoRedefine/>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7">
    <w:name w:val="footnote text"/>
    <w:basedOn w:val="1"/>
    <w:autoRedefine/>
    <w:qFormat/>
    <w:uiPriority w:val="0"/>
    <w:pPr>
      <w:snapToGrid w:val="0"/>
      <w:jc w:val="left"/>
    </w:pPr>
    <w:rPr>
      <w:rFonts w:eastAsia="仿宋_GB2312"/>
      <w:sz w:val="18"/>
      <w:szCs w:val="20"/>
    </w:rPr>
  </w:style>
  <w:style w:type="paragraph" w:styleId="18">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cs="Arial"/>
      <w:kern w:val="0"/>
      <w:szCs w:val="21"/>
    </w:rPr>
  </w:style>
  <w:style w:type="paragraph" w:styleId="19">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20">
    <w:name w:val="Title"/>
    <w:basedOn w:val="1"/>
    <w:next w:val="1"/>
    <w:autoRedefine/>
    <w:qFormat/>
    <w:uiPriority w:val="0"/>
    <w:pPr>
      <w:autoSpaceDE w:val="0"/>
      <w:autoSpaceDN w:val="0"/>
      <w:adjustRightInd w:val="0"/>
      <w:spacing w:before="240" w:after="60"/>
      <w:jc w:val="center"/>
      <w:outlineLvl w:val="0"/>
    </w:pPr>
    <w:rPr>
      <w:rFonts w:ascii="Cambria" w:hAnsi="Cambria"/>
      <w:b/>
      <w:color w:val="000000"/>
      <w:kern w:val="0"/>
      <w:sz w:val="32"/>
      <w:szCs w:val="32"/>
    </w:rPr>
  </w:style>
  <w:style w:type="paragraph" w:styleId="21">
    <w:name w:val="annotation subject"/>
    <w:basedOn w:val="7"/>
    <w:next w:val="7"/>
    <w:link w:val="61"/>
    <w:autoRedefine/>
    <w:semiHidden/>
    <w:unhideWhenUsed/>
    <w:qFormat/>
    <w:uiPriority w:val="99"/>
    <w:rPr>
      <w:b/>
      <w:bCs/>
    </w:rPr>
  </w:style>
  <w:style w:type="table" w:styleId="23">
    <w:name w:val="Table Grid"/>
    <w:basedOn w:val="2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Strong"/>
    <w:autoRedefine/>
    <w:qFormat/>
    <w:uiPriority w:val="0"/>
    <w:rPr>
      <w:rFonts w:ascii="Tahoma" w:hAnsi="Tahoma" w:cs="Tahoma"/>
      <w:b/>
      <w:sz w:val="24"/>
    </w:rPr>
  </w:style>
  <w:style w:type="character" w:styleId="26">
    <w:name w:val="page number"/>
    <w:basedOn w:val="24"/>
    <w:autoRedefine/>
    <w:qFormat/>
    <w:uiPriority w:val="0"/>
  </w:style>
  <w:style w:type="character" w:styleId="27">
    <w:name w:val="Hyperlink"/>
    <w:basedOn w:val="24"/>
    <w:autoRedefine/>
    <w:unhideWhenUsed/>
    <w:qFormat/>
    <w:uiPriority w:val="0"/>
    <w:rPr>
      <w:color w:val="0000FF"/>
      <w:u w:val="single"/>
    </w:rPr>
  </w:style>
  <w:style w:type="character" w:styleId="28">
    <w:name w:val="annotation reference"/>
    <w:basedOn w:val="24"/>
    <w:autoRedefine/>
    <w:qFormat/>
    <w:uiPriority w:val="0"/>
    <w:rPr>
      <w:sz w:val="21"/>
      <w:szCs w:val="21"/>
    </w:rPr>
  </w:style>
  <w:style w:type="character" w:styleId="29">
    <w:name w:val="footnote reference"/>
    <w:autoRedefine/>
    <w:qFormat/>
    <w:uiPriority w:val="0"/>
    <w:rPr>
      <w:vertAlign w:val="superscript"/>
    </w:rPr>
  </w:style>
  <w:style w:type="paragraph" w:customStyle="1" w:styleId="30">
    <w:name w:val="[Normal]"/>
    <w:autoRedefine/>
    <w:qFormat/>
    <w:uiPriority w:val="0"/>
    <w:rPr>
      <w:rFonts w:ascii="宋体" w:hAnsi="宋体" w:eastAsia="宋体" w:cs="Times New Roman"/>
      <w:sz w:val="24"/>
      <w:szCs w:val="22"/>
      <w:lang w:val="zh-CN" w:eastAsia="zh-CN" w:bidi="ar-SA"/>
    </w:rPr>
  </w:style>
  <w:style w:type="paragraph" w:customStyle="1" w:styleId="31">
    <w:name w:val="正文首行缩进1"/>
    <w:basedOn w:val="8"/>
    <w:autoRedefine/>
    <w:qFormat/>
    <w:uiPriority w:val="0"/>
    <w:pPr>
      <w:ind w:firstLine="420" w:firstLineChars="100"/>
    </w:pPr>
  </w:style>
  <w:style w:type="paragraph" w:customStyle="1" w:styleId="32">
    <w:name w:val="正文（首行缩进2字符）"/>
    <w:basedOn w:val="1"/>
    <w:autoRedefine/>
    <w:qFormat/>
    <w:uiPriority w:val="0"/>
    <w:pPr>
      <w:ind w:firstLine="480" w:firstLineChars="200"/>
    </w:pPr>
    <w:rPr>
      <w:sz w:val="24"/>
      <w:szCs w:val="20"/>
    </w:rPr>
  </w:style>
  <w:style w:type="character" w:customStyle="1" w:styleId="33">
    <w:name w:val="页眉 Char"/>
    <w:basedOn w:val="24"/>
    <w:link w:val="16"/>
    <w:autoRedefine/>
    <w:semiHidden/>
    <w:qFormat/>
    <w:uiPriority w:val="99"/>
    <w:rPr>
      <w:sz w:val="18"/>
      <w:szCs w:val="18"/>
    </w:rPr>
  </w:style>
  <w:style w:type="character" w:customStyle="1" w:styleId="34">
    <w:name w:val="页脚 Char"/>
    <w:basedOn w:val="24"/>
    <w:link w:val="15"/>
    <w:autoRedefine/>
    <w:semiHidden/>
    <w:qFormat/>
    <w:uiPriority w:val="99"/>
    <w:rPr>
      <w:sz w:val="18"/>
      <w:szCs w:val="18"/>
    </w:rPr>
  </w:style>
  <w:style w:type="character" w:customStyle="1" w:styleId="35">
    <w:name w:val="正文文本 Char"/>
    <w:basedOn w:val="24"/>
    <w:link w:val="8"/>
    <w:autoRedefine/>
    <w:semiHidden/>
    <w:qFormat/>
    <w:uiPriority w:val="99"/>
    <w:rPr>
      <w:rFonts w:ascii="Times New Roman" w:hAnsi="Times New Roman" w:eastAsia="宋体" w:cs="Times New Roman"/>
      <w:szCs w:val="24"/>
    </w:rPr>
  </w:style>
  <w:style w:type="character" w:customStyle="1" w:styleId="36">
    <w:name w:val="正文文本缩进 Char"/>
    <w:basedOn w:val="24"/>
    <w:link w:val="10"/>
    <w:autoRedefine/>
    <w:qFormat/>
    <w:uiPriority w:val="99"/>
    <w:rPr>
      <w:rFonts w:ascii="Times New Roman" w:hAnsi="Times New Roman" w:eastAsia="宋体" w:cs="Times New Roman"/>
      <w:szCs w:val="24"/>
    </w:rPr>
  </w:style>
  <w:style w:type="character" w:customStyle="1" w:styleId="37">
    <w:name w:val="批注框文本 Char"/>
    <w:basedOn w:val="24"/>
    <w:link w:val="14"/>
    <w:autoRedefine/>
    <w:semiHidden/>
    <w:qFormat/>
    <w:uiPriority w:val="99"/>
    <w:rPr>
      <w:rFonts w:ascii="Times New Roman" w:hAnsi="Times New Roman" w:eastAsia="宋体" w:cs="Times New Roman"/>
      <w:sz w:val="18"/>
      <w:szCs w:val="18"/>
    </w:rPr>
  </w:style>
  <w:style w:type="character" w:customStyle="1" w:styleId="38">
    <w:name w:val="无"/>
    <w:autoRedefine/>
    <w:qFormat/>
    <w:uiPriority w:val="99"/>
  </w:style>
  <w:style w:type="paragraph" w:customStyle="1" w:styleId="39">
    <w:name w:val="表格文字"/>
    <w:basedOn w:val="1"/>
    <w:next w:val="8"/>
    <w:autoRedefine/>
    <w:qFormat/>
    <w:uiPriority w:val="99"/>
    <w:pPr>
      <w:adjustRightInd w:val="0"/>
      <w:spacing w:line="420" w:lineRule="atLeast"/>
      <w:jc w:val="left"/>
      <w:textAlignment w:val="baseline"/>
    </w:pPr>
    <w:rPr>
      <w:kern w:val="0"/>
    </w:rPr>
  </w:style>
  <w:style w:type="paragraph" w:customStyle="1" w:styleId="40">
    <w:name w:val="正文_8_0_0"/>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1">
    <w:name w:val="正文_10_0"/>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2">
    <w:name w:val="reader-word-layer"/>
    <w:basedOn w:val="1"/>
    <w:autoRedefine/>
    <w:qFormat/>
    <w:uiPriority w:val="99"/>
    <w:pPr>
      <w:widowControl/>
      <w:spacing w:before="100" w:beforeAutospacing="1" w:after="100" w:afterAutospacing="1"/>
      <w:jc w:val="left"/>
    </w:pPr>
    <w:rPr>
      <w:rFonts w:ascii="宋体" w:hAnsi="宋体" w:cs="宋体"/>
      <w:kern w:val="0"/>
      <w:sz w:val="24"/>
    </w:rPr>
  </w:style>
  <w:style w:type="paragraph" w:customStyle="1" w:styleId="43">
    <w:name w:val="正文_3_0"/>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4">
    <w:name w:val="正文_14"/>
    <w:autoRedefine/>
    <w:qFormat/>
    <w:uiPriority w:val="99"/>
    <w:rPr>
      <w:rFonts w:ascii="Times New Roman" w:hAnsi="Times New Roman" w:eastAsia="宋体" w:cs="Times New Roman"/>
      <w:sz w:val="21"/>
      <w:szCs w:val="22"/>
      <w:lang w:val="en-US" w:eastAsia="zh-CN" w:bidi="ar-SA"/>
    </w:rPr>
  </w:style>
  <w:style w:type="paragraph" w:customStyle="1" w:styleId="45">
    <w:name w:val="正文_4"/>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6">
    <w:name w:val="正文_5"/>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7">
    <w:name w:val="正文_10"/>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8">
    <w:name w:val="纯文本_3"/>
    <w:basedOn w:val="47"/>
    <w:autoRedefine/>
    <w:qFormat/>
    <w:uiPriority w:val="99"/>
    <w:pPr>
      <w:widowControl/>
      <w:jc w:val="left"/>
    </w:pPr>
    <w:rPr>
      <w:rFonts w:ascii="宋体" w:hAnsi="Courier New"/>
      <w:szCs w:val="21"/>
    </w:rPr>
  </w:style>
  <w:style w:type="paragraph" w:customStyle="1" w:styleId="49">
    <w:name w:val="纯文本_0_1"/>
    <w:basedOn w:val="1"/>
    <w:autoRedefine/>
    <w:qFormat/>
    <w:uiPriority w:val="99"/>
    <w:pPr>
      <w:widowControl/>
      <w:jc w:val="left"/>
    </w:pPr>
    <w:rPr>
      <w:rFonts w:ascii="宋体" w:hAnsi="Courier New"/>
      <w:szCs w:val="21"/>
    </w:rPr>
  </w:style>
  <w:style w:type="paragraph" w:customStyle="1" w:styleId="50">
    <w:name w:val="正文_17"/>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1">
    <w:name w:val="正文_2_0"/>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2">
    <w:name w:val="正文_6"/>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3">
    <w:name w:val="Normal_15"/>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4">
    <w:name w:val="正文1"/>
    <w:next w:val="1"/>
    <w:autoRedefine/>
    <w:qFormat/>
    <w:uiPriority w:val="0"/>
    <w:pPr>
      <w:widowControl w:val="0"/>
      <w:adjustRightInd w:val="0"/>
      <w:spacing w:line="240" w:lineRule="atLeast"/>
      <w:jc w:val="both"/>
    </w:pPr>
    <w:rPr>
      <w:rFonts w:ascii="宋体" w:hAnsi="Times New Roman" w:eastAsia="宋体" w:cs="Times New Roman"/>
      <w:sz w:val="34"/>
      <w:lang w:val="en-US" w:eastAsia="zh-CN" w:bidi="ar-SA"/>
    </w:rPr>
  </w:style>
  <w:style w:type="paragraph" w:customStyle="1" w:styleId="55">
    <w:name w:val="p0"/>
    <w:basedOn w:val="1"/>
    <w:autoRedefine/>
    <w:qFormat/>
    <w:uiPriority w:val="0"/>
    <w:pPr>
      <w:widowControl/>
    </w:pPr>
    <w:rPr>
      <w:rFonts w:ascii="Calibri" w:hAnsi="Calibri" w:cs="宋体"/>
      <w:kern w:val="0"/>
      <w:szCs w:val="21"/>
    </w:rPr>
  </w:style>
  <w:style w:type="paragraph" w:styleId="56">
    <w:name w:val="List Paragraph"/>
    <w:basedOn w:val="1"/>
    <w:autoRedefine/>
    <w:qFormat/>
    <w:uiPriority w:val="0"/>
    <w:pPr>
      <w:ind w:firstLine="420" w:firstLineChars="200"/>
    </w:pPr>
  </w:style>
  <w:style w:type="paragraph" w:customStyle="1" w:styleId="57">
    <w:name w:val="纯文本1"/>
    <w:basedOn w:val="54"/>
    <w:autoRedefine/>
    <w:qFormat/>
    <w:uiPriority w:val="0"/>
    <w:pPr>
      <w:widowControl/>
      <w:jc w:val="left"/>
    </w:pPr>
    <w:rPr>
      <w:rFonts w:hAnsi="Courier New"/>
    </w:rPr>
  </w:style>
  <w:style w:type="paragraph" w:customStyle="1" w:styleId="58">
    <w:name w:val="Table Paragraph"/>
    <w:basedOn w:val="1"/>
    <w:autoRedefine/>
    <w:qFormat/>
    <w:uiPriority w:val="1"/>
    <w:pPr>
      <w:jc w:val="left"/>
    </w:pPr>
    <w:rPr>
      <w:kern w:val="0"/>
      <w:sz w:val="22"/>
      <w:lang w:eastAsia="en-US"/>
    </w:rPr>
  </w:style>
  <w:style w:type="character" w:customStyle="1" w:styleId="59">
    <w:name w:val="NormalCharacter"/>
    <w:autoRedefine/>
    <w:semiHidden/>
    <w:qFormat/>
    <w:uiPriority w:val="0"/>
  </w:style>
  <w:style w:type="character" w:customStyle="1" w:styleId="60">
    <w:name w:val="批注文字 Char"/>
    <w:basedOn w:val="24"/>
    <w:link w:val="7"/>
    <w:autoRedefine/>
    <w:qFormat/>
    <w:uiPriority w:val="0"/>
    <w:rPr>
      <w:rFonts w:ascii="Times New Roman" w:hAnsi="Times New Roman"/>
      <w:kern w:val="2"/>
      <w:sz w:val="21"/>
      <w:szCs w:val="24"/>
    </w:rPr>
  </w:style>
  <w:style w:type="character" w:customStyle="1" w:styleId="61">
    <w:name w:val="批注主题 Char"/>
    <w:basedOn w:val="60"/>
    <w:link w:val="21"/>
    <w:autoRedefine/>
    <w:semiHidden/>
    <w:qFormat/>
    <w:uiPriority w:val="99"/>
    <w:rPr>
      <w:rFonts w:ascii="Times New Roman" w:hAnsi="Times New Roman"/>
      <w:b/>
      <w:bCs/>
      <w:kern w:val="2"/>
      <w:sz w:val="21"/>
      <w:szCs w:val="24"/>
    </w:rPr>
  </w:style>
  <w:style w:type="paragraph" w:customStyle="1" w:styleId="62">
    <w:name w:val="正文2"/>
    <w:basedOn w:val="1"/>
    <w:autoRedefine/>
    <w:qFormat/>
    <w:uiPriority w:val="0"/>
    <w:pPr>
      <w:spacing w:before="156" w:line="360" w:lineRule="auto"/>
      <w:ind w:firstLine="510" w:firstLineChars="200"/>
    </w:pPr>
    <w:rPr>
      <w:sz w:val="24"/>
      <w:szCs w:val="20"/>
    </w:rPr>
  </w:style>
  <w:style w:type="paragraph" w:customStyle="1" w:styleId="63">
    <w:name w:val="zw"/>
    <w:basedOn w:val="1"/>
    <w:autoRedefine/>
    <w:qFormat/>
    <w:uiPriority w:val="0"/>
    <w:pPr>
      <w:widowControl/>
      <w:spacing w:before="30"/>
      <w:ind w:left="100" w:right="100"/>
    </w:pPr>
    <w:rPr>
      <w:rFonts w:ascii="方正书宋简体" w:hAnsi="宋体" w:eastAsia="方正书宋简体"/>
      <w:color w:val="000000"/>
      <w:kern w:val="0"/>
      <w:szCs w:val="21"/>
    </w:rPr>
  </w:style>
  <w:style w:type="paragraph" w:customStyle="1" w:styleId="64">
    <w:name w:val="签发人"/>
    <w:basedOn w:val="1"/>
    <w:autoRedefine/>
    <w:qFormat/>
    <w:uiPriority w:val="0"/>
    <w:rPr>
      <w:rFonts w:eastAsia="楷体"/>
      <w:sz w:val="32"/>
    </w:rPr>
  </w:style>
  <w:style w:type="paragraph" w:customStyle="1" w:styleId="65">
    <w:name w:val="列出段落2"/>
    <w:basedOn w:val="1"/>
    <w:qFormat/>
    <w:uiPriority w:val="0"/>
    <w:pPr>
      <w:ind w:firstLine="420" w:firstLineChars="200"/>
    </w:pPr>
    <w:rPr>
      <w:rFonts w:ascii="Calibri" w:hAnsi="Calibri" w:cs="黑体"/>
      <w:szCs w:val="22"/>
    </w:rPr>
  </w:style>
  <w:style w:type="paragraph" w:customStyle="1" w:styleId="66">
    <w:name w:val="列出段落1"/>
    <w:basedOn w:val="1"/>
    <w:qFormat/>
    <w:uiPriority w:val="99"/>
    <w:pPr>
      <w:widowControl/>
      <w:adjustRightInd w:val="0"/>
      <w:snapToGrid w:val="0"/>
      <w:ind w:firstLine="420" w:firstLineChars="200"/>
      <w:jc w:val="left"/>
    </w:pPr>
    <w:rPr>
      <w:rFonts w:ascii="微软雅黑" w:hAnsi="微软雅黑" w:eastAsia="微软雅黑" w:cs="宋体"/>
      <w:szCs w:val="21"/>
    </w:rPr>
  </w:style>
  <w:style w:type="paragraph" w:customStyle="1" w:styleId="67">
    <w:name w:val="L_正文"/>
    <w:basedOn w:val="1"/>
    <w:qFormat/>
    <w:uiPriority w:val="0"/>
    <w:pPr>
      <w:wordWrap w:val="0"/>
      <w:spacing w:line="360" w:lineRule="auto"/>
      <w:jc w:val="left"/>
    </w:pPr>
    <w:rPr>
      <w:rFonts w:ascii="宋体" w:hAnsi="宋体"/>
      <w:kern w:val="0"/>
      <w:sz w:val="24"/>
      <w:szCs w:val="21"/>
    </w:rPr>
  </w:style>
  <w:style w:type="paragraph" w:customStyle="1" w:styleId="68">
    <w:name w:val="正文111"/>
    <w:basedOn w:val="1"/>
    <w:qFormat/>
    <w:uiPriority w:val="0"/>
    <w:pPr>
      <w:spacing w:after="156" w:line="360" w:lineRule="auto"/>
      <w:ind w:firstLine="480" w:firstLineChars="200"/>
    </w:pPr>
    <w:rPr>
      <w:rFonts w:ascii="华文细黑" w:hAnsi="华文细黑" w:eastAsia="华文细黑" w:cs="宋体"/>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2050"/>
    <customShpInfo spid="_x0000_s2049"/>
    <customShpInfo spid="_x0000_s1026"/>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DB08B00-29AF-4639-A4CA-D032859AC956}">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79</Pages>
  <Words>20890</Words>
  <Characters>22520</Characters>
  <Lines>417</Lines>
  <Paragraphs>117</Paragraphs>
  <TotalTime>11</TotalTime>
  <ScaleCrop>false</ScaleCrop>
  <LinksUpToDate>false</LinksUpToDate>
  <CharactersWithSpaces>22637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2025-07-09T03:26:00Z</dcterms:created>
  <dc:creator>苏彬</dc:creator>
  <cp:lastModifiedBy>Samiha</cp:lastModifiedBy>
  <dcterms:modified xsi:type="dcterms:W3CDTF">2025-07-16T08:05:00Z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B2DF67CB6E804745A6BEBFE0406E293E</vt:lpwstr>
  </property>
  <property fmtid="{D5CDD505-2E9C-101B-9397-08002B2CF9AE}" pid="4" name="commondata">
    <vt:lpwstr>eyJoZGlkIjoiNmNiNWQzMTIyZDkyNWQ5MzYxMmQ5MTE1ZmU3YjE0M2QifQ==</vt:lpwstr>
  </property>
  <property fmtid="{D5CDD505-2E9C-101B-9397-08002B2CF9AE}" pid="5" name="KSOTemplateDocerSaveRecord">
    <vt:lpwstr>eyJoZGlkIjoiOWJlZDQ2NmIwYjgzZjdjYWM1MjQ5OTk3YTcyYzMxMzIiLCJ1c2VySWQiOiIzMjE5MDY1OTEifQ==</vt:lpwstr>
  </property>
</Properties>
</file>