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themeColor="background1"/>
  <w:body>
    <w:p>
      <w:pPr>
        <w:rPr>
          <w:rFonts w:hint="eastAsia" w:ascii="宋体" w:hAnsi="宋体" w:eastAsia="宋体" w:cs="宋体"/>
          <w:color w:val="000000" w:themeColor="text1"/>
          <w:highlight w:val="none"/>
          <w14:textFill>
            <w14:solidFill>
              <w14:schemeClr w14:val="tx1"/>
            </w14:solidFill>
          </w14:textFill>
        </w:rPr>
      </w:pPr>
    </w:p>
    <w:p>
      <w:pPr>
        <w:pStyle w:val="7"/>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auto"/>
          <w:highlight w:val="none"/>
        </w:rPr>
        <w:drawing>
          <wp:inline distT="0" distB="0" distL="114300" distR="114300">
            <wp:extent cx="5268595" cy="2705100"/>
            <wp:effectExtent l="0" t="0" r="8255" b="0"/>
            <wp:docPr id="1" name="图片 1" descr="D:\工作文件\中石化费用账单\九峰加油站\2020\永安HY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工作文件\中石化费用账单\九峰加油站\2020\永安HY logo.png"/>
                    <pic:cNvPicPr>
                      <a:picLocks noChangeAspect="1"/>
                    </pic:cNvPicPr>
                  </pic:nvPicPr>
                  <pic:blipFill>
                    <a:blip r:embed="rId10"/>
                    <a:stretch>
                      <a:fillRect/>
                    </a:stretch>
                  </pic:blipFill>
                  <pic:spPr>
                    <a:xfrm>
                      <a:off x="0" y="0"/>
                      <a:ext cx="5268595" cy="2705100"/>
                    </a:xfrm>
                    <a:prstGeom prst="rect">
                      <a:avLst/>
                    </a:prstGeom>
                    <a:noFill/>
                    <a:ln>
                      <a:noFill/>
                    </a:ln>
                  </pic:spPr>
                </pic:pic>
              </a:graphicData>
            </a:graphic>
          </wp:inline>
        </w:drawing>
      </w:r>
    </w:p>
    <w:p>
      <w:pPr>
        <w:tabs>
          <w:tab w:val="left" w:pos="720"/>
          <w:tab w:val="left" w:pos="2160"/>
          <w:tab w:val="left" w:pos="2880"/>
          <w:tab w:val="left" w:pos="3600"/>
          <w:tab w:val="left" w:pos="4320"/>
          <w:tab w:val="left" w:pos="5040"/>
          <w:tab w:val="left" w:pos="5760"/>
        </w:tabs>
        <w:autoSpaceDE w:val="0"/>
        <w:autoSpaceDN w:val="0"/>
        <w:adjustRightInd w:val="0"/>
        <w:spacing w:line="360" w:lineRule="auto"/>
        <w:ind w:right="924"/>
        <w:rPr>
          <w:rFonts w:hint="eastAsia" w:ascii="宋体" w:hAnsi="宋体" w:eastAsia="宋体" w:cs="宋体"/>
          <w:b/>
          <w:color w:val="000000" w:themeColor="text1"/>
          <w:kern w:val="0"/>
          <w:sz w:val="72"/>
          <w:szCs w:val="72"/>
          <w:highlight w:val="none"/>
          <w14:textFill>
            <w14:solidFill>
              <w14:schemeClr w14:val="tx1"/>
            </w14:solidFill>
          </w14:textFill>
        </w:rPr>
      </w:pPr>
    </w:p>
    <w:p>
      <w:pPr>
        <w:tabs>
          <w:tab w:val="left" w:pos="720"/>
          <w:tab w:val="left" w:pos="2160"/>
          <w:tab w:val="left" w:pos="2880"/>
          <w:tab w:val="left" w:pos="3600"/>
          <w:tab w:val="left" w:pos="4320"/>
          <w:tab w:val="left" w:pos="5040"/>
          <w:tab w:val="left" w:pos="5760"/>
        </w:tabs>
        <w:autoSpaceDE w:val="0"/>
        <w:autoSpaceDN w:val="0"/>
        <w:adjustRightInd w:val="0"/>
        <w:spacing w:line="360" w:lineRule="auto"/>
        <w:ind w:right="924"/>
        <w:jc w:val="center"/>
        <w:rPr>
          <w:rFonts w:hint="eastAsia" w:ascii="宋体" w:hAnsi="宋体" w:eastAsia="宋体" w:cs="宋体"/>
          <w:b/>
          <w:color w:val="auto"/>
          <w:kern w:val="0"/>
          <w:sz w:val="72"/>
          <w:szCs w:val="72"/>
          <w:highlight w:val="none"/>
        </w:rPr>
      </w:pPr>
      <w:r>
        <w:rPr>
          <w:rFonts w:hint="eastAsia" w:ascii="宋体" w:hAnsi="宋体" w:eastAsia="宋体" w:cs="宋体"/>
          <w:b/>
          <w:color w:val="000000" w:themeColor="text1"/>
          <w:kern w:val="0"/>
          <w:sz w:val="72"/>
          <w:szCs w:val="72"/>
          <w:highlight w:val="none"/>
          <w14:textFill>
            <w14:solidFill>
              <w14:schemeClr w14:val="tx1"/>
            </w14:solidFill>
          </w14:textFill>
        </w:rPr>
        <w:t xml:space="preserve">   政府采</w:t>
      </w:r>
      <w:r>
        <w:rPr>
          <w:rFonts w:hint="eastAsia" w:ascii="宋体" w:hAnsi="宋体" w:eastAsia="宋体" w:cs="宋体"/>
          <w:b/>
          <w:color w:val="auto"/>
          <w:kern w:val="0"/>
          <w:sz w:val="72"/>
          <w:szCs w:val="72"/>
          <w:highlight w:val="none"/>
        </w:rPr>
        <w:t>购招标文件</w:t>
      </w:r>
    </w:p>
    <w:p>
      <w:pPr>
        <w:spacing w:line="360" w:lineRule="auto"/>
        <w:jc w:val="center"/>
        <w:rPr>
          <w:rFonts w:hint="eastAsia" w:ascii="宋体" w:hAnsi="宋体" w:eastAsia="宋体" w:cs="宋体"/>
          <w:color w:val="auto"/>
          <w:kern w:val="0"/>
          <w:sz w:val="28"/>
          <w:szCs w:val="28"/>
          <w:highlight w:val="none"/>
        </w:rPr>
      </w:pPr>
      <w:r>
        <w:rPr>
          <w:rFonts w:hint="eastAsia" w:ascii="宋体" w:hAnsi="宋体" w:eastAsia="宋体" w:cs="宋体"/>
          <w:b/>
          <w:bCs/>
          <w:color w:val="auto"/>
          <w:kern w:val="0"/>
          <w:sz w:val="32"/>
          <w:szCs w:val="32"/>
          <w:highlight w:val="none"/>
        </w:rPr>
        <w:t>（电子招投标方式）</w:t>
      </w:r>
    </w:p>
    <w:p>
      <w:pPr>
        <w:spacing w:line="360" w:lineRule="auto"/>
        <w:jc w:val="center"/>
        <w:rPr>
          <w:rFonts w:hint="eastAsia" w:ascii="宋体" w:hAnsi="宋体" w:eastAsia="宋体" w:cs="宋体"/>
          <w:b/>
          <w:color w:val="auto"/>
          <w:kern w:val="0"/>
          <w:sz w:val="28"/>
          <w:szCs w:val="28"/>
          <w:highlight w:val="none"/>
        </w:rPr>
      </w:pPr>
      <w:r>
        <w:rPr>
          <w:rFonts w:hint="eastAsia" w:ascii="宋体" w:hAnsi="宋体" w:eastAsia="宋体" w:cs="宋体"/>
          <w:color w:val="auto"/>
          <w:kern w:val="0"/>
          <w:sz w:val="28"/>
          <w:szCs w:val="28"/>
          <w:highlight w:val="none"/>
        </w:rPr>
        <w:t>项目编号：</w:t>
      </w:r>
      <w:r>
        <w:rPr>
          <w:rFonts w:hint="eastAsia" w:ascii="宋体" w:hAnsi="宋体" w:eastAsia="宋体" w:cs="宋体"/>
          <w:color w:val="auto"/>
          <w:kern w:val="0"/>
          <w:sz w:val="28"/>
          <w:szCs w:val="28"/>
          <w:highlight w:val="none"/>
          <w:u w:val="single"/>
        </w:rPr>
        <w:t xml:space="preserve"> </w:t>
      </w:r>
      <w:r>
        <w:rPr>
          <w:rFonts w:hint="eastAsia" w:ascii="宋体" w:hAnsi="宋体" w:cs="宋体"/>
          <w:color w:val="auto"/>
          <w:kern w:val="0"/>
          <w:sz w:val="28"/>
          <w:szCs w:val="28"/>
          <w:highlight w:val="none"/>
          <w:u w:val="single"/>
          <w:lang w:eastAsia="zh-CN"/>
        </w:rPr>
        <w:t>zjhy2024-tz05</w:t>
      </w:r>
      <w:r>
        <w:rPr>
          <w:rFonts w:hint="eastAsia" w:ascii="宋体" w:hAnsi="宋体" w:eastAsia="宋体" w:cs="宋体"/>
          <w:color w:val="auto"/>
          <w:kern w:val="0"/>
          <w:sz w:val="28"/>
          <w:szCs w:val="28"/>
          <w:highlight w:val="none"/>
          <w:u w:val="single"/>
        </w:rPr>
        <w:t xml:space="preserve"> </w:t>
      </w:r>
    </w:p>
    <w:p>
      <w:pPr>
        <w:pStyle w:val="7"/>
        <w:jc w:val="center"/>
        <w:rPr>
          <w:rFonts w:hint="eastAsia" w:ascii="宋体" w:hAnsi="宋体" w:eastAsia="宋体" w:cs="宋体"/>
          <w:color w:val="auto"/>
          <w:highlight w:val="none"/>
        </w:rPr>
      </w:pPr>
    </w:p>
    <w:p>
      <w:pPr>
        <w:pStyle w:val="7"/>
        <w:jc w:val="center"/>
        <w:rPr>
          <w:rFonts w:hint="eastAsia" w:ascii="宋体" w:hAnsi="宋体" w:eastAsia="宋体" w:cs="宋体"/>
          <w:color w:val="auto"/>
          <w:highlight w:val="none"/>
        </w:rPr>
      </w:pPr>
    </w:p>
    <w:p>
      <w:pPr>
        <w:spacing w:line="360" w:lineRule="auto"/>
        <w:ind w:left="1405" w:hanging="1405" w:hangingChars="500"/>
        <w:jc w:val="center"/>
        <w:rPr>
          <w:rFonts w:hint="eastAsia" w:ascii="宋体" w:hAnsi="宋体" w:eastAsia="宋体" w:cs="宋体"/>
          <w:color w:val="auto"/>
          <w:highlight w:val="none"/>
          <w:lang w:eastAsia="zh-CN"/>
        </w:rPr>
      </w:pPr>
      <w:r>
        <w:rPr>
          <w:rFonts w:hint="eastAsia" w:ascii="宋体" w:hAnsi="宋体" w:eastAsia="宋体" w:cs="宋体"/>
          <w:b/>
          <w:bCs/>
          <w:color w:val="auto"/>
          <w:kern w:val="0"/>
          <w:sz w:val="28"/>
          <w:szCs w:val="28"/>
          <w:highlight w:val="none"/>
        </w:rPr>
        <w:t>采购项目：</w:t>
      </w:r>
      <w:r>
        <w:rPr>
          <w:rFonts w:hint="eastAsia" w:ascii="宋体" w:hAnsi="宋体" w:eastAsia="宋体" w:cs="宋体"/>
          <w:color w:val="auto"/>
          <w:kern w:val="0"/>
          <w:sz w:val="28"/>
          <w:szCs w:val="28"/>
          <w:highlight w:val="none"/>
          <w:u w:val="single"/>
        </w:rPr>
        <w:t xml:space="preserve"> </w:t>
      </w:r>
      <w:r>
        <w:rPr>
          <w:rFonts w:hint="eastAsia" w:ascii="宋体" w:hAnsi="宋体" w:cs="宋体"/>
          <w:color w:val="auto"/>
          <w:kern w:val="0"/>
          <w:sz w:val="28"/>
          <w:szCs w:val="28"/>
          <w:highlight w:val="none"/>
          <w:u w:val="single"/>
          <w:lang w:eastAsia="zh-CN"/>
        </w:rPr>
        <w:t>化学实验室、化学通风设备采购项目</w:t>
      </w:r>
    </w:p>
    <w:p>
      <w:pPr>
        <w:spacing w:line="360" w:lineRule="auto"/>
        <w:jc w:val="center"/>
        <w:rPr>
          <w:rFonts w:hint="eastAsia" w:ascii="宋体" w:hAnsi="宋体" w:eastAsia="宋体" w:cs="宋体"/>
          <w:color w:val="auto"/>
          <w:kern w:val="0"/>
          <w:sz w:val="28"/>
          <w:szCs w:val="28"/>
          <w:highlight w:val="none"/>
          <w:u w:val="single"/>
          <w:lang w:eastAsia="zh-CN"/>
        </w:rPr>
      </w:pPr>
      <w:r>
        <w:rPr>
          <w:rFonts w:hint="eastAsia" w:ascii="宋体" w:hAnsi="宋体" w:eastAsia="宋体" w:cs="宋体"/>
          <w:b/>
          <w:bCs/>
          <w:color w:val="auto"/>
          <w:kern w:val="0"/>
          <w:sz w:val="28"/>
          <w:szCs w:val="28"/>
          <w:highlight w:val="none"/>
        </w:rPr>
        <w:t>采 购 人：</w:t>
      </w:r>
      <w:r>
        <w:rPr>
          <w:rFonts w:hint="eastAsia" w:ascii="宋体" w:hAnsi="宋体" w:eastAsia="宋体" w:cs="宋体"/>
          <w:color w:val="auto"/>
          <w:kern w:val="0"/>
          <w:sz w:val="28"/>
          <w:szCs w:val="28"/>
          <w:highlight w:val="none"/>
          <w:u w:val="single"/>
        </w:rPr>
        <w:t xml:space="preserve"> </w:t>
      </w:r>
      <w:r>
        <w:rPr>
          <w:rFonts w:hint="eastAsia" w:ascii="宋体" w:hAnsi="宋体" w:cs="宋体"/>
          <w:color w:val="auto"/>
          <w:kern w:val="0"/>
          <w:sz w:val="28"/>
          <w:szCs w:val="28"/>
          <w:highlight w:val="none"/>
          <w:u w:val="single"/>
          <w:lang w:eastAsia="zh-CN"/>
        </w:rPr>
        <w:t>台州市路桥中学</w:t>
      </w:r>
    </w:p>
    <w:p>
      <w:pPr>
        <w:pStyle w:val="7"/>
        <w:rPr>
          <w:rFonts w:hint="eastAsia" w:ascii="宋体" w:hAnsi="宋体" w:eastAsia="宋体" w:cs="宋体"/>
          <w:color w:val="auto"/>
          <w:highlight w:val="none"/>
        </w:rPr>
      </w:pPr>
    </w:p>
    <w:p>
      <w:pPr>
        <w:pStyle w:val="7"/>
        <w:rPr>
          <w:rFonts w:hint="eastAsia" w:ascii="宋体" w:hAnsi="宋体" w:eastAsia="宋体" w:cs="宋体"/>
          <w:color w:val="auto"/>
          <w:highlight w:val="none"/>
        </w:rPr>
      </w:pPr>
    </w:p>
    <w:p>
      <w:pPr>
        <w:pStyle w:val="8"/>
        <w:rPr>
          <w:rFonts w:hint="eastAsia" w:ascii="宋体" w:hAnsi="宋体" w:eastAsia="宋体" w:cs="宋体"/>
          <w:color w:val="auto"/>
          <w:highlight w:val="none"/>
        </w:rPr>
      </w:pPr>
    </w:p>
    <w:p>
      <w:pPr>
        <w:spacing w:line="360" w:lineRule="auto"/>
        <w:ind w:firstLine="1405" w:firstLineChars="500"/>
        <w:rPr>
          <w:rFonts w:hint="eastAsia" w:ascii="宋体" w:hAnsi="宋体" w:eastAsia="宋体" w:cs="宋体"/>
          <w:color w:val="auto"/>
          <w:highlight w:val="none"/>
          <w:lang w:eastAsia="zh-CN"/>
        </w:rPr>
      </w:pPr>
      <w:r>
        <w:rPr>
          <w:rFonts w:hint="eastAsia" w:ascii="宋体" w:hAnsi="宋体" w:eastAsia="宋体" w:cs="宋体"/>
          <w:b/>
          <w:bCs/>
          <w:color w:val="auto"/>
          <w:kern w:val="0"/>
          <w:sz w:val="28"/>
          <w:szCs w:val="28"/>
          <w:highlight w:val="none"/>
        </w:rPr>
        <w:t>采购代理机构：</w:t>
      </w:r>
      <w:r>
        <w:rPr>
          <w:rFonts w:hint="eastAsia" w:ascii="宋体" w:hAnsi="宋体" w:eastAsia="宋体" w:cs="宋体"/>
          <w:color w:val="auto"/>
          <w:kern w:val="0"/>
          <w:sz w:val="28"/>
          <w:szCs w:val="28"/>
          <w:highlight w:val="none"/>
          <w:lang w:eastAsia="zh-CN"/>
        </w:rPr>
        <w:t>浙江汇永工程咨询有限公司</w:t>
      </w:r>
    </w:p>
    <w:p>
      <w:pPr>
        <w:pStyle w:val="7"/>
        <w:jc w:val="center"/>
        <w:rPr>
          <w:rFonts w:hint="eastAsia" w:ascii="宋体" w:hAnsi="宋体" w:eastAsia="宋体" w:cs="宋体"/>
          <w:color w:val="auto"/>
          <w:kern w:val="0"/>
          <w:szCs w:val="21"/>
          <w:highlight w:val="none"/>
          <w:lang w:eastAsia="zh-CN"/>
        </w:rPr>
      </w:pPr>
      <w:r>
        <w:rPr>
          <w:rFonts w:hint="eastAsia" w:ascii="宋体" w:hAnsi="宋体" w:cs="宋体"/>
          <w:color w:val="auto"/>
          <w:kern w:val="0"/>
          <w:sz w:val="28"/>
          <w:szCs w:val="28"/>
          <w:highlight w:val="none"/>
          <w:lang w:eastAsia="zh-CN"/>
        </w:rPr>
        <w:t>二○二四年五月</w:t>
      </w:r>
    </w:p>
    <w:p>
      <w:pPr>
        <w:pStyle w:val="7"/>
        <w:jc w:val="center"/>
        <w:rPr>
          <w:rFonts w:hint="eastAsia" w:ascii="宋体" w:hAnsi="宋体" w:eastAsia="宋体" w:cs="宋体"/>
          <w:color w:val="auto"/>
          <w:kern w:val="0"/>
          <w:szCs w:val="21"/>
          <w:highlight w:val="none"/>
        </w:rPr>
      </w:pPr>
    </w:p>
    <w:p>
      <w:pPr>
        <w:pStyle w:val="7"/>
        <w:rPr>
          <w:rFonts w:hint="eastAsia" w:ascii="宋体" w:hAnsi="宋体" w:eastAsia="宋体" w:cs="宋体"/>
          <w:color w:val="auto"/>
          <w:highlight w:val="none"/>
        </w:rPr>
      </w:pPr>
    </w:p>
    <w:p>
      <w:pPr>
        <w:spacing w:line="360" w:lineRule="auto"/>
        <w:jc w:val="center"/>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t>目  录</w:t>
      </w:r>
    </w:p>
    <w:p>
      <w:pPr>
        <w:spacing w:line="360" w:lineRule="auto"/>
        <w:rPr>
          <w:rFonts w:hint="eastAsia" w:ascii="宋体" w:hAnsi="宋体" w:eastAsia="宋体" w:cs="宋体"/>
          <w:color w:val="auto"/>
          <w:sz w:val="28"/>
          <w:szCs w:val="28"/>
          <w:highlight w:val="none"/>
        </w:rPr>
      </w:pPr>
    </w:p>
    <w:p>
      <w:pPr>
        <w:numPr>
          <w:ilvl w:val="0"/>
          <w:numId w:val="2"/>
        </w:numPr>
        <w:spacing w:line="360" w:lineRule="auto"/>
        <w:outlineLvl w:val="9"/>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公开招标采购公告</w:t>
      </w:r>
    </w:p>
    <w:p>
      <w:pPr>
        <w:numPr>
          <w:ilvl w:val="0"/>
          <w:numId w:val="2"/>
        </w:numPr>
        <w:spacing w:line="360" w:lineRule="auto"/>
        <w:outlineLvl w:val="9"/>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投标人须知</w:t>
      </w:r>
    </w:p>
    <w:p>
      <w:pPr>
        <w:numPr>
          <w:ilvl w:val="0"/>
          <w:numId w:val="2"/>
        </w:numPr>
        <w:spacing w:line="360" w:lineRule="auto"/>
        <w:outlineLvl w:val="9"/>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评标办法及评分标准</w:t>
      </w:r>
    </w:p>
    <w:p>
      <w:pPr>
        <w:numPr>
          <w:ilvl w:val="0"/>
          <w:numId w:val="2"/>
        </w:numPr>
        <w:spacing w:line="360" w:lineRule="auto"/>
        <w:outlineLvl w:val="9"/>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公开招标需求</w:t>
      </w:r>
    </w:p>
    <w:p>
      <w:pPr>
        <w:numPr>
          <w:ilvl w:val="0"/>
          <w:numId w:val="2"/>
        </w:numPr>
        <w:spacing w:line="360" w:lineRule="auto"/>
        <w:outlineLvl w:val="9"/>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政府采购合同主要条款</w:t>
      </w:r>
    </w:p>
    <w:p>
      <w:pPr>
        <w:numPr>
          <w:ilvl w:val="0"/>
          <w:numId w:val="2"/>
        </w:numPr>
        <w:spacing w:line="360" w:lineRule="auto"/>
        <w:outlineLvl w:val="9"/>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投标文件格式附件</w:t>
      </w:r>
    </w:p>
    <w:p>
      <w:pPr>
        <w:pStyle w:val="7"/>
        <w:jc w:val="center"/>
        <w:rPr>
          <w:rFonts w:hint="eastAsia" w:ascii="宋体" w:hAnsi="宋体" w:eastAsia="宋体" w:cs="宋体"/>
          <w:color w:val="auto"/>
          <w:highlight w:val="none"/>
        </w:rPr>
      </w:pPr>
    </w:p>
    <w:p>
      <w:pPr>
        <w:pStyle w:val="7"/>
        <w:jc w:val="center"/>
        <w:rPr>
          <w:rFonts w:hint="eastAsia" w:ascii="宋体" w:hAnsi="宋体" w:eastAsia="宋体" w:cs="宋体"/>
          <w:color w:val="auto"/>
          <w:highlight w:val="none"/>
        </w:rPr>
      </w:pPr>
    </w:p>
    <w:p>
      <w:pPr>
        <w:pStyle w:val="7"/>
        <w:jc w:val="center"/>
        <w:rPr>
          <w:rFonts w:hint="eastAsia" w:ascii="宋体" w:hAnsi="宋体" w:eastAsia="宋体" w:cs="宋体"/>
          <w:color w:val="auto"/>
          <w:highlight w:val="none"/>
        </w:rPr>
      </w:pPr>
    </w:p>
    <w:p>
      <w:pPr>
        <w:pStyle w:val="7"/>
        <w:jc w:val="center"/>
        <w:rPr>
          <w:rFonts w:hint="eastAsia" w:ascii="宋体" w:hAnsi="宋体" w:eastAsia="宋体" w:cs="宋体"/>
          <w:color w:val="auto"/>
          <w:highlight w:val="none"/>
        </w:rPr>
      </w:pPr>
    </w:p>
    <w:p>
      <w:pPr>
        <w:pStyle w:val="7"/>
        <w:jc w:val="center"/>
        <w:rPr>
          <w:rFonts w:hint="eastAsia" w:ascii="宋体" w:hAnsi="宋体" w:eastAsia="宋体" w:cs="宋体"/>
          <w:color w:val="auto"/>
          <w:highlight w:val="none"/>
        </w:rPr>
      </w:pPr>
    </w:p>
    <w:p>
      <w:pPr>
        <w:pStyle w:val="7"/>
        <w:jc w:val="center"/>
        <w:rPr>
          <w:rFonts w:hint="eastAsia" w:ascii="宋体" w:hAnsi="宋体" w:eastAsia="宋体" w:cs="宋体"/>
          <w:color w:val="auto"/>
          <w:highlight w:val="none"/>
        </w:rPr>
      </w:pPr>
    </w:p>
    <w:p>
      <w:pPr>
        <w:pStyle w:val="7"/>
        <w:jc w:val="center"/>
        <w:rPr>
          <w:rFonts w:hint="eastAsia" w:ascii="宋体" w:hAnsi="宋体" w:eastAsia="宋体" w:cs="宋体"/>
          <w:color w:val="auto"/>
          <w:highlight w:val="none"/>
        </w:rPr>
      </w:pPr>
    </w:p>
    <w:p>
      <w:pPr>
        <w:pStyle w:val="7"/>
        <w:jc w:val="center"/>
        <w:rPr>
          <w:rFonts w:hint="eastAsia" w:ascii="宋体" w:hAnsi="宋体" w:eastAsia="宋体" w:cs="宋体"/>
          <w:color w:val="auto"/>
          <w:highlight w:val="none"/>
        </w:rPr>
      </w:pPr>
    </w:p>
    <w:p>
      <w:pPr>
        <w:pStyle w:val="7"/>
        <w:jc w:val="center"/>
        <w:rPr>
          <w:rFonts w:hint="eastAsia" w:ascii="宋体" w:hAnsi="宋体" w:eastAsia="宋体" w:cs="宋体"/>
          <w:color w:val="auto"/>
          <w:highlight w:val="none"/>
        </w:rPr>
      </w:pPr>
    </w:p>
    <w:p>
      <w:pPr>
        <w:pStyle w:val="7"/>
        <w:jc w:val="center"/>
        <w:rPr>
          <w:rFonts w:hint="eastAsia" w:ascii="宋体" w:hAnsi="宋体" w:eastAsia="宋体" w:cs="宋体"/>
          <w:color w:val="auto"/>
          <w:highlight w:val="none"/>
        </w:rPr>
      </w:pPr>
    </w:p>
    <w:p>
      <w:pPr>
        <w:pStyle w:val="7"/>
        <w:jc w:val="center"/>
        <w:rPr>
          <w:rFonts w:hint="eastAsia" w:ascii="宋体" w:hAnsi="宋体" w:eastAsia="宋体" w:cs="宋体"/>
          <w:color w:val="auto"/>
          <w:highlight w:val="none"/>
        </w:rPr>
      </w:pPr>
    </w:p>
    <w:p>
      <w:pPr>
        <w:pStyle w:val="7"/>
        <w:jc w:val="center"/>
        <w:rPr>
          <w:rFonts w:hint="eastAsia" w:ascii="宋体" w:hAnsi="宋体" w:eastAsia="宋体" w:cs="宋体"/>
          <w:color w:val="auto"/>
          <w:highlight w:val="none"/>
        </w:rPr>
      </w:pPr>
    </w:p>
    <w:p>
      <w:pPr>
        <w:pStyle w:val="7"/>
        <w:jc w:val="center"/>
        <w:rPr>
          <w:rFonts w:hint="eastAsia" w:ascii="宋体" w:hAnsi="宋体" w:eastAsia="宋体" w:cs="宋体"/>
          <w:color w:val="auto"/>
          <w:highlight w:val="none"/>
        </w:rPr>
      </w:pPr>
    </w:p>
    <w:p>
      <w:pPr>
        <w:pStyle w:val="7"/>
        <w:jc w:val="center"/>
        <w:rPr>
          <w:rFonts w:hint="eastAsia" w:ascii="宋体" w:hAnsi="宋体" w:eastAsia="宋体" w:cs="宋体"/>
          <w:color w:val="auto"/>
          <w:highlight w:val="none"/>
        </w:rPr>
      </w:pPr>
    </w:p>
    <w:p>
      <w:pPr>
        <w:pStyle w:val="8"/>
        <w:rPr>
          <w:rFonts w:hint="eastAsia"/>
          <w:color w:val="auto"/>
          <w:highlight w:val="none"/>
        </w:rPr>
      </w:pPr>
    </w:p>
    <w:p>
      <w:pPr>
        <w:pStyle w:val="7"/>
        <w:jc w:val="center"/>
        <w:rPr>
          <w:rFonts w:hint="eastAsia" w:ascii="宋体" w:hAnsi="宋体" w:eastAsia="宋体" w:cs="宋体"/>
          <w:color w:val="auto"/>
          <w:highlight w:val="none"/>
        </w:rPr>
      </w:pPr>
    </w:p>
    <w:p>
      <w:pPr>
        <w:pStyle w:val="7"/>
        <w:jc w:val="center"/>
        <w:rPr>
          <w:rFonts w:hint="eastAsia" w:ascii="宋体" w:hAnsi="宋体" w:eastAsia="宋体" w:cs="宋体"/>
          <w:color w:val="auto"/>
          <w:highlight w:val="none"/>
        </w:rPr>
      </w:pPr>
    </w:p>
    <w:p>
      <w:pPr>
        <w:pStyle w:val="7"/>
        <w:jc w:val="center"/>
        <w:rPr>
          <w:rFonts w:hint="eastAsia" w:ascii="宋体" w:hAnsi="宋体" w:eastAsia="宋体" w:cs="宋体"/>
          <w:color w:val="auto"/>
          <w:highlight w:val="none"/>
        </w:rPr>
      </w:pPr>
    </w:p>
    <w:p>
      <w:pPr>
        <w:pStyle w:val="7"/>
        <w:rPr>
          <w:rFonts w:hint="eastAsia" w:ascii="宋体" w:hAnsi="宋体" w:eastAsia="宋体" w:cs="宋体"/>
          <w:color w:val="auto"/>
          <w:highlight w:val="none"/>
        </w:rPr>
      </w:pPr>
    </w:p>
    <w:p>
      <w:pPr>
        <w:tabs>
          <w:tab w:val="left" w:pos="180"/>
          <w:tab w:val="left" w:pos="360"/>
          <w:tab w:val="left" w:pos="540"/>
          <w:tab w:val="left" w:pos="8280"/>
        </w:tabs>
        <w:autoSpaceDE w:val="0"/>
        <w:autoSpaceDN w:val="0"/>
        <w:adjustRightInd w:val="0"/>
        <w:spacing w:line="360" w:lineRule="auto"/>
        <w:ind w:right="23"/>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第一章 公开</w:t>
      </w:r>
      <w:r>
        <w:rPr>
          <w:rFonts w:hint="eastAsia" w:ascii="宋体" w:hAnsi="宋体" w:eastAsia="宋体" w:cs="宋体"/>
          <w:b/>
          <w:color w:val="auto"/>
          <w:sz w:val="36"/>
          <w:szCs w:val="36"/>
          <w:highlight w:val="none"/>
        </w:rPr>
        <w:t>招标采购公告</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根据《中华人民共和国政府采购法》、《中华人民共和国政府采购法实施条例》和财政部令第87号《政府采购货物和服务招标投标管理办法》等有关规定, 受</w:t>
      </w:r>
      <w:r>
        <w:rPr>
          <w:rFonts w:hint="eastAsia" w:ascii="宋体" w:hAnsi="宋体" w:cs="宋体"/>
          <w:b/>
          <w:bCs/>
          <w:color w:val="auto"/>
          <w:szCs w:val="21"/>
          <w:highlight w:val="none"/>
          <w:lang w:eastAsia="zh-CN"/>
        </w:rPr>
        <w:t>台州市路桥中学</w:t>
      </w:r>
      <w:r>
        <w:rPr>
          <w:rFonts w:hint="eastAsia" w:ascii="宋体" w:hAnsi="宋体" w:eastAsia="宋体" w:cs="宋体"/>
          <w:color w:val="auto"/>
          <w:szCs w:val="21"/>
          <w:highlight w:val="none"/>
        </w:rPr>
        <w:t>委托，现就其</w:t>
      </w:r>
      <w:r>
        <w:rPr>
          <w:rFonts w:hint="eastAsia" w:ascii="宋体" w:hAnsi="宋体" w:cs="宋体"/>
          <w:b/>
          <w:bCs/>
          <w:color w:val="auto"/>
          <w:szCs w:val="21"/>
          <w:highlight w:val="none"/>
          <w:lang w:eastAsia="zh-CN"/>
        </w:rPr>
        <w:t>化学实验室、化学通风设备采购项目</w:t>
      </w:r>
      <w:r>
        <w:rPr>
          <w:rFonts w:hint="eastAsia" w:ascii="宋体" w:hAnsi="宋体" w:eastAsia="宋体" w:cs="宋体"/>
          <w:color w:val="auto"/>
          <w:szCs w:val="21"/>
          <w:highlight w:val="none"/>
        </w:rPr>
        <w:t>进行公开招标采购，欢迎合格供应商前来投标。</w:t>
      </w:r>
    </w:p>
    <w:p>
      <w:pPr>
        <w:spacing w:line="360" w:lineRule="auto"/>
        <w:ind w:firstLine="422" w:firstLineChars="200"/>
        <w:rPr>
          <w:rFonts w:hint="eastAsia" w:ascii="宋体" w:hAnsi="宋体" w:eastAsia="宋体" w:cs="宋体"/>
          <w:b/>
          <w:bCs/>
          <w:color w:val="auto"/>
          <w:szCs w:val="21"/>
          <w:highlight w:val="none"/>
          <w:lang w:eastAsia="zh-CN"/>
        </w:rPr>
      </w:pPr>
      <w:r>
        <w:rPr>
          <w:rFonts w:hint="eastAsia" w:ascii="宋体" w:hAnsi="宋体" w:eastAsia="宋体" w:cs="宋体"/>
          <w:b/>
          <w:bCs/>
          <w:color w:val="auto"/>
          <w:szCs w:val="21"/>
          <w:highlight w:val="none"/>
        </w:rPr>
        <w:t>一、项目编号：</w:t>
      </w:r>
      <w:r>
        <w:rPr>
          <w:rFonts w:hint="eastAsia" w:ascii="宋体" w:hAnsi="宋体" w:cs="宋体"/>
          <w:b/>
          <w:bCs/>
          <w:color w:val="auto"/>
          <w:szCs w:val="21"/>
          <w:highlight w:val="none"/>
          <w:lang w:eastAsia="zh-CN"/>
        </w:rPr>
        <w:t>zjhy2024-tz05</w:t>
      </w:r>
    </w:p>
    <w:p>
      <w:pPr>
        <w:spacing w:line="360" w:lineRule="auto"/>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二、招标项目概况：</w:t>
      </w:r>
    </w:p>
    <w:tbl>
      <w:tblPr>
        <w:tblStyle w:val="22"/>
        <w:tblW w:w="9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5"/>
        <w:gridCol w:w="2030"/>
        <w:gridCol w:w="1290"/>
        <w:gridCol w:w="680"/>
        <w:gridCol w:w="694"/>
        <w:gridCol w:w="1287"/>
        <w:gridCol w:w="1384"/>
        <w:gridCol w:w="9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jc w:val="center"/>
        </w:trPr>
        <w:tc>
          <w:tcPr>
            <w:tcW w:w="725" w:type="dxa"/>
            <w:vAlign w:val="center"/>
          </w:tcPr>
          <w:p>
            <w:pPr>
              <w:tabs>
                <w:tab w:val="left" w:pos="8280"/>
              </w:tabs>
              <w:autoSpaceDE w:val="0"/>
              <w:autoSpaceDN w:val="0"/>
              <w:adjustRightInd w:val="0"/>
              <w:ind w:right="25"/>
              <w:jc w:val="center"/>
              <w:rPr>
                <w:rFonts w:hint="eastAsia" w:ascii="宋体" w:hAnsi="宋体" w:eastAsia="宋体" w:cs="宋体"/>
                <w:b/>
                <w:color w:val="auto"/>
                <w:szCs w:val="21"/>
                <w:highlight w:val="none"/>
              </w:rPr>
            </w:pPr>
            <w:bookmarkStart w:id="0" w:name="EBc3c9f0bc06b6413d849824fe98ba274c"/>
            <w:r>
              <w:rPr>
                <w:rFonts w:hint="eastAsia" w:ascii="宋体" w:hAnsi="宋体" w:eastAsia="宋体" w:cs="宋体"/>
                <w:b/>
                <w:color w:val="auto"/>
                <w:szCs w:val="21"/>
                <w:highlight w:val="none"/>
              </w:rPr>
              <w:t>序号</w:t>
            </w:r>
          </w:p>
        </w:tc>
        <w:tc>
          <w:tcPr>
            <w:tcW w:w="2030" w:type="dxa"/>
            <w:vAlign w:val="center"/>
          </w:tcPr>
          <w:p>
            <w:pPr>
              <w:tabs>
                <w:tab w:val="left" w:pos="8280"/>
              </w:tabs>
              <w:autoSpaceDE w:val="0"/>
              <w:autoSpaceDN w:val="0"/>
              <w:adjustRightInd w:val="0"/>
              <w:ind w:right="25"/>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项目名称</w:t>
            </w:r>
          </w:p>
        </w:tc>
        <w:tc>
          <w:tcPr>
            <w:tcW w:w="1290" w:type="dxa"/>
            <w:vAlign w:val="center"/>
          </w:tcPr>
          <w:p>
            <w:pPr>
              <w:tabs>
                <w:tab w:val="left" w:pos="8280"/>
              </w:tabs>
              <w:autoSpaceDE w:val="0"/>
              <w:autoSpaceDN w:val="0"/>
              <w:adjustRightInd w:val="0"/>
              <w:ind w:right="25"/>
              <w:jc w:val="center"/>
              <w:rPr>
                <w:rFonts w:hint="eastAsia" w:ascii="宋体" w:hAnsi="宋体" w:eastAsia="宋体" w:cs="宋体"/>
                <w:b/>
                <w:color w:val="auto"/>
                <w:szCs w:val="21"/>
                <w:highlight w:val="none"/>
              </w:rPr>
            </w:pPr>
            <w:r>
              <w:rPr>
                <w:rFonts w:hint="eastAsia" w:ascii="宋体" w:hAnsi="宋体" w:eastAsia="宋体" w:cs="宋体"/>
                <w:b/>
                <w:color w:val="auto"/>
                <w:kern w:val="0"/>
                <w:szCs w:val="21"/>
                <w:highlight w:val="none"/>
              </w:rPr>
              <w:t>简要技术要求</w:t>
            </w:r>
          </w:p>
        </w:tc>
        <w:tc>
          <w:tcPr>
            <w:tcW w:w="680" w:type="dxa"/>
            <w:vAlign w:val="center"/>
          </w:tcPr>
          <w:p>
            <w:pPr>
              <w:tabs>
                <w:tab w:val="left" w:pos="8280"/>
              </w:tabs>
              <w:autoSpaceDE w:val="0"/>
              <w:autoSpaceDN w:val="0"/>
              <w:adjustRightInd w:val="0"/>
              <w:ind w:right="25"/>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数量</w:t>
            </w:r>
          </w:p>
        </w:tc>
        <w:tc>
          <w:tcPr>
            <w:tcW w:w="694" w:type="dxa"/>
            <w:vAlign w:val="center"/>
          </w:tcPr>
          <w:p>
            <w:pPr>
              <w:tabs>
                <w:tab w:val="left" w:pos="8280"/>
              </w:tabs>
              <w:autoSpaceDE w:val="0"/>
              <w:autoSpaceDN w:val="0"/>
              <w:adjustRightInd w:val="0"/>
              <w:ind w:right="25"/>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单位</w:t>
            </w:r>
          </w:p>
        </w:tc>
        <w:tc>
          <w:tcPr>
            <w:tcW w:w="1287" w:type="dxa"/>
            <w:vAlign w:val="center"/>
          </w:tcPr>
          <w:p>
            <w:pPr>
              <w:tabs>
                <w:tab w:val="left" w:pos="8280"/>
              </w:tabs>
              <w:autoSpaceDE w:val="0"/>
              <w:autoSpaceDN w:val="0"/>
              <w:adjustRightInd w:val="0"/>
              <w:ind w:right="25"/>
              <w:jc w:val="center"/>
              <w:rPr>
                <w:rFonts w:hint="eastAsia" w:ascii="宋体" w:hAnsi="宋体" w:eastAsia="宋体" w:cs="宋体"/>
                <w:b/>
                <w:color w:val="auto"/>
                <w:szCs w:val="21"/>
                <w:highlight w:val="none"/>
                <w:lang w:val="en-US" w:eastAsia="zh-CN"/>
              </w:rPr>
            </w:pPr>
            <w:r>
              <w:rPr>
                <w:rFonts w:hint="eastAsia" w:ascii="宋体" w:hAnsi="宋体" w:eastAsia="宋体" w:cs="宋体"/>
                <w:b/>
                <w:color w:val="auto"/>
                <w:szCs w:val="21"/>
                <w:highlight w:val="none"/>
              </w:rPr>
              <w:t>预算</w:t>
            </w:r>
          </w:p>
          <w:p>
            <w:pPr>
              <w:tabs>
                <w:tab w:val="left" w:pos="8280"/>
              </w:tabs>
              <w:autoSpaceDE w:val="0"/>
              <w:autoSpaceDN w:val="0"/>
              <w:adjustRightInd w:val="0"/>
              <w:ind w:right="25"/>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（万元）</w:t>
            </w:r>
          </w:p>
        </w:tc>
        <w:tc>
          <w:tcPr>
            <w:tcW w:w="1384" w:type="dxa"/>
            <w:vAlign w:val="center"/>
          </w:tcPr>
          <w:p>
            <w:pPr>
              <w:tabs>
                <w:tab w:val="left" w:pos="8280"/>
              </w:tabs>
              <w:autoSpaceDE w:val="0"/>
              <w:autoSpaceDN w:val="0"/>
              <w:adjustRightInd w:val="0"/>
              <w:ind w:right="25"/>
              <w:jc w:val="center"/>
              <w:rPr>
                <w:rFonts w:hint="eastAsia" w:ascii="宋体" w:hAnsi="宋体" w:eastAsia="宋体" w:cs="宋体"/>
                <w:b/>
                <w:color w:val="auto"/>
                <w:szCs w:val="21"/>
                <w:highlight w:val="none"/>
                <w:lang w:val="en-US" w:eastAsia="zh-CN"/>
              </w:rPr>
            </w:pPr>
            <w:r>
              <w:rPr>
                <w:rFonts w:hint="eastAsia" w:ascii="宋体" w:hAnsi="宋体" w:eastAsia="宋体" w:cs="宋体"/>
                <w:b/>
                <w:color w:val="auto"/>
                <w:szCs w:val="21"/>
                <w:highlight w:val="none"/>
                <w:lang w:val="en-US" w:eastAsia="zh-CN"/>
              </w:rPr>
              <w:t>最高限价</w:t>
            </w:r>
          </w:p>
          <w:p>
            <w:pPr>
              <w:tabs>
                <w:tab w:val="left" w:pos="8280"/>
              </w:tabs>
              <w:autoSpaceDE w:val="0"/>
              <w:autoSpaceDN w:val="0"/>
              <w:adjustRightInd w:val="0"/>
              <w:ind w:right="25"/>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（万元）</w:t>
            </w:r>
          </w:p>
        </w:tc>
        <w:tc>
          <w:tcPr>
            <w:tcW w:w="970" w:type="dxa"/>
            <w:vAlign w:val="center"/>
          </w:tcPr>
          <w:p>
            <w:pPr>
              <w:tabs>
                <w:tab w:val="left" w:pos="8280"/>
              </w:tabs>
              <w:autoSpaceDE w:val="0"/>
              <w:autoSpaceDN w:val="0"/>
              <w:adjustRightInd w:val="0"/>
              <w:ind w:right="25"/>
              <w:jc w:val="center"/>
              <w:rPr>
                <w:rFonts w:hint="eastAsia" w:ascii="宋体" w:hAnsi="宋体" w:eastAsia="宋体" w:cs="宋体"/>
                <w:b/>
                <w:color w:val="auto"/>
                <w:szCs w:val="21"/>
                <w:highlight w:val="none"/>
                <w:lang w:val="en-US" w:eastAsia="zh-CN"/>
              </w:rPr>
            </w:pPr>
            <w:r>
              <w:rPr>
                <w:rFonts w:hint="eastAsia" w:ascii="宋体" w:hAnsi="宋体" w:cs="宋体"/>
                <w:b/>
                <w:color w:val="auto"/>
                <w:szCs w:val="21"/>
                <w:highlight w:val="no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4" w:hRule="atLeast"/>
          <w:jc w:val="center"/>
        </w:trPr>
        <w:tc>
          <w:tcPr>
            <w:tcW w:w="725" w:type="dxa"/>
            <w:vAlign w:val="center"/>
          </w:tcPr>
          <w:p>
            <w:pPr>
              <w:tabs>
                <w:tab w:val="left" w:pos="8280"/>
              </w:tabs>
              <w:autoSpaceDE w:val="0"/>
              <w:autoSpaceDN w:val="0"/>
              <w:adjustRightInd w:val="0"/>
              <w:ind w:right="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2030" w:type="dxa"/>
            <w:vAlign w:val="center"/>
          </w:tcPr>
          <w:p>
            <w:pPr>
              <w:tabs>
                <w:tab w:val="left" w:pos="8280"/>
              </w:tabs>
              <w:autoSpaceDE w:val="0"/>
              <w:autoSpaceDN w:val="0"/>
              <w:adjustRightInd w:val="0"/>
              <w:ind w:right="25"/>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eastAsia="zh-CN"/>
              </w:rPr>
              <w:t>化学实验室、化学通风设备采购项目</w:t>
            </w:r>
          </w:p>
        </w:tc>
        <w:tc>
          <w:tcPr>
            <w:tcW w:w="1290" w:type="dxa"/>
            <w:vAlign w:val="center"/>
          </w:tcPr>
          <w:p>
            <w:pPr>
              <w:tabs>
                <w:tab w:val="left" w:pos="8280"/>
              </w:tabs>
              <w:autoSpaceDE w:val="0"/>
              <w:autoSpaceDN w:val="0"/>
              <w:adjustRightInd w:val="0"/>
              <w:ind w:right="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详见项目需求</w:t>
            </w:r>
          </w:p>
        </w:tc>
        <w:tc>
          <w:tcPr>
            <w:tcW w:w="680" w:type="dxa"/>
            <w:vAlign w:val="center"/>
          </w:tcPr>
          <w:p>
            <w:pPr>
              <w:tabs>
                <w:tab w:val="left" w:pos="8280"/>
              </w:tabs>
              <w:autoSpaceDE w:val="0"/>
              <w:autoSpaceDN w:val="0"/>
              <w:adjustRightInd w:val="0"/>
              <w:ind w:right="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694" w:type="dxa"/>
            <w:vAlign w:val="center"/>
          </w:tcPr>
          <w:p>
            <w:pPr>
              <w:tabs>
                <w:tab w:val="left" w:pos="8280"/>
              </w:tabs>
              <w:autoSpaceDE w:val="0"/>
              <w:autoSpaceDN w:val="0"/>
              <w:adjustRightInd w:val="0"/>
              <w:spacing w:line="360" w:lineRule="auto"/>
              <w:ind w:right="25" w:rightChars="0"/>
              <w:jc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批</w:t>
            </w:r>
          </w:p>
        </w:tc>
        <w:tc>
          <w:tcPr>
            <w:tcW w:w="1287" w:type="dxa"/>
            <w:vAlign w:val="center"/>
          </w:tcPr>
          <w:p>
            <w:pPr>
              <w:tabs>
                <w:tab w:val="left" w:pos="8280"/>
              </w:tabs>
              <w:autoSpaceDE w:val="0"/>
              <w:autoSpaceDN w:val="0"/>
              <w:adjustRightInd w:val="0"/>
              <w:spacing w:line="360" w:lineRule="auto"/>
              <w:ind w:right="25" w:right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76.3464</w:t>
            </w:r>
          </w:p>
        </w:tc>
        <w:tc>
          <w:tcPr>
            <w:tcW w:w="1384" w:type="dxa"/>
            <w:vAlign w:val="center"/>
          </w:tcPr>
          <w:p>
            <w:pPr>
              <w:tabs>
                <w:tab w:val="left" w:pos="8280"/>
              </w:tabs>
              <w:autoSpaceDE w:val="0"/>
              <w:autoSpaceDN w:val="0"/>
              <w:adjustRightInd w:val="0"/>
              <w:spacing w:line="360" w:lineRule="auto"/>
              <w:ind w:right="25" w:right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76.346</w:t>
            </w:r>
          </w:p>
        </w:tc>
        <w:tc>
          <w:tcPr>
            <w:tcW w:w="970" w:type="dxa"/>
            <w:vAlign w:val="center"/>
          </w:tcPr>
          <w:p>
            <w:pPr>
              <w:tabs>
                <w:tab w:val="left" w:pos="8280"/>
              </w:tabs>
              <w:autoSpaceDE w:val="0"/>
              <w:autoSpaceDN w:val="0"/>
              <w:adjustRightInd w:val="0"/>
              <w:spacing w:line="360" w:lineRule="auto"/>
              <w:ind w:right="25" w:rightChars="0"/>
              <w:jc w:val="center"/>
              <w:rPr>
                <w:rFonts w:hint="eastAsia" w:ascii="宋体" w:hAnsi="宋体" w:eastAsia="宋体" w:cs="宋体"/>
                <w:color w:val="auto"/>
                <w:sz w:val="21"/>
                <w:szCs w:val="21"/>
                <w:highlight w:val="none"/>
                <w:lang w:val="en-US" w:eastAsia="zh-CN"/>
              </w:rPr>
            </w:pPr>
          </w:p>
        </w:tc>
      </w:tr>
      <w:bookmarkEnd w:id="0"/>
    </w:tbl>
    <w:p>
      <w:pPr>
        <w:widowControl/>
        <w:tabs>
          <w:tab w:val="left" w:pos="0"/>
        </w:tabs>
        <w:spacing w:line="360" w:lineRule="auto"/>
        <w:ind w:firstLine="422" w:firstLineChars="200"/>
        <w:rPr>
          <w:rFonts w:hint="eastAsia" w:ascii="宋体" w:hAnsi="宋体" w:eastAsia="宋体" w:cs="宋体"/>
          <w:color w:val="auto"/>
          <w:szCs w:val="21"/>
          <w:highlight w:val="none"/>
        </w:rPr>
      </w:pPr>
      <w:r>
        <w:rPr>
          <w:rFonts w:hint="eastAsia" w:ascii="宋体" w:hAnsi="宋体" w:eastAsia="宋体" w:cs="宋体"/>
          <w:b/>
          <w:color w:val="auto"/>
          <w:szCs w:val="21"/>
          <w:highlight w:val="none"/>
          <w:u w:val="single"/>
        </w:rPr>
        <w:t>本项目采用“电子交易”的方式提交投标文件（</w:t>
      </w:r>
      <w:r>
        <w:rPr>
          <w:rFonts w:hint="eastAsia" w:ascii="宋体" w:hAnsi="宋体" w:eastAsia="宋体" w:cs="宋体"/>
          <w:b/>
          <w:color w:val="auto"/>
          <w:sz w:val="21"/>
          <w:szCs w:val="21"/>
          <w:highlight w:val="none"/>
          <w:u w:val="single"/>
          <w:lang w:val="en-US" w:eastAsia="zh-CN"/>
        </w:rPr>
        <w:t>还可以</w:t>
      </w:r>
      <w:r>
        <w:rPr>
          <w:rFonts w:hint="eastAsia" w:ascii="宋体" w:hAnsi="宋体" w:eastAsia="宋体" w:cs="宋体"/>
          <w:b/>
          <w:color w:val="auto"/>
          <w:szCs w:val="21"/>
          <w:highlight w:val="none"/>
          <w:u w:val="single"/>
        </w:rPr>
        <w:t>提供备份投标文件），请各投标人按照要求进行。</w:t>
      </w:r>
    </w:p>
    <w:p>
      <w:pPr>
        <w:spacing w:line="360" w:lineRule="auto"/>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三、合格投标人的资格条件：</w:t>
      </w:r>
    </w:p>
    <w:p>
      <w:pPr>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（一）符合《中华人民共和国政府采购法》第二十二条及其他法律、行政法规规定的对投标主体的要求。未被“信用中国”（www.creditchina.gov.cn）、中国政府采购网（www.ccgp.gov.cn）列入失信被执行人、</w:t>
      </w:r>
      <w:r>
        <w:rPr>
          <w:rFonts w:hint="eastAsia" w:ascii="宋体" w:hAnsi="宋体" w:eastAsia="宋体" w:cs="宋体"/>
          <w:b/>
          <w:color w:val="auto"/>
          <w:szCs w:val="21"/>
          <w:highlight w:val="none"/>
          <w:lang w:eastAsia="zh-CN"/>
        </w:rPr>
        <w:t>重大税收违法失信主体</w:t>
      </w:r>
      <w:r>
        <w:rPr>
          <w:rFonts w:hint="eastAsia" w:ascii="宋体" w:hAnsi="宋体" w:eastAsia="宋体" w:cs="宋体"/>
          <w:b/>
          <w:color w:val="auto"/>
          <w:szCs w:val="21"/>
          <w:highlight w:val="none"/>
        </w:rPr>
        <w:t>、政府采购严重违法失信行为记录名单。</w:t>
      </w:r>
    </w:p>
    <w:p>
      <w:pPr>
        <w:spacing w:line="360" w:lineRule="auto"/>
        <w:ind w:firstLine="422" w:firstLineChars="200"/>
        <w:rPr>
          <w:rFonts w:hint="eastAsia" w:ascii="宋体" w:hAnsi="宋体" w:eastAsia="宋体" w:cs="宋体"/>
          <w:b/>
          <w:bCs w:val="0"/>
          <w:color w:val="auto"/>
          <w:sz w:val="21"/>
          <w:szCs w:val="21"/>
          <w:highlight w:val="none"/>
          <w:shd w:val="clear" w:color="auto" w:fill="auto"/>
          <w:lang w:val="en-US" w:eastAsia="zh-CN"/>
        </w:rPr>
      </w:pPr>
      <w:r>
        <w:rPr>
          <w:rFonts w:hint="eastAsia" w:ascii="宋体" w:hAnsi="宋体" w:eastAsia="宋体" w:cs="宋体"/>
          <w:b/>
          <w:bCs w:val="0"/>
          <w:color w:val="auto"/>
          <w:sz w:val="21"/>
          <w:szCs w:val="21"/>
          <w:highlight w:val="none"/>
          <w:shd w:val="clear" w:color="auto" w:fill="auto"/>
        </w:rPr>
        <w:t>（二）</w:t>
      </w:r>
      <w:r>
        <w:rPr>
          <w:rFonts w:hint="eastAsia" w:ascii="宋体" w:hAnsi="宋体" w:eastAsia="宋体" w:cs="宋体"/>
          <w:b/>
          <w:bCs w:val="0"/>
          <w:color w:val="auto"/>
          <w:sz w:val="21"/>
          <w:szCs w:val="21"/>
          <w:highlight w:val="none"/>
          <w:shd w:val="clear" w:color="auto" w:fill="auto"/>
          <w:lang w:val="en-US" w:eastAsia="zh-CN"/>
        </w:rPr>
        <w:t>本项目供应商特定资格要求</w:t>
      </w:r>
    </w:p>
    <w:p>
      <w:pPr>
        <w:spacing w:line="360" w:lineRule="auto"/>
        <w:ind w:firstLine="422" w:firstLineChars="200"/>
        <w:rPr>
          <w:rFonts w:hint="eastAsia" w:ascii="宋体" w:hAnsi="宋体" w:eastAsia="宋体" w:cs="宋体"/>
          <w:b/>
          <w:bCs w:val="0"/>
          <w:color w:val="auto"/>
          <w:sz w:val="21"/>
          <w:szCs w:val="21"/>
          <w:highlight w:val="none"/>
          <w:shd w:val="clear" w:color="auto" w:fill="auto"/>
        </w:rPr>
      </w:pPr>
      <w:r>
        <w:rPr>
          <w:rFonts w:hint="eastAsia" w:ascii="宋体" w:hAnsi="宋体" w:eastAsia="宋体" w:cs="宋体"/>
          <w:b/>
          <w:bCs w:val="0"/>
          <w:color w:val="auto"/>
          <w:sz w:val="21"/>
          <w:szCs w:val="21"/>
          <w:highlight w:val="none"/>
          <w:shd w:val="clear" w:color="auto" w:fill="auto"/>
          <w:lang w:val="en-US" w:eastAsia="zh-CN"/>
        </w:rPr>
        <w:t>（1）</w:t>
      </w:r>
      <w:r>
        <w:rPr>
          <w:rFonts w:hint="eastAsia" w:ascii="宋体" w:hAnsi="宋体" w:eastAsia="宋体" w:cs="宋体"/>
          <w:b/>
          <w:bCs w:val="0"/>
          <w:color w:val="auto"/>
          <w:sz w:val="21"/>
          <w:szCs w:val="21"/>
          <w:highlight w:val="none"/>
          <w:shd w:val="clear" w:color="auto" w:fill="auto"/>
        </w:rPr>
        <w:t>本项目不接受联合体投标。</w:t>
      </w:r>
    </w:p>
    <w:p>
      <w:pPr>
        <w:spacing w:line="360" w:lineRule="auto"/>
        <w:ind w:firstLine="422" w:firstLineChars="200"/>
        <w:rPr>
          <w:rFonts w:hint="eastAsia" w:ascii="宋体" w:hAnsi="宋体" w:eastAsia="宋体" w:cs="宋体"/>
          <w:b w:val="0"/>
          <w:bCs/>
          <w:color w:val="auto"/>
          <w:sz w:val="21"/>
          <w:szCs w:val="21"/>
          <w:highlight w:val="none"/>
        </w:rPr>
      </w:pPr>
      <w:r>
        <w:rPr>
          <w:rFonts w:hint="eastAsia" w:ascii="宋体" w:hAnsi="宋体" w:eastAsia="宋体" w:cs="宋体"/>
          <w:b/>
          <w:bCs w:val="0"/>
          <w:color w:val="auto"/>
          <w:sz w:val="21"/>
          <w:szCs w:val="21"/>
          <w:highlight w:val="none"/>
          <w:lang w:val="en-US" w:eastAsia="zh-CN"/>
        </w:rPr>
        <w:t>（三）法律、行政法规规定的其他条件：单位负责人为同一人或者存在直接控股、管理关系的不同供应商，不得同时参加同一项目投标；为本项目提供整体设计、规范编制或者项目管理、监理、检测等服务的供应商，不得再参与本项目投标。（联合体参与投标的，联合体各方均须满足该条款。）电子交易平台运营机构，以及与该机构有直接控股或者管理关系可能影响采购公正性的任何单位和个人，不得在该平台进行的政府采购项目电子交易中投标、响应和代理政府采购项目。</w:t>
      </w:r>
    </w:p>
    <w:p>
      <w:pPr>
        <w:snapToGrid w:val="0"/>
        <w:spacing w:line="360" w:lineRule="auto"/>
        <w:ind w:firstLine="498" w:firstLineChars="236"/>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四、招标文件获取的方式、时间:</w:t>
      </w:r>
    </w:p>
    <w:p>
      <w:pPr>
        <w:snapToGrid w:val="0"/>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bCs/>
          <w:color w:val="auto"/>
          <w:szCs w:val="21"/>
          <w:highlight w:val="none"/>
        </w:rPr>
        <w:t>1、</w:t>
      </w:r>
      <w:r>
        <w:rPr>
          <w:rFonts w:hint="eastAsia" w:ascii="宋体" w:hAnsi="宋体" w:eastAsia="宋体" w:cs="宋体"/>
          <w:b/>
          <w:color w:val="auto"/>
          <w:szCs w:val="21"/>
          <w:highlight w:val="none"/>
        </w:rPr>
        <w:t>本项目招标文件实行“浙江政府采购网”</w:t>
      </w:r>
      <w:r>
        <w:rPr>
          <w:rStyle w:val="25"/>
          <w:rFonts w:hint="eastAsia" w:ascii="宋体" w:hAnsi="宋体" w:eastAsia="宋体" w:cs="宋体"/>
          <w:color w:val="auto"/>
          <w:sz w:val="21"/>
          <w:szCs w:val="21"/>
          <w:highlight w:val="none"/>
        </w:rPr>
        <w:t>（http://zfcg.czt.zj.gov.cn）</w:t>
      </w:r>
      <w:r>
        <w:rPr>
          <w:rFonts w:hint="eastAsia" w:ascii="宋体" w:hAnsi="宋体" w:eastAsia="宋体" w:cs="宋体"/>
          <w:b/>
          <w:color w:val="auto"/>
          <w:szCs w:val="21"/>
          <w:highlight w:val="none"/>
        </w:rPr>
        <w:t>在线获取，不提供招标文件纸质版。供应商获取招标文件前应先完成“浙江政府采购网”的账号注册。</w:t>
      </w:r>
    </w:p>
    <w:p>
      <w:pPr>
        <w:spacing w:line="360" w:lineRule="auto"/>
        <w:ind w:firstLine="422" w:firstLineChars="200"/>
        <w:rPr>
          <w:rStyle w:val="25"/>
          <w:rFonts w:hint="eastAsia" w:ascii="宋体" w:hAnsi="宋体" w:eastAsia="宋体" w:cs="宋体"/>
          <w:color w:val="auto"/>
          <w:sz w:val="21"/>
          <w:szCs w:val="21"/>
          <w:highlight w:val="none"/>
        </w:rPr>
      </w:pPr>
      <w:r>
        <w:rPr>
          <w:rFonts w:hint="eastAsia" w:ascii="宋体" w:hAnsi="宋体" w:eastAsia="宋体" w:cs="宋体"/>
          <w:b/>
          <w:bCs/>
          <w:color w:val="auto"/>
          <w:szCs w:val="21"/>
          <w:highlight w:val="none"/>
        </w:rPr>
        <w:t>2、获取</w:t>
      </w:r>
      <w:r>
        <w:rPr>
          <w:rStyle w:val="25"/>
          <w:rFonts w:hint="eastAsia" w:ascii="宋体" w:hAnsi="宋体" w:eastAsia="宋体" w:cs="宋体"/>
          <w:color w:val="auto"/>
          <w:sz w:val="21"/>
          <w:szCs w:val="21"/>
          <w:highlight w:val="none"/>
        </w:rPr>
        <w:t>方式：潜在供应商登陆政府采购云平台，在线申请获取招标文件</w:t>
      </w:r>
      <w:r>
        <w:rPr>
          <w:rStyle w:val="25"/>
          <w:rFonts w:hint="eastAsia" w:ascii="宋体" w:hAnsi="宋体" w:eastAsia="宋体" w:cs="宋体"/>
          <w:b w:val="0"/>
          <w:bCs/>
          <w:color w:val="auto"/>
          <w:sz w:val="21"/>
          <w:szCs w:val="21"/>
          <w:highlight w:val="none"/>
        </w:rPr>
        <w:t>（进入“项目采购”应用，在获取招标文件菜单中选择项目，申请获取招标文件，本项目招标文件不收取工本费；</w:t>
      </w:r>
      <w:r>
        <w:rPr>
          <w:rStyle w:val="25"/>
          <w:rFonts w:hint="eastAsia" w:ascii="宋体" w:hAnsi="宋体" w:eastAsia="宋体" w:cs="宋体"/>
          <w:b w:val="0"/>
          <w:bCs/>
          <w:color w:val="auto"/>
          <w:sz w:val="21"/>
          <w:szCs w:val="21"/>
          <w:highlight w:val="none"/>
          <w:u w:val="single"/>
        </w:rPr>
        <w:t>仅需浏览招标文件的供应商可点击“游客，浏览招标文件”直接下载招标文件浏览</w:t>
      </w:r>
      <w:r>
        <w:rPr>
          <w:rStyle w:val="25"/>
          <w:rFonts w:hint="eastAsia" w:ascii="宋体" w:hAnsi="宋体" w:eastAsia="宋体" w:cs="宋体"/>
          <w:b w:val="0"/>
          <w:bCs/>
          <w:color w:val="auto"/>
          <w:sz w:val="21"/>
          <w:szCs w:val="21"/>
          <w:highlight w:val="none"/>
        </w:rPr>
        <w:t>）；</w:t>
      </w:r>
    </w:p>
    <w:p>
      <w:pPr>
        <w:spacing w:line="360" w:lineRule="auto"/>
        <w:ind w:firstLine="422" w:firstLineChars="200"/>
        <w:rPr>
          <w:rFonts w:hint="eastAsia" w:ascii="宋体" w:hAnsi="宋体" w:eastAsia="宋体" w:cs="宋体"/>
          <w:color w:val="auto"/>
          <w:szCs w:val="21"/>
          <w:highlight w:val="none"/>
        </w:rPr>
      </w:pPr>
      <w:r>
        <w:rPr>
          <w:rStyle w:val="25"/>
          <w:rFonts w:hint="eastAsia" w:ascii="宋体" w:hAnsi="宋体" w:eastAsia="宋体" w:cs="宋体"/>
          <w:color w:val="auto"/>
          <w:sz w:val="21"/>
          <w:szCs w:val="21"/>
          <w:highlight w:val="none"/>
        </w:rPr>
        <w:t>3、</w:t>
      </w:r>
      <w:r>
        <w:rPr>
          <w:rFonts w:hint="eastAsia" w:ascii="宋体" w:hAnsi="宋体" w:eastAsia="宋体" w:cs="宋体"/>
          <w:b/>
          <w:bCs/>
          <w:color w:val="auto"/>
          <w:szCs w:val="21"/>
          <w:highlight w:val="none"/>
        </w:rPr>
        <w:t>获取（公告）时间</w:t>
      </w:r>
      <w:r>
        <w:rPr>
          <w:rFonts w:hint="eastAsia" w:ascii="宋体" w:hAnsi="宋体" w:eastAsia="宋体" w:cs="宋体"/>
          <w:color w:val="auto"/>
          <w:szCs w:val="21"/>
          <w:highlight w:val="none"/>
        </w:rPr>
        <w:t>：</w:t>
      </w:r>
      <w:r>
        <w:rPr>
          <w:rFonts w:hint="eastAsia" w:ascii="宋体" w:hAnsi="宋体" w:eastAsia="宋体" w:cs="宋体"/>
          <w:color w:val="auto"/>
          <w:sz w:val="21"/>
          <w:szCs w:val="21"/>
          <w:highlight w:val="none"/>
          <w:lang w:eastAsia="zh-CN"/>
        </w:rPr>
        <w:t>自本公告发布之日起至投标文件递交截止时间止；</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w:t>
      </w:r>
      <w:r>
        <w:rPr>
          <w:rStyle w:val="25"/>
          <w:rFonts w:hint="eastAsia" w:ascii="宋体" w:hAnsi="宋体" w:eastAsia="宋体" w:cs="宋体"/>
          <w:b w:val="0"/>
          <w:color w:val="auto"/>
          <w:sz w:val="21"/>
          <w:szCs w:val="21"/>
          <w:highlight w:val="none"/>
        </w:rPr>
        <w:t>供应商网上报名操作指南：“浙江政府采购网-办事指南-省采中心-网上报名”（http://zfcg.czt.zj.gov.cn/bs_other/2018-03-30/12002.html）。</w:t>
      </w:r>
    </w:p>
    <w:p>
      <w:pPr>
        <w:pStyle w:val="18"/>
        <w:spacing w:before="0" w:beforeAutospacing="0" w:after="0" w:afterAutospacing="0" w:line="360" w:lineRule="auto"/>
        <w:ind w:firstLine="420" w:firstLineChars="200"/>
        <w:rPr>
          <w:rFonts w:hint="eastAsia" w:ascii="宋体" w:hAnsi="宋体" w:eastAsia="宋体" w:cs="宋体"/>
          <w:color w:val="auto"/>
          <w:sz w:val="21"/>
          <w:szCs w:val="21"/>
          <w:highlight w:val="none"/>
        </w:rPr>
      </w:pPr>
      <w:r>
        <w:rPr>
          <w:rStyle w:val="25"/>
          <w:rFonts w:hint="eastAsia" w:ascii="宋体" w:hAnsi="宋体" w:eastAsia="宋体" w:cs="宋体"/>
          <w:b w:val="0"/>
          <w:color w:val="auto"/>
          <w:sz w:val="21"/>
          <w:szCs w:val="21"/>
          <w:highlight w:val="none"/>
        </w:rPr>
        <w:t>5、供应商获取招标文件时须提交的文件资料：无；</w:t>
      </w:r>
    </w:p>
    <w:p>
      <w:pPr>
        <w:pStyle w:val="18"/>
        <w:spacing w:before="0" w:beforeAutospacing="0" w:after="0" w:afterAutospacing="0" w:line="360" w:lineRule="auto"/>
        <w:ind w:firstLine="422" w:firstLineChars="200"/>
        <w:rPr>
          <w:rFonts w:hint="eastAsia" w:ascii="宋体" w:hAnsi="宋体" w:eastAsia="宋体" w:cs="宋体"/>
          <w:color w:val="auto"/>
          <w:sz w:val="21"/>
          <w:szCs w:val="21"/>
          <w:highlight w:val="none"/>
        </w:rPr>
      </w:pPr>
      <w:r>
        <w:rPr>
          <w:rStyle w:val="25"/>
          <w:rFonts w:hint="eastAsia" w:ascii="宋体" w:hAnsi="宋体" w:eastAsia="宋体" w:cs="宋体"/>
          <w:color w:val="auto"/>
          <w:sz w:val="21"/>
          <w:szCs w:val="21"/>
          <w:highlight w:val="none"/>
        </w:rPr>
        <w:t>6、提示：招标公告附件内的招标文件（或采购需求）仅供阅览使用，供应商只有在“政府采购云平台”完成获取招标文件申请并下载了招标文件后才视作依法获取招标文件（法律法规所指的供应商获取招标文件时间以供应商完成获取招标文件申请后下载招标文件的时间为准）。</w:t>
      </w:r>
    </w:p>
    <w:p>
      <w:pPr>
        <w:pStyle w:val="18"/>
        <w:spacing w:before="0" w:beforeAutospacing="0" w:after="0" w:afterAutospacing="0" w:line="360" w:lineRule="auto"/>
        <w:ind w:firstLine="480"/>
        <w:rPr>
          <w:rStyle w:val="25"/>
          <w:rFonts w:hint="eastAsia" w:ascii="宋体" w:hAnsi="宋体" w:eastAsia="宋体" w:cs="宋体"/>
          <w:color w:val="auto"/>
          <w:sz w:val="21"/>
          <w:szCs w:val="21"/>
          <w:highlight w:val="none"/>
        </w:rPr>
      </w:pPr>
      <w:r>
        <w:rPr>
          <w:rStyle w:val="25"/>
          <w:rFonts w:hint="eastAsia" w:ascii="宋体" w:hAnsi="宋体" w:eastAsia="宋体" w:cs="宋体"/>
          <w:color w:val="auto"/>
          <w:sz w:val="21"/>
          <w:szCs w:val="21"/>
          <w:highlight w:val="none"/>
        </w:rPr>
        <w:t>注：请供应商按上述要求获取招标文件，如未在“政府采购云平台”系统内完成相关流程，引起的投标无效责任自负。</w:t>
      </w:r>
    </w:p>
    <w:p>
      <w:pPr>
        <w:spacing w:line="360" w:lineRule="auto"/>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五、招标答疑会</w:t>
      </w:r>
    </w:p>
    <w:p>
      <w:pPr>
        <w:spacing w:line="360" w:lineRule="auto"/>
        <w:ind w:firstLine="840" w:firstLineChars="4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无</w:t>
      </w:r>
    </w:p>
    <w:p>
      <w:pPr>
        <w:spacing w:line="360" w:lineRule="auto"/>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六、投标须知：</w:t>
      </w:r>
    </w:p>
    <w:p>
      <w:pPr>
        <w:pStyle w:val="53"/>
        <w:snapToGrid w:val="0"/>
        <w:spacing w:line="360" w:lineRule="auto"/>
        <w:ind w:firstLine="373" w:firstLineChars="177"/>
        <w:rPr>
          <w:rFonts w:hint="eastAsia" w:ascii="宋体" w:hAnsi="宋体" w:eastAsia="宋体" w:cs="宋体"/>
          <w:color w:val="auto"/>
          <w:highlight w:val="none"/>
        </w:rPr>
      </w:pPr>
      <w:r>
        <w:rPr>
          <w:rFonts w:hint="eastAsia" w:ascii="宋体" w:hAnsi="宋体" w:eastAsia="宋体" w:cs="宋体"/>
          <w:b/>
          <w:bCs/>
          <w:color w:val="auto"/>
          <w:highlight w:val="none"/>
        </w:rPr>
        <w:t>1、投标截止时间与地点</w:t>
      </w:r>
      <w:r>
        <w:rPr>
          <w:rFonts w:hint="eastAsia" w:ascii="宋体" w:hAnsi="宋体" w:eastAsia="宋体" w:cs="宋体"/>
          <w:color w:val="auto"/>
          <w:highlight w:val="none"/>
        </w:rPr>
        <w:t>：</w:t>
      </w:r>
      <w:r>
        <w:rPr>
          <w:rFonts w:hint="eastAsia" w:ascii="宋体" w:hAnsi="宋体" w:cs="宋体"/>
          <w:color w:val="auto"/>
          <w:highlight w:val="none"/>
          <w:lang w:eastAsia="zh-CN"/>
        </w:rPr>
        <w:t>2024年6月6日上午9:00</w:t>
      </w:r>
      <w:r>
        <w:rPr>
          <w:rFonts w:hint="eastAsia" w:ascii="宋体" w:hAnsi="宋体" w:eastAsia="宋体" w:cs="宋体"/>
          <w:color w:val="auto"/>
          <w:highlight w:val="none"/>
          <w:lang w:eastAsia="zh-CN"/>
        </w:rPr>
        <w:t>整</w:t>
      </w:r>
      <w:r>
        <w:rPr>
          <w:rFonts w:hint="eastAsia" w:ascii="宋体" w:hAnsi="宋体" w:eastAsia="宋体" w:cs="宋体"/>
          <w:color w:val="auto"/>
          <w:highlight w:val="none"/>
        </w:rPr>
        <w:t xml:space="preserve">，地点：通过“政府采购云平台（www.zcygov.cn）”实行在线投标响应   </w:t>
      </w:r>
    </w:p>
    <w:p>
      <w:pPr>
        <w:pStyle w:val="53"/>
        <w:snapToGrid w:val="0"/>
        <w:spacing w:line="360" w:lineRule="auto"/>
        <w:ind w:firstLine="373" w:firstLineChars="177"/>
        <w:rPr>
          <w:rFonts w:hint="eastAsia" w:ascii="宋体" w:hAnsi="宋体" w:eastAsia="宋体" w:cs="宋体"/>
          <w:color w:val="auto"/>
          <w:highlight w:val="none"/>
        </w:rPr>
      </w:pPr>
      <w:r>
        <w:rPr>
          <w:rFonts w:hint="eastAsia" w:ascii="宋体" w:hAnsi="宋体" w:eastAsia="宋体" w:cs="宋体"/>
          <w:b/>
          <w:bCs/>
          <w:color w:val="auto"/>
          <w:highlight w:val="none"/>
        </w:rPr>
        <w:t>2、开标时间及地点</w:t>
      </w:r>
      <w:r>
        <w:rPr>
          <w:rFonts w:hint="eastAsia" w:ascii="宋体" w:hAnsi="宋体" w:eastAsia="宋体" w:cs="宋体"/>
          <w:color w:val="auto"/>
          <w:highlight w:val="none"/>
        </w:rPr>
        <w:t>：</w:t>
      </w:r>
      <w:r>
        <w:rPr>
          <w:rFonts w:hint="eastAsia" w:ascii="宋体" w:hAnsi="宋体" w:cs="宋体"/>
          <w:color w:val="auto"/>
          <w:highlight w:val="none"/>
          <w:lang w:eastAsia="zh-CN"/>
        </w:rPr>
        <w:t>2024年6月6日上午9:00</w:t>
      </w:r>
      <w:r>
        <w:rPr>
          <w:rFonts w:hint="eastAsia" w:ascii="宋体" w:hAnsi="宋体" w:eastAsia="宋体" w:cs="宋体"/>
          <w:color w:val="auto"/>
          <w:highlight w:val="none"/>
          <w:lang w:eastAsia="zh-CN"/>
        </w:rPr>
        <w:t>整</w:t>
      </w:r>
      <w:r>
        <w:rPr>
          <w:rFonts w:hint="eastAsia" w:ascii="宋体" w:hAnsi="宋体" w:eastAsia="宋体" w:cs="宋体"/>
          <w:color w:val="auto"/>
          <w:highlight w:val="none"/>
        </w:rPr>
        <w:t>，地点：</w:t>
      </w:r>
      <w:r>
        <w:rPr>
          <w:rFonts w:hint="eastAsia" w:ascii="宋体" w:hAnsi="宋体" w:eastAsia="宋体" w:cs="宋体"/>
          <w:color w:val="auto"/>
          <w:kern w:val="2"/>
          <w:szCs w:val="24"/>
          <w:highlight w:val="none"/>
        </w:rPr>
        <w:t>通过“政府采购云平台（www.zcygov.cn）”实行在线投标响应</w:t>
      </w:r>
    </w:p>
    <w:p>
      <w:pPr>
        <w:pStyle w:val="53"/>
        <w:snapToGrid w:val="0"/>
        <w:spacing w:line="360" w:lineRule="auto"/>
        <w:ind w:firstLine="373" w:firstLineChars="177"/>
        <w:rPr>
          <w:rFonts w:hint="eastAsia" w:ascii="宋体" w:hAnsi="宋体" w:eastAsia="宋体" w:cs="宋体"/>
          <w:color w:val="auto"/>
          <w:highlight w:val="none"/>
        </w:rPr>
      </w:pPr>
      <w:r>
        <w:rPr>
          <w:rFonts w:hint="eastAsia" w:ascii="宋体" w:hAnsi="宋体" w:eastAsia="宋体" w:cs="宋体"/>
          <w:b/>
          <w:bCs/>
          <w:color w:val="auto"/>
          <w:highlight w:val="none"/>
        </w:rPr>
        <w:t>3、解密截止时间</w:t>
      </w:r>
      <w:r>
        <w:rPr>
          <w:rFonts w:hint="eastAsia" w:ascii="宋体" w:hAnsi="宋体" w:eastAsia="宋体" w:cs="宋体"/>
          <w:color w:val="auto"/>
          <w:highlight w:val="none"/>
        </w:rPr>
        <w:t>：</w:t>
      </w:r>
      <w:r>
        <w:rPr>
          <w:rFonts w:hint="eastAsia" w:ascii="宋体" w:hAnsi="宋体" w:cs="宋体"/>
          <w:color w:val="auto"/>
          <w:sz w:val="21"/>
          <w:szCs w:val="21"/>
          <w:highlight w:val="none"/>
          <w:lang w:eastAsia="zh-CN"/>
        </w:rPr>
        <w:t>2024年6月6日上午9:30</w:t>
      </w:r>
      <w:r>
        <w:rPr>
          <w:rFonts w:hint="eastAsia" w:ascii="宋体" w:hAnsi="宋体" w:eastAsia="宋体" w:cs="宋体"/>
          <w:color w:val="auto"/>
          <w:sz w:val="21"/>
          <w:szCs w:val="21"/>
          <w:highlight w:val="none"/>
          <w:lang w:eastAsia="zh-CN"/>
        </w:rPr>
        <w:t>整</w:t>
      </w:r>
    </w:p>
    <w:p>
      <w:pPr>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七、在线投标响应（电子投标）说明</w:t>
      </w:r>
    </w:p>
    <w:p>
      <w:pPr>
        <w:pStyle w:val="11"/>
        <w:wordWrap w:val="0"/>
        <w:adjustRightInd w:val="0"/>
        <w:snapToGrid w:val="0"/>
        <w:spacing w:line="360" w:lineRule="auto"/>
        <w:ind w:firstLine="422" w:firstLineChars="200"/>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1、本项目通过“政府采购云平台（www.zcygov.cn）”实行在线投标响应（电子投标），供应商应先安装“</w:t>
      </w:r>
      <w:r>
        <w:rPr>
          <w:rFonts w:hint="eastAsia" w:ascii="宋体" w:hAnsi="宋体" w:eastAsia="宋体" w:cs="宋体"/>
          <w:b/>
          <w:bCs/>
          <w:color w:val="auto"/>
          <w:kern w:val="0"/>
          <w:szCs w:val="21"/>
          <w:highlight w:val="none"/>
          <w:lang w:eastAsia="zh-CN"/>
        </w:rPr>
        <w:t>政采云电子投标客户端</w:t>
      </w:r>
      <w:r>
        <w:rPr>
          <w:rFonts w:hint="eastAsia" w:ascii="宋体" w:hAnsi="宋体" w:eastAsia="宋体" w:cs="宋体"/>
          <w:b/>
          <w:bCs/>
          <w:color w:val="auto"/>
          <w:kern w:val="0"/>
          <w:szCs w:val="21"/>
          <w:highlight w:val="none"/>
        </w:rPr>
        <w:t>”，并按照本招标文件和“政府采购云平台”的要求，通过“</w:t>
      </w:r>
      <w:r>
        <w:rPr>
          <w:rFonts w:hint="eastAsia" w:ascii="宋体" w:hAnsi="宋体" w:eastAsia="宋体" w:cs="宋体"/>
          <w:b/>
          <w:bCs/>
          <w:color w:val="auto"/>
          <w:kern w:val="0"/>
          <w:szCs w:val="21"/>
          <w:highlight w:val="none"/>
          <w:lang w:eastAsia="zh-CN"/>
        </w:rPr>
        <w:t>政采云电子投标客户端</w:t>
      </w:r>
      <w:r>
        <w:rPr>
          <w:rFonts w:hint="eastAsia" w:ascii="宋体" w:hAnsi="宋体" w:eastAsia="宋体" w:cs="宋体"/>
          <w:b/>
          <w:bCs/>
          <w:color w:val="auto"/>
          <w:kern w:val="0"/>
          <w:szCs w:val="21"/>
          <w:highlight w:val="none"/>
        </w:rPr>
        <w:t>”编制并加密投标文件。</w:t>
      </w:r>
      <w:r>
        <w:rPr>
          <w:rFonts w:hint="eastAsia" w:ascii="宋体" w:hAnsi="宋体" w:eastAsia="宋体" w:cs="宋体"/>
          <w:color w:val="auto"/>
          <w:sz w:val="21"/>
          <w:szCs w:val="21"/>
          <w:highlight w:val="none"/>
        </w:rPr>
        <w:t>▲</w:t>
      </w:r>
      <w:r>
        <w:rPr>
          <w:rFonts w:hint="eastAsia" w:ascii="宋体" w:hAnsi="宋体" w:eastAsia="宋体" w:cs="宋体"/>
          <w:b/>
          <w:bCs/>
          <w:color w:val="auto"/>
          <w:kern w:val="0"/>
          <w:szCs w:val="21"/>
          <w:highlight w:val="none"/>
        </w:rPr>
        <w:t>供应商未按规定加密的投标文件，“政府采购云平台”将予以拒收。</w:t>
      </w:r>
    </w:p>
    <w:p>
      <w:pPr>
        <w:pStyle w:val="11"/>
        <w:wordWrap w:val="0"/>
        <w:adjustRightInd w:val="0"/>
        <w:snapToGrid w:val="0"/>
        <w:spacing w:line="360" w:lineRule="auto"/>
        <w:ind w:firstLine="422" w:firstLineChars="200"/>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w:t>
      </w:r>
      <w:r>
        <w:rPr>
          <w:rFonts w:hint="eastAsia" w:ascii="宋体" w:hAnsi="宋体" w:eastAsia="宋体" w:cs="宋体"/>
          <w:b/>
          <w:bCs/>
          <w:color w:val="auto"/>
          <w:kern w:val="0"/>
          <w:szCs w:val="21"/>
          <w:highlight w:val="none"/>
          <w:lang w:eastAsia="zh-CN"/>
        </w:rPr>
        <w:t>政采云电子投标客户端</w:t>
      </w:r>
      <w:r>
        <w:rPr>
          <w:rFonts w:hint="eastAsia" w:ascii="宋体" w:hAnsi="宋体" w:eastAsia="宋体" w:cs="宋体"/>
          <w:b/>
          <w:bCs/>
          <w:color w:val="auto"/>
          <w:kern w:val="0"/>
          <w:szCs w:val="21"/>
          <w:highlight w:val="none"/>
        </w:rPr>
        <w:t>”请自行前往“浙江政府采购网-下载专区-电子交易客户端”进行下载；电子投标具体操作流程详见《供应商项目采购-电子招投标操作指南》；通过“政府采购云平台”参与在线投标时如遇平台技术问题详询</w:t>
      </w:r>
      <w:r>
        <w:rPr>
          <w:rFonts w:hint="eastAsia" w:ascii="宋体" w:hAnsi="宋体" w:eastAsia="宋体" w:cs="宋体"/>
          <w:b/>
          <w:bCs/>
          <w:color w:val="auto"/>
          <w:kern w:val="0"/>
          <w:szCs w:val="21"/>
          <w:highlight w:val="none"/>
          <w:lang w:val="en-US" w:eastAsia="zh-CN"/>
        </w:rPr>
        <w:t>95763</w:t>
      </w:r>
      <w:r>
        <w:rPr>
          <w:rFonts w:hint="eastAsia" w:ascii="宋体" w:hAnsi="宋体" w:eastAsia="宋体" w:cs="宋体"/>
          <w:b/>
          <w:bCs/>
          <w:color w:val="auto"/>
          <w:kern w:val="0"/>
          <w:szCs w:val="21"/>
          <w:highlight w:val="none"/>
        </w:rPr>
        <w:t>。</w:t>
      </w:r>
    </w:p>
    <w:p>
      <w:pPr>
        <w:pStyle w:val="53"/>
        <w:snapToGrid w:val="0"/>
        <w:spacing w:line="360" w:lineRule="auto"/>
        <w:ind w:firstLine="422" w:firstLineChars="200"/>
        <w:rPr>
          <w:rFonts w:hint="eastAsia" w:ascii="宋体" w:hAnsi="宋体" w:eastAsia="宋体" w:cs="宋体"/>
          <w:b/>
          <w:bCs/>
          <w:color w:val="auto"/>
          <w:highlight w:val="none"/>
        </w:rPr>
      </w:pPr>
      <w:r>
        <w:rPr>
          <w:rFonts w:hint="eastAsia" w:ascii="宋体" w:hAnsi="宋体" w:eastAsia="宋体" w:cs="宋体"/>
          <w:b/>
          <w:bCs/>
          <w:color w:val="auto"/>
          <w:highlight w:val="none"/>
        </w:rPr>
        <w:t>2、为确保网上操作合法、有效和安全，投标供应商应当在投标截止时间前完成在“政府采购云平台”的身份认证，确保在电子投标过程中能够对相关数据电文进行加密和使用电子签章。使用“</w:t>
      </w:r>
      <w:r>
        <w:rPr>
          <w:rFonts w:hint="eastAsia" w:ascii="宋体" w:hAnsi="宋体" w:eastAsia="宋体" w:cs="宋体"/>
          <w:b/>
          <w:bCs/>
          <w:color w:val="auto"/>
          <w:highlight w:val="none"/>
          <w:lang w:eastAsia="zh-CN"/>
        </w:rPr>
        <w:t>政采云电子投标客户端</w:t>
      </w:r>
      <w:r>
        <w:rPr>
          <w:rFonts w:hint="eastAsia" w:ascii="宋体" w:hAnsi="宋体" w:eastAsia="宋体" w:cs="宋体"/>
          <w:b/>
          <w:bCs/>
          <w:color w:val="auto"/>
          <w:highlight w:val="none"/>
        </w:rPr>
        <w:t>”需要提前申领CA数字证书，申领流程请自行前往“浙江政府采购网-下载专区-电子交易客户端-</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"http://zfcg.czt.zj.gov.cn/bidClientTemplate/2019-05-27/12945.html" \o "CA驱动和申领流程" </w:instrText>
      </w:r>
      <w:r>
        <w:rPr>
          <w:rFonts w:hint="eastAsia" w:ascii="宋体" w:hAnsi="宋体" w:eastAsia="宋体" w:cs="宋体"/>
          <w:color w:val="auto"/>
          <w:highlight w:val="none"/>
        </w:rPr>
        <w:fldChar w:fldCharType="separate"/>
      </w:r>
      <w:r>
        <w:rPr>
          <w:rFonts w:hint="eastAsia" w:ascii="宋体" w:hAnsi="宋体" w:eastAsia="宋体" w:cs="宋体"/>
          <w:b/>
          <w:bCs/>
          <w:color w:val="auto"/>
          <w:highlight w:val="none"/>
        </w:rPr>
        <w:t>CA驱动和申领流程</w:t>
      </w:r>
      <w:r>
        <w:rPr>
          <w:rFonts w:hint="eastAsia" w:ascii="宋体" w:hAnsi="宋体" w:eastAsia="宋体" w:cs="宋体"/>
          <w:b/>
          <w:bCs/>
          <w:color w:val="auto"/>
          <w:highlight w:val="none"/>
        </w:rPr>
        <w:fldChar w:fldCharType="end"/>
      </w:r>
      <w:r>
        <w:rPr>
          <w:rFonts w:hint="eastAsia" w:ascii="宋体" w:hAnsi="宋体" w:eastAsia="宋体" w:cs="宋体"/>
          <w:b/>
          <w:bCs/>
          <w:color w:val="auto"/>
          <w:highlight w:val="none"/>
        </w:rPr>
        <w:t>”进行查阅；</w:t>
      </w:r>
    </w:p>
    <w:p>
      <w:pPr>
        <w:pStyle w:val="11"/>
        <w:keepNext w:val="0"/>
        <w:keepLines w:val="0"/>
        <w:pageBreakBefore w:val="0"/>
        <w:kinsoku/>
        <w:topLinePunct w:val="0"/>
        <w:bidi w:val="0"/>
        <w:adjustRightInd w:val="0"/>
        <w:snapToGrid w:val="0"/>
        <w:spacing w:beforeAutospacing="0" w:afterAutospacing="0" w:line="360" w:lineRule="auto"/>
        <w:ind w:firstLine="422" w:firstLineChars="200"/>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Cs w:val="21"/>
          <w:highlight w:val="none"/>
        </w:rPr>
        <w:t>3、投标人通过政府采购云平台电子投标工具制作投标文件，电子投标工具请供应商自行前往浙江政府采购网下载并安装，（</w:t>
      </w:r>
      <w:r>
        <w:rPr>
          <w:rFonts w:hint="eastAsia" w:ascii="宋体" w:hAnsi="宋体" w:eastAsia="宋体" w:cs="宋体"/>
          <w:b/>
          <w:bCs/>
          <w:color w:val="auto"/>
          <w:kern w:val="0"/>
          <w:sz w:val="21"/>
          <w:szCs w:val="21"/>
          <w:highlight w:val="none"/>
          <w:lang w:val="en-US" w:eastAsia="zh-CN" w:bidi="ar-SA"/>
        </w:rPr>
        <w:t>下载网址：https://zfcg.czt.zj.gov.cn/bidClientTemplate/2021-11-01/12975.html?utm=web-government-front.a2eab82.0.0.19c58540c14611ed94855fb6758c26ac），电子投标具体流程文档详见网址：</w:t>
      </w:r>
      <w:r>
        <w:rPr>
          <w:rFonts w:hint="eastAsia" w:ascii="宋体" w:hAnsi="宋体" w:eastAsia="宋体" w:cs="宋体"/>
          <w:b/>
          <w:bCs/>
          <w:color w:val="auto"/>
          <w:kern w:val="0"/>
          <w:sz w:val="21"/>
          <w:szCs w:val="21"/>
          <w:highlight w:val="none"/>
          <w:lang w:val="en-US" w:eastAsia="zh-CN" w:bidi="ar-SA"/>
        </w:rPr>
        <w:fldChar w:fldCharType="begin"/>
      </w:r>
      <w:r>
        <w:rPr>
          <w:rFonts w:hint="eastAsia" w:ascii="宋体" w:hAnsi="宋体" w:eastAsia="宋体" w:cs="宋体"/>
          <w:b/>
          <w:bCs/>
          <w:color w:val="auto"/>
          <w:kern w:val="0"/>
          <w:sz w:val="21"/>
          <w:szCs w:val="21"/>
          <w:highlight w:val="none"/>
          <w:lang w:val="en-US" w:eastAsia="zh-CN" w:bidi="ar-SA"/>
        </w:rPr>
        <w:instrText xml:space="preserve"> HYPERLINK "https://service.zcygov.cn/#/knowledges/CW1EtGwBFdiHxlNd6I3m/6IMVAG0BFdiHx" </w:instrText>
      </w:r>
      <w:r>
        <w:rPr>
          <w:rFonts w:hint="eastAsia" w:ascii="宋体" w:hAnsi="宋体" w:eastAsia="宋体" w:cs="宋体"/>
          <w:b/>
          <w:bCs/>
          <w:color w:val="auto"/>
          <w:kern w:val="0"/>
          <w:sz w:val="21"/>
          <w:szCs w:val="21"/>
          <w:highlight w:val="none"/>
          <w:lang w:val="en-US" w:eastAsia="zh-CN" w:bidi="ar-SA"/>
        </w:rPr>
        <w:fldChar w:fldCharType="separate"/>
      </w:r>
      <w:r>
        <w:rPr>
          <w:rFonts w:hint="eastAsia" w:ascii="宋体" w:hAnsi="宋体" w:eastAsia="宋体" w:cs="宋体"/>
          <w:b/>
          <w:bCs/>
          <w:color w:val="auto"/>
          <w:kern w:val="0"/>
          <w:sz w:val="21"/>
          <w:szCs w:val="21"/>
          <w:highlight w:val="none"/>
          <w:lang w:val="en-US" w:eastAsia="zh-CN" w:bidi="ar-SA"/>
        </w:rPr>
        <w:t>https://service.zcygov.cn/#/knowledges/CW1EtGwBFdiHxlNd6I3m/6IMVAG0BFdiHx</w:t>
      </w:r>
      <w:r>
        <w:rPr>
          <w:rFonts w:hint="eastAsia" w:ascii="宋体" w:hAnsi="宋体" w:eastAsia="宋体" w:cs="宋体"/>
          <w:b/>
          <w:bCs/>
          <w:color w:val="auto"/>
          <w:kern w:val="0"/>
          <w:sz w:val="21"/>
          <w:szCs w:val="21"/>
          <w:highlight w:val="none"/>
          <w:lang w:val="en-US" w:eastAsia="zh-CN" w:bidi="ar-SA"/>
        </w:rPr>
        <w:fldChar w:fldCharType="end"/>
      </w:r>
    </w:p>
    <w:p>
      <w:pPr>
        <w:pStyle w:val="11"/>
        <w:adjustRightInd w:val="0"/>
        <w:snapToGrid w:val="0"/>
        <w:spacing w:line="360" w:lineRule="auto"/>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 w:val="21"/>
          <w:szCs w:val="21"/>
          <w:highlight w:val="none"/>
          <w:lang w:val="en-US" w:eastAsia="zh-CN" w:bidi="ar-SA"/>
        </w:rPr>
        <w:t>lNdQ8Na?keyword=%E6%8A%95%E6%A0%87。</w:t>
      </w:r>
    </w:p>
    <w:p>
      <w:pPr>
        <w:pStyle w:val="11"/>
        <w:adjustRightInd w:val="0"/>
        <w:snapToGrid w:val="0"/>
        <w:spacing w:line="360" w:lineRule="auto"/>
        <w:ind w:firstLine="422" w:firstLineChars="200"/>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4、投标供应商应当在投标截止时间前，将生成的“电子加密投标文件”上传递交至“政府采购云平台”。投标截止时间前可以补充、修改或者撤回电子投标文件。补充或者修改电子投标文件的，应当先行撤回原文件，补充、修改后重新传输递交。投标截止时间前未完成传输的，视为撤回投标文件。</w:t>
      </w:r>
    </w:p>
    <w:p>
      <w:pPr>
        <w:pStyle w:val="11"/>
        <w:adjustRightInd w:val="0"/>
        <w:snapToGrid w:val="0"/>
        <w:spacing w:line="360" w:lineRule="auto"/>
        <w:ind w:firstLine="422" w:firstLineChars="200"/>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 w:val="21"/>
          <w:szCs w:val="21"/>
          <w:highlight w:val="none"/>
          <w:lang w:val="en-US" w:eastAsia="zh-CN" w:bidi="ar-SA"/>
        </w:rPr>
        <w:t>5、供应商同时还可以提供经政采云平台加密处理的、</w:t>
      </w:r>
      <w:r>
        <w:rPr>
          <w:rFonts w:hint="eastAsia" w:ascii="宋体" w:hAnsi="宋体" w:eastAsia="宋体" w:cs="宋体"/>
          <w:b/>
          <w:bCs/>
          <w:color w:val="auto"/>
          <w:kern w:val="2"/>
          <w:sz w:val="21"/>
          <w:szCs w:val="21"/>
          <w:highlight w:val="none"/>
          <w:lang w:val="en-US" w:eastAsia="zh-CN" w:bidi="ar-SA"/>
        </w:rPr>
        <w:t>以介质（U盘）存储的数据电文形式的备份</w:t>
      </w:r>
      <w:r>
        <w:rPr>
          <w:rFonts w:hint="eastAsia" w:ascii="宋体" w:hAnsi="宋体" w:eastAsia="宋体" w:cs="宋体"/>
          <w:b/>
          <w:bCs/>
          <w:color w:val="auto"/>
          <w:kern w:val="0"/>
          <w:sz w:val="21"/>
          <w:szCs w:val="21"/>
          <w:highlight w:val="none"/>
          <w:lang w:val="en-US" w:eastAsia="zh-CN" w:bidi="ar-SA"/>
        </w:rPr>
        <w:t>投标文件。备份投标文件应当在投标截止时间前按要求密封（备份投标文件在密封袋的封口处加盖投标人公章、法定代表人代表或授权委托代理人印章或签字。封皮上写明项目编号、标项、招标项目名称、投标人名称，并注明“投标文件名称”、“开标时启封”字样）并建议</w:t>
      </w:r>
      <w:r>
        <w:rPr>
          <w:rFonts w:hint="eastAsia" w:ascii="宋体" w:hAnsi="宋体" w:eastAsia="宋体" w:cs="宋体"/>
          <w:b/>
          <w:bCs/>
          <w:color w:val="auto"/>
          <w:kern w:val="2"/>
          <w:sz w:val="21"/>
          <w:szCs w:val="21"/>
          <w:highlight w:val="none"/>
          <w:lang w:val="en-US" w:eastAsia="zh-CN" w:bidi="ar-SA"/>
        </w:rPr>
        <w:t>顺丰</w:t>
      </w:r>
      <w:r>
        <w:rPr>
          <w:rFonts w:hint="eastAsia" w:ascii="宋体" w:hAnsi="宋体" w:eastAsia="宋体" w:cs="宋体"/>
          <w:b/>
          <w:bCs/>
          <w:color w:val="auto"/>
          <w:kern w:val="0"/>
          <w:sz w:val="21"/>
          <w:szCs w:val="21"/>
          <w:highlight w:val="none"/>
          <w:lang w:val="en-US" w:eastAsia="zh-CN" w:bidi="ar-SA"/>
        </w:rPr>
        <w:t>邮寄到</w:t>
      </w:r>
      <w:r>
        <w:rPr>
          <w:rFonts w:hint="eastAsia" w:ascii="宋体" w:hAnsi="宋体" w:eastAsia="宋体" w:cs="宋体"/>
          <w:b/>
          <w:bCs/>
          <w:color w:val="auto"/>
          <w:sz w:val="21"/>
          <w:szCs w:val="21"/>
          <w:highlight w:val="none"/>
          <w:lang w:eastAsia="zh-CN"/>
        </w:rPr>
        <w:t>台州市椒江区中环世纪6幢8</w:t>
      </w:r>
      <w:r>
        <w:rPr>
          <w:rFonts w:hint="eastAsia" w:ascii="宋体" w:hAnsi="宋体" w:eastAsia="宋体" w:cs="宋体"/>
          <w:b/>
          <w:bCs/>
          <w:color w:val="auto"/>
          <w:sz w:val="21"/>
          <w:szCs w:val="21"/>
          <w:highlight w:val="none"/>
          <w:lang w:val="en-US" w:eastAsia="zh-CN"/>
        </w:rPr>
        <w:t>楼</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浙江汇永工程咨询有限公司</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收件人：陈奕圩；联系电话：18257695510</w:t>
      </w:r>
      <w:r>
        <w:rPr>
          <w:rFonts w:hint="eastAsia" w:ascii="宋体" w:hAnsi="宋体" w:eastAsia="宋体" w:cs="宋体"/>
          <w:b/>
          <w:bCs/>
          <w:color w:val="auto"/>
          <w:kern w:val="0"/>
          <w:sz w:val="21"/>
          <w:szCs w:val="21"/>
          <w:highlight w:val="none"/>
          <w:lang w:val="en-US" w:eastAsia="zh-CN" w:bidi="ar-SA"/>
        </w:rPr>
        <w:t>，逾期寄达或未按要求密封将被拒收。</w:t>
      </w:r>
    </w:p>
    <w:p>
      <w:pPr>
        <w:pStyle w:val="11"/>
        <w:adjustRightInd w:val="0"/>
        <w:snapToGrid w:val="0"/>
        <w:spacing w:line="360" w:lineRule="auto"/>
        <w:ind w:firstLine="422" w:firstLineChars="200"/>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6、▲通过“政府采购云平台”上传递交的“电子加密投标文件”无法按时解密，投标供应商递交了备份投标文件的，以备份投标文件为依据，否则视为投标文件撤回。通过“政府采购云平台”上传递交的“电子加密投标文件”已按时解密的，“备份投标文件”自动失效。</w:t>
      </w:r>
      <w:r>
        <w:rPr>
          <w:rFonts w:hint="eastAsia" w:ascii="宋体" w:hAnsi="宋体" w:eastAsia="宋体" w:cs="宋体"/>
          <w:b/>
          <w:bCs/>
          <w:color w:val="auto"/>
          <w:kern w:val="0"/>
          <w:sz w:val="21"/>
          <w:szCs w:val="21"/>
          <w:highlight w:val="none"/>
          <w:lang w:val="en-US" w:eastAsia="zh-CN" w:bidi="ar-SA"/>
        </w:rPr>
        <w:t>▲</w:t>
      </w:r>
      <w:r>
        <w:rPr>
          <w:rFonts w:hint="eastAsia" w:ascii="宋体" w:hAnsi="宋体" w:eastAsia="宋体" w:cs="宋体"/>
          <w:b/>
          <w:bCs/>
          <w:color w:val="auto"/>
          <w:kern w:val="0"/>
          <w:szCs w:val="21"/>
          <w:highlight w:val="none"/>
        </w:rPr>
        <w:t>投标供应商仅递交备份投标文件的，投标无效。</w:t>
      </w:r>
    </w:p>
    <w:p>
      <w:pPr>
        <w:pStyle w:val="12"/>
        <w:keepNext w:val="0"/>
        <w:keepLines w:val="0"/>
        <w:pageBreakBefore w:val="0"/>
        <w:widowControl w:val="0"/>
        <w:kinsoku/>
        <w:wordWrap/>
        <w:overflowPunct/>
        <w:topLinePunct w:val="0"/>
        <w:autoSpaceDE/>
        <w:autoSpaceDN/>
        <w:bidi w:val="0"/>
        <w:adjustRightInd/>
        <w:snapToGrid/>
        <w:spacing w:line="360" w:lineRule="auto"/>
        <w:ind w:left="0" w:leftChars="0" w:firstLine="422" w:firstLineChars="200"/>
        <w:textAlignment w:val="auto"/>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7、在政府采购活动中，供应商提供的货物、工程或者服务符合下列情形的，享受本办法规定的中小企业扶持政策： ①在货物采购项目中，货物由中小企业制造，即货物由中小企业生产且使用该中小企业商号或者注册商标； ②在工程采购项目中，工程由中小企业承建，即工程施工单位为中小企业； ③在服务采购项目中，服务由中小企业承接，即提供服务的人员为中小企业依照《中华人民共和国劳动合同法》 订立劳动合同的从业人员。 在货物采购项目中，供应商提供的货物既有中小企业制 造货物，也有大型企业制造货物的，不享受本办法规定的中 小企业扶持政策。 以联合体形式参加政府采购活动，联合体各方均为中小 企业的，联合体视同中小企业。其中，联合体各方均为小微企业的，联合体视同小微企业。</w:t>
      </w:r>
    </w:p>
    <w:p>
      <w:pPr>
        <w:spacing w:line="360" w:lineRule="auto"/>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八、投标人信用信息查询渠道及截止时点、信用信息查询记录和证据留存的具体方式、信用信息的使用规则：</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1、查询渠道：“信用中国”（www.creditchina.gov.cn）、“中国政府采购网”（www.ccgp.gov.cn）、“浙江政府采购网（</w:t>
      </w:r>
      <w:r>
        <w:rPr>
          <w:rFonts w:hint="eastAsia" w:ascii="宋体" w:hAnsi="宋体" w:eastAsia="宋体" w:cs="宋体"/>
          <w:color w:val="auto"/>
          <w:kern w:val="0"/>
          <w:szCs w:val="21"/>
          <w:highlight w:val="none"/>
        </w:rPr>
        <w:t>http://zfcg.czt.zj.gov.cn</w:t>
      </w:r>
      <w:r>
        <w:rPr>
          <w:rFonts w:hint="eastAsia" w:ascii="宋体" w:hAnsi="宋体" w:eastAsia="宋体" w:cs="宋体"/>
          <w:color w:val="auto"/>
          <w:szCs w:val="21"/>
          <w:highlight w:val="none"/>
        </w:rPr>
        <w:t>）。</w:t>
      </w:r>
    </w:p>
    <w:p>
      <w:pPr>
        <w:spacing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2、信用信息查询的截止时点：开标后评标前。</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3、信用信息查询记录和证据留存的具体方式：由采购代理机构在规定查询时间内打印信用信息查询记录并归入项目档案。</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4、信用信息的使用规则：对列入失信被执行人、</w:t>
      </w:r>
      <w:r>
        <w:rPr>
          <w:rFonts w:hint="eastAsia" w:ascii="宋体" w:hAnsi="宋体" w:eastAsia="宋体" w:cs="宋体"/>
          <w:color w:val="auto"/>
          <w:szCs w:val="21"/>
          <w:highlight w:val="none"/>
          <w:lang w:eastAsia="zh-CN"/>
        </w:rPr>
        <w:t>重大税收违法失信主体</w:t>
      </w:r>
      <w:r>
        <w:rPr>
          <w:rFonts w:hint="eastAsia" w:ascii="宋体" w:hAnsi="宋体" w:eastAsia="宋体" w:cs="宋体"/>
          <w:color w:val="auto"/>
          <w:szCs w:val="21"/>
          <w:highlight w:val="none"/>
        </w:rPr>
        <w:t>、政府采购严重违法失信行为记录名单及其他不符合《中华人民共和国政府采购法》第二十二条规定条件的供应商，将被拒绝其参与政府采购活动。</w:t>
      </w:r>
    </w:p>
    <w:p>
      <w:pPr>
        <w:spacing w:line="360" w:lineRule="auto"/>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lang w:val="en-US" w:eastAsia="zh-CN"/>
        </w:rPr>
        <w:t>九</w:t>
      </w:r>
      <w:r>
        <w:rPr>
          <w:rFonts w:hint="eastAsia" w:ascii="宋体" w:hAnsi="宋体" w:eastAsia="宋体" w:cs="宋体"/>
          <w:b/>
          <w:bCs/>
          <w:color w:val="auto"/>
          <w:szCs w:val="21"/>
          <w:highlight w:val="none"/>
        </w:rPr>
        <w:t>、相关注意事项：</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根据《浙江省财政厅关于进一步促进政府采购公平竞争打造最优营商环境的通知》 浙财采监(2021)22号)文件关于“健全行政裁决机制”要求，鼓励供应商在线提起询问，路径为</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政采云-项目采购-询问质疑投诉-询问列表</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鼓励供应商在线提起质疑，路径为</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政采云-项目采购-询问质疑投诉-质疑列表。质疑供应商对在线质疑答复不满意的，可在线提起投诉，路径为:浙江政府服务网-政府采购投诉处理-在线办理。</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、本项目公告期限为</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个工作日。供应商认为采购文件使自己的权益受到损害的，可以自收到采购文件之日或采购文件公告期限届满之日起7个工作日内，以书面形式一次性向采购人和采购代理机构提出同一环节</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后续就采购</w:t>
      </w:r>
      <w:r>
        <w:rPr>
          <w:rFonts w:hint="eastAsia" w:ascii="宋体" w:hAnsi="宋体" w:cs="宋体"/>
          <w:color w:val="auto"/>
          <w:szCs w:val="21"/>
          <w:highlight w:val="none"/>
        </w:rPr>
        <w:t>过程、</w:t>
      </w:r>
      <w:r>
        <w:rPr>
          <w:rFonts w:hint="eastAsia" w:ascii="宋体" w:hAnsi="宋体" w:cs="宋体"/>
          <w:color w:val="auto"/>
          <w:szCs w:val="21"/>
          <w:highlight w:val="none"/>
          <w:lang w:val="en-US" w:eastAsia="zh-CN"/>
        </w:rPr>
        <w:t>采购</w:t>
      </w:r>
      <w:r>
        <w:rPr>
          <w:rFonts w:hint="eastAsia" w:ascii="宋体" w:hAnsi="宋体" w:cs="宋体"/>
          <w:color w:val="auto"/>
          <w:szCs w:val="21"/>
          <w:highlight w:val="none"/>
        </w:rPr>
        <w:t>结果</w:t>
      </w:r>
      <w:r>
        <w:rPr>
          <w:rFonts w:hint="eastAsia" w:ascii="宋体" w:hAnsi="宋体" w:cs="宋体"/>
          <w:color w:val="auto"/>
          <w:szCs w:val="21"/>
          <w:highlight w:val="none"/>
          <w:lang w:val="en-US" w:eastAsia="zh-CN"/>
        </w:rPr>
        <w:t>提出质疑的，也应在同一环节一次性提出</w:t>
      </w:r>
      <w:r>
        <w:rPr>
          <w:rFonts w:hint="eastAsia" w:ascii="宋体" w:hAnsi="宋体" w:eastAsia="宋体" w:cs="宋体"/>
          <w:color w:val="auto"/>
          <w:sz w:val="21"/>
          <w:szCs w:val="21"/>
          <w:highlight w:val="none"/>
          <w:lang w:eastAsia="zh-CN"/>
        </w:rPr>
        <w:t>，以供应商</w:t>
      </w:r>
      <w:r>
        <w:rPr>
          <w:rFonts w:hint="eastAsia" w:ascii="宋体" w:hAnsi="宋体" w:eastAsia="宋体" w:cs="宋体"/>
          <w:color w:val="auto"/>
          <w:sz w:val="21"/>
          <w:szCs w:val="21"/>
          <w:highlight w:val="none"/>
          <w:lang w:val="en-US" w:eastAsia="zh-CN"/>
        </w:rPr>
        <w:t>线上</w:t>
      </w:r>
      <w:r>
        <w:rPr>
          <w:rFonts w:hint="eastAsia" w:ascii="宋体" w:hAnsi="宋体" w:eastAsia="宋体" w:cs="宋体"/>
          <w:color w:val="auto"/>
          <w:sz w:val="21"/>
          <w:szCs w:val="21"/>
          <w:highlight w:val="none"/>
          <w:lang w:eastAsia="zh-CN"/>
        </w:rPr>
        <w:t>提供质疑函的时间为提起质疑的时间</w:t>
      </w:r>
      <w:r>
        <w:rPr>
          <w:rFonts w:hint="eastAsia" w:ascii="宋体" w:hAnsi="宋体" w:eastAsia="宋体" w:cs="宋体"/>
          <w:color w:val="auto"/>
          <w:sz w:val="21"/>
          <w:szCs w:val="21"/>
          <w:highlight w:val="none"/>
        </w:rPr>
        <w:t>。否则，被质疑人可不予接受。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未进行供应商资格报名或登记（含网上报名登记）的供应商，应视为未参加政府采购活动，一般不得提出质疑，但因供应商资格条件受到限制、报名时间设定不符合有关规定等原因使供应商不能参加报名或登记的除外。</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、请各投标供应商及时办理浙江政府采购网“政府采购供应商注册”手续。</w:t>
      </w:r>
    </w:p>
    <w:p>
      <w:pPr>
        <w:pStyle w:val="7"/>
        <w:spacing w:line="360" w:lineRule="auto"/>
        <w:ind w:firstLine="420" w:firstLineChars="200"/>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w:t>
      </w:r>
      <w:r>
        <w:rPr>
          <w:rFonts w:hint="eastAsia" w:ascii="宋体" w:hAnsi="宋体" w:eastAsia="宋体" w:cs="宋体"/>
          <w:color w:val="auto"/>
          <w:kern w:val="0"/>
          <w:sz w:val="21"/>
          <w:szCs w:val="21"/>
          <w:highlight w:val="none"/>
          <w:lang w:val="en-US" w:eastAsia="zh-CN" w:bidi="ar-SA"/>
        </w:rPr>
        <w:t>参与政府采购项目的注册供应商，需登录浙江政府采购网（http://zfcg.czt.zj.gov.cn）进行网上获取文件；尚未注册的供应商应当先在浙江政府采购网上申请注册，注册终审通过后再进行网上获取文件。</w:t>
      </w:r>
    </w:p>
    <w:p>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本项目所有公告发布网站：“</w:t>
      </w:r>
      <w:r>
        <w:rPr>
          <w:rFonts w:hint="eastAsia" w:ascii="宋体" w:hAnsi="宋体" w:eastAsia="宋体" w:cs="宋体"/>
          <w:color w:val="auto"/>
          <w:sz w:val="21"/>
          <w:szCs w:val="21"/>
          <w:highlight w:val="none"/>
          <w:lang w:eastAsia="zh-CN"/>
        </w:rPr>
        <w:t>浙江政府采购网</w:t>
      </w:r>
      <w:r>
        <w:rPr>
          <w:rFonts w:hint="eastAsia" w:ascii="宋体" w:hAnsi="宋体" w:eastAsia="宋体" w:cs="宋体"/>
          <w:color w:val="auto"/>
          <w:sz w:val="21"/>
          <w:szCs w:val="21"/>
          <w:highlight w:val="none"/>
        </w:rPr>
        <w:t xml:space="preserve">”（http:// </w:t>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"http://www.zjzfcg.gov.cn）。" </w:instrText>
      </w:r>
      <w:r>
        <w:rPr>
          <w:rFonts w:hint="eastAsia" w:ascii="宋体" w:hAnsi="宋体" w:eastAsia="宋体" w:cs="宋体"/>
          <w:color w:val="auto"/>
          <w:sz w:val="21"/>
          <w:szCs w:val="21"/>
          <w:highlight w:val="none"/>
        </w:rPr>
        <w:fldChar w:fldCharType="separate"/>
      </w:r>
      <w:r>
        <w:rPr>
          <w:rStyle w:val="27"/>
          <w:rFonts w:hint="eastAsia" w:ascii="宋体" w:hAnsi="宋体" w:eastAsia="宋体" w:cs="宋体"/>
          <w:color w:val="auto"/>
          <w:sz w:val="21"/>
          <w:szCs w:val="21"/>
          <w:highlight w:val="none"/>
        </w:rPr>
        <w:t>www.zjzfcg.gov.cn）。</w:t>
      </w:r>
      <w:r>
        <w:rPr>
          <w:rStyle w:val="27"/>
          <w:rFonts w:hint="eastAsia" w:ascii="宋体" w:hAnsi="宋体" w:eastAsia="宋体" w:cs="宋体"/>
          <w:color w:val="auto"/>
          <w:sz w:val="21"/>
          <w:szCs w:val="21"/>
          <w:highlight w:val="none"/>
        </w:rPr>
        <w:fldChar w:fldCharType="end"/>
      </w:r>
    </w:p>
    <w:p>
      <w:pPr>
        <w:pStyle w:val="7"/>
        <w:keepNext w:val="0"/>
        <w:keepLines w:val="0"/>
        <w:pageBreakBefore w:val="0"/>
        <w:widowControl w:val="0"/>
        <w:kinsoku/>
        <w:wordWrap/>
        <w:overflowPunct/>
        <w:topLinePunct w:val="0"/>
        <w:autoSpaceDE/>
        <w:autoSpaceDN/>
        <w:bidi w:val="0"/>
        <w:spacing w:after="0" w:afterLines="0"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、采购文件发售截止时间之后有潜在供应商提出要求获取采购文件的允许其报名获取，但对采购文件有异议应按规定的时间提出，逾期提出的，采购组织机构可不予受理、答复。</w:t>
      </w:r>
    </w:p>
    <w:p>
      <w:pPr>
        <w:spacing w:line="360" w:lineRule="auto"/>
        <w:ind w:firstLine="422" w:firstLineChars="200"/>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lang w:val="en-US" w:eastAsia="zh-CN"/>
        </w:rPr>
        <w:t>十</w:t>
      </w:r>
      <w:r>
        <w:rPr>
          <w:rFonts w:hint="eastAsia" w:ascii="宋体" w:hAnsi="宋体" w:eastAsia="宋体" w:cs="宋体"/>
          <w:b/>
          <w:bCs/>
          <w:color w:val="auto"/>
          <w:kern w:val="0"/>
          <w:szCs w:val="21"/>
          <w:highlight w:val="none"/>
        </w:rPr>
        <w:t>、联系方式：</w:t>
      </w:r>
    </w:p>
    <w:p>
      <w:pPr>
        <w:spacing w:line="360" w:lineRule="auto"/>
        <w:ind w:firstLine="422" w:firstLineChars="200"/>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lang w:val="en-US" w:eastAsia="zh-CN"/>
        </w:rPr>
        <w:t>1、</w:t>
      </w:r>
      <w:r>
        <w:rPr>
          <w:rFonts w:hint="eastAsia" w:ascii="宋体" w:hAnsi="宋体" w:eastAsia="宋体" w:cs="宋体"/>
          <w:b/>
          <w:bCs/>
          <w:color w:val="auto"/>
          <w:szCs w:val="21"/>
          <w:highlight w:val="none"/>
        </w:rPr>
        <w:t>采购代理机构</w:t>
      </w:r>
    </w:p>
    <w:p>
      <w:pPr>
        <w:spacing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采购代理机构名称：</w:t>
      </w:r>
      <w:r>
        <w:rPr>
          <w:rFonts w:hint="eastAsia" w:ascii="宋体" w:hAnsi="宋体" w:eastAsia="宋体" w:cs="宋体"/>
          <w:color w:val="auto"/>
          <w:sz w:val="21"/>
          <w:szCs w:val="21"/>
          <w:highlight w:val="none"/>
          <w:lang w:eastAsia="zh-CN"/>
        </w:rPr>
        <w:t>浙江汇永工程咨询有限公司</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联系人：</w:t>
      </w:r>
      <w:r>
        <w:rPr>
          <w:rFonts w:hint="eastAsia" w:ascii="宋体" w:hAnsi="宋体" w:eastAsia="宋体" w:cs="宋体"/>
          <w:color w:val="auto"/>
          <w:szCs w:val="21"/>
          <w:highlight w:val="none"/>
          <w:lang w:val="en-US" w:eastAsia="zh-CN"/>
        </w:rPr>
        <w:t>王女士</w:t>
      </w:r>
      <w:r>
        <w:rPr>
          <w:rFonts w:hint="eastAsia" w:ascii="宋体" w:hAnsi="宋体" w:eastAsia="宋体" w:cs="宋体"/>
          <w:color w:val="auto"/>
          <w:szCs w:val="21"/>
          <w:highlight w:val="none"/>
        </w:rPr>
        <w:t>；</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联系电话：0576-88885613  18257695510；</w:t>
      </w:r>
    </w:p>
    <w:p>
      <w:pPr>
        <w:spacing w:line="360" w:lineRule="auto"/>
        <w:ind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质疑接收人：</w:t>
      </w:r>
      <w:r>
        <w:rPr>
          <w:rFonts w:hint="eastAsia" w:ascii="宋体" w:hAnsi="宋体" w:eastAsia="宋体" w:cs="宋体"/>
          <w:color w:val="auto"/>
          <w:szCs w:val="21"/>
          <w:highlight w:val="none"/>
          <w:lang w:val="en-US" w:eastAsia="zh-CN"/>
        </w:rPr>
        <w:t>管女士</w:t>
      </w:r>
    </w:p>
    <w:p>
      <w:pPr>
        <w:keepNext w:val="0"/>
        <w:keepLines w:val="0"/>
        <w:pageBreakBefore w:val="0"/>
        <w:kinsoku/>
        <w:wordWrap/>
        <w:topLinePunct w:val="0"/>
        <w:bidi w:val="0"/>
        <w:spacing w:line="360" w:lineRule="auto"/>
        <w:ind w:firstLine="420" w:firstLineChars="200"/>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Cs w:val="21"/>
          <w:highlight w:val="none"/>
        </w:rPr>
        <w:t>联系电话：</w:t>
      </w:r>
      <w:r>
        <w:rPr>
          <w:rFonts w:hint="eastAsia" w:ascii="宋体" w:hAnsi="宋体" w:eastAsia="宋体" w:cs="宋体"/>
          <w:color w:val="auto"/>
          <w:szCs w:val="21"/>
          <w:highlight w:val="none"/>
          <w:lang w:eastAsia="zh-CN"/>
        </w:rPr>
        <w:t>13396938203</w:t>
      </w:r>
    </w:p>
    <w:p>
      <w:pPr>
        <w:spacing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地点：</w:t>
      </w:r>
      <w:r>
        <w:rPr>
          <w:rFonts w:hint="eastAsia" w:ascii="宋体" w:hAnsi="宋体" w:eastAsia="宋体" w:cs="宋体"/>
          <w:color w:val="auto"/>
          <w:sz w:val="21"/>
          <w:szCs w:val="21"/>
          <w:highlight w:val="none"/>
          <w:lang w:eastAsia="zh-CN"/>
        </w:rPr>
        <w:t>台州市椒江区中环世纪中心6幢8楼</w:t>
      </w:r>
    </w:p>
    <w:p>
      <w:pPr>
        <w:spacing w:line="360" w:lineRule="auto"/>
        <w:ind w:firstLine="422" w:firstLineChars="200"/>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lang w:val="en-US" w:eastAsia="zh-CN"/>
        </w:rPr>
        <w:t>2、</w:t>
      </w:r>
      <w:r>
        <w:rPr>
          <w:rFonts w:hint="eastAsia" w:ascii="宋体" w:hAnsi="宋体" w:eastAsia="宋体" w:cs="宋体"/>
          <w:b/>
          <w:bCs/>
          <w:color w:val="auto"/>
          <w:szCs w:val="21"/>
          <w:highlight w:val="none"/>
        </w:rPr>
        <w:t xml:space="preserve">采购人 </w:t>
      </w:r>
    </w:p>
    <w:p>
      <w:pPr>
        <w:spacing w:line="360" w:lineRule="auto"/>
        <w:ind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采购人名称：</w:t>
      </w:r>
      <w:r>
        <w:rPr>
          <w:rFonts w:hint="eastAsia" w:ascii="宋体" w:hAnsi="宋体" w:cs="宋体"/>
          <w:color w:val="auto"/>
          <w:szCs w:val="21"/>
          <w:highlight w:val="none"/>
          <w:lang w:eastAsia="zh-CN"/>
        </w:rPr>
        <w:t>台州市路桥中学</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联系人：</w:t>
      </w:r>
      <w:r>
        <w:rPr>
          <w:rFonts w:hint="eastAsia" w:ascii="宋体" w:hAnsi="宋体" w:eastAsia="宋体" w:cs="宋体"/>
          <w:color w:val="auto"/>
          <w:szCs w:val="21"/>
          <w:highlight w:val="none"/>
          <w:lang w:val="en-US" w:eastAsia="zh-CN"/>
        </w:rPr>
        <w:t>曾老师</w:t>
      </w:r>
      <w:r>
        <w:rPr>
          <w:rFonts w:hint="eastAsia" w:ascii="宋体" w:hAnsi="宋体" w:eastAsia="宋体" w:cs="宋体"/>
          <w:color w:val="auto"/>
          <w:sz w:val="21"/>
          <w:szCs w:val="21"/>
          <w:highlight w:val="none"/>
        </w:rPr>
        <w:t xml:space="preserve">     </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 w:val="21"/>
          <w:szCs w:val="21"/>
          <w:highlight w:val="none"/>
        </w:rPr>
        <w:t>联系电话：</w:t>
      </w:r>
      <w:r>
        <w:rPr>
          <w:rFonts w:hint="eastAsia" w:ascii="宋体" w:hAnsi="宋体" w:cs="宋体"/>
          <w:color w:val="auto"/>
          <w:szCs w:val="21"/>
          <w:highlight w:val="none"/>
          <w:lang w:eastAsia="zh-CN"/>
        </w:rPr>
        <w:t>0576-</w:t>
      </w:r>
      <w:r>
        <w:rPr>
          <w:rFonts w:hint="eastAsia" w:ascii="宋体" w:hAnsi="宋体" w:cs="宋体"/>
          <w:color w:val="auto"/>
          <w:szCs w:val="21"/>
          <w:highlight w:val="none"/>
          <w:lang w:val="en-US" w:eastAsia="zh-CN"/>
        </w:rPr>
        <w:t>89282022</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Cs w:val="21"/>
          <w:highlight w:val="none"/>
        </w:rPr>
        <w:t>采购人地址：</w:t>
      </w:r>
      <w:r>
        <w:rPr>
          <w:rFonts w:hint="eastAsia" w:asciiTheme="minorEastAsia" w:hAnsiTheme="minorEastAsia" w:eastAsiaTheme="minorEastAsia" w:cstheme="minorEastAsia"/>
          <w:color w:val="auto"/>
          <w:szCs w:val="21"/>
          <w:highlight w:val="none"/>
        </w:rPr>
        <w:t>台州市路桥区银安街</w:t>
      </w:r>
      <w:r>
        <w:rPr>
          <w:rFonts w:hint="eastAsia" w:asciiTheme="minorEastAsia" w:hAnsiTheme="minorEastAsia" w:eastAsiaTheme="minorEastAsia" w:cstheme="minorEastAsia"/>
          <w:color w:val="auto"/>
          <w:szCs w:val="21"/>
          <w:highlight w:val="none"/>
          <w:lang w:val="en-US" w:eastAsia="zh-CN"/>
        </w:rPr>
        <w:t>99</w:t>
      </w:r>
      <w:r>
        <w:rPr>
          <w:rFonts w:hint="eastAsia" w:asciiTheme="minorEastAsia" w:hAnsiTheme="minorEastAsia" w:eastAsiaTheme="minorEastAsia" w:cstheme="minorEastAsia"/>
          <w:color w:val="auto"/>
          <w:szCs w:val="21"/>
          <w:highlight w:val="none"/>
        </w:rPr>
        <w:t>号</w:t>
      </w:r>
    </w:p>
    <w:p>
      <w:pPr>
        <w:spacing w:line="360" w:lineRule="auto"/>
        <w:ind w:firstLine="422" w:firstLineChars="200"/>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lang w:val="en-US" w:eastAsia="zh-CN"/>
        </w:rPr>
        <w:t>3、</w:t>
      </w:r>
      <w:r>
        <w:rPr>
          <w:rFonts w:hint="eastAsia" w:ascii="宋体" w:hAnsi="宋体" w:eastAsia="宋体" w:cs="宋体"/>
          <w:b/>
          <w:bCs/>
          <w:color w:val="auto"/>
          <w:szCs w:val="21"/>
          <w:highlight w:val="none"/>
        </w:rPr>
        <w:t>同级政府采购监督管理部门</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同级政府采购监督管理部门名称：台州市财政局政府采购监管处</w:t>
      </w:r>
    </w:p>
    <w:p>
      <w:pPr>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联系人：陈老师</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李老师</w:t>
      </w:r>
    </w:p>
    <w:p>
      <w:pPr>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监督投诉电话：0576-88206705</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0576-88206731</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地址：台州市椒江区纬一路66号</w:t>
      </w:r>
    </w:p>
    <w:p>
      <w:pPr>
        <w:pStyle w:val="8"/>
        <w:numPr>
          <w:ilvl w:val="0"/>
          <w:numId w:val="0"/>
        </w:numPr>
        <w:spacing w:line="360" w:lineRule="auto"/>
        <w:ind w:firstLine="422" w:firstLineChars="200"/>
        <w:outlineLvl w:val="9"/>
        <w:rPr>
          <w:rFonts w:hint="eastAsia" w:ascii="宋体" w:hAnsi="宋体" w:eastAsia="宋体" w:cs="宋体"/>
          <w:b/>
          <w:bCs/>
          <w:color w:val="auto"/>
          <w:szCs w:val="21"/>
          <w:highlight w:val="none"/>
          <w:lang w:eastAsia="zh-CN"/>
        </w:rPr>
      </w:pPr>
      <w:r>
        <w:rPr>
          <w:rFonts w:hint="eastAsia" w:ascii="宋体" w:hAnsi="宋体" w:eastAsia="宋体" w:cs="宋体"/>
          <w:b/>
          <w:bCs/>
          <w:color w:val="auto"/>
          <w:szCs w:val="21"/>
          <w:highlight w:val="none"/>
          <w:lang w:val="en-US" w:eastAsia="zh-CN"/>
        </w:rPr>
        <w:t>4、其余事项</w:t>
      </w:r>
    </w:p>
    <w:p>
      <w:pPr>
        <w:ind w:firstLine="210" w:firstLineChars="100"/>
        <w:jc w:val="both"/>
        <w:rPr>
          <w:rFonts w:hint="eastAsia" w:ascii="宋体" w:hAnsi="宋体" w:eastAsia="宋体" w:cs="宋体"/>
          <w:b w:val="0"/>
          <w:bCs w:val="0"/>
          <w:color w:val="auto"/>
          <w:sz w:val="32"/>
          <w:szCs w:val="32"/>
          <w:highlight w:val="none"/>
        </w:rPr>
      </w:pP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合同履约</w:t>
      </w:r>
      <w:r>
        <w:rPr>
          <w:rFonts w:hint="eastAsia" w:ascii="宋体" w:hAnsi="宋体" w:eastAsia="宋体" w:cs="宋体"/>
          <w:b w:val="0"/>
          <w:bCs w:val="0"/>
          <w:color w:val="auto"/>
          <w:sz w:val="21"/>
          <w:szCs w:val="21"/>
          <w:highlight w:val="none"/>
        </w:rPr>
        <w:t>保函联系方式</w:t>
      </w:r>
    </w:p>
    <w:tbl>
      <w:tblPr>
        <w:tblStyle w:val="23"/>
        <w:tblW w:w="8575" w:type="dxa"/>
        <w:tblInd w:w="144"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3387"/>
        <w:gridCol w:w="2288"/>
        <w:gridCol w:w="1276"/>
        <w:gridCol w:w="1624"/>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47" w:hRule="atLeast"/>
        </w:trPr>
        <w:tc>
          <w:tcPr>
            <w:tcW w:w="3387" w:type="dxa"/>
            <w:vAlign w:val="center"/>
          </w:tcPr>
          <w:p>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保险公司名称</w:t>
            </w:r>
          </w:p>
        </w:tc>
        <w:tc>
          <w:tcPr>
            <w:tcW w:w="2288" w:type="dxa"/>
            <w:vAlign w:val="center"/>
          </w:tcPr>
          <w:p>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保费率</w:t>
            </w:r>
          </w:p>
        </w:tc>
        <w:tc>
          <w:tcPr>
            <w:tcW w:w="1276" w:type="dxa"/>
            <w:vAlign w:val="center"/>
          </w:tcPr>
          <w:p>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联系人</w:t>
            </w:r>
          </w:p>
        </w:tc>
        <w:tc>
          <w:tcPr>
            <w:tcW w:w="1624" w:type="dxa"/>
            <w:vAlign w:val="center"/>
          </w:tcPr>
          <w:p>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联系电话</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87" w:type="dxa"/>
            <w:vAlign w:val="center"/>
          </w:tcPr>
          <w:p>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中国人寿财产保险股份有限公司台州中心支公司</w:t>
            </w:r>
          </w:p>
        </w:tc>
        <w:tc>
          <w:tcPr>
            <w:tcW w:w="2288" w:type="dxa"/>
            <w:vAlign w:val="center"/>
          </w:tcPr>
          <w:p>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年费率1%，最低保费500元</w:t>
            </w:r>
          </w:p>
        </w:tc>
        <w:tc>
          <w:tcPr>
            <w:tcW w:w="1276" w:type="dxa"/>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徐凌</w:t>
            </w:r>
          </w:p>
        </w:tc>
        <w:tc>
          <w:tcPr>
            <w:tcW w:w="1624" w:type="dxa"/>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13905168070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87" w:type="dxa"/>
            <w:vAlign w:val="center"/>
          </w:tcPr>
          <w:p>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永诚财产保险股份有限公司台州分公司</w:t>
            </w:r>
          </w:p>
        </w:tc>
        <w:tc>
          <w:tcPr>
            <w:tcW w:w="2288" w:type="dxa"/>
            <w:vAlign w:val="center"/>
          </w:tcPr>
          <w:p>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年费率1%，最低保费1000元</w:t>
            </w:r>
          </w:p>
        </w:tc>
        <w:tc>
          <w:tcPr>
            <w:tcW w:w="1276" w:type="dxa"/>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尹刚强</w:t>
            </w:r>
          </w:p>
        </w:tc>
        <w:tc>
          <w:tcPr>
            <w:tcW w:w="1624" w:type="dxa"/>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13750668184</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87" w:type="dxa"/>
            <w:vAlign w:val="center"/>
          </w:tcPr>
          <w:p>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华泰财产保险有限公司台州中心支公司</w:t>
            </w:r>
          </w:p>
        </w:tc>
        <w:tc>
          <w:tcPr>
            <w:tcW w:w="2288" w:type="dxa"/>
            <w:vAlign w:val="center"/>
          </w:tcPr>
          <w:p>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年费率0.5%，最低保费1000元</w:t>
            </w:r>
          </w:p>
        </w:tc>
        <w:tc>
          <w:tcPr>
            <w:tcW w:w="1276" w:type="dxa"/>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王灵芳</w:t>
            </w:r>
          </w:p>
        </w:tc>
        <w:tc>
          <w:tcPr>
            <w:tcW w:w="1624" w:type="dxa"/>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88869818 13586123199</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87" w:type="dxa"/>
            <w:vAlign w:val="center"/>
          </w:tcPr>
          <w:p>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中国大地财产保险股份有限公司台州中心支公司</w:t>
            </w:r>
          </w:p>
        </w:tc>
        <w:tc>
          <w:tcPr>
            <w:tcW w:w="2288" w:type="dxa"/>
            <w:vAlign w:val="center"/>
          </w:tcPr>
          <w:p>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年费率1.5%，最低保费1000元</w:t>
            </w:r>
          </w:p>
        </w:tc>
        <w:tc>
          <w:tcPr>
            <w:tcW w:w="1276" w:type="dxa"/>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徐小明</w:t>
            </w:r>
          </w:p>
        </w:tc>
        <w:tc>
          <w:tcPr>
            <w:tcW w:w="1624" w:type="dxa"/>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88552788      13968603112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87" w:type="dxa"/>
            <w:vAlign w:val="center"/>
          </w:tcPr>
          <w:p>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阳光保险台州中心支公司</w:t>
            </w:r>
          </w:p>
        </w:tc>
        <w:tc>
          <w:tcPr>
            <w:tcW w:w="2288" w:type="dxa"/>
            <w:vAlign w:val="center"/>
          </w:tcPr>
          <w:p>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年费率1%，最低保费500元</w:t>
            </w:r>
          </w:p>
        </w:tc>
        <w:tc>
          <w:tcPr>
            <w:tcW w:w="1276" w:type="dxa"/>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林高明</w:t>
            </w:r>
          </w:p>
        </w:tc>
        <w:tc>
          <w:tcPr>
            <w:tcW w:w="1624" w:type="dxa"/>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15888682693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87" w:type="dxa"/>
            <w:vAlign w:val="center"/>
          </w:tcPr>
          <w:p>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中华联合财产保险股份有限公司台州中心支公司</w:t>
            </w:r>
          </w:p>
        </w:tc>
        <w:tc>
          <w:tcPr>
            <w:tcW w:w="2288" w:type="dxa"/>
            <w:vAlign w:val="center"/>
          </w:tcPr>
          <w:p>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年费率2%，最低保费500元</w:t>
            </w:r>
          </w:p>
        </w:tc>
        <w:tc>
          <w:tcPr>
            <w:tcW w:w="1276" w:type="dxa"/>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王仙高</w:t>
            </w:r>
          </w:p>
        </w:tc>
        <w:tc>
          <w:tcPr>
            <w:tcW w:w="1624" w:type="dxa"/>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13858600221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87" w:type="dxa"/>
            <w:vAlign w:val="center"/>
          </w:tcPr>
          <w:p>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中国人民财产保险股份有限公司台州中心支公司</w:t>
            </w:r>
          </w:p>
        </w:tc>
        <w:tc>
          <w:tcPr>
            <w:tcW w:w="2288" w:type="dxa"/>
            <w:vAlign w:val="center"/>
          </w:tcPr>
          <w:p>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年费率0.3%，最低保费1000元</w:t>
            </w:r>
          </w:p>
        </w:tc>
        <w:tc>
          <w:tcPr>
            <w:tcW w:w="1276" w:type="dxa"/>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王仙春</w:t>
            </w:r>
          </w:p>
        </w:tc>
        <w:tc>
          <w:tcPr>
            <w:tcW w:w="1624" w:type="dxa"/>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13515769179</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87" w:type="dxa"/>
            <w:vAlign w:val="center"/>
          </w:tcPr>
          <w:p>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永安财产保险股份有限公司台州中心支公司</w:t>
            </w:r>
          </w:p>
        </w:tc>
        <w:tc>
          <w:tcPr>
            <w:tcW w:w="2288" w:type="dxa"/>
            <w:vAlign w:val="center"/>
          </w:tcPr>
          <w:p>
            <w:pPr>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年费率0.3%，最低保费1000</w:t>
            </w:r>
            <w:r>
              <w:rPr>
                <w:rFonts w:hint="eastAsia" w:ascii="宋体" w:hAnsi="宋体" w:eastAsia="宋体" w:cs="宋体"/>
                <w:color w:val="auto"/>
                <w:sz w:val="21"/>
                <w:szCs w:val="21"/>
                <w:highlight w:val="none"/>
                <w:lang w:val="en-US" w:eastAsia="zh-CN"/>
              </w:rPr>
              <w:t>元</w:t>
            </w:r>
          </w:p>
        </w:tc>
        <w:tc>
          <w:tcPr>
            <w:tcW w:w="1276" w:type="dxa"/>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王春宇</w:t>
            </w:r>
          </w:p>
        </w:tc>
        <w:tc>
          <w:tcPr>
            <w:tcW w:w="1624" w:type="dxa"/>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13676675331</w:t>
            </w:r>
          </w:p>
        </w:tc>
      </w:tr>
    </w:tbl>
    <w:p>
      <w:pPr>
        <w:jc w:val="both"/>
        <w:rPr>
          <w:rFonts w:hint="eastAsia" w:ascii="宋体" w:hAnsi="宋体" w:eastAsia="宋体" w:cs="宋体"/>
          <w:b/>
          <w:bCs/>
          <w:color w:val="auto"/>
          <w:sz w:val="21"/>
          <w:szCs w:val="21"/>
          <w:highlight w:val="none"/>
        </w:rPr>
      </w:pPr>
    </w:p>
    <w:p>
      <w:pPr>
        <w:jc w:val="both"/>
        <w:rPr>
          <w:rFonts w:hint="eastAsia" w:ascii="宋体" w:hAnsi="宋体" w:eastAsia="宋体" w:cs="宋体"/>
          <w:b w:val="0"/>
          <w:bCs w:val="0"/>
          <w:color w:val="auto"/>
          <w:sz w:val="21"/>
          <w:szCs w:val="21"/>
          <w:highlight w:val="none"/>
        </w:rPr>
      </w:pPr>
      <w:r>
        <w:rPr>
          <w:rFonts w:hint="eastAsia" w:ascii="宋体" w:hAnsi="宋体" w:eastAsia="宋体" w:cs="宋体"/>
          <w:color w:val="auto"/>
          <w:szCs w:val="21"/>
          <w:highlight w:val="none"/>
          <w:lang w:val="en-US" w:eastAsia="zh-CN"/>
        </w:rPr>
        <w:t>（2）预付款保函</w:t>
      </w:r>
      <w:r>
        <w:rPr>
          <w:rFonts w:hint="eastAsia" w:ascii="宋体" w:hAnsi="宋体" w:eastAsia="宋体" w:cs="宋体"/>
          <w:b w:val="0"/>
          <w:bCs w:val="0"/>
          <w:color w:val="auto"/>
          <w:sz w:val="21"/>
          <w:szCs w:val="21"/>
          <w:highlight w:val="none"/>
        </w:rPr>
        <w:t>联系方式</w:t>
      </w:r>
    </w:p>
    <w:tbl>
      <w:tblPr>
        <w:tblStyle w:val="23"/>
        <w:tblW w:w="8562" w:type="dxa"/>
        <w:tblInd w:w="144"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3387"/>
        <w:gridCol w:w="2288"/>
        <w:gridCol w:w="1287"/>
        <w:gridCol w:w="1600"/>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8" w:hRule="atLeast"/>
        </w:trPr>
        <w:tc>
          <w:tcPr>
            <w:tcW w:w="3387" w:type="dxa"/>
            <w:vAlign w:val="center"/>
          </w:tcPr>
          <w:p>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保险公司名称</w:t>
            </w:r>
          </w:p>
        </w:tc>
        <w:tc>
          <w:tcPr>
            <w:tcW w:w="2288" w:type="dxa"/>
            <w:vAlign w:val="center"/>
          </w:tcPr>
          <w:p>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保费率</w:t>
            </w:r>
          </w:p>
        </w:tc>
        <w:tc>
          <w:tcPr>
            <w:tcW w:w="1287" w:type="dxa"/>
            <w:vAlign w:val="center"/>
          </w:tcPr>
          <w:p>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联系人</w:t>
            </w:r>
          </w:p>
        </w:tc>
        <w:tc>
          <w:tcPr>
            <w:tcW w:w="1600" w:type="dxa"/>
            <w:vAlign w:val="center"/>
          </w:tcPr>
          <w:p>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联系电话</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87" w:type="dxa"/>
            <w:vAlign w:val="center"/>
          </w:tcPr>
          <w:p>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中国人寿财产保险股份有限公司台州中心支公司</w:t>
            </w:r>
          </w:p>
        </w:tc>
        <w:tc>
          <w:tcPr>
            <w:tcW w:w="2288" w:type="dxa"/>
          </w:tcPr>
          <w:p>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年费率3%，最低保费500元</w:t>
            </w:r>
          </w:p>
        </w:tc>
        <w:tc>
          <w:tcPr>
            <w:tcW w:w="1287" w:type="dxa"/>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徐凌</w:t>
            </w:r>
          </w:p>
        </w:tc>
        <w:tc>
          <w:tcPr>
            <w:tcW w:w="1600" w:type="dxa"/>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13905168070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87" w:type="dxa"/>
            <w:vAlign w:val="center"/>
          </w:tcPr>
          <w:p>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阳光保险台州中心支公司</w:t>
            </w:r>
          </w:p>
        </w:tc>
        <w:tc>
          <w:tcPr>
            <w:tcW w:w="2288" w:type="dxa"/>
          </w:tcPr>
          <w:p>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年费率1%，最低保费500元</w:t>
            </w:r>
          </w:p>
        </w:tc>
        <w:tc>
          <w:tcPr>
            <w:tcW w:w="1287" w:type="dxa"/>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林高明</w:t>
            </w:r>
          </w:p>
        </w:tc>
        <w:tc>
          <w:tcPr>
            <w:tcW w:w="1600" w:type="dxa"/>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15888682693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87" w:type="dxa"/>
            <w:vAlign w:val="center"/>
          </w:tcPr>
          <w:p>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天安财产保险股份有限公司台州中心支公司</w:t>
            </w:r>
          </w:p>
        </w:tc>
        <w:tc>
          <w:tcPr>
            <w:tcW w:w="2288" w:type="dxa"/>
          </w:tcPr>
          <w:p>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年费率1%-2%，最低保费500元</w:t>
            </w:r>
          </w:p>
        </w:tc>
        <w:tc>
          <w:tcPr>
            <w:tcW w:w="1287" w:type="dxa"/>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罗赛</w:t>
            </w:r>
          </w:p>
        </w:tc>
        <w:tc>
          <w:tcPr>
            <w:tcW w:w="1600" w:type="dxa"/>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13736605643</w:t>
            </w:r>
          </w:p>
        </w:tc>
      </w:tr>
    </w:tbl>
    <w:p>
      <w:pPr>
        <w:spacing w:line="360" w:lineRule="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中标供应商如有融资需求，可使用以下银行的政采贷服务。</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369"/>
        <w:gridCol w:w="1334"/>
        <w:gridCol w:w="1688"/>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9" w:type="dxa"/>
            <w:vAlign w:val="center"/>
          </w:tcPr>
          <w:p>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银行</w:t>
            </w:r>
          </w:p>
        </w:tc>
        <w:tc>
          <w:tcPr>
            <w:tcW w:w="1334" w:type="dxa"/>
            <w:vAlign w:val="center"/>
          </w:tcPr>
          <w:p>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贷款年利率</w:t>
            </w:r>
          </w:p>
        </w:tc>
        <w:tc>
          <w:tcPr>
            <w:tcW w:w="1688" w:type="dxa"/>
            <w:vAlign w:val="center"/>
          </w:tcPr>
          <w:p>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联系人</w:t>
            </w:r>
          </w:p>
        </w:tc>
        <w:tc>
          <w:tcPr>
            <w:tcW w:w="2131" w:type="dxa"/>
            <w:vAlign w:val="center"/>
          </w:tcPr>
          <w:p>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9" w:type="dxa"/>
            <w:vAlign w:val="center"/>
          </w:tcPr>
          <w:p>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中国工商银行</w:t>
            </w:r>
          </w:p>
        </w:tc>
        <w:tc>
          <w:tcPr>
            <w:tcW w:w="1334" w:type="dxa"/>
            <w:vAlign w:val="center"/>
          </w:tcPr>
          <w:p>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3.8%起</w:t>
            </w:r>
          </w:p>
        </w:tc>
        <w:tc>
          <w:tcPr>
            <w:tcW w:w="1688" w:type="dxa"/>
            <w:vAlign w:val="center"/>
          </w:tcPr>
          <w:p>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卢嘉诚</w:t>
            </w:r>
          </w:p>
        </w:tc>
        <w:tc>
          <w:tcPr>
            <w:tcW w:w="2131" w:type="dxa"/>
            <w:vAlign w:val="center"/>
          </w:tcPr>
          <w:p>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88588246  13867658508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9" w:type="dxa"/>
            <w:vAlign w:val="center"/>
          </w:tcPr>
          <w:p>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中国农业银行</w:t>
            </w:r>
          </w:p>
        </w:tc>
        <w:tc>
          <w:tcPr>
            <w:tcW w:w="1334" w:type="dxa"/>
            <w:vAlign w:val="center"/>
          </w:tcPr>
          <w:p>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3.8%起</w:t>
            </w:r>
          </w:p>
        </w:tc>
        <w:tc>
          <w:tcPr>
            <w:tcW w:w="1688" w:type="dxa"/>
            <w:vAlign w:val="center"/>
          </w:tcPr>
          <w:p>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龚盛</w:t>
            </w:r>
          </w:p>
        </w:tc>
        <w:tc>
          <w:tcPr>
            <w:tcW w:w="2131" w:type="dxa"/>
            <w:vAlign w:val="center"/>
          </w:tcPr>
          <w:p>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15858682216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9" w:type="dxa"/>
            <w:vAlign w:val="center"/>
          </w:tcPr>
          <w:p>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中国建设银行</w:t>
            </w:r>
          </w:p>
        </w:tc>
        <w:tc>
          <w:tcPr>
            <w:tcW w:w="1334" w:type="dxa"/>
            <w:vAlign w:val="center"/>
          </w:tcPr>
          <w:p>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3.8%起</w:t>
            </w:r>
          </w:p>
        </w:tc>
        <w:tc>
          <w:tcPr>
            <w:tcW w:w="1688" w:type="dxa"/>
            <w:vAlign w:val="center"/>
          </w:tcPr>
          <w:p>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梅晶晶</w:t>
            </w:r>
          </w:p>
        </w:tc>
        <w:tc>
          <w:tcPr>
            <w:tcW w:w="2131" w:type="dxa"/>
            <w:vAlign w:val="center"/>
          </w:tcPr>
          <w:p>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eastAsia="zh-CN"/>
              </w:rPr>
              <w:t>88</w:t>
            </w:r>
            <w:r>
              <w:rPr>
                <w:rFonts w:hint="eastAsia" w:ascii="宋体" w:hAnsi="宋体" w:eastAsia="宋体" w:cs="宋体"/>
                <w:color w:val="auto"/>
                <w:sz w:val="21"/>
                <w:szCs w:val="21"/>
                <w:highlight w:val="none"/>
                <w:vertAlign w:val="baseline"/>
                <w:lang w:val="en-US" w:eastAsia="zh-CN"/>
              </w:rPr>
              <w:t>525339</w:t>
            </w:r>
          </w:p>
          <w:p>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eastAsia="zh-CN"/>
              </w:rPr>
              <w:t>13</w:t>
            </w:r>
            <w:r>
              <w:rPr>
                <w:rFonts w:hint="eastAsia" w:ascii="宋体" w:hAnsi="宋体" w:eastAsia="宋体" w:cs="宋体"/>
                <w:color w:val="auto"/>
                <w:sz w:val="21"/>
                <w:szCs w:val="21"/>
                <w:highlight w:val="none"/>
                <w:vertAlign w:val="baseline"/>
                <w:lang w:val="en-US" w:eastAsia="zh-CN"/>
              </w:rPr>
              <w:t>736585303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9" w:type="dxa"/>
            <w:vAlign w:val="center"/>
          </w:tcPr>
          <w:p>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中国银行</w:t>
            </w:r>
          </w:p>
        </w:tc>
        <w:tc>
          <w:tcPr>
            <w:tcW w:w="1334" w:type="dxa"/>
            <w:vAlign w:val="center"/>
          </w:tcPr>
          <w:p>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3.75%起</w:t>
            </w:r>
          </w:p>
        </w:tc>
        <w:tc>
          <w:tcPr>
            <w:tcW w:w="1688" w:type="dxa"/>
            <w:vAlign w:val="center"/>
          </w:tcPr>
          <w:p>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王海</w:t>
            </w:r>
          </w:p>
        </w:tc>
        <w:tc>
          <w:tcPr>
            <w:tcW w:w="2131" w:type="dxa"/>
            <w:vAlign w:val="center"/>
          </w:tcPr>
          <w:p>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13857677798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9" w:type="dxa"/>
            <w:vAlign w:val="center"/>
          </w:tcPr>
          <w:p>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浦发银行台州分行</w:t>
            </w:r>
          </w:p>
        </w:tc>
        <w:tc>
          <w:tcPr>
            <w:tcW w:w="1334" w:type="dxa"/>
            <w:vAlign w:val="center"/>
          </w:tcPr>
          <w:p>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4.05%起</w:t>
            </w:r>
          </w:p>
        </w:tc>
        <w:tc>
          <w:tcPr>
            <w:tcW w:w="1688" w:type="dxa"/>
            <w:vAlign w:val="center"/>
          </w:tcPr>
          <w:p>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王渊</w:t>
            </w:r>
          </w:p>
        </w:tc>
        <w:tc>
          <w:tcPr>
            <w:tcW w:w="2131" w:type="dxa"/>
            <w:vAlign w:val="center"/>
          </w:tcPr>
          <w:p>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13616676319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9" w:type="dxa"/>
            <w:vAlign w:val="center"/>
          </w:tcPr>
          <w:p>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浦发银行椒江分行</w:t>
            </w:r>
          </w:p>
        </w:tc>
        <w:tc>
          <w:tcPr>
            <w:tcW w:w="1334" w:type="dxa"/>
            <w:vAlign w:val="center"/>
          </w:tcPr>
          <w:p>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4.05%起</w:t>
            </w:r>
          </w:p>
        </w:tc>
        <w:tc>
          <w:tcPr>
            <w:tcW w:w="1688" w:type="dxa"/>
            <w:vAlign w:val="center"/>
          </w:tcPr>
          <w:p>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孙瑞华</w:t>
            </w:r>
          </w:p>
        </w:tc>
        <w:tc>
          <w:tcPr>
            <w:tcW w:w="2131" w:type="dxa"/>
            <w:vAlign w:val="center"/>
          </w:tcPr>
          <w:p>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13857688081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9" w:type="dxa"/>
            <w:vAlign w:val="center"/>
          </w:tcPr>
          <w:p>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val="en-US" w:eastAsia="zh-CN"/>
              </w:rPr>
              <w:t>交通银行台州分行</w:t>
            </w:r>
          </w:p>
        </w:tc>
        <w:tc>
          <w:tcPr>
            <w:tcW w:w="1334" w:type="dxa"/>
            <w:vAlign w:val="center"/>
          </w:tcPr>
          <w:p>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3.75%起</w:t>
            </w:r>
          </w:p>
        </w:tc>
        <w:tc>
          <w:tcPr>
            <w:tcW w:w="1688" w:type="dxa"/>
            <w:vAlign w:val="center"/>
          </w:tcPr>
          <w:p>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周翔宇</w:t>
            </w:r>
          </w:p>
        </w:tc>
        <w:tc>
          <w:tcPr>
            <w:tcW w:w="2131" w:type="dxa"/>
            <w:vAlign w:val="center"/>
          </w:tcPr>
          <w:p>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13867697018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9" w:type="dxa"/>
            <w:vAlign w:val="center"/>
          </w:tcPr>
          <w:p>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招商银行台州分行</w:t>
            </w:r>
          </w:p>
        </w:tc>
        <w:tc>
          <w:tcPr>
            <w:tcW w:w="1334" w:type="dxa"/>
            <w:vAlign w:val="center"/>
          </w:tcPr>
          <w:p>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4.32%起</w:t>
            </w:r>
          </w:p>
        </w:tc>
        <w:tc>
          <w:tcPr>
            <w:tcW w:w="1688" w:type="dxa"/>
            <w:vAlign w:val="center"/>
          </w:tcPr>
          <w:p>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王海玲</w:t>
            </w:r>
          </w:p>
        </w:tc>
        <w:tc>
          <w:tcPr>
            <w:tcW w:w="2131" w:type="dxa"/>
            <w:vAlign w:val="center"/>
          </w:tcPr>
          <w:p>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13566413827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9" w:type="dxa"/>
            <w:vAlign w:val="center"/>
          </w:tcPr>
          <w:p>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浙商银行台州分行</w:t>
            </w:r>
          </w:p>
        </w:tc>
        <w:tc>
          <w:tcPr>
            <w:tcW w:w="1334" w:type="dxa"/>
            <w:vAlign w:val="center"/>
          </w:tcPr>
          <w:p>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5.01%起</w:t>
            </w:r>
          </w:p>
        </w:tc>
        <w:tc>
          <w:tcPr>
            <w:tcW w:w="1688" w:type="dxa"/>
            <w:vAlign w:val="center"/>
          </w:tcPr>
          <w:p>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章涉漪</w:t>
            </w:r>
          </w:p>
        </w:tc>
        <w:tc>
          <w:tcPr>
            <w:tcW w:w="2131" w:type="dxa"/>
            <w:vAlign w:val="center"/>
          </w:tcPr>
          <w:p>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81880185</w:t>
            </w:r>
          </w:p>
          <w:p>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13606681262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9" w:type="dxa"/>
            <w:vAlign w:val="center"/>
          </w:tcPr>
          <w:p>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中信银行台州分行</w:t>
            </w:r>
          </w:p>
        </w:tc>
        <w:tc>
          <w:tcPr>
            <w:tcW w:w="1334" w:type="dxa"/>
            <w:vAlign w:val="center"/>
          </w:tcPr>
          <w:p>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4.15%起</w:t>
            </w:r>
          </w:p>
        </w:tc>
        <w:tc>
          <w:tcPr>
            <w:tcW w:w="1688" w:type="dxa"/>
            <w:vAlign w:val="center"/>
          </w:tcPr>
          <w:p>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陈金园</w:t>
            </w:r>
          </w:p>
        </w:tc>
        <w:tc>
          <w:tcPr>
            <w:tcW w:w="2131" w:type="dxa"/>
            <w:vAlign w:val="center"/>
          </w:tcPr>
          <w:p>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13586052161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9" w:type="dxa"/>
            <w:vAlign w:val="center"/>
          </w:tcPr>
          <w:p>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华夏银行台州分行</w:t>
            </w:r>
          </w:p>
        </w:tc>
        <w:tc>
          <w:tcPr>
            <w:tcW w:w="1334" w:type="dxa"/>
            <w:vAlign w:val="center"/>
          </w:tcPr>
          <w:p>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4.5%起</w:t>
            </w:r>
          </w:p>
        </w:tc>
        <w:tc>
          <w:tcPr>
            <w:tcW w:w="1688" w:type="dxa"/>
            <w:vAlign w:val="center"/>
          </w:tcPr>
          <w:p>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邱明达</w:t>
            </w:r>
          </w:p>
        </w:tc>
        <w:tc>
          <w:tcPr>
            <w:tcW w:w="2131" w:type="dxa"/>
            <w:vAlign w:val="center"/>
          </w:tcPr>
          <w:p>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81871518</w:t>
            </w:r>
          </w:p>
          <w:p>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13736252233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9" w:type="dxa"/>
            <w:vAlign w:val="center"/>
          </w:tcPr>
          <w:p>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泰隆银行开发区支行</w:t>
            </w:r>
          </w:p>
        </w:tc>
        <w:tc>
          <w:tcPr>
            <w:tcW w:w="1334" w:type="dxa"/>
            <w:vAlign w:val="center"/>
          </w:tcPr>
          <w:p>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5.6%起</w:t>
            </w:r>
          </w:p>
        </w:tc>
        <w:tc>
          <w:tcPr>
            <w:tcW w:w="1688" w:type="dxa"/>
            <w:vAlign w:val="center"/>
          </w:tcPr>
          <w:p>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梁宛莉</w:t>
            </w:r>
          </w:p>
        </w:tc>
        <w:tc>
          <w:tcPr>
            <w:tcW w:w="2131" w:type="dxa"/>
            <w:vAlign w:val="center"/>
          </w:tcPr>
          <w:p>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13306869100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9" w:type="dxa"/>
            <w:vAlign w:val="center"/>
          </w:tcPr>
          <w:p>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民泰银行椒江支行</w:t>
            </w:r>
          </w:p>
        </w:tc>
        <w:tc>
          <w:tcPr>
            <w:tcW w:w="1334" w:type="dxa"/>
            <w:vAlign w:val="center"/>
          </w:tcPr>
          <w:p>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5.8%起</w:t>
            </w:r>
          </w:p>
        </w:tc>
        <w:tc>
          <w:tcPr>
            <w:tcW w:w="1688" w:type="dxa"/>
            <w:vAlign w:val="center"/>
          </w:tcPr>
          <w:p>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陈慧珠</w:t>
            </w:r>
          </w:p>
        </w:tc>
        <w:tc>
          <w:tcPr>
            <w:tcW w:w="2131" w:type="dxa"/>
            <w:vAlign w:val="center"/>
          </w:tcPr>
          <w:p>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13857699669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9" w:type="dxa"/>
            <w:vAlign w:val="center"/>
          </w:tcPr>
          <w:p>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绍兴银行台州分行</w:t>
            </w:r>
          </w:p>
        </w:tc>
        <w:tc>
          <w:tcPr>
            <w:tcW w:w="1334" w:type="dxa"/>
            <w:vAlign w:val="center"/>
          </w:tcPr>
          <w:p>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5.1%起</w:t>
            </w:r>
          </w:p>
        </w:tc>
        <w:tc>
          <w:tcPr>
            <w:tcW w:w="1688" w:type="dxa"/>
            <w:vAlign w:val="center"/>
          </w:tcPr>
          <w:p>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郭庭斌</w:t>
            </w:r>
          </w:p>
        </w:tc>
        <w:tc>
          <w:tcPr>
            <w:tcW w:w="2131" w:type="dxa"/>
            <w:vAlign w:val="center"/>
          </w:tcPr>
          <w:p>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15958633119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9" w:type="dxa"/>
            <w:vAlign w:val="center"/>
          </w:tcPr>
          <w:p>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温州银行台州分行</w:t>
            </w:r>
          </w:p>
        </w:tc>
        <w:tc>
          <w:tcPr>
            <w:tcW w:w="1334" w:type="dxa"/>
            <w:vAlign w:val="center"/>
          </w:tcPr>
          <w:p>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4.55%起</w:t>
            </w:r>
          </w:p>
        </w:tc>
        <w:tc>
          <w:tcPr>
            <w:tcW w:w="1688" w:type="dxa"/>
            <w:vAlign w:val="center"/>
          </w:tcPr>
          <w:p>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王晓波</w:t>
            </w:r>
          </w:p>
        </w:tc>
        <w:tc>
          <w:tcPr>
            <w:tcW w:w="2131" w:type="dxa"/>
            <w:vAlign w:val="center"/>
          </w:tcPr>
          <w:p>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15824005475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9" w:type="dxa"/>
            <w:vAlign w:val="center"/>
          </w:tcPr>
          <w:p>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平安银行台州分行</w:t>
            </w:r>
          </w:p>
        </w:tc>
        <w:tc>
          <w:tcPr>
            <w:tcW w:w="1334" w:type="dxa"/>
            <w:vAlign w:val="center"/>
          </w:tcPr>
          <w:p>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6.53%起</w:t>
            </w:r>
          </w:p>
        </w:tc>
        <w:tc>
          <w:tcPr>
            <w:tcW w:w="1688" w:type="dxa"/>
            <w:vAlign w:val="center"/>
          </w:tcPr>
          <w:p>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李俊丽</w:t>
            </w:r>
          </w:p>
        </w:tc>
        <w:tc>
          <w:tcPr>
            <w:tcW w:w="2131" w:type="dxa"/>
            <w:vAlign w:val="center"/>
          </w:tcPr>
          <w:p>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15906861025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9" w:type="dxa"/>
            <w:vAlign w:val="center"/>
          </w:tcPr>
          <w:p>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宁波银行台州分行</w:t>
            </w:r>
          </w:p>
        </w:tc>
        <w:tc>
          <w:tcPr>
            <w:tcW w:w="1334" w:type="dxa"/>
            <w:vAlign w:val="center"/>
          </w:tcPr>
          <w:p>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4.35%起</w:t>
            </w:r>
          </w:p>
        </w:tc>
        <w:tc>
          <w:tcPr>
            <w:tcW w:w="1688" w:type="dxa"/>
            <w:vAlign w:val="center"/>
          </w:tcPr>
          <w:p>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戴莉丽</w:t>
            </w:r>
          </w:p>
        </w:tc>
        <w:tc>
          <w:tcPr>
            <w:tcW w:w="2131" w:type="dxa"/>
            <w:vAlign w:val="center"/>
          </w:tcPr>
          <w:p>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13566627207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9" w:type="dxa"/>
            <w:vAlign w:val="center"/>
          </w:tcPr>
          <w:p>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金华银行台州分行</w:t>
            </w:r>
          </w:p>
        </w:tc>
        <w:tc>
          <w:tcPr>
            <w:tcW w:w="1334" w:type="dxa"/>
            <w:vAlign w:val="center"/>
          </w:tcPr>
          <w:p>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4.05%起</w:t>
            </w:r>
          </w:p>
        </w:tc>
        <w:tc>
          <w:tcPr>
            <w:tcW w:w="1688" w:type="dxa"/>
            <w:vAlign w:val="center"/>
          </w:tcPr>
          <w:p>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金雪婷</w:t>
            </w:r>
          </w:p>
        </w:tc>
        <w:tc>
          <w:tcPr>
            <w:tcW w:w="2131" w:type="dxa"/>
            <w:vAlign w:val="center"/>
          </w:tcPr>
          <w:p>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81886670</w:t>
            </w:r>
          </w:p>
          <w:p>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15968661569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9" w:type="dxa"/>
            <w:vAlign w:val="center"/>
          </w:tcPr>
          <w:p>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台州银行</w:t>
            </w:r>
          </w:p>
        </w:tc>
        <w:tc>
          <w:tcPr>
            <w:tcW w:w="1334" w:type="dxa"/>
            <w:vAlign w:val="center"/>
          </w:tcPr>
          <w:p>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5.6%起</w:t>
            </w:r>
          </w:p>
        </w:tc>
        <w:tc>
          <w:tcPr>
            <w:tcW w:w="1688" w:type="dxa"/>
            <w:vAlign w:val="center"/>
          </w:tcPr>
          <w:p>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洪婷</w:t>
            </w:r>
          </w:p>
        </w:tc>
        <w:tc>
          <w:tcPr>
            <w:tcW w:w="2131" w:type="dxa"/>
            <w:vAlign w:val="center"/>
          </w:tcPr>
          <w:p>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15858624999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9" w:type="dxa"/>
            <w:vAlign w:val="center"/>
          </w:tcPr>
          <w:p>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邮储银行台州分行</w:t>
            </w:r>
          </w:p>
        </w:tc>
        <w:tc>
          <w:tcPr>
            <w:tcW w:w="1334" w:type="dxa"/>
            <w:vAlign w:val="center"/>
          </w:tcPr>
          <w:p>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3.85%起</w:t>
            </w:r>
          </w:p>
        </w:tc>
        <w:tc>
          <w:tcPr>
            <w:tcW w:w="1688" w:type="dxa"/>
            <w:vAlign w:val="center"/>
          </w:tcPr>
          <w:p>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eastAsia="zh-CN"/>
              </w:rPr>
              <w:t>董庆</w:t>
            </w:r>
          </w:p>
        </w:tc>
        <w:tc>
          <w:tcPr>
            <w:tcW w:w="2131" w:type="dxa"/>
            <w:vAlign w:val="center"/>
          </w:tcPr>
          <w:p>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81888982</w:t>
            </w:r>
          </w:p>
          <w:p>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18957683735</w:t>
            </w:r>
          </w:p>
        </w:tc>
      </w:tr>
    </w:tbl>
    <w:p>
      <w:pPr>
        <w:pStyle w:val="29"/>
        <w:rPr>
          <w:rFonts w:hint="eastAsia" w:ascii="宋体" w:hAnsi="宋体" w:eastAsia="宋体" w:cs="宋体"/>
          <w:color w:val="auto"/>
          <w:highlight w:val="none"/>
        </w:rPr>
      </w:pPr>
    </w:p>
    <w:p>
      <w:pPr>
        <w:keepNext w:val="0"/>
        <w:keepLines w:val="0"/>
        <w:pageBreakBefore w:val="0"/>
        <w:kinsoku/>
        <w:topLinePunct w:val="0"/>
        <w:bidi w:val="0"/>
        <w:spacing w:beforeAutospacing="0" w:afterAutospacing="0" w:line="360" w:lineRule="auto"/>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十</w:t>
      </w:r>
      <w:r>
        <w:rPr>
          <w:rFonts w:hint="eastAsia" w:ascii="宋体" w:hAnsi="宋体" w:eastAsia="宋体" w:cs="宋体"/>
          <w:b/>
          <w:color w:val="auto"/>
          <w:szCs w:val="21"/>
          <w:highlight w:val="none"/>
          <w:lang w:val="en-US" w:eastAsia="zh-CN"/>
        </w:rPr>
        <w:t>一、</w:t>
      </w:r>
      <w:r>
        <w:rPr>
          <w:rFonts w:hint="eastAsia" w:ascii="宋体" w:hAnsi="宋体" w:eastAsia="宋体" w:cs="宋体"/>
          <w:b/>
          <w:color w:val="auto"/>
          <w:szCs w:val="21"/>
          <w:highlight w:val="none"/>
        </w:rPr>
        <w:t>采购（中标）公告发布媒体：</w:t>
      </w:r>
      <w:r>
        <w:rPr>
          <w:rFonts w:hint="eastAsia" w:ascii="宋体" w:hAnsi="宋体" w:eastAsia="宋体" w:cs="宋体"/>
          <w:color w:val="auto"/>
          <w:szCs w:val="21"/>
          <w:highlight w:val="none"/>
        </w:rPr>
        <w:t>浙江政府采购网（</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"http://www.zjzfcg.gov.cn/new/" </w:instrText>
      </w:r>
      <w:r>
        <w:rPr>
          <w:rFonts w:hint="eastAsia" w:ascii="宋体" w:hAnsi="宋体" w:eastAsia="宋体" w:cs="宋体"/>
          <w:color w:val="auto"/>
          <w:highlight w:val="none"/>
        </w:rPr>
        <w:fldChar w:fldCharType="separate"/>
      </w:r>
      <w:r>
        <w:rPr>
          <w:rStyle w:val="27"/>
          <w:rFonts w:hint="eastAsia" w:ascii="宋体" w:hAnsi="宋体" w:eastAsia="宋体" w:cs="宋体"/>
          <w:color w:val="auto"/>
          <w:szCs w:val="21"/>
          <w:highlight w:val="none"/>
        </w:rPr>
        <w:t>http://zfcg.czt.zj.gov.cn</w:t>
      </w:r>
      <w:r>
        <w:rPr>
          <w:rStyle w:val="27"/>
          <w:rFonts w:hint="eastAsia" w:ascii="宋体" w:hAnsi="宋体" w:eastAsia="宋体" w:cs="宋体"/>
          <w:color w:val="auto"/>
          <w:szCs w:val="21"/>
          <w:highlight w:val="none"/>
        </w:rPr>
        <w:fldChar w:fldCharType="end"/>
      </w:r>
      <w:r>
        <w:rPr>
          <w:rFonts w:hint="eastAsia" w:ascii="宋体" w:hAnsi="宋体" w:eastAsia="宋体" w:cs="宋体"/>
          <w:color w:val="auto"/>
          <w:szCs w:val="21"/>
          <w:highlight w:val="none"/>
        </w:rPr>
        <w:t>）</w:t>
      </w:r>
    </w:p>
    <w:p>
      <w:pPr>
        <w:spacing w:line="360" w:lineRule="auto"/>
        <w:ind w:right="-252" w:rightChars="-120"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备注：请贵单位下载本次招标采购文件后，认真阅读各项内容，进行必要的准备工作，按文件的要求详细填写和编制响应文件，并按以上确定的时间、地点准时上传投标文件。</w:t>
      </w:r>
    </w:p>
    <w:p>
      <w:pPr>
        <w:jc w:val="right"/>
        <w:rPr>
          <w:rFonts w:hint="eastAsia" w:ascii="宋体" w:hAnsi="宋体" w:eastAsia="宋体" w:cs="宋体"/>
          <w:color w:val="auto"/>
          <w:szCs w:val="21"/>
          <w:highlight w:val="none"/>
        </w:rPr>
      </w:pPr>
    </w:p>
    <w:p>
      <w:pPr>
        <w:jc w:val="righ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浙江汇永工程咨询有限公司</w:t>
      </w:r>
    </w:p>
    <w:p>
      <w:pPr>
        <w:pStyle w:val="7"/>
        <w:jc w:val="right"/>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eastAsia="zh-CN"/>
        </w:rPr>
        <w:t>二○二四年五月</w:t>
      </w:r>
    </w:p>
    <w:p>
      <w:pPr>
        <w:pStyle w:val="7"/>
        <w:jc w:val="right"/>
        <w:rPr>
          <w:rFonts w:hint="eastAsia" w:ascii="宋体" w:hAnsi="宋体" w:eastAsia="宋体" w:cs="宋体"/>
          <w:color w:val="auto"/>
          <w:szCs w:val="21"/>
          <w:highlight w:val="none"/>
        </w:rPr>
      </w:pPr>
    </w:p>
    <w:p>
      <w:pPr>
        <w:pStyle w:val="7"/>
        <w:jc w:val="right"/>
        <w:rPr>
          <w:rFonts w:hint="eastAsia" w:ascii="宋体" w:hAnsi="宋体" w:eastAsia="宋体" w:cs="宋体"/>
          <w:color w:val="auto"/>
          <w:sz w:val="24"/>
          <w:highlight w:val="none"/>
        </w:rPr>
      </w:pPr>
    </w:p>
    <w:p>
      <w:pPr>
        <w:pStyle w:val="8"/>
        <w:rPr>
          <w:rFonts w:hint="eastAsia" w:ascii="宋体" w:hAnsi="宋体" w:eastAsia="宋体" w:cs="宋体"/>
          <w:color w:val="auto"/>
          <w:sz w:val="24"/>
          <w:highlight w:val="none"/>
        </w:rPr>
      </w:pPr>
    </w:p>
    <w:p>
      <w:pPr>
        <w:rPr>
          <w:rFonts w:hint="eastAsia" w:ascii="宋体" w:hAnsi="宋体" w:eastAsia="宋体" w:cs="宋体"/>
          <w:color w:val="auto"/>
          <w:highlight w:val="none"/>
        </w:rPr>
      </w:pPr>
    </w:p>
    <w:p>
      <w:pPr>
        <w:numPr>
          <w:ilvl w:val="0"/>
          <w:numId w:val="3"/>
        </w:numPr>
        <w:spacing w:line="360" w:lineRule="auto"/>
        <w:jc w:val="center"/>
        <w:rPr>
          <w:rFonts w:hint="eastAsia" w:ascii="宋体" w:hAnsi="宋体" w:eastAsia="宋体" w:cs="宋体"/>
          <w:b/>
          <w:color w:val="auto"/>
          <w:sz w:val="36"/>
          <w:szCs w:val="36"/>
          <w:highlight w:val="none"/>
        </w:rPr>
        <w:sectPr>
          <w:headerReference r:id="rId3" w:type="default"/>
          <w:footerReference r:id="rId4" w:type="default"/>
          <w:pgSz w:w="11906" w:h="16838"/>
          <w:pgMar w:top="1440" w:right="1440" w:bottom="1440" w:left="1803" w:header="851" w:footer="992" w:gutter="0"/>
          <w:pgNumType w:fmt="decimal"/>
          <w:cols w:space="0" w:num="1"/>
          <w:docGrid w:type="lines" w:linePitch="325" w:charSpace="0"/>
        </w:sectPr>
      </w:pPr>
    </w:p>
    <w:p>
      <w:pPr>
        <w:numPr>
          <w:ilvl w:val="0"/>
          <w:numId w:val="0"/>
        </w:numPr>
        <w:spacing w:line="360" w:lineRule="auto"/>
        <w:jc w:val="center"/>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lang w:val="en-US" w:eastAsia="zh-CN"/>
        </w:rPr>
        <w:t xml:space="preserve">第二章 </w:t>
      </w:r>
      <w:r>
        <w:rPr>
          <w:rFonts w:hint="eastAsia" w:ascii="宋体" w:hAnsi="宋体" w:eastAsia="宋体" w:cs="宋体"/>
          <w:b/>
          <w:color w:val="auto"/>
          <w:sz w:val="36"/>
          <w:szCs w:val="36"/>
          <w:highlight w:val="none"/>
        </w:rPr>
        <w:t>投标人须知</w:t>
      </w:r>
    </w:p>
    <w:p>
      <w:pPr>
        <w:spacing w:line="360" w:lineRule="auto"/>
        <w:jc w:val="center"/>
        <w:outlineLvl w:val="9"/>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前  附 表</w:t>
      </w:r>
    </w:p>
    <w:tbl>
      <w:tblPr>
        <w:tblStyle w:val="22"/>
        <w:tblW w:w="95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7"/>
        <w:gridCol w:w="2120"/>
        <w:gridCol w:w="66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 w:hRule="atLeast"/>
          <w:jc w:val="center"/>
        </w:trPr>
        <w:tc>
          <w:tcPr>
            <w:tcW w:w="717" w:type="dxa"/>
            <w:vAlign w:val="center"/>
          </w:tcPr>
          <w:p>
            <w:pPr>
              <w:spacing w:line="240"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序号</w:t>
            </w:r>
          </w:p>
        </w:tc>
        <w:tc>
          <w:tcPr>
            <w:tcW w:w="2120" w:type="dxa"/>
            <w:vAlign w:val="center"/>
          </w:tcPr>
          <w:p>
            <w:pPr>
              <w:spacing w:line="240"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项目</w:t>
            </w:r>
          </w:p>
        </w:tc>
        <w:tc>
          <w:tcPr>
            <w:tcW w:w="6682" w:type="dxa"/>
            <w:vAlign w:val="center"/>
          </w:tcPr>
          <w:p>
            <w:pPr>
              <w:spacing w:line="240"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7" w:hRule="atLeast"/>
          <w:jc w:val="center"/>
        </w:trPr>
        <w:tc>
          <w:tcPr>
            <w:tcW w:w="717" w:type="dxa"/>
            <w:vAlign w:val="center"/>
          </w:tcPr>
          <w:p>
            <w:pPr>
              <w:spacing w:line="240" w:lineRule="auto"/>
              <w:jc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sz w:val="21"/>
                <w:szCs w:val="21"/>
                <w:highlight w:val="none"/>
                <w:lang w:val="en-US" w:eastAsia="zh-CN"/>
              </w:rPr>
              <w:t>1</w:t>
            </w:r>
          </w:p>
        </w:tc>
        <w:tc>
          <w:tcPr>
            <w:tcW w:w="2120" w:type="dxa"/>
            <w:vAlign w:val="center"/>
          </w:tcPr>
          <w:p>
            <w:pPr>
              <w:spacing w:line="24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项目说明</w:t>
            </w:r>
          </w:p>
        </w:tc>
        <w:tc>
          <w:tcPr>
            <w:tcW w:w="6682" w:type="dxa"/>
            <w:vAlign w:val="center"/>
          </w:tcPr>
          <w:p>
            <w:pPr>
              <w:spacing w:line="24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项目类别：</w:t>
            </w:r>
            <w:r>
              <w:rPr>
                <w:rFonts w:hint="eastAsia" w:ascii="宋体" w:hAnsi="宋体" w:eastAsia="宋体" w:cs="宋体"/>
                <w:color w:val="auto"/>
                <w:sz w:val="21"/>
                <w:szCs w:val="21"/>
                <w:highlight w:val="none"/>
                <w:lang w:val="en-US" w:eastAsia="zh-CN"/>
              </w:rPr>
              <w:t>货物类</w:t>
            </w:r>
          </w:p>
          <w:p>
            <w:pPr>
              <w:spacing w:line="240" w:lineRule="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采购标的所属行业：根据《工业和信息化部、国家统计局、国家发展和改革委员会、财政部关于印发中小企业划型标准规定的通知》（工信部联企业[2011]300号）规定，本项目采购标的对应的中小企业划分标准所属行业为</w:t>
            </w:r>
            <w:r>
              <w:rPr>
                <w:rFonts w:hint="eastAsia" w:ascii="宋体" w:hAnsi="宋体" w:eastAsia="宋体" w:cs="宋体"/>
                <w:color w:val="auto"/>
                <w:sz w:val="21"/>
                <w:szCs w:val="21"/>
                <w:highlight w:val="none"/>
                <w:lang w:eastAsia="zh-CN"/>
              </w:rPr>
              <w:t>（二）工业</w:t>
            </w:r>
            <w:r>
              <w:rPr>
                <w:rFonts w:hint="eastAsia" w:ascii="宋体" w:hAnsi="宋体" w:cs="宋体"/>
                <w:color w:val="auto"/>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 w:hRule="atLeast"/>
          <w:jc w:val="center"/>
        </w:trPr>
        <w:tc>
          <w:tcPr>
            <w:tcW w:w="717" w:type="dxa"/>
            <w:vAlign w:val="center"/>
          </w:tcPr>
          <w:p>
            <w:pPr>
              <w:spacing w:line="240" w:lineRule="auto"/>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2</w:t>
            </w:r>
          </w:p>
        </w:tc>
        <w:tc>
          <w:tcPr>
            <w:tcW w:w="2120" w:type="dxa"/>
            <w:vAlign w:val="center"/>
          </w:tcPr>
          <w:p>
            <w:pPr>
              <w:spacing w:line="24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供应商特定资格要求</w:t>
            </w:r>
          </w:p>
        </w:tc>
        <w:tc>
          <w:tcPr>
            <w:tcW w:w="6682" w:type="dxa"/>
            <w:vAlign w:val="center"/>
          </w:tcPr>
          <w:p>
            <w:pPr>
              <w:spacing w:line="24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符合招标公告资格要求的供应商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 w:hRule="atLeast"/>
          <w:jc w:val="center"/>
        </w:trPr>
        <w:tc>
          <w:tcPr>
            <w:tcW w:w="717" w:type="dxa"/>
            <w:vAlign w:val="center"/>
          </w:tcPr>
          <w:p>
            <w:pPr>
              <w:spacing w:line="240" w:lineRule="auto"/>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3</w:t>
            </w:r>
          </w:p>
        </w:tc>
        <w:tc>
          <w:tcPr>
            <w:tcW w:w="2120" w:type="dxa"/>
            <w:vAlign w:val="center"/>
          </w:tcPr>
          <w:p>
            <w:pPr>
              <w:spacing w:line="24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答疑会或现场踏勘</w:t>
            </w:r>
          </w:p>
        </w:tc>
        <w:tc>
          <w:tcPr>
            <w:tcW w:w="6682" w:type="dxa"/>
            <w:vAlign w:val="center"/>
          </w:tcPr>
          <w:p>
            <w:pPr>
              <w:spacing w:line="24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5" w:hRule="atLeast"/>
          <w:jc w:val="center"/>
        </w:trPr>
        <w:tc>
          <w:tcPr>
            <w:tcW w:w="717" w:type="dxa"/>
            <w:vAlign w:val="center"/>
          </w:tcPr>
          <w:p>
            <w:pPr>
              <w:spacing w:line="240" w:lineRule="auto"/>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4</w:t>
            </w:r>
          </w:p>
        </w:tc>
        <w:tc>
          <w:tcPr>
            <w:tcW w:w="2120" w:type="dxa"/>
            <w:vAlign w:val="center"/>
          </w:tcPr>
          <w:p>
            <w:pPr>
              <w:spacing w:line="240" w:lineRule="auto"/>
              <w:jc w:val="center"/>
              <w:rPr>
                <w:rFonts w:hint="eastAsia" w:ascii="宋体" w:hAnsi="宋体" w:eastAsia="宋体" w:cs="宋体"/>
                <w:color w:val="auto"/>
                <w:szCs w:val="21"/>
                <w:highlight w:val="none"/>
              </w:rPr>
            </w:pPr>
            <w:r>
              <w:rPr>
                <w:rFonts w:hint="eastAsia" w:ascii="宋体" w:hAnsi="宋体" w:eastAsia="宋体" w:cs="宋体"/>
                <w:color w:val="auto"/>
                <w:sz w:val="21"/>
                <w:szCs w:val="21"/>
                <w:highlight w:val="none"/>
              </w:rPr>
              <w:t>投标文件</w:t>
            </w:r>
            <w:r>
              <w:rPr>
                <w:rFonts w:hint="eastAsia" w:ascii="宋体" w:hAnsi="宋体" w:eastAsia="宋体" w:cs="宋体"/>
                <w:color w:val="auto"/>
                <w:sz w:val="21"/>
                <w:szCs w:val="21"/>
                <w:highlight w:val="none"/>
                <w:lang w:val="en-US" w:eastAsia="zh-CN"/>
              </w:rPr>
              <w:t>组成</w:t>
            </w:r>
            <w:r>
              <w:rPr>
                <w:rFonts w:hint="eastAsia" w:ascii="宋体" w:hAnsi="宋体" w:eastAsia="宋体" w:cs="宋体"/>
                <w:color w:val="auto"/>
                <w:sz w:val="21"/>
                <w:szCs w:val="21"/>
                <w:highlight w:val="none"/>
              </w:rPr>
              <w:t>要求</w:t>
            </w:r>
          </w:p>
        </w:tc>
        <w:tc>
          <w:tcPr>
            <w:tcW w:w="6682" w:type="dxa"/>
            <w:vAlign w:val="center"/>
          </w:tcPr>
          <w:p>
            <w:pPr>
              <w:spacing w:line="24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本项目实行电子投标，供应商应准备电子投标文件、</w:t>
            </w:r>
            <w:r>
              <w:rPr>
                <w:rFonts w:hint="eastAsia" w:ascii="宋体" w:hAnsi="宋体" w:eastAsia="宋体" w:cs="宋体"/>
                <w:color w:val="auto"/>
                <w:sz w:val="21"/>
                <w:szCs w:val="21"/>
                <w:highlight w:val="none"/>
                <w:lang w:val="en-US" w:eastAsia="zh-CN"/>
              </w:rPr>
              <w:t>还可以提供</w:t>
            </w:r>
            <w:r>
              <w:rPr>
                <w:rFonts w:hint="eastAsia" w:ascii="宋体" w:hAnsi="宋体" w:eastAsia="宋体" w:cs="宋体"/>
                <w:color w:val="auto"/>
                <w:sz w:val="21"/>
                <w:szCs w:val="21"/>
                <w:highlight w:val="none"/>
              </w:rPr>
              <w:t>以介质（U盘）存储的数据电文形式的备份投标文件</w:t>
            </w:r>
            <w:r>
              <w:rPr>
                <w:rFonts w:hint="eastAsia" w:ascii="宋体" w:hAnsi="宋体" w:eastAsia="宋体" w:cs="宋体"/>
                <w:color w:val="auto"/>
                <w:sz w:val="21"/>
                <w:szCs w:val="21"/>
                <w:highlight w:val="none"/>
                <w:lang w:eastAsia="zh-CN"/>
              </w:rPr>
              <w:t>。</w:t>
            </w:r>
          </w:p>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电子投标文件</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指通过“</w:t>
            </w:r>
            <w:r>
              <w:rPr>
                <w:rFonts w:hint="eastAsia" w:ascii="宋体" w:hAnsi="宋体" w:eastAsia="宋体" w:cs="宋体"/>
                <w:color w:val="auto"/>
                <w:sz w:val="21"/>
                <w:szCs w:val="21"/>
                <w:highlight w:val="none"/>
                <w:lang w:eastAsia="zh-CN"/>
              </w:rPr>
              <w:t>政采云电子投标客户端</w:t>
            </w:r>
            <w:r>
              <w:rPr>
                <w:rFonts w:hint="eastAsia" w:ascii="宋体" w:hAnsi="宋体" w:eastAsia="宋体" w:cs="宋体"/>
                <w:color w:val="auto"/>
                <w:sz w:val="21"/>
                <w:szCs w:val="21"/>
                <w:highlight w:val="none"/>
              </w:rPr>
              <w:t>”完成</w:t>
            </w:r>
            <w:r>
              <w:rPr>
                <w:rFonts w:hint="eastAsia" w:ascii="宋体" w:hAnsi="宋体" w:eastAsia="宋体" w:cs="宋体"/>
                <w:color w:val="auto"/>
                <w:sz w:val="21"/>
                <w:szCs w:val="21"/>
                <w:highlight w:val="none"/>
                <w:lang w:val="en-US" w:eastAsia="zh-CN"/>
              </w:rPr>
              <w:t>投标</w:t>
            </w:r>
            <w:r>
              <w:rPr>
                <w:rFonts w:hint="eastAsia" w:ascii="宋体" w:hAnsi="宋体" w:eastAsia="宋体" w:cs="宋体"/>
                <w:color w:val="auto"/>
                <w:sz w:val="21"/>
                <w:szCs w:val="21"/>
                <w:highlight w:val="none"/>
              </w:rPr>
              <w:t>文件编制后生成并加密的数据电文形式的</w:t>
            </w:r>
            <w:r>
              <w:rPr>
                <w:rFonts w:hint="eastAsia" w:ascii="宋体" w:hAnsi="宋体" w:eastAsia="宋体" w:cs="宋体"/>
                <w:color w:val="auto"/>
                <w:sz w:val="21"/>
                <w:szCs w:val="21"/>
                <w:highlight w:val="none"/>
                <w:lang w:val="en-US" w:eastAsia="zh-CN"/>
              </w:rPr>
              <w:t>电子投标</w:t>
            </w:r>
            <w:r>
              <w:rPr>
                <w:rFonts w:hint="eastAsia" w:ascii="宋体" w:hAnsi="宋体" w:eastAsia="宋体" w:cs="宋体"/>
                <w:color w:val="auto"/>
                <w:sz w:val="21"/>
                <w:szCs w:val="21"/>
                <w:highlight w:val="none"/>
              </w:rPr>
              <w:t>文件。</w:t>
            </w:r>
          </w:p>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备份</w:t>
            </w:r>
            <w:r>
              <w:rPr>
                <w:rFonts w:hint="eastAsia" w:ascii="宋体" w:hAnsi="宋体" w:eastAsia="宋体" w:cs="宋体"/>
                <w:color w:val="auto"/>
                <w:sz w:val="21"/>
                <w:szCs w:val="21"/>
                <w:highlight w:val="none"/>
                <w:lang w:val="en-US" w:eastAsia="zh-CN"/>
              </w:rPr>
              <w:t>投标</w:t>
            </w:r>
            <w:r>
              <w:rPr>
                <w:rFonts w:hint="eastAsia" w:ascii="宋体" w:hAnsi="宋体" w:eastAsia="宋体" w:cs="宋体"/>
                <w:color w:val="auto"/>
                <w:sz w:val="21"/>
                <w:szCs w:val="21"/>
                <w:highlight w:val="none"/>
              </w:rPr>
              <w:t>文件</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是指“电子投标文件”同时生成的数据电文形式的电子文件（备份标书），以U盘形式提供。</w:t>
            </w:r>
          </w:p>
          <w:p>
            <w:pPr>
              <w:spacing w:line="240" w:lineRule="auto"/>
              <w:rPr>
                <w:rFonts w:hint="eastAsia" w:ascii="宋体" w:hAnsi="宋体" w:eastAsia="宋体" w:cs="宋体"/>
                <w:color w:val="auto"/>
                <w:szCs w:val="21"/>
                <w:highlight w:val="none"/>
              </w:rPr>
            </w:pPr>
            <w:r>
              <w:rPr>
                <w:rFonts w:hint="eastAsia" w:ascii="宋体" w:hAnsi="宋体" w:eastAsia="宋体" w:cs="宋体"/>
                <w:color w:val="auto"/>
                <w:sz w:val="21"/>
                <w:szCs w:val="21"/>
                <w:highlight w:val="none"/>
              </w:rPr>
              <w:t>以上两类</w:t>
            </w:r>
            <w:r>
              <w:rPr>
                <w:rFonts w:hint="eastAsia" w:ascii="宋体" w:hAnsi="宋体" w:eastAsia="宋体" w:cs="宋体"/>
                <w:color w:val="auto"/>
                <w:sz w:val="21"/>
                <w:szCs w:val="21"/>
                <w:highlight w:val="none"/>
                <w:lang w:val="en-US" w:eastAsia="zh-CN"/>
              </w:rPr>
              <w:t>投标</w:t>
            </w:r>
            <w:r>
              <w:rPr>
                <w:rFonts w:hint="eastAsia" w:ascii="宋体" w:hAnsi="宋体" w:eastAsia="宋体" w:cs="宋体"/>
                <w:color w:val="auto"/>
                <w:sz w:val="21"/>
                <w:szCs w:val="21"/>
                <w:highlight w:val="none"/>
              </w:rPr>
              <w:t>文件均由资格</w:t>
            </w:r>
            <w:r>
              <w:rPr>
                <w:rFonts w:hint="eastAsia" w:ascii="宋体" w:hAnsi="宋体" w:eastAsia="宋体" w:cs="宋体"/>
                <w:color w:val="auto"/>
                <w:sz w:val="21"/>
                <w:szCs w:val="21"/>
                <w:highlight w:val="none"/>
                <w:lang w:val="en-US" w:eastAsia="zh-CN"/>
              </w:rPr>
              <w:t>证明文件</w:t>
            </w:r>
            <w:r>
              <w:rPr>
                <w:rFonts w:hint="eastAsia" w:ascii="宋体" w:hAnsi="宋体" w:eastAsia="宋体" w:cs="宋体"/>
                <w:color w:val="auto"/>
                <w:sz w:val="21"/>
                <w:szCs w:val="21"/>
                <w:highlight w:val="none"/>
              </w:rPr>
              <w:t>、商务技术文件、报价文件三部分组成。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 w:hRule="atLeast"/>
          <w:jc w:val="center"/>
        </w:trPr>
        <w:tc>
          <w:tcPr>
            <w:tcW w:w="717" w:type="dxa"/>
            <w:vAlign w:val="center"/>
          </w:tcPr>
          <w:p>
            <w:pPr>
              <w:spacing w:line="240" w:lineRule="auto"/>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5</w:t>
            </w:r>
          </w:p>
        </w:tc>
        <w:tc>
          <w:tcPr>
            <w:tcW w:w="2120" w:type="dxa"/>
            <w:vAlign w:val="center"/>
          </w:tcPr>
          <w:p>
            <w:pPr>
              <w:spacing w:line="24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投标文件有效期</w:t>
            </w:r>
          </w:p>
        </w:tc>
        <w:tc>
          <w:tcPr>
            <w:tcW w:w="6682" w:type="dxa"/>
            <w:vAlign w:val="center"/>
          </w:tcPr>
          <w:p>
            <w:pPr>
              <w:spacing w:line="240" w:lineRule="auto"/>
              <w:rPr>
                <w:rFonts w:hint="eastAsia" w:ascii="宋体" w:hAnsi="宋体" w:eastAsia="宋体" w:cs="宋体"/>
                <w:color w:val="auto"/>
                <w:szCs w:val="21"/>
                <w:highlight w:val="none"/>
              </w:rPr>
            </w:pPr>
            <w:r>
              <w:rPr>
                <w:rFonts w:hint="eastAsia" w:ascii="宋体" w:hAnsi="宋体" w:eastAsia="宋体" w:cs="宋体"/>
                <w:b/>
                <w:bCs/>
                <w:color w:val="auto"/>
                <w:kern w:val="0"/>
                <w:szCs w:val="21"/>
                <w:highlight w:val="none"/>
              </w:rPr>
              <w:t>▲</w:t>
            </w:r>
            <w:r>
              <w:rPr>
                <w:rFonts w:hint="eastAsia" w:ascii="宋体" w:hAnsi="宋体" w:eastAsia="宋体" w:cs="宋体"/>
                <w:color w:val="auto"/>
                <w:szCs w:val="21"/>
                <w:highlight w:val="none"/>
              </w:rPr>
              <w:t>投标有效期为90天，投标有效期从提交投标文件的截止之日起算。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3" w:hRule="atLeast"/>
          <w:jc w:val="center"/>
        </w:trPr>
        <w:tc>
          <w:tcPr>
            <w:tcW w:w="717" w:type="dxa"/>
            <w:vAlign w:val="center"/>
          </w:tcPr>
          <w:p>
            <w:pPr>
              <w:spacing w:line="240" w:lineRule="auto"/>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6</w:t>
            </w:r>
          </w:p>
        </w:tc>
        <w:tc>
          <w:tcPr>
            <w:tcW w:w="2120" w:type="dxa"/>
            <w:vAlign w:val="center"/>
          </w:tcPr>
          <w:p>
            <w:pPr>
              <w:pStyle w:val="7"/>
              <w:spacing w:line="24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电子投标文件的传输递交</w:t>
            </w:r>
          </w:p>
        </w:tc>
        <w:tc>
          <w:tcPr>
            <w:tcW w:w="6682" w:type="dxa"/>
            <w:vAlign w:val="center"/>
          </w:tcPr>
          <w:p>
            <w:pPr>
              <w:spacing w:line="240" w:lineRule="auto"/>
              <w:rPr>
                <w:rFonts w:hint="eastAsia" w:ascii="宋体" w:hAnsi="宋体" w:eastAsia="宋体" w:cs="宋体"/>
                <w:b/>
                <w:bCs/>
                <w:color w:val="auto"/>
                <w:szCs w:val="21"/>
                <w:highlight w:val="none"/>
                <w:u w:val="single"/>
              </w:rPr>
            </w:pPr>
            <w:r>
              <w:rPr>
                <w:rFonts w:hint="eastAsia" w:ascii="宋体" w:hAnsi="宋体" w:eastAsia="宋体" w:cs="宋体"/>
                <w:b/>
                <w:bCs/>
                <w:color w:val="auto"/>
                <w:szCs w:val="21"/>
                <w:highlight w:val="none"/>
              </w:rPr>
              <w:t>截止时间：</w:t>
            </w:r>
            <w:r>
              <w:rPr>
                <w:rFonts w:hint="eastAsia" w:ascii="宋体" w:hAnsi="宋体" w:eastAsia="宋体" w:cs="宋体"/>
                <w:color w:val="auto"/>
                <w:szCs w:val="21"/>
                <w:highlight w:val="none"/>
              </w:rPr>
              <w:t xml:space="preserve"> </w:t>
            </w:r>
            <w:r>
              <w:rPr>
                <w:rFonts w:hint="eastAsia" w:ascii="宋体" w:hAnsi="宋体" w:cs="宋体"/>
                <w:b/>
                <w:bCs/>
                <w:color w:val="auto"/>
                <w:szCs w:val="21"/>
                <w:highlight w:val="none"/>
                <w:u w:val="single"/>
                <w:lang w:eastAsia="zh-CN"/>
              </w:rPr>
              <w:t>2024年6月6日上午9:00</w:t>
            </w:r>
            <w:r>
              <w:rPr>
                <w:rFonts w:hint="eastAsia" w:ascii="宋体" w:hAnsi="宋体" w:eastAsia="宋体" w:cs="宋体"/>
                <w:b/>
                <w:bCs/>
                <w:color w:val="auto"/>
                <w:szCs w:val="21"/>
                <w:highlight w:val="none"/>
                <w:u w:val="single"/>
                <w:lang w:eastAsia="zh-CN"/>
              </w:rPr>
              <w:t>整</w:t>
            </w:r>
          </w:p>
          <w:p>
            <w:pPr>
              <w:spacing w:line="24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应当在投标截止时间前完成电子投标文件的传输递交，投标截止时间前可以补充、修改或者撤回电子投标文件。补充或者修改电子投标文件的，应当先行撤回原文件，补充、修改后重新传输递交。投标截止时间前未完成传输的，视为撤回投标文件。投标截止时间后寄达的投标文件，将被拒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0" w:hRule="atLeast"/>
          <w:jc w:val="center"/>
        </w:trPr>
        <w:tc>
          <w:tcPr>
            <w:tcW w:w="717" w:type="dxa"/>
            <w:vAlign w:val="center"/>
          </w:tcPr>
          <w:p>
            <w:pPr>
              <w:spacing w:line="240" w:lineRule="auto"/>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7</w:t>
            </w:r>
          </w:p>
        </w:tc>
        <w:tc>
          <w:tcPr>
            <w:tcW w:w="2120" w:type="dxa"/>
            <w:vAlign w:val="center"/>
          </w:tcPr>
          <w:p>
            <w:pPr>
              <w:spacing w:line="24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备份投标文件的递交</w:t>
            </w:r>
          </w:p>
        </w:tc>
        <w:tc>
          <w:tcPr>
            <w:tcW w:w="6682" w:type="dxa"/>
            <w:vAlign w:val="center"/>
          </w:tcPr>
          <w:p>
            <w:pPr>
              <w:pStyle w:val="53"/>
              <w:snapToGrid w:val="0"/>
              <w:spacing w:line="240" w:lineRule="auto"/>
              <w:rPr>
                <w:rFonts w:hint="eastAsia" w:ascii="宋体" w:hAnsi="宋体" w:eastAsia="宋体" w:cs="宋体"/>
                <w:color w:val="auto"/>
                <w:kern w:val="2"/>
                <w:highlight w:val="none"/>
              </w:rPr>
            </w:pPr>
            <w:r>
              <w:rPr>
                <w:rFonts w:hint="eastAsia" w:ascii="宋体" w:hAnsi="宋体" w:eastAsia="宋体" w:cs="宋体"/>
                <w:color w:val="auto"/>
                <w:kern w:val="2"/>
                <w:highlight w:val="none"/>
              </w:rPr>
              <w:t>供应商同时还可以提供经政采云平台加密处理的、以介质（U盘）存储的数据电文形式的备份投标文件。备份投标文件应当在投标截止时间前按要求密封（备份投标文件在密封袋的封口处加盖投标人公章、法定代表人代表或授权委托代理人印章或签字。封皮上写明项目编号、标项、招标项目名称、投标人名称，并注明“投标文件名称”、“开标时启封”字样）并建议顺丰邮寄到台州市椒江区中环世纪6幢8楼（浙江汇永工程咨询有限公司）收件人：陈奕圩；联系电话：18257695510，逾期寄达或未按要求密封将被拒收。</w:t>
            </w:r>
            <w:r>
              <w:rPr>
                <w:rFonts w:hint="eastAsia" w:ascii="宋体" w:hAnsi="宋体" w:eastAsia="宋体" w:cs="宋体"/>
                <w:color w:val="auto"/>
                <w:szCs w:val="21"/>
                <w:highlight w:val="none"/>
              </w:rPr>
              <w:t>▲</w:t>
            </w:r>
            <w:r>
              <w:rPr>
                <w:rFonts w:hint="eastAsia" w:ascii="宋体" w:hAnsi="宋体" w:eastAsia="宋体" w:cs="宋体"/>
                <w:color w:val="auto"/>
                <w:kern w:val="2"/>
                <w:highlight w:val="none"/>
              </w:rPr>
              <w:t>如投标人未在投标截止时间前完成电子投标文件的传输递交，其备份投标文件也将为无效投标文件。</w:t>
            </w:r>
          </w:p>
          <w:p>
            <w:pPr>
              <w:spacing w:line="240" w:lineRule="auto"/>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截止时间：</w:t>
            </w:r>
            <w:r>
              <w:rPr>
                <w:rFonts w:hint="eastAsia" w:ascii="宋体" w:hAnsi="宋体" w:eastAsia="宋体" w:cs="宋体"/>
                <w:b/>
                <w:bCs/>
                <w:color w:val="auto"/>
                <w:szCs w:val="21"/>
                <w:highlight w:val="none"/>
                <w:u w:val="single"/>
              </w:rPr>
              <w:t xml:space="preserve"> </w:t>
            </w:r>
            <w:r>
              <w:rPr>
                <w:rFonts w:hint="eastAsia" w:ascii="宋体" w:hAnsi="宋体" w:cs="宋体"/>
                <w:b/>
                <w:bCs/>
                <w:color w:val="auto"/>
                <w:szCs w:val="21"/>
                <w:highlight w:val="none"/>
                <w:u w:val="single"/>
                <w:lang w:eastAsia="zh-CN"/>
              </w:rPr>
              <w:t>2024年6月6日上午9:00</w:t>
            </w:r>
            <w:r>
              <w:rPr>
                <w:rFonts w:hint="eastAsia" w:ascii="宋体" w:hAnsi="宋体" w:eastAsia="宋体" w:cs="宋体"/>
                <w:b/>
                <w:bCs/>
                <w:color w:val="auto"/>
                <w:szCs w:val="21"/>
                <w:highlight w:val="none"/>
                <w:u w:val="single"/>
                <w:lang w:eastAsia="zh-CN"/>
              </w:rPr>
              <w:t>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717" w:type="dxa"/>
            <w:vAlign w:val="center"/>
          </w:tcPr>
          <w:p>
            <w:pPr>
              <w:spacing w:line="240" w:lineRule="auto"/>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8</w:t>
            </w:r>
          </w:p>
        </w:tc>
        <w:tc>
          <w:tcPr>
            <w:tcW w:w="2120" w:type="dxa"/>
            <w:vAlign w:val="center"/>
          </w:tcPr>
          <w:p>
            <w:pPr>
              <w:keepNext w:val="0"/>
              <w:keepLines w:val="0"/>
              <w:pageBreakBefore w:val="0"/>
              <w:kinsoku/>
              <w:wordWrap/>
              <w:overflowPunct/>
              <w:topLinePunct w:val="0"/>
              <w:bidi w:val="0"/>
              <w:spacing w:line="240" w:lineRule="auto"/>
              <w:jc w:val="center"/>
              <w:rPr>
                <w:rFonts w:hint="eastAsia" w:ascii="宋体" w:hAnsi="宋体" w:eastAsia="宋体" w:cs="宋体"/>
                <w:color w:val="auto"/>
                <w:szCs w:val="21"/>
                <w:highlight w:val="none"/>
              </w:rPr>
            </w:pPr>
            <w:r>
              <w:rPr>
                <w:rFonts w:hint="eastAsia" w:ascii="宋体" w:hAnsi="宋体" w:eastAsia="宋体" w:cs="宋体"/>
                <w:color w:val="auto"/>
                <w:sz w:val="21"/>
                <w:szCs w:val="21"/>
                <w:highlight w:val="none"/>
              </w:rPr>
              <w:t>备份投标文件</w:t>
            </w:r>
            <w:r>
              <w:rPr>
                <w:rFonts w:hint="eastAsia" w:ascii="宋体" w:hAnsi="宋体" w:eastAsia="宋体" w:cs="宋体"/>
                <w:color w:val="auto"/>
                <w:sz w:val="21"/>
                <w:szCs w:val="21"/>
                <w:highlight w:val="none"/>
                <w:lang w:eastAsia="zh-CN"/>
              </w:rPr>
              <w:t>份数</w:t>
            </w:r>
            <w:r>
              <w:rPr>
                <w:rFonts w:hint="eastAsia" w:ascii="宋体" w:hAnsi="宋体" w:eastAsia="宋体" w:cs="宋体"/>
                <w:color w:val="auto"/>
                <w:sz w:val="21"/>
                <w:szCs w:val="21"/>
                <w:highlight w:val="none"/>
                <w:lang w:val="en-US" w:eastAsia="zh-CN"/>
              </w:rPr>
              <w:t>及密封要求</w:t>
            </w:r>
          </w:p>
        </w:tc>
        <w:tc>
          <w:tcPr>
            <w:tcW w:w="6682" w:type="dxa"/>
            <w:vAlign w:val="center"/>
          </w:tcPr>
          <w:p>
            <w:pPr>
              <w:pStyle w:val="18"/>
              <w:keepNext w:val="0"/>
              <w:keepLines w:val="0"/>
              <w:pageBreakBefore w:val="0"/>
              <w:numPr>
                <w:ilvl w:val="0"/>
                <w:numId w:val="0"/>
              </w:numPr>
              <w:kinsoku/>
              <w:wordWrap/>
              <w:overflowPunct/>
              <w:topLinePunct w:val="0"/>
              <w:bidi w:val="0"/>
              <w:spacing w:before="0" w:beforeAutospacing="0" w:after="0" w:afterAutospacing="0" w:line="240" w:lineRule="auto"/>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一份，以U盘形式提供。</w:t>
            </w:r>
          </w:p>
          <w:p>
            <w:pPr>
              <w:keepNext w:val="0"/>
              <w:keepLines w:val="0"/>
              <w:pageBreakBefore w:val="0"/>
              <w:kinsoku/>
              <w:wordWrap/>
              <w:overflowPunct/>
              <w:topLinePunct w:val="0"/>
              <w:bidi w:val="0"/>
              <w:spacing w:line="240" w:lineRule="auto"/>
              <w:rPr>
                <w:rFonts w:hint="eastAsia" w:ascii="宋体" w:hAnsi="宋体" w:cs="宋体"/>
                <w:bCs/>
                <w:color w:val="auto"/>
                <w:sz w:val="21"/>
                <w:szCs w:val="21"/>
                <w:highlight w:val="none"/>
                <w:lang w:eastAsia="zh-CN"/>
              </w:rPr>
            </w:pPr>
            <w:r>
              <w:rPr>
                <w:rFonts w:hint="eastAsia" w:ascii="宋体" w:hAnsi="宋体" w:eastAsia="宋体" w:cs="宋体"/>
                <w:bCs/>
                <w:color w:val="auto"/>
                <w:sz w:val="21"/>
                <w:szCs w:val="21"/>
                <w:highlight w:val="none"/>
              </w:rPr>
              <w:t>备份投标文件在密封袋的封口处加盖投标人公章、法定代表人代表或授权委托代理人印章或签字。封皮上写明项目编号、标项、招标项目名称、投标人名称，并注明“投标文件名称”、“开标时启封”字样</w:t>
            </w:r>
            <w:r>
              <w:rPr>
                <w:rFonts w:hint="eastAsia" w:ascii="宋体" w:hAnsi="宋体" w:cs="宋体"/>
                <w:bCs/>
                <w:color w:val="auto"/>
                <w:sz w:val="21"/>
                <w:szCs w:val="21"/>
                <w:highlight w:val="none"/>
                <w:lang w:eastAsia="zh-CN"/>
              </w:rPr>
              <w:t>。</w:t>
            </w:r>
          </w:p>
          <w:p>
            <w:pPr>
              <w:keepNext w:val="0"/>
              <w:keepLines w:val="0"/>
              <w:pageBreakBefore w:val="0"/>
              <w:kinsoku/>
              <w:wordWrap/>
              <w:overflowPunct/>
              <w:topLinePunct w:val="0"/>
              <w:bidi w:val="0"/>
              <w:spacing w:line="240" w:lineRule="auto"/>
              <w:rPr>
                <w:rFonts w:hint="eastAsia" w:ascii="宋体" w:hAnsi="宋体" w:eastAsia="宋体" w:cs="宋体"/>
                <w:bCs/>
                <w:color w:val="auto"/>
                <w:sz w:val="21"/>
                <w:szCs w:val="21"/>
                <w:highlight w:val="none"/>
              </w:rPr>
            </w:pPr>
            <w:r>
              <w:rPr>
                <w:rFonts w:hint="eastAsia" w:ascii="宋体" w:hAnsi="宋体" w:eastAsia="宋体" w:cs="宋体"/>
                <w:color w:val="auto"/>
                <w:szCs w:val="21"/>
                <w:highlight w:val="none"/>
              </w:rPr>
              <w:t>▲</w:t>
            </w:r>
            <w:r>
              <w:rPr>
                <w:rFonts w:hint="eastAsia" w:ascii="宋体" w:hAnsi="宋体" w:eastAsia="宋体" w:cs="宋体"/>
                <w:bCs/>
                <w:color w:val="auto"/>
                <w:sz w:val="21"/>
                <w:szCs w:val="21"/>
                <w:highlight w:val="none"/>
              </w:rPr>
              <w:t>未按上述要求密封及加写标记</w:t>
            </w:r>
            <w:r>
              <w:rPr>
                <w:rFonts w:hint="eastAsia" w:ascii="宋体" w:hAnsi="宋体" w:eastAsia="宋体" w:cs="宋体"/>
                <w:color w:val="auto"/>
                <w:kern w:val="2"/>
                <w:sz w:val="21"/>
                <w:szCs w:val="21"/>
                <w:highlight w:val="none"/>
                <w:lang w:val="en-US" w:eastAsia="zh-CN" w:bidi="ar-SA"/>
              </w:rPr>
              <w:t>将被拒收</w:t>
            </w:r>
            <w:r>
              <w:rPr>
                <w:rFonts w:hint="eastAsia" w:ascii="宋体" w:hAnsi="宋体" w:eastAsia="宋体" w:cs="宋体"/>
                <w:bCs/>
                <w:color w:val="auto"/>
                <w:sz w:val="21"/>
                <w:szCs w:val="21"/>
                <w:highlight w:val="none"/>
              </w:rPr>
              <w:t>，采购代理机构对投标文件的误投和提前启封不负责任。</w:t>
            </w:r>
          </w:p>
          <w:p>
            <w:pPr>
              <w:keepNext w:val="0"/>
              <w:keepLines w:val="0"/>
              <w:pageBreakBefore w:val="0"/>
              <w:kinsoku/>
              <w:wordWrap/>
              <w:overflowPunct/>
              <w:topLinePunct w:val="0"/>
              <w:bidi w:val="0"/>
              <w:spacing w:line="240" w:lineRule="auto"/>
              <w:rPr>
                <w:rFonts w:hint="eastAsia" w:ascii="宋体" w:hAnsi="宋体" w:eastAsia="宋体" w:cs="宋体"/>
                <w:b/>
                <w:bCs/>
                <w:color w:val="auto"/>
                <w:szCs w:val="21"/>
                <w:highlight w:val="none"/>
              </w:rPr>
            </w:pPr>
            <w:r>
              <w:rPr>
                <w:rFonts w:hint="eastAsia" w:ascii="宋体" w:hAnsi="宋体" w:eastAsia="宋体" w:cs="宋体"/>
                <w:color w:val="auto"/>
                <w:sz w:val="21"/>
                <w:szCs w:val="21"/>
                <w:highlight w:val="none"/>
              </w:rPr>
              <w:t>如电子投标文件解密成功，则备份投标文件不再拆封。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717" w:type="dxa"/>
            <w:vAlign w:val="center"/>
          </w:tcPr>
          <w:p>
            <w:pPr>
              <w:spacing w:line="240" w:lineRule="auto"/>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9</w:t>
            </w:r>
          </w:p>
        </w:tc>
        <w:tc>
          <w:tcPr>
            <w:tcW w:w="2120" w:type="dxa"/>
            <w:vAlign w:val="center"/>
          </w:tcPr>
          <w:p>
            <w:pPr>
              <w:spacing w:line="24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电子投标文件解密时间及地点</w:t>
            </w:r>
          </w:p>
        </w:tc>
        <w:tc>
          <w:tcPr>
            <w:tcW w:w="6682" w:type="dxa"/>
            <w:vAlign w:val="center"/>
          </w:tcPr>
          <w:p>
            <w:pPr>
              <w:spacing w:line="24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时间：</w:t>
            </w:r>
            <w:r>
              <w:rPr>
                <w:rFonts w:hint="eastAsia" w:ascii="宋体" w:hAnsi="宋体" w:cs="宋体"/>
                <w:color w:val="auto"/>
                <w:sz w:val="21"/>
                <w:szCs w:val="21"/>
                <w:highlight w:val="none"/>
                <w:lang w:eastAsia="zh-CN"/>
              </w:rPr>
              <w:t>2024年6月6日上午9:00</w:t>
            </w:r>
            <w:r>
              <w:rPr>
                <w:rFonts w:hint="eastAsia" w:ascii="宋体" w:hAnsi="宋体" w:eastAsia="宋体" w:cs="宋体"/>
                <w:color w:val="auto"/>
                <w:sz w:val="21"/>
                <w:szCs w:val="21"/>
                <w:highlight w:val="none"/>
                <w:lang w:eastAsia="zh-CN"/>
              </w:rPr>
              <w:t>-</w:t>
            </w:r>
            <w:r>
              <w:rPr>
                <w:rFonts w:hint="eastAsia" w:ascii="宋体" w:hAnsi="宋体" w:cs="宋体"/>
                <w:color w:val="auto"/>
                <w:sz w:val="21"/>
                <w:szCs w:val="21"/>
                <w:highlight w:val="none"/>
                <w:lang w:val="en-US" w:eastAsia="zh-CN"/>
              </w:rPr>
              <w:t>9</w:t>
            </w:r>
            <w:r>
              <w:rPr>
                <w:rFonts w:hint="eastAsia" w:ascii="宋体" w:hAnsi="宋体" w:eastAsia="宋体" w:cs="宋体"/>
                <w:color w:val="auto"/>
                <w:sz w:val="21"/>
                <w:szCs w:val="21"/>
                <w:highlight w:val="none"/>
                <w:lang w:val="en-US" w:eastAsia="zh-CN"/>
              </w:rPr>
              <w:t>:</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0</w:t>
            </w:r>
            <w:r>
              <w:rPr>
                <w:rFonts w:hint="eastAsia" w:ascii="宋体" w:hAnsi="宋体" w:eastAsia="宋体" w:cs="宋体"/>
                <w:color w:val="auto"/>
                <w:sz w:val="21"/>
                <w:szCs w:val="21"/>
                <w:highlight w:val="none"/>
              </w:rPr>
              <w:t>（北京时间）</w:t>
            </w:r>
          </w:p>
          <w:p>
            <w:pPr>
              <w:pStyle w:val="52"/>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rPr>
              <w:t>地点：</w:t>
            </w:r>
            <w:r>
              <w:rPr>
                <w:rFonts w:hint="eastAsia" w:ascii="宋体" w:hAnsi="宋体" w:eastAsia="宋体" w:cs="宋体"/>
                <w:color w:val="auto"/>
                <w:kern w:val="2"/>
                <w:sz w:val="21"/>
                <w:szCs w:val="21"/>
                <w:highlight w:val="none"/>
                <w:lang w:val="en-US" w:eastAsia="zh-CN" w:bidi="ar-SA"/>
              </w:rPr>
              <w:t>政采云平台（http://zfcg.czt.zj.gov.cn）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717" w:type="dxa"/>
            <w:vAlign w:val="center"/>
          </w:tcPr>
          <w:p>
            <w:pPr>
              <w:spacing w:line="240" w:lineRule="auto"/>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10</w:t>
            </w:r>
          </w:p>
        </w:tc>
        <w:tc>
          <w:tcPr>
            <w:tcW w:w="2120" w:type="dxa"/>
            <w:vAlign w:val="center"/>
          </w:tcPr>
          <w:p>
            <w:pPr>
              <w:spacing w:line="240" w:lineRule="auto"/>
              <w:jc w:val="center"/>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实质性条款</w:t>
            </w:r>
          </w:p>
        </w:tc>
        <w:tc>
          <w:tcPr>
            <w:tcW w:w="6682" w:type="dxa"/>
            <w:vAlign w:val="center"/>
          </w:tcPr>
          <w:p>
            <w:pPr>
              <w:spacing w:line="240" w:lineRule="auto"/>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带“</w:t>
            </w:r>
            <w:r>
              <w:rPr>
                <w:rFonts w:hint="eastAsia" w:ascii="宋体" w:hAnsi="宋体" w:eastAsia="宋体" w:cs="宋体"/>
                <w:color w:val="auto"/>
                <w:szCs w:val="21"/>
                <w:highlight w:val="none"/>
              </w:rPr>
              <w:t>▲”的条款是实质性条款，投标文件须作出实质性响应，否则作无效投标处理。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jc w:val="center"/>
        </w:trPr>
        <w:tc>
          <w:tcPr>
            <w:tcW w:w="717" w:type="dxa"/>
            <w:vAlign w:val="center"/>
          </w:tcPr>
          <w:p>
            <w:pPr>
              <w:spacing w:line="240" w:lineRule="auto"/>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11</w:t>
            </w:r>
          </w:p>
        </w:tc>
        <w:tc>
          <w:tcPr>
            <w:tcW w:w="2120" w:type="dxa"/>
            <w:vAlign w:val="center"/>
          </w:tcPr>
          <w:p>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Cs w:val="21"/>
                <w:highlight w:val="none"/>
              </w:rPr>
              <w:t>其他要求</w:t>
            </w:r>
          </w:p>
        </w:tc>
        <w:tc>
          <w:tcPr>
            <w:tcW w:w="6682" w:type="dxa"/>
            <w:vAlign w:val="center"/>
          </w:tcPr>
          <w:p>
            <w:pPr>
              <w:numPr>
                <w:ilvl w:val="0"/>
                <w:numId w:val="4"/>
              </w:numPr>
              <w:spacing w:line="240" w:lineRule="auto"/>
              <w:jc w:val="left"/>
              <w:rPr>
                <w:rFonts w:hint="eastAsia" w:ascii="宋体" w:hAnsi="宋体" w:eastAsia="宋体" w:cs="宋体"/>
                <w:color w:val="auto"/>
                <w:highlight w:val="none"/>
              </w:rPr>
            </w:pPr>
            <w:r>
              <w:rPr>
                <w:rFonts w:hint="eastAsia" w:ascii="宋体" w:hAnsi="宋体" w:eastAsia="宋体" w:cs="宋体"/>
                <w:color w:val="auto"/>
                <w:highlight w:val="none"/>
              </w:rPr>
              <w:t>踏勘现场时间及地点：不组织，各投标单位根据自己需要，自行前往勘察现场和周围环境，所产生的费用由投标单位自理。</w:t>
            </w:r>
          </w:p>
          <w:p>
            <w:pPr>
              <w:numPr>
                <w:ilvl w:val="0"/>
                <w:numId w:val="4"/>
              </w:numPr>
              <w:spacing w:line="240" w:lineRule="auto"/>
              <w:ind w:left="0" w:leftChars="0" w:firstLine="0" w:firstLineChars="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节能产品、环保产品：无要求；</w:t>
            </w:r>
          </w:p>
          <w:p>
            <w:pPr>
              <w:numPr>
                <w:ilvl w:val="0"/>
                <w:numId w:val="4"/>
              </w:numPr>
              <w:spacing w:line="240" w:lineRule="auto"/>
              <w:ind w:left="0" w:leftChars="0" w:firstLine="0" w:firstLineChars="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样品：</w:t>
            </w:r>
            <w:r>
              <w:rPr>
                <w:rFonts w:hint="eastAsia" w:ascii="宋体" w:hAnsi="宋体" w:cs="宋体"/>
                <w:color w:val="auto"/>
                <w:szCs w:val="21"/>
                <w:highlight w:val="none"/>
                <w:lang w:val="en-US" w:eastAsia="zh-CN"/>
              </w:rPr>
              <w:t>有</w:t>
            </w:r>
            <w:r>
              <w:rPr>
                <w:rFonts w:hint="eastAsia" w:ascii="宋体" w:hAnsi="宋体" w:eastAsia="宋体" w:cs="宋体"/>
                <w:color w:val="auto"/>
                <w:szCs w:val="21"/>
                <w:highlight w:val="none"/>
              </w:rPr>
              <w:t>要求；</w:t>
            </w:r>
          </w:p>
          <w:p>
            <w:pPr>
              <w:numPr>
                <w:ilvl w:val="0"/>
                <w:numId w:val="0"/>
              </w:numPr>
              <w:spacing w:line="240" w:lineRule="auto"/>
              <w:ind w:leftChars="0"/>
              <w:jc w:val="left"/>
              <w:rPr>
                <w:rFonts w:hint="eastAsia" w:ascii="宋体" w:hAnsi="宋体" w:eastAsia="宋体" w:cs="宋体"/>
                <w:color w:val="auto"/>
                <w:sz w:val="21"/>
                <w:szCs w:val="21"/>
                <w:highlight w:val="none"/>
              </w:rPr>
            </w:pPr>
            <w:r>
              <w:rPr>
                <w:rFonts w:hint="eastAsia" w:ascii="宋体" w:hAnsi="宋体" w:eastAsia="宋体" w:cs="宋体"/>
                <w:color w:val="auto"/>
                <w:szCs w:val="21"/>
                <w:highlight w:val="none"/>
              </w:rPr>
              <w:t>4、现场演示：</w:t>
            </w:r>
            <w:r>
              <w:rPr>
                <w:rFonts w:hint="eastAsia" w:ascii="宋体" w:hAnsi="宋体" w:cs="宋体"/>
                <w:color w:val="auto"/>
                <w:szCs w:val="21"/>
                <w:highlight w:val="none"/>
                <w:lang w:val="en-US" w:eastAsia="zh-CN"/>
              </w:rPr>
              <w:t>有</w:t>
            </w:r>
            <w:r>
              <w:rPr>
                <w:rFonts w:hint="eastAsia" w:ascii="宋体" w:hAnsi="宋体" w:eastAsia="宋体" w:cs="宋体"/>
                <w:color w:val="auto"/>
                <w:szCs w:val="21"/>
                <w:highlight w:val="none"/>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7" w:hRule="atLeast"/>
          <w:jc w:val="center"/>
        </w:trPr>
        <w:tc>
          <w:tcPr>
            <w:tcW w:w="717" w:type="dxa"/>
            <w:vAlign w:val="center"/>
          </w:tcPr>
          <w:p>
            <w:pPr>
              <w:spacing w:line="240" w:lineRule="auto"/>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12</w:t>
            </w:r>
          </w:p>
        </w:tc>
        <w:tc>
          <w:tcPr>
            <w:tcW w:w="2120" w:type="dxa"/>
            <w:vAlign w:val="center"/>
          </w:tcPr>
          <w:p>
            <w:pPr>
              <w:keepNext w:val="0"/>
              <w:keepLines w:val="0"/>
              <w:pageBreakBefore w:val="0"/>
              <w:kinsoku/>
              <w:wordWrap/>
              <w:overflowPunct/>
              <w:topLinePunct w:val="0"/>
              <w:bidi w:val="0"/>
              <w:spacing w:line="240" w:lineRule="auto"/>
              <w:jc w:val="center"/>
              <w:rPr>
                <w:rFonts w:hint="eastAsia" w:ascii="宋体" w:hAnsi="宋体" w:eastAsia="宋体" w:cs="宋体"/>
                <w:color w:val="auto"/>
                <w:kern w:val="2"/>
                <w:sz w:val="21"/>
                <w:szCs w:val="21"/>
                <w:highlight w:val="none"/>
                <w:lang w:val="zh-CN" w:eastAsia="zh-CN" w:bidi="ar-SA"/>
              </w:rPr>
            </w:pPr>
            <w:r>
              <w:rPr>
                <w:rFonts w:hint="eastAsia" w:ascii="宋体" w:hAnsi="宋体" w:eastAsia="宋体" w:cs="宋体"/>
                <w:color w:val="auto"/>
                <w:sz w:val="21"/>
                <w:szCs w:val="21"/>
                <w:highlight w:val="none"/>
              </w:rPr>
              <w:t>中小企业扶持政策</w:t>
            </w:r>
          </w:p>
        </w:tc>
        <w:tc>
          <w:tcPr>
            <w:tcW w:w="6682" w:type="dxa"/>
            <w:vAlign w:val="center"/>
          </w:tcPr>
          <w:p>
            <w:pPr>
              <w:pStyle w:val="52"/>
              <w:spacing w:line="240" w:lineRule="auto"/>
              <w:rPr>
                <w:rFonts w:hint="eastAsia" w:ascii="宋体" w:hAnsi="宋体" w:eastAsia="宋体" w:cs="宋体"/>
                <w:color w:val="auto"/>
                <w:sz w:val="21"/>
                <w:szCs w:val="21"/>
                <w:highlight w:val="none"/>
                <w:lang w:val="zh-CN" w:eastAsia="zh-CN" w:bidi="ar-SA"/>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依据《政府采购促进中小企业发展管理办法》（财库【2020】46号）第十二条规定，享受扶持政策获得政府采购合同的，小微企业不得将合同分包给大中型企业，中型企业不得将合同分包给大型企业，否则按违约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717" w:type="dxa"/>
            <w:vAlign w:val="center"/>
          </w:tcPr>
          <w:p>
            <w:pPr>
              <w:spacing w:line="240" w:lineRule="auto"/>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13</w:t>
            </w:r>
          </w:p>
        </w:tc>
        <w:tc>
          <w:tcPr>
            <w:tcW w:w="2120" w:type="dxa"/>
            <w:vAlign w:val="center"/>
          </w:tcPr>
          <w:p>
            <w:pPr>
              <w:spacing w:line="24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解释权</w:t>
            </w:r>
          </w:p>
        </w:tc>
        <w:tc>
          <w:tcPr>
            <w:tcW w:w="6682" w:type="dxa"/>
            <w:vAlign w:val="center"/>
          </w:tcPr>
          <w:p>
            <w:pPr>
              <w:spacing w:line="240" w:lineRule="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本招标文件的解释权属于</w:t>
            </w:r>
            <w:r>
              <w:rPr>
                <w:rFonts w:hint="eastAsia" w:ascii="宋体" w:hAnsi="宋体" w:eastAsia="宋体" w:cs="宋体"/>
                <w:b/>
                <w:color w:val="auto"/>
                <w:szCs w:val="21"/>
                <w:highlight w:val="none"/>
                <w:lang w:eastAsia="zh-CN"/>
              </w:rPr>
              <w:t>浙江汇永工程咨询有限公司</w:t>
            </w:r>
            <w:r>
              <w:rPr>
                <w:rFonts w:hint="eastAsia" w:ascii="宋体" w:hAnsi="宋体" w:eastAsia="宋体" w:cs="宋体"/>
                <w:b/>
                <w:color w:val="auto"/>
                <w:szCs w:val="21"/>
                <w:highlight w:val="none"/>
                <w:lang w:val="en-US" w:eastAsia="zh-CN"/>
              </w:rPr>
              <w:t>和采购人</w:t>
            </w:r>
          </w:p>
        </w:tc>
      </w:tr>
    </w:tbl>
    <w:p>
      <w:pPr>
        <w:keepNext w:val="0"/>
        <w:keepLines w:val="0"/>
        <w:pageBreakBefore w:val="0"/>
        <w:kinsoku/>
        <w:wordWrap/>
        <w:overflowPunct/>
        <w:topLinePunct w:val="0"/>
        <w:bidi w:val="0"/>
        <w:spacing w:line="360" w:lineRule="auto"/>
        <w:textAlignment w:val="auto"/>
        <w:outlineLvl w:val="9"/>
        <w:rPr>
          <w:rFonts w:hint="eastAsia" w:ascii="宋体" w:hAnsi="宋体" w:eastAsia="宋体" w:cs="宋体"/>
          <w:b/>
          <w:bCs/>
          <w:color w:val="auto"/>
          <w:szCs w:val="21"/>
          <w:highlight w:val="none"/>
        </w:rPr>
      </w:pPr>
    </w:p>
    <w:p>
      <w:pPr>
        <w:keepNext w:val="0"/>
        <w:keepLines w:val="0"/>
        <w:pageBreakBefore w:val="0"/>
        <w:kinsoku/>
        <w:wordWrap/>
        <w:overflowPunct/>
        <w:topLinePunct w:val="0"/>
        <w:bidi w:val="0"/>
        <w:spacing w:line="360" w:lineRule="auto"/>
        <w:textAlignment w:val="auto"/>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一、总则</w:t>
      </w:r>
    </w:p>
    <w:p>
      <w:pPr>
        <w:keepNext w:val="0"/>
        <w:keepLines w:val="0"/>
        <w:pageBreakBefore w:val="0"/>
        <w:kinsoku/>
        <w:wordWrap/>
        <w:overflowPunct/>
        <w:topLinePunct w:val="0"/>
        <w:bidi w:val="0"/>
        <w:spacing w:line="360" w:lineRule="auto"/>
        <w:ind w:firstLine="422" w:firstLineChars="200"/>
        <w:textAlignment w:val="auto"/>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（一） 适用范围</w:t>
      </w:r>
    </w:p>
    <w:p>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本招标文件适用于本次项目的招标、投标、评标、定标、验收、合同履约、付款等行为（法律、法规另有规定的，从其规定）。</w:t>
      </w:r>
    </w:p>
    <w:p>
      <w:pPr>
        <w:keepNext w:val="0"/>
        <w:keepLines w:val="0"/>
        <w:pageBreakBefore w:val="0"/>
        <w:kinsoku/>
        <w:wordWrap/>
        <w:overflowPunct/>
        <w:topLinePunct w:val="0"/>
        <w:bidi w:val="0"/>
        <w:spacing w:line="360" w:lineRule="auto"/>
        <w:ind w:firstLine="422" w:firstLineChars="200"/>
        <w:textAlignment w:val="auto"/>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（二）定义</w:t>
      </w:r>
    </w:p>
    <w:p>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zh-CN"/>
        </w:rPr>
        <w:t>“采购组织机构”指采购人委托组织招标的采购代理机构。</w:t>
      </w:r>
    </w:p>
    <w:p>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2、采购人：是指委托</w:t>
      </w:r>
      <w:r>
        <w:rPr>
          <w:rFonts w:hint="eastAsia" w:ascii="宋体" w:hAnsi="宋体" w:eastAsia="宋体" w:cs="宋体"/>
          <w:color w:val="auto"/>
          <w:szCs w:val="21"/>
          <w:highlight w:val="none"/>
          <w:lang w:val="zh-CN"/>
        </w:rPr>
        <w:t>采购代理机构</w:t>
      </w:r>
      <w:r>
        <w:rPr>
          <w:rFonts w:hint="eastAsia" w:ascii="宋体" w:hAnsi="宋体" w:eastAsia="宋体" w:cs="宋体"/>
          <w:color w:val="auto"/>
          <w:szCs w:val="21"/>
          <w:highlight w:val="none"/>
        </w:rPr>
        <w:t>采购本次项目的国家机关、事业单位和团体组织。</w:t>
      </w:r>
    </w:p>
    <w:p>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3、投标人：是指向采购</w:t>
      </w:r>
      <w:r>
        <w:rPr>
          <w:rFonts w:hint="eastAsia" w:ascii="宋体" w:hAnsi="宋体" w:eastAsia="宋体" w:cs="宋体"/>
          <w:color w:val="auto"/>
          <w:szCs w:val="21"/>
          <w:highlight w:val="none"/>
          <w:lang w:val="zh-CN"/>
        </w:rPr>
        <w:t>组织</w:t>
      </w:r>
      <w:r>
        <w:rPr>
          <w:rFonts w:hint="eastAsia" w:ascii="宋体" w:hAnsi="宋体" w:eastAsia="宋体" w:cs="宋体"/>
          <w:color w:val="auto"/>
          <w:szCs w:val="21"/>
          <w:highlight w:val="none"/>
        </w:rPr>
        <w:t>机构提交投标文件的单位或个人。</w:t>
      </w:r>
    </w:p>
    <w:p>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4、货物：是指各种形态和种类的物品，包括原材料、燃料、设备、产品等。</w:t>
      </w:r>
    </w:p>
    <w:p>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5、服务：是指除货物和工程以外的政府采购对象，包括各类专业服务、信息网络开发服务、金融保险服务、运输服务，以及维修与维护服务等。</w:t>
      </w:r>
    </w:p>
    <w:p>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6、“书面形式”包括信函、传真等。</w:t>
      </w:r>
    </w:p>
    <w:p>
      <w:pPr>
        <w:keepNext w:val="0"/>
        <w:keepLines w:val="0"/>
        <w:pageBreakBefore w:val="0"/>
        <w:kinsoku/>
        <w:wordWrap/>
        <w:overflowPunct/>
        <w:topLinePunct w:val="0"/>
        <w:bidi w:val="0"/>
        <w:spacing w:line="360" w:lineRule="auto"/>
        <w:ind w:firstLine="420" w:firstLineChars="200"/>
        <w:jc w:val="left"/>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7、“▲”系指实质性要求条款。</w:t>
      </w:r>
    </w:p>
    <w:p>
      <w:pPr>
        <w:keepNext w:val="0"/>
        <w:keepLines w:val="0"/>
        <w:pageBreakBefore w:val="0"/>
        <w:kinsoku/>
        <w:wordWrap/>
        <w:overflowPunct/>
        <w:topLinePunct w:val="0"/>
        <w:bidi w:val="0"/>
        <w:spacing w:line="360" w:lineRule="auto"/>
        <w:ind w:firstLine="422" w:firstLineChars="200"/>
        <w:jc w:val="left"/>
        <w:textAlignment w:val="auto"/>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（三）投标费用</w:t>
      </w:r>
    </w:p>
    <w:p>
      <w:pPr>
        <w:keepNext w:val="0"/>
        <w:keepLines w:val="0"/>
        <w:pageBreakBefore w:val="0"/>
        <w:kinsoku/>
        <w:wordWrap/>
        <w:overflowPunct/>
        <w:topLinePunct w:val="0"/>
        <w:bidi w:val="0"/>
        <w:spacing w:line="360" w:lineRule="auto"/>
        <w:ind w:firstLine="420" w:firstLineChars="200"/>
        <w:jc w:val="left"/>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不论投标结果如何，投标人均应自行承担所有与投标有关的全部费用（招标文件有相关规定除外）。</w:t>
      </w:r>
    </w:p>
    <w:p>
      <w:pPr>
        <w:keepNext w:val="0"/>
        <w:keepLines w:val="0"/>
        <w:pageBreakBefore w:val="0"/>
        <w:kinsoku/>
        <w:wordWrap/>
        <w:overflowPunct/>
        <w:topLinePunct w:val="0"/>
        <w:bidi w:val="0"/>
        <w:spacing w:line="360" w:lineRule="auto"/>
        <w:ind w:firstLine="422" w:firstLineChars="200"/>
        <w:jc w:val="left"/>
        <w:textAlignment w:val="auto"/>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（四）特别说明</w:t>
      </w:r>
    </w:p>
    <w:p>
      <w:pPr>
        <w:keepNext w:val="0"/>
        <w:keepLines w:val="0"/>
        <w:pageBreakBefore w:val="0"/>
        <w:kinsoku/>
        <w:wordWrap/>
        <w:overflowPunct/>
        <w:topLinePunct w:val="0"/>
        <w:bidi w:val="0"/>
        <w:spacing w:line="360" w:lineRule="auto"/>
        <w:ind w:firstLine="420" w:firstLineChars="200"/>
        <w:jc w:val="left"/>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1、投标人投标所使用的资格、信誉、荣誉、业绩与企业认证必须为本法人所拥有。投标人投标所使用的采购项目实施人员必须为本法人员工。▲其中涉及资格条件的如非本法人所拥有，则投标无效。</w:t>
      </w:r>
    </w:p>
    <w:p>
      <w:pPr>
        <w:keepNext w:val="0"/>
        <w:keepLines w:val="0"/>
        <w:pageBreakBefore w:val="0"/>
        <w:kinsoku/>
        <w:wordWrap/>
        <w:overflowPunct/>
        <w:topLinePunct w:val="0"/>
        <w:bidi w:val="0"/>
        <w:spacing w:line="360" w:lineRule="auto"/>
        <w:ind w:firstLine="420" w:firstLineChars="200"/>
        <w:jc w:val="left"/>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投标供应商所投产品除招标文件中明确规定要求“提供官网截图或相应检测报告的证明材料”以外，所有技术参数描述均以投标文件为准。投标供应商对所投产品技术参数的真实性承担法律责任。项目招标结束后、质疑期限内，如有质疑供应商认为中标供应商所投产品、投标文件技术参数与招标需求存在重大偏离、错误、甚至造假的情况，应提供具体有效的证明材料。</w:t>
      </w:r>
      <w:r>
        <w:rPr>
          <w:rFonts w:hint="eastAsia" w:ascii="宋体" w:hAnsi="宋体" w:eastAsia="宋体" w:cs="宋体"/>
          <w:color w:val="auto"/>
          <w:szCs w:val="21"/>
          <w:highlight w:val="none"/>
        </w:rPr>
        <w:tab/>
      </w:r>
    </w:p>
    <w:p>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3、投标人在投标活动中提供任何虚假材料,其投标无效，并报监管部门查处；中标后发现的,根据《中华人民共和国政府采购法》第七十七条第一款第一项之规定，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▲4、投标人不得相互串通投标报价，不得妨碍其他投标人的公平竞争，不得损害采购人或其他投标人的合法权益，投标人不得以向采购人、评标委员会成员行贿或者采取其他不正当手段谋取中标。</w:t>
      </w:r>
    </w:p>
    <w:p>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▲5、为采购项目提供整体设计、规范编制或者项目管理、监理、检测等服务的供应商，不得再参加该采购项目的其他采购活动。</w:t>
      </w:r>
    </w:p>
    <w:p>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6、投标文件格式中的表格式样可以根据项目差别做适当调整,但应当保持表格样式基本形态不变。</w:t>
      </w:r>
    </w:p>
    <w:p>
      <w:pPr>
        <w:tabs>
          <w:tab w:val="left" w:pos="851"/>
        </w:tabs>
        <w:autoSpaceDE w:val="0"/>
        <w:autoSpaceDN w:val="0"/>
        <w:adjustRightInd w:val="0"/>
        <w:snapToGrid w:val="0"/>
        <w:spacing w:line="360" w:lineRule="auto"/>
        <w:ind w:firstLine="480"/>
        <w:rPr>
          <w:rFonts w:hint="eastAsia" w:ascii="宋体" w:hAnsi="宋体" w:eastAsia="宋体" w:cs="宋体"/>
          <w:color w:val="auto"/>
          <w:szCs w:val="21"/>
          <w:highlight w:val="none"/>
        </w:rPr>
      </w:pPr>
      <w:r>
        <w:rPr>
          <w:rFonts w:hint="eastAsia" w:ascii="宋体" w:hAnsi="宋体" w:eastAsia="宋体" w:cs="宋体"/>
          <w:color w:val="auto"/>
          <w:szCs w:val="21"/>
          <w:highlight w:val="none"/>
        </w:rPr>
        <w:t>▲7、单位负责人为同一人或者存在直接控股、管理关系的不同供应商，不得参加同一合同项下的政府采购活动。电子交易平台运营机构，以及与该机构有直接控股或者管理关系可能影响采购公正性的任何单位和个人，不得在该平台进行的政府采购项目电子交易中投标、响应和代理政府采购项目。</w:t>
      </w:r>
    </w:p>
    <w:p>
      <w:pPr>
        <w:tabs>
          <w:tab w:val="left" w:pos="851"/>
        </w:tabs>
        <w:autoSpaceDE w:val="0"/>
        <w:autoSpaceDN w:val="0"/>
        <w:adjustRightInd w:val="0"/>
        <w:snapToGrid w:val="0"/>
        <w:spacing w:line="360" w:lineRule="auto"/>
        <w:ind w:firstLine="480"/>
        <w:rPr>
          <w:rFonts w:hint="eastAsia" w:ascii="宋体" w:hAnsi="宋体" w:eastAsia="宋体" w:cs="宋体"/>
          <w:color w:val="auto"/>
          <w:szCs w:val="21"/>
          <w:highlight w:val="none"/>
        </w:rPr>
      </w:pPr>
      <w:r>
        <w:rPr>
          <w:rFonts w:hint="eastAsia" w:ascii="宋体" w:hAnsi="宋体" w:eastAsia="宋体" w:cs="宋体"/>
          <w:color w:val="auto"/>
          <w:szCs w:val="21"/>
          <w:highlight w:val="none"/>
        </w:rPr>
        <w:t>▲8、投标人在参与政府采购活动中所签署的一切文件，包括但不限于签到表、《政府采购活动现场确认声明书》等文件，特别是有关利害关系应如实填写、如实披露，投标人授权参与政府采购的人员视为应当知道与招标人、其他投标人之间的利害关系。如未如实披露，则视为提供虚假材料，由投标人承担不利后果。</w:t>
      </w:r>
    </w:p>
    <w:p>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▲9、本项目不允许</w:t>
      </w:r>
      <w:r>
        <w:rPr>
          <w:rFonts w:hint="eastAsia" w:ascii="宋体" w:hAnsi="宋体" w:eastAsia="宋体" w:cs="宋体"/>
          <w:color w:val="auto"/>
          <w:szCs w:val="21"/>
          <w:highlight w:val="none"/>
          <w:lang w:val="en-US" w:eastAsia="zh-CN"/>
        </w:rPr>
        <w:t>转包、</w:t>
      </w:r>
      <w:r>
        <w:rPr>
          <w:rFonts w:hint="eastAsia" w:ascii="宋体" w:hAnsi="宋体" w:eastAsia="宋体" w:cs="宋体"/>
          <w:color w:val="auto"/>
          <w:szCs w:val="21"/>
          <w:highlight w:val="none"/>
        </w:rPr>
        <w:t>分包。</w:t>
      </w:r>
    </w:p>
    <w:p>
      <w:pPr>
        <w:keepNext w:val="0"/>
        <w:keepLines w:val="0"/>
        <w:pageBreakBefore w:val="0"/>
        <w:kinsoku/>
        <w:wordWrap/>
        <w:overflowPunct/>
        <w:topLinePunct w:val="0"/>
        <w:bidi w:val="0"/>
        <w:spacing w:line="360" w:lineRule="auto"/>
        <w:textAlignment w:val="auto"/>
        <w:outlineLvl w:val="9"/>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二、招标文件</w:t>
      </w:r>
    </w:p>
    <w:p>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（一）招标文件由招标文件总目录所列内容组成。</w:t>
      </w:r>
    </w:p>
    <w:p>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（二）招标文件的澄清或修改</w:t>
      </w:r>
    </w:p>
    <w:p>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1、采购代理机构可视采购具体情况对已发出的招标文件进行必要的澄清或者修改。澄清或者修改的内容可能影响投标文件编制的，采购人或者采购代理机构应当在投标截止时间至少15日前，在原公告发布媒体上发布澄清公告，澄清或者修改的内容为招标文件的组成部分；不足15日的，采购人或者采购代理机构应当顺延提交投标文件的截止时间。 </w:t>
      </w:r>
    </w:p>
    <w:p>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2、投标人在规定的时间内未对招标文件提出疑问、质疑或要求澄清的，将视其为无异议。对招标文件中描述有歧义或前后不一致的地方，评标委员会有权进行评判，但对同一条款的评判应适用于每个投标人。</w:t>
      </w:r>
    </w:p>
    <w:p>
      <w:pPr>
        <w:keepNext w:val="0"/>
        <w:keepLines w:val="0"/>
        <w:pageBreakBefore w:val="0"/>
        <w:kinsoku/>
        <w:wordWrap/>
        <w:overflowPunct/>
        <w:topLinePunct w:val="0"/>
        <w:bidi w:val="0"/>
        <w:spacing w:line="360" w:lineRule="auto"/>
        <w:textAlignment w:val="auto"/>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三、投标文件</w:t>
      </w:r>
    </w:p>
    <w:p>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本项目实行电子投标，供应商应准备电子投标文件、</w:t>
      </w:r>
      <w:r>
        <w:rPr>
          <w:rFonts w:hint="eastAsia" w:ascii="宋体" w:hAnsi="宋体" w:eastAsia="宋体" w:cs="宋体"/>
          <w:bCs/>
          <w:color w:val="auto"/>
          <w:sz w:val="21"/>
          <w:szCs w:val="21"/>
          <w:highlight w:val="none"/>
          <w:lang w:val="en-US" w:eastAsia="zh-CN"/>
        </w:rPr>
        <w:t>还可以提供</w:t>
      </w:r>
      <w:r>
        <w:rPr>
          <w:rFonts w:hint="eastAsia" w:ascii="宋体" w:hAnsi="宋体" w:eastAsia="宋体" w:cs="宋体"/>
          <w:bCs/>
          <w:color w:val="auto"/>
          <w:sz w:val="21"/>
          <w:szCs w:val="21"/>
          <w:highlight w:val="none"/>
          <w:lang w:eastAsia="zh-CN"/>
        </w:rPr>
        <w:t>备份</w:t>
      </w:r>
      <w:r>
        <w:rPr>
          <w:rFonts w:hint="eastAsia" w:ascii="宋体" w:hAnsi="宋体" w:eastAsia="宋体" w:cs="宋体"/>
          <w:bCs/>
          <w:color w:val="auto"/>
          <w:sz w:val="21"/>
          <w:szCs w:val="21"/>
          <w:highlight w:val="none"/>
          <w:lang w:val="en-US" w:eastAsia="zh-CN"/>
        </w:rPr>
        <w:t>投标</w:t>
      </w:r>
      <w:r>
        <w:rPr>
          <w:rFonts w:hint="eastAsia" w:ascii="宋体" w:hAnsi="宋体" w:eastAsia="宋体" w:cs="宋体"/>
          <w:bCs/>
          <w:color w:val="auto"/>
          <w:sz w:val="21"/>
          <w:szCs w:val="21"/>
          <w:highlight w:val="none"/>
          <w:lang w:eastAsia="zh-CN"/>
        </w:rPr>
        <w:t>文件。</w:t>
      </w:r>
    </w:p>
    <w:p>
      <w:pPr>
        <w:keepNext w:val="0"/>
        <w:keepLines w:val="0"/>
        <w:pageBreakBefore w:val="0"/>
        <w:kinsoku/>
        <w:wordWrap/>
        <w:overflowPunct/>
        <w:topLinePunct w:val="0"/>
        <w:bidi w:val="0"/>
        <w:snapToGrid w:val="0"/>
        <w:spacing w:line="360" w:lineRule="auto"/>
        <w:ind w:firstLine="411" w:firstLineChars="196"/>
        <w:jc w:val="left"/>
        <w:textAlignment w:val="auto"/>
        <w:outlineLvl w:val="9"/>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lang w:val="en-US" w:eastAsia="zh-CN"/>
        </w:rPr>
        <w:t>1、</w:t>
      </w:r>
      <w:r>
        <w:rPr>
          <w:rFonts w:hint="eastAsia" w:ascii="宋体" w:hAnsi="宋体" w:eastAsia="宋体" w:cs="宋体"/>
          <w:bCs/>
          <w:color w:val="auto"/>
          <w:szCs w:val="21"/>
          <w:highlight w:val="none"/>
          <w:lang w:val="zh-CN"/>
        </w:rPr>
        <w:t>电子投标文件按</w:t>
      </w:r>
      <w:r>
        <w:rPr>
          <w:rFonts w:hint="eastAsia" w:ascii="宋体" w:hAnsi="宋体" w:eastAsia="宋体" w:cs="宋体"/>
          <w:bCs/>
          <w:color w:val="auto"/>
          <w:szCs w:val="21"/>
          <w:highlight w:val="none"/>
        </w:rPr>
        <w:t>政府采购</w:t>
      </w:r>
      <w:r>
        <w:rPr>
          <w:rFonts w:hint="eastAsia" w:ascii="宋体" w:hAnsi="宋体" w:eastAsia="宋体" w:cs="宋体"/>
          <w:bCs/>
          <w:color w:val="auto"/>
          <w:szCs w:val="21"/>
          <w:highlight w:val="none"/>
          <w:lang w:val="zh-CN"/>
        </w:rPr>
        <w:t>云平台供应商项目采购</w:t>
      </w:r>
      <w:r>
        <w:rPr>
          <w:rFonts w:hint="eastAsia" w:ascii="宋体" w:hAnsi="宋体" w:eastAsia="宋体" w:cs="宋体"/>
          <w:bCs/>
          <w:color w:val="auto"/>
          <w:szCs w:val="21"/>
          <w:highlight w:val="none"/>
        </w:rPr>
        <w:t>-</w:t>
      </w:r>
      <w:r>
        <w:rPr>
          <w:rFonts w:hint="eastAsia" w:ascii="宋体" w:hAnsi="宋体" w:eastAsia="宋体" w:cs="宋体"/>
          <w:bCs/>
          <w:color w:val="auto"/>
          <w:szCs w:val="21"/>
          <w:highlight w:val="none"/>
          <w:lang w:val="zh-CN"/>
        </w:rPr>
        <w:t>电子招投标操作指南</w:t>
      </w:r>
      <w:r>
        <w:rPr>
          <w:rFonts w:hint="eastAsia" w:ascii="宋体" w:hAnsi="宋体" w:eastAsia="宋体" w:cs="宋体"/>
          <w:bCs/>
          <w:color w:val="auto"/>
          <w:szCs w:val="21"/>
          <w:highlight w:val="none"/>
        </w:rPr>
        <w:t>（</w:t>
      </w:r>
      <w:r>
        <w:rPr>
          <w:rFonts w:hint="eastAsia" w:ascii="宋体" w:hAnsi="宋体" w:eastAsia="宋体" w:cs="宋体"/>
          <w:bCs/>
          <w:color w:val="auto"/>
          <w:szCs w:val="21"/>
          <w:highlight w:val="none"/>
          <w:lang w:val="zh-CN"/>
        </w:rPr>
        <w:t>网址</w:t>
      </w:r>
      <w:r>
        <w:rPr>
          <w:rFonts w:hint="eastAsia" w:ascii="宋体" w:hAnsi="宋体" w:eastAsia="宋体" w:cs="宋体"/>
          <w:bCs/>
          <w:color w:val="auto"/>
          <w:szCs w:val="21"/>
          <w:highlight w:val="none"/>
        </w:rPr>
        <w:t>：https://help.zcygov.cn/web/site_2/2018/12-28/2573.html）</w:t>
      </w:r>
      <w:r>
        <w:rPr>
          <w:rFonts w:hint="eastAsia" w:ascii="宋体" w:hAnsi="宋体" w:eastAsia="宋体" w:cs="宋体"/>
          <w:bCs/>
          <w:color w:val="auto"/>
          <w:szCs w:val="21"/>
          <w:highlight w:val="none"/>
          <w:lang w:val="zh-CN"/>
        </w:rPr>
        <w:t>及本招标文件要求制作、加密并</w:t>
      </w:r>
      <w:r>
        <w:rPr>
          <w:rFonts w:hint="eastAsia" w:ascii="宋体" w:hAnsi="宋体" w:eastAsia="宋体" w:cs="宋体"/>
          <w:bCs/>
          <w:color w:val="auto"/>
          <w:szCs w:val="21"/>
          <w:highlight w:val="none"/>
        </w:rPr>
        <w:t>传输</w:t>
      </w:r>
      <w:r>
        <w:rPr>
          <w:rFonts w:hint="eastAsia" w:ascii="宋体" w:hAnsi="宋体" w:eastAsia="宋体" w:cs="宋体"/>
          <w:bCs/>
          <w:color w:val="auto"/>
          <w:szCs w:val="21"/>
          <w:highlight w:val="none"/>
          <w:lang w:val="zh-CN"/>
        </w:rPr>
        <w:t>递交。</w:t>
      </w:r>
    </w:p>
    <w:p>
      <w:pPr>
        <w:keepNext w:val="0"/>
        <w:keepLines w:val="0"/>
        <w:pageBreakBefore w:val="0"/>
        <w:kinsoku/>
        <w:wordWrap/>
        <w:overflowPunct/>
        <w:topLinePunct w:val="0"/>
        <w:bidi w:val="0"/>
        <w:snapToGrid w:val="0"/>
        <w:spacing w:line="360" w:lineRule="auto"/>
        <w:ind w:firstLine="411" w:firstLineChars="196"/>
        <w:jc w:val="left"/>
        <w:textAlignment w:val="auto"/>
        <w:outlineLvl w:val="9"/>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lang w:val="en-US" w:eastAsia="zh-CN"/>
        </w:rPr>
        <w:t>2、</w:t>
      </w:r>
      <w:r>
        <w:rPr>
          <w:rFonts w:hint="eastAsia" w:ascii="宋体" w:hAnsi="宋体" w:eastAsia="宋体" w:cs="宋体"/>
          <w:color w:val="auto"/>
          <w:szCs w:val="21"/>
          <w:highlight w:val="none"/>
          <w:lang w:val="zh-CN"/>
        </w:rPr>
        <w:t>备份投标文件是指“电子投标文件”同时生成的数据电文形式的电子文件（备份标书），以U盘形式提供。</w:t>
      </w:r>
    </w:p>
    <w:p>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Cs w:val="21"/>
          <w:highlight w:val="none"/>
          <w:u w:val="single"/>
        </w:rPr>
      </w:pPr>
      <w:r>
        <w:rPr>
          <w:rFonts w:hint="eastAsia" w:ascii="宋体" w:hAnsi="宋体" w:eastAsia="宋体" w:cs="宋体"/>
          <w:color w:val="auto"/>
          <w:sz w:val="21"/>
          <w:szCs w:val="21"/>
          <w:highlight w:val="none"/>
          <w:u w:val="single"/>
          <w:lang w:val="en-US" w:eastAsia="zh-CN"/>
        </w:rPr>
        <w:t>3、</w:t>
      </w:r>
      <w:r>
        <w:rPr>
          <w:rFonts w:hint="eastAsia" w:ascii="宋体" w:hAnsi="宋体" w:eastAsia="宋体" w:cs="宋体"/>
          <w:color w:val="auto"/>
          <w:sz w:val="21"/>
          <w:szCs w:val="21"/>
          <w:highlight w:val="none"/>
          <w:u w:val="single"/>
        </w:rPr>
        <w:t>投标文件启用顺序和效力：投标文件的启用，按先后顺位分别为电子投标文件、以介质（U盘）存储的数据电文形式的备份投标文件。如果某位投标人的电子投标文件无法按时解密的，可启用以介质（U盘）存储的数据电文形式的</w:t>
      </w:r>
      <w:r>
        <w:rPr>
          <w:rFonts w:hint="eastAsia" w:ascii="宋体" w:hAnsi="宋体" w:eastAsia="宋体" w:cs="宋体"/>
          <w:color w:val="auto"/>
          <w:sz w:val="21"/>
          <w:szCs w:val="21"/>
          <w:highlight w:val="none"/>
          <w:u w:val="single"/>
          <w:lang w:eastAsia="zh-CN"/>
        </w:rPr>
        <w:t>备份</w:t>
      </w:r>
      <w:r>
        <w:rPr>
          <w:rFonts w:hint="eastAsia" w:ascii="宋体" w:hAnsi="宋体" w:eastAsia="宋体" w:cs="宋体"/>
          <w:color w:val="auto"/>
          <w:sz w:val="21"/>
          <w:szCs w:val="21"/>
          <w:highlight w:val="none"/>
          <w:u w:val="single"/>
          <w:lang w:val="en-US" w:eastAsia="zh-CN"/>
        </w:rPr>
        <w:t>投标</w:t>
      </w:r>
      <w:r>
        <w:rPr>
          <w:rFonts w:hint="eastAsia" w:ascii="宋体" w:hAnsi="宋体" w:eastAsia="宋体" w:cs="宋体"/>
          <w:color w:val="auto"/>
          <w:sz w:val="21"/>
          <w:szCs w:val="21"/>
          <w:highlight w:val="none"/>
          <w:u w:val="single"/>
          <w:lang w:eastAsia="zh-CN"/>
        </w:rPr>
        <w:t>文件</w:t>
      </w:r>
      <w:r>
        <w:rPr>
          <w:rFonts w:hint="eastAsia" w:ascii="宋体" w:hAnsi="宋体" w:eastAsia="宋体" w:cs="宋体"/>
          <w:color w:val="auto"/>
          <w:sz w:val="21"/>
          <w:szCs w:val="21"/>
          <w:highlight w:val="none"/>
          <w:u w:val="single"/>
        </w:rPr>
        <w:t>。</w:t>
      </w:r>
    </w:p>
    <w:p>
      <w:pPr>
        <w:keepNext w:val="0"/>
        <w:keepLines w:val="0"/>
        <w:pageBreakBefore w:val="0"/>
        <w:kinsoku/>
        <w:wordWrap/>
        <w:overflowPunct/>
        <w:topLinePunct w:val="0"/>
        <w:bidi w:val="0"/>
        <w:snapToGrid w:val="0"/>
        <w:spacing w:line="360" w:lineRule="auto"/>
        <w:ind w:firstLine="411" w:firstLineChars="196"/>
        <w:jc w:val="left"/>
        <w:textAlignment w:val="auto"/>
        <w:outlineLvl w:val="9"/>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▲未传输递交电子投标文件及未按规定提供相应的备份投标文件的，投标无效。</w:t>
      </w:r>
    </w:p>
    <w:p>
      <w:pPr>
        <w:keepNext w:val="0"/>
        <w:keepLines w:val="0"/>
        <w:pageBreakBefore w:val="0"/>
        <w:kinsoku/>
        <w:wordWrap/>
        <w:overflowPunct/>
        <w:topLinePunct w:val="0"/>
        <w:bidi w:val="0"/>
        <w:spacing w:line="360" w:lineRule="auto"/>
        <w:ind w:firstLine="422"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b/>
          <w:bCs/>
          <w:color w:val="auto"/>
          <w:szCs w:val="21"/>
          <w:highlight w:val="none"/>
          <w:lang w:val="zh-CN"/>
        </w:rPr>
        <w:t>（一）</w:t>
      </w:r>
      <w:r>
        <w:rPr>
          <w:rFonts w:hint="eastAsia" w:ascii="宋体" w:hAnsi="宋体" w:eastAsia="宋体" w:cs="宋体"/>
          <w:b/>
          <w:bCs/>
          <w:color w:val="auto"/>
          <w:szCs w:val="21"/>
          <w:highlight w:val="none"/>
        </w:rPr>
        <w:t>投标文件的组成</w:t>
      </w:r>
    </w:p>
    <w:p>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投标人接到招标文件后，按照招标文件的要求提供投标文件（包含电子投标文件和备份投标文件）：由资格证明文件、商务与技术文件和报价文件三部分组成。</w:t>
      </w:r>
    </w:p>
    <w:p>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【特别提示：如有要求提供资料原件的，原件另行包装，并与投标文件一起提交，投标截止时间后所有原件不予接收。资料原件也可以用与原件相符的公证原件替代】</w:t>
      </w:r>
    </w:p>
    <w:p>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b/>
          <w:bCs/>
          <w:color w:val="auto"/>
          <w:szCs w:val="21"/>
          <w:highlight w:val="none"/>
        </w:rPr>
        <w:t>1、资格证明文件的组成：</w:t>
      </w:r>
    </w:p>
    <w:p>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（1）投标声明书；</w:t>
      </w:r>
    </w:p>
    <w:p>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（2）授权委托书（法定代表人亲自办理投标事宜的，则无需提交)；</w:t>
      </w:r>
    </w:p>
    <w:p>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（3）法人或者其他组织的营业执照等证明文件，法定代表人和授权代表的身份证明；</w:t>
      </w:r>
    </w:p>
    <w:p>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（4）提供采购公告中符合供应商特定条件的有效资质证书复印件（投标供应商特定条件中有要求的必须提供），以及需要说明的其他资料；</w:t>
      </w:r>
    </w:p>
    <w:p>
      <w:pPr>
        <w:keepNext w:val="0"/>
        <w:keepLines w:val="0"/>
        <w:pageBreakBefore w:val="0"/>
        <w:kinsoku/>
        <w:wordWrap/>
        <w:overflowPunct/>
        <w:topLinePunct w:val="0"/>
        <w:bidi w:val="0"/>
        <w:spacing w:line="360" w:lineRule="auto"/>
        <w:ind w:firstLine="422" w:firstLineChars="200"/>
        <w:textAlignment w:val="auto"/>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2、商务与技术文件的组成：</w:t>
      </w:r>
    </w:p>
    <w:p>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（1）投标人</w:t>
      </w:r>
      <w:r>
        <w:rPr>
          <w:rFonts w:hint="eastAsia" w:ascii="宋体" w:hAnsi="宋体" w:eastAsia="宋体" w:cs="宋体"/>
          <w:color w:val="auto"/>
          <w:sz w:val="21"/>
          <w:szCs w:val="21"/>
          <w:highlight w:val="none"/>
          <w:lang w:val="en-US" w:eastAsia="zh-CN"/>
        </w:rPr>
        <w:t>企业</w:t>
      </w:r>
      <w:r>
        <w:rPr>
          <w:rFonts w:hint="eastAsia" w:ascii="宋体" w:hAnsi="宋体" w:eastAsia="宋体" w:cs="宋体"/>
          <w:color w:val="auto"/>
          <w:sz w:val="21"/>
          <w:szCs w:val="21"/>
          <w:highlight w:val="none"/>
        </w:rPr>
        <w:t>情况介绍</w:t>
      </w:r>
      <w:r>
        <w:rPr>
          <w:rFonts w:hint="eastAsia" w:ascii="宋体" w:hAnsi="宋体" w:eastAsia="宋体" w:cs="宋体"/>
          <w:color w:val="auto"/>
          <w:sz w:val="21"/>
          <w:szCs w:val="21"/>
          <w:highlight w:val="none"/>
          <w:lang w:eastAsia="zh-CN"/>
        </w:rPr>
        <w:t>；</w:t>
      </w:r>
    </w:p>
    <w:p>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（2）投标方案描述：</w:t>
      </w:r>
    </w:p>
    <w:p>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A.项目需求的理解与分析(投标人对项目现状及需求的理解情况，对项目现状和需求描述的全面性、准确性、针对性，对项目重点、难点的把握，解决方案及合理化建议)。</w:t>
      </w:r>
    </w:p>
    <w:p>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B.项目组织实施方案（包括项目工期、确保项目供货的措施或方案、项目实施进度安排、项目实施人员及项目负责人的资质、类似经验及社保证明等）。</w:t>
      </w:r>
    </w:p>
    <w:p>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C.</w:t>
      </w:r>
      <w:r>
        <w:rPr>
          <w:rFonts w:hint="eastAsia" w:ascii="宋体" w:hAnsi="宋体" w:eastAsia="宋体" w:cs="宋体"/>
          <w:color w:val="auto"/>
          <w:sz w:val="21"/>
          <w:szCs w:val="21"/>
          <w:highlight w:val="none"/>
          <w:lang w:val="en-US" w:eastAsia="zh-CN"/>
        </w:rPr>
        <w:t>安装、调试及</w:t>
      </w:r>
      <w:r>
        <w:rPr>
          <w:rFonts w:hint="eastAsia" w:ascii="宋体" w:hAnsi="宋体" w:eastAsia="宋体" w:cs="宋体"/>
          <w:color w:val="auto"/>
          <w:sz w:val="21"/>
          <w:szCs w:val="21"/>
          <w:highlight w:val="none"/>
        </w:rPr>
        <w:t>验收方案（包括项目验收标准和验收方法等）和措施；</w:t>
      </w:r>
    </w:p>
    <w:p>
      <w:pPr>
        <w:keepNext w:val="0"/>
        <w:keepLines w:val="0"/>
        <w:pageBreakBefore w:val="0"/>
        <w:kinsoku/>
        <w:wordWrap/>
        <w:overflowPunct/>
        <w:topLinePunct w:val="0"/>
        <w:bidi w:val="0"/>
        <w:spacing w:line="360" w:lineRule="auto"/>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val="en-US" w:eastAsia="zh-CN"/>
        </w:rPr>
        <w:t>投标</w:t>
      </w:r>
      <w:r>
        <w:rPr>
          <w:rFonts w:hint="eastAsia" w:ascii="宋体" w:hAnsi="宋体" w:eastAsia="宋体" w:cs="宋体"/>
          <w:color w:val="auto"/>
          <w:sz w:val="21"/>
          <w:szCs w:val="21"/>
          <w:highlight w:val="none"/>
        </w:rPr>
        <w:t>产品描述及相关资料：</w:t>
      </w:r>
    </w:p>
    <w:p>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A.</w:t>
      </w:r>
      <w:r>
        <w:rPr>
          <w:rFonts w:hint="eastAsia" w:ascii="宋体" w:hAnsi="宋体" w:eastAsia="宋体" w:cs="宋体"/>
          <w:color w:val="auto"/>
          <w:sz w:val="21"/>
          <w:szCs w:val="21"/>
          <w:highlight w:val="none"/>
          <w:lang w:val="en-US" w:eastAsia="zh-CN"/>
        </w:rPr>
        <w:t>投标项目</w:t>
      </w:r>
      <w:r>
        <w:rPr>
          <w:rFonts w:hint="eastAsia" w:ascii="宋体" w:hAnsi="宋体" w:eastAsia="宋体" w:cs="宋体"/>
          <w:color w:val="auto"/>
          <w:sz w:val="21"/>
          <w:szCs w:val="21"/>
          <w:highlight w:val="none"/>
        </w:rPr>
        <w:t>供货清单</w:t>
      </w:r>
      <w:r>
        <w:rPr>
          <w:rFonts w:hint="eastAsia" w:ascii="宋体" w:hAnsi="宋体" w:eastAsia="宋体" w:cs="宋体"/>
          <w:b/>
          <w:bCs/>
          <w:color w:val="auto"/>
          <w:sz w:val="21"/>
          <w:szCs w:val="21"/>
          <w:highlight w:val="none"/>
        </w:rPr>
        <w:t>（均不含报价）</w:t>
      </w:r>
      <w:r>
        <w:rPr>
          <w:rFonts w:hint="eastAsia" w:ascii="宋体" w:hAnsi="宋体" w:eastAsia="宋体" w:cs="宋体"/>
          <w:color w:val="auto"/>
          <w:sz w:val="21"/>
          <w:szCs w:val="21"/>
          <w:highlight w:val="none"/>
        </w:rPr>
        <w:t>。</w:t>
      </w:r>
    </w:p>
    <w:p>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B.产品品牌及型号、技术参数指标、性能特点、图片资料以及所遵循的技术规范、产品质保期、出厂标准、产品质量相关检测报告等内容。</w:t>
      </w:r>
    </w:p>
    <w:p>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C.商务及技术响应表。</w:t>
      </w:r>
    </w:p>
    <w:p>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D.</w:t>
      </w:r>
      <w:r>
        <w:rPr>
          <w:rFonts w:hint="eastAsia" w:ascii="宋体" w:hAnsi="宋体" w:eastAsia="宋体" w:cs="宋体"/>
          <w:color w:val="auto"/>
          <w:sz w:val="21"/>
          <w:szCs w:val="21"/>
          <w:highlight w:val="none"/>
          <w:lang w:val="en-US" w:eastAsia="zh-CN"/>
        </w:rPr>
        <w:t>投标</w:t>
      </w:r>
      <w:r>
        <w:rPr>
          <w:rFonts w:hint="eastAsia" w:ascii="宋体" w:hAnsi="宋体" w:eastAsia="宋体" w:cs="宋体"/>
          <w:color w:val="auto"/>
          <w:sz w:val="21"/>
          <w:szCs w:val="21"/>
          <w:highlight w:val="none"/>
        </w:rPr>
        <w:t>产品中有节能产品的，应列明</w:t>
      </w:r>
      <w:r>
        <w:rPr>
          <w:rFonts w:hint="eastAsia" w:ascii="宋体" w:hAnsi="宋体" w:eastAsia="宋体" w:cs="宋体"/>
          <w:color w:val="auto"/>
          <w:sz w:val="21"/>
          <w:szCs w:val="21"/>
          <w:highlight w:val="none"/>
          <w:lang w:val="en-US" w:eastAsia="zh-CN"/>
        </w:rPr>
        <w:t>投标</w:t>
      </w:r>
      <w:r>
        <w:rPr>
          <w:rFonts w:hint="eastAsia" w:ascii="宋体" w:hAnsi="宋体" w:eastAsia="宋体" w:cs="宋体"/>
          <w:color w:val="auto"/>
          <w:sz w:val="21"/>
          <w:szCs w:val="21"/>
          <w:highlight w:val="none"/>
        </w:rPr>
        <w:t>产品中有列入最新一期财政部、发展改革委公布的“节能产品政府采购清单”明细（提供所</w:t>
      </w:r>
      <w:r>
        <w:rPr>
          <w:rFonts w:hint="eastAsia" w:ascii="宋体" w:hAnsi="宋体" w:eastAsia="宋体" w:cs="宋体"/>
          <w:color w:val="auto"/>
          <w:sz w:val="21"/>
          <w:szCs w:val="21"/>
          <w:highlight w:val="none"/>
          <w:lang w:val="en-US" w:eastAsia="zh-CN"/>
        </w:rPr>
        <w:t>投标</w:t>
      </w:r>
      <w:r>
        <w:rPr>
          <w:rFonts w:hint="eastAsia" w:ascii="宋体" w:hAnsi="宋体" w:eastAsia="宋体" w:cs="宋体"/>
          <w:color w:val="auto"/>
          <w:sz w:val="21"/>
          <w:szCs w:val="21"/>
          <w:highlight w:val="none"/>
        </w:rPr>
        <w:t>产品在清单中所处的页码、截图，并以明显标识标注）；</w:t>
      </w:r>
      <w:r>
        <w:rPr>
          <w:rFonts w:hint="eastAsia" w:ascii="宋体" w:hAnsi="宋体" w:eastAsia="宋体" w:cs="宋体"/>
          <w:color w:val="auto"/>
          <w:sz w:val="21"/>
          <w:szCs w:val="21"/>
          <w:highlight w:val="none"/>
          <w:lang w:val="en-US" w:eastAsia="zh-CN"/>
        </w:rPr>
        <w:t>投标</w:t>
      </w:r>
      <w:r>
        <w:rPr>
          <w:rFonts w:hint="eastAsia" w:ascii="宋体" w:hAnsi="宋体" w:eastAsia="宋体" w:cs="宋体"/>
          <w:color w:val="auto"/>
          <w:sz w:val="21"/>
          <w:szCs w:val="21"/>
          <w:highlight w:val="none"/>
        </w:rPr>
        <w:t>产品中有环保产品的，应列明</w:t>
      </w:r>
      <w:r>
        <w:rPr>
          <w:rFonts w:hint="eastAsia" w:ascii="宋体" w:hAnsi="宋体" w:eastAsia="宋体" w:cs="宋体"/>
          <w:color w:val="auto"/>
          <w:sz w:val="21"/>
          <w:szCs w:val="21"/>
          <w:highlight w:val="none"/>
          <w:lang w:val="en-US" w:eastAsia="zh-CN"/>
        </w:rPr>
        <w:t>投标</w:t>
      </w:r>
      <w:r>
        <w:rPr>
          <w:rFonts w:hint="eastAsia" w:ascii="宋体" w:hAnsi="宋体" w:eastAsia="宋体" w:cs="宋体"/>
          <w:color w:val="auto"/>
          <w:sz w:val="21"/>
          <w:szCs w:val="21"/>
          <w:highlight w:val="none"/>
        </w:rPr>
        <w:t>产品中有列入最新一期财政部、环境保护部公布的“环境标志产品政府采购清单”明细（提供所</w:t>
      </w:r>
      <w:r>
        <w:rPr>
          <w:rFonts w:hint="eastAsia" w:ascii="宋体" w:hAnsi="宋体" w:eastAsia="宋体" w:cs="宋体"/>
          <w:color w:val="auto"/>
          <w:sz w:val="21"/>
          <w:szCs w:val="21"/>
          <w:highlight w:val="none"/>
          <w:lang w:val="en-US" w:eastAsia="zh-CN"/>
        </w:rPr>
        <w:t>投标</w:t>
      </w:r>
      <w:r>
        <w:rPr>
          <w:rFonts w:hint="eastAsia" w:ascii="宋体" w:hAnsi="宋体" w:eastAsia="宋体" w:cs="宋体"/>
          <w:color w:val="auto"/>
          <w:sz w:val="21"/>
          <w:szCs w:val="21"/>
          <w:highlight w:val="none"/>
        </w:rPr>
        <w:t>产品在清单中所处的页码、截图，并以明显标识标注）。</w:t>
      </w:r>
    </w:p>
    <w:p>
      <w:pPr>
        <w:keepNext w:val="0"/>
        <w:keepLines w:val="0"/>
        <w:pageBreakBefore w:val="0"/>
        <w:kinsoku/>
        <w:wordWrap/>
        <w:overflowPunct/>
        <w:topLinePunct w:val="0"/>
        <w:bidi w:val="0"/>
        <w:spacing w:line="360" w:lineRule="auto"/>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【特别提示：节能和环境标志产品最新一期政府采购清单，可在“中国政府采购网”中查看】</w:t>
      </w:r>
    </w:p>
    <w:p>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r>
        <w:rPr>
          <w:rFonts w:hint="eastAsia" w:ascii="宋体" w:hAnsi="宋体" w:eastAsia="宋体" w:cs="宋体"/>
          <w:color w:val="auto"/>
          <w:sz w:val="21"/>
          <w:szCs w:val="21"/>
          <w:highlight w:val="none"/>
          <w:lang w:val="en-US" w:eastAsia="zh-CN"/>
        </w:rPr>
        <w:t>投标人</w:t>
      </w:r>
      <w:r>
        <w:rPr>
          <w:rFonts w:hint="eastAsia" w:ascii="宋体" w:hAnsi="宋体" w:eastAsia="宋体" w:cs="宋体"/>
          <w:color w:val="auto"/>
          <w:sz w:val="21"/>
          <w:szCs w:val="21"/>
          <w:highlight w:val="none"/>
        </w:rPr>
        <w:t>通过的质量管理和质量保证体系、环保体系、自主创新相关证书、软件著作权证等与本项目相关的认证证书或文件；</w:t>
      </w:r>
    </w:p>
    <w:p>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（5）类似项目的成功案例（投标人类似项目实施情况一览表、合同复印件及其相应的发票、用户验收报告等</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w:t>
      </w:r>
    </w:p>
    <w:p>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（6）投标人认为需要提供的其他资料（包括可能影响投标人商务与技术文件评分的各类证明材料）。</w:t>
      </w:r>
    </w:p>
    <w:p>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（7）售后服务描述及承诺：</w:t>
      </w:r>
    </w:p>
    <w:p>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A.距采购人最近的服务网点详细介绍（包括地理位置、资质资格、技术力量、工作业绩、服务内容及联系电话等）。</w:t>
      </w:r>
    </w:p>
    <w:p>
      <w:pPr>
        <w:keepNext w:val="0"/>
        <w:keepLines w:val="0"/>
        <w:pageBreakBefore w:val="0"/>
        <w:kinsoku/>
        <w:wordWrap/>
        <w:overflowPunct/>
        <w:topLinePunct w:val="0"/>
        <w:bidi w:val="0"/>
        <w:spacing w:line="410" w:lineRule="exact"/>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B.针对本项目的售后服务措施及承诺（售后技术服务方案、人员配备、</w:t>
      </w:r>
      <w:r>
        <w:rPr>
          <w:rFonts w:hint="eastAsia" w:ascii="宋体" w:hAnsi="宋体" w:eastAsia="宋体" w:cs="宋体"/>
          <w:color w:val="auto"/>
          <w:sz w:val="21"/>
          <w:szCs w:val="21"/>
          <w:highlight w:val="none"/>
          <w:lang w:val="en-US" w:eastAsia="zh-CN"/>
        </w:rPr>
        <w:t>服务</w:t>
      </w:r>
      <w:r>
        <w:rPr>
          <w:rFonts w:hint="eastAsia" w:ascii="宋体" w:hAnsi="宋体" w:eastAsia="宋体" w:cs="宋体"/>
          <w:color w:val="auto"/>
          <w:sz w:val="21"/>
          <w:szCs w:val="21"/>
          <w:highlight w:val="none"/>
        </w:rPr>
        <w:t>响应时间、技术培训方案等）。</w:t>
      </w:r>
    </w:p>
    <w:p>
      <w:pPr>
        <w:keepNext w:val="0"/>
        <w:keepLines w:val="0"/>
        <w:pageBreakBefore w:val="0"/>
        <w:kinsoku/>
        <w:wordWrap/>
        <w:overflowPunct/>
        <w:topLinePunct w:val="0"/>
        <w:bidi w:val="0"/>
        <w:spacing w:line="410" w:lineRule="exact"/>
        <w:ind w:firstLine="422"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b/>
          <w:color w:val="auto"/>
          <w:szCs w:val="21"/>
          <w:highlight w:val="none"/>
          <w:u w:val="single"/>
        </w:rPr>
        <w:t>注：若招标文件中有专门标注的某关联点，并要求投标人在电子投标系统中作出投标响应的，如投标人未对关联点进行响应或者在投标文件其它内容进行描述，造成电子评审不能查询的责任由投标人自行承担。</w:t>
      </w:r>
    </w:p>
    <w:p>
      <w:pPr>
        <w:keepNext w:val="0"/>
        <w:keepLines w:val="0"/>
        <w:pageBreakBefore w:val="0"/>
        <w:kinsoku/>
        <w:wordWrap/>
        <w:overflowPunct/>
        <w:topLinePunct w:val="0"/>
        <w:bidi w:val="0"/>
        <w:spacing w:line="360" w:lineRule="auto"/>
        <w:ind w:firstLine="422" w:firstLineChars="200"/>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3、报价文件的组成</w:t>
      </w:r>
    </w:p>
    <w:p>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（1）报价文件由开标一览表、报价明细表、中小企业声明函，以及投标人认为其他需要说明的内容组成。</w:t>
      </w:r>
    </w:p>
    <w:p>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 w:val="21"/>
          <w:szCs w:val="21"/>
          <w:highlight w:val="none"/>
        </w:rPr>
        <w:t>（2）此报价为投标人一次性报出唯一的最终价格，包含其它一切所要涉及到的费用，有选择</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附条件</w:t>
      </w:r>
      <w:r>
        <w:rPr>
          <w:rFonts w:hint="eastAsia" w:ascii="宋体" w:hAnsi="宋体" w:eastAsia="宋体" w:cs="宋体"/>
          <w:color w:val="auto"/>
          <w:sz w:val="21"/>
          <w:szCs w:val="21"/>
          <w:highlight w:val="none"/>
        </w:rPr>
        <w:t>的报价将被拒绝。</w:t>
      </w:r>
    </w:p>
    <w:p>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（3）投标总报价包括项目的供货、运输、安装、总体调试、技术培训、税金、验收、售后服务等为完成本次</w:t>
      </w:r>
      <w:r>
        <w:rPr>
          <w:rFonts w:hint="eastAsia" w:ascii="宋体" w:hAnsi="宋体" w:cs="宋体"/>
          <w:color w:val="auto"/>
          <w:sz w:val="21"/>
          <w:szCs w:val="21"/>
          <w:highlight w:val="none"/>
          <w:lang w:val="en-US" w:eastAsia="zh-CN"/>
        </w:rPr>
        <w:t>项目</w:t>
      </w:r>
      <w:r>
        <w:rPr>
          <w:rFonts w:hint="eastAsia" w:ascii="宋体" w:hAnsi="宋体" w:eastAsia="宋体" w:cs="宋体"/>
          <w:color w:val="auto"/>
          <w:sz w:val="21"/>
          <w:szCs w:val="21"/>
          <w:highlight w:val="none"/>
        </w:rPr>
        <w:t>涉及的一切费用。</w:t>
      </w:r>
    </w:p>
    <w:p>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（4）政府采购优惠政策相关资料。</w:t>
      </w:r>
    </w:p>
    <w:p>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▲（5）相关报价单需打印或用不</w:t>
      </w:r>
      <w:r>
        <w:rPr>
          <w:rFonts w:hint="eastAsia" w:ascii="宋体" w:hAnsi="宋体" w:cs="宋体"/>
          <w:color w:val="auto"/>
          <w:szCs w:val="21"/>
          <w:highlight w:val="none"/>
          <w:lang w:val="en-US" w:eastAsia="zh-CN"/>
        </w:rPr>
        <w:t>褪色</w:t>
      </w:r>
      <w:r>
        <w:rPr>
          <w:rFonts w:hint="eastAsia" w:ascii="宋体" w:hAnsi="宋体" w:eastAsia="宋体" w:cs="宋体"/>
          <w:color w:val="auto"/>
          <w:szCs w:val="21"/>
          <w:highlight w:val="none"/>
        </w:rPr>
        <w:t>的墨水填写， 投标报价单不得涂改和增删，如有错漏必须修改，修改处须由同一签署人签字或盖章</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未由</w:t>
      </w:r>
      <w:r>
        <w:rPr>
          <w:rFonts w:hint="eastAsia" w:ascii="宋体" w:hAnsi="宋体" w:cs="宋体"/>
          <w:color w:val="auto"/>
          <w:szCs w:val="21"/>
          <w:highlight w:val="none"/>
        </w:rPr>
        <w:t>同一签署人签字或盖章</w:t>
      </w:r>
      <w:r>
        <w:rPr>
          <w:rFonts w:hint="eastAsia" w:ascii="宋体" w:hAnsi="宋体" w:cs="宋体"/>
          <w:color w:val="auto"/>
          <w:szCs w:val="21"/>
          <w:highlight w:val="none"/>
          <w:lang w:val="en-US" w:eastAsia="zh-CN"/>
        </w:rPr>
        <w:t>的修改无效</w:t>
      </w:r>
      <w:r>
        <w:rPr>
          <w:rFonts w:hint="eastAsia" w:ascii="宋体" w:hAnsi="宋体" w:eastAsia="宋体" w:cs="宋体"/>
          <w:color w:val="auto"/>
          <w:szCs w:val="21"/>
          <w:highlight w:val="none"/>
        </w:rPr>
        <w:t>。由于字迹模糊或表达不清引起的后果由投标人负责。</w:t>
      </w:r>
    </w:p>
    <w:p>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（6）投标报价应按招标文件中相关附表格式填写。</w:t>
      </w:r>
    </w:p>
    <w:p>
      <w:pPr>
        <w:keepNext w:val="0"/>
        <w:keepLines w:val="0"/>
        <w:pageBreakBefore w:val="0"/>
        <w:kinsoku/>
        <w:wordWrap/>
        <w:overflowPunct/>
        <w:topLinePunct w:val="0"/>
        <w:bidi w:val="0"/>
        <w:spacing w:line="360" w:lineRule="auto"/>
        <w:ind w:firstLine="422" w:firstLineChars="200"/>
        <w:textAlignment w:val="auto"/>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（二）投标文件的制作、封装及递交要求</w:t>
      </w:r>
    </w:p>
    <w:p>
      <w:pPr>
        <w:snapToGrid w:val="0"/>
        <w:spacing w:before="120" w:beforeLines="50" w:line="360" w:lineRule="auto"/>
        <w:ind w:firstLine="413" w:firstLineChars="196"/>
        <w:jc w:val="lef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1、</w:t>
      </w:r>
      <w:r>
        <w:rPr>
          <w:rFonts w:hint="eastAsia" w:ascii="宋体" w:hAnsi="宋体" w:eastAsia="宋体" w:cs="宋体"/>
          <w:b/>
          <w:color w:val="auto"/>
          <w:sz w:val="21"/>
          <w:szCs w:val="21"/>
          <w:highlight w:val="none"/>
        </w:rPr>
        <w:t>投标文件的签署</w:t>
      </w:r>
    </w:p>
    <w:p>
      <w:pPr>
        <w:snapToGrid w:val="0"/>
        <w:spacing w:line="360" w:lineRule="auto"/>
        <w:ind w:firstLine="411" w:firstLineChars="196"/>
        <w:jc w:val="left"/>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eastAsia="zh-CN"/>
        </w:rPr>
        <w:t>）</w:t>
      </w:r>
      <w:r>
        <w:rPr>
          <w:rFonts w:hint="eastAsia" w:ascii="宋体" w:hAnsi="宋体" w:eastAsia="宋体" w:cs="宋体"/>
          <w:bCs/>
          <w:color w:val="auto"/>
          <w:sz w:val="21"/>
          <w:szCs w:val="21"/>
          <w:highlight w:val="none"/>
        </w:rPr>
        <w:t>电子投标文件中须加盖</w:t>
      </w:r>
      <w:r>
        <w:rPr>
          <w:rFonts w:hint="eastAsia" w:ascii="宋体" w:hAnsi="宋体" w:eastAsia="宋体" w:cs="宋体"/>
          <w:bCs/>
          <w:color w:val="auto"/>
          <w:sz w:val="21"/>
          <w:szCs w:val="21"/>
          <w:highlight w:val="none"/>
          <w:lang w:val="en-US" w:eastAsia="zh-CN"/>
        </w:rPr>
        <w:t>投标人</w:t>
      </w:r>
      <w:r>
        <w:rPr>
          <w:rFonts w:hint="eastAsia" w:ascii="宋体" w:hAnsi="宋体" w:eastAsia="宋体" w:cs="宋体"/>
          <w:bCs/>
          <w:color w:val="auto"/>
          <w:sz w:val="21"/>
          <w:szCs w:val="21"/>
          <w:highlight w:val="none"/>
        </w:rPr>
        <w:t>公章部分均采用CA签章，并根据“</w:t>
      </w:r>
      <w:r>
        <w:rPr>
          <w:rFonts w:hint="eastAsia" w:ascii="宋体" w:hAnsi="宋体" w:eastAsia="宋体" w:cs="宋体"/>
          <w:bCs/>
          <w:color w:val="auto"/>
          <w:sz w:val="21"/>
          <w:szCs w:val="21"/>
          <w:highlight w:val="none"/>
          <w:lang w:val="en-US" w:eastAsia="zh-CN"/>
        </w:rPr>
        <w:t>政府采购云平台</w:t>
      </w:r>
      <w:r>
        <w:rPr>
          <w:rFonts w:hint="eastAsia" w:ascii="宋体" w:hAnsi="宋体" w:eastAsia="宋体" w:cs="宋体"/>
          <w:bCs/>
          <w:color w:val="auto"/>
          <w:sz w:val="21"/>
          <w:szCs w:val="21"/>
          <w:highlight w:val="none"/>
        </w:rPr>
        <w:t>供应商项目采购-电子招投标操作指南”及本招标文件规定的格式和顺序编制电子投标文件并进行关联定位，以便评标委员会在评标时，点击评分项可直接定位到该评分项内容。如对招标文件的某项要求，投标人的电子投标文件未能关联定位提供相应的内容与其对应，则评标委员会在评审时如做出对投标人不利的评审由投标人自行承担。</w:t>
      </w:r>
    </w:p>
    <w:p>
      <w:pPr>
        <w:snapToGrid w:val="0"/>
        <w:spacing w:line="360" w:lineRule="auto"/>
        <w:ind w:firstLine="411" w:firstLineChars="196"/>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电子投标文件如内容不完整、编排混乱导致投标文件被误读、漏读，或者在按采购文件规定的部位查找不到相关内容的，由投标人自行承担。</w:t>
      </w:r>
    </w:p>
    <w:p>
      <w:pPr>
        <w:snapToGrid w:val="0"/>
        <w:spacing w:line="360" w:lineRule="auto"/>
        <w:ind w:firstLine="411" w:firstLineChars="196"/>
        <w:jc w:val="left"/>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lang w:val="en-US" w:eastAsia="zh-CN"/>
        </w:rPr>
        <w:t>2</w:t>
      </w:r>
      <w:r>
        <w:rPr>
          <w:rFonts w:hint="eastAsia" w:ascii="宋体" w:hAnsi="宋体" w:eastAsia="宋体" w:cs="宋体"/>
          <w:bCs/>
          <w:color w:val="auto"/>
          <w:sz w:val="21"/>
          <w:szCs w:val="21"/>
          <w:highlight w:val="none"/>
          <w:lang w:eastAsia="zh-CN"/>
        </w:rPr>
        <w:t>）</w:t>
      </w:r>
      <w:r>
        <w:rPr>
          <w:rFonts w:hint="eastAsia" w:ascii="宋体" w:hAnsi="宋体" w:eastAsia="宋体" w:cs="宋体"/>
          <w:color w:val="auto"/>
          <w:sz w:val="21"/>
          <w:szCs w:val="21"/>
          <w:highlight w:val="none"/>
        </w:rPr>
        <w:t>温馨提醒：</w:t>
      </w:r>
      <w:r>
        <w:rPr>
          <w:rFonts w:hint="eastAsia" w:ascii="宋体" w:hAnsi="宋体" w:eastAsia="宋体" w:cs="宋体"/>
          <w:color w:val="auto"/>
          <w:sz w:val="21"/>
          <w:szCs w:val="21"/>
          <w:highlight w:val="none"/>
          <w:u w:val="single"/>
        </w:rPr>
        <w:t>CA签章上目前没有</w:t>
      </w:r>
      <w:r>
        <w:rPr>
          <w:rFonts w:hint="eastAsia" w:ascii="宋体" w:hAnsi="宋体" w:eastAsia="宋体" w:cs="宋体"/>
          <w:color w:val="auto"/>
          <w:sz w:val="21"/>
          <w:szCs w:val="21"/>
          <w:highlight w:val="none"/>
          <w:u w:val="single"/>
          <w:lang w:eastAsia="zh-CN"/>
        </w:rPr>
        <w:t>法定代表人</w:t>
      </w:r>
      <w:r>
        <w:rPr>
          <w:rFonts w:hint="eastAsia" w:ascii="宋体" w:hAnsi="宋体" w:eastAsia="宋体" w:cs="宋体"/>
          <w:color w:val="auto"/>
          <w:sz w:val="21"/>
          <w:szCs w:val="21"/>
          <w:highlight w:val="none"/>
          <w:u w:val="single"/>
        </w:rPr>
        <w:t>或授权代表签字信息，需要投标人联系浙江杭州汇信科技有限公司等相应公司进行办理，或在投标文件中涉及到签字的位置线下签好字然后扫描或者拍照做成PDF的格式亦可。</w:t>
      </w:r>
    </w:p>
    <w:p>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Cs w:val="21"/>
          <w:highlight w:val="none"/>
        </w:rPr>
        <w:t>▲</w:t>
      </w:r>
      <w:r>
        <w:rPr>
          <w:rFonts w:hint="eastAsia" w:ascii="宋体" w:hAnsi="宋体" w:eastAsia="宋体" w:cs="宋体"/>
          <w:color w:val="auto"/>
          <w:sz w:val="21"/>
          <w:szCs w:val="21"/>
          <w:highlight w:val="none"/>
        </w:rPr>
        <w:t>投标文件不得涂改，若有修改错漏处，须加盖单位公章或者法定代表人或授权委托人签字或盖章。投标文件因字迹潦草或表达不清所引起的后果由投标人负责。</w:t>
      </w:r>
    </w:p>
    <w:p>
      <w:pPr>
        <w:keepNext w:val="0"/>
        <w:keepLines w:val="0"/>
        <w:pageBreakBefore w:val="0"/>
        <w:kinsoku/>
        <w:wordWrap/>
        <w:overflowPunct/>
        <w:topLinePunct w:val="0"/>
        <w:bidi w:val="0"/>
        <w:spacing w:line="360" w:lineRule="auto"/>
        <w:ind w:firstLine="422"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2、投标文件的制作</w:t>
      </w:r>
    </w:p>
    <w:p>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（1）投标人应按照投标文件组成内容及项目招标需求制作投标文件，不按招标文件要求制作投标文件由此产生的责任由投标人自行承担。</w:t>
      </w:r>
    </w:p>
    <w:p>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（2）▲投标人应对所提供的全部资料的真实性承担法律责任，投标文件内容中有要求盖章或签字的地方，必须加盖投标人的公章以及法定代表人或授权委托代理人盖章或签字。</w:t>
      </w:r>
    </w:p>
    <w:p>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（3）投标文件以及投标人与采购组织机构就有关投标事宜的所有来往函电，均应以中文汉语书写。▲除签字、盖章、专用名称等特殊情形外，以中文汉语以外的文字表述的投标文件视同未提供。</w:t>
      </w:r>
    </w:p>
    <w:p>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（4）投标计量单位，招标文件已有明确规定的，使用招标文件规定的计量单位；招标文件没有规定的，</w:t>
      </w: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color w:val="auto"/>
          <w:sz w:val="21"/>
          <w:szCs w:val="21"/>
          <w:highlight w:val="none"/>
        </w:rPr>
        <w:t>应采用中华人民共和国法定计量单位（货币单位：人民币元），否则视同未响应。</w:t>
      </w:r>
    </w:p>
    <w:p>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（5）若投标人不按招标文件的要求提供资格审查材料，其风险由投标人自行承担。</w:t>
      </w:r>
    </w:p>
    <w:p>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b/>
          <w:bCs/>
          <w:color w:val="auto"/>
          <w:szCs w:val="21"/>
          <w:highlight w:val="none"/>
        </w:rPr>
      </w:pPr>
      <w:r>
        <w:rPr>
          <w:rFonts w:hint="eastAsia" w:ascii="宋体" w:hAnsi="宋体" w:eastAsia="宋体" w:cs="宋体"/>
          <w:color w:val="auto"/>
          <w:szCs w:val="21"/>
          <w:highlight w:val="none"/>
        </w:rPr>
        <w:t>（6）与本次投标无关的内容请不要制作在内，确保投标文件有针对性、简洁明了，同时节约纸张；投标文件建议以A4纸大小双面打印并装订。</w:t>
      </w:r>
    </w:p>
    <w:p>
      <w:pPr>
        <w:keepNext w:val="0"/>
        <w:keepLines w:val="0"/>
        <w:pageBreakBefore w:val="0"/>
        <w:kinsoku/>
        <w:wordWrap/>
        <w:overflowPunct/>
        <w:topLinePunct w:val="0"/>
        <w:bidi w:val="0"/>
        <w:spacing w:line="360" w:lineRule="auto"/>
        <w:ind w:firstLine="422" w:firstLineChars="200"/>
        <w:textAlignment w:val="auto"/>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3、投标文件的封装要求</w:t>
      </w:r>
    </w:p>
    <w:p>
      <w:pPr>
        <w:pStyle w:val="52"/>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（1）投标文件的正本</w:t>
      </w:r>
      <w:r>
        <w:rPr>
          <w:rFonts w:hint="eastAsia" w:ascii="宋体" w:hAnsi="宋体" w:eastAsia="宋体" w:cs="宋体"/>
          <w:color w:val="auto"/>
          <w:sz w:val="21"/>
          <w:szCs w:val="21"/>
          <w:highlight w:val="none"/>
          <w:lang w:val="zh-CN"/>
        </w:rPr>
        <w:t>封面</w:t>
      </w:r>
      <w:r>
        <w:rPr>
          <w:rFonts w:hint="eastAsia" w:ascii="宋体" w:hAnsi="宋体" w:eastAsia="宋体" w:cs="宋体"/>
          <w:color w:val="auto"/>
          <w:sz w:val="21"/>
          <w:szCs w:val="21"/>
          <w:highlight w:val="none"/>
        </w:rPr>
        <w:t>需打印或用不</w:t>
      </w:r>
      <w:r>
        <w:rPr>
          <w:rFonts w:hint="eastAsia" w:ascii="宋体" w:hAnsi="宋体" w:eastAsia="宋体" w:cs="宋体"/>
          <w:color w:val="auto"/>
          <w:sz w:val="21"/>
          <w:szCs w:val="21"/>
          <w:highlight w:val="none"/>
          <w:lang w:val="en-US" w:eastAsia="zh-CN"/>
        </w:rPr>
        <w:t>褪</w:t>
      </w:r>
      <w:r>
        <w:rPr>
          <w:rFonts w:hint="eastAsia" w:ascii="宋体" w:hAnsi="宋体" w:eastAsia="宋体" w:cs="宋体"/>
          <w:color w:val="auto"/>
          <w:sz w:val="21"/>
          <w:szCs w:val="21"/>
          <w:highlight w:val="none"/>
        </w:rPr>
        <w:t>色的墨水填写，并注明“正本”字样</w:t>
      </w:r>
      <w:r>
        <w:rPr>
          <w:rFonts w:hint="eastAsia" w:ascii="宋体" w:hAnsi="宋体" w:eastAsia="宋体" w:cs="宋体"/>
          <w:color w:val="auto"/>
          <w:sz w:val="21"/>
          <w:szCs w:val="21"/>
          <w:highlight w:val="none"/>
          <w:lang w:val="zh-CN"/>
        </w:rPr>
        <w:t>。</w:t>
      </w:r>
      <w:r>
        <w:rPr>
          <w:rFonts w:hint="eastAsia" w:ascii="宋体" w:hAnsi="宋体" w:eastAsia="宋体" w:cs="宋体"/>
          <w:color w:val="auto"/>
          <w:sz w:val="21"/>
          <w:szCs w:val="21"/>
          <w:highlight w:val="none"/>
        </w:rPr>
        <w:t>▲除报价文件外其余一律不准出现数字报价。如有不同标项，请按标项号分别</w:t>
      </w:r>
      <w:r>
        <w:rPr>
          <w:rFonts w:hint="eastAsia" w:ascii="宋体" w:hAnsi="宋体" w:eastAsia="宋体" w:cs="宋体"/>
          <w:color w:val="auto"/>
          <w:sz w:val="21"/>
          <w:szCs w:val="21"/>
          <w:highlight w:val="none"/>
          <w:lang w:val="en-US" w:eastAsia="zh-CN"/>
        </w:rPr>
        <w:t>编制</w:t>
      </w:r>
      <w:r>
        <w:rPr>
          <w:rFonts w:hint="eastAsia" w:ascii="宋体" w:hAnsi="宋体" w:eastAsia="宋体" w:cs="宋体"/>
          <w:color w:val="auto"/>
          <w:sz w:val="21"/>
          <w:szCs w:val="21"/>
          <w:highlight w:val="none"/>
        </w:rPr>
        <w:t>。</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（2）所有投标资料按投标文件的组成所列内容及顺序装订成册，</w:t>
      </w:r>
      <w:r>
        <w:rPr>
          <w:rFonts w:hint="eastAsia" w:ascii="宋体" w:hAnsi="宋体" w:eastAsia="宋体" w:cs="宋体"/>
          <w:color w:val="auto"/>
          <w:sz w:val="21"/>
          <w:szCs w:val="21"/>
          <w:highlight w:val="none"/>
          <w:lang w:val="zh-CN"/>
        </w:rPr>
        <w:t>并逐页连续标注页码。因投标文件内容不完整、编排混乱导致投标文件被误读、漏读或者查找不到相关内容的责任由投标人自行承担。</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val="en-US" w:eastAsia="zh-CN"/>
        </w:rPr>
        <w:t>备份</w:t>
      </w:r>
      <w:r>
        <w:rPr>
          <w:rFonts w:hint="eastAsia" w:ascii="宋体" w:hAnsi="宋体" w:eastAsia="宋体" w:cs="宋体"/>
          <w:color w:val="auto"/>
          <w:sz w:val="21"/>
          <w:szCs w:val="21"/>
          <w:highlight w:val="none"/>
        </w:rPr>
        <w:t>投标文件在密封袋的封口处加盖投标人公章、</w:t>
      </w:r>
      <w:r>
        <w:rPr>
          <w:rFonts w:hint="eastAsia" w:ascii="宋体" w:hAnsi="宋体" w:eastAsia="宋体" w:cs="宋体"/>
          <w:color w:val="auto"/>
          <w:sz w:val="21"/>
          <w:szCs w:val="21"/>
          <w:highlight w:val="none"/>
          <w:lang w:eastAsia="zh-CN"/>
        </w:rPr>
        <w:t>法定代表人</w:t>
      </w:r>
      <w:r>
        <w:rPr>
          <w:rFonts w:hint="eastAsia" w:ascii="宋体" w:hAnsi="宋体" w:eastAsia="宋体" w:cs="宋体"/>
          <w:color w:val="auto"/>
          <w:sz w:val="21"/>
          <w:szCs w:val="21"/>
          <w:highlight w:val="none"/>
        </w:rPr>
        <w:t>代表或</w:t>
      </w:r>
      <w:r>
        <w:rPr>
          <w:rFonts w:hint="eastAsia" w:ascii="宋体" w:hAnsi="宋体" w:eastAsia="宋体" w:cs="宋体"/>
          <w:color w:val="auto"/>
          <w:sz w:val="21"/>
          <w:szCs w:val="21"/>
          <w:highlight w:val="none"/>
          <w:lang w:val="en-US" w:eastAsia="zh-CN"/>
        </w:rPr>
        <w:t>授权委托代理人</w:t>
      </w:r>
      <w:r>
        <w:rPr>
          <w:rFonts w:hint="eastAsia" w:ascii="宋体" w:hAnsi="宋体" w:eastAsia="宋体" w:cs="宋体"/>
          <w:color w:val="auto"/>
          <w:sz w:val="21"/>
          <w:szCs w:val="21"/>
          <w:highlight w:val="none"/>
        </w:rPr>
        <w:t>印章或签字。封皮上写明项目编号、标项、招标项目名称、投标人名称，并注明“投标文件名称”、“开标时启封”字样，未按上述要求密封及加写标记</w:t>
      </w:r>
      <w:r>
        <w:rPr>
          <w:rFonts w:hint="eastAsia" w:ascii="宋体" w:hAnsi="宋体" w:eastAsia="宋体" w:cs="宋体"/>
          <w:color w:val="auto"/>
          <w:kern w:val="2"/>
          <w:sz w:val="21"/>
          <w:szCs w:val="21"/>
          <w:highlight w:val="none"/>
          <w:lang w:val="en-US" w:eastAsia="zh-CN" w:bidi="ar-SA"/>
        </w:rPr>
        <w:t>将被拒收</w:t>
      </w:r>
      <w:r>
        <w:rPr>
          <w:rFonts w:hint="eastAsia" w:ascii="宋体" w:hAnsi="宋体" w:eastAsia="宋体" w:cs="宋体"/>
          <w:color w:val="auto"/>
          <w:sz w:val="21"/>
          <w:szCs w:val="21"/>
          <w:highlight w:val="none"/>
        </w:rPr>
        <w:t>，采购代理机构对投标文件的误投和提前启封不负责任。</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（4）项目如分标项，各标项投标文件必须分开编制。</w:t>
      </w:r>
    </w:p>
    <w:p>
      <w:pPr>
        <w:spacing w:line="360" w:lineRule="auto"/>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rPr>
        <w:t>（5）</w:t>
      </w:r>
      <w:r>
        <w:rPr>
          <w:rFonts w:hint="eastAsia" w:ascii="宋体" w:hAnsi="宋体" w:eastAsia="宋体" w:cs="宋体"/>
          <w:color w:val="auto"/>
          <w:sz w:val="21"/>
          <w:szCs w:val="21"/>
          <w:highlight w:val="none"/>
          <w:lang w:val="zh-CN"/>
        </w:rPr>
        <w:t>因密封不严、标记不明而造成失密、拒收、过早启封等情况，采购代理机构概不负责。</w:t>
      </w:r>
    </w:p>
    <w:p>
      <w:pPr>
        <w:keepNext w:val="0"/>
        <w:keepLines w:val="0"/>
        <w:pageBreakBefore w:val="0"/>
        <w:kinsoku/>
        <w:wordWrap/>
        <w:overflowPunct/>
        <w:topLinePunct w:val="0"/>
        <w:bidi w:val="0"/>
        <w:spacing w:line="360" w:lineRule="auto"/>
        <w:ind w:firstLine="422" w:firstLineChars="200"/>
        <w:textAlignment w:val="auto"/>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4、投标文件的递交要求</w:t>
      </w:r>
    </w:p>
    <w:p>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供应商同时还可以提供经政采云平台加密处理的、以介质（U盘）存储的数据电文形式的备份投标文件。备份投标文件应当在投标截止时间前按要求密封（备份投标文件在密封袋的封口处加盖投标人公章、法定代表人代表或授权委托代理人印章或签字。封皮上写明项目编号、标项、招标项目名称、投标人名称，并注明“投标文件名称”、“开标时启封”字样）并建议顺丰邮寄到台州市椒江区中环世纪6幢8楼（浙江汇永工程咨询有限公司）收件人：陈奕圩；联系电话：18257695510。</w:t>
      </w:r>
      <w:r>
        <w:rPr>
          <w:rFonts w:hint="eastAsia" w:ascii="宋体" w:hAnsi="宋体" w:eastAsia="宋体" w:cs="宋体"/>
          <w:color w:val="auto"/>
          <w:szCs w:val="21"/>
          <w:highlight w:val="none"/>
        </w:rPr>
        <w:t>投标文件在截止时间后提交、</w:t>
      </w:r>
      <w:r>
        <w:rPr>
          <w:rFonts w:hint="eastAsia" w:ascii="宋体" w:hAnsi="宋体" w:eastAsia="宋体" w:cs="宋体"/>
          <w:color w:val="auto"/>
          <w:highlight w:val="none"/>
        </w:rPr>
        <w:t>到付或未按要求密封</w:t>
      </w:r>
      <w:r>
        <w:rPr>
          <w:rFonts w:hint="eastAsia" w:ascii="宋体" w:hAnsi="宋体" w:eastAsia="宋体" w:cs="宋体"/>
          <w:color w:val="auto"/>
          <w:highlight w:val="none"/>
          <w:lang w:eastAsia="zh-Hans"/>
        </w:rPr>
        <w:t>的</w:t>
      </w:r>
      <w:r>
        <w:rPr>
          <w:rFonts w:hint="eastAsia" w:ascii="宋体" w:hAnsi="宋体" w:eastAsia="宋体" w:cs="宋体"/>
          <w:color w:val="auto"/>
          <w:szCs w:val="21"/>
          <w:highlight w:val="none"/>
        </w:rPr>
        <w:t>，采购代理机构将拒绝接收。▲如供应商未在</w:t>
      </w:r>
      <w:r>
        <w:rPr>
          <w:rFonts w:hint="eastAsia" w:ascii="宋体" w:hAnsi="宋体" w:eastAsia="宋体" w:cs="宋体"/>
          <w:color w:val="auto"/>
          <w:szCs w:val="21"/>
          <w:highlight w:val="none"/>
          <w:lang w:val="en-US" w:eastAsia="zh-CN"/>
        </w:rPr>
        <w:t>投标</w:t>
      </w:r>
      <w:r>
        <w:rPr>
          <w:rFonts w:hint="eastAsia" w:ascii="宋体" w:hAnsi="宋体" w:eastAsia="宋体" w:cs="宋体"/>
          <w:color w:val="auto"/>
          <w:szCs w:val="21"/>
          <w:highlight w:val="none"/>
        </w:rPr>
        <w:t>截止时间前完成电子</w:t>
      </w:r>
      <w:r>
        <w:rPr>
          <w:rFonts w:hint="eastAsia" w:ascii="宋体" w:hAnsi="宋体" w:eastAsia="宋体" w:cs="宋体"/>
          <w:color w:val="auto"/>
          <w:szCs w:val="21"/>
          <w:highlight w:val="none"/>
          <w:lang w:val="en-US" w:eastAsia="zh-CN"/>
        </w:rPr>
        <w:t>投标</w:t>
      </w:r>
      <w:r>
        <w:rPr>
          <w:rFonts w:hint="eastAsia" w:ascii="宋体" w:hAnsi="宋体" w:eastAsia="宋体" w:cs="宋体"/>
          <w:color w:val="auto"/>
          <w:szCs w:val="21"/>
          <w:highlight w:val="none"/>
        </w:rPr>
        <w:t>文件的传输递交，其备份</w:t>
      </w:r>
      <w:r>
        <w:rPr>
          <w:rFonts w:hint="eastAsia" w:ascii="宋体" w:hAnsi="宋体" w:eastAsia="宋体" w:cs="宋体"/>
          <w:color w:val="auto"/>
          <w:szCs w:val="21"/>
          <w:highlight w:val="none"/>
          <w:lang w:val="en-US" w:eastAsia="zh-CN"/>
        </w:rPr>
        <w:t>投标</w:t>
      </w:r>
      <w:r>
        <w:rPr>
          <w:rFonts w:hint="eastAsia" w:ascii="宋体" w:hAnsi="宋体" w:eastAsia="宋体" w:cs="宋体"/>
          <w:color w:val="auto"/>
          <w:szCs w:val="21"/>
          <w:highlight w:val="none"/>
        </w:rPr>
        <w:t>文件也将为无效</w:t>
      </w:r>
      <w:r>
        <w:rPr>
          <w:rFonts w:hint="eastAsia" w:ascii="宋体" w:hAnsi="宋体" w:cs="宋体"/>
          <w:color w:val="auto"/>
          <w:szCs w:val="21"/>
          <w:highlight w:val="none"/>
          <w:lang w:val="en-US" w:eastAsia="zh-CN"/>
        </w:rPr>
        <w:t>备份</w:t>
      </w:r>
      <w:r>
        <w:rPr>
          <w:rFonts w:hint="eastAsia" w:ascii="宋体" w:hAnsi="宋体" w:eastAsia="宋体" w:cs="宋体"/>
          <w:color w:val="auto"/>
          <w:szCs w:val="21"/>
          <w:highlight w:val="none"/>
          <w:lang w:val="en-US" w:eastAsia="zh-CN"/>
        </w:rPr>
        <w:t>投标</w:t>
      </w:r>
      <w:r>
        <w:rPr>
          <w:rFonts w:hint="eastAsia" w:ascii="宋体" w:hAnsi="宋体" w:eastAsia="宋体" w:cs="宋体"/>
          <w:color w:val="auto"/>
          <w:szCs w:val="21"/>
          <w:highlight w:val="none"/>
        </w:rPr>
        <w:t>文件。</w:t>
      </w:r>
    </w:p>
    <w:p>
      <w:pPr>
        <w:keepNext w:val="0"/>
        <w:keepLines w:val="0"/>
        <w:pageBreakBefore w:val="0"/>
        <w:tabs>
          <w:tab w:val="left" w:pos="1418"/>
        </w:tabs>
        <w:kinsoku/>
        <w:wordWrap/>
        <w:topLinePunct w:val="0"/>
        <w:autoSpaceDE w:val="0"/>
        <w:autoSpaceDN w:val="0"/>
        <w:bidi w:val="0"/>
        <w:adjustRightInd w:val="0"/>
        <w:spacing w:line="360" w:lineRule="auto"/>
        <w:ind w:firstLine="422" w:firstLineChars="200"/>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sz w:val="21"/>
          <w:szCs w:val="21"/>
          <w:highlight w:val="none"/>
        </w:rPr>
        <w:t>（2）</w:t>
      </w:r>
      <w:r>
        <w:rPr>
          <w:rFonts w:hint="eastAsia" w:ascii="宋体" w:hAnsi="宋体" w:eastAsia="宋体" w:cs="宋体"/>
          <w:b/>
          <w:bCs/>
          <w:color w:val="auto"/>
          <w:kern w:val="2"/>
          <w:sz w:val="21"/>
          <w:szCs w:val="21"/>
          <w:highlight w:val="none"/>
          <w:lang w:val="en-US" w:eastAsia="zh-CN" w:bidi="ar-SA"/>
        </w:rPr>
        <w:t>电子投标文件的相关说明</w:t>
      </w:r>
    </w:p>
    <w:p>
      <w:pPr>
        <w:keepNext w:val="0"/>
        <w:keepLines w:val="0"/>
        <w:pageBreakBefore w:val="0"/>
        <w:tabs>
          <w:tab w:val="left" w:pos="1418"/>
        </w:tabs>
        <w:kinsoku/>
        <w:wordWrap/>
        <w:topLinePunct w:val="0"/>
        <w:autoSpaceDE w:val="0"/>
        <w:autoSpaceDN w:val="0"/>
        <w:bidi w:val="0"/>
        <w:adjustRightInd w:val="0"/>
        <w:spacing w:line="360" w:lineRule="auto"/>
        <w:ind w:firstLine="420" w:firstLineChars="200"/>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供应商进行电子投标应安装客户端软件，并按照采购文件和电子交易平台的要求编制并加密投标文件。</w:t>
      </w:r>
      <w:r>
        <w:rPr>
          <w:rFonts w:hint="eastAsia" w:ascii="宋体" w:hAnsi="宋体" w:eastAsia="宋体" w:cs="宋体"/>
          <w:color w:val="auto"/>
          <w:szCs w:val="21"/>
          <w:highlight w:val="none"/>
        </w:rPr>
        <w:t>▲</w:t>
      </w:r>
      <w:r>
        <w:rPr>
          <w:rFonts w:hint="eastAsia" w:ascii="宋体" w:hAnsi="宋体" w:eastAsia="宋体" w:cs="宋体"/>
          <w:b w:val="0"/>
          <w:bCs w:val="0"/>
          <w:color w:val="auto"/>
          <w:kern w:val="2"/>
          <w:sz w:val="21"/>
          <w:szCs w:val="21"/>
          <w:highlight w:val="none"/>
          <w:lang w:val="en-US" w:eastAsia="zh-CN" w:bidi="ar-SA"/>
        </w:rPr>
        <w:t>供应商未按规定加密的投标文件，电子交易平台将拒收。</w:t>
      </w:r>
    </w:p>
    <w:p>
      <w:pPr>
        <w:keepNext w:val="0"/>
        <w:keepLines w:val="0"/>
        <w:pageBreakBefore w:val="0"/>
        <w:tabs>
          <w:tab w:val="left" w:pos="1418"/>
        </w:tabs>
        <w:kinsoku/>
        <w:wordWrap/>
        <w:topLinePunct w:val="0"/>
        <w:autoSpaceDE w:val="0"/>
        <w:autoSpaceDN w:val="0"/>
        <w:bidi w:val="0"/>
        <w:adjustRightInd w:val="0"/>
        <w:spacing w:line="360" w:lineRule="auto"/>
        <w:ind w:firstLine="420" w:firstLineChars="200"/>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color w:val="auto"/>
          <w:szCs w:val="21"/>
          <w:highlight w:val="none"/>
        </w:rPr>
        <w:t>▲</w:t>
      </w:r>
      <w:r>
        <w:rPr>
          <w:rFonts w:hint="eastAsia" w:ascii="宋体" w:hAnsi="宋体" w:eastAsia="宋体" w:cs="宋体"/>
          <w:b w:val="0"/>
          <w:bCs w:val="0"/>
          <w:color w:val="auto"/>
          <w:kern w:val="2"/>
          <w:sz w:val="21"/>
          <w:szCs w:val="21"/>
          <w:highlight w:val="none"/>
          <w:lang w:val="en-US" w:eastAsia="zh-CN" w:bidi="ar-SA"/>
        </w:rPr>
        <w:t>供应商应当在投标截止时间前完成投标文件的传输递交，并可以补充、修改或者撤回投标文件。补充或者修改投标文件的，应当先行撤回原文件，补充、修改后重新传输递交。投标截止时间前未完成传输的，视为撤回投标文件。</w:t>
      </w:r>
      <w:r>
        <w:rPr>
          <w:rFonts w:hint="eastAsia" w:ascii="宋体" w:hAnsi="宋体" w:eastAsia="宋体" w:cs="宋体"/>
          <w:color w:val="auto"/>
          <w:szCs w:val="21"/>
          <w:highlight w:val="none"/>
        </w:rPr>
        <w:t>▲</w:t>
      </w:r>
      <w:r>
        <w:rPr>
          <w:rFonts w:hint="eastAsia" w:ascii="宋体" w:hAnsi="宋体" w:eastAsia="宋体" w:cs="宋体"/>
          <w:b w:val="0"/>
          <w:bCs w:val="0"/>
          <w:color w:val="auto"/>
          <w:kern w:val="2"/>
          <w:sz w:val="21"/>
          <w:szCs w:val="21"/>
          <w:highlight w:val="none"/>
          <w:lang w:val="en-US" w:eastAsia="zh-CN" w:bidi="ar-SA"/>
        </w:rPr>
        <w:t>投标截止时间后递交的投标文件，电子交易平台将拒收。</w:t>
      </w:r>
    </w:p>
    <w:p>
      <w:pPr>
        <w:keepNext w:val="0"/>
        <w:keepLines w:val="0"/>
        <w:pageBreakBefore w:val="0"/>
        <w:tabs>
          <w:tab w:val="left" w:pos="1418"/>
        </w:tabs>
        <w:kinsoku/>
        <w:wordWrap/>
        <w:topLinePunct w:val="0"/>
        <w:autoSpaceDE w:val="0"/>
        <w:autoSpaceDN w:val="0"/>
        <w:bidi w:val="0"/>
        <w:adjustRightInd w:val="0"/>
        <w:spacing w:line="360" w:lineRule="auto"/>
        <w:ind w:firstLine="420" w:firstLineChars="200"/>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供应商在电子交易平台传输递交投标文件后，还可以在投标截止时间前提交备份投标文件，若供应商未提交备份投标文件，其后果由供应商自行承担。</w:t>
      </w:r>
    </w:p>
    <w:p>
      <w:pPr>
        <w:keepNext w:val="0"/>
        <w:keepLines w:val="0"/>
        <w:pageBreakBefore w:val="0"/>
        <w:tabs>
          <w:tab w:val="left" w:pos="1418"/>
        </w:tabs>
        <w:kinsoku/>
        <w:wordWrap/>
        <w:topLinePunct w:val="0"/>
        <w:autoSpaceDE w:val="0"/>
        <w:autoSpaceDN w:val="0"/>
        <w:bidi w:val="0"/>
        <w:adjustRightInd w:val="0"/>
        <w:spacing w:line="360" w:lineRule="auto"/>
        <w:ind w:firstLine="420" w:firstLineChars="200"/>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▲供应商仅提交备份投标文件的，投标无效。</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如有特殊情况，采购</w:t>
      </w:r>
      <w:r>
        <w:rPr>
          <w:rFonts w:hint="eastAsia" w:ascii="宋体" w:hAnsi="宋体" w:eastAsia="宋体" w:cs="宋体"/>
          <w:color w:val="auto"/>
          <w:sz w:val="21"/>
          <w:szCs w:val="21"/>
          <w:highlight w:val="none"/>
          <w:lang w:val="en-US" w:eastAsia="zh-CN"/>
        </w:rPr>
        <w:t>代理</w:t>
      </w:r>
      <w:r>
        <w:rPr>
          <w:rFonts w:hint="eastAsia" w:ascii="宋体" w:hAnsi="宋体" w:eastAsia="宋体" w:cs="宋体"/>
          <w:color w:val="auto"/>
          <w:sz w:val="21"/>
          <w:szCs w:val="21"/>
          <w:highlight w:val="none"/>
        </w:rPr>
        <w:t>机构延长截止时间和开标时间，采购</w:t>
      </w:r>
      <w:r>
        <w:rPr>
          <w:rFonts w:hint="eastAsia" w:ascii="宋体" w:hAnsi="宋体" w:eastAsia="宋体" w:cs="宋体"/>
          <w:color w:val="auto"/>
          <w:sz w:val="21"/>
          <w:szCs w:val="21"/>
          <w:highlight w:val="none"/>
          <w:lang w:val="en-US" w:eastAsia="zh-CN"/>
        </w:rPr>
        <w:t>代理</w:t>
      </w:r>
      <w:r>
        <w:rPr>
          <w:rFonts w:hint="eastAsia" w:ascii="宋体" w:hAnsi="宋体" w:eastAsia="宋体" w:cs="宋体"/>
          <w:color w:val="auto"/>
          <w:sz w:val="21"/>
          <w:szCs w:val="21"/>
          <w:highlight w:val="none"/>
        </w:rPr>
        <w:t>机构和投标人的权利和义务将受到新的截止时间和开标时间的约束。</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4、投标文件的补充、修改和撤回。</w:t>
      </w:r>
    </w:p>
    <w:p>
      <w:pPr>
        <w:pStyle w:val="66"/>
        <w:ind w:left="0" w:leftChars="0" w:firstLine="480" w:firstLineChars="200"/>
        <w:rPr>
          <w:rFonts w:hint="eastAsia" w:ascii="宋体" w:hAnsi="宋体" w:eastAsia="宋体" w:cs="宋体"/>
          <w:color w:val="auto"/>
          <w:kern w:val="2"/>
          <w:sz w:val="21"/>
          <w:szCs w:val="21"/>
          <w:highlight w:val="none"/>
          <w:lang w:val="en-GB" w:eastAsia="zh-CN" w:bidi="ar-SA"/>
        </w:rPr>
      </w:pPr>
      <w:r>
        <w:rPr>
          <w:rFonts w:hint="eastAsia" w:ascii="宋体" w:hAnsi="宋体" w:eastAsia="宋体" w:cs="宋体"/>
          <w:color w:val="auto"/>
          <w:szCs w:val="21"/>
          <w:highlight w:val="none"/>
        </w:rPr>
        <w:t>▲</w:t>
      </w:r>
      <w:r>
        <w:rPr>
          <w:rFonts w:hint="eastAsia" w:ascii="宋体" w:hAnsi="宋体" w:eastAsia="宋体" w:cs="宋体"/>
          <w:color w:val="auto"/>
          <w:kern w:val="2"/>
          <w:sz w:val="21"/>
          <w:szCs w:val="21"/>
          <w:highlight w:val="none"/>
          <w:lang w:val="en-GB" w:eastAsia="zh-CN" w:bidi="ar-SA"/>
        </w:rPr>
        <w:t>（</w:t>
      </w:r>
      <w:r>
        <w:rPr>
          <w:rFonts w:hint="eastAsia" w:ascii="宋体" w:hAnsi="宋体" w:eastAsia="宋体" w:cs="宋体"/>
          <w:color w:val="auto"/>
          <w:kern w:val="2"/>
          <w:sz w:val="21"/>
          <w:szCs w:val="21"/>
          <w:highlight w:val="none"/>
          <w:lang w:val="en-US" w:eastAsia="zh-CN" w:bidi="ar-SA"/>
        </w:rPr>
        <w:t>1</w:t>
      </w:r>
      <w:r>
        <w:rPr>
          <w:rFonts w:hint="eastAsia" w:ascii="宋体" w:hAnsi="宋体" w:eastAsia="宋体" w:cs="宋体"/>
          <w:color w:val="auto"/>
          <w:kern w:val="2"/>
          <w:sz w:val="21"/>
          <w:szCs w:val="21"/>
          <w:highlight w:val="none"/>
          <w:lang w:val="en-GB" w:eastAsia="zh-CN" w:bidi="ar-SA"/>
        </w:rPr>
        <w:t>）投标人应当在投标截止时间前完成电子投标文件的上传、递交，并可以补充、修改或者撤回投标文件。补充或者修改投标文件的，应当先行撤回原文件，补充、修改后重新上传、递交。投标截止时间前未完成上传、递交的，视为撤回投标文件。投标截止时间后递交的投标文件，“政府采购云平台”将予以拒收。</w:t>
      </w:r>
    </w:p>
    <w:p>
      <w:pPr>
        <w:pStyle w:val="66"/>
        <w:ind w:left="0" w:leftChars="0" w:firstLine="420" w:firstLineChars="200"/>
        <w:rPr>
          <w:rFonts w:hint="eastAsia" w:ascii="宋体" w:hAnsi="宋体" w:eastAsia="宋体" w:cs="宋体"/>
          <w:color w:val="auto"/>
          <w:kern w:val="2"/>
          <w:sz w:val="21"/>
          <w:szCs w:val="21"/>
          <w:highlight w:val="none"/>
          <w:lang w:val="en-GB" w:eastAsia="zh-CN" w:bidi="ar-SA"/>
        </w:rPr>
      </w:pPr>
      <w:r>
        <w:rPr>
          <w:rFonts w:hint="eastAsia" w:ascii="宋体" w:hAnsi="宋体" w:eastAsia="宋体" w:cs="宋体"/>
          <w:color w:val="auto"/>
          <w:kern w:val="2"/>
          <w:sz w:val="21"/>
          <w:szCs w:val="21"/>
          <w:highlight w:val="none"/>
          <w:lang w:val="en-GB" w:eastAsia="zh-CN" w:bidi="ar-SA"/>
        </w:rPr>
        <w:t>（</w:t>
      </w:r>
      <w:r>
        <w:rPr>
          <w:rFonts w:hint="eastAsia" w:ascii="宋体" w:hAnsi="宋体" w:eastAsia="宋体" w:cs="宋体"/>
          <w:color w:val="auto"/>
          <w:kern w:val="2"/>
          <w:sz w:val="21"/>
          <w:szCs w:val="21"/>
          <w:highlight w:val="none"/>
          <w:lang w:val="en-US" w:eastAsia="zh-CN" w:bidi="ar-SA"/>
        </w:rPr>
        <w:t>2</w:t>
      </w:r>
      <w:r>
        <w:rPr>
          <w:rFonts w:hint="eastAsia" w:ascii="宋体" w:hAnsi="宋体" w:eastAsia="宋体" w:cs="宋体"/>
          <w:color w:val="auto"/>
          <w:kern w:val="2"/>
          <w:sz w:val="21"/>
          <w:szCs w:val="21"/>
          <w:highlight w:val="none"/>
          <w:lang w:val="en-GB" w:eastAsia="zh-CN" w:bidi="ar-SA"/>
        </w:rPr>
        <w:t>）投标截止时间后，投标供应商不得撤回、修改投标文件。</w:t>
      </w:r>
    </w:p>
    <w:p>
      <w:pPr>
        <w:pStyle w:val="66"/>
        <w:ind w:left="0" w:lef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（3）</w:t>
      </w:r>
      <w:r>
        <w:rPr>
          <w:rFonts w:hint="eastAsia" w:ascii="宋体" w:hAnsi="宋体" w:eastAsia="宋体" w:cs="宋体"/>
          <w:color w:val="auto"/>
          <w:kern w:val="2"/>
          <w:sz w:val="21"/>
          <w:szCs w:val="21"/>
          <w:highlight w:val="none"/>
          <w:lang w:val="en-GB" w:eastAsia="zh-CN" w:bidi="ar-SA"/>
        </w:rPr>
        <w:t>在开标后规定的投标有效期内，投标人不能撤销投标文件。</w:t>
      </w:r>
    </w:p>
    <w:p>
      <w:pPr>
        <w:keepNext w:val="0"/>
        <w:keepLines w:val="0"/>
        <w:pageBreakBefore w:val="0"/>
        <w:kinsoku/>
        <w:wordWrap/>
        <w:overflowPunct/>
        <w:topLinePunct w:val="0"/>
        <w:bidi w:val="0"/>
        <w:spacing w:line="360" w:lineRule="auto"/>
        <w:ind w:firstLine="422" w:firstLineChars="200"/>
        <w:textAlignment w:val="auto"/>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（三）投标文件的有效期</w:t>
      </w:r>
    </w:p>
    <w:p>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Cs w:val="21"/>
          <w:highlight w:val="none"/>
          <w:lang w:val="en-GB"/>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en-GB"/>
        </w:rPr>
        <w:t>自投标截止日起90天投标文件应保持有效。有效期不足的投标文件将被拒绝。</w:t>
      </w:r>
    </w:p>
    <w:p>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Cs w:val="21"/>
          <w:highlight w:val="none"/>
          <w:lang w:val="en-GB"/>
        </w:rPr>
      </w:pPr>
      <w:r>
        <w:rPr>
          <w:rFonts w:hint="eastAsia" w:ascii="宋体" w:hAnsi="宋体" w:eastAsia="宋体" w:cs="宋体"/>
          <w:color w:val="auto"/>
          <w:szCs w:val="21"/>
          <w:highlight w:val="none"/>
        </w:rPr>
        <w:t>2、在符合相关法律法规规定的情况下</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GB"/>
        </w:rPr>
        <w:t>采购人可与投标人协商延长投标文件的有效期，这种要求和答复均以书面形式进行。</w:t>
      </w:r>
    </w:p>
    <w:p>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▲3、中标人的投标文件自开标之日起至合同履行完毕均应保持有效。</w:t>
      </w:r>
    </w:p>
    <w:p>
      <w:pPr>
        <w:keepNext w:val="0"/>
        <w:keepLines w:val="0"/>
        <w:pageBreakBefore w:val="0"/>
        <w:kinsoku/>
        <w:wordWrap/>
        <w:overflowPunct/>
        <w:topLinePunct w:val="0"/>
        <w:bidi w:val="0"/>
        <w:spacing w:line="360" w:lineRule="auto"/>
        <w:textAlignment w:val="auto"/>
        <w:outlineLvl w:val="9"/>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四、开标</w:t>
      </w:r>
    </w:p>
    <w:p>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（一）开标事项</w:t>
      </w:r>
    </w:p>
    <w:p>
      <w:pPr>
        <w:keepNext w:val="0"/>
        <w:keepLines w:val="0"/>
        <w:pageBreakBefore w:val="0"/>
        <w:tabs>
          <w:tab w:val="left" w:pos="1418"/>
        </w:tabs>
        <w:kinsoku/>
        <w:wordWrap/>
        <w:overflowPunct/>
        <w:topLinePunct w:val="0"/>
        <w:autoSpaceDE w:val="0"/>
        <w:autoSpaceDN w:val="0"/>
        <w:bidi w:val="0"/>
        <w:adjustRightInd w:val="0"/>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采购组织机构按照采购文件规定的时间通过电子交易平台组织开标、开启投标文件，所有供应商均应当准时在线参加。</w:t>
      </w:r>
    </w:p>
    <w:p>
      <w:pPr>
        <w:keepNext w:val="0"/>
        <w:keepLines w:val="0"/>
        <w:pageBreakBefore w:val="0"/>
        <w:tabs>
          <w:tab w:val="left" w:pos="1418"/>
        </w:tabs>
        <w:kinsoku/>
        <w:wordWrap/>
        <w:overflowPunct/>
        <w:topLinePunct w:val="0"/>
        <w:autoSpaceDE w:val="0"/>
        <w:autoSpaceDN w:val="0"/>
        <w:bidi w:val="0"/>
        <w:adjustRightInd w:val="0"/>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开标时，电子交易平台自动提取所有投标文件，提示采购组织机构和供应商按采购文件规定的方式和时间在线解密。</w:t>
      </w:r>
      <w:r>
        <w:rPr>
          <w:rFonts w:hint="eastAsia" w:ascii="宋体" w:hAnsi="宋体" w:eastAsia="宋体" w:cs="宋体"/>
          <w:b/>
          <w:bCs/>
          <w:color w:val="auto"/>
          <w:szCs w:val="21"/>
          <w:highlight w:val="none"/>
        </w:rPr>
        <w:t>给予供应商在线解密的时间为截止投标后30分钟。</w:t>
      </w:r>
    </w:p>
    <w:p>
      <w:pPr>
        <w:keepNext w:val="0"/>
        <w:keepLines w:val="0"/>
        <w:pageBreakBefore w:val="0"/>
        <w:tabs>
          <w:tab w:val="left" w:pos="1418"/>
        </w:tabs>
        <w:kinsoku/>
        <w:wordWrap/>
        <w:topLinePunct w:val="0"/>
        <w:autoSpaceDE w:val="0"/>
        <w:autoSpaceDN w:val="0"/>
        <w:bidi w:val="0"/>
        <w:adjustRightInd w:val="0"/>
        <w:spacing w:line="360" w:lineRule="auto"/>
        <w:ind w:firstLine="420" w:firstLineChars="200"/>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color w:val="auto"/>
          <w:szCs w:val="21"/>
          <w:highlight w:val="none"/>
        </w:rPr>
        <w:t>▲</w:t>
      </w:r>
      <w:r>
        <w:rPr>
          <w:rFonts w:hint="eastAsia" w:ascii="宋体" w:hAnsi="宋体" w:eastAsia="宋体" w:cs="宋体"/>
          <w:b w:val="0"/>
          <w:bCs w:val="0"/>
          <w:color w:val="auto"/>
          <w:kern w:val="2"/>
          <w:sz w:val="21"/>
          <w:szCs w:val="21"/>
          <w:highlight w:val="none"/>
          <w:lang w:val="en-US" w:eastAsia="zh-CN" w:bidi="ar-SA"/>
        </w:rPr>
        <w:t>投标文件未按时解密，供应商提供了备份投标文件的，以备份投标文件作为依据，否则视为投标文件撤回。投标文件已按时解密的，备份投标文件不再拆封。</w:t>
      </w:r>
    </w:p>
    <w:p>
      <w:pPr>
        <w:keepNext w:val="0"/>
        <w:keepLines w:val="0"/>
        <w:pageBreakBefore w:val="0"/>
        <w:tabs>
          <w:tab w:val="left" w:pos="1418"/>
        </w:tabs>
        <w:kinsoku/>
        <w:wordWrap/>
        <w:overflowPunct/>
        <w:topLinePunct w:val="0"/>
        <w:autoSpaceDE w:val="0"/>
        <w:autoSpaceDN w:val="0"/>
        <w:bidi w:val="0"/>
        <w:adjustRightInd w:val="0"/>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购组织机构在“招标公告”规定的时间和地点公开开标，（受疫情期间影响）投标人的法定代表人或其授权代表无需现场参加开标会并签到。评标委员会成员不得参加开标活动。（本次招标采用先评审商务资格和技术服务方案，后公开并评审商务报价的办法实施）。</w:t>
      </w:r>
    </w:p>
    <w:p>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（二） 开标程序</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1、开标会由招标项目负责人主持，主持人宣布开标会议开始；</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2、主持人介绍参加开标会的人员名单； </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3、主持人宣布评标期间的有关事项，告知应当回避的情形,提请有关人员回避；</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4、向各投标人发出电子加密投标文件【开始解密】通知，由投标人按招标文件规定的时间内自行进行投标文件解密。投标文件的制作和解密应使用同一个数字证书，否则将可能解密失败。</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5、采购组织机构点击【开启标书信息】，进入资格审查及符合性审查环节。</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、完成综合比较与评价后，开启报价响应文件</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采购代理机构成功开启报价响应文件后，方可查看各供应商报价情况。</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、报价文件评审；</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、在完成评标后，宣布评标结果，开标会议结束。</w:t>
      </w:r>
    </w:p>
    <w:p>
      <w:pPr>
        <w:keepNext w:val="0"/>
        <w:keepLines w:val="0"/>
        <w:pageBreakBefore w:val="0"/>
        <w:kinsoku/>
        <w:wordWrap/>
        <w:overflowPunct/>
        <w:topLinePunct w:val="0"/>
        <w:bidi w:val="0"/>
        <w:spacing w:line="360" w:lineRule="auto"/>
        <w:textAlignment w:val="auto"/>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五、评标</w:t>
      </w:r>
    </w:p>
    <w:p>
      <w:pPr>
        <w:keepNext w:val="0"/>
        <w:keepLines w:val="0"/>
        <w:pageBreakBefore w:val="0"/>
        <w:kinsoku/>
        <w:wordWrap/>
        <w:overflowPunct/>
        <w:topLinePunct w:val="0"/>
        <w:bidi w:val="0"/>
        <w:spacing w:line="360" w:lineRule="auto"/>
        <w:ind w:firstLine="422" w:firstLineChars="200"/>
        <w:textAlignment w:val="auto"/>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（一）组建评标委员会</w:t>
      </w:r>
    </w:p>
    <w:p>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评标委员会由采购人代表和评审专家组成，成员人数为5人以上单数，其中评审专家不得少于成员总数的三分之二。</w:t>
      </w:r>
    </w:p>
    <w:p>
      <w:pPr>
        <w:keepNext w:val="0"/>
        <w:keepLines w:val="0"/>
        <w:pageBreakBefore w:val="0"/>
        <w:kinsoku/>
        <w:wordWrap/>
        <w:overflowPunct/>
        <w:topLinePunct w:val="0"/>
        <w:bidi w:val="0"/>
        <w:spacing w:line="360" w:lineRule="auto"/>
        <w:ind w:firstLine="422" w:firstLineChars="200"/>
        <w:textAlignment w:val="auto"/>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（二）评标程序</w:t>
      </w:r>
    </w:p>
    <w:p>
      <w:pPr>
        <w:keepNext w:val="0"/>
        <w:keepLines w:val="0"/>
        <w:pageBreakBefore w:val="0"/>
        <w:kinsoku/>
        <w:wordWrap/>
        <w:overflowPunct/>
        <w:topLinePunct w:val="0"/>
        <w:bidi w:val="0"/>
        <w:spacing w:line="360" w:lineRule="auto"/>
        <w:ind w:firstLine="422" w:firstLineChars="200"/>
        <w:textAlignment w:val="auto"/>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1、资格审查</w:t>
      </w:r>
    </w:p>
    <w:p>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公开招标采购项目开标结束后，采购人或者采购组织机构应当依法对投标人的资格进行审查，对审查发现无效的进行必要的询标，结束后公布无效投标的投标人名单、投标无效的原因。</w:t>
      </w:r>
    </w:p>
    <w:p>
      <w:pPr>
        <w:keepNext w:val="0"/>
        <w:keepLines w:val="0"/>
        <w:pageBreakBefore w:val="0"/>
        <w:kinsoku/>
        <w:wordWrap/>
        <w:overflowPunct/>
        <w:topLinePunct w:val="0"/>
        <w:bidi w:val="0"/>
        <w:spacing w:line="360" w:lineRule="auto"/>
        <w:ind w:firstLine="422" w:firstLineChars="200"/>
        <w:textAlignment w:val="auto"/>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2、符合性审查</w:t>
      </w:r>
    </w:p>
    <w:p>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评标委员会应当对符合资格的投标人的投标文件进行符合性审查，以确定其是否满足招标文件的实质性要求，对审查发现无效的进行必要的询标，结束后公布无效投标的投标人名单、投标无效的原因。</w:t>
      </w:r>
    </w:p>
    <w:p>
      <w:pPr>
        <w:keepNext w:val="0"/>
        <w:keepLines w:val="0"/>
        <w:pageBreakBefore w:val="0"/>
        <w:kinsoku/>
        <w:wordWrap/>
        <w:overflowPunct/>
        <w:topLinePunct w:val="0"/>
        <w:bidi w:val="0"/>
        <w:spacing w:line="360" w:lineRule="auto"/>
        <w:ind w:firstLine="422" w:firstLineChars="200"/>
        <w:textAlignment w:val="auto"/>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3、综合比较与评价</w:t>
      </w:r>
    </w:p>
    <w:p>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（1）对于投标文件中含义不明确、同类问题表述不一致或者有明显文字和计算错误的内容，评标委员会应当以书面形式要求投标人作出必要的澄清、说明或者补正。</w:t>
      </w:r>
    </w:p>
    <w:p>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（2）评标委员会应当按照招标文件中规定的评标方法和标准，对符合性审查合格的投标文件进行商务和技术评估，综合比较与评价。</w:t>
      </w:r>
    </w:p>
    <w:p>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（3）评标时，评标委员会各成员应当独立对每个投标人的投标文件进行评价，并汇总每个投标人的得分。</w:t>
      </w:r>
    </w:p>
    <w:p>
      <w:pPr>
        <w:keepNext w:val="0"/>
        <w:keepLines w:val="0"/>
        <w:pageBreakBefore w:val="0"/>
        <w:kinsoku/>
        <w:wordWrap/>
        <w:overflowPunct/>
        <w:topLinePunct w:val="0"/>
        <w:bidi w:val="0"/>
        <w:spacing w:line="360" w:lineRule="auto"/>
        <w:ind w:firstLine="422" w:firstLineChars="200"/>
        <w:textAlignment w:val="auto"/>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4、得分确认及评审报告编写</w:t>
      </w:r>
    </w:p>
    <w:p>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（1）评标委员会对报价文件进行复核，对于系统计算出的价格分及总得分进行确认；</w:t>
      </w:r>
    </w:p>
    <w:p>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（2）评标委员会应当按照招标文件中规定的评标方法和标准，对符合性审查合格的投标文件进行商务和技术评估，综合比较与评价。</w:t>
      </w:r>
    </w:p>
    <w:p>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（3）评标委员会按评标原则及得分情况编写评审报告。</w:t>
      </w:r>
    </w:p>
    <w:p>
      <w:pPr>
        <w:keepNext w:val="0"/>
        <w:keepLines w:val="0"/>
        <w:pageBreakBefore w:val="0"/>
        <w:kinsoku/>
        <w:wordWrap/>
        <w:overflowPunct/>
        <w:topLinePunct w:val="0"/>
        <w:bidi w:val="0"/>
        <w:spacing w:line="360" w:lineRule="auto"/>
        <w:ind w:firstLine="422" w:firstLineChars="200"/>
        <w:textAlignment w:val="auto"/>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5、评价</w:t>
      </w:r>
    </w:p>
    <w:p>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采购组织机构对评标委员会评审专家进行评价。</w:t>
      </w:r>
    </w:p>
    <w:p>
      <w:pPr>
        <w:keepNext w:val="0"/>
        <w:keepLines w:val="0"/>
        <w:pageBreakBefore w:val="0"/>
        <w:kinsoku/>
        <w:wordWrap/>
        <w:overflowPunct/>
        <w:topLinePunct w:val="0"/>
        <w:bidi w:val="0"/>
        <w:spacing w:line="360" w:lineRule="auto"/>
        <w:ind w:firstLine="422" w:firstLineChars="200"/>
        <w:textAlignment w:val="auto"/>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（三）澄清问题的形式</w:t>
      </w:r>
    </w:p>
    <w:p>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投标人的澄清、说明或者补正应当采用书面形式，并加盖公章或者由</w:t>
      </w:r>
      <w:r>
        <w:rPr>
          <w:rFonts w:hint="eastAsia" w:ascii="宋体" w:hAnsi="宋体" w:eastAsia="宋体" w:cs="宋体"/>
          <w:color w:val="auto"/>
          <w:szCs w:val="21"/>
          <w:highlight w:val="none"/>
          <w:lang w:eastAsia="zh-CN"/>
        </w:rPr>
        <w:t>法定代表人或授权委托代理人</w:t>
      </w:r>
      <w:r>
        <w:rPr>
          <w:rFonts w:hint="eastAsia" w:ascii="宋体" w:hAnsi="宋体" w:eastAsia="宋体" w:cs="宋体"/>
          <w:color w:val="auto"/>
          <w:szCs w:val="21"/>
          <w:highlight w:val="none"/>
        </w:rPr>
        <w:t>签字，并不得超出投标文件的范围或者改变投标文件的实质性内容。</w:t>
      </w:r>
    </w:p>
    <w:p>
      <w:pPr>
        <w:keepNext w:val="0"/>
        <w:keepLines w:val="0"/>
        <w:pageBreakBefore w:val="0"/>
        <w:kinsoku/>
        <w:wordWrap/>
        <w:overflowPunct/>
        <w:topLinePunct w:val="0"/>
        <w:bidi w:val="0"/>
        <w:spacing w:line="360" w:lineRule="auto"/>
        <w:ind w:firstLine="422" w:firstLineChars="200"/>
        <w:textAlignment w:val="auto"/>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（四）错误修正</w:t>
      </w:r>
    </w:p>
    <w:p>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投标文件报价出现前后不一致的，除招标文件另有规定外，按照下列规定修正：</w:t>
      </w:r>
    </w:p>
    <w:p>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1、投标文件中开标一览表（报价表）内容与投标文件中相应内容不一致的，以开标一览表（报价表）为准</w:t>
      </w:r>
      <w:r>
        <w:rPr>
          <w:rFonts w:hint="eastAsia" w:ascii="宋体" w:hAnsi="宋体" w:eastAsia="宋体" w:cs="宋体"/>
          <w:color w:val="auto"/>
          <w:szCs w:val="21"/>
          <w:highlight w:val="none"/>
          <w:lang w:eastAsia="zh-CN"/>
        </w:rPr>
        <w:t>。政采云平台开标一览表中填报的价格与上传的报价响应文件中开标一览表的报价不一致的，以上传的报价响应文件中开标一览表的价格为准，修正平台上的投标报价</w:t>
      </w:r>
      <w:r>
        <w:rPr>
          <w:rFonts w:hint="eastAsia" w:ascii="宋体" w:hAnsi="宋体" w:eastAsia="宋体" w:cs="宋体"/>
          <w:color w:val="auto"/>
          <w:szCs w:val="21"/>
          <w:highlight w:val="none"/>
        </w:rPr>
        <w:t>；</w:t>
      </w:r>
    </w:p>
    <w:p>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2、大写金额和小写金额不一致的，以大写金额为准；</w:t>
      </w:r>
    </w:p>
    <w:p>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3、单价金额小数点或者百分比有明显错位的，以开标一览表的总价为准，并修改单价；</w:t>
      </w:r>
    </w:p>
    <w:p>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4、总价金额与按单价汇总金额不一致的，以单价金额计算结果为准。</w:t>
      </w:r>
    </w:p>
    <w:p>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▲同时出现两种以上不一致的，按照前款规定的顺序修正。修正应当采用书面形式，并加盖公章，或者由</w:t>
      </w:r>
      <w:r>
        <w:rPr>
          <w:rFonts w:hint="eastAsia" w:ascii="宋体" w:hAnsi="宋体" w:eastAsia="宋体" w:cs="宋体"/>
          <w:color w:val="auto"/>
          <w:szCs w:val="21"/>
          <w:highlight w:val="none"/>
          <w:lang w:eastAsia="zh-CN"/>
        </w:rPr>
        <w:t>法定代表人或授权委托代理人签字</w:t>
      </w:r>
      <w:r>
        <w:rPr>
          <w:rFonts w:hint="eastAsia" w:ascii="宋体" w:hAnsi="宋体" w:eastAsia="宋体" w:cs="宋体"/>
          <w:color w:val="auto"/>
          <w:szCs w:val="21"/>
          <w:highlight w:val="none"/>
        </w:rPr>
        <w:t>。修正后的报价经投标人确认后产生约束力，投标人不确认</w:t>
      </w:r>
      <w:r>
        <w:rPr>
          <w:rFonts w:hint="eastAsia" w:cs="宋体"/>
          <w:color w:val="auto"/>
          <w:sz w:val="21"/>
          <w:szCs w:val="21"/>
          <w:highlight w:val="none"/>
          <w:lang w:val="en-US" w:eastAsia="zh-CN"/>
        </w:rPr>
        <w:t>或未在规定时间内进行有效澄清</w:t>
      </w:r>
      <w:r>
        <w:rPr>
          <w:rFonts w:hint="eastAsia" w:ascii="宋体" w:hAnsi="宋体" w:eastAsia="宋体" w:cs="宋体"/>
          <w:color w:val="auto"/>
          <w:szCs w:val="21"/>
          <w:highlight w:val="none"/>
        </w:rPr>
        <w:t>的，其投标无效。</w:t>
      </w:r>
    </w:p>
    <w:p>
      <w:pPr>
        <w:keepNext w:val="0"/>
        <w:keepLines w:val="0"/>
        <w:pageBreakBefore w:val="0"/>
        <w:kinsoku/>
        <w:wordWrap/>
        <w:overflowPunct/>
        <w:topLinePunct w:val="0"/>
        <w:bidi w:val="0"/>
        <w:spacing w:line="360" w:lineRule="auto"/>
        <w:ind w:firstLine="422" w:firstLineChars="200"/>
        <w:textAlignment w:val="auto"/>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（五）投标人存在下列情况之一的，投标无效</w:t>
      </w:r>
    </w:p>
    <w:p>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1、资格证明文件或商务与技术文件跟报价文件出现混装或在资格证明文件或商务与技术文件中出现投标报价的，或者报价文件中报价的</w:t>
      </w:r>
      <w:r>
        <w:rPr>
          <w:rFonts w:hint="eastAsia" w:ascii="宋体" w:hAnsi="宋体" w:eastAsia="宋体" w:cs="宋体"/>
          <w:color w:val="auto"/>
          <w:szCs w:val="21"/>
          <w:highlight w:val="none"/>
          <w:lang w:val="en-US" w:eastAsia="zh-CN"/>
        </w:rPr>
        <w:t>服务</w:t>
      </w:r>
      <w:r>
        <w:rPr>
          <w:rFonts w:hint="eastAsia" w:ascii="宋体" w:hAnsi="宋体" w:eastAsia="宋体" w:cs="宋体"/>
          <w:color w:val="auto"/>
          <w:szCs w:val="21"/>
          <w:highlight w:val="none"/>
        </w:rPr>
        <w:t>跟商务与技术文件中的投标</w:t>
      </w:r>
      <w:r>
        <w:rPr>
          <w:rFonts w:hint="eastAsia" w:ascii="宋体" w:hAnsi="宋体" w:eastAsia="宋体" w:cs="宋体"/>
          <w:color w:val="auto"/>
          <w:szCs w:val="21"/>
          <w:highlight w:val="none"/>
          <w:lang w:val="en-US" w:eastAsia="zh-CN"/>
        </w:rPr>
        <w:t>服务</w:t>
      </w:r>
      <w:r>
        <w:rPr>
          <w:rFonts w:hint="eastAsia" w:ascii="宋体" w:hAnsi="宋体" w:eastAsia="宋体" w:cs="宋体"/>
          <w:color w:val="auto"/>
          <w:szCs w:val="21"/>
          <w:highlight w:val="none"/>
        </w:rPr>
        <w:t>出现重大偏差的；</w:t>
      </w:r>
    </w:p>
    <w:p>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2、不具备招标文件中规定的资格要求的。</w:t>
      </w:r>
      <w:r>
        <w:rPr>
          <w:rFonts w:hint="eastAsia" w:ascii="宋体" w:hAnsi="宋体" w:eastAsia="宋体" w:cs="宋体"/>
          <w:color w:val="auto"/>
          <w:szCs w:val="21"/>
          <w:highlight w:val="none"/>
        </w:rPr>
        <w:tab/>
      </w:r>
    </w:p>
    <w:p>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3、投标文件含有采购人不能接受的附加条件的。</w:t>
      </w:r>
    </w:p>
    <w:p>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4、投标人的授权委托代理人未能出具身份证明或与法定代表人授权委托人身份不符的（受疫情影响，投标人的授权委托代理人无须现场参加开标）；</w:t>
      </w:r>
    </w:p>
    <w:p>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5、投标人的电子投标文件无法按时解密的。</w:t>
      </w:r>
    </w:p>
    <w:p>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6、电子投标文件解密失败的，且未在规定时间内提交备份投标文件的；</w:t>
      </w:r>
    </w:p>
    <w:p>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7、电子投标文件未按规定要求提供电子签章的；</w:t>
      </w:r>
    </w:p>
    <w:p>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8、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9、报价超过招标文件中规定的预算价/最高限(单)价。 </w:t>
      </w:r>
    </w:p>
    <w:p>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10、投标参数未如实填写，完全复制粘贴招标参数的。</w:t>
      </w:r>
    </w:p>
    <w:p>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11、投标文件提供虚假材料的。 </w:t>
      </w:r>
    </w:p>
    <w:p>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12、不符合中华人民共和国财政部令第87号《政府采购货物和服务招标投标管理办法》第三十七条情形之一的，视为投标人串通投标，其投标无效，并移送采购监管部门：</w:t>
      </w:r>
    </w:p>
    <w:p>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（1）不同投标人的投标文件由同一单位或者个人编制；</w:t>
      </w:r>
    </w:p>
    <w:p>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（2）不同投标人委托同一单位或者个人办理投标事宜；</w:t>
      </w:r>
    </w:p>
    <w:p>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（3）不同投标人的投标文件载明的项目管理成员或者联系人员为同一人；</w:t>
      </w:r>
    </w:p>
    <w:p>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（4）不同投标人的投标文件异常一致或者投标报价呈规律性差异；</w:t>
      </w:r>
    </w:p>
    <w:p>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（5）不同投标人的投标文件相互混装；</w:t>
      </w:r>
    </w:p>
    <w:p>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11、不符合法律、法规和招标文件中规定的其他实质性要求的（招标文件中打“▲”内容及被拒绝的条款）。</w:t>
      </w:r>
    </w:p>
    <w:p>
      <w:pPr>
        <w:keepNext w:val="0"/>
        <w:keepLines w:val="0"/>
        <w:pageBreakBefore w:val="0"/>
        <w:kinsoku/>
        <w:wordWrap/>
        <w:overflowPunct/>
        <w:topLinePunct w:val="0"/>
        <w:bidi w:val="0"/>
        <w:spacing w:line="360" w:lineRule="auto"/>
        <w:ind w:firstLine="422" w:firstLineChars="200"/>
        <w:textAlignment w:val="auto"/>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（六）有下列情况之一的，本次招标作为废标处理</w:t>
      </w:r>
    </w:p>
    <w:p>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1、出现影响采购公正的违法、违规行为的；</w:t>
      </w:r>
    </w:p>
    <w:p>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2、评标委员会发现招标文件存在歧义、重大缺陷导致评标工作无法进行，或者招标文件内容违反国家有关强制性规定的；</w:t>
      </w:r>
    </w:p>
    <w:p>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3、因重大变故，采购任务取消的；</w:t>
      </w:r>
    </w:p>
    <w:p>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4、法律、法规和招标文件规定的其他导致评标结果无效的。</w:t>
      </w:r>
    </w:p>
    <w:p>
      <w:pPr>
        <w:keepNext w:val="0"/>
        <w:keepLines w:val="0"/>
        <w:pageBreakBefore w:val="0"/>
        <w:kinsoku/>
        <w:wordWrap/>
        <w:overflowPunct/>
        <w:topLinePunct w:val="0"/>
        <w:bidi w:val="0"/>
        <w:spacing w:line="360" w:lineRule="auto"/>
        <w:ind w:firstLine="422" w:firstLineChars="200"/>
        <w:textAlignment w:val="auto"/>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（七）评标原则和评标办法</w:t>
      </w:r>
    </w:p>
    <w:p>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评标原则。评标委员会必须公平、公正、客观，不带任何倾向性和启发性；不得向外界透露任何与评标有关的内容；任何单位和个人不得干扰、影响评标的正常进行；评标委员会及有关工作人员不得私下与投标人接触。</w:t>
      </w:r>
    </w:p>
    <w:p>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2、评标办法。具体评标内容及评分标准等详见《第三章：评标方法及评分标准》。</w:t>
      </w:r>
    </w:p>
    <w:p>
      <w:pPr>
        <w:keepNext w:val="0"/>
        <w:keepLines w:val="0"/>
        <w:pageBreakBefore w:val="0"/>
        <w:kinsoku/>
        <w:wordWrap/>
        <w:overflowPunct/>
        <w:topLinePunct w:val="0"/>
        <w:bidi w:val="0"/>
        <w:spacing w:line="360" w:lineRule="auto"/>
        <w:ind w:firstLine="422" w:firstLineChars="200"/>
        <w:textAlignment w:val="auto"/>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（八）评标过程的监控</w:t>
      </w:r>
    </w:p>
    <w:p>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本项目评标过程实行全程录音、录像监控，政府采购监管部门视情进行现场监督，投标人在评标过程中所进行的试图影响评标结果的不公正活动，可能导致其投标被拒绝。</w:t>
      </w:r>
    </w:p>
    <w:p>
      <w:pPr>
        <w:keepNext w:val="0"/>
        <w:keepLines w:val="0"/>
        <w:pageBreakBefore w:val="0"/>
        <w:kinsoku/>
        <w:wordWrap/>
        <w:overflowPunct/>
        <w:topLinePunct w:val="0"/>
        <w:bidi w:val="0"/>
        <w:spacing w:line="360" w:lineRule="auto"/>
        <w:textAlignment w:val="auto"/>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六、定标</w:t>
      </w:r>
    </w:p>
    <w:p>
      <w:pPr>
        <w:keepNext w:val="0"/>
        <w:keepLines w:val="0"/>
        <w:pageBreakBefore w:val="0"/>
        <w:kinsoku/>
        <w:wordWrap/>
        <w:overflowPunct/>
        <w:topLinePunct w:val="0"/>
        <w:bidi w:val="0"/>
        <w:spacing w:line="360" w:lineRule="auto"/>
        <w:ind w:firstLine="420" w:firstLineChars="200"/>
        <w:jc w:val="left"/>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确定中标供应商。评标委员会根据采购单位的《授权意见确认书》，推荐中标候选人或确定中标人。其中推荐中标候选人的，采购组织机构在评审结束后2个工作日内将评标报告送采购人，采购人自收到评审报告之日起5个工作日内在评审报告推荐的中标候选人中按顺序确定中标人。</w:t>
      </w:r>
    </w:p>
    <w:p>
      <w:pPr>
        <w:keepNext w:val="0"/>
        <w:keepLines w:val="0"/>
        <w:pageBreakBefore w:val="0"/>
        <w:kinsoku/>
        <w:wordWrap/>
        <w:overflowPunct/>
        <w:topLinePunct w:val="0"/>
        <w:bidi w:val="0"/>
        <w:spacing w:line="360" w:lineRule="auto"/>
        <w:ind w:firstLine="420" w:firstLineChars="200"/>
        <w:jc w:val="left"/>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发布中标结果公告。中标结果将自中标人确定之日起2个工作日内在省级以上财政部门指定的媒体及相关网站公告。如发现中标供应商资格无效或其放弃中标资格，则按本次评标供应商得分排序结果依次替补或重新组织。</w:t>
      </w:r>
    </w:p>
    <w:p>
      <w:pPr>
        <w:keepNext w:val="0"/>
        <w:keepLines w:val="0"/>
        <w:pageBreakBefore w:val="0"/>
        <w:kinsoku/>
        <w:wordWrap/>
        <w:overflowPunct/>
        <w:topLinePunct w:val="0"/>
        <w:bidi w:val="0"/>
        <w:spacing w:line="360" w:lineRule="auto"/>
        <w:ind w:firstLine="420" w:firstLineChars="200"/>
        <w:jc w:val="left"/>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3、发出中标通知书。采购组织机构在发布中标结果的同时，向中标人发出中标通知书。</w:t>
      </w:r>
    </w:p>
    <w:p>
      <w:pPr>
        <w:pStyle w:val="18"/>
        <w:keepNext w:val="0"/>
        <w:keepLines w:val="0"/>
        <w:pageBreakBefore w:val="0"/>
        <w:kinsoku/>
        <w:wordWrap/>
        <w:overflowPunct/>
        <w:topLinePunct w:val="0"/>
        <w:bidi w:val="0"/>
        <w:spacing w:before="0" w:beforeAutospacing="0" w:after="0" w:afterAutospacing="0" w:line="360" w:lineRule="auto"/>
        <w:ind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中标人在中标之后领取通知书之前，应向招标代理机构交纳招标代理服务费。若中标人未在约定时间内支付招标代理服务费，从逾期之日起按日利率千分之一承担违约金。若中标人未按上述规定办理，需承担招标代理机构为实现债权的所有费用（包括但不限于律师费、催讨车旅费、保全担保费等）。</w:t>
      </w:r>
    </w:p>
    <w:p>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Cs w:val="21"/>
          <w:highlight w:val="none"/>
        </w:rPr>
        <w:t>5、</w:t>
      </w:r>
      <w:r>
        <w:rPr>
          <w:rFonts w:hint="eastAsia" w:ascii="宋体" w:hAnsi="宋体" w:eastAsia="宋体" w:cs="宋体"/>
          <w:color w:val="auto"/>
          <w:sz w:val="21"/>
          <w:szCs w:val="21"/>
          <w:highlight w:val="none"/>
        </w:rPr>
        <w:t>招标代理费：</w:t>
      </w:r>
      <w:r>
        <w:rPr>
          <w:rFonts w:hint="eastAsia" w:ascii="宋体" w:hAnsi="宋体" w:eastAsia="宋体" w:cs="宋体"/>
          <w:color w:val="auto"/>
          <w:szCs w:val="21"/>
          <w:highlight w:val="none"/>
        </w:rPr>
        <w:t>按照中标通知书确定的中标金额，</w:t>
      </w:r>
      <w:r>
        <w:rPr>
          <w:rFonts w:hint="eastAsia" w:ascii="宋体" w:hAnsi="宋体" w:eastAsia="宋体" w:cs="宋体"/>
          <w:color w:val="auto"/>
          <w:szCs w:val="21"/>
          <w:highlight w:val="none"/>
          <w:lang w:val="en-US" w:eastAsia="zh-CN"/>
        </w:rPr>
        <w:t>按下附表收费标准，采用差额累进算法</w:t>
      </w:r>
      <w:r>
        <w:rPr>
          <w:rFonts w:hint="eastAsia" w:ascii="宋体" w:hAnsi="宋体" w:eastAsia="宋体" w:cs="宋体"/>
          <w:color w:val="auto"/>
          <w:szCs w:val="21"/>
          <w:highlight w:val="none"/>
        </w:rPr>
        <w:t>向中标单位收取代理服务费。</w:t>
      </w:r>
      <w:r>
        <w:rPr>
          <w:rFonts w:hint="eastAsia" w:ascii="宋体" w:hAnsi="宋体" w:eastAsia="宋体" w:cs="宋体"/>
          <w:color w:val="auto"/>
          <w:sz w:val="21"/>
          <w:szCs w:val="21"/>
          <w:highlight w:val="none"/>
        </w:rPr>
        <w:t>代理服务费结算不足</w:t>
      </w:r>
      <w:r>
        <w:rPr>
          <w:rFonts w:hint="eastAsia" w:ascii="宋体" w:hAnsi="宋体" w:eastAsia="宋体" w:cs="宋体"/>
          <w:color w:val="auto"/>
          <w:sz w:val="21"/>
          <w:szCs w:val="21"/>
          <w:highlight w:val="none"/>
          <w:lang w:val="en-US" w:eastAsia="zh-CN"/>
        </w:rPr>
        <w:t>陆仟元</w:t>
      </w:r>
      <w:r>
        <w:rPr>
          <w:rFonts w:hint="eastAsia" w:ascii="宋体" w:hAnsi="宋体" w:eastAsia="宋体" w:cs="宋体"/>
          <w:color w:val="auto"/>
          <w:sz w:val="21"/>
          <w:szCs w:val="21"/>
          <w:highlight w:val="none"/>
        </w:rPr>
        <w:t>的，按定额</w:t>
      </w:r>
      <w:r>
        <w:rPr>
          <w:rFonts w:hint="eastAsia" w:ascii="宋体" w:hAnsi="宋体" w:eastAsia="宋体" w:cs="宋体"/>
          <w:color w:val="auto"/>
          <w:sz w:val="21"/>
          <w:szCs w:val="21"/>
          <w:highlight w:val="none"/>
          <w:lang w:val="en-US" w:eastAsia="zh-CN"/>
        </w:rPr>
        <w:t>陆仟元</w:t>
      </w:r>
      <w:r>
        <w:rPr>
          <w:rFonts w:hint="eastAsia" w:ascii="宋体" w:hAnsi="宋体" w:eastAsia="宋体" w:cs="宋体"/>
          <w:color w:val="auto"/>
          <w:sz w:val="21"/>
          <w:szCs w:val="21"/>
          <w:highlight w:val="none"/>
        </w:rPr>
        <w:t>收取。该费用中标方须在领取中标通知书时一次性付清。（户名：</w:t>
      </w:r>
      <w:r>
        <w:rPr>
          <w:rFonts w:hint="eastAsia" w:ascii="宋体" w:hAnsi="宋体" w:eastAsia="宋体" w:cs="宋体"/>
          <w:color w:val="auto"/>
          <w:sz w:val="21"/>
          <w:szCs w:val="21"/>
          <w:highlight w:val="none"/>
          <w:lang w:eastAsia="zh-CN"/>
        </w:rPr>
        <w:t>浙江汇永工程咨询有限公司</w:t>
      </w:r>
      <w:r>
        <w:rPr>
          <w:rFonts w:hint="eastAsia" w:ascii="宋体" w:hAnsi="宋体" w:eastAsia="宋体" w:cs="宋体"/>
          <w:color w:val="auto"/>
          <w:sz w:val="21"/>
          <w:szCs w:val="21"/>
          <w:highlight w:val="none"/>
        </w:rPr>
        <w:t>；人民币账号：</w:t>
      </w:r>
      <w:r>
        <w:rPr>
          <w:rFonts w:hint="eastAsia" w:ascii="宋体" w:hAnsi="宋体" w:eastAsia="宋体" w:cs="宋体"/>
          <w:color w:val="auto"/>
          <w:sz w:val="21"/>
          <w:szCs w:val="21"/>
          <w:highlight w:val="none"/>
          <w:lang w:eastAsia="zh-CN"/>
        </w:rPr>
        <w:t>550423591600015</w:t>
      </w:r>
      <w:r>
        <w:rPr>
          <w:rFonts w:hint="eastAsia" w:ascii="宋体" w:hAnsi="宋体" w:eastAsia="宋体" w:cs="宋体"/>
          <w:color w:val="auto"/>
          <w:sz w:val="21"/>
          <w:szCs w:val="21"/>
          <w:highlight w:val="none"/>
        </w:rPr>
        <w:t>；开户行：</w:t>
      </w:r>
      <w:r>
        <w:rPr>
          <w:rFonts w:hint="eastAsia" w:ascii="宋体" w:hAnsi="宋体" w:eastAsia="宋体" w:cs="宋体"/>
          <w:color w:val="auto"/>
          <w:sz w:val="21"/>
          <w:szCs w:val="21"/>
          <w:highlight w:val="none"/>
          <w:lang w:eastAsia="zh-CN"/>
        </w:rPr>
        <w:t>台州银行市府大道支行</w:t>
      </w:r>
      <w:r>
        <w:rPr>
          <w:rFonts w:hint="eastAsia" w:ascii="宋体" w:hAnsi="宋体" w:eastAsia="宋体" w:cs="宋体"/>
          <w:color w:val="auto"/>
          <w:sz w:val="21"/>
          <w:szCs w:val="21"/>
          <w:highlight w:val="none"/>
        </w:rPr>
        <w:t>）</w:t>
      </w:r>
    </w:p>
    <w:p>
      <w:pPr>
        <w:keepNext w:val="0"/>
        <w:keepLines w:val="0"/>
        <w:pageBreakBefore w:val="0"/>
        <w:kinsoku/>
        <w:wordWrap/>
        <w:overflowPunct/>
        <w:topLinePunct w:val="0"/>
        <w:bidi w:val="0"/>
        <w:jc w:val="center"/>
        <w:textAlignment w:val="auto"/>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附表：招标代理服务收费标准</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56"/>
        <w:gridCol w:w="2067"/>
        <w:gridCol w:w="2067"/>
        <w:gridCol w:w="20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7" w:hRule="atLeast"/>
        </w:trPr>
        <w:tc>
          <w:tcPr>
            <w:tcW w:w="2556" w:type="dxa"/>
          </w:tcPr>
          <w:p>
            <w:pPr>
              <w:keepNext w:val="0"/>
              <w:keepLines w:val="0"/>
              <w:pageBreakBefore w:val="0"/>
              <w:kinsoku/>
              <w:wordWrap/>
              <w:overflowPunct/>
              <w:topLinePunct w:val="0"/>
              <w:bidi w:val="0"/>
              <w:ind w:firstLine="1470" w:firstLineChars="700"/>
              <w:textAlignment w:val="auto"/>
              <w:outlineLvl w:val="9"/>
              <w:rPr>
                <w:rFonts w:hint="eastAsia" w:ascii="宋体" w:hAnsi="宋体" w:eastAsia="宋体" w:cs="宋体"/>
                <w:b/>
                <w:color w:val="auto"/>
                <w:szCs w:val="21"/>
                <w:highlight w:val="none"/>
              </w:rPr>
            </w:pPr>
            <w:r>
              <w:rPr>
                <w:rFonts w:hint="eastAsia" w:ascii="宋体" w:hAnsi="宋体" w:eastAsia="宋体" w:cs="宋体"/>
                <w:color w:val="auto"/>
                <w:highlight w:val="none"/>
              </w:rPr>
              <mc:AlternateContent>
                <mc:Choice Requires="wps">
                  <w:drawing>
                    <wp:anchor distT="0" distB="0" distL="114300" distR="114300" simplePos="0" relativeHeight="251663360" behindDoc="0" locked="0" layoutInCell="1" allowOverlap="1">
                      <wp:simplePos x="0" y="0"/>
                      <wp:positionH relativeFrom="column">
                        <wp:posOffset>-58420</wp:posOffset>
                      </wp:positionH>
                      <wp:positionV relativeFrom="paragraph">
                        <wp:posOffset>21590</wp:posOffset>
                      </wp:positionV>
                      <wp:extent cx="1619250" cy="725170"/>
                      <wp:effectExtent l="1905" t="4445" r="17145" b="13335"/>
                      <wp:wrapNone/>
                      <wp:docPr id="6" name="直接连接符 6"/>
                      <wp:cNvGraphicFramePr/>
                      <a:graphic xmlns:a="http://schemas.openxmlformats.org/drawingml/2006/main">
                        <a:graphicData uri="http://schemas.microsoft.com/office/word/2010/wordprocessingShape">
                          <wps:wsp>
                            <wps:cNvCnPr/>
                            <wps:spPr>
                              <a:xfrm flipH="1" flipV="1">
                                <a:off x="999490" y="935355"/>
                                <a:ext cx="1619250" cy="725170"/>
                              </a:xfrm>
                              <a:prstGeom prst="line">
                                <a:avLst/>
                              </a:prstGeom>
                              <a:noFill/>
                              <a:ln w="9525" cap="flat" cmpd="sng" algn="ctr">
                                <a:solidFill>
                                  <a:srgbClr val="000000">
                                    <a:shade val="95000"/>
                                    <a:satMod val="105000"/>
                                  </a:srgbClr>
                                </a:solidFill>
                                <a:prstDash val="solid"/>
                              </a:ln>
                              <a:effectLst/>
                            </wps:spPr>
                            <wps:bodyPr/>
                          </wps:wsp>
                        </a:graphicData>
                      </a:graphic>
                    </wp:anchor>
                  </w:drawing>
                </mc:Choice>
                <mc:Fallback>
                  <w:pict>
                    <v:line id="_x0000_s1026" o:spid="_x0000_s1026" o:spt="20" style="position:absolute;left:0pt;flip:x y;margin-left:-4.6pt;margin-top:1.7pt;height:57.1pt;width:127.5pt;z-index:251663360;mso-width-relative:page;mso-height-relative:page;" filled="f" stroked="t" coordsize="21600,21600" o:gfxdata="UEsDBAoAAAAAAIdO4kAAAAAAAAAAAAAAAAAEAAAAZHJzL1BLAwQUAAAACACHTuJAz355V9QAAAAI&#10;AQAADwAAAGRycy9kb3ducmV2LnhtbE2PwU7DMBBE70j8g7VI3Fo7oTQhxOmhUj+gBVU9uvGSRNjr&#10;ELtN+XuWExxHM5p5U29u3okrTnEIpCFbKhBIbbADdRre33aLEkRMhqxxgVDDN0bYNPd3talsmGmP&#10;10PqBJdQrIyGPqWxkjK2PXoTl2FEYu8jTN4kllMn7WRmLvdO5kqtpTcD8UJvRtz22H4eLl6DK1X5&#10;ddwW82lveWV3dD0VmdaPD5l6BZHwlv7C8IvP6NAw0zlcyEbhNCxeck5qeFqBYDtfPfOTM+eyYg2y&#10;qeX/A80PUEsDBBQAAAAIAIdO4kBz4/Q4EgIAAAQEAAAOAAAAZHJzL2Uyb0RvYy54bWytU7tu2zAU&#10;3Qv0HwjutSynciLBcoYYaYc+DPSx0xQlEeALvIxl/0R/oEC3dsrYvX/T5DN6SSlBmi4ZqoG4Lx7e&#10;c+7V6vygFdkLD9KamuazOSXCcNtI09X008fLF2eUQGCmYcoaUdOjAHq+fv5sNbhKLGxvVSM8QRAD&#10;1eBq2ofgqiwD3gvNYGadMJhsrdcsoOu7rPFsQHStssV8vswG6xvnLRcAGN2MSToh+qcA2raVXGws&#10;v9LChBHVC8UCUoJeOqDr1G3bCh7ety2IQFRNkWlIJz6C9i6e2XrFqs4z10s+tcCe0sIjTppJg4/e&#10;Q21YYOTKy3+gtOTegm3DjFudjUSSIsginz/S5kPPnEhcUGpw96LD/4Pl7/ZbT2RT0yUlhmkc+M3X&#10;n7+/fL/99Q3Pm+sfZBlFGhxUWHthtn7ywG19ZHxovSatku41bhNN1udoxRzyI4ealmX5skTFj2ie&#10;FCdFMcouDoFwTOfLvFwUmOdYcLoo8tM0l2zEjjjOQ3glrCbRqKmSJsrCKrZ/AwH7wdK7khg29lIq&#10;lUarDBnw1WJRIDzDdW1xTdDUDimD6ShhqsP/gAefEMEq2cTbEQd8t7tQnuxZ3J70jUU9a8QYLQsM&#10;j3SAhbe2GcP5/C6OrU0wqc2/8GPPGwb9eCelIhReUSa+L9ICTxTjBEbNo7WzzTGNIoseLke6Ni1y&#10;3L6HPtoPf971H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M9+eVfUAAAACAEAAA8AAAAAAAAAAQAg&#10;AAAAIgAAAGRycy9kb3ducmV2LnhtbFBLAQIUABQAAAAIAIdO4kBz4/Q4EgIAAAQEAAAOAAAAAAAA&#10;AAEAIAAAACMBAABkcnMvZTJvRG9jLnhtbFBLBQYAAAAABgAGAFkBAACnBQAAAAA=&#10;">
                      <v:fill on="f" focussize="0,0"/>
                      <v:stroke color="#000000" joinstyle="round"/>
                      <v:imagedata o:title=""/>
                      <o:lock v:ext="edit" aspectratio="f"/>
                    </v:line>
                  </w:pict>
                </mc:Fallback>
              </mc:AlternateContent>
            </w:r>
            <w:r>
              <w:rPr>
                <w:rFonts w:hint="eastAsia" w:ascii="宋体" w:hAnsi="宋体" w:eastAsia="宋体" w:cs="宋体"/>
                <w:color w:val="auto"/>
                <w:highlight w:val="none"/>
              </w:rPr>
              <mc:AlternateContent>
                <mc:Choice Requires="wps">
                  <w:drawing>
                    <wp:anchor distT="0" distB="0" distL="114300" distR="114300" simplePos="0" relativeHeight="251662336" behindDoc="0" locked="0" layoutInCell="1" allowOverlap="1">
                      <wp:simplePos x="0" y="0"/>
                      <wp:positionH relativeFrom="column">
                        <wp:posOffset>645160</wp:posOffset>
                      </wp:positionH>
                      <wp:positionV relativeFrom="paragraph">
                        <wp:posOffset>0</wp:posOffset>
                      </wp:positionV>
                      <wp:extent cx="922655" cy="739775"/>
                      <wp:effectExtent l="3175" t="3810" r="7620" b="18415"/>
                      <wp:wrapNone/>
                      <wp:docPr id="4" name="直接连接符 4"/>
                      <wp:cNvGraphicFramePr/>
                      <a:graphic xmlns:a="http://schemas.openxmlformats.org/drawingml/2006/main">
                        <a:graphicData uri="http://schemas.microsoft.com/office/word/2010/wordprocessingShape">
                          <wps:wsp>
                            <wps:cNvCnPr/>
                            <wps:spPr>
                              <a:xfrm>
                                <a:off x="1812925" y="964565"/>
                                <a:ext cx="922655" cy="739775"/>
                              </a:xfrm>
                              <a:prstGeom prst="line">
                                <a:avLst/>
                              </a:prstGeom>
                              <a:noFill/>
                              <a:ln w="9525" cap="flat" cmpd="sng" algn="ctr">
                                <a:solidFill>
                                  <a:srgbClr val="000000">
                                    <a:shade val="95000"/>
                                    <a:satMod val="105000"/>
                                  </a:srgbClr>
                                </a:solidFill>
                                <a:prstDash val="solid"/>
                              </a:ln>
                              <a:effectLst/>
                            </wps:spPr>
                            <wps:bodyPr/>
                          </wps:wsp>
                        </a:graphicData>
                      </a:graphic>
                    </wp:anchor>
                  </w:drawing>
                </mc:Choice>
                <mc:Fallback>
                  <w:pict>
                    <v:line id="_x0000_s1026" o:spid="_x0000_s1026" o:spt="20" style="position:absolute;left:0pt;margin-left:50.8pt;margin-top:0pt;height:58.25pt;width:72.65pt;z-index:251662336;mso-width-relative:page;mso-height-relative:page;" filled="f" stroked="t" coordsize="21600,21600" o:gfxdata="UEsDBAoAAAAAAIdO4kAAAAAAAAAAAAAAAAAEAAAAZHJzL1BLAwQUAAAACACHTuJAT4BhXtUAAAAI&#10;AQAADwAAAGRycy9kb3ducmV2LnhtbE2PvU7EMBCEeyTewVokmhNnJ0AEIc4VQDoaDhDtXrwkEfE6&#10;F/t+4OlZKihnZzT7TbU6+lHtaY5DYAvZ0oAiboMbuLPw+tJc3ICKCdnhGJgsfFGEVX16UmHpwoGf&#10;ab9OnZISjiVa6FOaSq1j25PHuAwTsXgfYfaYRM6ddjMepNyPOjem0B4Hlg89TnTfU/u53nkLsXmj&#10;bfO9aBfm/bILlG8fnh7R2vOzzNyBSnRMf2H4xRd0qIVpE3bsohpFm6yQqAVZJHZ+VdyC2sg9K65B&#10;15X+P6D+AVBLAwQUAAAACACHTuJAbHxbCgcCAADwAwAADgAAAGRycy9lMm9Eb2MueG1srVNLbtsw&#10;EN0X6B0I7mvZqmXHguUsYqSbfgy0OQBNURIB/sBhLPsSvUCB7tpVl93nNk2PkSGlpGm6yaJaUMMZ&#10;8s28p6f1+VErchAepDUVnU2mlAjDbS1NW9GrT5evziiBwEzNlDWioicB9Hzz8sW6d6XIbWdVLTxB&#10;EANl7yraheDKLAPeCc1gYp0wWGys1yzg1rdZ7VmP6Fpl+XS6yHrra+ctFwCY3Q5FOiL65wDappFc&#10;bC2/1sKEAdULxQJSgk46oJs0bdMIHj40DYhAVEWRaUgrNsF4H9dss2Zl65nrJB9HYM8Z4QknzaTB&#10;pg9QWxYYufbyHygtubdgmzDhVmcDkaQIsphNn2jzsWNOJC4oNbgH0eH/wfL3h50nsq7onBLDNH7w&#10;2y8/f33+9vvmK663P76TeRSpd1Di2Quz8+MO3M5HxsfG6/hGLuSIhjqb5au8oORU0dViXiyKQWNx&#10;DIRjfZXniwLLHOvL16vlMtWzPzjOQ3gjrCYxqKiSJkrASnZ4CwF749H7IzFt7KVUKn1GZUiPDYrY&#10;nTO0ZoOWwFA7pAempYSpFj3Pg0+IYJWs4+2IA77dXyhPDiw6JT3DoY7VYsiuCkwPbICFd7Ye0rPp&#10;fR5HG2HSmH/hx5m3DLrhTipFKLyiTOwvkllHilHtQd8Y7W19SrJncYdGSNdG00anPd5j/PhH3dw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T4BhXtUAAAAIAQAADwAAAAAAAAABACAAAAAiAAAAZHJz&#10;L2Rvd25yZXYueG1sUEsBAhQAFAAAAAgAh07iQGx8WwoHAgAA8AMAAA4AAAAAAAAAAQAgAAAAJAEA&#10;AGRycy9lMm9Eb2MueG1sUEsFBgAAAAAGAAYAWQEAAJ0FAAAAAA==&#10;">
                      <v:fill on="f" focussize="0,0"/>
                      <v:stroke color="#000000" joinstyle="round"/>
                      <v:imagedata o:title=""/>
                      <o:lock v:ext="edit" aspectratio="f"/>
                    </v:line>
                  </w:pict>
                </mc:Fallback>
              </mc:AlternateContent>
            </w:r>
            <w:r>
              <w:rPr>
                <w:rFonts w:hint="eastAsia" w:ascii="宋体" w:hAnsi="宋体" w:eastAsia="宋体" w:cs="宋体"/>
                <w:b/>
                <w:color w:val="auto"/>
                <w:szCs w:val="21"/>
                <w:highlight w:val="none"/>
              </w:rPr>
              <mc:AlternateContent>
                <mc:Choice Requires="wps">
                  <w:drawing>
                    <wp:anchor distT="0" distB="0" distL="114300" distR="114300" simplePos="0" relativeHeight="251661312" behindDoc="0" locked="0" layoutInCell="0" allowOverlap="1">
                      <wp:simplePos x="0" y="0"/>
                      <wp:positionH relativeFrom="column">
                        <wp:posOffset>-114300</wp:posOffset>
                      </wp:positionH>
                      <wp:positionV relativeFrom="paragraph">
                        <wp:posOffset>-6350</wp:posOffset>
                      </wp:positionV>
                      <wp:extent cx="635" cy="0"/>
                      <wp:effectExtent l="0" t="0" r="0" b="0"/>
                      <wp:wrapNone/>
                      <wp:docPr id="22" name="直接连接符 22"/>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9pt;margin-top:-0.5pt;height:0pt;width:0.05pt;z-index:251661312;mso-width-relative:page;mso-height-relative:page;" filled="f" stroked="t" coordsize="21600,21600" o:allowincell="f" o:gfxdata="UEsDBAoAAAAAAIdO4kAAAAAAAAAAAAAAAAAEAAAAZHJzL1BLAwQUAAAACACHTuJAa5HTftUAAAAJ&#10;AQAADwAAAGRycy9kb3ducmV2LnhtbE2Py07DMBBF90j8gzVIbKrUTpGghDhdANmxoYDYTuMhiYjH&#10;aew+4OuZigWs5nV159xydfSD2tMU+8AW8rkBRdwE13Nr4fWlzpagYkJ2OAQmC18UYVWdn5VYuHDg&#10;Z9qvU6vEhGOBFrqUxkLr2HTkMc7DSCy3jzB5TDJOrXYTHsTcD3phzLX22LN86HCk+46az/XOW4j1&#10;G23r71kzM+9XbaDF9uHpEa29vMjNHahEx/QnhhO+oEMlTJuwYxfVYCHLl5IlnRqpIsjym1tQm9+F&#10;rkr9P0H1A1BLAwQUAAAACACHTuJALHhMq+8BAADkAwAADgAAAGRycy9lMm9Eb2MueG1srVPNbhMx&#10;EL4j8Q6W72TTRa1glU0PDeWCIBLwABPbm7XkP3ncbPISvAASNzhx5M7b0D4GY+82lHLJgT14xzPj&#10;b+b7PF5c7q1hOxVRe9fys9mcM+WEl9ptW/7xw/WzF5xhAifBeKdaflDIL5dPnyyG0Kja995IFRmB&#10;OGyG0PI+pdBUFYpeWcCZD8pRsPPRQqJt3FYywkDo1lT1fH5RDT7KEL1QiORdjUE+IcZTAH3XaaFW&#10;XtxY5dKIGpWBRJSw1wH5snTbdUqkd12HKjHTcmKaykpFyN7ktVouoNlGCL0WUwtwSguPOFnQjooe&#10;oVaQgN1E/Q+U1SJ69F2aCW+rkUhRhFiczR9p876HoAoXkhrDUXT8f7Di7W4dmZYtr2vOHFi68dvP&#10;P359+nr38wutt9+/MYqQTEPAhrKv3DpOOwzrmDnvu2jzn9iwfZH2cJRW7RMT5Lx4fs6ZuPdXfw6F&#10;iOm18pZlo+VGu8wYGti9wUSFKPU+JbuNY0PLX57XGQ5o/Dq6djJtIArotuUseqPltTYmn8C43VyZ&#10;yHaQR6B8mQ7h/pWWi6wA+zGvhMbh6BXIV06ydAikjaM3wXMLVknOjKInlC0ChCaBNqdkUmnj8gFV&#10;BnTimfUdFc3WxstDEbrKO7r80vE0qHm6Hu7Jfvg4l7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a5HTftUAAAAJAQAADwAAAAAAAAABACAAAAAiAAAAZHJzL2Rvd25yZXYueG1sUEsBAhQAFAAAAAgA&#10;h07iQCx4TKvvAQAA5AMAAA4AAAAAAAAAAQAgAAAAJAEAAGRycy9lMm9Eb2MueG1sUEsFBgAAAAAG&#10;AAYAWQEAAIUFAAAAAA==&#10;">
                      <v:fill on="f" focussize="0,0"/>
                      <v:stroke color="#000000" joinstyle="round"/>
                      <v:imagedata o:title=""/>
                      <o:lock v:ext="edit" aspectratio="f"/>
                    </v:line>
                  </w:pict>
                </mc:Fallback>
              </mc:AlternateContent>
            </w:r>
            <w:r>
              <w:rPr>
                <w:rFonts w:hint="eastAsia" w:ascii="宋体" w:hAnsi="宋体" w:eastAsia="宋体" w:cs="宋体"/>
                <w:b/>
                <w:color w:val="auto"/>
                <w:szCs w:val="21"/>
                <w:highlight w:val="none"/>
              </w:rPr>
              <w:t>服务</w:t>
            </w:r>
          </w:p>
          <w:p>
            <w:pPr>
              <w:keepNext w:val="0"/>
              <w:keepLines w:val="0"/>
              <w:pageBreakBefore w:val="0"/>
              <w:kinsoku/>
              <w:wordWrap/>
              <w:overflowPunct/>
              <w:topLinePunct w:val="0"/>
              <w:bidi w:val="0"/>
              <w:ind w:firstLine="1054" w:firstLineChars="500"/>
              <w:textAlignment w:val="auto"/>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费　　类型</w:t>
            </w:r>
          </w:p>
          <w:p>
            <w:pPr>
              <w:keepNext w:val="0"/>
              <w:keepLines w:val="0"/>
              <w:pageBreakBefore w:val="0"/>
              <w:kinsoku/>
              <w:wordWrap/>
              <w:overflowPunct/>
              <w:topLinePunct w:val="0"/>
              <w:bidi w:val="0"/>
              <w:ind w:firstLine="1476" w:firstLineChars="700"/>
              <w:textAlignment w:val="auto"/>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率</w:t>
            </w:r>
          </w:p>
          <w:p>
            <w:pPr>
              <w:keepNext w:val="0"/>
              <w:keepLines w:val="0"/>
              <w:pageBreakBefore w:val="0"/>
              <w:kinsoku/>
              <w:wordWrap/>
              <w:overflowPunct/>
              <w:topLinePunct w:val="0"/>
              <w:bidi w:val="0"/>
              <w:textAlignment w:val="auto"/>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中标金额（万元）</w:t>
            </w:r>
          </w:p>
        </w:tc>
        <w:tc>
          <w:tcPr>
            <w:tcW w:w="2067" w:type="dxa"/>
            <w:vAlign w:val="center"/>
          </w:tcPr>
          <w:p>
            <w:pPr>
              <w:keepNext w:val="0"/>
              <w:keepLines w:val="0"/>
              <w:pageBreakBefore w:val="0"/>
              <w:kinsoku/>
              <w:wordWrap/>
              <w:overflowPunct/>
              <w:topLinePunct w:val="0"/>
              <w:bidi w:val="0"/>
              <w:jc w:val="center"/>
              <w:textAlignment w:val="auto"/>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货物招标</w:t>
            </w:r>
          </w:p>
        </w:tc>
        <w:tc>
          <w:tcPr>
            <w:tcW w:w="2067" w:type="dxa"/>
            <w:vAlign w:val="center"/>
          </w:tcPr>
          <w:p>
            <w:pPr>
              <w:keepNext w:val="0"/>
              <w:keepLines w:val="0"/>
              <w:pageBreakBefore w:val="0"/>
              <w:kinsoku/>
              <w:wordWrap/>
              <w:overflowPunct/>
              <w:topLinePunct w:val="0"/>
              <w:bidi w:val="0"/>
              <w:jc w:val="center"/>
              <w:textAlignment w:val="auto"/>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服务招标</w:t>
            </w:r>
          </w:p>
        </w:tc>
        <w:tc>
          <w:tcPr>
            <w:tcW w:w="2067" w:type="dxa"/>
            <w:vAlign w:val="center"/>
          </w:tcPr>
          <w:p>
            <w:pPr>
              <w:keepNext w:val="0"/>
              <w:keepLines w:val="0"/>
              <w:pageBreakBefore w:val="0"/>
              <w:kinsoku/>
              <w:wordWrap/>
              <w:overflowPunct/>
              <w:topLinePunct w:val="0"/>
              <w:bidi w:val="0"/>
              <w:jc w:val="center"/>
              <w:textAlignment w:val="auto"/>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工程招标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2556" w:type="dxa"/>
          </w:tcPr>
          <w:p>
            <w:pPr>
              <w:keepNext w:val="0"/>
              <w:keepLines w:val="0"/>
              <w:pageBreakBefore w:val="0"/>
              <w:kinsoku/>
              <w:wordWrap/>
              <w:overflowPunct/>
              <w:topLinePunct w:val="0"/>
              <w:bidi w:val="0"/>
              <w:jc w:val="center"/>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100以下</w:t>
            </w:r>
          </w:p>
        </w:tc>
        <w:tc>
          <w:tcPr>
            <w:tcW w:w="2067" w:type="dxa"/>
          </w:tcPr>
          <w:p>
            <w:pPr>
              <w:keepNext w:val="0"/>
              <w:keepLines w:val="0"/>
              <w:pageBreakBefore w:val="0"/>
              <w:kinsoku/>
              <w:wordWrap/>
              <w:overflowPunct/>
              <w:topLinePunct w:val="0"/>
              <w:bidi w:val="0"/>
              <w:jc w:val="center"/>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1.5%</w:t>
            </w:r>
          </w:p>
        </w:tc>
        <w:tc>
          <w:tcPr>
            <w:tcW w:w="2067" w:type="dxa"/>
          </w:tcPr>
          <w:p>
            <w:pPr>
              <w:keepNext w:val="0"/>
              <w:keepLines w:val="0"/>
              <w:pageBreakBefore w:val="0"/>
              <w:kinsoku/>
              <w:wordWrap/>
              <w:overflowPunct/>
              <w:topLinePunct w:val="0"/>
              <w:bidi w:val="0"/>
              <w:jc w:val="center"/>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1.5%</w:t>
            </w:r>
          </w:p>
        </w:tc>
        <w:tc>
          <w:tcPr>
            <w:tcW w:w="2067" w:type="dxa"/>
          </w:tcPr>
          <w:p>
            <w:pPr>
              <w:keepNext w:val="0"/>
              <w:keepLines w:val="0"/>
              <w:pageBreakBefore w:val="0"/>
              <w:kinsoku/>
              <w:wordWrap/>
              <w:overflowPunct/>
              <w:topLinePunct w:val="0"/>
              <w:bidi w:val="0"/>
              <w:jc w:val="center"/>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2556" w:type="dxa"/>
          </w:tcPr>
          <w:p>
            <w:pPr>
              <w:keepNext w:val="0"/>
              <w:keepLines w:val="0"/>
              <w:pageBreakBefore w:val="0"/>
              <w:kinsoku/>
              <w:wordWrap/>
              <w:overflowPunct/>
              <w:topLinePunct w:val="0"/>
              <w:bidi w:val="0"/>
              <w:jc w:val="center"/>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100-500</w:t>
            </w:r>
          </w:p>
        </w:tc>
        <w:tc>
          <w:tcPr>
            <w:tcW w:w="2067" w:type="dxa"/>
          </w:tcPr>
          <w:p>
            <w:pPr>
              <w:keepNext w:val="0"/>
              <w:keepLines w:val="0"/>
              <w:pageBreakBefore w:val="0"/>
              <w:kinsoku/>
              <w:wordWrap/>
              <w:overflowPunct/>
              <w:topLinePunct w:val="0"/>
              <w:bidi w:val="0"/>
              <w:jc w:val="center"/>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1.1%</w:t>
            </w:r>
          </w:p>
        </w:tc>
        <w:tc>
          <w:tcPr>
            <w:tcW w:w="2067" w:type="dxa"/>
          </w:tcPr>
          <w:p>
            <w:pPr>
              <w:keepNext w:val="0"/>
              <w:keepLines w:val="0"/>
              <w:pageBreakBefore w:val="0"/>
              <w:kinsoku/>
              <w:wordWrap/>
              <w:overflowPunct/>
              <w:topLinePunct w:val="0"/>
              <w:bidi w:val="0"/>
              <w:jc w:val="center"/>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0.8%</w:t>
            </w:r>
          </w:p>
        </w:tc>
        <w:tc>
          <w:tcPr>
            <w:tcW w:w="2067" w:type="dxa"/>
          </w:tcPr>
          <w:p>
            <w:pPr>
              <w:keepNext w:val="0"/>
              <w:keepLines w:val="0"/>
              <w:pageBreakBefore w:val="0"/>
              <w:kinsoku/>
              <w:wordWrap/>
              <w:overflowPunct/>
              <w:topLinePunct w:val="0"/>
              <w:bidi w:val="0"/>
              <w:jc w:val="center"/>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2556" w:type="dxa"/>
          </w:tcPr>
          <w:p>
            <w:pPr>
              <w:keepNext w:val="0"/>
              <w:keepLines w:val="0"/>
              <w:pageBreakBefore w:val="0"/>
              <w:kinsoku/>
              <w:wordWrap/>
              <w:overflowPunct/>
              <w:topLinePunct w:val="0"/>
              <w:bidi w:val="0"/>
              <w:jc w:val="center"/>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500-1000</w:t>
            </w:r>
          </w:p>
        </w:tc>
        <w:tc>
          <w:tcPr>
            <w:tcW w:w="2067" w:type="dxa"/>
          </w:tcPr>
          <w:p>
            <w:pPr>
              <w:keepNext w:val="0"/>
              <w:keepLines w:val="0"/>
              <w:pageBreakBefore w:val="0"/>
              <w:kinsoku/>
              <w:wordWrap/>
              <w:overflowPunct/>
              <w:topLinePunct w:val="0"/>
              <w:bidi w:val="0"/>
              <w:jc w:val="center"/>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0.8%</w:t>
            </w:r>
          </w:p>
        </w:tc>
        <w:tc>
          <w:tcPr>
            <w:tcW w:w="2067" w:type="dxa"/>
          </w:tcPr>
          <w:p>
            <w:pPr>
              <w:keepNext w:val="0"/>
              <w:keepLines w:val="0"/>
              <w:pageBreakBefore w:val="0"/>
              <w:kinsoku/>
              <w:wordWrap/>
              <w:overflowPunct/>
              <w:topLinePunct w:val="0"/>
              <w:bidi w:val="0"/>
              <w:jc w:val="center"/>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0.45%</w:t>
            </w:r>
          </w:p>
        </w:tc>
        <w:tc>
          <w:tcPr>
            <w:tcW w:w="2067" w:type="dxa"/>
          </w:tcPr>
          <w:p>
            <w:pPr>
              <w:keepNext w:val="0"/>
              <w:keepLines w:val="0"/>
              <w:pageBreakBefore w:val="0"/>
              <w:kinsoku/>
              <w:wordWrap/>
              <w:overflowPunct/>
              <w:topLinePunct w:val="0"/>
              <w:bidi w:val="0"/>
              <w:jc w:val="center"/>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2556" w:type="dxa"/>
          </w:tcPr>
          <w:p>
            <w:pPr>
              <w:keepNext w:val="0"/>
              <w:keepLines w:val="0"/>
              <w:pageBreakBefore w:val="0"/>
              <w:kinsoku/>
              <w:wordWrap/>
              <w:overflowPunct/>
              <w:topLinePunct w:val="0"/>
              <w:bidi w:val="0"/>
              <w:jc w:val="center"/>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1000-5000</w:t>
            </w:r>
          </w:p>
        </w:tc>
        <w:tc>
          <w:tcPr>
            <w:tcW w:w="2067" w:type="dxa"/>
          </w:tcPr>
          <w:p>
            <w:pPr>
              <w:keepNext w:val="0"/>
              <w:keepLines w:val="0"/>
              <w:pageBreakBefore w:val="0"/>
              <w:kinsoku/>
              <w:wordWrap/>
              <w:overflowPunct/>
              <w:topLinePunct w:val="0"/>
              <w:bidi w:val="0"/>
              <w:jc w:val="center"/>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0.5%</w:t>
            </w:r>
          </w:p>
        </w:tc>
        <w:tc>
          <w:tcPr>
            <w:tcW w:w="2067" w:type="dxa"/>
          </w:tcPr>
          <w:p>
            <w:pPr>
              <w:keepNext w:val="0"/>
              <w:keepLines w:val="0"/>
              <w:pageBreakBefore w:val="0"/>
              <w:kinsoku/>
              <w:wordWrap/>
              <w:overflowPunct/>
              <w:topLinePunct w:val="0"/>
              <w:bidi w:val="0"/>
              <w:jc w:val="center"/>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0.25%</w:t>
            </w:r>
          </w:p>
        </w:tc>
        <w:tc>
          <w:tcPr>
            <w:tcW w:w="2067" w:type="dxa"/>
          </w:tcPr>
          <w:p>
            <w:pPr>
              <w:keepNext w:val="0"/>
              <w:keepLines w:val="0"/>
              <w:pageBreakBefore w:val="0"/>
              <w:kinsoku/>
              <w:wordWrap/>
              <w:overflowPunct/>
              <w:topLinePunct w:val="0"/>
              <w:bidi w:val="0"/>
              <w:jc w:val="center"/>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2556" w:type="dxa"/>
          </w:tcPr>
          <w:p>
            <w:pPr>
              <w:keepNext w:val="0"/>
              <w:keepLines w:val="0"/>
              <w:pageBreakBefore w:val="0"/>
              <w:kinsoku/>
              <w:wordWrap/>
              <w:overflowPunct/>
              <w:topLinePunct w:val="0"/>
              <w:bidi w:val="0"/>
              <w:jc w:val="center"/>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5000-10000</w:t>
            </w:r>
          </w:p>
        </w:tc>
        <w:tc>
          <w:tcPr>
            <w:tcW w:w="2067" w:type="dxa"/>
          </w:tcPr>
          <w:p>
            <w:pPr>
              <w:keepNext w:val="0"/>
              <w:keepLines w:val="0"/>
              <w:pageBreakBefore w:val="0"/>
              <w:kinsoku/>
              <w:wordWrap/>
              <w:overflowPunct/>
              <w:topLinePunct w:val="0"/>
              <w:bidi w:val="0"/>
              <w:jc w:val="center"/>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0.25%</w:t>
            </w:r>
          </w:p>
        </w:tc>
        <w:tc>
          <w:tcPr>
            <w:tcW w:w="2067" w:type="dxa"/>
          </w:tcPr>
          <w:p>
            <w:pPr>
              <w:keepNext w:val="0"/>
              <w:keepLines w:val="0"/>
              <w:pageBreakBefore w:val="0"/>
              <w:kinsoku/>
              <w:wordWrap/>
              <w:overflowPunct/>
              <w:topLinePunct w:val="0"/>
              <w:bidi w:val="0"/>
              <w:jc w:val="center"/>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0.1%</w:t>
            </w:r>
          </w:p>
        </w:tc>
        <w:tc>
          <w:tcPr>
            <w:tcW w:w="2067" w:type="dxa"/>
          </w:tcPr>
          <w:p>
            <w:pPr>
              <w:keepNext w:val="0"/>
              <w:keepLines w:val="0"/>
              <w:pageBreakBefore w:val="0"/>
              <w:kinsoku/>
              <w:wordWrap/>
              <w:overflowPunct/>
              <w:topLinePunct w:val="0"/>
              <w:bidi w:val="0"/>
              <w:jc w:val="center"/>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2556" w:type="dxa"/>
          </w:tcPr>
          <w:p>
            <w:pPr>
              <w:keepNext w:val="0"/>
              <w:keepLines w:val="0"/>
              <w:pageBreakBefore w:val="0"/>
              <w:kinsoku/>
              <w:wordWrap/>
              <w:overflowPunct/>
              <w:topLinePunct w:val="0"/>
              <w:bidi w:val="0"/>
              <w:jc w:val="center"/>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10000-100000</w:t>
            </w:r>
          </w:p>
        </w:tc>
        <w:tc>
          <w:tcPr>
            <w:tcW w:w="2067" w:type="dxa"/>
          </w:tcPr>
          <w:p>
            <w:pPr>
              <w:keepNext w:val="0"/>
              <w:keepLines w:val="0"/>
              <w:pageBreakBefore w:val="0"/>
              <w:kinsoku/>
              <w:wordWrap/>
              <w:overflowPunct/>
              <w:topLinePunct w:val="0"/>
              <w:bidi w:val="0"/>
              <w:jc w:val="center"/>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0.05%</w:t>
            </w:r>
          </w:p>
        </w:tc>
        <w:tc>
          <w:tcPr>
            <w:tcW w:w="2067" w:type="dxa"/>
          </w:tcPr>
          <w:p>
            <w:pPr>
              <w:keepNext w:val="0"/>
              <w:keepLines w:val="0"/>
              <w:pageBreakBefore w:val="0"/>
              <w:kinsoku/>
              <w:wordWrap/>
              <w:overflowPunct/>
              <w:topLinePunct w:val="0"/>
              <w:bidi w:val="0"/>
              <w:jc w:val="center"/>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0.05%</w:t>
            </w:r>
          </w:p>
        </w:tc>
        <w:tc>
          <w:tcPr>
            <w:tcW w:w="2067" w:type="dxa"/>
          </w:tcPr>
          <w:p>
            <w:pPr>
              <w:keepNext w:val="0"/>
              <w:keepLines w:val="0"/>
              <w:pageBreakBefore w:val="0"/>
              <w:kinsoku/>
              <w:wordWrap/>
              <w:overflowPunct/>
              <w:topLinePunct w:val="0"/>
              <w:bidi w:val="0"/>
              <w:jc w:val="center"/>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trPr>
        <w:tc>
          <w:tcPr>
            <w:tcW w:w="2556" w:type="dxa"/>
          </w:tcPr>
          <w:p>
            <w:pPr>
              <w:keepNext w:val="0"/>
              <w:keepLines w:val="0"/>
              <w:pageBreakBefore w:val="0"/>
              <w:kinsoku/>
              <w:wordWrap/>
              <w:overflowPunct/>
              <w:topLinePunct w:val="0"/>
              <w:bidi w:val="0"/>
              <w:jc w:val="center"/>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100000以上</w:t>
            </w:r>
          </w:p>
        </w:tc>
        <w:tc>
          <w:tcPr>
            <w:tcW w:w="2067" w:type="dxa"/>
          </w:tcPr>
          <w:p>
            <w:pPr>
              <w:keepNext w:val="0"/>
              <w:keepLines w:val="0"/>
              <w:pageBreakBefore w:val="0"/>
              <w:kinsoku/>
              <w:wordWrap/>
              <w:overflowPunct/>
              <w:topLinePunct w:val="0"/>
              <w:bidi w:val="0"/>
              <w:jc w:val="center"/>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0.01%</w:t>
            </w:r>
          </w:p>
        </w:tc>
        <w:tc>
          <w:tcPr>
            <w:tcW w:w="2067" w:type="dxa"/>
          </w:tcPr>
          <w:p>
            <w:pPr>
              <w:keepNext w:val="0"/>
              <w:keepLines w:val="0"/>
              <w:pageBreakBefore w:val="0"/>
              <w:kinsoku/>
              <w:wordWrap/>
              <w:overflowPunct/>
              <w:topLinePunct w:val="0"/>
              <w:bidi w:val="0"/>
              <w:jc w:val="center"/>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0.01%</w:t>
            </w:r>
          </w:p>
        </w:tc>
        <w:tc>
          <w:tcPr>
            <w:tcW w:w="2067" w:type="dxa"/>
          </w:tcPr>
          <w:p>
            <w:pPr>
              <w:keepNext w:val="0"/>
              <w:keepLines w:val="0"/>
              <w:pageBreakBefore w:val="0"/>
              <w:kinsoku/>
              <w:wordWrap/>
              <w:overflowPunct/>
              <w:topLinePunct w:val="0"/>
              <w:bidi w:val="0"/>
              <w:jc w:val="center"/>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0.01%</w:t>
            </w:r>
          </w:p>
        </w:tc>
      </w:tr>
    </w:tbl>
    <w:p>
      <w:pPr>
        <w:keepNext w:val="0"/>
        <w:keepLines w:val="0"/>
        <w:pageBreakBefore w:val="0"/>
        <w:kinsoku/>
        <w:wordWrap/>
        <w:overflowPunct/>
        <w:topLinePunct w:val="0"/>
        <w:bidi w:val="0"/>
        <w:spacing w:line="360" w:lineRule="auto"/>
        <w:textAlignment w:val="auto"/>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七、合同签订及公告</w:t>
      </w:r>
    </w:p>
    <w:p>
      <w:pPr>
        <w:keepNext w:val="0"/>
        <w:keepLines w:val="0"/>
        <w:pageBreakBefore w:val="0"/>
        <w:kinsoku/>
        <w:wordWrap/>
        <w:overflowPunct/>
        <w:topLinePunct w:val="0"/>
        <w:bidi w:val="0"/>
        <w:spacing w:line="360" w:lineRule="auto"/>
        <w:ind w:firstLine="422" w:firstLineChars="200"/>
        <w:textAlignment w:val="auto"/>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（一）签订合同</w:t>
      </w:r>
    </w:p>
    <w:p>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1、采购人应当自中标通知书发出之日起</w:t>
      </w:r>
      <w:r>
        <w:rPr>
          <w:rFonts w:hint="eastAsia" w:ascii="宋体" w:hAnsi="宋体" w:eastAsia="宋体" w:cs="宋体"/>
          <w:color w:val="auto"/>
          <w:szCs w:val="21"/>
          <w:highlight w:val="none"/>
          <w:lang w:val="en-US" w:eastAsia="zh-CN"/>
        </w:rPr>
        <w:t>30</w:t>
      </w:r>
      <w:r>
        <w:rPr>
          <w:rFonts w:hint="eastAsia" w:ascii="宋体" w:hAnsi="宋体" w:eastAsia="宋体" w:cs="宋体"/>
          <w:color w:val="auto"/>
          <w:szCs w:val="21"/>
          <w:highlight w:val="none"/>
        </w:rPr>
        <w:t>日内，按照招标文件和中标人投标文件的规定，与中标人签订书面合同。所签订的合同不得对招标文件确定的事项和中标人投标文件作实质性修改。</w:t>
      </w:r>
    </w:p>
    <w:p>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2、采购人不得向中标人提出任何不合理的要求作为签订合同的条件。</w:t>
      </w:r>
    </w:p>
    <w:p>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3、中标供应商无故拖延、拒签合同的,取消中标资格。</w:t>
      </w:r>
    </w:p>
    <w:p>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4、中标供应商拒绝与采购人签订合同的，采购人可以按照评审报告推荐的中标候选人名单排序，确定下一候选人为中标供应商，也可以重新开展政府采购活动。同时，拒绝与采购人签订合同的供应商，由同级财政部门依法作出处理。</w:t>
      </w:r>
    </w:p>
    <w:p>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5、询问或者质疑事项可能影响中标结果的，采购人应当暂停签订合同，已经签订合同的，应当中止履行合同（中标结果的质疑期为中标结果公告期限届满之日起七个工作日）。</w:t>
      </w:r>
    </w:p>
    <w:p>
      <w:pPr>
        <w:keepNext w:val="0"/>
        <w:keepLines w:val="0"/>
        <w:pageBreakBefore w:val="0"/>
        <w:kinsoku/>
        <w:wordWrap/>
        <w:overflowPunct/>
        <w:topLinePunct w:val="0"/>
        <w:bidi w:val="0"/>
        <w:spacing w:line="360" w:lineRule="auto"/>
        <w:ind w:firstLine="422" w:firstLineChars="200"/>
        <w:textAlignment w:val="auto"/>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（二）合同公告及备案</w:t>
      </w:r>
    </w:p>
    <w:p>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1、采购人应当自政府采购合同签订之日起2个工作日内，在省级以上财政部门指定的政府采购信息发布媒体及相关网站上公告。</w:t>
      </w:r>
    </w:p>
    <w:p>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2、采购人应当自政府采购合同签订之日起7个工作日内，将政府采购合同副本报同级人民政府财政部门备案以及采购组织机构存档。</w:t>
      </w:r>
    </w:p>
    <w:p>
      <w:pPr>
        <w:spacing w:line="360" w:lineRule="auto"/>
        <w:rPr>
          <w:rFonts w:hint="eastAsia" w:ascii="宋体" w:hAnsi="宋体" w:eastAsia="宋体" w:cs="宋体"/>
          <w:b/>
          <w:color w:val="auto"/>
          <w:sz w:val="36"/>
          <w:szCs w:val="36"/>
          <w:highlight w:val="none"/>
        </w:rPr>
      </w:pPr>
    </w:p>
    <w:p>
      <w:pPr>
        <w:pStyle w:val="52"/>
        <w:rPr>
          <w:rFonts w:hint="eastAsia" w:ascii="宋体" w:hAnsi="宋体" w:eastAsia="宋体" w:cs="宋体"/>
          <w:b/>
          <w:color w:val="auto"/>
          <w:sz w:val="36"/>
          <w:szCs w:val="36"/>
          <w:highlight w:val="none"/>
        </w:rPr>
      </w:pPr>
    </w:p>
    <w:p>
      <w:pPr>
        <w:pStyle w:val="8"/>
        <w:ind w:left="0" w:leftChars="0" w:firstLine="0" w:firstLineChars="0"/>
        <w:rPr>
          <w:rFonts w:hint="eastAsia" w:ascii="宋体" w:hAnsi="宋体" w:eastAsia="宋体" w:cs="宋体"/>
          <w:b/>
          <w:color w:val="auto"/>
          <w:sz w:val="36"/>
          <w:szCs w:val="36"/>
          <w:highlight w:val="none"/>
        </w:rPr>
      </w:pPr>
    </w:p>
    <w:p>
      <w:pP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br w:type="page"/>
      </w:r>
    </w:p>
    <w:p>
      <w:pPr>
        <w:spacing w:line="360" w:lineRule="auto"/>
        <w:jc w:val="center"/>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第三章 评标办法及评分标准</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一、采购组织机构将组织评标委员会，对投标人提供的投标文件进行综合评审。</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二、本次招标项目的评标方法为综合评分法，总计100分，其中资格及</w:t>
      </w:r>
      <w:r>
        <w:rPr>
          <w:rFonts w:hint="eastAsia" w:ascii="宋体" w:hAnsi="宋体" w:eastAsia="宋体" w:cs="宋体"/>
          <w:color w:val="auto"/>
          <w:szCs w:val="21"/>
          <w:highlight w:val="none"/>
          <w:lang w:val="zh-CN"/>
        </w:rPr>
        <w:t>商务技术文件分值</w:t>
      </w:r>
      <w:r>
        <w:rPr>
          <w:rFonts w:hint="eastAsia" w:ascii="宋体" w:hAnsi="宋体" w:cs="宋体"/>
          <w:color w:val="auto"/>
          <w:szCs w:val="21"/>
          <w:highlight w:val="none"/>
          <w:lang w:val="en-US" w:eastAsia="zh-CN"/>
        </w:rPr>
        <w:t>70</w:t>
      </w:r>
      <w:r>
        <w:rPr>
          <w:rFonts w:hint="eastAsia" w:ascii="宋体" w:hAnsi="宋体" w:eastAsia="宋体" w:cs="宋体"/>
          <w:color w:val="auto"/>
          <w:szCs w:val="21"/>
          <w:highlight w:val="none"/>
          <w:lang w:val="zh-CN"/>
        </w:rPr>
        <w:t>分，投标报价分值</w:t>
      </w:r>
      <w:r>
        <w:rPr>
          <w:rFonts w:hint="eastAsia" w:ascii="宋体" w:hAnsi="宋体" w:cs="宋体"/>
          <w:color w:val="auto"/>
          <w:szCs w:val="21"/>
          <w:highlight w:val="none"/>
          <w:lang w:val="en-US" w:eastAsia="zh-CN"/>
        </w:rPr>
        <w:t>30</w:t>
      </w:r>
      <w:r>
        <w:rPr>
          <w:rFonts w:hint="eastAsia" w:ascii="宋体" w:hAnsi="宋体" w:eastAsia="宋体" w:cs="宋体"/>
          <w:color w:val="auto"/>
          <w:szCs w:val="21"/>
          <w:highlight w:val="none"/>
          <w:lang w:val="zh-CN"/>
        </w:rPr>
        <w:t>分</w:t>
      </w:r>
      <w:r>
        <w:rPr>
          <w:rFonts w:hint="eastAsia" w:ascii="宋体" w:hAnsi="宋体" w:eastAsia="宋体" w:cs="宋体"/>
          <w:color w:val="auto"/>
          <w:szCs w:val="21"/>
          <w:highlight w:val="none"/>
        </w:rPr>
        <w:t>。评标标准按评分细化条款及分值进行评审。</w:t>
      </w:r>
    </w:p>
    <w:p>
      <w:pPr>
        <w:spacing w:line="360" w:lineRule="auto"/>
        <w:ind w:firstLine="420" w:firstLineChars="20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（一）</w:t>
      </w:r>
      <w:r>
        <w:rPr>
          <w:rFonts w:hint="eastAsia" w:ascii="宋体" w:hAnsi="宋体" w:eastAsia="宋体" w:cs="宋体"/>
          <w:color w:val="auto"/>
          <w:szCs w:val="21"/>
          <w:highlight w:val="none"/>
        </w:rPr>
        <w:t>资格及</w:t>
      </w:r>
      <w:r>
        <w:rPr>
          <w:rFonts w:hint="eastAsia" w:ascii="宋体" w:hAnsi="宋体" w:eastAsia="宋体" w:cs="宋体"/>
          <w:color w:val="auto"/>
          <w:szCs w:val="21"/>
          <w:highlight w:val="none"/>
          <w:lang w:val="zh-CN"/>
        </w:rPr>
        <w:t>商务技术文件中的客观分</w:t>
      </w:r>
      <w:r>
        <w:rPr>
          <w:rFonts w:hint="eastAsia" w:ascii="宋体" w:hAnsi="宋体" w:eastAsia="宋体" w:cs="宋体"/>
          <w:color w:val="auto"/>
          <w:sz w:val="21"/>
          <w:szCs w:val="21"/>
          <w:highlight w:val="none"/>
          <w:lang w:val="zh-CN"/>
        </w:rPr>
        <w:t>应由评审小组成员独立评审，</w:t>
      </w:r>
      <w:r>
        <w:rPr>
          <w:rFonts w:hint="eastAsia" w:ascii="宋体" w:hAnsi="宋体" w:eastAsia="宋体" w:cs="宋体"/>
          <w:color w:val="auto"/>
          <w:sz w:val="21"/>
          <w:szCs w:val="21"/>
          <w:highlight w:val="none"/>
          <w:lang w:val="en-US" w:eastAsia="zh-CN"/>
        </w:rPr>
        <w:t>但客观分打分应一致</w:t>
      </w:r>
      <w:r>
        <w:rPr>
          <w:rFonts w:hint="eastAsia" w:ascii="宋体" w:hAnsi="宋体" w:eastAsia="宋体" w:cs="宋体"/>
          <w:color w:val="auto"/>
          <w:szCs w:val="21"/>
          <w:highlight w:val="none"/>
          <w:lang w:val="zh-CN"/>
        </w:rPr>
        <w:t>；客观分不一致时，由评审委员会复核或书面说明理由，其余在规定的分值内单独评定打分</w:t>
      </w:r>
      <w:r>
        <w:rPr>
          <w:rFonts w:hint="eastAsia" w:ascii="宋体" w:hAnsi="宋体" w:eastAsia="宋体" w:cs="宋体"/>
          <w:color w:val="auto"/>
          <w:szCs w:val="21"/>
          <w:highlight w:val="none"/>
        </w:rPr>
        <w:t>（小数点后保留1位）</w:t>
      </w:r>
      <w:r>
        <w:rPr>
          <w:rFonts w:hint="eastAsia" w:ascii="宋体" w:hAnsi="宋体" w:eastAsia="宋体" w:cs="宋体"/>
          <w:color w:val="auto"/>
          <w:szCs w:val="21"/>
          <w:highlight w:val="none"/>
          <w:lang w:val="zh-CN"/>
        </w:rPr>
        <w:t>。</w:t>
      </w:r>
    </w:p>
    <w:p>
      <w:pPr>
        <w:spacing w:line="360" w:lineRule="auto"/>
        <w:ind w:firstLine="420" w:firstLineChars="20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（二）各投标人</w:t>
      </w:r>
      <w:r>
        <w:rPr>
          <w:rFonts w:hint="eastAsia" w:ascii="宋体" w:hAnsi="宋体" w:eastAsia="宋体" w:cs="宋体"/>
          <w:color w:val="auto"/>
          <w:szCs w:val="21"/>
          <w:highlight w:val="none"/>
        </w:rPr>
        <w:t>资格及</w:t>
      </w:r>
      <w:r>
        <w:rPr>
          <w:rFonts w:hint="eastAsia" w:ascii="宋体" w:hAnsi="宋体" w:eastAsia="宋体" w:cs="宋体"/>
          <w:color w:val="auto"/>
          <w:szCs w:val="21"/>
          <w:highlight w:val="none"/>
          <w:lang w:val="zh-CN"/>
        </w:rPr>
        <w:t>商务技术文件得分按照评标委员会成员的独立评分结果汇总后的算术平均分计算</w:t>
      </w:r>
      <w:r>
        <w:rPr>
          <w:rFonts w:hint="eastAsia" w:ascii="宋体" w:hAnsi="宋体" w:eastAsia="宋体" w:cs="宋体"/>
          <w:color w:val="auto"/>
          <w:szCs w:val="21"/>
          <w:highlight w:val="none"/>
        </w:rPr>
        <w:t>（小数点后保留2位）</w:t>
      </w:r>
      <w:r>
        <w:rPr>
          <w:rFonts w:hint="eastAsia" w:ascii="宋体" w:hAnsi="宋体" w:eastAsia="宋体" w:cs="宋体"/>
          <w:color w:val="auto"/>
          <w:szCs w:val="21"/>
          <w:highlight w:val="none"/>
          <w:lang w:val="zh-CN"/>
        </w:rPr>
        <w:t>，计算公式为：</w:t>
      </w:r>
    </w:p>
    <w:p>
      <w:pPr>
        <w:spacing w:line="360" w:lineRule="auto"/>
        <w:ind w:firstLine="420" w:firstLineChars="20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rPr>
        <w:t>资格及</w:t>
      </w:r>
      <w:r>
        <w:rPr>
          <w:rFonts w:hint="eastAsia" w:ascii="宋体" w:hAnsi="宋体" w:eastAsia="宋体" w:cs="宋体"/>
          <w:color w:val="auto"/>
          <w:szCs w:val="21"/>
          <w:highlight w:val="none"/>
          <w:lang w:val="zh-CN"/>
        </w:rPr>
        <w:t>商务技术文件</w:t>
      </w:r>
      <w:r>
        <w:rPr>
          <w:rFonts w:hint="eastAsia" w:ascii="宋体" w:hAnsi="宋体" w:eastAsia="宋体" w:cs="宋体"/>
          <w:color w:val="auto"/>
          <w:szCs w:val="21"/>
          <w:highlight w:val="none"/>
        </w:rPr>
        <w:t>得分</w:t>
      </w:r>
      <w:r>
        <w:rPr>
          <w:rFonts w:hint="eastAsia" w:ascii="宋体" w:hAnsi="宋体" w:eastAsia="宋体" w:cs="宋体"/>
          <w:color w:val="auto"/>
          <w:szCs w:val="21"/>
          <w:highlight w:val="none"/>
          <w:lang w:val="zh-CN"/>
        </w:rPr>
        <w:t>=评标委员会所有成员评分合计数/评标委员会组成人员数。</w:t>
      </w:r>
    </w:p>
    <w:p>
      <w:pPr>
        <w:spacing w:line="360" w:lineRule="auto"/>
        <w:ind w:firstLine="420" w:firstLineChars="20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（三）投标报价得分采用低价优先法计算</w:t>
      </w:r>
      <w:r>
        <w:rPr>
          <w:rFonts w:hint="eastAsia" w:ascii="宋体" w:hAnsi="宋体" w:eastAsia="宋体" w:cs="宋体"/>
          <w:color w:val="auto"/>
          <w:szCs w:val="21"/>
          <w:highlight w:val="none"/>
        </w:rPr>
        <w:t>（小数点后保留2位）</w:t>
      </w:r>
      <w:r>
        <w:rPr>
          <w:rFonts w:hint="eastAsia" w:ascii="宋体" w:hAnsi="宋体" w:eastAsia="宋体" w:cs="宋体"/>
          <w:color w:val="auto"/>
          <w:szCs w:val="21"/>
          <w:highlight w:val="none"/>
          <w:lang w:val="zh-CN"/>
        </w:rPr>
        <w:t>，即满足招标文件要求且投标价格最低的投标报价为评标基准价，其报价得满分。其他投标人的投标报价得分按下列公式计算：</w:t>
      </w:r>
    </w:p>
    <w:p>
      <w:pPr>
        <w:spacing w:line="360" w:lineRule="auto"/>
        <w:ind w:firstLine="420" w:firstLineChars="200"/>
        <w:rPr>
          <w:rFonts w:hint="eastAsia" w:ascii="宋体" w:hAnsi="宋体" w:eastAsia="宋体" w:cs="宋体"/>
          <w:color w:val="auto"/>
          <w:szCs w:val="21"/>
          <w:highlight w:val="none"/>
          <w:u w:val="single"/>
          <w:lang w:val="zh-CN"/>
        </w:rPr>
      </w:pPr>
      <w:r>
        <w:rPr>
          <w:rFonts w:hint="eastAsia" w:ascii="宋体" w:hAnsi="宋体" w:eastAsia="宋体" w:cs="宋体"/>
          <w:color w:val="auto"/>
          <w:szCs w:val="21"/>
          <w:highlight w:val="none"/>
          <w:u w:val="single"/>
          <w:lang w:val="zh-CN"/>
        </w:rPr>
        <w:t>投标报价得分=(评标基准价／投标报价)×</w:t>
      </w:r>
      <w:r>
        <w:rPr>
          <w:rFonts w:hint="eastAsia" w:ascii="宋体" w:hAnsi="宋体" w:cs="宋体"/>
          <w:color w:val="auto"/>
          <w:szCs w:val="21"/>
          <w:highlight w:val="none"/>
          <w:u w:val="single"/>
          <w:lang w:val="en-US" w:eastAsia="zh-CN"/>
        </w:rPr>
        <w:t>3</w:t>
      </w:r>
      <w:r>
        <w:rPr>
          <w:rFonts w:hint="eastAsia" w:ascii="宋体" w:hAnsi="宋体" w:eastAsia="宋体" w:cs="宋体"/>
          <w:color w:val="auto"/>
          <w:szCs w:val="21"/>
          <w:highlight w:val="none"/>
          <w:u w:val="single"/>
          <w:lang w:val="zh-CN"/>
        </w:rPr>
        <w:t>0%×100 。</w:t>
      </w:r>
    </w:p>
    <w:p>
      <w:pPr>
        <w:spacing w:line="360" w:lineRule="auto"/>
        <w:ind w:firstLine="420" w:firstLineChars="20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（四）投标人综合得分＝资格及商务技术文件得分＋投标报价得分。</w:t>
      </w:r>
    </w:p>
    <w:p>
      <w:pPr>
        <w:spacing w:line="360" w:lineRule="auto"/>
        <w:ind w:firstLine="420" w:firstLineChars="20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（五）政府采购政策及优惠：</w:t>
      </w:r>
    </w:p>
    <w:p>
      <w:pPr>
        <w:spacing w:line="360" w:lineRule="auto"/>
        <w:ind w:firstLine="420" w:firstLineChars="20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en-US" w:eastAsia="zh-CN"/>
        </w:rPr>
        <w:t>1、</w:t>
      </w:r>
      <w:r>
        <w:rPr>
          <w:rFonts w:hint="eastAsia" w:ascii="宋体" w:hAnsi="宋体" w:eastAsia="宋体" w:cs="宋体"/>
          <w:color w:val="auto"/>
          <w:sz w:val="21"/>
          <w:szCs w:val="21"/>
          <w:highlight w:val="none"/>
          <w:lang w:val="zh-CN"/>
        </w:rPr>
        <w:t>关于小型、微型企业（简称小微企业）投标：①根据</w:t>
      </w:r>
      <w:r>
        <w:rPr>
          <w:rFonts w:hint="eastAsia" w:ascii="宋体" w:hAnsi="宋体" w:eastAsia="宋体" w:cs="宋体"/>
          <w:color w:val="auto"/>
          <w:sz w:val="21"/>
          <w:szCs w:val="21"/>
          <w:highlight w:val="none"/>
          <w:lang w:val="en-US" w:eastAsia="zh-CN"/>
        </w:rPr>
        <w:t>浙江省财政厅</w:t>
      </w:r>
      <w:r>
        <w:rPr>
          <w:rFonts w:hint="eastAsia" w:ascii="宋体" w:hAnsi="宋体" w:eastAsia="宋体" w:cs="宋体"/>
          <w:color w:val="auto"/>
          <w:sz w:val="21"/>
          <w:szCs w:val="21"/>
          <w:highlight w:val="none"/>
          <w:lang w:val="zh-CN"/>
        </w:rPr>
        <w:t>发布的《浙江省财政厅关于进一步发挥政府采购政策功能全力推动经济稳进提质的通知》【</w:t>
      </w:r>
      <w:r>
        <w:rPr>
          <w:rFonts w:hint="eastAsia" w:ascii="宋体" w:hAnsi="宋体" w:eastAsia="宋体" w:cs="宋体"/>
          <w:color w:val="auto"/>
          <w:sz w:val="21"/>
          <w:szCs w:val="21"/>
          <w:highlight w:val="none"/>
          <w:lang w:val="en-US" w:eastAsia="zh-CN"/>
        </w:rPr>
        <w:t>浙财采监</w:t>
      </w:r>
      <w:r>
        <w:rPr>
          <w:rFonts w:hint="eastAsia" w:ascii="宋体" w:hAnsi="宋体" w:eastAsia="宋体" w:cs="宋体"/>
          <w:color w:val="auto"/>
          <w:sz w:val="21"/>
          <w:szCs w:val="21"/>
          <w:highlight w:val="none"/>
          <w:lang w:val="zh-CN"/>
        </w:rPr>
        <w:t>（202</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val="zh-CN"/>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val="zh-CN"/>
        </w:rPr>
        <w:t>号】规定，对于经主管预算单位统筹后未预留份额专门面向中小企业采购的采购项目，以及预留份额项目中的非预留部分采购包，采购人、采购代理机构应当对符合本办法规定的小微企业报价给予</w:t>
      </w: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lang w:val="zh-CN"/>
        </w:rPr>
        <w:t>%的扣除，用扣除后的价格参加评审。②小微企业投标是指符合《中小企业划型标准规定》的投标人，通过投标提供本企业制造的货物、承担的工程或者服务，或者提供其他小微企业制造的货物。本项所指货物不包括使用大、中型企业注册商标的货物。</w:t>
      </w:r>
    </w:p>
    <w:p>
      <w:pPr>
        <w:spacing w:line="360" w:lineRule="auto"/>
        <w:ind w:firstLine="420" w:firstLineChars="20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lang w:val="zh-CN"/>
        </w:rPr>
        <w:t>监狱企业参加政府采购活动时，应当提供由省级以上监狱管理局、戒毒管理局（含新疆生产建设兵团）出具的属于监狱企业的证明文件，视同小型、微型企业，享受小微企业政府采购优惠政策；</w:t>
      </w:r>
    </w:p>
    <w:p>
      <w:pPr>
        <w:spacing w:line="360" w:lineRule="auto"/>
        <w:ind w:firstLine="420" w:firstLineChars="20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lang w:val="zh-CN"/>
        </w:rPr>
        <w:t>残疾人福利性单位在参加政府采购活动时，应提供《残疾人福利性单位声明函》（见附件），视同小型、微型企业，享受小微企业政府采购优惠政策。</w:t>
      </w:r>
    </w:p>
    <w:p>
      <w:pPr>
        <w:spacing w:line="360" w:lineRule="auto"/>
        <w:ind w:firstLine="420" w:firstLineChars="20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具体优惠：对于非联合体投标，小型微型企业产品的价格给予</w:t>
      </w:r>
      <w:r>
        <w:rPr>
          <w:rFonts w:hint="eastAsia" w:ascii="宋体" w:hAnsi="宋体" w:eastAsia="宋体" w:cs="宋体"/>
          <w:color w:val="auto"/>
          <w:szCs w:val="21"/>
          <w:highlight w:val="none"/>
          <w:lang w:val="en-US" w:eastAsia="zh-CN"/>
        </w:rPr>
        <w:t>10</w:t>
      </w:r>
      <w:r>
        <w:rPr>
          <w:rFonts w:hint="eastAsia" w:ascii="宋体" w:hAnsi="宋体" w:eastAsia="宋体" w:cs="宋体"/>
          <w:color w:val="auto"/>
          <w:szCs w:val="21"/>
          <w:highlight w:val="none"/>
          <w:lang w:val="zh-CN"/>
        </w:rPr>
        <w:t>%的扣除，用扣除后的价格计算评标基准价和投标报价。对于联合体投标，小型、微型企业的协议合同金额占到联合体协议合同总金额30%以上的，可给予联合体</w:t>
      </w: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lang w:val="zh-CN"/>
        </w:rPr>
        <w:t>%的价格扣除。联合体各方均为小型、微型企业的，联合体视同为小型、微型企业享受扶持政策，对于小型微型企业产品的价格给予</w:t>
      </w:r>
      <w:r>
        <w:rPr>
          <w:rFonts w:hint="eastAsia" w:ascii="宋体" w:hAnsi="宋体" w:eastAsia="宋体" w:cs="宋体"/>
          <w:color w:val="auto"/>
          <w:szCs w:val="21"/>
          <w:highlight w:val="none"/>
          <w:lang w:val="en-US" w:eastAsia="zh-CN"/>
        </w:rPr>
        <w:t>10</w:t>
      </w:r>
      <w:r>
        <w:rPr>
          <w:rFonts w:hint="eastAsia" w:ascii="宋体" w:hAnsi="宋体" w:eastAsia="宋体" w:cs="宋体"/>
          <w:color w:val="auto"/>
          <w:szCs w:val="21"/>
          <w:highlight w:val="none"/>
          <w:lang w:val="zh-CN"/>
        </w:rPr>
        <w:t>%的扣除，用扣除后的价格计算评标基准价和响应报价。同一投标人（包括联合体），小微企业、监狱企业、残疾人福利性单位价格扣除优惠只享受一次，不得重复享受。</w:t>
      </w:r>
    </w:p>
    <w:p>
      <w:pPr>
        <w:spacing w:line="360" w:lineRule="auto"/>
        <w:ind w:firstLine="420" w:firstLineChars="20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注：得分以系统计算为准，保留2位小数。</w:t>
      </w:r>
    </w:p>
    <w:p>
      <w:pPr>
        <w:spacing w:line="360" w:lineRule="auto"/>
        <w:ind w:firstLine="281" w:firstLineChars="100"/>
        <w:rPr>
          <w:rFonts w:hint="eastAsia" w:ascii="宋体" w:hAnsi="宋体" w:eastAsia="宋体" w:cs="宋体"/>
          <w:color w:val="auto"/>
          <w:szCs w:val="21"/>
          <w:highlight w:val="none"/>
          <w:lang w:val="zh-CN"/>
        </w:rPr>
      </w:pPr>
      <w:r>
        <w:rPr>
          <w:rFonts w:hint="eastAsia" w:ascii="宋体" w:hAnsi="宋体" w:eastAsia="宋体" w:cs="宋体"/>
          <w:b/>
          <w:bCs/>
          <w:color w:val="auto"/>
          <w:sz w:val="28"/>
          <w:szCs w:val="28"/>
          <w:highlight w:val="none"/>
          <w:u w:val="single"/>
        </w:rPr>
        <w:t>*</w:t>
      </w:r>
      <w:r>
        <w:rPr>
          <w:rFonts w:hint="eastAsia" w:ascii="宋体" w:hAnsi="宋体" w:eastAsia="宋体" w:cs="宋体"/>
          <w:b/>
          <w:bCs/>
          <w:color w:val="auto"/>
          <w:szCs w:val="21"/>
          <w:highlight w:val="none"/>
          <w:u w:val="single"/>
          <w:lang w:val="zh-CN"/>
        </w:rPr>
        <w:t>以上证明材料不提供或提供不全的视为自动放弃优惠政策。</w:t>
      </w:r>
    </w:p>
    <w:p>
      <w:pPr>
        <w:autoSpaceDE w:val="0"/>
        <w:autoSpaceDN w:val="0"/>
        <w:adjustRightInd w:val="0"/>
        <w:spacing w:line="360" w:lineRule="auto"/>
        <w:ind w:right="85" w:firstLine="420" w:firstLineChars="20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三、在最大限度地满足</w:t>
      </w:r>
      <w:r>
        <w:rPr>
          <w:rFonts w:hint="eastAsia" w:ascii="宋体" w:hAnsi="宋体" w:eastAsia="宋体" w:cs="宋体"/>
          <w:color w:val="auto"/>
          <w:szCs w:val="21"/>
          <w:highlight w:val="none"/>
        </w:rPr>
        <w:t>招标</w:t>
      </w:r>
      <w:r>
        <w:rPr>
          <w:rFonts w:hint="eastAsia" w:ascii="宋体" w:hAnsi="宋体" w:eastAsia="宋体" w:cs="宋体"/>
          <w:color w:val="auto"/>
          <w:szCs w:val="21"/>
          <w:highlight w:val="none"/>
          <w:lang w:val="zh-CN"/>
        </w:rPr>
        <w:t>文件实质性要求前提下，</w:t>
      </w:r>
      <w:r>
        <w:rPr>
          <w:rFonts w:hint="eastAsia" w:ascii="宋体" w:hAnsi="宋体" w:eastAsia="宋体" w:cs="宋体"/>
          <w:color w:val="auto"/>
          <w:szCs w:val="21"/>
          <w:highlight w:val="none"/>
        </w:rPr>
        <w:t>评标委员会</w:t>
      </w:r>
      <w:r>
        <w:rPr>
          <w:rFonts w:hint="eastAsia" w:ascii="宋体" w:hAnsi="宋体" w:eastAsia="宋体" w:cs="宋体"/>
          <w:color w:val="auto"/>
          <w:szCs w:val="21"/>
          <w:highlight w:val="none"/>
          <w:lang w:val="zh-CN"/>
        </w:rPr>
        <w:t>按照</w:t>
      </w:r>
      <w:r>
        <w:rPr>
          <w:rFonts w:hint="eastAsia" w:ascii="宋体" w:hAnsi="宋体" w:eastAsia="宋体" w:cs="宋体"/>
          <w:color w:val="auto"/>
          <w:szCs w:val="21"/>
          <w:highlight w:val="none"/>
        </w:rPr>
        <w:t>招标</w:t>
      </w:r>
      <w:r>
        <w:rPr>
          <w:rFonts w:hint="eastAsia" w:ascii="宋体" w:hAnsi="宋体" w:eastAsia="宋体" w:cs="宋体"/>
          <w:color w:val="auto"/>
          <w:szCs w:val="21"/>
          <w:highlight w:val="none"/>
          <w:lang w:val="zh-CN"/>
        </w:rPr>
        <w:t>文件中规定的各项因素进行综合评审后，以评审总得分最高的投标人为第一中标候选人，评审总得分次高的投标人为第二中标候选人。</w:t>
      </w:r>
    </w:p>
    <w:p>
      <w:pPr>
        <w:spacing w:line="360" w:lineRule="auto"/>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四、如综合得分相同，投标报价低者为先；如综合得分且投标报价相同的，以技术</w:t>
      </w:r>
      <w:r>
        <w:rPr>
          <w:rFonts w:hint="eastAsia" w:ascii="宋体" w:hAnsi="宋体" w:eastAsia="宋体" w:cs="宋体"/>
          <w:color w:val="auto"/>
          <w:sz w:val="21"/>
          <w:szCs w:val="21"/>
          <w:highlight w:val="none"/>
          <w:lang w:val="en-US" w:eastAsia="zh-CN"/>
        </w:rPr>
        <w:t>分</w:t>
      </w:r>
      <w:r>
        <w:rPr>
          <w:rFonts w:hint="eastAsia" w:ascii="宋体" w:hAnsi="宋体" w:eastAsia="宋体" w:cs="宋体"/>
          <w:color w:val="auto"/>
          <w:sz w:val="21"/>
          <w:szCs w:val="21"/>
          <w:highlight w:val="none"/>
          <w:lang w:val="zh-CN"/>
        </w:rPr>
        <w:t>得分较高者为先，技术</w:t>
      </w:r>
      <w:r>
        <w:rPr>
          <w:rFonts w:hint="eastAsia" w:ascii="宋体" w:hAnsi="宋体" w:eastAsia="宋体" w:cs="宋体"/>
          <w:color w:val="auto"/>
          <w:sz w:val="21"/>
          <w:szCs w:val="21"/>
          <w:highlight w:val="none"/>
          <w:lang w:val="en-US" w:eastAsia="zh-CN"/>
        </w:rPr>
        <w:t>分</w:t>
      </w:r>
      <w:r>
        <w:rPr>
          <w:rFonts w:hint="eastAsia" w:ascii="宋体" w:hAnsi="宋体" w:eastAsia="宋体" w:cs="宋体"/>
          <w:color w:val="auto"/>
          <w:sz w:val="21"/>
          <w:szCs w:val="21"/>
          <w:highlight w:val="none"/>
          <w:lang w:val="zh-CN"/>
        </w:rPr>
        <w:t>得分也相同的则抽签决定。</w:t>
      </w:r>
    </w:p>
    <w:p>
      <w:pPr>
        <w:spacing w:line="360" w:lineRule="auto"/>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highlight w:val="none"/>
          <w:lang w:val="en-US" w:eastAsia="zh-CN"/>
        </w:rPr>
        <w:t>五、</w:t>
      </w:r>
      <w:r>
        <w:rPr>
          <w:rFonts w:hint="eastAsia" w:ascii="宋体" w:hAnsi="宋体" w:eastAsia="宋体" w:cs="宋体"/>
          <w:color w:val="auto"/>
          <w:sz w:val="21"/>
          <w:szCs w:val="21"/>
          <w:highlight w:val="none"/>
          <w:lang w:val="zh-CN"/>
        </w:rPr>
        <w:t>提供相同品牌产品的不同投标人参加同一合同项下投标的，按一家供应商认定：（1）采用最低评标价法的采购项目，以其中通过资格审查、符合性审查且报价最低的参加评标；报价相同的，由评标委员会集体确定一个投标人参加评标，其他投标无效。（2）使用综合评分法的采购项目，评审后得分最高的同品牌投标人获得中标人推荐资格；评审得分相同的，由评标委员会集体推荐一个投标人作为中标候选人，其他同品牌投标人不作为中标候选人。</w:t>
      </w:r>
    </w:p>
    <w:p>
      <w:pPr>
        <w:spacing w:line="360" w:lineRule="auto"/>
        <w:ind w:firstLine="420" w:firstLineChars="200"/>
        <w:rPr>
          <w:rFonts w:hint="eastAsia" w:ascii="宋体" w:hAnsi="宋体" w:eastAsia="宋体" w:cs="宋体"/>
          <w:color w:val="auto"/>
          <w:spacing w:val="10"/>
          <w:szCs w:val="21"/>
          <w:highlight w:val="none"/>
        </w:rPr>
      </w:pPr>
      <w:r>
        <w:rPr>
          <w:rFonts w:hint="eastAsia" w:ascii="宋体" w:hAnsi="宋体" w:eastAsia="宋体" w:cs="宋体"/>
          <w:color w:val="auto"/>
          <w:highlight w:val="none"/>
          <w:lang w:val="en-US" w:eastAsia="zh-CN"/>
        </w:rPr>
        <w:t>六、</w:t>
      </w:r>
      <w:r>
        <w:rPr>
          <w:rFonts w:hint="eastAsia" w:ascii="宋体" w:hAnsi="宋体" w:eastAsia="宋体" w:cs="宋体"/>
          <w:color w:val="auto"/>
          <w:highlight w:val="none"/>
        </w:rPr>
        <w:t>中标候选人放弃中标、拒绝与采购人签订合同、因不可抗力提出不能履行合同，采购人可以按照评审报告推荐的中标或者成交候选人名单排序，确定下一候选人为中标或者成交供应商，也可以重新开展政府采购活动。评标办法的解释权归招标人。</w:t>
      </w:r>
    </w:p>
    <w:p>
      <w:pPr>
        <w:spacing w:line="360" w:lineRule="auto"/>
        <w:ind w:firstLine="420" w:firstLineChars="200"/>
        <w:rPr>
          <w:rFonts w:hint="eastAsia" w:ascii="宋体" w:hAnsi="宋体" w:eastAsia="宋体" w:cs="宋体"/>
          <w:color w:val="auto"/>
          <w:szCs w:val="21"/>
          <w:highlight w:val="none"/>
          <w:lang w:val="zh-CN"/>
        </w:rPr>
      </w:pPr>
      <w:r>
        <w:rPr>
          <w:rFonts w:hint="eastAsia" w:ascii="宋体" w:hAnsi="宋体" w:eastAsia="宋体" w:cs="宋体"/>
          <w:color w:val="auto"/>
          <w:sz w:val="21"/>
          <w:szCs w:val="21"/>
          <w:highlight w:val="none"/>
          <w:lang w:val="en-US" w:eastAsia="zh-CN"/>
        </w:rPr>
        <w:t>七</w:t>
      </w:r>
      <w:r>
        <w:rPr>
          <w:rFonts w:hint="eastAsia" w:ascii="宋体" w:hAnsi="宋体" w:eastAsia="宋体" w:cs="宋体"/>
          <w:color w:val="auto"/>
          <w:sz w:val="21"/>
          <w:szCs w:val="21"/>
          <w:highlight w:val="none"/>
          <w:lang w:val="zh-CN"/>
        </w:rPr>
        <w:t>、本次评分具体分值细化条款如下表：</w:t>
      </w:r>
    </w:p>
    <w:p>
      <w:pPr>
        <w:spacing w:line="360" w:lineRule="auto"/>
        <w:jc w:val="center"/>
        <w:rPr>
          <w:rFonts w:hint="eastAsia" w:ascii="宋体" w:hAnsi="宋体" w:eastAsia="宋体" w:cs="宋体"/>
          <w:color w:val="auto"/>
          <w:szCs w:val="21"/>
          <w:highlight w:val="none"/>
          <w:lang w:val="zh-CN"/>
        </w:rPr>
      </w:pPr>
      <w:r>
        <w:rPr>
          <w:rFonts w:hint="eastAsia" w:ascii="宋体" w:hAnsi="宋体" w:eastAsia="宋体" w:cs="宋体"/>
          <w:b/>
          <w:color w:val="auto"/>
          <w:szCs w:val="21"/>
          <w:highlight w:val="none"/>
        </w:rPr>
        <w:t>评标打分标准表</w:t>
      </w:r>
      <w:r>
        <w:rPr>
          <w:rFonts w:hint="eastAsia" w:ascii="宋体" w:hAnsi="宋体" w:eastAsia="宋体" w:cs="宋体"/>
          <w:color w:val="auto"/>
          <w:szCs w:val="21"/>
          <w:highlight w:val="none"/>
          <w:lang w:val="zh-CN"/>
        </w:rPr>
        <w:t xml:space="preserve"> </w:t>
      </w:r>
    </w:p>
    <w:tbl>
      <w:tblPr>
        <w:tblStyle w:val="22"/>
        <w:tblW w:w="97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3"/>
        <w:gridCol w:w="1113"/>
        <w:gridCol w:w="7033"/>
        <w:gridCol w:w="6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2096" w:type="dxa"/>
            <w:gridSpan w:val="2"/>
            <w:vAlign w:val="center"/>
          </w:tcPr>
          <w:p>
            <w:pPr>
              <w:adjustRightInd w:val="0"/>
              <w:snapToGrid w:val="0"/>
              <w:jc w:val="center"/>
              <w:rPr>
                <w:rFonts w:asciiTheme="minorEastAsia" w:hAnsiTheme="minorEastAsia" w:cstheme="minorEastAsia"/>
                <w:b/>
                <w:bCs/>
                <w:color w:val="auto"/>
                <w:szCs w:val="21"/>
                <w:highlight w:val="none"/>
              </w:rPr>
            </w:pPr>
            <w:r>
              <w:rPr>
                <w:rFonts w:hint="eastAsia" w:asciiTheme="minorEastAsia" w:hAnsiTheme="minorEastAsia" w:cstheme="minorEastAsia"/>
                <w:b/>
                <w:bCs/>
                <w:color w:val="auto"/>
                <w:szCs w:val="21"/>
                <w:highlight w:val="none"/>
              </w:rPr>
              <w:t>评标因素</w:t>
            </w:r>
          </w:p>
        </w:tc>
        <w:tc>
          <w:tcPr>
            <w:tcW w:w="7033" w:type="dxa"/>
            <w:vAlign w:val="center"/>
          </w:tcPr>
          <w:p>
            <w:pPr>
              <w:adjustRightInd w:val="0"/>
              <w:snapToGrid w:val="0"/>
              <w:jc w:val="center"/>
              <w:rPr>
                <w:rFonts w:asciiTheme="minorEastAsia" w:hAnsiTheme="minorEastAsia" w:cstheme="minorEastAsia"/>
                <w:b/>
                <w:bCs/>
                <w:color w:val="auto"/>
                <w:szCs w:val="21"/>
                <w:highlight w:val="none"/>
              </w:rPr>
            </w:pPr>
            <w:r>
              <w:rPr>
                <w:rFonts w:hint="eastAsia" w:asciiTheme="minorEastAsia" w:hAnsiTheme="minorEastAsia" w:cstheme="minorEastAsia"/>
                <w:b/>
                <w:bCs/>
                <w:color w:val="auto"/>
                <w:szCs w:val="21"/>
                <w:highlight w:val="none"/>
              </w:rPr>
              <w:t>评分标准</w:t>
            </w:r>
          </w:p>
        </w:tc>
        <w:tc>
          <w:tcPr>
            <w:tcW w:w="659" w:type="dxa"/>
            <w:vAlign w:val="center"/>
          </w:tcPr>
          <w:p>
            <w:pPr>
              <w:adjustRightInd w:val="0"/>
              <w:snapToGrid w:val="0"/>
              <w:jc w:val="center"/>
              <w:rPr>
                <w:rFonts w:asciiTheme="minorEastAsia" w:hAnsiTheme="minorEastAsia" w:cstheme="minorEastAsia"/>
                <w:b/>
                <w:bCs/>
                <w:color w:val="auto"/>
                <w:szCs w:val="21"/>
                <w:highlight w:val="none"/>
              </w:rPr>
            </w:pPr>
            <w:r>
              <w:rPr>
                <w:rFonts w:hint="eastAsia" w:asciiTheme="minorEastAsia" w:hAnsiTheme="minorEastAsia" w:cstheme="minorEastAsia"/>
                <w:b/>
                <w:bCs/>
                <w:color w:val="auto"/>
                <w:szCs w:val="21"/>
                <w:highlight w:val="none"/>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983" w:type="dxa"/>
            <w:vMerge w:val="restart"/>
            <w:vAlign w:val="center"/>
          </w:tcPr>
          <w:p>
            <w:pPr>
              <w:adjustRightInd w:val="0"/>
              <w:snapToGrid w:val="0"/>
              <w:rPr>
                <w:rFonts w:asciiTheme="minorEastAsia" w:hAnsiTheme="minorEastAsia" w:cstheme="minorEastAsia"/>
                <w:color w:val="auto"/>
                <w:szCs w:val="21"/>
                <w:highlight w:val="none"/>
              </w:rPr>
            </w:pPr>
          </w:p>
          <w:p>
            <w:pPr>
              <w:adjustRightInd w:val="0"/>
              <w:snapToGrid w:val="0"/>
              <w:jc w:val="center"/>
              <w:rPr>
                <w:rFonts w:asciiTheme="minorEastAsia" w:hAnsiTheme="minorEastAsia" w:cstheme="minorEastAsia"/>
                <w:color w:val="auto"/>
                <w:szCs w:val="21"/>
                <w:highlight w:val="none"/>
              </w:rPr>
            </w:pPr>
          </w:p>
          <w:p>
            <w:pPr>
              <w:adjustRightInd w:val="0"/>
              <w:snapToGrid w:val="0"/>
              <w:jc w:val="center"/>
              <w:rPr>
                <w:rFonts w:asciiTheme="minorEastAsia" w:hAnsiTheme="minorEastAsia" w:cstheme="minorEastAsia"/>
                <w:color w:val="auto"/>
                <w:szCs w:val="21"/>
                <w:highlight w:val="none"/>
              </w:rPr>
            </w:pPr>
          </w:p>
          <w:p>
            <w:pPr>
              <w:adjustRightInd w:val="0"/>
              <w:snapToGrid w:val="0"/>
              <w:jc w:val="center"/>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商务分（</w:t>
            </w:r>
            <w:r>
              <w:rPr>
                <w:rFonts w:hint="eastAsia" w:asciiTheme="minorEastAsia" w:hAnsiTheme="minorEastAsia" w:cstheme="minorEastAsia"/>
                <w:color w:val="auto"/>
                <w:szCs w:val="21"/>
                <w:highlight w:val="none"/>
                <w:lang w:val="en-US" w:eastAsia="zh-CN"/>
              </w:rPr>
              <w:t>10</w:t>
            </w:r>
            <w:r>
              <w:rPr>
                <w:rFonts w:hint="eastAsia" w:asciiTheme="minorEastAsia" w:hAnsiTheme="minorEastAsia" w:cstheme="minorEastAsia"/>
                <w:color w:val="auto"/>
                <w:szCs w:val="21"/>
                <w:highlight w:val="none"/>
              </w:rPr>
              <w:t>分）</w:t>
            </w:r>
          </w:p>
        </w:tc>
        <w:tc>
          <w:tcPr>
            <w:tcW w:w="1113" w:type="dxa"/>
            <w:vAlign w:val="center"/>
          </w:tcPr>
          <w:p>
            <w:pPr>
              <w:adjustRightInd w:val="0"/>
              <w:snapToGrid w:val="0"/>
              <w:jc w:val="center"/>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企业综合实力</w:t>
            </w:r>
          </w:p>
        </w:tc>
        <w:tc>
          <w:tcPr>
            <w:tcW w:w="7033" w:type="dxa"/>
          </w:tcPr>
          <w:p>
            <w:pPr>
              <w:autoSpaceDE w:val="0"/>
              <w:autoSpaceDN w:val="0"/>
              <w:adjustRightInd w:val="0"/>
              <w:spacing w:line="240" w:lineRule="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1、投标人具有有效的中国环境标志产品认证证书的得3分（认证单元：钢木家具，产品名称：实验桌）；</w:t>
            </w:r>
          </w:p>
          <w:p>
            <w:pPr>
              <w:autoSpaceDE w:val="0"/>
              <w:autoSpaceDN w:val="0"/>
              <w:adjustRightInd w:val="0"/>
              <w:spacing w:line="240" w:lineRule="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2、投标人具有有效的中国环保产品认证证书的得3分（产品名称：实验室家具、实验桌）；</w:t>
            </w:r>
          </w:p>
          <w:p>
            <w:pPr>
              <w:autoSpaceDE w:val="0"/>
              <w:autoSpaceDN w:val="0"/>
              <w:adjustRightInd w:val="0"/>
              <w:spacing w:line="240" w:lineRule="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3、投标人具有有效的质量管理体系认证证书的得1分；</w:t>
            </w:r>
          </w:p>
          <w:p>
            <w:pPr>
              <w:autoSpaceDE w:val="0"/>
              <w:autoSpaceDN w:val="0"/>
              <w:adjustRightInd w:val="0"/>
              <w:rPr>
                <w:rFonts w:asciiTheme="minorEastAsia" w:hAnsiTheme="minorEastAsia" w:cstheme="minorEastAsia"/>
                <w:color w:val="auto"/>
                <w:szCs w:val="21"/>
                <w:highlight w:val="none"/>
              </w:rPr>
            </w:pPr>
            <w:r>
              <w:rPr>
                <w:rFonts w:hint="eastAsia" w:asciiTheme="minorEastAsia" w:hAnsiTheme="minorEastAsia" w:eastAsiaTheme="minorEastAsia" w:cstheme="minorEastAsia"/>
                <w:color w:val="auto"/>
                <w:sz w:val="21"/>
                <w:szCs w:val="21"/>
                <w:highlight w:val="none"/>
                <w:lang w:val="en-US" w:eastAsia="zh-CN"/>
              </w:rPr>
              <w:t>本项最高得7分。</w:t>
            </w:r>
            <w:r>
              <w:rPr>
                <w:rFonts w:hint="eastAsia"/>
                <w:b/>
                <w:bCs/>
                <w:color w:val="auto"/>
                <w:highlight w:val="none"/>
                <w:lang w:val="en-US" w:eastAsia="zh-CN"/>
              </w:rPr>
              <w:t>（须提供相关证书的扫描件和中国国家认证认可监督管理委员会网站（www.cnca.gov.cn)查询截图加盖投标人公章编入投标文件中，未提供或提供不全的不得分）</w:t>
            </w:r>
          </w:p>
        </w:tc>
        <w:tc>
          <w:tcPr>
            <w:tcW w:w="659" w:type="dxa"/>
            <w:vAlign w:val="center"/>
          </w:tcPr>
          <w:p>
            <w:pPr>
              <w:autoSpaceDE w:val="0"/>
              <w:autoSpaceDN w:val="0"/>
              <w:adjustRightInd w:val="0"/>
              <w:jc w:val="center"/>
              <w:rPr>
                <w:rFonts w:hint="eastAsia" w:eastAsia="宋体" w:asciiTheme="minorEastAsia" w:hAnsiTheme="minorEastAsia" w:cstheme="minorEastAsia"/>
                <w:color w:val="auto"/>
                <w:szCs w:val="21"/>
                <w:highlight w:val="none"/>
                <w:lang w:eastAsia="zh-CN"/>
              </w:rPr>
            </w:pPr>
            <w:r>
              <w:rPr>
                <w:rFonts w:hint="eastAsia" w:ascii="宋体" w:hAnsi="宋体" w:cs="宋体"/>
                <w:color w:val="auto"/>
                <w:szCs w:val="21"/>
                <w:highlight w:val="none"/>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jc w:val="center"/>
        </w:trPr>
        <w:tc>
          <w:tcPr>
            <w:tcW w:w="983" w:type="dxa"/>
            <w:vMerge w:val="continue"/>
            <w:vAlign w:val="center"/>
          </w:tcPr>
          <w:p>
            <w:pPr>
              <w:jc w:val="center"/>
              <w:rPr>
                <w:rFonts w:asciiTheme="minorEastAsia" w:hAnsiTheme="minorEastAsia" w:cstheme="minorEastAsia"/>
                <w:color w:val="auto"/>
                <w:szCs w:val="21"/>
                <w:highlight w:val="none"/>
              </w:rPr>
            </w:pPr>
          </w:p>
        </w:tc>
        <w:tc>
          <w:tcPr>
            <w:tcW w:w="1113" w:type="dxa"/>
            <w:vAlign w:val="center"/>
          </w:tcPr>
          <w:p>
            <w:pPr>
              <w:jc w:val="center"/>
              <w:rPr>
                <w:rStyle w:val="57"/>
                <w:rFonts w:asciiTheme="minorEastAsia" w:hAnsiTheme="minorEastAsia" w:cstheme="minorEastAsia"/>
                <w:color w:val="auto"/>
                <w:szCs w:val="21"/>
                <w:highlight w:val="none"/>
              </w:rPr>
            </w:pPr>
            <w:r>
              <w:rPr>
                <w:rStyle w:val="57"/>
                <w:rFonts w:hint="eastAsia" w:asciiTheme="minorEastAsia" w:hAnsiTheme="minorEastAsia" w:cstheme="minorEastAsia"/>
                <w:color w:val="auto"/>
                <w:szCs w:val="21"/>
                <w:highlight w:val="none"/>
              </w:rPr>
              <w:t>承接经验</w:t>
            </w:r>
          </w:p>
        </w:tc>
        <w:tc>
          <w:tcPr>
            <w:tcW w:w="7033" w:type="dxa"/>
            <w:vAlign w:val="center"/>
          </w:tcPr>
          <w:p>
            <w:pPr>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投标人自2020年1月1日以来</w:t>
            </w:r>
            <w:r>
              <w:rPr>
                <w:rFonts w:hint="eastAsia" w:asciiTheme="minorEastAsia" w:hAnsiTheme="minorEastAsia" w:cstheme="minorEastAsia"/>
                <w:color w:val="auto"/>
                <w:szCs w:val="21"/>
                <w:highlight w:val="none"/>
                <w:lang w:val="zh-CN"/>
              </w:rPr>
              <w:t>（以合同签订时间为准），</w:t>
            </w:r>
            <w:r>
              <w:rPr>
                <w:rFonts w:hint="eastAsia" w:asciiTheme="minorEastAsia" w:hAnsiTheme="minorEastAsia" w:cstheme="minorEastAsia"/>
                <w:color w:val="auto"/>
                <w:szCs w:val="21"/>
                <w:highlight w:val="none"/>
              </w:rPr>
              <w:t>承接过类似项目业绩，一个合同得1分，最高</w:t>
            </w:r>
            <w:r>
              <w:rPr>
                <w:rFonts w:hint="eastAsia" w:asciiTheme="minorEastAsia" w:hAnsiTheme="minorEastAsia" w:cstheme="minorEastAsia"/>
                <w:color w:val="auto"/>
                <w:szCs w:val="21"/>
                <w:highlight w:val="none"/>
                <w:lang w:val="en-US" w:eastAsia="zh-CN"/>
              </w:rPr>
              <w:t>3</w:t>
            </w:r>
            <w:r>
              <w:rPr>
                <w:rFonts w:hint="eastAsia" w:asciiTheme="minorEastAsia" w:hAnsiTheme="minorEastAsia" w:cstheme="minorEastAsia"/>
                <w:color w:val="auto"/>
                <w:szCs w:val="21"/>
                <w:highlight w:val="none"/>
              </w:rPr>
              <w:t>分。</w:t>
            </w:r>
            <w:r>
              <w:rPr>
                <w:rFonts w:hint="eastAsia" w:ascii="Times New Roman" w:hAnsi="Times New Roman" w:cs="Times New Roman"/>
                <w:b/>
                <w:bCs/>
                <w:color w:val="auto"/>
                <w:highlight w:val="none"/>
                <w:lang w:val="zh-CN"/>
              </w:rPr>
              <w:t>（</w:t>
            </w:r>
            <w:r>
              <w:rPr>
                <w:rFonts w:hint="eastAsia" w:ascii="Times New Roman" w:hAnsi="Times New Roman" w:cs="Times New Roman"/>
                <w:b/>
                <w:bCs/>
                <w:color w:val="auto"/>
                <w:highlight w:val="none"/>
              </w:rPr>
              <w:t>须</w:t>
            </w:r>
            <w:r>
              <w:rPr>
                <w:rFonts w:hint="eastAsia" w:ascii="Times New Roman" w:hAnsi="Times New Roman" w:cs="Times New Roman"/>
                <w:b/>
                <w:bCs/>
                <w:color w:val="auto"/>
                <w:highlight w:val="none"/>
                <w:lang w:val="zh-CN"/>
              </w:rPr>
              <w:t>提供合同</w:t>
            </w:r>
            <w:r>
              <w:rPr>
                <w:rFonts w:hint="eastAsia" w:ascii="Times New Roman" w:hAnsi="Times New Roman" w:cs="Times New Roman"/>
                <w:b/>
                <w:bCs/>
                <w:color w:val="auto"/>
                <w:highlight w:val="none"/>
              </w:rPr>
              <w:t>扫描件并</w:t>
            </w:r>
            <w:r>
              <w:rPr>
                <w:rFonts w:hint="eastAsia" w:ascii="Times New Roman" w:hAnsi="Times New Roman" w:cs="Times New Roman"/>
                <w:b/>
                <w:bCs/>
                <w:color w:val="auto"/>
                <w:highlight w:val="none"/>
                <w:lang w:val="zh-CN"/>
              </w:rPr>
              <w:t>加盖</w:t>
            </w:r>
            <w:r>
              <w:rPr>
                <w:rFonts w:hint="eastAsia" w:ascii="Times New Roman" w:hAnsi="Times New Roman" w:cs="Times New Roman"/>
                <w:b/>
                <w:bCs/>
                <w:color w:val="auto"/>
                <w:highlight w:val="none"/>
              </w:rPr>
              <w:t>投标人</w:t>
            </w:r>
            <w:r>
              <w:rPr>
                <w:rFonts w:hint="eastAsia" w:ascii="Times New Roman" w:hAnsi="Times New Roman" w:cs="Times New Roman"/>
                <w:b/>
                <w:bCs/>
                <w:color w:val="auto"/>
                <w:highlight w:val="none"/>
                <w:lang w:val="zh-CN"/>
              </w:rPr>
              <w:t>公章</w:t>
            </w:r>
            <w:r>
              <w:rPr>
                <w:rFonts w:hint="eastAsia" w:ascii="Times New Roman" w:hAnsi="Times New Roman" w:cs="Times New Roman"/>
                <w:b/>
                <w:bCs/>
                <w:color w:val="auto"/>
                <w:highlight w:val="none"/>
              </w:rPr>
              <w:t>编入投标文件中，未提供的不得分</w:t>
            </w:r>
            <w:r>
              <w:rPr>
                <w:rFonts w:hint="eastAsia" w:ascii="Times New Roman" w:hAnsi="Times New Roman" w:cs="Times New Roman"/>
                <w:b/>
                <w:bCs/>
                <w:color w:val="auto"/>
                <w:highlight w:val="none"/>
                <w:lang w:val="zh-CN"/>
              </w:rPr>
              <w:t>）</w:t>
            </w:r>
          </w:p>
        </w:tc>
        <w:tc>
          <w:tcPr>
            <w:tcW w:w="659" w:type="dxa"/>
            <w:vAlign w:val="center"/>
          </w:tcPr>
          <w:p>
            <w:pPr>
              <w:pStyle w:val="11"/>
              <w:snapToGrid w:val="0"/>
              <w:jc w:val="center"/>
              <w:rPr>
                <w:rFonts w:hint="eastAsia" w:eastAsia="宋体" w:asciiTheme="minorEastAsia" w:hAnsiTheme="minorEastAsia" w:cstheme="minorEastAsia"/>
                <w:color w:val="auto"/>
                <w:szCs w:val="21"/>
                <w:highlight w:val="none"/>
                <w:lang w:eastAsia="zh-CN"/>
              </w:rPr>
            </w:pPr>
            <w:r>
              <w:rPr>
                <w:rFonts w:hint="eastAsia" w:asciiTheme="minorEastAsia" w:hAnsiTheme="minorEastAsia" w:cstheme="minorEastAsia"/>
                <w:color w:val="auto"/>
                <w:szCs w:val="21"/>
                <w:highlight w:val="no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83" w:type="dxa"/>
            <w:vMerge w:val="restart"/>
            <w:vAlign w:val="center"/>
          </w:tcPr>
          <w:p>
            <w:pPr>
              <w:adjustRightInd w:val="0"/>
              <w:snapToGrid w:val="0"/>
              <w:jc w:val="center"/>
              <w:rPr>
                <w:rFonts w:asciiTheme="minorEastAsia" w:hAnsiTheme="minorEastAsia" w:cstheme="minorEastAsia"/>
                <w:color w:val="auto"/>
                <w:szCs w:val="21"/>
                <w:highlight w:val="none"/>
              </w:rPr>
            </w:pPr>
          </w:p>
          <w:p>
            <w:pPr>
              <w:adjustRightInd w:val="0"/>
              <w:snapToGrid w:val="0"/>
              <w:jc w:val="center"/>
              <w:rPr>
                <w:rFonts w:asciiTheme="minorEastAsia" w:hAnsiTheme="minorEastAsia" w:cstheme="minorEastAsia"/>
                <w:color w:val="auto"/>
                <w:szCs w:val="21"/>
                <w:highlight w:val="none"/>
              </w:rPr>
            </w:pPr>
          </w:p>
          <w:p>
            <w:pPr>
              <w:adjustRightInd w:val="0"/>
              <w:snapToGrid w:val="0"/>
              <w:jc w:val="center"/>
              <w:rPr>
                <w:rFonts w:asciiTheme="minorEastAsia" w:hAnsiTheme="minorEastAsia" w:cstheme="minorEastAsia"/>
                <w:color w:val="auto"/>
                <w:szCs w:val="21"/>
                <w:highlight w:val="none"/>
              </w:rPr>
            </w:pPr>
          </w:p>
          <w:p>
            <w:pPr>
              <w:adjustRightInd w:val="0"/>
              <w:snapToGrid w:val="0"/>
              <w:jc w:val="center"/>
              <w:rPr>
                <w:rFonts w:asciiTheme="minorEastAsia" w:hAnsiTheme="minorEastAsia" w:cstheme="minorEastAsia"/>
                <w:color w:val="auto"/>
                <w:szCs w:val="21"/>
                <w:highlight w:val="none"/>
              </w:rPr>
            </w:pPr>
          </w:p>
          <w:p>
            <w:pPr>
              <w:adjustRightInd w:val="0"/>
              <w:snapToGrid w:val="0"/>
              <w:jc w:val="center"/>
              <w:rPr>
                <w:rFonts w:asciiTheme="minorEastAsia" w:hAnsiTheme="minorEastAsia" w:cstheme="minorEastAsia"/>
                <w:color w:val="auto"/>
                <w:szCs w:val="21"/>
                <w:highlight w:val="none"/>
              </w:rPr>
            </w:pPr>
          </w:p>
          <w:p>
            <w:pPr>
              <w:adjustRightInd w:val="0"/>
              <w:snapToGrid w:val="0"/>
              <w:jc w:val="center"/>
              <w:rPr>
                <w:rFonts w:asciiTheme="minorEastAsia" w:hAnsiTheme="minorEastAsia" w:cstheme="minorEastAsia"/>
                <w:color w:val="auto"/>
                <w:szCs w:val="21"/>
                <w:highlight w:val="none"/>
              </w:rPr>
            </w:pPr>
          </w:p>
          <w:p>
            <w:pPr>
              <w:adjustRightInd w:val="0"/>
              <w:snapToGrid w:val="0"/>
              <w:jc w:val="center"/>
              <w:rPr>
                <w:rFonts w:asciiTheme="minorEastAsia" w:hAnsiTheme="minorEastAsia" w:cstheme="minorEastAsia"/>
                <w:color w:val="auto"/>
                <w:szCs w:val="21"/>
                <w:highlight w:val="none"/>
              </w:rPr>
            </w:pPr>
          </w:p>
          <w:p>
            <w:pPr>
              <w:adjustRightInd w:val="0"/>
              <w:snapToGrid w:val="0"/>
              <w:jc w:val="center"/>
              <w:rPr>
                <w:rFonts w:asciiTheme="minorEastAsia" w:hAnsiTheme="minorEastAsia" w:cstheme="minorEastAsia"/>
                <w:color w:val="auto"/>
                <w:szCs w:val="21"/>
                <w:highlight w:val="none"/>
              </w:rPr>
            </w:pPr>
          </w:p>
          <w:p>
            <w:pPr>
              <w:adjustRightInd w:val="0"/>
              <w:snapToGrid w:val="0"/>
              <w:jc w:val="center"/>
              <w:rPr>
                <w:rFonts w:asciiTheme="minorEastAsia" w:hAnsiTheme="minorEastAsia" w:cstheme="minorEastAsia"/>
                <w:color w:val="auto"/>
                <w:szCs w:val="21"/>
                <w:highlight w:val="none"/>
              </w:rPr>
            </w:pPr>
          </w:p>
          <w:p>
            <w:pPr>
              <w:adjustRightInd w:val="0"/>
              <w:snapToGrid w:val="0"/>
              <w:jc w:val="center"/>
              <w:rPr>
                <w:rFonts w:asciiTheme="minorEastAsia" w:hAnsiTheme="minorEastAsia" w:cstheme="minorEastAsia"/>
                <w:color w:val="auto"/>
                <w:szCs w:val="21"/>
                <w:highlight w:val="none"/>
              </w:rPr>
            </w:pPr>
          </w:p>
          <w:p>
            <w:pPr>
              <w:adjustRightInd w:val="0"/>
              <w:snapToGrid w:val="0"/>
              <w:jc w:val="center"/>
              <w:rPr>
                <w:rFonts w:asciiTheme="minorEastAsia" w:hAnsiTheme="minorEastAsia" w:cstheme="minorEastAsia"/>
                <w:color w:val="auto"/>
                <w:szCs w:val="21"/>
                <w:highlight w:val="none"/>
              </w:rPr>
            </w:pPr>
          </w:p>
          <w:p>
            <w:pPr>
              <w:pStyle w:val="7"/>
              <w:jc w:val="center"/>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技术分（6</w:t>
            </w:r>
            <w:r>
              <w:rPr>
                <w:rFonts w:hint="eastAsia" w:asciiTheme="minorEastAsia" w:hAnsiTheme="minorEastAsia" w:cstheme="minorEastAsia"/>
                <w:color w:val="auto"/>
                <w:szCs w:val="21"/>
                <w:highlight w:val="none"/>
                <w:lang w:val="en-US" w:eastAsia="zh-CN"/>
              </w:rPr>
              <w:t>0</w:t>
            </w:r>
            <w:r>
              <w:rPr>
                <w:rFonts w:hint="eastAsia" w:asciiTheme="minorEastAsia" w:hAnsiTheme="minorEastAsia" w:cstheme="minorEastAsia"/>
                <w:color w:val="auto"/>
                <w:szCs w:val="21"/>
                <w:highlight w:val="none"/>
              </w:rPr>
              <w:t>分）</w:t>
            </w:r>
          </w:p>
          <w:p>
            <w:pPr>
              <w:pStyle w:val="8"/>
              <w:ind w:left="5250" w:firstLine="0" w:firstLineChars="0"/>
              <w:jc w:val="center"/>
              <w:rPr>
                <w:rFonts w:asciiTheme="minorEastAsia" w:hAnsiTheme="minorEastAsia" w:cstheme="minorEastAsia"/>
                <w:color w:val="auto"/>
                <w:szCs w:val="21"/>
                <w:highlight w:val="none"/>
              </w:rPr>
            </w:pPr>
          </w:p>
        </w:tc>
        <w:tc>
          <w:tcPr>
            <w:tcW w:w="1113" w:type="dxa"/>
            <w:vAlign w:val="center"/>
          </w:tcPr>
          <w:p>
            <w:pPr>
              <w:keepNext w:val="0"/>
              <w:keepLines w:val="0"/>
              <w:pageBreakBefore w:val="0"/>
              <w:kinsoku/>
              <w:wordWrap/>
              <w:topLinePunct w:val="0"/>
              <w:autoSpaceDE w:val="0"/>
              <w:autoSpaceDN w:val="0"/>
              <w:bidi w:val="0"/>
              <w:adjustRightInd w:val="0"/>
              <w:spacing w:beforeAutospacing="0" w:afterAutospacing="0" w:line="240" w:lineRule="auto"/>
              <w:ind w:left="0" w:leftChars="0"/>
              <w:jc w:val="center"/>
              <w:textAlignment w:val="auto"/>
              <w:rPr>
                <w:rFonts w:ascii="宋体" w:hAnsi="宋体" w:eastAsia="宋体" w:cs="新宋体"/>
                <w:color w:val="auto"/>
                <w:szCs w:val="21"/>
                <w:highlight w:val="none"/>
              </w:rPr>
            </w:pPr>
            <w:r>
              <w:rPr>
                <w:rStyle w:val="57"/>
                <w:rFonts w:hint="eastAsia" w:asciiTheme="minorEastAsia" w:hAnsiTheme="minorEastAsia" w:eastAsiaTheme="minorEastAsia" w:cstheme="minorEastAsia"/>
                <w:color w:val="auto"/>
                <w:sz w:val="21"/>
                <w:szCs w:val="21"/>
                <w:highlight w:val="none"/>
                <w:lang w:val="en-US" w:eastAsia="zh-CN"/>
              </w:rPr>
              <w:t>设备性能指标</w:t>
            </w:r>
          </w:p>
        </w:tc>
        <w:tc>
          <w:tcPr>
            <w:tcW w:w="7033" w:type="dxa"/>
            <w:vAlign w:val="center"/>
          </w:tcPr>
          <w:p>
            <w:pPr>
              <w:keepNext w:val="0"/>
              <w:keepLines w:val="0"/>
              <w:pageBreakBefore w:val="0"/>
              <w:tabs>
                <w:tab w:val="left" w:pos="2061"/>
              </w:tabs>
              <w:kinsoku/>
              <w:wordWrap/>
              <w:overflowPunct/>
              <w:topLinePunct w:val="0"/>
              <w:bidi w:val="0"/>
              <w:spacing w:beforeAutospacing="0" w:afterAutospacing="0" w:line="240" w:lineRule="auto"/>
              <w:ind w:left="0" w:leftChars="0" w:right="0" w:rightChars="0" w:firstLine="0" w:firstLineChars="0"/>
              <w:textAlignment w:val="auto"/>
              <w:outlineLvl w:val="9"/>
              <w:rPr>
                <w:rFonts w:hint="eastAsia" w:ascii="宋体" w:hAnsi="宋体" w:eastAsia="宋体" w:cs="新宋体"/>
                <w:color w:val="auto"/>
                <w:szCs w:val="21"/>
                <w:highlight w:val="none"/>
                <w:lang w:eastAsia="zh-CN"/>
              </w:rPr>
            </w:pPr>
            <w:r>
              <w:rPr>
                <w:rFonts w:hint="eastAsia" w:asciiTheme="minorEastAsia" w:hAnsiTheme="minorEastAsia" w:eastAsiaTheme="minorEastAsia" w:cstheme="minorEastAsia"/>
                <w:color w:val="auto"/>
                <w:szCs w:val="21"/>
                <w:highlight w:val="none"/>
              </w:rPr>
              <w:t>根据所投产品</w:t>
            </w:r>
            <w:r>
              <w:rPr>
                <w:rFonts w:hint="eastAsia" w:ascii="宋体" w:hAnsi="宋体" w:eastAsia="宋体" w:cs="新宋体"/>
                <w:b w:val="0"/>
                <w:color w:val="auto"/>
                <w:sz w:val="21"/>
                <w:szCs w:val="21"/>
                <w:highlight w:val="none"/>
                <w:lang w:val="en-US" w:eastAsia="zh-CN"/>
              </w:rPr>
              <w:t>所有技术指标均响应招标文件要求的得20分</w:t>
            </w:r>
            <w:r>
              <w:rPr>
                <w:rFonts w:hint="eastAsia" w:ascii="宋体" w:hAnsi="宋体" w:cs="新宋体"/>
                <w:b w:val="0"/>
                <w:color w:val="auto"/>
                <w:sz w:val="21"/>
                <w:szCs w:val="21"/>
                <w:highlight w:val="none"/>
                <w:lang w:val="en-US" w:eastAsia="zh-CN"/>
              </w:rPr>
              <w:t>，</w:t>
            </w:r>
            <w:r>
              <w:rPr>
                <w:rFonts w:hint="eastAsia" w:ascii="宋体" w:hAnsi="宋体" w:eastAsia="宋体" w:cs="新宋体"/>
                <w:b w:val="0"/>
                <w:color w:val="auto"/>
                <w:sz w:val="21"/>
                <w:szCs w:val="21"/>
                <w:highlight w:val="none"/>
                <w:lang w:val="en-US" w:eastAsia="zh-CN"/>
              </w:rPr>
              <w:t>带★项为重要技术参数指标项，一项不满足扣</w:t>
            </w:r>
            <w:r>
              <w:rPr>
                <w:rFonts w:hint="eastAsia" w:ascii="宋体" w:hAnsi="宋体" w:cs="新宋体"/>
                <w:b w:val="0"/>
                <w:color w:val="auto"/>
                <w:sz w:val="21"/>
                <w:szCs w:val="21"/>
                <w:highlight w:val="none"/>
                <w:lang w:val="en-US" w:eastAsia="zh-CN"/>
              </w:rPr>
              <w:t>1.3</w:t>
            </w:r>
            <w:r>
              <w:rPr>
                <w:rFonts w:hint="eastAsia" w:ascii="宋体" w:hAnsi="宋体" w:eastAsia="宋体" w:cs="新宋体"/>
                <w:b w:val="0"/>
                <w:color w:val="auto"/>
                <w:sz w:val="21"/>
                <w:szCs w:val="21"/>
                <w:highlight w:val="none"/>
                <w:lang w:val="en-US" w:eastAsia="zh-CN"/>
              </w:rPr>
              <w:t>分</w:t>
            </w:r>
            <w:r>
              <w:rPr>
                <w:rFonts w:hint="eastAsia" w:ascii="宋体" w:hAnsi="宋体" w:cs="新宋体"/>
                <w:b w:val="0"/>
                <w:color w:val="auto"/>
                <w:sz w:val="21"/>
                <w:szCs w:val="21"/>
                <w:highlight w:val="none"/>
                <w:lang w:val="en-US" w:eastAsia="zh-CN"/>
              </w:rPr>
              <w:t>，其他技术指标</w:t>
            </w:r>
            <w:r>
              <w:rPr>
                <w:rFonts w:hint="eastAsia" w:ascii="宋体" w:hAnsi="宋体" w:eastAsia="宋体" w:cs="新宋体"/>
                <w:b w:val="0"/>
                <w:color w:val="auto"/>
                <w:sz w:val="21"/>
                <w:szCs w:val="21"/>
                <w:highlight w:val="none"/>
                <w:lang w:val="en-US" w:eastAsia="zh-CN"/>
              </w:rPr>
              <w:t>一项不满足扣</w:t>
            </w:r>
            <w:r>
              <w:rPr>
                <w:rFonts w:hint="eastAsia" w:ascii="宋体" w:hAnsi="宋体" w:cs="新宋体"/>
                <w:b w:val="0"/>
                <w:color w:val="auto"/>
                <w:sz w:val="21"/>
                <w:szCs w:val="21"/>
                <w:highlight w:val="none"/>
                <w:lang w:val="en-US" w:eastAsia="zh-CN"/>
              </w:rPr>
              <w:t>0.1</w:t>
            </w:r>
            <w:r>
              <w:rPr>
                <w:rFonts w:hint="eastAsia" w:ascii="宋体" w:hAnsi="宋体" w:eastAsia="宋体" w:cs="新宋体"/>
                <w:b w:val="0"/>
                <w:color w:val="auto"/>
                <w:sz w:val="21"/>
                <w:szCs w:val="21"/>
                <w:highlight w:val="none"/>
                <w:lang w:val="en-US" w:eastAsia="zh-CN"/>
              </w:rPr>
              <w:t>分，扣完为止。</w:t>
            </w:r>
            <w:r>
              <w:rPr>
                <w:rFonts w:hint="eastAsia" w:ascii="宋体" w:hAnsi="宋体" w:eastAsia="宋体" w:cs="新宋体"/>
                <w:b/>
                <w:bCs/>
                <w:color w:val="auto"/>
                <w:sz w:val="21"/>
                <w:szCs w:val="21"/>
                <w:highlight w:val="none"/>
                <w:lang w:val="en-US" w:eastAsia="zh-CN"/>
              </w:rPr>
              <w:t>（注：投标人必须如实地对招标文件技术参数中各条款作出明确的逐项响应承诺，并对其真实性负责）</w:t>
            </w:r>
          </w:p>
        </w:tc>
        <w:tc>
          <w:tcPr>
            <w:tcW w:w="659" w:type="dxa"/>
            <w:vAlign w:val="center"/>
          </w:tcPr>
          <w:p>
            <w:pPr>
              <w:keepNext w:val="0"/>
              <w:keepLines w:val="0"/>
              <w:pageBreakBefore w:val="0"/>
              <w:kinsoku/>
              <w:wordWrap/>
              <w:topLinePunct w:val="0"/>
              <w:autoSpaceDE w:val="0"/>
              <w:autoSpaceDN w:val="0"/>
              <w:bidi w:val="0"/>
              <w:adjustRightInd w:val="0"/>
              <w:spacing w:beforeAutospacing="0" w:afterAutospacing="0" w:line="240" w:lineRule="auto"/>
              <w:ind w:left="0" w:leftChars="0"/>
              <w:jc w:val="center"/>
              <w:textAlignment w:val="auto"/>
              <w:rPr>
                <w:rFonts w:ascii="宋体" w:hAnsi="宋体" w:eastAsia="宋体" w:cs="新宋体"/>
                <w:color w:val="auto"/>
                <w:szCs w:val="21"/>
                <w:highlight w:val="none"/>
              </w:rPr>
            </w:pPr>
            <w:r>
              <w:rPr>
                <w:rFonts w:hint="eastAsia" w:ascii="宋体" w:hAnsi="宋体" w:cs="新宋体"/>
                <w:b w:val="0"/>
                <w:bCs w:val="0"/>
                <w:color w:val="auto"/>
                <w:kern w:val="2"/>
                <w:sz w:val="21"/>
                <w:szCs w:val="21"/>
                <w:highlight w:val="none"/>
                <w:lang w:val="en-US" w:eastAsia="zh-CN" w:bidi="ar-SA"/>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83" w:type="dxa"/>
            <w:vMerge w:val="continue"/>
            <w:vAlign w:val="center"/>
          </w:tcPr>
          <w:p>
            <w:pPr>
              <w:pStyle w:val="8"/>
              <w:ind w:left="5250" w:firstLine="0" w:firstLineChars="0"/>
              <w:jc w:val="center"/>
              <w:rPr>
                <w:rFonts w:asciiTheme="minorEastAsia" w:hAnsiTheme="minorEastAsia" w:cstheme="minorEastAsia"/>
                <w:color w:val="auto"/>
                <w:szCs w:val="21"/>
                <w:highlight w:val="none"/>
              </w:rPr>
            </w:pPr>
          </w:p>
        </w:tc>
        <w:tc>
          <w:tcPr>
            <w:tcW w:w="1113" w:type="dxa"/>
            <w:vAlign w:val="center"/>
          </w:tcPr>
          <w:p>
            <w:pPr>
              <w:keepNext w:val="0"/>
              <w:keepLines w:val="0"/>
              <w:pageBreakBefore w:val="0"/>
              <w:kinsoku/>
              <w:wordWrap/>
              <w:topLinePunct w:val="0"/>
              <w:autoSpaceDE w:val="0"/>
              <w:autoSpaceDN w:val="0"/>
              <w:bidi w:val="0"/>
              <w:adjustRightInd w:val="0"/>
              <w:spacing w:beforeAutospacing="0" w:afterAutospacing="0" w:line="240" w:lineRule="auto"/>
              <w:ind w:left="0" w:leftChars="0"/>
              <w:jc w:val="center"/>
              <w:textAlignment w:val="auto"/>
              <w:rPr>
                <w:rFonts w:ascii="宋体" w:hAnsi="宋体" w:eastAsia="宋体" w:cs="新宋体"/>
                <w:color w:val="auto"/>
                <w:szCs w:val="21"/>
                <w:highlight w:val="none"/>
              </w:rPr>
            </w:pPr>
            <w:r>
              <w:rPr>
                <w:rFonts w:hint="eastAsia" w:ascii="宋体" w:hAnsi="宋体" w:cs="新宋体"/>
                <w:b w:val="0"/>
                <w:bCs w:val="0"/>
                <w:color w:val="auto"/>
                <w:sz w:val="21"/>
                <w:szCs w:val="21"/>
                <w:highlight w:val="none"/>
                <w:lang w:val="en-US" w:eastAsia="zh-CN"/>
              </w:rPr>
              <w:t>生产设备</w:t>
            </w:r>
          </w:p>
        </w:tc>
        <w:tc>
          <w:tcPr>
            <w:tcW w:w="7033" w:type="dxa"/>
            <w:vAlign w:val="center"/>
          </w:tcPr>
          <w:p>
            <w:pPr>
              <w:keepNext w:val="0"/>
              <w:keepLines w:val="0"/>
              <w:pageBreakBefore w:val="0"/>
              <w:widowControl/>
              <w:kinsoku/>
              <w:wordWrap/>
              <w:overflowPunct/>
              <w:topLinePunct w:val="0"/>
              <w:bidi w:val="0"/>
              <w:snapToGrid/>
              <w:spacing w:beforeAutospacing="0" w:afterAutospacing="0" w:line="240" w:lineRule="auto"/>
              <w:ind w:left="0" w:leftChars="0"/>
              <w:textAlignment w:val="auto"/>
              <w:rPr>
                <w:rFonts w:hint="eastAsia" w:ascii="宋体" w:hAnsi="宋体" w:eastAsia="宋体" w:cs="新宋体"/>
                <w:b w:val="0"/>
                <w:color w:val="auto"/>
                <w:sz w:val="21"/>
                <w:szCs w:val="21"/>
                <w:highlight w:val="none"/>
                <w:lang w:val="en-US" w:eastAsia="zh-CN"/>
              </w:rPr>
            </w:pPr>
            <w:r>
              <w:rPr>
                <w:rFonts w:hint="eastAsia" w:ascii="宋体" w:hAnsi="宋体" w:eastAsia="宋体" w:cs="新宋体"/>
                <w:b w:val="0"/>
                <w:color w:val="auto"/>
                <w:sz w:val="21"/>
                <w:szCs w:val="21"/>
                <w:highlight w:val="none"/>
                <w:lang w:val="en-US" w:eastAsia="zh-CN"/>
              </w:rPr>
              <w:t>实验室设备产品生产厂家具有：液压闸式剪板机、8磨头玻璃直线磨边机、双面涂胶机</w:t>
            </w:r>
            <w:r>
              <w:rPr>
                <w:rFonts w:hint="eastAsia" w:ascii="宋体" w:hAnsi="宋体" w:cs="新宋体"/>
                <w:b w:val="0"/>
                <w:color w:val="auto"/>
                <w:sz w:val="21"/>
                <w:szCs w:val="21"/>
                <w:highlight w:val="none"/>
                <w:lang w:val="en-US" w:eastAsia="zh-CN"/>
              </w:rPr>
              <w:t>、</w:t>
            </w:r>
            <w:r>
              <w:rPr>
                <w:rFonts w:hint="eastAsia" w:ascii="宋体" w:hAnsi="宋体" w:eastAsia="宋体" w:cs="新宋体"/>
                <w:b w:val="0"/>
                <w:color w:val="auto"/>
                <w:sz w:val="21"/>
                <w:szCs w:val="21"/>
                <w:highlight w:val="none"/>
                <w:lang w:val="en-US" w:eastAsia="zh-CN"/>
              </w:rPr>
              <w:t>压力机、流水线喷漆设备（含大旋风换色粉房、喷枪系统、自动喷枪、气体压缩机、储气罐、冷干机）</w:t>
            </w:r>
            <w:r>
              <w:rPr>
                <w:rFonts w:hint="eastAsia" w:ascii="宋体" w:hAnsi="宋体" w:cs="新宋体"/>
                <w:b w:val="0"/>
                <w:color w:val="auto"/>
                <w:sz w:val="21"/>
                <w:szCs w:val="21"/>
                <w:highlight w:val="none"/>
                <w:lang w:val="en-US" w:eastAsia="zh-CN"/>
              </w:rPr>
              <w:t>、</w:t>
            </w:r>
            <w:r>
              <w:rPr>
                <w:rFonts w:hint="eastAsia" w:ascii="宋体" w:hAnsi="宋体" w:eastAsia="宋体" w:cs="新宋体"/>
                <w:b w:val="0"/>
                <w:color w:val="auto"/>
                <w:sz w:val="21"/>
                <w:szCs w:val="21"/>
                <w:highlight w:val="none"/>
                <w:lang w:val="en-US" w:eastAsia="zh-CN"/>
              </w:rPr>
              <w:t>光纤激光切割机</w:t>
            </w:r>
            <w:r>
              <w:rPr>
                <w:rFonts w:hint="eastAsia" w:ascii="宋体" w:hAnsi="宋体" w:cs="新宋体"/>
                <w:b w:val="0"/>
                <w:color w:val="auto"/>
                <w:sz w:val="21"/>
                <w:szCs w:val="21"/>
                <w:highlight w:val="none"/>
                <w:lang w:val="en-US" w:eastAsia="zh-CN"/>
              </w:rPr>
              <w:t>、</w:t>
            </w:r>
            <w:r>
              <w:rPr>
                <w:rFonts w:hint="eastAsia" w:ascii="宋体" w:hAnsi="宋体" w:eastAsia="宋体" w:cs="新宋体"/>
                <w:b w:val="0"/>
                <w:color w:val="auto"/>
                <w:sz w:val="21"/>
                <w:szCs w:val="21"/>
                <w:highlight w:val="none"/>
                <w:lang w:val="en-US" w:eastAsia="zh-CN"/>
              </w:rPr>
              <w:t>机器人焊接工作站、冷压机、电脑裁板锯、注塑机、铣床、压力机，全部有得7分，缺一项扣1分，扣完为止。</w:t>
            </w:r>
          </w:p>
          <w:p>
            <w:pPr>
              <w:keepNext w:val="0"/>
              <w:keepLines w:val="0"/>
              <w:pageBreakBefore w:val="0"/>
              <w:widowControl/>
              <w:kinsoku/>
              <w:wordWrap/>
              <w:overflowPunct/>
              <w:topLinePunct w:val="0"/>
              <w:bidi w:val="0"/>
              <w:snapToGrid/>
              <w:spacing w:beforeAutospacing="0" w:afterAutospacing="0" w:line="240" w:lineRule="auto"/>
              <w:ind w:left="0" w:leftChars="0"/>
              <w:textAlignment w:val="auto"/>
              <w:rPr>
                <w:rFonts w:ascii="宋体" w:hAnsi="宋体" w:eastAsia="宋体" w:cs="新宋体"/>
                <w:color w:val="auto"/>
                <w:szCs w:val="21"/>
                <w:highlight w:val="none"/>
              </w:rPr>
            </w:pPr>
            <w:r>
              <w:rPr>
                <w:rFonts w:hint="eastAsia" w:ascii="宋体" w:hAnsi="宋体" w:cs="新宋体"/>
                <w:b/>
                <w:bCs/>
                <w:color w:val="auto"/>
                <w:sz w:val="21"/>
                <w:szCs w:val="21"/>
                <w:highlight w:val="none"/>
                <w:lang w:val="en-US" w:eastAsia="zh-CN"/>
              </w:rPr>
              <w:t>（须</w:t>
            </w:r>
            <w:r>
              <w:rPr>
                <w:rFonts w:hint="eastAsia" w:ascii="宋体" w:hAnsi="宋体" w:eastAsia="宋体" w:cs="新宋体"/>
                <w:b/>
                <w:bCs/>
                <w:color w:val="auto"/>
                <w:sz w:val="21"/>
                <w:szCs w:val="21"/>
                <w:highlight w:val="none"/>
                <w:lang w:val="en-US" w:eastAsia="zh-CN"/>
              </w:rPr>
              <w:t>提供以上生产设备购置专用发票扫描件和生产车间现场实景照片并加盖投标人公章编入投标文件中，且发票抬头单位名称必须与产品生产单位名称相一致，未提供或提供不全的不得分</w:t>
            </w:r>
            <w:r>
              <w:rPr>
                <w:rFonts w:hint="eastAsia" w:ascii="宋体" w:hAnsi="宋体" w:cs="新宋体"/>
                <w:b/>
                <w:bCs/>
                <w:color w:val="auto"/>
                <w:sz w:val="21"/>
                <w:szCs w:val="21"/>
                <w:highlight w:val="none"/>
                <w:lang w:val="en-US" w:eastAsia="zh-CN"/>
              </w:rPr>
              <w:t>）</w:t>
            </w:r>
          </w:p>
        </w:tc>
        <w:tc>
          <w:tcPr>
            <w:tcW w:w="659" w:type="dxa"/>
            <w:vAlign w:val="center"/>
          </w:tcPr>
          <w:p>
            <w:pPr>
              <w:keepNext w:val="0"/>
              <w:keepLines w:val="0"/>
              <w:pageBreakBefore w:val="0"/>
              <w:kinsoku/>
              <w:wordWrap/>
              <w:topLinePunct w:val="0"/>
              <w:autoSpaceDE w:val="0"/>
              <w:autoSpaceDN w:val="0"/>
              <w:bidi w:val="0"/>
              <w:adjustRightInd w:val="0"/>
              <w:spacing w:beforeAutospacing="0" w:afterAutospacing="0" w:line="240" w:lineRule="auto"/>
              <w:ind w:left="0" w:leftChars="0"/>
              <w:jc w:val="center"/>
              <w:textAlignment w:val="auto"/>
              <w:rPr>
                <w:rFonts w:ascii="宋体" w:hAnsi="宋体" w:eastAsia="宋体" w:cs="新宋体"/>
                <w:color w:val="auto"/>
                <w:szCs w:val="21"/>
                <w:highlight w:val="none"/>
              </w:rPr>
            </w:pPr>
            <w:r>
              <w:rPr>
                <w:rFonts w:hint="eastAsia" w:ascii="宋体" w:hAnsi="宋体" w:eastAsia="宋体" w:cs="新宋体"/>
                <w:b w:val="0"/>
                <w:bCs w:val="0"/>
                <w:color w:val="auto"/>
                <w:kern w:val="2"/>
                <w:sz w:val="21"/>
                <w:szCs w:val="21"/>
                <w:highlight w:val="none"/>
                <w:lang w:val="en-US" w:eastAsia="zh-CN" w:bidi="ar-SA"/>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83" w:type="dxa"/>
            <w:vMerge w:val="continue"/>
            <w:vAlign w:val="center"/>
          </w:tcPr>
          <w:p>
            <w:pPr>
              <w:pStyle w:val="8"/>
              <w:ind w:left="5250" w:firstLine="0" w:firstLineChars="0"/>
              <w:jc w:val="center"/>
              <w:rPr>
                <w:rFonts w:asciiTheme="minorEastAsia" w:hAnsiTheme="minorEastAsia" w:cstheme="minorEastAsia"/>
                <w:color w:val="auto"/>
                <w:szCs w:val="21"/>
                <w:highlight w:val="none"/>
              </w:rPr>
            </w:pPr>
          </w:p>
        </w:tc>
        <w:tc>
          <w:tcPr>
            <w:tcW w:w="1113" w:type="dxa"/>
            <w:vAlign w:val="center"/>
          </w:tcPr>
          <w:p>
            <w:pPr>
              <w:autoSpaceDE w:val="0"/>
              <w:autoSpaceDN w:val="0"/>
              <w:adjustRightInd w:val="0"/>
              <w:jc w:val="center"/>
              <w:rPr>
                <w:rFonts w:ascii="宋体" w:hAnsi="宋体" w:eastAsia="宋体" w:cs="新宋体"/>
                <w:color w:val="auto"/>
                <w:szCs w:val="21"/>
                <w:highlight w:val="none"/>
              </w:rPr>
            </w:pPr>
            <w:r>
              <w:rPr>
                <w:rFonts w:hint="eastAsia" w:ascii="宋体" w:hAnsi="宋体" w:cs="新宋体"/>
                <w:color w:val="auto"/>
                <w:szCs w:val="21"/>
                <w:highlight w:val="none"/>
                <w:lang w:val="en-US" w:eastAsia="zh-CN"/>
              </w:rPr>
              <w:t>供货安装</w:t>
            </w:r>
            <w:r>
              <w:rPr>
                <w:rFonts w:hint="eastAsia" w:ascii="宋体" w:hAnsi="宋体" w:cs="新宋体"/>
                <w:color w:val="auto"/>
                <w:szCs w:val="21"/>
                <w:highlight w:val="none"/>
              </w:rPr>
              <w:t>方案</w:t>
            </w:r>
          </w:p>
        </w:tc>
        <w:tc>
          <w:tcPr>
            <w:tcW w:w="7033" w:type="dxa"/>
            <w:vAlign w:val="center"/>
          </w:tcPr>
          <w:p>
            <w:pPr>
              <w:tabs>
                <w:tab w:val="left" w:pos="2061"/>
              </w:tabs>
              <w:rPr>
                <w:color w:val="auto"/>
                <w:highlight w:val="none"/>
              </w:rPr>
            </w:pPr>
            <w:r>
              <w:rPr>
                <w:rFonts w:hint="eastAsia"/>
                <w:color w:val="auto"/>
                <w:highlight w:val="none"/>
              </w:rPr>
              <w:t>要求根据招标文件的要求编写相应的</w:t>
            </w:r>
            <w:r>
              <w:rPr>
                <w:rFonts w:hint="eastAsia"/>
                <w:color w:val="auto"/>
                <w:highlight w:val="none"/>
                <w:lang w:val="en-US" w:eastAsia="zh-CN"/>
              </w:rPr>
              <w:t>供货安装</w:t>
            </w:r>
            <w:r>
              <w:rPr>
                <w:rFonts w:hint="eastAsia"/>
                <w:color w:val="auto"/>
                <w:highlight w:val="none"/>
              </w:rPr>
              <w:t>方案，根据投标人</w:t>
            </w:r>
            <w:r>
              <w:rPr>
                <w:rFonts w:hint="eastAsia"/>
                <w:color w:val="auto"/>
                <w:highlight w:val="none"/>
                <w:lang w:val="en-US" w:eastAsia="zh-CN"/>
              </w:rPr>
              <w:t>供货安装</w:t>
            </w:r>
            <w:r>
              <w:rPr>
                <w:rFonts w:hint="eastAsia"/>
                <w:color w:val="auto"/>
                <w:highlight w:val="none"/>
              </w:rPr>
              <w:t>方案的完整性、先进性、合理性以及交货计划、人员安排、验收流程等方面进行打分。</w:t>
            </w:r>
          </w:p>
          <w:p>
            <w:pPr>
              <w:tabs>
                <w:tab w:val="left" w:pos="2061"/>
              </w:tabs>
              <w:rPr>
                <w:rFonts w:asciiTheme="minorEastAsia" w:hAnsiTheme="minorEastAsia" w:cstheme="minorEastAsia"/>
                <w:color w:val="auto"/>
                <w:szCs w:val="21"/>
                <w:highlight w:val="none"/>
              </w:rPr>
            </w:pPr>
            <w:r>
              <w:rPr>
                <w:rFonts w:hint="eastAsia"/>
                <w:color w:val="auto"/>
                <w:highlight w:val="none"/>
                <w:lang w:val="en-US" w:eastAsia="zh-CN"/>
              </w:rPr>
              <w:t>供货安装</w:t>
            </w:r>
            <w:r>
              <w:rPr>
                <w:rFonts w:hint="eastAsia" w:asciiTheme="minorEastAsia" w:hAnsiTheme="minorEastAsia" w:cstheme="minorEastAsia"/>
                <w:color w:val="auto"/>
                <w:szCs w:val="21"/>
                <w:highlight w:val="none"/>
              </w:rPr>
              <w:t>方案合理、可行、先进的得</w:t>
            </w:r>
            <w:r>
              <w:rPr>
                <w:rFonts w:hint="eastAsia" w:asciiTheme="minorEastAsia" w:hAnsiTheme="minorEastAsia" w:cstheme="minorEastAsia"/>
                <w:color w:val="auto"/>
                <w:szCs w:val="21"/>
                <w:highlight w:val="none"/>
                <w:lang w:val="en-US" w:eastAsia="zh-CN"/>
              </w:rPr>
              <w:t>5</w:t>
            </w:r>
            <w:r>
              <w:rPr>
                <w:rFonts w:hint="eastAsia" w:asciiTheme="minorEastAsia" w:hAnsiTheme="minorEastAsia" w:cstheme="minorEastAsia"/>
                <w:color w:val="auto"/>
                <w:szCs w:val="21"/>
                <w:highlight w:val="none"/>
              </w:rPr>
              <w:t>分；</w:t>
            </w:r>
          </w:p>
          <w:p>
            <w:pPr>
              <w:tabs>
                <w:tab w:val="left" w:pos="2061"/>
              </w:tabs>
              <w:rPr>
                <w:rFonts w:hint="eastAsia" w:asciiTheme="minorEastAsia" w:hAnsiTheme="minorEastAsia" w:cstheme="minorEastAsia"/>
                <w:color w:val="auto"/>
                <w:szCs w:val="21"/>
                <w:highlight w:val="none"/>
                <w:lang w:eastAsia="zh-CN"/>
              </w:rPr>
            </w:pPr>
            <w:r>
              <w:rPr>
                <w:rFonts w:hint="eastAsia"/>
                <w:color w:val="auto"/>
                <w:highlight w:val="none"/>
                <w:lang w:val="en-US" w:eastAsia="zh-CN"/>
              </w:rPr>
              <w:t>供货安装</w:t>
            </w:r>
            <w:r>
              <w:rPr>
                <w:rFonts w:hint="eastAsia" w:asciiTheme="minorEastAsia" w:hAnsiTheme="minorEastAsia" w:cstheme="minorEastAsia"/>
                <w:color w:val="auto"/>
                <w:szCs w:val="21"/>
                <w:highlight w:val="none"/>
              </w:rPr>
              <w:t>方案</w:t>
            </w:r>
            <w:r>
              <w:rPr>
                <w:rFonts w:hint="eastAsia" w:asciiTheme="minorEastAsia" w:hAnsiTheme="minorEastAsia" w:cstheme="minorEastAsia"/>
                <w:color w:val="auto"/>
                <w:szCs w:val="21"/>
                <w:highlight w:val="none"/>
                <w:lang w:val="en-US" w:eastAsia="zh-CN"/>
              </w:rPr>
              <w:t>较为</w:t>
            </w:r>
            <w:r>
              <w:rPr>
                <w:rFonts w:hint="eastAsia" w:asciiTheme="minorEastAsia" w:hAnsiTheme="minorEastAsia" w:cstheme="minorEastAsia"/>
                <w:color w:val="auto"/>
                <w:szCs w:val="21"/>
                <w:highlight w:val="none"/>
              </w:rPr>
              <w:t>合理、可行的得</w:t>
            </w:r>
            <w:r>
              <w:rPr>
                <w:rFonts w:hint="eastAsia" w:asciiTheme="minorEastAsia" w:hAnsiTheme="minorEastAsia" w:cstheme="minorEastAsia"/>
                <w:color w:val="auto"/>
                <w:szCs w:val="21"/>
                <w:highlight w:val="none"/>
                <w:lang w:val="en-US" w:eastAsia="zh-CN"/>
              </w:rPr>
              <w:t>3</w:t>
            </w:r>
            <w:r>
              <w:rPr>
                <w:rFonts w:hint="eastAsia" w:asciiTheme="minorEastAsia" w:hAnsiTheme="minorEastAsia" w:cstheme="minorEastAsia"/>
                <w:color w:val="auto"/>
                <w:szCs w:val="21"/>
                <w:highlight w:val="none"/>
              </w:rPr>
              <w:t>分</w:t>
            </w:r>
            <w:r>
              <w:rPr>
                <w:rFonts w:hint="eastAsia" w:asciiTheme="minorEastAsia" w:hAnsiTheme="minorEastAsia" w:cstheme="minorEastAsia"/>
                <w:color w:val="auto"/>
                <w:szCs w:val="21"/>
                <w:highlight w:val="none"/>
                <w:lang w:eastAsia="zh-CN"/>
              </w:rPr>
              <w:t>；</w:t>
            </w:r>
          </w:p>
          <w:p>
            <w:pPr>
              <w:tabs>
                <w:tab w:val="left" w:pos="2061"/>
              </w:tabs>
              <w:rPr>
                <w:rFonts w:ascii="Times New Roman" w:hAnsi="Times New Roman" w:eastAsia="宋体" w:cs="Times New Roman"/>
                <w:color w:val="auto"/>
                <w:highlight w:val="none"/>
              </w:rPr>
            </w:pPr>
            <w:r>
              <w:rPr>
                <w:rFonts w:hint="eastAsia"/>
                <w:color w:val="auto"/>
                <w:highlight w:val="none"/>
                <w:lang w:val="en-US" w:eastAsia="zh-CN"/>
              </w:rPr>
              <w:t>供货安装</w:t>
            </w:r>
            <w:r>
              <w:rPr>
                <w:rFonts w:hint="eastAsia" w:asciiTheme="minorEastAsia" w:hAnsiTheme="minorEastAsia" w:cstheme="minorEastAsia"/>
                <w:color w:val="auto"/>
                <w:szCs w:val="21"/>
                <w:highlight w:val="none"/>
                <w:lang w:val="en-US" w:eastAsia="zh-CN"/>
              </w:rPr>
              <w:t>方案简单，存在不足的得1分，</w:t>
            </w:r>
            <w:r>
              <w:rPr>
                <w:rFonts w:hint="eastAsia" w:asciiTheme="minorEastAsia" w:hAnsiTheme="minorEastAsia" w:cstheme="minorEastAsia"/>
                <w:color w:val="auto"/>
                <w:szCs w:val="21"/>
                <w:highlight w:val="none"/>
              </w:rPr>
              <w:t>未提及此项不得分。</w:t>
            </w:r>
          </w:p>
        </w:tc>
        <w:tc>
          <w:tcPr>
            <w:tcW w:w="659" w:type="dxa"/>
            <w:vAlign w:val="center"/>
          </w:tcPr>
          <w:p>
            <w:pPr>
              <w:autoSpaceDE w:val="0"/>
              <w:autoSpaceDN w:val="0"/>
              <w:adjustRightInd w:val="0"/>
              <w:jc w:val="center"/>
              <w:rPr>
                <w:rFonts w:ascii="宋体" w:hAnsi="宋体" w:eastAsia="宋体" w:cs="新宋体"/>
                <w:color w:val="auto"/>
                <w:szCs w:val="21"/>
                <w:highlight w:val="none"/>
              </w:rPr>
            </w:pPr>
            <w:r>
              <w:rPr>
                <w:rFonts w:hint="eastAsia" w:ascii="宋体" w:hAnsi="宋体" w:eastAsia="宋体" w:cs="新宋体"/>
                <w:color w:val="auto"/>
                <w:szCs w:val="21"/>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83" w:type="dxa"/>
            <w:vMerge w:val="continue"/>
            <w:vAlign w:val="center"/>
          </w:tcPr>
          <w:p>
            <w:pPr>
              <w:pStyle w:val="8"/>
              <w:ind w:left="5250" w:firstLine="0" w:firstLineChars="0"/>
              <w:jc w:val="center"/>
              <w:rPr>
                <w:rFonts w:asciiTheme="minorEastAsia" w:hAnsiTheme="minorEastAsia" w:cstheme="minorEastAsia"/>
                <w:color w:val="auto"/>
                <w:szCs w:val="21"/>
                <w:highlight w:val="none"/>
              </w:rPr>
            </w:pPr>
          </w:p>
        </w:tc>
        <w:tc>
          <w:tcPr>
            <w:tcW w:w="1113" w:type="dxa"/>
            <w:vMerge w:val="restart"/>
            <w:vAlign w:val="center"/>
          </w:tcPr>
          <w:p>
            <w:pPr>
              <w:snapToGrid w:val="0"/>
              <w:jc w:val="center"/>
              <w:rPr>
                <w:rFonts w:ascii="宋体" w:hAnsi="宋体" w:eastAsia="宋体" w:cs="新宋体"/>
                <w:color w:val="auto"/>
                <w:szCs w:val="21"/>
                <w:highlight w:val="none"/>
              </w:rPr>
            </w:pPr>
            <w:r>
              <w:rPr>
                <w:rFonts w:hint="eastAsia" w:ascii="宋体" w:hAnsi="宋体" w:eastAsia="宋体" w:cs="新宋体"/>
                <w:color w:val="auto"/>
                <w:szCs w:val="21"/>
                <w:highlight w:val="none"/>
              </w:rPr>
              <w:t>售后服务</w:t>
            </w:r>
          </w:p>
        </w:tc>
        <w:tc>
          <w:tcPr>
            <w:tcW w:w="7033" w:type="dxa"/>
            <w:vAlign w:val="center"/>
          </w:tcPr>
          <w:p>
            <w:pPr>
              <w:tabs>
                <w:tab w:val="left" w:pos="2061"/>
              </w:tabs>
              <w:rPr>
                <w:rFonts w:hint="eastAsia" w:ascii="Times New Roman" w:hAnsi="Times New Roman" w:eastAsia="宋体" w:cs="Times New Roman"/>
                <w:color w:val="auto"/>
                <w:highlight w:val="none"/>
              </w:rPr>
            </w:pPr>
            <w:r>
              <w:rPr>
                <w:rFonts w:hint="eastAsia" w:ascii="Times New Roman" w:hAnsi="Times New Roman" w:eastAsia="宋体" w:cs="Times New Roman"/>
                <w:color w:val="auto"/>
                <w:highlight w:val="none"/>
                <w:lang w:val="en-US" w:eastAsia="zh-CN"/>
              </w:rPr>
              <w:t>根据投标人的售后服务方案，包括是否有</w:t>
            </w:r>
            <w:r>
              <w:rPr>
                <w:rFonts w:hint="eastAsia" w:ascii="Times New Roman" w:hAnsi="Times New Roman" w:eastAsia="宋体" w:cs="Times New Roman"/>
                <w:color w:val="auto"/>
                <w:highlight w:val="none"/>
              </w:rPr>
              <w:t>详细完整的“三包”、免费保修及售后服务措施和方案（包括服务措施、产品质量保证、回访、技术培训等）</w:t>
            </w:r>
            <w:r>
              <w:rPr>
                <w:rFonts w:hint="eastAsia" w:ascii="Times New Roman" w:hAnsi="Times New Roman" w:eastAsia="宋体" w:cs="Times New Roman"/>
                <w:color w:val="auto"/>
                <w:highlight w:val="none"/>
                <w:lang w:val="en-US" w:eastAsia="zh-CN"/>
              </w:rPr>
              <w:t>进行打分</w:t>
            </w:r>
            <w:r>
              <w:rPr>
                <w:rFonts w:hint="eastAsia" w:ascii="Times New Roman" w:hAnsi="Times New Roman" w:eastAsia="宋体" w:cs="Times New Roman"/>
                <w:color w:val="auto"/>
                <w:highlight w:val="none"/>
              </w:rPr>
              <w:t>。</w:t>
            </w:r>
          </w:p>
          <w:p>
            <w:pPr>
              <w:tabs>
                <w:tab w:val="left" w:pos="2061"/>
              </w:tabs>
              <w:rPr>
                <w:rFonts w:asciiTheme="minorEastAsia" w:hAnsiTheme="minorEastAsia" w:cstheme="minorEastAsia"/>
                <w:color w:val="auto"/>
                <w:szCs w:val="21"/>
                <w:highlight w:val="none"/>
                <w:lang w:val="zh-CN"/>
              </w:rPr>
            </w:pPr>
            <w:r>
              <w:rPr>
                <w:rFonts w:hint="eastAsia" w:asciiTheme="minorEastAsia" w:hAnsiTheme="minorEastAsia" w:cstheme="minorEastAsia"/>
                <w:color w:val="auto"/>
                <w:szCs w:val="21"/>
                <w:highlight w:val="none"/>
                <w:lang w:val="zh-CN"/>
              </w:rPr>
              <w:t>售后服务方案和服务承诺落实的保障措施全面科学、合理可行的得</w:t>
            </w:r>
            <w:r>
              <w:rPr>
                <w:rFonts w:hint="eastAsia" w:asciiTheme="minorEastAsia" w:hAnsiTheme="minorEastAsia" w:cstheme="minorEastAsia"/>
                <w:color w:val="auto"/>
                <w:szCs w:val="21"/>
                <w:highlight w:val="none"/>
                <w:lang w:val="en-US" w:eastAsia="zh-CN"/>
              </w:rPr>
              <w:t>4</w:t>
            </w:r>
            <w:r>
              <w:rPr>
                <w:rFonts w:hint="eastAsia" w:asciiTheme="minorEastAsia" w:hAnsiTheme="minorEastAsia" w:cstheme="minorEastAsia"/>
                <w:color w:val="auto"/>
                <w:szCs w:val="21"/>
                <w:highlight w:val="none"/>
                <w:lang w:val="zh-CN"/>
              </w:rPr>
              <w:t>分；</w:t>
            </w:r>
          </w:p>
          <w:p>
            <w:pPr>
              <w:tabs>
                <w:tab w:val="left" w:pos="2061"/>
              </w:tabs>
              <w:rPr>
                <w:rFonts w:hint="eastAsia" w:asciiTheme="minorEastAsia" w:hAnsiTheme="minorEastAsia" w:cstheme="minorEastAsia"/>
                <w:color w:val="auto"/>
                <w:szCs w:val="21"/>
                <w:highlight w:val="none"/>
                <w:lang w:val="zh-CN"/>
              </w:rPr>
            </w:pPr>
            <w:r>
              <w:rPr>
                <w:rFonts w:hint="eastAsia" w:asciiTheme="minorEastAsia" w:hAnsiTheme="minorEastAsia" w:cstheme="minorEastAsia"/>
                <w:color w:val="auto"/>
                <w:szCs w:val="21"/>
                <w:highlight w:val="none"/>
                <w:lang w:val="zh-CN"/>
              </w:rPr>
              <w:t>售后服务方案和服务承诺落实的保障措施</w:t>
            </w:r>
            <w:r>
              <w:rPr>
                <w:rFonts w:hint="eastAsia" w:asciiTheme="minorEastAsia" w:hAnsiTheme="minorEastAsia" w:cstheme="minorEastAsia"/>
                <w:color w:val="auto"/>
                <w:szCs w:val="21"/>
                <w:highlight w:val="none"/>
                <w:lang w:val="en-US" w:eastAsia="zh-CN"/>
              </w:rPr>
              <w:t>比较</w:t>
            </w:r>
            <w:r>
              <w:rPr>
                <w:rFonts w:hint="eastAsia" w:asciiTheme="minorEastAsia" w:hAnsiTheme="minorEastAsia" w:cstheme="minorEastAsia"/>
                <w:color w:val="auto"/>
                <w:szCs w:val="21"/>
                <w:highlight w:val="none"/>
                <w:lang w:val="zh-CN"/>
              </w:rPr>
              <w:t>全面、</w:t>
            </w:r>
            <w:r>
              <w:rPr>
                <w:rFonts w:hint="eastAsia" w:asciiTheme="minorEastAsia" w:hAnsiTheme="minorEastAsia" w:cstheme="minorEastAsia"/>
                <w:color w:val="auto"/>
                <w:szCs w:val="21"/>
                <w:highlight w:val="none"/>
                <w:lang w:val="en-US" w:eastAsia="zh-CN"/>
              </w:rPr>
              <w:t>基本</w:t>
            </w:r>
            <w:r>
              <w:rPr>
                <w:rFonts w:hint="eastAsia" w:asciiTheme="minorEastAsia" w:hAnsiTheme="minorEastAsia" w:cstheme="minorEastAsia"/>
                <w:color w:val="auto"/>
                <w:szCs w:val="21"/>
                <w:highlight w:val="none"/>
                <w:lang w:val="zh-CN"/>
              </w:rPr>
              <w:t>可行的得</w:t>
            </w:r>
            <w:r>
              <w:rPr>
                <w:rFonts w:hint="eastAsia" w:asciiTheme="minorEastAsia" w:hAnsiTheme="minorEastAsia" w:cstheme="minorEastAsia"/>
                <w:color w:val="auto"/>
                <w:szCs w:val="21"/>
                <w:highlight w:val="none"/>
                <w:lang w:val="en-US" w:eastAsia="zh-CN"/>
              </w:rPr>
              <w:t>2</w:t>
            </w:r>
            <w:r>
              <w:rPr>
                <w:rFonts w:hint="eastAsia" w:asciiTheme="minorEastAsia" w:hAnsiTheme="minorEastAsia" w:cstheme="minorEastAsia"/>
                <w:color w:val="auto"/>
                <w:szCs w:val="21"/>
                <w:highlight w:val="none"/>
                <w:lang w:val="zh-CN"/>
              </w:rPr>
              <w:t>分；</w:t>
            </w:r>
          </w:p>
          <w:p>
            <w:pPr>
              <w:tabs>
                <w:tab w:val="left" w:pos="2061"/>
              </w:tabs>
              <w:rPr>
                <w:rFonts w:hint="eastAsia" w:asciiTheme="minorEastAsia" w:hAnsiTheme="minorEastAsia" w:cstheme="minorEastAsia"/>
                <w:color w:val="auto"/>
                <w:szCs w:val="21"/>
                <w:highlight w:val="none"/>
                <w:lang w:val="zh-CN"/>
              </w:rPr>
            </w:pPr>
            <w:r>
              <w:rPr>
                <w:rFonts w:hint="eastAsia" w:asciiTheme="minorEastAsia" w:hAnsiTheme="minorEastAsia" w:cstheme="minorEastAsia"/>
                <w:color w:val="auto"/>
                <w:szCs w:val="21"/>
                <w:highlight w:val="none"/>
                <w:lang w:val="zh-CN"/>
              </w:rPr>
              <w:t>售后服务方案和服务承诺落实的保障措施一般，不甚全面的得</w:t>
            </w:r>
            <w:r>
              <w:rPr>
                <w:rFonts w:hint="eastAsia" w:asciiTheme="minorEastAsia" w:hAnsiTheme="minorEastAsia" w:cstheme="minorEastAsia"/>
                <w:color w:val="auto"/>
                <w:szCs w:val="21"/>
                <w:highlight w:val="none"/>
                <w:lang w:val="en-US" w:eastAsia="zh-CN"/>
              </w:rPr>
              <w:t>1</w:t>
            </w:r>
            <w:r>
              <w:rPr>
                <w:rFonts w:hint="eastAsia" w:asciiTheme="minorEastAsia" w:hAnsiTheme="minorEastAsia" w:cstheme="minorEastAsia"/>
                <w:color w:val="auto"/>
                <w:szCs w:val="21"/>
                <w:highlight w:val="none"/>
                <w:lang w:val="zh-CN"/>
              </w:rPr>
              <w:t>分；</w:t>
            </w:r>
          </w:p>
          <w:p>
            <w:pPr>
              <w:tabs>
                <w:tab w:val="left" w:pos="2061"/>
              </w:tabs>
              <w:rPr>
                <w:rFonts w:ascii="Times New Roman" w:hAnsi="Times New Roman" w:eastAsia="宋体" w:cs="Times New Roman"/>
                <w:color w:val="auto"/>
                <w:highlight w:val="none"/>
              </w:rPr>
            </w:pPr>
            <w:r>
              <w:rPr>
                <w:rFonts w:hint="eastAsia" w:asciiTheme="minorEastAsia" w:hAnsiTheme="minorEastAsia" w:cstheme="minorEastAsia"/>
                <w:color w:val="auto"/>
                <w:szCs w:val="21"/>
                <w:highlight w:val="none"/>
              </w:rPr>
              <w:t>未提及此项不得分。</w:t>
            </w:r>
          </w:p>
        </w:tc>
        <w:tc>
          <w:tcPr>
            <w:tcW w:w="659" w:type="dxa"/>
            <w:vAlign w:val="center"/>
          </w:tcPr>
          <w:p>
            <w:pPr>
              <w:autoSpaceDE w:val="0"/>
              <w:autoSpaceDN w:val="0"/>
              <w:adjustRightInd w:val="0"/>
              <w:jc w:val="center"/>
              <w:rPr>
                <w:rFonts w:ascii="宋体" w:hAnsi="宋体" w:eastAsia="宋体" w:cs="新宋体"/>
                <w:color w:val="auto"/>
                <w:szCs w:val="21"/>
                <w:highlight w:val="none"/>
              </w:rPr>
            </w:pPr>
            <w:r>
              <w:rPr>
                <w:rFonts w:hint="eastAsia" w:ascii="宋体" w:hAnsi="宋体" w:cs="新宋体"/>
                <w:color w:val="auto"/>
                <w:szCs w:val="21"/>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983" w:type="dxa"/>
            <w:vMerge w:val="continue"/>
            <w:vAlign w:val="center"/>
          </w:tcPr>
          <w:p>
            <w:pPr>
              <w:pStyle w:val="8"/>
              <w:ind w:left="5250" w:firstLine="0" w:firstLineChars="0"/>
              <w:rPr>
                <w:rFonts w:asciiTheme="minorEastAsia" w:hAnsiTheme="minorEastAsia" w:cstheme="minorEastAsia"/>
                <w:color w:val="auto"/>
                <w:szCs w:val="21"/>
                <w:highlight w:val="none"/>
              </w:rPr>
            </w:pPr>
          </w:p>
        </w:tc>
        <w:tc>
          <w:tcPr>
            <w:tcW w:w="1113" w:type="dxa"/>
            <w:vMerge w:val="continue"/>
            <w:vAlign w:val="center"/>
          </w:tcPr>
          <w:p>
            <w:pPr>
              <w:snapToGrid w:val="0"/>
              <w:jc w:val="center"/>
              <w:rPr>
                <w:rFonts w:ascii="宋体" w:hAnsi="宋体" w:eastAsia="宋体" w:cs="新宋体"/>
                <w:color w:val="auto"/>
                <w:szCs w:val="21"/>
                <w:highlight w:val="none"/>
              </w:rPr>
            </w:pPr>
          </w:p>
        </w:tc>
        <w:tc>
          <w:tcPr>
            <w:tcW w:w="7033" w:type="dxa"/>
            <w:vAlign w:val="center"/>
          </w:tcPr>
          <w:p>
            <w:pPr>
              <w:tabs>
                <w:tab w:val="left" w:pos="2061"/>
              </w:tabs>
              <w:rPr>
                <w:rFonts w:asciiTheme="minorEastAsia" w:hAnsiTheme="minorEastAsia" w:eastAsiaTheme="minorEastAsia" w:cstheme="minorEastAsia"/>
                <w:color w:val="auto"/>
                <w:szCs w:val="21"/>
                <w:highlight w:val="none"/>
                <w:lang w:val="zh-CN"/>
              </w:rPr>
            </w:pPr>
            <w:r>
              <w:rPr>
                <w:rFonts w:hint="eastAsia" w:asciiTheme="minorEastAsia" w:hAnsiTheme="minorEastAsia" w:eastAsiaTheme="minorEastAsia" w:cstheme="minorEastAsia"/>
                <w:color w:val="auto"/>
                <w:szCs w:val="21"/>
                <w:highlight w:val="none"/>
                <w:lang w:val="zh-CN"/>
              </w:rPr>
              <w:t>根据投标人售后服务响应时间进行打分：</w:t>
            </w:r>
          </w:p>
          <w:p>
            <w:pPr>
              <w:tabs>
                <w:tab w:val="left" w:pos="2061"/>
              </w:tabs>
              <w:rPr>
                <w:rFonts w:asciiTheme="minorEastAsia" w:hAnsiTheme="minorEastAsia" w:eastAsiaTheme="minorEastAsia" w:cstheme="minorEastAsia"/>
                <w:color w:val="auto"/>
                <w:szCs w:val="21"/>
                <w:highlight w:val="none"/>
                <w:lang w:val="zh-CN"/>
              </w:rPr>
            </w:pPr>
            <w:r>
              <w:rPr>
                <w:rFonts w:hint="eastAsia" w:asciiTheme="minorEastAsia" w:hAnsiTheme="minorEastAsia" w:eastAsiaTheme="minorEastAsia" w:cstheme="minorEastAsia"/>
                <w:color w:val="auto"/>
                <w:szCs w:val="21"/>
                <w:highlight w:val="none"/>
                <w:lang w:val="zh-CN"/>
              </w:rPr>
              <w:t>响应时间在</w:t>
            </w:r>
            <w:r>
              <w:rPr>
                <w:rFonts w:hint="eastAsia" w:asciiTheme="minorEastAsia" w:hAnsiTheme="minorEastAsia" w:eastAsiaTheme="minorEastAsia" w:cstheme="minorEastAsia"/>
                <w:color w:val="auto"/>
                <w:szCs w:val="21"/>
                <w:highlight w:val="none"/>
              </w:rPr>
              <w:t>30</w:t>
            </w:r>
            <w:r>
              <w:rPr>
                <w:rFonts w:hint="eastAsia" w:asciiTheme="minorEastAsia" w:hAnsiTheme="minorEastAsia" w:eastAsiaTheme="minorEastAsia" w:cstheme="minorEastAsia"/>
                <w:color w:val="auto"/>
                <w:szCs w:val="21"/>
                <w:highlight w:val="none"/>
                <w:lang w:val="zh-CN"/>
              </w:rPr>
              <w:t>分钟以内</w:t>
            </w:r>
            <w:r>
              <w:rPr>
                <w:rFonts w:hint="eastAsia" w:asciiTheme="minorEastAsia" w:hAnsiTheme="minorEastAsia" w:eastAsiaTheme="minorEastAsia" w:cstheme="minorEastAsia"/>
                <w:color w:val="auto"/>
                <w:szCs w:val="21"/>
                <w:highlight w:val="none"/>
              </w:rPr>
              <w:t>的</w:t>
            </w:r>
            <w:r>
              <w:rPr>
                <w:rFonts w:hint="eastAsia" w:asciiTheme="minorEastAsia" w:hAnsiTheme="minorEastAsia" w:eastAsiaTheme="minorEastAsia" w:cstheme="minorEastAsia"/>
                <w:color w:val="auto"/>
                <w:szCs w:val="21"/>
                <w:highlight w:val="none"/>
                <w:lang w:val="zh-CN"/>
              </w:rPr>
              <w:t>得</w:t>
            </w:r>
            <w:r>
              <w:rPr>
                <w:rFonts w:hint="eastAsia" w:asciiTheme="minorEastAsia" w:hAnsiTheme="minorEastAsia" w:eastAsiaTheme="minorEastAsia" w:cstheme="minorEastAsia"/>
                <w:color w:val="auto"/>
                <w:szCs w:val="21"/>
                <w:highlight w:val="none"/>
                <w:lang w:val="en-US" w:eastAsia="zh-CN"/>
              </w:rPr>
              <w:t>3</w:t>
            </w:r>
            <w:r>
              <w:rPr>
                <w:rFonts w:hint="eastAsia" w:asciiTheme="minorEastAsia" w:hAnsiTheme="minorEastAsia" w:eastAsiaTheme="minorEastAsia" w:cstheme="minorEastAsia"/>
                <w:color w:val="auto"/>
                <w:szCs w:val="21"/>
                <w:highlight w:val="none"/>
                <w:lang w:val="zh-CN"/>
              </w:rPr>
              <w:t>分；</w:t>
            </w:r>
          </w:p>
          <w:p>
            <w:pPr>
              <w:tabs>
                <w:tab w:val="left" w:pos="2061"/>
              </w:tabs>
              <w:rPr>
                <w:rFonts w:asciiTheme="minorEastAsia" w:hAnsiTheme="minorEastAsia" w:eastAsiaTheme="minorEastAsia" w:cstheme="minorEastAsia"/>
                <w:color w:val="auto"/>
                <w:szCs w:val="21"/>
                <w:highlight w:val="none"/>
                <w:lang w:val="zh-CN"/>
              </w:rPr>
            </w:pPr>
            <w:r>
              <w:rPr>
                <w:rFonts w:hint="eastAsia" w:asciiTheme="minorEastAsia" w:hAnsiTheme="minorEastAsia" w:eastAsiaTheme="minorEastAsia" w:cstheme="minorEastAsia"/>
                <w:color w:val="auto"/>
                <w:szCs w:val="21"/>
                <w:highlight w:val="none"/>
                <w:lang w:val="zh-CN"/>
              </w:rPr>
              <w:t>响应时间在</w:t>
            </w:r>
            <w:r>
              <w:rPr>
                <w:rFonts w:hint="eastAsia" w:asciiTheme="minorEastAsia" w:hAnsiTheme="minorEastAsia" w:eastAsiaTheme="minorEastAsia" w:cstheme="minorEastAsia"/>
                <w:color w:val="auto"/>
                <w:szCs w:val="21"/>
                <w:highlight w:val="none"/>
              </w:rPr>
              <w:t>3</w:t>
            </w:r>
            <w:r>
              <w:rPr>
                <w:rFonts w:hint="eastAsia" w:asciiTheme="minorEastAsia" w:hAnsiTheme="minorEastAsia" w:eastAsiaTheme="minorEastAsia" w:cstheme="minorEastAsia"/>
                <w:color w:val="auto"/>
                <w:szCs w:val="21"/>
                <w:highlight w:val="none"/>
                <w:lang w:val="en-US" w:eastAsia="zh-CN"/>
              </w:rPr>
              <w:t>0</w:t>
            </w:r>
            <w:r>
              <w:rPr>
                <w:rFonts w:hint="eastAsia" w:asciiTheme="minorEastAsia" w:hAnsiTheme="minorEastAsia" w:eastAsiaTheme="minorEastAsia" w:cstheme="minorEastAsia"/>
                <w:color w:val="auto"/>
                <w:szCs w:val="21"/>
                <w:highlight w:val="none"/>
                <w:lang w:val="zh-CN"/>
              </w:rPr>
              <w:t>-</w:t>
            </w:r>
            <w:r>
              <w:rPr>
                <w:rFonts w:hint="eastAsia" w:asciiTheme="minorEastAsia" w:hAnsiTheme="minorEastAsia" w:eastAsiaTheme="minorEastAsia" w:cstheme="minorEastAsia"/>
                <w:color w:val="auto"/>
                <w:szCs w:val="21"/>
                <w:highlight w:val="none"/>
                <w:lang w:val="en-US" w:eastAsia="zh-CN"/>
              </w:rPr>
              <w:t>49</w:t>
            </w:r>
            <w:r>
              <w:rPr>
                <w:rFonts w:hint="eastAsia" w:asciiTheme="minorEastAsia" w:hAnsiTheme="minorEastAsia" w:eastAsiaTheme="minorEastAsia" w:cstheme="minorEastAsia"/>
                <w:color w:val="auto"/>
                <w:szCs w:val="21"/>
                <w:highlight w:val="none"/>
                <w:lang w:val="zh-CN"/>
              </w:rPr>
              <w:t>分钟</w:t>
            </w:r>
            <w:r>
              <w:rPr>
                <w:rFonts w:hint="eastAsia" w:asciiTheme="minorEastAsia" w:hAnsiTheme="minorEastAsia" w:eastAsiaTheme="minorEastAsia" w:cstheme="minorEastAsia"/>
                <w:color w:val="auto"/>
                <w:szCs w:val="21"/>
                <w:highlight w:val="none"/>
              </w:rPr>
              <w:t>的</w:t>
            </w:r>
            <w:r>
              <w:rPr>
                <w:rFonts w:hint="eastAsia" w:asciiTheme="minorEastAsia" w:hAnsiTheme="minorEastAsia" w:eastAsiaTheme="minorEastAsia" w:cstheme="minorEastAsia"/>
                <w:color w:val="auto"/>
                <w:szCs w:val="21"/>
                <w:highlight w:val="none"/>
                <w:lang w:val="zh-CN"/>
              </w:rPr>
              <w:t>得</w:t>
            </w:r>
            <w:r>
              <w:rPr>
                <w:rFonts w:hint="eastAsia" w:asciiTheme="minorEastAsia" w:hAnsiTheme="minorEastAsia" w:eastAsiaTheme="minorEastAsia" w:cstheme="minorEastAsia"/>
                <w:color w:val="auto"/>
                <w:szCs w:val="21"/>
                <w:highlight w:val="none"/>
                <w:lang w:val="en-US" w:eastAsia="zh-CN"/>
              </w:rPr>
              <w:t>2</w:t>
            </w:r>
            <w:r>
              <w:rPr>
                <w:rFonts w:hint="eastAsia" w:asciiTheme="minorEastAsia" w:hAnsiTheme="minorEastAsia" w:eastAsiaTheme="minorEastAsia" w:cstheme="minorEastAsia"/>
                <w:color w:val="auto"/>
                <w:szCs w:val="21"/>
                <w:highlight w:val="none"/>
                <w:lang w:val="zh-CN"/>
              </w:rPr>
              <w:t>分；</w:t>
            </w:r>
          </w:p>
          <w:p>
            <w:pPr>
              <w:tabs>
                <w:tab w:val="left" w:pos="2061"/>
              </w:tabs>
              <w:rPr>
                <w:rFonts w:asciiTheme="minorEastAsia" w:hAnsiTheme="minorEastAsia" w:eastAsiaTheme="minorEastAsia" w:cstheme="minorEastAsia"/>
                <w:color w:val="auto"/>
                <w:szCs w:val="21"/>
                <w:highlight w:val="none"/>
                <w:lang w:val="zh-CN"/>
              </w:rPr>
            </w:pPr>
            <w:r>
              <w:rPr>
                <w:rFonts w:hint="eastAsia" w:asciiTheme="minorEastAsia" w:hAnsiTheme="minorEastAsia" w:eastAsiaTheme="minorEastAsia" w:cstheme="minorEastAsia"/>
                <w:color w:val="auto"/>
                <w:szCs w:val="21"/>
                <w:highlight w:val="none"/>
                <w:lang w:val="zh-CN"/>
              </w:rPr>
              <w:t>响应时间在</w:t>
            </w:r>
            <w:r>
              <w:rPr>
                <w:rFonts w:hint="eastAsia" w:asciiTheme="minorEastAsia" w:hAnsiTheme="minorEastAsia" w:eastAsiaTheme="minorEastAsia" w:cstheme="minorEastAsia"/>
                <w:color w:val="auto"/>
                <w:szCs w:val="21"/>
                <w:highlight w:val="none"/>
              </w:rPr>
              <w:t>50-</w:t>
            </w:r>
            <w:r>
              <w:rPr>
                <w:rFonts w:hint="eastAsia" w:asciiTheme="minorEastAsia" w:hAnsiTheme="minorEastAsia" w:eastAsiaTheme="minorEastAsia" w:cstheme="minorEastAsia"/>
                <w:color w:val="auto"/>
                <w:szCs w:val="21"/>
                <w:highlight w:val="none"/>
                <w:lang w:val="en-US" w:eastAsia="zh-CN"/>
              </w:rPr>
              <w:t>60</w:t>
            </w:r>
            <w:r>
              <w:rPr>
                <w:rFonts w:hint="eastAsia" w:asciiTheme="minorEastAsia" w:hAnsiTheme="minorEastAsia" w:eastAsiaTheme="minorEastAsia" w:cstheme="minorEastAsia"/>
                <w:color w:val="auto"/>
                <w:szCs w:val="21"/>
                <w:highlight w:val="none"/>
                <w:lang w:val="zh-CN"/>
              </w:rPr>
              <w:t>分钟得</w:t>
            </w:r>
            <w:r>
              <w:rPr>
                <w:rFonts w:hint="eastAsia" w:asciiTheme="minorEastAsia" w:hAnsiTheme="minorEastAsia" w:eastAsiaTheme="minorEastAsia" w:cstheme="minorEastAsia"/>
                <w:color w:val="auto"/>
                <w:szCs w:val="21"/>
                <w:highlight w:val="none"/>
              </w:rPr>
              <w:t>1</w:t>
            </w:r>
            <w:r>
              <w:rPr>
                <w:rFonts w:hint="eastAsia" w:asciiTheme="minorEastAsia" w:hAnsiTheme="minorEastAsia" w:eastAsiaTheme="minorEastAsia" w:cstheme="minorEastAsia"/>
                <w:color w:val="auto"/>
                <w:szCs w:val="21"/>
                <w:highlight w:val="none"/>
                <w:lang w:val="zh-CN"/>
              </w:rPr>
              <w:t>分；</w:t>
            </w:r>
          </w:p>
          <w:p>
            <w:pPr>
              <w:tabs>
                <w:tab w:val="left" w:pos="2061"/>
              </w:tabs>
              <w:rPr>
                <w:rFonts w:asciiTheme="minorEastAsia" w:hAnsi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响应时间超过60分钟或未提及此项的不得分。</w:t>
            </w:r>
            <w:r>
              <w:rPr>
                <w:rFonts w:hint="eastAsia" w:asciiTheme="minorEastAsia" w:hAnsiTheme="minorEastAsia" w:eastAsiaTheme="minorEastAsia" w:cstheme="minorEastAsia"/>
                <w:b/>
                <w:bCs/>
                <w:color w:val="auto"/>
                <w:szCs w:val="21"/>
                <w:highlight w:val="none"/>
              </w:rPr>
              <w:t>（投标人须提供承诺函原件加盖投标人公章编入投标文件中，未提供的不得分）</w:t>
            </w:r>
          </w:p>
        </w:tc>
        <w:tc>
          <w:tcPr>
            <w:tcW w:w="659" w:type="dxa"/>
            <w:vAlign w:val="center"/>
          </w:tcPr>
          <w:p>
            <w:pPr>
              <w:keepNext w:val="0"/>
              <w:keepLines w:val="0"/>
              <w:pageBreakBefore w:val="0"/>
              <w:tabs>
                <w:tab w:val="left" w:pos="780"/>
              </w:tabs>
              <w:kinsoku/>
              <w:wordWrap/>
              <w:topLinePunct w:val="0"/>
              <w:autoSpaceDE w:val="0"/>
              <w:autoSpaceDN w:val="0"/>
              <w:bidi w:val="0"/>
              <w:adjustRightInd w:val="0"/>
              <w:spacing w:beforeAutospacing="0" w:afterAutospacing="0" w:line="240" w:lineRule="auto"/>
              <w:ind w:left="0" w:leftChars="0"/>
              <w:jc w:val="center"/>
              <w:textAlignment w:val="auto"/>
              <w:rPr>
                <w:rFonts w:ascii="宋体" w:hAnsi="宋体" w:cs="新宋体"/>
                <w:color w:val="auto"/>
                <w:szCs w:val="21"/>
                <w:highlight w:val="none"/>
              </w:rPr>
            </w:pPr>
            <w:r>
              <w:rPr>
                <w:rFonts w:hint="eastAsia" w:ascii="宋体" w:hAnsi="宋体" w:cs="新宋体"/>
                <w:b w:val="0"/>
                <w:bCs w:val="0"/>
                <w:color w:val="auto"/>
                <w:sz w:val="21"/>
                <w:szCs w:val="21"/>
                <w:highlight w:val="no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983" w:type="dxa"/>
            <w:vMerge w:val="continue"/>
            <w:vAlign w:val="center"/>
          </w:tcPr>
          <w:p>
            <w:pPr>
              <w:pStyle w:val="8"/>
              <w:ind w:left="5250" w:firstLine="0" w:firstLineChars="0"/>
              <w:rPr>
                <w:rFonts w:asciiTheme="minorEastAsia" w:hAnsiTheme="minorEastAsia" w:cstheme="minorEastAsia"/>
                <w:color w:val="auto"/>
                <w:szCs w:val="21"/>
                <w:highlight w:val="none"/>
              </w:rPr>
            </w:pPr>
          </w:p>
        </w:tc>
        <w:tc>
          <w:tcPr>
            <w:tcW w:w="1113" w:type="dxa"/>
            <w:vMerge w:val="continue"/>
            <w:vAlign w:val="center"/>
          </w:tcPr>
          <w:p>
            <w:pPr>
              <w:snapToGrid w:val="0"/>
              <w:jc w:val="center"/>
              <w:rPr>
                <w:rFonts w:ascii="宋体" w:hAnsi="宋体" w:eastAsia="宋体" w:cs="新宋体"/>
                <w:color w:val="auto"/>
                <w:szCs w:val="21"/>
                <w:highlight w:val="none"/>
              </w:rPr>
            </w:pPr>
          </w:p>
        </w:tc>
        <w:tc>
          <w:tcPr>
            <w:tcW w:w="7033" w:type="dxa"/>
            <w:vAlign w:val="center"/>
          </w:tcPr>
          <w:p>
            <w:pPr>
              <w:tabs>
                <w:tab w:val="left" w:pos="2061"/>
              </w:tabs>
              <w:rPr>
                <w:rFonts w:ascii="Times New Roman" w:hAnsi="Times New Roman" w:cs="Times New Roman"/>
                <w:color w:val="auto"/>
                <w:highlight w:val="none"/>
              </w:rPr>
            </w:pPr>
            <w:r>
              <w:rPr>
                <w:rFonts w:hint="eastAsia" w:asciiTheme="minorEastAsia" w:hAnsiTheme="minorEastAsia" w:eastAsiaTheme="minorEastAsia" w:cstheme="minorEastAsia"/>
                <w:color w:val="auto"/>
                <w:szCs w:val="21"/>
                <w:highlight w:val="none"/>
                <w:lang w:val="en-US" w:eastAsia="zh-CN"/>
              </w:rPr>
              <w:t>投标人有</w:t>
            </w:r>
            <w:r>
              <w:rPr>
                <w:rFonts w:hint="eastAsia" w:asciiTheme="minorEastAsia" w:hAnsiTheme="minorEastAsia" w:eastAsiaTheme="minorEastAsia" w:cstheme="minorEastAsia"/>
                <w:color w:val="auto"/>
                <w:szCs w:val="21"/>
                <w:highlight w:val="none"/>
                <w:lang w:val="zh-CN"/>
              </w:rPr>
              <w:t>明确的定期巡检计划</w:t>
            </w:r>
            <w:r>
              <w:rPr>
                <w:rFonts w:hint="eastAsia" w:asciiTheme="minorEastAsia" w:hAnsiTheme="minorEastAsia" w:eastAsiaTheme="minorEastAsia" w:cstheme="minorEastAsia"/>
                <w:color w:val="auto"/>
                <w:szCs w:val="21"/>
                <w:highlight w:val="none"/>
                <w:lang w:val="en-US" w:eastAsia="zh-CN"/>
              </w:rPr>
              <w:t>的</w:t>
            </w:r>
            <w:r>
              <w:rPr>
                <w:rFonts w:hint="eastAsia" w:asciiTheme="minorEastAsia" w:hAnsiTheme="minorEastAsia" w:eastAsiaTheme="minorEastAsia" w:cstheme="minorEastAsia"/>
                <w:color w:val="auto"/>
                <w:szCs w:val="21"/>
                <w:highlight w:val="none"/>
                <w:lang w:val="zh-CN"/>
              </w:rPr>
              <w:t>得</w:t>
            </w:r>
            <w:r>
              <w:rPr>
                <w:rFonts w:hint="eastAsia" w:asciiTheme="minorEastAsia" w:hAnsiTheme="minorEastAsia" w:cstheme="minorEastAsia"/>
                <w:color w:val="auto"/>
                <w:szCs w:val="21"/>
                <w:highlight w:val="none"/>
                <w:lang w:val="en-US" w:eastAsia="zh-CN"/>
              </w:rPr>
              <w:t>1</w:t>
            </w:r>
            <w:r>
              <w:rPr>
                <w:rFonts w:hint="eastAsia" w:asciiTheme="minorEastAsia" w:hAnsiTheme="minorEastAsia" w:eastAsiaTheme="minorEastAsia" w:cstheme="minorEastAsia"/>
                <w:color w:val="auto"/>
                <w:szCs w:val="21"/>
                <w:highlight w:val="none"/>
                <w:lang w:val="zh-CN"/>
              </w:rPr>
              <w:t>分，</w:t>
            </w:r>
            <w:r>
              <w:rPr>
                <w:rFonts w:hint="eastAsia" w:asciiTheme="minorEastAsia" w:hAnsiTheme="minorEastAsia" w:eastAsiaTheme="minorEastAsia" w:cstheme="minorEastAsia"/>
                <w:color w:val="auto"/>
                <w:szCs w:val="21"/>
                <w:highlight w:val="none"/>
                <w:lang w:val="en-US" w:eastAsia="zh-CN"/>
              </w:rPr>
              <w:t>未提及此项不得分。</w:t>
            </w:r>
          </w:p>
        </w:tc>
        <w:tc>
          <w:tcPr>
            <w:tcW w:w="659" w:type="dxa"/>
            <w:vAlign w:val="center"/>
          </w:tcPr>
          <w:p>
            <w:pPr>
              <w:keepNext w:val="0"/>
              <w:keepLines w:val="0"/>
              <w:pageBreakBefore w:val="0"/>
              <w:tabs>
                <w:tab w:val="left" w:pos="780"/>
              </w:tabs>
              <w:kinsoku/>
              <w:wordWrap/>
              <w:topLinePunct w:val="0"/>
              <w:autoSpaceDE w:val="0"/>
              <w:autoSpaceDN w:val="0"/>
              <w:bidi w:val="0"/>
              <w:adjustRightInd w:val="0"/>
              <w:spacing w:beforeAutospacing="0" w:afterAutospacing="0" w:line="240" w:lineRule="auto"/>
              <w:ind w:left="0" w:leftChars="0"/>
              <w:jc w:val="center"/>
              <w:textAlignment w:val="auto"/>
              <w:rPr>
                <w:rFonts w:ascii="宋体" w:hAnsi="宋体" w:eastAsia="宋体" w:cs="新宋体"/>
                <w:color w:val="auto"/>
                <w:szCs w:val="21"/>
                <w:highlight w:val="none"/>
              </w:rPr>
            </w:pPr>
            <w:r>
              <w:rPr>
                <w:rFonts w:hint="eastAsia" w:ascii="宋体" w:hAnsi="宋体" w:eastAsia="宋体" w:cs="新宋体"/>
                <w:b w:val="0"/>
                <w:bCs w:val="0"/>
                <w:color w:val="auto"/>
                <w:kern w:val="2"/>
                <w:sz w:val="21"/>
                <w:szCs w:val="21"/>
                <w:highlight w:val="none"/>
                <w:lang w:val="en-US" w:eastAsia="zh-CN" w:bidi="ar-S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jc w:val="center"/>
        </w:trPr>
        <w:tc>
          <w:tcPr>
            <w:tcW w:w="983" w:type="dxa"/>
            <w:vMerge w:val="continue"/>
            <w:vAlign w:val="center"/>
          </w:tcPr>
          <w:p>
            <w:pPr>
              <w:jc w:val="center"/>
              <w:rPr>
                <w:rStyle w:val="57"/>
                <w:rFonts w:asciiTheme="minorEastAsia" w:hAnsiTheme="minorEastAsia" w:cstheme="minorEastAsia"/>
                <w:color w:val="auto"/>
                <w:kern w:val="0"/>
                <w:szCs w:val="21"/>
                <w:highlight w:val="none"/>
              </w:rPr>
            </w:pPr>
          </w:p>
        </w:tc>
        <w:tc>
          <w:tcPr>
            <w:tcW w:w="1113" w:type="dxa"/>
            <w:vAlign w:val="center"/>
          </w:tcPr>
          <w:p>
            <w:pPr>
              <w:jc w:val="center"/>
              <w:rPr>
                <w:rFonts w:asciiTheme="minorEastAsia" w:hAnsiTheme="minorEastAsia" w:cstheme="minorEastAsia"/>
                <w:color w:val="auto"/>
                <w:szCs w:val="21"/>
                <w:highlight w:val="none"/>
              </w:rPr>
            </w:pPr>
            <w:r>
              <w:rPr>
                <w:rFonts w:hint="eastAsia" w:ascii="宋体" w:hAnsi="宋体" w:cs="宋体"/>
                <w:color w:val="auto"/>
                <w:spacing w:val="-4"/>
                <w:szCs w:val="21"/>
                <w:highlight w:val="none"/>
              </w:rPr>
              <w:t>实物样品</w:t>
            </w:r>
          </w:p>
        </w:tc>
        <w:tc>
          <w:tcPr>
            <w:tcW w:w="7033" w:type="dxa"/>
            <w:vAlign w:val="center"/>
          </w:tcPr>
          <w:p>
            <w:pPr>
              <w:rPr>
                <w:rFonts w:ascii="宋体" w:hAnsi="宋体" w:cs="宋体"/>
                <w:color w:val="auto"/>
                <w:spacing w:val="-4"/>
                <w:szCs w:val="21"/>
                <w:highlight w:val="none"/>
              </w:rPr>
            </w:pPr>
            <w:r>
              <w:rPr>
                <w:rFonts w:hint="eastAsia" w:ascii="宋体" w:hAnsi="宋体" w:cs="宋体"/>
                <w:color w:val="auto"/>
                <w:spacing w:val="-4"/>
                <w:szCs w:val="21"/>
                <w:highlight w:val="none"/>
              </w:rPr>
              <w:t>根据</w:t>
            </w:r>
            <w:r>
              <w:rPr>
                <w:rFonts w:hint="eastAsia" w:ascii="宋体" w:hAnsi="宋体" w:cs="宋体"/>
                <w:color w:val="auto"/>
                <w:spacing w:val="-4"/>
                <w:szCs w:val="21"/>
                <w:highlight w:val="none"/>
                <w:lang w:val="en-US" w:eastAsia="zh-CN"/>
              </w:rPr>
              <w:t>投标人提供</w:t>
            </w:r>
            <w:r>
              <w:rPr>
                <w:rFonts w:hint="eastAsia" w:ascii="宋体" w:hAnsi="宋体" w:cs="宋体"/>
                <w:color w:val="auto"/>
                <w:spacing w:val="-4"/>
                <w:szCs w:val="21"/>
                <w:highlight w:val="none"/>
              </w:rPr>
              <w:t>样品</w:t>
            </w:r>
            <w:r>
              <w:rPr>
                <w:rFonts w:hint="eastAsia" w:ascii="宋体" w:hAnsi="宋体" w:cs="宋体"/>
                <w:color w:val="auto"/>
                <w:spacing w:val="-4"/>
                <w:szCs w:val="21"/>
                <w:highlight w:val="none"/>
                <w:lang w:val="en-US" w:eastAsia="zh-CN"/>
              </w:rPr>
              <w:t>的</w:t>
            </w:r>
            <w:r>
              <w:rPr>
                <w:rFonts w:hint="eastAsia" w:ascii="宋体" w:hAnsi="宋体" w:cs="宋体"/>
                <w:color w:val="auto"/>
                <w:spacing w:val="-4"/>
                <w:szCs w:val="21"/>
                <w:highlight w:val="none"/>
              </w:rPr>
              <w:t>工艺、质量、材质、尺寸、规格、外观的整体效果是否响应招标文件要求，根据样品实样进行打分。</w:t>
            </w:r>
          </w:p>
          <w:p>
            <w:pPr>
              <w:numPr>
                <w:ilvl w:val="0"/>
                <w:numId w:val="0"/>
              </w:numPr>
              <w:spacing w:line="240" w:lineRule="auto"/>
              <w:rPr>
                <w:rFonts w:hint="eastAsia" w:ascii="宋体" w:hAnsi="宋体" w:cs="宋体"/>
                <w:color w:val="auto"/>
                <w:spacing w:val="-4"/>
                <w:szCs w:val="21"/>
                <w:highlight w:val="none"/>
                <w:lang w:val="en-US" w:eastAsia="zh-CN"/>
              </w:rPr>
            </w:pPr>
            <w:r>
              <w:rPr>
                <w:rFonts w:hint="eastAsia" w:ascii="宋体" w:hAnsi="宋体" w:eastAsia="宋体" w:cs="宋体"/>
                <w:color w:val="auto"/>
                <w:spacing w:val="-4"/>
                <w:kern w:val="2"/>
                <w:sz w:val="21"/>
                <w:szCs w:val="21"/>
                <w:lang w:val="en-US" w:eastAsia="zh-CN" w:bidi="ar-SA"/>
              </w:rPr>
              <w:t>一、</w:t>
            </w:r>
            <w:r>
              <w:rPr>
                <w:rFonts w:hint="eastAsia" w:ascii="宋体" w:hAnsi="宋体" w:cs="宋体"/>
                <w:b/>
                <w:bCs/>
                <w:color w:val="auto"/>
                <w:spacing w:val="-4"/>
                <w:szCs w:val="21"/>
                <w:highlight w:val="none"/>
                <w:lang w:val="en-US" w:eastAsia="zh-CN"/>
              </w:rPr>
              <w:t>化学实验桌（C型结构）、学生实验凳一套</w:t>
            </w:r>
          </w:p>
          <w:p>
            <w:pPr>
              <w:numPr>
                <w:ilvl w:val="0"/>
                <w:numId w:val="0"/>
              </w:numPr>
              <w:spacing w:line="240" w:lineRule="auto"/>
              <w:rPr>
                <w:rFonts w:hint="eastAsia" w:ascii="宋体" w:hAnsi="宋体" w:cs="宋体"/>
                <w:color w:val="auto"/>
                <w:spacing w:val="-4"/>
                <w:szCs w:val="21"/>
                <w:highlight w:val="none"/>
                <w:lang w:val="en-US" w:eastAsia="zh-CN"/>
              </w:rPr>
            </w:pPr>
            <w:r>
              <w:rPr>
                <w:rFonts w:hint="eastAsia" w:ascii="宋体" w:hAnsi="宋体" w:eastAsia="宋体" w:cs="宋体"/>
                <w:color w:val="auto"/>
                <w:spacing w:val="-4"/>
                <w:kern w:val="2"/>
                <w:sz w:val="21"/>
                <w:szCs w:val="21"/>
                <w:lang w:val="en-US" w:eastAsia="zh-CN" w:bidi="ar-SA"/>
              </w:rPr>
              <w:t>1、</w:t>
            </w:r>
            <w:r>
              <w:rPr>
                <w:rFonts w:hint="eastAsia" w:ascii="宋体" w:hAnsi="宋体" w:cs="宋体"/>
                <w:color w:val="auto"/>
                <w:spacing w:val="-4"/>
                <w:szCs w:val="21"/>
                <w:highlight w:val="none"/>
                <w:lang w:val="en-US" w:eastAsia="zh-CN"/>
              </w:rPr>
              <w:t>实验桌规格尺寸：1200*600*780mm，采用C字型镂空结构。实验桌台面：采用20mm湖蓝色陶瓷板，经机械打磨，表面光滑平整，无缝隙，整体美观大方。</w:t>
            </w:r>
            <w:r>
              <w:rPr>
                <w:rFonts w:hint="eastAsia" w:ascii="宋体" w:hAnsi="宋体" w:cs="宋体"/>
                <w:b w:val="0"/>
                <w:bCs w:val="0"/>
                <w:color w:val="auto"/>
                <w:spacing w:val="-4"/>
                <w:szCs w:val="21"/>
                <w:highlight w:val="none"/>
                <w:lang w:val="en-US" w:eastAsia="zh-CN"/>
              </w:rPr>
              <w:t>样品完全满足项目要求的得3分；样品质量、材质满足项目要求，尺寸、外观有所偏差的得2分；样品质量、材质有所偏差，不能保证实物质量的得1分，未提供样品的此项不得分。</w:t>
            </w:r>
          </w:p>
          <w:p>
            <w:pPr>
              <w:numPr>
                <w:ilvl w:val="0"/>
                <w:numId w:val="0"/>
              </w:numPr>
              <w:spacing w:line="240" w:lineRule="auto"/>
              <w:ind w:left="0" w:leftChars="0" w:firstLine="0" w:firstLineChars="0"/>
              <w:rPr>
                <w:rFonts w:hint="eastAsia" w:ascii="宋体" w:hAnsi="宋体" w:cs="宋体"/>
                <w:color w:val="auto"/>
                <w:spacing w:val="-4"/>
                <w:szCs w:val="21"/>
                <w:highlight w:val="none"/>
                <w:lang w:val="en-US" w:eastAsia="zh-CN"/>
              </w:rPr>
            </w:pPr>
            <w:r>
              <w:rPr>
                <w:rFonts w:hint="eastAsia" w:ascii="宋体" w:hAnsi="宋体" w:eastAsia="宋体" w:cs="宋体"/>
                <w:color w:val="auto"/>
                <w:spacing w:val="-4"/>
                <w:kern w:val="2"/>
                <w:sz w:val="21"/>
                <w:szCs w:val="21"/>
                <w:lang w:val="en-US" w:eastAsia="zh-CN" w:bidi="ar-SA"/>
              </w:rPr>
              <w:t>2、</w:t>
            </w:r>
            <w:r>
              <w:rPr>
                <w:rFonts w:hint="eastAsia" w:ascii="宋体" w:hAnsi="宋体" w:cs="宋体"/>
                <w:color w:val="auto"/>
                <w:spacing w:val="-4"/>
                <w:szCs w:val="21"/>
                <w:highlight w:val="none"/>
                <w:lang w:val="en-US" w:eastAsia="zh-CN"/>
              </w:rPr>
              <w:t>实验桌后挡板：采用86*12mm铝型材整体拉伸成型，与左右支撑架组成半包形围栏，预留与面板匹配的卡槽，顶端高出台面60mm，可有效防止台面仪器向后滚落。</w:t>
            </w:r>
            <w:r>
              <w:rPr>
                <w:rFonts w:hint="eastAsia" w:ascii="宋体" w:hAnsi="宋体" w:cs="宋体"/>
                <w:b w:val="0"/>
                <w:bCs w:val="0"/>
                <w:color w:val="auto"/>
                <w:spacing w:val="-4"/>
                <w:szCs w:val="21"/>
                <w:highlight w:val="none"/>
                <w:lang w:val="en-US" w:eastAsia="zh-CN"/>
              </w:rPr>
              <w:t>样品完全满足项目要求的得2分；样品质量、材质满足项目要求，尺寸、外观有所偏差的得1分；样品质量、材质有所偏差，不能保证实物质量的得0.5分，未提供样品的此项不得分。</w:t>
            </w:r>
          </w:p>
          <w:p>
            <w:pPr>
              <w:numPr>
                <w:ilvl w:val="0"/>
                <w:numId w:val="0"/>
              </w:numPr>
              <w:spacing w:line="240" w:lineRule="auto"/>
              <w:ind w:left="0" w:leftChars="0" w:firstLine="0" w:firstLineChars="0"/>
              <w:rPr>
                <w:rFonts w:hint="eastAsia" w:ascii="宋体" w:hAnsi="宋体" w:cs="宋体"/>
                <w:b w:val="0"/>
                <w:bCs w:val="0"/>
                <w:color w:val="auto"/>
                <w:spacing w:val="-4"/>
                <w:szCs w:val="21"/>
                <w:highlight w:val="none"/>
                <w:lang w:val="en-US" w:eastAsia="zh-CN"/>
              </w:rPr>
            </w:pPr>
            <w:r>
              <w:rPr>
                <w:rFonts w:hint="eastAsia" w:ascii="宋体" w:hAnsi="宋体" w:eastAsia="宋体" w:cs="宋体"/>
                <w:b w:val="0"/>
                <w:bCs w:val="0"/>
                <w:color w:val="auto"/>
                <w:spacing w:val="-4"/>
                <w:kern w:val="2"/>
                <w:sz w:val="21"/>
                <w:szCs w:val="21"/>
                <w:lang w:val="en-US" w:eastAsia="zh-CN" w:bidi="ar-SA"/>
              </w:rPr>
              <w:t>3、</w:t>
            </w:r>
            <w:r>
              <w:rPr>
                <w:rFonts w:hint="eastAsia" w:ascii="宋体" w:hAnsi="宋体" w:cs="宋体"/>
                <w:color w:val="auto"/>
                <w:spacing w:val="-4"/>
                <w:szCs w:val="21"/>
                <w:highlight w:val="none"/>
                <w:lang w:val="en-US" w:eastAsia="zh-CN"/>
              </w:rPr>
              <w:t>学生实验凳规格尺寸：315*330*440mm。学生实验凳下支撑脚：下端五星脚采用PP塑料成型，直径460mm，配网状加强筋，承重，耐腐蚀。</w:t>
            </w:r>
            <w:r>
              <w:rPr>
                <w:rFonts w:hint="eastAsia" w:ascii="宋体" w:hAnsi="宋体" w:cs="宋体"/>
                <w:b w:val="0"/>
                <w:bCs w:val="0"/>
                <w:color w:val="auto"/>
                <w:spacing w:val="-4"/>
                <w:szCs w:val="21"/>
                <w:highlight w:val="none"/>
                <w:lang w:val="en-US" w:eastAsia="zh-CN"/>
              </w:rPr>
              <w:t>样品完全满足项目要求的得2分；样品质量、材质满足项目要求，尺寸、外观有所偏差的得1分；样品质量、材质有所偏差，不能保证实物质量的得0.5分，未提供样品的此项不得分。</w:t>
            </w:r>
          </w:p>
          <w:p>
            <w:pPr>
              <w:numPr>
                <w:ilvl w:val="0"/>
                <w:numId w:val="0"/>
              </w:numPr>
              <w:spacing w:line="240" w:lineRule="auto"/>
              <w:ind w:leftChars="0"/>
              <w:rPr>
                <w:rFonts w:hint="eastAsia" w:ascii="宋体" w:hAnsi="宋体" w:cs="宋体"/>
                <w:b/>
                <w:bCs/>
                <w:color w:val="auto"/>
                <w:spacing w:val="-4"/>
                <w:szCs w:val="21"/>
                <w:highlight w:val="none"/>
                <w:lang w:val="en-US" w:eastAsia="zh-CN"/>
              </w:rPr>
            </w:pPr>
            <w:r>
              <w:rPr>
                <w:rFonts w:hint="eastAsia" w:ascii="宋体" w:hAnsi="宋体" w:cs="宋体"/>
                <w:b/>
                <w:bCs/>
                <w:color w:val="auto"/>
                <w:spacing w:val="-4"/>
                <w:szCs w:val="21"/>
                <w:highlight w:val="none"/>
                <w:lang w:val="en-US" w:eastAsia="zh-CN"/>
              </w:rPr>
              <w:t>二、防溅水槽台一套 尺寸500*660*940mm</w:t>
            </w:r>
          </w:p>
          <w:p>
            <w:pPr>
              <w:rPr>
                <w:rFonts w:hint="eastAsia" w:ascii="宋体" w:hAnsi="宋体" w:cs="宋体"/>
                <w:color w:val="auto"/>
                <w:spacing w:val="-4"/>
                <w:szCs w:val="21"/>
                <w:highlight w:val="none"/>
                <w:lang w:val="en-US" w:eastAsia="zh-CN"/>
              </w:rPr>
            </w:pPr>
            <w:r>
              <w:rPr>
                <w:rFonts w:hint="eastAsia" w:ascii="宋体" w:hAnsi="宋体" w:cs="宋体"/>
                <w:color w:val="auto"/>
                <w:spacing w:val="-4"/>
                <w:szCs w:val="21"/>
                <w:highlight w:val="none"/>
                <w:lang w:val="en-US" w:eastAsia="zh-CN"/>
              </w:rPr>
              <w:t>1、高位出水口距离水槽底不少于580mm；2、带废弃物杯专用固定位，带废弃物杯1个：PE材质，带自封式杯赛，规格直径10.7*高度21mm。</w:t>
            </w:r>
            <w:r>
              <w:rPr>
                <w:rFonts w:hint="eastAsia" w:ascii="宋体" w:hAnsi="宋体" w:cs="宋体"/>
                <w:b w:val="0"/>
                <w:bCs w:val="0"/>
                <w:color w:val="auto"/>
                <w:spacing w:val="-4"/>
                <w:szCs w:val="21"/>
                <w:highlight w:val="none"/>
                <w:lang w:val="en-US" w:eastAsia="zh-CN"/>
              </w:rPr>
              <w:t>样品完全满足项目要求的得3分；样品质量、材质满足项目要求，尺寸、外观有所偏差的得2分；样品质量、材质有所偏差，不能保证实物质量的得1分，未提供样品的此项不得分。</w:t>
            </w:r>
          </w:p>
          <w:p>
            <w:pPr>
              <w:spacing w:line="240" w:lineRule="auto"/>
              <w:rPr>
                <w:rFonts w:hint="eastAsia" w:ascii="宋体" w:hAnsi="宋体" w:cs="宋体"/>
                <w:b/>
                <w:bCs/>
                <w:color w:val="auto"/>
                <w:spacing w:val="-4"/>
                <w:szCs w:val="21"/>
                <w:highlight w:val="none"/>
                <w:lang w:val="en-US" w:eastAsia="zh-CN"/>
              </w:rPr>
            </w:pPr>
            <w:r>
              <w:rPr>
                <w:rFonts w:hint="eastAsia" w:ascii="宋体" w:hAnsi="宋体" w:cs="宋体"/>
                <w:b/>
                <w:bCs/>
                <w:color w:val="auto"/>
                <w:spacing w:val="-4"/>
                <w:szCs w:val="21"/>
                <w:highlight w:val="none"/>
                <w:lang w:val="en-US" w:eastAsia="zh-CN"/>
              </w:rPr>
              <w:t>三、演示通风塔吊一套 规格尺寸：250*250*1230/1830mm。</w:t>
            </w:r>
          </w:p>
          <w:p>
            <w:pPr>
              <w:rPr>
                <w:rFonts w:hint="default" w:ascii="宋体" w:hAnsi="宋体" w:cs="宋体"/>
                <w:color w:val="auto"/>
                <w:spacing w:val="-4"/>
                <w:szCs w:val="21"/>
                <w:highlight w:val="none"/>
                <w:lang w:val="en-US" w:eastAsia="zh-CN"/>
              </w:rPr>
            </w:pPr>
            <w:r>
              <w:rPr>
                <w:rFonts w:hint="eastAsia" w:ascii="宋体" w:hAnsi="宋体" w:cs="宋体"/>
                <w:color w:val="auto"/>
                <w:spacing w:val="-4"/>
                <w:szCs w:val="21"/>
                <w:highlight w:val="none"/>
                <w:lang w:val="en-US" w:eastAsia="zh-CN"/>
              </w:rPr>
              <w:t>1、上下升降内外导向部分：外导向体250*250mm*壁厚3mm；内导向体235*235*壁厚3mm，上下升降内外导向盖采用铝合金型材材料一次性成型；</w:t>
            </w:r>
          </w:p>
          <w:p>
            <w:pPr>
              <w:spacing w:line="240" w:lineRule="auto"/>
              <w:rPr>
                <w:rFonts w:hint="eastAsia" w:ascii="宋体" w:hAnsi="宋体" w:cs="宋体"/>
                <w:color w:val="auto"/>
                <w:spacing w:val="-4"/>
                <w:szCs w:val="21"/>
                <w:highlight w:val="none"/>
                <w:lang w:val="en-US" w:eastAsia="zh-CN"/>
              </w:rPr>
            </w:pPr>
            <w:r>
              <w:rPr>
                <w:rFonts w:hint="eastAsia" w:ascii="宋体" w:hAnsi="宋体" w:cs="宋体"/>
                <w:color w:val="auto"/>
                <w:spacing w:val="-4"/>
                <w:szCs w:val="21"/>
                <w:highlight w:val="none"/>
                <w:lang w:val="en-US" w:eastAsia="zh-CN"/>
              </w:rPr>
              <w:t>2、垂直升降行程高度不少于600mm；</w:t>
            </w:r>
          </w:p>
          <w:p>
            <w:pPr>
              <w:rPr>
                <w:rFonts w:ascii="宋体" w:hAnsi="宋体" w:eastAsia="宋体" w:cs="宋体"/>
                <w:color w:val="auto"/>
                <w:spacing w:val="-4"/>
                <w:szCs w:val="21"/>
                <w:highlight w:val="none"/>
              </w:rPr>
            </w:pPr>
            <w:r>
              <w:rPr>
                <w:rFonts w:hint="eastAsia" w:ascii="宋体" w:hAnsi="宋体" w:cs="宋体"/>
                <w:color w:val="auto"/>
                <w:spacing w:val="-4"/>
                <w:szCs w:val="21"/>
                <w:highlight w:val="none"/>
                <w:lang w:val="en-US" w:eastAsia="zh-CN"/>
              </w:rPr>
              <w:t>3、滑动阻尼：采用尼龙注塑模一次性成型；其作用是使上下导向体上下来回升降时，使其不摆动不晃动减低噪音，定位限位作用。</w:t>
            </w:r>
            <w:r>
              <w:rPr>
                <w:rFonts w:hint="eastAsia" w:ascii="宋体" w:hAnsi="宋体" w:cs="宋体"/>
                <w:b w:val="0"/>
                <w:bCs w:val="0"/>
                <w:color w:val="auto"/>
                <w:spacing w:val="-4"/>
                <w:szCs w:val="21"/>
                <w:highlight w:val="none"/>
                <w:lang w:val="en-US" w:eastAsia="zh-CN"/>
              </w:rPr>
              <w:t>样品完全满足项目要求的得5分；样品质量、材质满足项目要求，尺寸、外观有所偏差的得3分；样品质量、材质有所偏差，不能保证实物质量的得1分，未提供样品的此项不得分。</w:t>
            </w:r>
          </w:p>
        </w:tc>
        <w:tc>
          <w:tcPr>
            <w:tcW w:w="659" w:type="dxa"/>
            <w:vAlign w:val="center"/>
          </w:tcPr>
          <w:p>
            <w:pPr>
              <w:spacing w:before="100" w:beforeAutospacing="1" w:after="100" w:afterAutospacing="1"/>
              <w:jc w:val="center"/>
              <w:rPr>
                <w:rFonts w:hint="default" w:ascii="宋体" w:hAnsi="宋体" w:eastAsia="宋体" w:cs="宋体"/>
                <w:color w:val="auto"/>
                <w:spacing w:val="-4"/>
                <w:szCs w:val="21"/>
                <w:highlight w:val="none"/>
                <w:lang w:val="en-US" w:eastAsia="zh-CN"/>
              </w:rPr>
            </w:pPr>
            <w:r>
              <w:rPr>
                <w:rFonts w:hint="eastAsia" w:ascii="宋体" w:hAnsi="宋体" w:cs="宋体"/>
                <w:color w:val="auto"/>
                <w:spacing w:val="-4"/>
                <w:szCs w:val="21"/>
                <w:highlight w:val="none"/>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1" w:hRule="atLeast"/>
          <w:jc w:val="center"/>
        </w:trPr>
        <w:tc>
          <w:tcPr>
            <w:tcW w:w="983" w:type="dxa"/>
            <w:vMerge w:val="continue"/>
            <w:vAlign w:val="center"/>
          </w:tcPr>
          <w:p>
            <w:pPr>
              <w:jc w:val="center"/>
              <w:rPr>
                <w:rStyle w:val="57"/>
                <w:rFonts w:asciiTheme="minorEastAsia" w:hAnsiTheme="minorEastAsia" w:cstheme="minorEastAsia"/>
                <w:color w:val="auto"/>
                <w:kern w:val="0"/>
                <w:szCs w:val="21"/>
                <w:highlight w:val="none"/>
              </w:rPr>
            </w:pPr>
          </w:p>
        </w:tc>
        <w:tc>
          <w:tcPr>
            <w:tcW w:w="1113" w:type="dxa"/>
            <w:vAlign w:val="center"/>
          </w:tcPr>
          <w:p>
            <w:pPr>
              <w:jc w:val="center"/>
              <w:rPr>
                <w:rStyle w:val="57"/>
                <w:rFonts w:asciiTheme="minorEastAsia" w:hAnsiTheme="minorEastAsia" w:cstheme="minorEastAsia"/>
                <w:color w:val="auto"/>
                <w:kern w:val="0"/>
                <w:szCs w:val="21"/>
                <w:highlight w:val="none"/>
              </w:rPr>
            </w:pPr>
            <w:r>
              <w:rPr>
                <w:rFonts w:hint="eastAsia" w:ascii="宋体" w:hAnsi="宋体" w:cs="宋体"/>
                <w:color w:val="auto"/>
                <w:spacing w:val="-4"/>
                <w:szCs w:val="21"/>
                <w:highlight w:val="none"/>
              </w:rPr>
              <w:t>产品功能演示</w:t>
            </w:r>
          </w:p>
        </w:tc>
        <w:tc>
          <w:tcPr>
            <w:tcW w:w="7033" w:type="dxa"/>
            <w:vAlign w:val="center"/>
          </w:tcPr>
          <w:p>
            <w:pPr>
              <w:spacing w:line="240" w:lineRule="auto"/>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sz w:val="21"/>
                <w:szCs w:val="21"/>
                <w:highlight w:val="none"/>
                <w:lang w:val="zh-CN"/>
              </w:rPr>
              <w:t>投标人演示需求条款当中的“</w:t>
            </w:r>
            <w:r>
              <w:rPr>
                <w:rFonts w:hint="eastAsia" w:ascii="宋体" w:hAnsi="宋体" w:eastAsia="宋体" w:cs="宋体"/>
                <w:i w:val="0"/>
                <w:iCs w:val="0"/>
                <w:color w:val="auto"/>
                <w:kern w:val="0"/>
                <w:sz w:val="21"/>
                <w:szCs w:val="21"/>
                <w:highlight w:val="none"/>
                <w:u w:val="none"/>
                <w:lang w:val="en-US" w:eastAsia="zh-CN" w:bidi="ar"/>
              </w:rPr>
              <w:t>多媒体系统-光能智慧黑板</w:t>
            </w:r>
            <w:r>
              <w:rPr>
                <w:rFonts w:hint="eastAsia" w:asciiTheme="minorEastAsia" w:hAnsiTheme="minorEastAsia" w:eastAsiaTheme="minorEastAsia" w:cstheme="minorEastAsia"/>
                <w:color w:val="auto"/>
                <w:sz w:val="21"/>
                <w:szCs w:val="21"/>
                <w:highlight w:val="none"/>
                <w:lang w:val="zh-CN"/>
              </w:rPr>
              <w:t>”产品</w:t>
            </w:r>
            <w:r>
              <w:rPr>
                <w:rFonts w:hint="eastAsia" w:asciiTheme="minorEastAsia" w:hAnsiTheme="minorEastAsia" w:cstheme="minorEastAsia"/>
                <w:color w:val="auto"/>
                <w:sz w:val="21"/>
                <w:szCs w:val="21"/>
                <w:highlight w:val="none"/>
                <w:lang w:val="zh-CN"/>
              </w:rPr>
              <w:t>；</w:t>
            </w:r>
          </w:p>
          <w:p>
            <w:pPr>
              <w:spacing w:line="240" w:lineRule="auto"/>
              <w:rPr>
                <w:rFonts w:hint="default" w:asciiTheme="minorEastAsia" w:hAnsiTheme="minorEastAsia" w:eastAsiaTheme="minorEastAsia" w:cstheme="minorEastAsia"/>
                <w:color w:val="auto"/>
                <w:sz w:val="21"/>
                <w:szCs w:val="21"/>
                <w:highlight w:val="none"/>
                <w:lang w:val="en-US"/>
              </w:rPr>
            </w:pPr>
            <w:r>
              <w:rPr>
                <w:rFonts w:hint="eastAsia" w:ascii="宋体" w:hAnsi="宋体" w:eastAsia="宋体" w:cs="宋体"/>
                <w:i w:val="0"/>
                <w:iCs w:val="0"/>
                <w:color w:val="auto"/>
                <w:kern w:val="0"/>
                <w:sz w:val="21"/>
                <w:szCs w:val="21"/>
                <w:highlight w:val="none"/>
                <w:u w:val="none"/>
                <w:lang w:val="en-US" w:eastAsia="zh-CN" w:bidi="ar"/>
              </w:rPr>
              <w:t>多媒体系统-光能智慧黑板演示要求：</w:t>
            </w:r>
          </w:p>
          <w:p>
            <w:pPr>
              <w:numPr>
                <w:ilvl w:val="0"/>
                <w:numId w:val="0"/>
              </w:numPr>
              <w:spacing w:line="240" w:lineRule="auto"/>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lang w:val="en-US" w:eastAsia="zh-CN" w:bidi="ar"/>
              </w:rPr>
              <w:t>1、</w:t>
            </w:r>
            <w:r>
              <w:rPr>
                <w:rFonts w:hint="eastAsia" w:ascii="宋体" w:hAnsi="宋体" w:eastAsia="宋体" w:cs="宋体"/>
                <w:i w:val="0"/>
                <w:iCs w:val="0"/>
                <w:color w:val="auto"/>
                <w:kern w:val="0"/>
                <w:sz w:val="21"/>
                <w:szCs w:val="21"/>
                <w:highlight w:val="none"/>
                <w:u w:val="none"/>
                <w:lang w:val="en-US" w:eastAsia="zh-CN" w:bidi="ar"/>
              </w:rPr>
              <w:t>局部擦除：可使用板擦和手势对错误字迹进行局部擦除，擦除精度方格小于1cm*1cm。光能板具有独立供电装置，可在液晶屏关机的情况下独立使用，不影响局擦功能。演示内容符合采购需求的得2分；演示内容有欠缺的得1分；未提供演示该项不得分。</w:t>
            </w:r>
          </w:p>
          <w:p>
            <w:pPr>
              <w:pStyle w:val="68"/>
              <w:numPr>
                <w:ilvl w:val="0"/>
                <w:numId w:val="0"/>
              </w:numPr>
              <w:spacing w:before="0" w:after="0" w:line="276" w:lineRule="auto"/>
              <w:rPr>
                <w:rFonts w:hint="eastAsia" w:eastAsia="宋体"/>
                <w:color w:val="auto"/>
                <w:highlight w:val="none"/>
                <w:lang w:val="zh-CN" w:eastAsia="zh-CN"/>
              </w:rPr>
            </w:pPr>
            <w:r>
              <w:rPr>
                <w:rFonts w:hint="eastAsia" w:ascii="宋体" w:hAnsi="宋体" w:eastAsia="宋体" w:cs="宋体"/>
                <w:i w:val="0"/>
                <w:iCs w:val="0"/>
                <w:color w:val="auto"/>
                <w:kern w:val="0"/>
                <w:sz w:val="21"/>
                <w:szCs w:val="21"/>
                <w:highlight w:val="none"/>
                <w:u w:val="none"/>
                <w:lang w:val="en-US" w:eastAsia="zh-CN" w:bidi="ar"/>
              </w:rPr>
              <w:t>2、软件功能具有：1.同步互联：左、右光能黑板可与触控一体机进行互动，将光能黑板的内容与触控一体机无缝连接，教师在光能黑板上的书写内容可同步显示在触控一体机上；2.颜色切换：可设置不同的软件端笔迹颜色，可实现老师对于教学重点的标识及批注；3.板书记录：可同步传输老师的板书到软件界面；按下清除键后，板面和软件端的笔迹均可以被清除；点击“前一页”可找回清除掉的板书；4.单双页切换：两种光能黑板的书写记录模式，支持单板书写记录内容为一个单页面，也可以支持双板同时书写时记录在一个页面上；5.桌面切换：黑板书写内容和屏体显示内容可一键切换，不影响老师正常授课操作；6.一键保存：支持将板书内容保存为PDF文档，便于学校对课堂板书的管理和传递。无需花费时间找存储路径，点击“打开”，直接进入存储位置，快速找到存储文件。</w:t>
            </w:r>
            <w:r>
              <w:rPr>
                <w:rFonts w:hint="eastAsia" w:asciiTheme="minorEastAsia" w:hAnsiTheme="minorEastAsia" w:eastAsiaTheme="minorEastAsia" w:cstheme="minorEastAsia"/>
                <w:color w:val="auto"/>
                <w:highlight w:val="none"/>
                <w:lang w:val="en-US" w:eastAsia="zh-CN"/>
              </w:rPr>
              <w:t>演示</w:t>
            </w:r>
            <w:r>
              <w:rPr>
                <w:rFonts w:hint="eastAsia" w:asciiTheme="minorEastAsia" w:hAnsiTheme="minorEastAsia" w:eastAsiaTheme="minorEastAsia" w:cstheme="minorEastAsia"/>
                <w:color w:val="auto"/>
                <w:highlight w:val="none"/>
              </w:rPr>
              <w:t>内容</w:t>
            </w:r>
            <w:r>
              <w:rPr>
                <w:rFonts w:hint="eastAsia" w:asciiTheme="minorEastAsia" w:hAnsiTheme="minorEastAsia" w:eastAsiaTheme="minorEastAsia" w:cstheme="minorEastAsia"/>
                <w:color w:val="auto"/>
                <w:highlight w:val="none"/>
                <w:lang w:val="en-US" w:eastAsia="zh-CN"/>
              </w:rPr>
              <w:t>完全</w:t>
            </w:r>
            <w:r>
              <w:rPr>
                <w:rFonts w:hint="eastAsia" w:asciiTheme="minorEastAsia" w:hAnsiTheme="minorEastAsia" w:eastAsiaTheme="minorEastAsia" w:cstheme="minorEastAsia"/>
                <w:color w:val="auto"/>
                <w:highlight w:val="none"/>
              </w:rPr>
              <w:t>符合采购需求的得</w:t>
            </w:r>
            <w:r>
              <w:rPr>
                <w:rFonts w:hint="eastAsia" w:asciiTheme="minorEastAsia" w:hAnsiTheme="minorEastAsia" w:eastAsiaTheme="minorEastAsia" w:cstheme="minorEastAsia"/>
                <w:color w:val="auto"/>
                <w:highlight w:val="none"/>
                <w:lang w:val="en-US" w:eastAsia="zh-CN"/>
              </w:rPr>
              <w:t>3</w:t>
            </w:r>
            <w:r>
              <w:rPr>
                <w:rFonts w:hint="eastAsia" w:asciiTheme="minorEastAsia" w:hAnsiTheme="minorEastAsia" w:eastAsiaTheme="minorEastAsia" w:cstheme="minorEastAsia"/>
                <w:color w:val="auto"/>
                <w:highlight w:val="none"/>
              </w:rPr>
              <w:t>分；</w:t>
            </w:r>
            <w:r>
              <w:rPr>
                <w:rFonts w:hint="eastAsia" w:asciiTheme="minorEastAsia" w:hAnsiTheme="minorEastAsia" w:eastAsiaTheme="minorEastAsia" w:cstheme="minorEastAsia"/>
                <w:color w:val="auto"/>
                <w:highlight w:val="none"/>
                <w:lang w:val="en-US" w:eastAsia="zh-CN"/>
              </w:rPr>
              <w:t>演示内容基本符合采购需求的得2分；演示</w:t>
            </w:r>
            <w:r>
              <w:rPr>
                <w:rFonts w:hint="eastAsia" w:asciiTheme="minorEastAsia" w:hAnsiTheme="minorEastAsia" w:eastAsiaTheme="minorEastAsia" w:cstheme="minorEastAsia"/>
                <w:color w:val="auto"/>
                <w:highlight w:val="none"/>
              </w:rPr>
              <w:t>内容有欠缺的得</w:t>
            </w:r>
            <w:r>
              <w:rPr>
                <w:rFonts w:hint="eastAsia" w:asciiTheme="minorEastAsia" w:hAnsiTheme="minorEastAsia" w:eastAsiaTheme="minorEastAsia" w:cstheme="minorEastAsia"/>
                <w:color w:val="auto"/>
                <w:highlight w:val="none"/>
                <w:lang w:val="en-US" w:eastAsia="zh-CN"/>
              </w:rPr>
              <w:t>1</w:t>
            </w:r>
            <w:r>
              <w:rPr>
                <w:rFonts w:hint="eastAsia" w:asciiTheme="minorEastAsia" w:hAnsiTheme="minorEastAsia" w:eastAsiaTheme="minorEastAsia" w:cstheme="minorEastAsia"/>
                <w:color w:val="auto"/>
                <w:highlight w:val="none"/>
              </w:rPr>
              <w:t>分</w:t>
            </w:r>
            <w:r>
              <w:rPr>
                <w:rFonts w:hint="eastAsia" w:asciiTheme="minorEastAsia" w:hAnsiTheme="minorEastAsia" w:eastAsiaTheme="minorEastAsia" w:cstheme="minorEastAsia"/>
                <w:color w:val="auto"/>
                <w:highlight w:val="none"/>
                <w:lang w:val="en-US" w:eastAsia="zh-CN"/>
              </w:rPr>
              <w:t>，</w:t>
            </w:r>
            <w:r>
              <w:rPr>
                <w:rFonts w:hint="eastAsia" w:asciiTheme="minorEastAsia" w:hAnsiTheme="minorEastAsia" w:eastAsiaTheme="minorEastAsia" w:cstheme="minorEastAsia"/>
                <w:color w:val="auto"/>
                <w:highlight w:val="none"/>
              </w:rPr>
              <w:t>未</w:t>
            </w:r>
            <w:r>
              <w:rPr>
                <w:rFonts w:hint="eastAsia" w:asciiTheme="minorEastAsia" w:hAnsiTheme="minorEastAsia" w:eastAsiaTheme="minorEastAsia" w:cstheme="minorEastAsia"/>
                <w:color w:val="auto"/>
                <w:highlight w:val="none"/>
                <w:lang w:val="en-US" w:eastAsia="zh-CN"/>
              </w:rPr>
              <w:t>提供演示该项</w:t>
            </w:r>
            <w:r>
              <w:rPr>
                <w:rFonts w:hint="eastAsia" w:asciiTheme="minorEastAsia" w:hAnsiTheme="minorEastAsia" w:eastAsiaTheme="minorEastAsia" w:cstheme="minorEastAsia"/>
                <w:color w:val="auto"/>
                <w:highlight w:val="none"/>
              </w:rPr>
              <w:t>不得分</w:t>
            </w:r>
            <w:r>
              <w:rPr>
                <w:rFonts w:hint="eastAsia" w:asciiTheme="minorEastAsia" w:hAnsiTheme="minorEastAsia" w:eastAsiaTheme="minorEastAsia" w:cstheme="minorEastAsia"/>
                <w:color w:val="auto"/>
                <w:highlight w:val="none"/>
                <w:lang w:eastAsia="zh-CN"/>
              </w:rPr>
              <w:t>。</w:t>
            </w:r>
          </w:p>
        </w:tc>
        <w:tc>
          <w:tcPr>
            <w:tcW w:w="659" w:type="dxa"/>
            <w:vAlign w:val="center"/>
          </w:tcPr>
          <w:p>
            <w:pPr>
              <w:adjustRightInd w:val="0"/>
              <w:snapToGrid w:val="0"/>
              <w:jc w:val="center"/>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096" w:type="dxa"/>
            <w:gridSpan w:val="2"/>
            <w:vAlign w:val="center"/>
          </w:tcPr>
          <w:p>
            <w:pPr>
              <w:jc w:val="center"/>
              <w:rPr>
                <w:rStyle w:val="57"/>
                <w:rFonts w:asciiTheme="minorEastAsia" w:hAnsiTheme="minorEastAsia" w:cstheme="minorEastAsia"/>
                <w:color w:val="auto"/>
                <w:kern w:val="0"/>
                <w:szCs w:val="21"/>
                <w:highlight w:val="none"/>
              </w:rPr>
            </w:pPr>
            <w:r>
              <w:rPr>
                <w:rStyle w:val="57"/>
                <w:rFonts w:hint="eastAsia" w:asciiTheme="minorEastAsia" w:hAnsiTheme="minorEastAsia" w:cstheme="minorEastAsia"/>
                <w:color w:val="auto"/>
                <w:kern w:val="0"/>
                <w:szCs w:val="21"/>
                <w:highlight w:val="none"/>
              </w:rPr>
              <w:t>价格</w:t>
            </w:r>
          </w:p>
          <w:p>
            <w:pPr>
              <w:jc w:val="center"/>
              <w:rPr>
                <w:rFonts w:asciiTheme="minorEastAsia" w:hAnsiTheme="minorEastAsia" w:cstheme="minorEastAsia"/>
                <w:color w:val="auto"/>
                <w:kern w:val="0"/>
                <w:szCs w:val="21"/>
                <w:highlight w:val="none"/>
              </w:rPr>
            </w:pPr>
            <w:r>
              <w:rPr>
                <w:rStyle w:val="57"/>
                <w:rFonts w:hint="eastAsia" w:asciiTheme="minorEastAsia" w:hAnsiTheme="minorEastAsia" w:cstheme="minorEastAsia"/>
                <w:color w:val="auto"/>
                <w:kern w:val="0"/>
                <w:szCs w:val="21"/>
                <w:highlight w:val="none"/>
              </w:rPr>
              <w:t>（30分）</w:t>
            </w:r>
          </w:p>
        </w:tc>
        <w:tc>
          <w:tcPr>
            <w:tcW w:w="7033" w:type="dxa"/>
            <w:vAlign w:val="center"/>
          </w:tcPr>
          <w:p>
            <w:pPr>
              <w:rPr>
                <w:rFonts w:asciiTheme="minorEastAsia" w:hAnsiTheme="minorEastAsia" w:cstheme="minorEastAsia"/>
                <w:color w:val="auto"/>
                <w:szCs w:val="21"/>
                <w:highlight w:val="none"/>
                <w:lang w:val="zh-CN"/>
              </w:rPr>
            </w:pPr>
            <w:r>
              <w:rPr>
                <w:rFonts w:hint="eastAsia" w:asciiTheme="minorEastAsia" w:hAnsiTheme="minorEastAsia" w:cstheme="minorEastAsia"/>
                <w:color w:val="auto"/>
                <w:szCs w:val="21"/>
                <w:highlight w:val="none"/>
              </w:rPr>
              <w:t>取投标合格供应商的投标最终报价最低价</w:t>
            </w:r>
            <w:r>
              <w:rPr>
                <w:rFonts w:hint="eastAsia" w:asciiTheme="minorEastAsia" w:hAnsiTheme="minorEastAsia" w:cstheme="minorEastAsia"/>
                <w:color w:val="auto"/>
                <w:szCs w:val="21"/>
                <w:highlight w:val="none"/>
                <w:lang w:val="zh-CN"/>
              </w:rPr>
              <w:t>为评标基准价，</w:t>
            </w:r>
            <w:r>
              <w:rPr>
                <w:rFonts w:hint="eastAsia" w:asciiTheme="minorEastAsia" w:hAnsiTheme="minorEastAsia" w:cstheme="minorEastAsia"/>
                <w:color w:val="auto"/>
                <w:szCs w:val="21"/>
                <w:highlight w:val="none"/>
              </w:rPr>
              <w:t>基准价为30分</w:t>
            </w:r>
            <w:r>
              <w:rPr>
                <w:rFonts w:hint="eastAsia" w:asciiTheme="minorEastAsia" w:hAnsiTheme="minorEastAsia" w:cstheme="minorEastAsia"/>
                <w:color w:val="auto"/>
                <w:szCs w:val="21"/>
                <w:highlight w:val="none"/>
                <w:lang w:val="zh-CN"/>
              </w:rPr>
              <w:t>。</w:t>
            </w:r>
          </w:p>
          <w:p>
            <w:pPr>
              <w:rPr>
                <w:rFonts w:asciiTheme="minorEastAsia" w:hAnsiTheme="minorEastAsia" w:cstheme="minorEastAsia"/>
                <w:color w:val="auto"/>
                <w:spacing w:val="-4"/>
                <w:kern w:val="0"/>
                <w:szCs w:val="21"/>
                <w:highlight w:val="none"/>
              </w:rPr>
            </w:pPr>
            <w:r>
              <w:rPr>
                <w:rFonts w:hint="eastAsia" w:asciiTheme="minorEastAsia" w:hAnsiTheme="minorEastAsia" w:cstheme="minorEastAsia"/>
                <w:color w:val="auto"/>
                <w:szCs w:val="21"/>
                <w:highlight w:val="none"/>
                <w:lang w:val="zh-CN"/>
              </w:rPr>
              <w:t>投标报价得分=(评标基准价／投标报价)×</w:t>
            </w:r>
            <w:r>
              <w:rPr>
                <w:rFonts w:hint="eastAsia" w:asciiTheme="minorEastAsia" w:hAnsiTheme="minorEastAsia" w:cstheme="minorEastAsia"/>
                <w:color w:val="auto"/>
                <w:szCs w:val="21"/>
                <w:highlight w:val="none"/>
              </w:rPr>
              <w:t>30</w:t>
            </w:r>
            <w:r>
              <w:rPr>
                <w:rFonts w:hint="eastAsia" w:asciiTheme="minorEastAsia" w:hAnsiTheme="minorEastAsia" w:cstheme="minorEastAsia"/>
                <w:color w:val="auto"/>
                <w:szCs w:val="21"/>
                <w:highlight w:val="none"/>
                <w:lang w:val="zh-CN"/>
              </w:rPr>
              <w:t>%×100。（</w:t>
            </w:r>
            <w:r>
              <w:rPr>
                <w:rFonts w:hint="eastAsia" w:asciiTheme="minorEastAsia" w:hAnsiTheme="minorEastAsia" w:cstheme="minorEastAsia"/>
                <w:color w:val="auto"/>
                <w:szCs w:val="21"/>
                <w:highlight w:val="none"/>
              </w:rPr>
              <w:t>小数点后保留2位小数</w:t>
            </w:r>
            <w:r>
              <w:rPr>
                <w:rFonts w:hint="eastAsia" w:asciiTheme="minorEastAsia" w:hAnsiTheme="minorEastAsia" w:cstheme="minorEastAsia"/>
                <w:color w:val="auto"/>
                <w:szCs w:val="21"/>
                <w:highlight w:val="none"/>
                <w:lang w:val="zh-CN"/>
              </w:rPr>
              <w:t>）。</w:t>
            </w:r>
          </w:p>
        </w:tc>
        <w:tc>
          <w:tcPr>
            <w:tcW w:w="659" w:type="dxa"/>
            <w:vAlign w:val="center"/>
          </w:tcPr>
          <w:p>
            <w:pPr>
              <w:adjustRightInd w:val="0"/>
              <w:snapToGrid w:val="0"/>
              <w:jc w:val="center"/>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30</w:t>
            </w:r>
          </w:p>
        </w:tc>
      </w:tr>
    </w:tbl>
    <w:p>
      <w:pPr>
        <w:pStyle w:val="8"/>
        <w:ind w:firstLine="0" w:firstLineChars="0"/>
        <w:rPr>
          <w:rFonts w:hint="eastAsia" w:ascii="宋体" w:hAnsi="宋体" w:eastAsia="宋体" w:cs="宋体"/>
          <w:color w:val="auto"/>
          <w:highlight w:val="none"/>
        </w:rPr>
        <w:sectPr>
          <w:pgSz w:w="11906" w:h="16838"/>
          <w:pgMar w:top="1440" w:right="1440" w:bottom="1440" w:left="1803" w:header="851" w:footer="992" w:gutter="0"/>
          <w:pgNumType w:fmt="decimal"/>
          <w:cols w:space="0" w:num="1"/>
          <w:docGrid w:type="lines" w:linePitch="325" w:charSpace="0"/>
        </w:sectPr>
      </w:pPr>
      <w:r>
        <w:rPr>
          <w:rFonts w:hint="eastAsia" w:asciiTheme="minorEastAsia" w:hAnsiTheme="minorEastAsia" w:eastAsiaTheme="minorEastAsia" w:cstheme="minorEastAsia"/>
          <w:b/>
          <w:bCs/>
          <w:color w:val="auto"/>
          <w:sz w:val="22"/>
          <w:szCs w:val="22"/>
          <w:highlight w:val="none"/>
        </w:rPr>
        <w:t>注：</w:t>
      </w:r>
      <w:r>
        <w:rPr>
          <w:rFonts w:hint="eastAsia" w:asciiTheme="minorEastAsia" w:hAnsiTheme="minorEastAsia" w:eastAsiaTheme="minorEastAsia" w:cstheme="minorEastAsia"/>
          <w:b/>
          <w:bCs/>
          <w:color w:val="auto"/>
          <w:sz w:val="22"/>
          <w:szCs w:val="22"/>
          <w:highlight w:val="none"/>
          <w:lang w:val="en-US" w:eastAsia="zh-CN"/>
        </w:rPr>
        <w:t>1、</w:t>
      </w:r>
      <w:r>
        <w:rPr>
          <w:rFonts w:hint="eastAsia" w:asciiTheme="minorEastAsia" w:hAnsiTheme="minorEastAsia" w:eastAsiaTheme="minorEastAsia" w:cstheme="minorEastAsia"/>
          <w:b/>
          <w:bCs/>
          <w:color w:val="auto"/>
          <w:sz w:val="22"/>
          <w:szCs w:val="22"/>
          <w:highlight w:val="none"/>
        </w:rPr>
        <w:t>投标人通过录制视频方式进行展示,时间不超过10分钟，</w:t>
      </w:r>
      <w:r>
        <w:rPr>
          <w:rFonts w:hint="eastAsia" w:asciiTheme="minorEastAsia" w:hAnsiTheme="minorEastAsia" w:eastAsiaTheme="minorEastAsia" w:cstheme="minorEastAsia"/>
          <w:b/>
          <w:bCs/>
          <w:color w:val="auto"/>
          <w:sz w:val="22"/>
          <w:szCs w:val="22"/>
          <w:highlight w:val="none"/>
          <w:lang w:val="en-US" w:eastAsia="zh-CN"/>
        </w:rPr>
        <w:t>超时部分不予演示，</w:t>
      </w:r>
      <w:r>
        <w:rPr>
          <w:rFonts w:hint="eastAsia" w:asciiTheme="minorEastAsia" w:hAnsiTheme="minorEastAsia" w:eastAsiaTheme="minorEastAsia" w:cstheme="minorEastAsia"/>
          <w:b/>
          <w:bCs/>
          <w:color w:val="auto"/>
          <w:sz w:val="22"/>
          <w:szCs w:val="22"/>
          <w:highlight w:val="none"/>
        </w:rPr>
        <w:t>无演示的此项不得分。</w:t>
      </w:r>
      <w:r>
        <w:rPr>
          <w:rFonts w:hint="eastAsia" w:asciiTheme="minorEastAsia" w:hAnsiTheme="minorEastAsia" w:eastAsiaTheme="minorEastAsia" w:cstheme="minorEastAsia"/>
          <w:b/>
          <w:bCs/>
          <w:color w:val="auto"/>
          <w:szCs w:val="21"/>
          <w:highlight w:val="none"/>
          <w:lang w:val="en-US" w:eastAsia="zh-CN"/>
        </w:rPr>
        <w:t>2、</w:t>
      </w:r>
      <w:r>
        <w:rPr>
          <w:rFonts w:hint="eastAsia" w:asciiTheme="minorEastAsia" w:hAnsiTheme="minorEastAsia" w:eastAsiaTheme="minorEastAsia" w:cstheme="minorEastAsia"/>
          <w:b/>
          <w:bCs/>
          <w:color w:val="auto"/>
          <w:szCs w:val="21"/>
          <w:highlight w:val="none"/>
          <w:lang w:val="zh-CN"/>
        </w:rPr>
        <w:t>提供视频演示的各投标人将需演示的部分自行演示并录制成视频制作在 U 盘中，录制视频时长</w:t>
      </w:r>
      <w:r>
        <w:rPr>
          <w:rFonts w:hint="eastAsia" w:asciiTheme="minorEastAsia" w:hAnsiTheme="minorEastAsia" w:eastAsiaTheme="minorEastAsia" w:cstheme="minorEastAsia"/>
          <w:b/>
          <w:bCs/>
          <w:color w:val="auto"/>
          <w:szCs w:val="21"/>
          <w:highlight w:val="none"/>
        </w:rPr>
        <w:t xml:space="preserve"> 1</w:t>
      </w:r>
      <w:r>
        <w:rPr>
          <w:rFonts w:hint="eastAsia" w:asciiTheme="minorEastAsia" w:hAnsiTheme="minorEastAsia" w:eastAsiaTheme="minorEastAsia" w:cstheme="minorEastAsia"/>
          <w:b/>
          <w:bCs/>
          <w:color w:val="auto"/>
          <w:szCs w:val="21"/>
          <w:highlight w:val="none"/>
          <w:lang w:val="zh-CN"/>
        </w:rPr>
        <w:t>0 分钟以内，录制的视频必须为MP4格式（若视频为其他格式导致评审中不能正常播放的，责任自负），U盘须加设密码并装入密封袋，在投标截止时间前用密封袋包装好注明项目名称和投标人名称快递到招标代理机构处，招标代理在投标截止时间后联系投标人获取密码进行播放，未提供演示或使用其他方式（如软件Demo、PPT 演示、图片原型或方案等）演示，此项不得分。评委观看演示视频按招标文件评分项进行评分。</w:t>
      </w:r>
    </w:p>
    <w:p>
      <w:pPr>
        <w:spacing w:line="360" w:lineRule="auto"/>
        <w:jc w:val="center"/>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第四章 公开招标需求</w:t>
      </w:r>
    </w:p>
    <w:p>
      <w:pPr>
        <w:tabs>
          <w:tab w:val="left" w:pos="8280"/>
        </w:tabs>
        <w:autoSpaceDE w:val="0"/>
        <w:autoSpaceDN w:val="0"/>
        <w:adjustRightInd w:val="0"/>
        <w:spacing w:line="360" w:lineRule="auto"/>
        <w:ind w:right="25"/>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一、招标项目一览表</w:t>
      </w:r>
    </w:p>
    <w:p>
      <w:pPr>
        <w:tabs>
          <w:tab w:val="left" w:pos="8280"/>
        </w:tabs>
        <w:autoSpaceDE w:val="0"/>
        <w:autoSpaceDN w:val="0"/>
        <w:adjustRightInd w:val="0"/>
        <w:spacing w:line="360" w:lineRule="auto"/>
        <w:ind w:right="25" w:firstLine="28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1"/>
          <w:szCs w:val="21"/>
          <w:highlight w:val="none"/>
        </w:rPr>
        <w:t>本次招标共</w:t>
      </w:r>
      <w:r>
        <w:rPr>
          <w:rFonts w:hint="eastAsia" w:asciiTheme="minorEastAsia" w:hAnsiTheme="minorEastAsia" w:eastAsiaTheme="minorEastAsia"/>
          <w:color w:val="auto"/>
          <w:sz w:val="21"/>
          <w:szCs w:val="21"/>
          <w:highlight w:val="none"/>
          <w:u w:val="single"/>
          <w:lang w:val="en-US" w:eastAsia="zh-CN"/>
        </w:rPr>
        <w:t xml:space="preserve"> 1</w:t>
      </w:r>
      <w:r>
        <w:rPr>
          <w:rFonts w:hint="eastAsia" w:asciiTheme="minorEastAsia" w:hAnsiTheme="minorEastAsia" w:eastAsiaTheme="minorEastAsia"/>
          <w:color w:val="auto"/>
          <w:sz w:val="21"/>
          <w:szCs w:val="21"/>
          <w:highlight w:val="none"/>
          <w:u w:val="single"/>
        </w:rPr>
        <w:t xml:space="preserve"> </w:t>
      </w:r>
      <w:r>
        <w:rPr>
          <w:rFonts w:hint="eastAsia" w:asciiTheme="minorEastAsia" w:hAnsiTheme="minorEastAsia" w:eastAsiaTheme="minorEastAsia"/>
          <w:color w:val="auto"/>
          <w:sz w:val="21"/>
          <w:szCs w:val="21"/>
          <w:highlight w:val="none"/>
        </w:rPr>
        <w:t>个标段，具体内容如下表：</w:t>
      </w:r>
    </w:p>
    <w:tbl>
      <w:tblPr>
        <w:tblStyle w:val="22"/>
        <w:tblW w:w="9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5"/>
        <w:gridCol w:w="2030"/>
        <w:gridCol w:w="1290"/>
        <w:gridCol w:w="680"/>
        <w:gridCol w:w="694"/>
        <w:gridCol w:w="1287"/>
        <w:gridCol w:w="1384"/>
        <w:gridCol w:w="9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jc w:val="center"/>
        </w:trPr>
        <w:tc>
          <w:tcPr>
            <w:tcW w:w="725" w:type="dxa"/>
            <w:vAlign w:val="center"/>
          </w:tcPr>
          <w:p>
            <w:pPr>
              <w:tabs>
                <w:tab w:val="left" w:pos="8280"/>
              </w:tabs>
              <w:autoSpaceDE w:val="0"/>
              <w:autoSpaceDN w:val="0"/>
              <w:adjustRightInd w:val="0"/>
              <w:ind w:right="25"/>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序号</w:t>
            </w:r>
          </w:p>
        </w:tc>
        <w:tc>
          <w:tcPr>
            <w:tcW w:w="2030" w:type="dxa"/>
            <w:vAlign w:val="center"/>
          </w:tcPr>
          <w:p>
            <w:pPr>
              <w:tabs>
                <w:tab w:val="left" w:pos="8280"/>
              </w:tabs>
              <w:autoSpaceDE w:val="0"/>
              <w:autoSpaceDN w:val="0"/>
              <w:adjustRightInd w:val="0"/>
              <w:ind w:right="25"/>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项目名称</w:t>
            </w:r>
          </w:p>
        </w:tc>
        <w:tc>
          <w:tcPr>
            <w:tcW w:w="1290" w:type="dxa"/>
            <w:vAlign w:val="center"/>
          </w:tcPr>
          <w:p>
            <w:pPr>
              <w:tabs>
                <w:tab w:val="left" w:pos="8280"/>
              </w:tabs>
              <w:autoSpaceDE w:val="0"/>
              <w:autoSpaceDN w:val="0"/>
              <w:adjustRightInd w:val="0"/>
              <w:ind w:right="25"/>
              <w:jc w:val="center"/>
              <w:rPr>
                <w:rFonts w:hint="eastAsia" w:ascii="宋体" w:hAnsi="宋体" w:eastAsia="宋体" w:cs="宋体"/>
                <w:b/>
                <w:color w:val="auto"/>
                <w:szCs w:val="21"/>
                <w:highlight w:val="none"/>
              </w:rPr>
            </w:pPr>
            <w:r>
              <w:rPr>
                <w:rFonts w:hint="eastAsia" w:ascii="宋体" w:hAnsi="宋体" w:eastAsia="宋体" w:cs="宋体"/>
                <w:b/>
                <w:color w:val="auto"/>
                <w:kern w:val="0"/>
                <w:szCs w:val="21"/>
                <w:highlight w:val="none"/>
              </w:rPr>
              <w:t>简要技术要求</w:t>
            </w:r>
          </w:p>
        </w:tc>
        <w:tc>
          <w:tcPr>
            <w:tcW w:w="680" w:type="dxa"/>
            <w:vAlign w:val="center"/>
          </w:tcPr>
          <w:p>
            <w:pPr>
              <w:tabs>
                <w:tab w:val="left" w:pos="8280"/>
              </w:tabs>
              <w:autoSpaceDE w:val="0"/>
              <w:autoSpaceDN w:val="0"/>
              <w:adjustRightInd w:val="0"/>
              <w:ind w:right="25"/>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数量</w:t>
            </w:r>
          </w:p>
        </w:tc>
        <w:tc>
          <w:tcPr>
            <w:tcW w:w="694" w:type="dxa"/>
            <w:vAlign w:val="center"/>
          </w:tcPr>
          <w:p>
            <w:pPr>
              <w:tabs>
                <w:tab w:val="left" w:pos="8280"/>
              </w:tabs>
              <w:autoSpaceDE w:val="0"/>
              <w:autoSpaceDN w:val="0"/>
              <w:adjustRightInd w:val="0"/>
              <w:ind w:right="25"/>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单位</w:t>
            </w:r>
          </w:p>
        </w:tc>
        <w:tc>
          <w:tcPr>
            <w:tcW w:w="1287" w:type="dxa"/>
            <w:vAlign w:val="center"/>
          </w:tcPr>
          <w:p>
            <w:pPr>
              <w:tabs>
                <w:tab w:val="left" w:pos="8280"/>
              </w:tabs>
              <w:autoSpaceDE w:val="0"/>
              <w:autoSpaceDN w:val="0"/>
              <w:adjustRightInd w:val="0"/>
              <w:ind w:right="25"/>
              <w:jc w:val="center"/>
              <w:rPr>
                <w:rFonts w:hint="eastAsia" w:ascii="宋体" w:hAnsi="宋体" w:eastAsia="宋体" w:cs="宋体"/>
                <w:b/>
                <w:color w:val="auto"/>
                <w:szCs w:val="21"/>
                <w:highlight w:val="none"/>
                <w:lang w:val="en-US" w:eastAsia="zh-CN"/>
              </w:rPr>
            </w:pPr>
            <w:r>
              <w:rPr>
                <w:rFonts w:hint="eastAsia" w:ascii="宋体" w:hAnsi="宋体" w:eastAsia="宋体" w:cs="宋体"/>
                <w:b/>
                <w:color w:val="auto"/>
                <w:szCs w:val="21"/>
                <w:highlight w:val="none"/>
              </w:rPr>
              <w:t>预算</w:t>
            </w:r>
          </w:p>
          <w:p>
            <w:pPr>
              <w:tabs>
                <w:tab w:val="left" w:pos="8280"/>
              </w:tabs>
              <w:autoSpaceDE w:val="0"/>
              <w:autoSpaceDN w:val="0"/>
              <w:adjustRightInd w:val="0"/>
              <w:ind w:right="25"/>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（万元）</w:t>
            </w:r>
          </w:p>
        </w:tc>
        <w:tc>
          <w:tcPr>
            <w:tcW w:w="1384" w:type="dxa"/>
            <w:vAlign w:val="center"/>
          </w:tcPr>
          <w:p>
            <w:pPr>
              <w:tabs>
                <w:tab w:val="left" w:pos="8280"/>
              </w:tabs>
              <w:autoSpaceDE w:val="0"/>
              <w:autoSpaceDN w:val="0"/>
              <w:adjustRightInd w:val="0"/>
              <w:ind w:right="25"/>
              <w:jc w:val="center"/>
              <w:rPr>
                <w:rFonts w:hint="eastAsia" w:ascii="宋体" w:hAnsi="宋体" w:eastAsia="宋体" w:cs="宋体"/>
                <w:b/>
                <w:color w:val="auto"/>
                <w:szCs w:val="21"/>
                <w:highlight w:val="none"/>
                <w:lang w:val="en-US" w:eastAsia="zh-CN"/>
              </w:rPr>
            </w:pPr>
            <w:r>
              <w:rPr>
                <w:rFonts w:hint="eastAsia" w:ascii="宋体" w:hAnsi="宋体" w:eastAsia="宋体" w:cs="宋体"/>
                <w:b/>
                <w:color w:val="auto"/>
                <w:szCs w:val="21"/>
                <w:highlight w:val="none"/>
                <w:lang w:val="en-US" w:eastAsia="zh-CN"/>
              </w:rPr>
              <w:t>最高限价</w:t>
            </w:r>
          </w:p>
          <w:p>
            <w:pPr>
              <w:tabs>
                <w:tab w:val="left" w:pos="8280"/>
              </w:tabs>
              <w:autoSpaceDE w:val="0"/>
              <w:autoSpaceDN w:val="0"/>
              <w:adjustRightInd w:val="0"/>
              <w:ind w:right="25"/>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（万元）</w:t>
            </w:r>
          </w:p>
        </w:tc>
        <w:tc>
          <w:tcPr>
            <w:tcW w:w="970" w:type="dxa"/>
            <w:vAlign w:val="center"/>
          </w:tcPr>
          <w:p>
            <w:pPr>
              <w:tabs>
                <w:tab w:val="left" w:pos="8280"/>
              </w:tabs>
              <w:autoSpaceDE w:val="0"/>
              <w:autoSpaceDN w:val="0"/>
              <w:adjustRightInd w:val="0"/>
              <w:ind w:right="25"/>
              <w:jc w:val="center"/>
              <w:rPr>
                <w:rFonts w:hint="eastAsia" w:ascii="宋体" w:hAnsi="宋体" w:eastAsia="宋体" w:cs="宋体"/>
                <w:b/>
                <w:color w:val="auto"/>
                <w:szCs w:val="21"/>
                <w:highlight w:val="none"/>
                <w:lang w:val="en-US" w:eastAsia="zh-CN"/>
              </w:rPr>
            </w:pPr>
            <w:r>
              <w:rPr>
                <w:rFonts w:hint="eastAsia" w:ascii="宋体" w:hAnsi="宋体" w:cs="宋体"/>
                <w:b/>
                <w:color w:val="auto"/>
                <w:szCs w:val="21"/>
                <w:highlight w:val="no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4" w:hRule="atLeast"/>
          <w:jc w:val="center"/>
        </w:trPr>
        <w:tc>
          <w:tcPr>
            <w:tcW w:w="725" w:type="dxa"/>
            <w:vAlign w:val="center"/>
          </w:tcPr>
          <w:p>
            <w:pPr>
              <w:tabs>
                <w:tab w:val="left" w:pos="8280"/>
              </w:tabs>
              <w:autoSpaceDE w:val="0"/>
              <w:autoSpaceDN w:val="0"/>
              <w:adjustRightInd w:val="0"/>
              <w:ind w:right="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2030" w:type="dxa"/>
            <w:vAlign w:val="center"/>
          </w:tcPr>
          <w:p>
            <w:pPr>
              <w:tabs>
                <w:tab w:val="left" w:pos="8280"/>
              </w:tabs>
              <w:autoSpaceDE w:val="0"/>
              <w:autoSpaceDN w:val="0"/>
              <w:adjustRightInd w:val="0"/>
              <w:ind w:right="25"/>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eastAsia="zh-CN"/>
              </w:rPr>
              <w:t>化学实验室、化学通风设备采购项目</w:t>
            </w:r>
          </w:p>
        </w:tc>
        <w:tc>
          <w:tcPr>
            <w:tcW w:w="1290" w:type="dxa"/>
            <w:vAlign w:val="center"/>
          </w:tcPr>
          <w:p>
            <w:pPr>
              <w:tabs>
                <w:tab w:val="left" w:pos="8280"/>
              </w:tabs>
              <w:autoSpaceDE w:val="0"/>
              <w:autoSpaceDN w:val="0"/>
              <w:adjustRightInd w:val="0"/>
              <w:ind w:right="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详见项目需求</w:t>
            </w:r>
          </w:p>
        </w:tc>
        <w:tc>
          <w:tcPr>
            <w:tcW w:w="680" w:type="dxa"/>
            <w:vAlign w:val="center"/>
          </w:tcPr>
          <w:p>
            <w:pPr>
              <w:tabs>
                <w:tab w:val="left" w:pos="8280"/>
              </w:tabs>
              <w:autoSpaceDE w:val="0"/>
              <w:autoSpaceDN w:val="0"/>
              <w:adjustRightInd w:val="0"/>
              <w:ind w:right="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694" w:type="dxa"/>
            <w:vAlign w:val="center"/>
          </w:tcPr>
          <w:p>
            <w:pPr>
              <w:tabs>
                <w:tab w:val="left" w:pos="8280"/>
              </w:tabs>
              <w:autoSpaceDE w:val="0"/>
              <w:autoSpaceDN w:val="0"/>
              <w:adjustRightInd w:val="0"/>
              <w:spacing w:line="360" w:lineRule="auto"/>
              <w:ind w:right="25" w:right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项</w:t>
            </w:r>
          </w:p>
        </w:tc>
        <w:tc>
          <w:tcPr>
            <w:tcW w:w="1287" w:type="dxa"/>
            <w:vAlign w:val="center"/>
          </w:tcPr>
          <w:p>
            <w:pPr>
              <w:tabs>
                <w:tab w:val="left" w:pos="8280"/>
              </w:tabs>
              <w:autoSpaceDE w:val="0"/>
              <w:autoSpaceDN w:val="0"/>
              <w:adjustRightInd w:val="0"/>
              <w:spacing w:line="360" w:lineRule="auto"/>
              <w:ind w:right="25" w:right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76.3464</w:t>
            </w:r>
          </w:p>
        </w:tc>
        <w:tc>
          <w:tcPr>
            <w:tcW w:w="1384" w:type="dxa"/>
            <w:vAlign w:val="center"/>
          </w:tcPr>
          <w:p>
            <w:pPr>
              <w:tabs>
                <w:tab w:val="left" w:pos="8280"/>
              </w:tabs>
              <w:autoSpaceDE w:val="0"/>
              <w:autoSpaceDN w:val="0"/>
              <w:adjustRightInd w:val="0"/>
              <w:spacing w:line="360" w:lineRule="auto"/>
              <w:ind w:right="25" w:right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76.346</w:t>
            </w:r>
          </w:p>
        </w:tc>
        <w:tc>
          <w:tcPr>
            <w:tcW w:w="970" w:type="dxa"/>
            <w:vAlign w:val="center"/>
          </w:tcPr>
          <w:p>
            <w:pPr>
              <w:tabs>
                <w:tab w:val="left" w:pos="8280"/>
              </w:tabs>
              <w:autoSpaceDE w:val="0"/>
              <w:autoSpaceDN w:val="0"/>
              <w:adjustRightInd w:val="0"/>
              <w:spacing w:line="360" w:lineRule="auto"/>
              <w:ind w:right="25" w:rightChars="0"/>
              <w:jc w:val="center"/>
              <w:rPr>
                <w:rFonts w:hint="eastAsia" w:ascii="宋体" w:hAnsi="宋体" w:eastAsia="宋体" w:cs="宋体"/>
                <w:color w:val="auto"/>
                <w:sz w:val="21"/>
                <w:szCs w:val="21"/>
                <w:highlight w:val="none"/>
                <w:lang w:val="en-US" w:eastAsia="zh-CN"/>
              </w:rPr>
            </w:pPr>
          </w:p>
        </w:tc>
      </w:tr>
    </w:tbl>
    <w:p>
      <w:pPr>
        <w:tabs>
          <w:tab w:val="left" w:pos="8280"/>
        </w:tabs>
        <w:autoSpaceDE w:val="0"/>
        <w:autoSpaceDN w:val="0"/>
        <w:adjustRightInd w:val="0"/>
        <w:spacing w:line="360" w:lineRule="auto"/>
        <w:ind w:right="25"/>
        <w:rPr>
          <w:rFonts w:hint="eastAsia" w:ascii="宋体" w:hAnsi="宋体" w:eastAsia="宋体" w:cs="宋体"/>
          <w:b/>
          <w:color w:val="auto"/>
          <w:sz w:val="24"/>
          <w:szCs w:val="24"/>
          <w:highlight w:val="none"/>
        </w:rPr>
      </w:pPr>
    </w:p>
    <w:p>
      <w:pPr>
        <w:pStyle w:val="52"/>
        <w:numPr>
          <w:ilvl w:val="0"/>
          <w:numId w:val="0"/>
        </w:numPr>
        <w:spacing w:line="360" w:lineRule="auto"/>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二、设备采购汇总表</w:t>
      </w:r>
    </w:p>
    <w:tbl>
      <w:tblPr>
        <w:tblStyle w:val="22"/>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171"/>
        <w:gridCol w:w="3714"/>
        <w:gridCol w:w="975"/>
        <w:gridCol w:w="1079"/>
        <w:gridCol w:w="15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6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序号</w:t>
            </w:r>
          </w:p>
        </w:tc>
        <w:tc>
          <w:tcPr>
            <w:tcW w:w="21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教室名称</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数量</w:t>
            </w:r>
          </w:p>
        </w:tc>
        <w:tc>
          <w:tcPr>
            <w:tcW w:w="6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单位</w:t>
            </w:r>
          </w:p>
        </w:tc>
        <w:tc>
          <w:tcPr>
            <w:tcW w:w="9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6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21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三层装隐藏桥式通风设备</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6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92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spacing w:line="240" w:lineRule="auto"/>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6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21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二层顶装隐藏桥式化学通风实验室</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6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室</w:t>
            </w:r>
          </w:p>
        </w:tc>
        <w:tc>
          <w:tcPr>
            <w:tcW w:w="92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spacing w:line="240" w:lineRule="auto"/>
              <w:rPr>
                <w:rFonts w:hint="eastAsia" w:ascii="宋体" w:hAnsi="宋体" w:eastAsia="宋体" w:cs="宋体"/>
                <w:i w:val="0"/>
                <w:iCs w:val="0"/>
                <w:color w:val="auto"/>
                <w:sz w:val="21"/>
                <w:szCs w:val="21"/>
                <w:highlight w:val="none"/>
                <w:u w:val="none"/>
              </w:rPr>
            </w:pPr>
          </w:p>
        </w:tc>
      </w:tr>
    </w:tbl>
    <w:p>
      <w:pPr>
        <w:pStyle w:val="52"/>
        <w:numPr>
          <w:ilvl w:val="0"/>
          <w:numId w:val="0"/>
        </w:numPr>
        <w:spacing w:line="360" w:lineRule="auto"/>
        <w:rPr>
          <w:rFonts w:hint="eastAsia" w:ascii="宋体" w:hAnsi="宋体" w:eastAsia="宋体" w:cs="宋体"/>
          <w:color w:val="auto"/>
          <w:highlight w:val="none"/>
          <w:lang w:val="en-US" w:eastAsia="zh-CN"/>
        </w:rPr>
      </w:pPr>
    </w:p>
    <w:p>
      <w:pPr>
        <w:spacing w:line="360" w:lineRule="auto"/>
        <w:rPr>
          <w:rFonts w:hint="eastAsia" w:ascii="宋体" w:hAnsi="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三、</w:t>
      </w:r>
      <w:r>
        <w:rPr>
          <w:rFonts w:hint="eastAsia" w:ascii="宋体" w:hAnsi="宋体" w:cs="宋体"/>
          <w:b/>
          <w:color w:val="auto"/>
          <w:sz w:val="21"/>
          <w:szCs w:val="21"/>
          <w:highlight w:val="none"/>
          <w:lang w:val="en-US" w:eastAsia="zh-CN"/>
        </w:rPr>
        <w:t>详细清单</w:t>
      </w:r>
    </w:p>
    <w:tbl>
      <w:tblPr>
        <w:tblStyle w:val="22"/>
        <w:tblW w:w="5542"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71"/>
        <w:gridCol w:w="1380"/>
        <w:gridCol w:w="4898"/>
        <w:gridCol w:w="439"/>
        <w:gridCol w:w="601"/>
        <w:gridCol w:w="165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7" w:hRule="atLeast"/>
          <w:jc w:val="center"/>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D9D9D9"/>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auto"/>
                <w:sz w:val="21"/>
                <w:szCs w:val="21"/>
                <w:highlight w:val="none"/>
                <w:u w:val="none"/>
              </w:rPr>
            </w:pPr>
            <w:r>
              <w:rPr>
                <w:rFonts w:hint="eastAsia" w:asciiTheme="minorEastAsia" w:hAnsiTheme="minorEastAsia" w:eastAsiaTheme="minorEastAsia" w:cstheme="minorEastAsia"/>
                <w:b/>
                <w:bCs/>
                <w:i w:val="0"/>
                <w:iCs w:val="0"/>
                <w:color w:val="auto"/>
                <w:kern w:val="0"/>
                <w:sz w:val="21"/>
                <w:szCs w:val="21"/>
                <w:highlight w:val="none"/>
                <w:u w:val="none"/>
                <w:lang w:val="en-US" w:eastAsia="zh-CN" w:bidi="ar"/>
              </w:rPr>
              <w:t>三层装隐藏桥式通风设备（56座）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jc w:val="center"/>
        </w:trPr>
        <w:tc>
          <w:tcPr>
            <w:tcW w:w="2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auto"/>
                <w:sz w:val="21"/>
                <w:szCs w:val="21"/>
                <w:highlight w:val="none"/>
                <w:u w:val="none"/>
              </w:rPr>
            </w:pPr>
            <w:r>
              <w:rPr>
                <w:rFonts w:hint="eastAsia" w:asciiTheme="minorEastAsia" w:hAnsiTheme="minorEastAsia" w:eastAsiaTheme="minorEastAsia" w:cstheme="minorEastAsia"/>
                <w:b/>
                <w:bCs/>
                <w:i w:val="0"/>
                <w:iCs w:val="0"/>
                <w:color w:val="auto"/>
                <w:kern w:val="0"/>
                <w:sz w:val="21"/>
                <w:szCs w:val="21"/>
                <w:highlight w:val="none"/>
                <w:u w:val="none"/>
                <w:lang w:val="en-US" w:eastAsia="zh-CN" w:bidi="ar"/>
              </w:rPr>
              <w:t>序号</w:t>
            </w:r>
          </w:p>
        </w:tc>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auto"/>
                <w:sz w:val="21"/>
                <w:szCs w:val="21"/>
                <w:highlight w:val="none"/>
                <w:u w:val="none"/>
              </w:rPr>
            </w:pPr>
            <w:r>
              <w:rPr>
                <w:rFonts w:hint="eastAsia" w:asciiTheme="minorEastAsia" w:hAnsiTheme="minorEastAsia" w:eastAsiaTheme="minorEastAsia" w:cstheme="minorEastAsia"/>
                <w:b/>
                <w:bCs/>
                <w:i w:val="0"/>
                <w:iCs w:val="0"/>
                <w:color w:val="auto"/>
                <w:kern w:val="0"/>
                <w:sz w:val="21"/>
                <w:szCs w:val="21"/>
                <w:highlight w:val="none"/>
                <w:u w:val="none"/>
                <w:lang w:val="en-US" w:eastAsia="zh-CN" w:bidi="ar"/>
              </w:rPr>
              <w:t>设备名称</w:t>
            </w:r>
          </w:p>
        </w:tc>
        <w:tc>
          <w:tcPr>
            <w:tcW w:w="25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auto"/>
                <w:sz w:val="21"/>
                <w:szCs w:val="21"/>
                <w:highlight w:val="none"/>
                <w:u w:val="none"/>
              </w:rPr>
            </w:pPr>
            <w:r>
              <w:rPr>
                <w:rFonts w:hint="eastAsia" w:asciiTheme="minorEastAsia" w:hAnsiTheme="minorEastAsia" w:eastAsiaTheme="minorEastAsia" w:cstheme="minorEastAsia"/>
                <w:b/>
                <w:bCs/>
                <w:i w:val="0"/>
                <w:iCs w:val="0"/>
                <w:color w:val="auto"/>
                <w:kern w:val="0"/>
                <w:sz w:val="21"/>
                <w:szCs w:val="21"/>
                <w:highlight w:val="none"/>
                <w:u w:val="none"/>
                <w:lang w:val="en-US" w:eastAsia="zh-CN" w:bidi="ar"/>
              </w:rPr>
              <w:t>规格及技术参数</w:t>
            </w:r>
          </w:p>
        </w:tc>
        <w:tc>
          <w:tcPr>
            <w:tcW w:w="2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auto"/>
                <w:sz w:val="21"/>
                <w:szCs w:val="21"/>
                <w:highlight w:val="none"/>
                <w:u w:val="none"/>
              </w:rPr>
            </w:pPr>
            <w:r>
              <w:rPr>
                <w:rFonts w:hint="eastAsia" w:asciiTheme="minorEastAsia" w:hAnsiTheme="minorEastAsia" w:eastAsiaTheme="minorEastAsia" w:cstheme="minorEastAsia"/>
                <w:b/>
                <w:bCs/>
                <w:i w:val="0"/>
                <w:iCs w:val="0"/>
                <w:color w:val="auto"/>
                <w:kern w:val="0"/>
                <w:sz w:val="21"/>
                <w:szCs w:val="21"/>
                <w:highlight w:val="none"/>
                <w:u w:val="none"/>
                <w:lang w:val="en-US" w:eastAsia="zh-CN" w:bidi="ar"/>
              </w:rPr>
              <w:t>单位</w:t>
            </w:r>
          </w:p>
        </w:tc>
        <w:tc>
          <w:tcPr>
            <w:tcW w:w="3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auto"/>
                <w:sz w:val="21"/>
                <w:szCs w:val="21"/>
                <w:highlight w:val="none"/>
                <w:u w:val="none"/>
              </w:rPr>
            </w:pPr>
            <w:r>
              <w:rPr>
                <w:rFonts w:hint="eastAsia" w:asciiTheme="minorEastAsia" w:hAnsiTheme="minorEastAsia" w:eastAsiaTheme="minorEastAsia" w:cstheme="minorEastAsia"/>
                <w:b/>
                <w:bCs/>
                <w:i w:val="0"/>
                <w:iCs w:val="0"/>
                <w:color w:val="auto"/>
                <w:kern w:val="0"/>
                <w:sz w:val="21"/>
                <w:szCs w:val="21"/>
                <w:highlight w:val="none"/>
                <w:u w:val="none"/>
                <w:lang w:val="en-US" w:eastAsia="zh-CN" w:bidi="ar"/>
              </w:rPr>
              <w:t>数量</w:t>
            </w:r>
          </w:p>
        </w:tc>
        <w:tc>
          <w:tcPr>
            <w:tcW w:w="8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auto"/>
                <w:sz w:val="21"/>
                <w:szCs w:val="21"/>
                <w:highlight w:val="none"/>
                <w:u w:val="none"/>
              </w:rPr>
            </w:pPr>
            <w:r>
              <w:rPr>
                <w:rFonts w:hint="eastAsia" w:asciiTheme="minorEastAsia" w:hAnsiTheme="minorEastAsia" w:eastAsiaTheme="minorEastAsia" w:cstheme="minorEastAsia"/>
                <w:b/>
                <w:bCs/>
                <w:i w:val="0"/>
                <w:iCs w:val="0"/>
                <w:color w:val="auto"/>
                <w:kern w:val="0"/>
                <w:sz w:val="21"/>
                <w:szCs w:val="21"/>
                <w:highlight w:val="none"/>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jc w:val="center"/>
        </w:trPr>
        <w:tc>
          <w:tcPr>
            <w:tcW w:w="2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w:t>
            </w:r>
          </w:p>
        </w:tc>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b/>
                <w:bCs/>
                <w:i w:val="0"/>
                <w:iCs w:val="0"/>
                <w:color w:val="auto"/>
                <w:kern w:val="0"/>
                <w:sz w:val="21"/>
                <w:szCs w:val="21"/>
                <w:highlight w:val="none"/>
                <w:u w:val="none"/>
                <w:lang w:val="en-US" w:eastAsia="zh-CN" w:bidi="ar"/>
              </w:rPr>
              <w:t>化学实验桌</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b/>
                <w:bCs/>
                <w:i w:val="0"/>
                <w:iCs w:val="0"/>
                <w:color w:val="auto"/>
                <w:kern w:val="0"/>
                <w:sz w:val="21"/>
                <w:szCs w:val="21"/>
                <w:highlight w:val="none"/>
                <w:u w:val="none"/>
                <w:lang w:val="en-US" w:eastAsia="zh-CN" w:bidi="ar"/>
              </w:rPr>
              <w:t>（核心产品）</w:t>
            </w:r>
          </w:p>
        </w:tc>
        <w:tc>
          <w:tcPr>
            <w:tcW w:w="25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lang w:val="en-US" w:eastAsia="zh-CN" w:bidi="ar"/>
              </w:rPr>
              <w:t>1.</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尺寸：1200*600*780，台面：采用20mm湖蓝色陶瓷板，耐酸碱，表面哑光，不反光防滑； </w:t>
            </w: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2.框架：采用C字形结构；</w:t>
            </w: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3.前横梁：采用60*38mm 铝型材拉伸成型，正前方下端口向上倾斜，预留与上支撑架锁紧螺丝口；</w:t>
            </w: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4.中横梁：采用20*20mm 钢质抗弯加固条；</w:t>
            </w: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5.后横梁：采用110*30mm铝型材拉伸成型，预留有与上支撑架锁紧螺丝口；</w:t>
            </w: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6.后挡板：采用86*12mm铝型材整体拉伸成型，与左右支撑架组成半包形围栏，预留与面板匹配的卡槽，顶端高出台面60mm，可有效防止台面仪器向后滚落。</w:t>
            </w: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7.桌腿由上支撑架、支撑立柱、下支撑脚和可调地脚组成C字形；</w:t>
            </w: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7.1上支撑架：采用 585*195*50mm铝压铸一次性成型，配有255*75mm倾斜式半包形围栏，内侧镶嵌有工程塑料装饰盖，两侧弧形圆角，弧度和立柱的弧度吻合，左右两侧预留安装220V多功能插座位置。</w:t>
            </w: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7.2支撑立柱：采用150x50mm铝型材拉伸成型，内置加强筋，外侧带有弧形圆角，</w:t>
            </w: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7.3下支撑脚：采用 570*130*50mm铝压铸一次性成型，外侧与前端弧形圆角，弧度和立柱的弧度吻合，前后带有与地面固定的螺丝孔，带塑料装饰盖。</w:t>
            </w: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7.4多功能可调地脚：高度螺旋调节，采用高强度的尼龙材料，塑料注塑成型，内置脚轮固定孔。</w:t>
            </w: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以上所有铝制材料表面均经防腐氧化处理和纯环氧树脂塑粉高温固化处理，具有较强的耐蚀性及承重性。</w:t>
            </w: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8.书包斗：规格460*315*154mm,采用ABS塑料一次性注塑成型，正面设有可悬挂凳子的圆形孔，周边加厚加强，斗内加强体块，两侧和后侧均设有固定耳。</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张</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4</w:t>
            </w:r>
          </w:p>
        </w:tc>
        <w:tc>
          <w:tcPr>
            <w:tcW w:w="87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Theme="minorEastAsia" w:hAnsiTheme="minorEastAsia" w:eastAsiaTheme="minorEastAsia" w:cstheme="minorEastAsia"/>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jc w:val="center"/>
        </w:trPr>
        <w:tc>
          <w:tcPr>
            <w:tcW w:w="2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w:t>
            </w:r>
          </w:p>
        </w:tc>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防护垫</w:t>
            </w:r>
          </w:p>
        </w:tc>
        <w:tc>
          <w:tcPr>
            <w:tcW w:w="25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尺寸：1200*600*1.5mm，墨绿色橡胶垫，净味</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张</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4</w:t>
            </w:r>
          </w:p>
        </w:tc>
        <w:tc>
          <w:tcPr>
            <w:tcW w:w="87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Theme="minorEastAsia" w:hAnsiTheme="minorEastAsia" w:eastAsiaTheme="minorEastAsia" w:cstheme="minorEastAsia"/>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jc w:val="center"/>
        </w:trPr>
        <w:tc>
          <w:tcPr>
            <w:tcW w:w="2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w:t>
            </w:r>
          </w:p>
        </w:tc>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b w:val="0"/>
                <w:bCs w:val="0"/>
                <w:i w:val="0"/>
                <w:iCs w:val="0"/>
                <w:color w:val="auto"/>
                <w:kern w:val="0"/>
                <w:sz w:val="21"/>
                <w:szCs w:val="21"/>
                <w:highlight w:val="none"/>
                <w:u w:val="none"/>
                <w:lang w:val="en-US" w:eastAsia="zh-CN" w:bidi="ar"/>
              </w:rPr>
              <w:t>学生实验圆凳</w:t>
            </w:r>
          </w:p>
        </w:tc>
        <w:tc>
          <w:tcPr>
            <w:tcW w:w="25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凳面300(直径）*420（高)mm，凳面采用5mm厚PP工程塑料注塑成型；支撑柱采用直径56mm圆钢管，顶端为165*165*2mm钢板，采用全周满焊焊接，用四颗直径10mm的六角螺丝连接凳面，结构牢固，长期使用也不会出现摇晃松散现象；下端直径30mm的铝合金压铸成虎爪状的凳脚（不允许使用铁管焊接），爪端焊造型螺母，配直径50mm高30mm的工程塑料脚盘，金属材料表面经过防腐氧化处理和纯环氧树脂塑粉高温固化处理，具有较强的耐蚀性及承重性。凳面颜色湖蓝</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张</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8</w:t>
            </w:r>
          </w:p>
        </w:tc>
        <w:tc>
          <w:tcPr>
            <w:tcW w:w="87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Theme="minorEastAsia" w:hAnsiTheme="minorEastAsia" w:eastAsiaTheme="minorEastAsia" w:cstheme="minorEastAsia"/>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jc w:val="center"/>
        </w:trPr>
        <w:tc>
          <w:tcPr>
            <w:tcW w:w="2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4</w:t>
            </w:r>
          </w:p>
        </w:tc>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水槽台（含水嘴）</w:t>
            </w:r>
          </w:p>
        </w:tc>
        <w:tc>
          <w:tcPr>
            <w:tcW w:w="25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1.尺寸500*660*940mm，</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2.水槽：采用PP改性材料，塑料注塑模一次性成型，其规格600*500*343mm，壁厚4mm，四周有10mm高挡水沿；水槽内尺寸：430*360*270mm，耐强酸强碱耐＜80℃有机溶剂并耐150℃以下高温；水槽内右上角带溢水口。</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3.下水系统：采用PP材质专用连接管，配有防虹吸，防阻塞装置。</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4.上下固定框：采用PP改性材料，600*500mm，塑料注塑模一次性成型，表面光面处理。</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5.箱体支撑件：箱体四周采用64*34mm和81*34mm的铝型材支撑，表面经过时效处理和纯环氧树脂塑粉高温固化处理，具有较强的耐蚀性及承重性。</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6.水柜左右侧板：采用优质的9mm厚的中纤板，尺寸：545*655mm, 其插在支撑件铝型材槽内部。</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7.水柜前后门：采用pp改性材料，374*640*10mm，塑料注塑模一次性成型，表面沙面与光面相结合处理。并且采用直接成型后无需安装铰链、把手一体化设计，其内部置于两根32.5*6.6mm的铝型材为加强筋。  </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8.水嘴: 采用实验室专用三联水嘴90度瓷质阀芯，出水嘴为铜质尖嘴，可拆卸，内有螺纹，可方便连接循环等特殊用水，水管管体部分为黄铜合金制品，铜质表面经过烤漆喷涂处理，增强耐酸碱防腐蚀以及防锈性能，可360度旋转。</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9.带挡水沿，后设整体成型的滴水架，滴水架正面装有6个PP滴水架。带废弃物杯专用固定位置，带废弃物杯1个：PE材质，规格直径10.7*高度21mm。</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套</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w:t>
            </w:r>
          </w:p>
        </w:tc>
        <w:tc>
          <w:tcPr>
            <w:tcW w:w="87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Theme="minorEastAsia" w:hAnsiTheme="minorEastAsia" w:eastAsiaTheme="minorEastAsia" w:cstheme="minorEastAsia"/>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jc w:val="center"/>
        </w:trPr>
        <w:tc>
          <w:tcPr>
            <w:tcW w:w="2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5</w:t>
            </w:r>
          </w:p>
        </w:tc>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通风塔吊1（含学生电源4组）</w:t>
            </w:r>
          </w:p>
        </w:tc>
        <w:tc>
          <w:tcPr>
            <w:tcW w:w="25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1640*500*1100/1550 ，整体是由钢板、铝铝型材、塑料等材质组成。</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设备分三大部分：电动升降导向主体、通风控制中央主体、通风吸风万向管主体</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（一）升降导向主体（两套升降伸缩推杆，上下升降导向盖等）</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升降伸缩推杆部分：两套升降伸缩推杆都是悬挂在房顶上，则另一端固定在通风控制中央主体上；采用直流推杆电机，具有同步性好、安装拆卸方便并能承受重载及冲击载荷等优点.经过多次疲劳强度和负载质量测试。</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2.推杆控制开关：采用触摸按键式开关，自行携带电源变压器，螺旋可伸缩式开关控制线。</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上下升降内外导向部分：上下升降内外导向盖和内外导向固定板采用铝合金型材材料一次性成型；表面经防腐氧化处理或纯环氧树脂塑粉高温固化处理，具有较强的耐蚀性及耐磨性，采用专用螺栓连接，整体轻便且外形美观。垂直升降行程高度不少于400mm。</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★（二）通风控制中央主体</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采用PVC塑料型材一次性成型，具有较强的耐蚀性,整体轻便且外形美观。其上面可安装4组学生220V电源(无需另外安装电源摇臂装置）、隐藏式LED日光灯，四组吸风万向管主体可以完全收纳入通风控制中央主体内，四周看不到任何通风管道外露；</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（三）通风吸风万向管主体</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1.吸风罩：采用硅胶材料，形状如喇叭口，吸风面积大，效果好，具有阻燃、耐腐蚀等功效。采用隐藏式设计，不用时可完全收进塔吊舱体内，不遮挡视线，整洁美观。</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2.吸风拉手：采用优质的PP材料，注塑模成型，表面光洁舒适。</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3.通风管：采用UPVC耐腐蚀风管，风量800立方/小时，噪音≦65dB</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4.电器：设置多功能学生电源，隐藏式LED日光灯，触摸式开关，操作简单，安全可靠，配四个学生安全电源。产品符合GB21748-2008、GB28481-2012、GB6675.4-2014、GB/T22048-2015及委托单位技术条件下检测项目工作噪声、绝缘性能、抗电强度、保护接地电阻、控制和调节件、结构、寿命试验、直流输出电压、重金属,mg/kg、邻苯二甲酸脂，%等10项），要求提供检测报告复印件加盖投标人公章</w:t>
            </w:r>
          </w:p>
        </w:tc>
        <w:tc>
          <w:tcPr>
            <w:tcW w:w="2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套</w:t>
            </w:r>
          </w:p>
        </w:tc>
        <w:tc>
          <w:tcPr>
            <w:tcW w:w="3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6</w:t>
            </w:r>
          </w:p>
        </w:tc>
        <w:tc>
          <w:tcPr>
            <w:tcW w:w="8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jc w:val="center"/>
        </w:trPr>
        <w:tc>
          <w:tcPr>
            <w:tcW w:w="2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6</w:t>
            </w:r>
          </w:p>
        </w:tc>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通风塔吊2（含学生电源2组）</w:t>
            </w:r>
          </w:p>
        </w:tc>
        <w:tc>
          <w:tcPr>
            <w:tcW w:w="25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920*500*1100/1550mm，整体是由钢板、铝铝型材、塑料等材质组成。</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设备分三大部分：电动升降导向主体、通风控制中央主体、通风吸风万向管主体</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（一）升降导向主体（两套升降伸缩推杆，上下升降导向盖等）</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升降伸缩推杆部分：两套升降伸缩推杆都是悬挂在房顶上，则另一端固定在通风控制中央主体上；采用直流推杆电机，具有同步性好、安装拆卸方便并能承受重载及冲击载荷等优点，经过多次疲劳强度和负载质量测试，非常可靠。</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2.推杆控制开关：采用触摸按键式开关，自行携带电源变压器，螺旋可伸缩式开关控制线。</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上下升降内外导向部分：上下升降内外导向盖和内外导向固定板采用铝合金型材材料一次性成型；表面经防腐氧化处理或纯环氧树脂塑粉高温固化处理，具有较强的耐蚀性及耐磨性，采用专用螺栓连接，整体轻便且外形美观。垂直升降行程高度不少于400mm。</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（二）通风控制中央主体</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采用PVC塑料型材一次性成型，具有较强的耐蚀性,整体轻便且外形美观。其上面可安装4组学生220V电源(无需另外安装电源摇臂装置）、隐藏式LED日光灯，四组吸风万向管主体可以完全收纳入通风控制中央主体内，四周看不到任何通风管道外露；</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（三）通风吸风万向管主体</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1.吸风罩：采用硅胶材料，形状如喇叭口，吸风面积大，效果好，具有阻燃、耐腐蚀等功效。采用隐藏式设计，不用时可完全收进塔吊舱体内，不遮挡视线，整洁美观。</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2.吸风拉手：采用优质的PP材料，注塑模成型，表面光洁舒适。</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3.通风管：采用UPVC耐腐蚀风管，风量800立方/小时，噪音≦65dB</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4.电器：设置多功能学生电源，隐藏式LED日光灯，触摸式开关，操作简单，安全可靠，配四个学生安全电源。产品符合GB21748-2008、GB28481-2012、GB6675.4-2014、GB/T22048-2015及委托单位技术条件下检测项目工作噪声、绝缘性能、抗电强度、保护接地电阻、控制和调节件、结构、寿命试验、直流输出电压、重金属,mg/kg、邻苯二甲酸脂，%等10项），要求提供检测报告复印件加盖投标人公章。</w:t>
            </w:r>
          </w:p>
        </w:tc>
        <w:tc>
          <w:tcPr>
            <w:tcW w:w="2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套</w:t>
            </w:r>
          </w:p>
        </w:tc>
        <w:tc>
          <w:tcPr>
            <w:tcW w:w="3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w:t>
            </w:r>
          </w:p>
        </w:tc>
        <w:tc>
          <w:tcPr>
            <w:tcW w:w="8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jc w:val="center"/>
        </w:trPr>
        <w:tc>
          <w:tcPr>
            <w:tcW w:w="2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7</w:t>
            </w:r>
          </w:p>
        </w:tc>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演示通风塔吊</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（带样）</w:t>
            </w:r>
          </w:p>
        </w:tc>
        <w:tc>
          <w:tcPr>
            <w:tcW w:w="25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尺寸250*250*1230/1830mm,整体是由钢板、铝型材、塑料等材质组成。</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升降伸缩推杆电机部分：升降伸缩推杆悬挂安装，使内外导向体连接；采用直流推杆电机，具有同步性好、安装拆卸方便并能承受重载及冲击载荷等优点.经过多次疲劳强度和负载质量测试，非常可靠。推杆电机控制开关：总开关采用显示屏触摸按键式开关；内部升降控制行程采用机械式磁性接近开关。</w:t>
            </w:r>
          </w:p>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b w:val="0"/>
                <w:bCs w:val="0"/>
                <w:i w:val="0"/>
                <w:iCs w:val="0"/>
                <w:color w:val="auto"/>
                <w:kern w:val="0"/>
                <w:sz w:val="21"/>
                <w:szCs w:val="21"/>
                <w:highlight w:val="none"/>
                <w:u w:val="none"/>
                <w:lang w:val="en-US" w:eastAsia="zh-CN" w:bidi="ar"/>
              </w:rPr>
              <w:t>★2.上下升降内外导向部分：外导向体250*250mm*壁厚3mm；内导向体235*235*壁厚3mm，上下升降内外导向盖采用铝合金型材材料一次性成型；材料表面经过防腐氧化处理或纯环氧树脂塑粉高温固化处理，具有较强的耐蚀性及耐磨性，采用专用螺栓连接，整体轻便。垂直升降行程高度不少于600mm。上下导向固定框：上下导向均采用表面经过硬质氧化或纯环氧树脂塑粉高温固化处理。滑动阻尼：采用尼龙注塑模一次性成型；其作用是使上下导向体上下来回升降时，使其不摆动不晃动减低噪音，定位限位作用。固定板：采用钢板冲压一次性成型，垂直升降行程高度不少于600mm。</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吸风罩体部分：采用硅胶材料，形状如喇叭口，吸风面积大，效果好，具有阻燃、耐腐蚀等功效。吸风拉手：采用优质的PP材料，注塑模成型；表面光洁舒适。端盖：采用优质的光敏树脂材料。通风管：采用UPVC耐腐蚀风管，风量200立方/小时，噪音≦65dB。</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4.电器部分：设置220V多功能电源一组，</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套</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w:t>
            </w:r>
          </w:p>
        </w:tc>
        <w:tc>
          <w:tcPr>
            <w:tcW w:w="87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Theme="minorEastAsia" w:hAnsiTheme="minorEastAsia" w:eastAsiaTheme="minorEastAsia" w:cstheme="minorEastAsia"/>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jc w:val="center"/>
        </w:trPr>
        <w:tc>
          <w:tcPr>
            <w:tcW w:w="2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8</w:t>
            </w:r>
          </w:p>
        </w:tc>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塔吊固定架</w:t>
            </w:r>
          </w:p>
        </w:tc>
        <w:tc>
          <w:tcPr>
            <w:tcW w:w="25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尺寸：420/600*349/419*h(层高减3300mm，低于等于3300mm不需要增加架子)，整体是由40*25（壁厚1.2mm）优质方钢、 三角铁：40*40（壁厚4mm） 、铁板：600*490（壁厚3mm）焊接、冲孔表面经酸洗、磷化、经特殊化学防锈处理、外加纯环氧树脂塑粉高温固化处理，具有防酸碱、防腐蚀的特点、且承重。</w:t>
            </w:r>
          </w:p>
        </w:tc>
        <w:tc>
          <w:tcPr>
            <w:tcW w:w="2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个</w:t>
            </w:r>
          </w:p>
        </w:tc>
        <w:tc>
          <w:tcPr>
            <w:tcW w:w="3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9</w:t>
            </w:r>
          </w:p>
        </w:tc>
        <w:tc>
          <w:tcPr>
            <w:tcW w:w="8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jc w:val="center"/>
        </w:trPr>
        <w:tc>
          <w:tcPr>
            <w:tcW w:w="2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9</w:t>
            </w:r>
          </w:p>
        </w:tc>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供电线路</w:t>
            </w:r>
          </w:p>
        </w:tc>
        <w:tc>
          <w:tcPr>
            <w:tcW w:w="25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模块化设计，每组模块间采用活接式连接，方便安装、检修。采用2.5mm²电线进行系统布线</w:t>
            </w:r>
          </w:p>
        </w:tc>
        <w:tc>
          <w:tcPr>
            <w:tcW w:w="2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套</w:t>
            </w:r>
          </w:p>
        </w:tc>
        <w:tc>
          <w:tcPr>
            <w:tcW w:w="3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w:t>
            </w:r>
          </w:p>
        </w:tc>
        <w:tc>
          <w:tcPr>
            <w:tcW w:w="87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Theme="minorEastAsia" w:hAnsiTheme="minorEastAsia" w:eastAsiaTheme="minorEastAsia" w:cstheme="minorEastAsia"/>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jc w:val="center"/>
        </w:trPr>
        <w:tc>
          <w:tcPr>
            <w:tcW w:w="2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10</w:t>
            </w:r>
          </w:p>
        </w:tc>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室内排风管道系统</w:t>
            </w:r>
          </w:p>
        </w:tc>
        <w:tc>
          <w:tcPr>
            <w:tcW w:w="25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DN250、DN315、DN160,PVC材质，主要用于室外主管道与室内主管道的连接。</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项</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w:t>
            </w:r>
          </w:p>
        </w:tc>
        <w:tc>
          <w:tcPr>
            <w:tcW w:w="87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Theme="minorEastAsia" w:hAnsiTheme="minorEastAsia" w:eastAsiaTheme="minorEastAsia" w:cstheme="minorEastAsia"/>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jc w:val="center"/>
        </w:trPr>
        <w:tc>
          <w:tcPr>
            <w:tcW w:w="2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11</w:t>
            </w:r>
          </w:p>
        </w:tc>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变频调速器</w:t>
            </w:r>
          </w:p>
        </w:tc>
        <w:tc>
          <w:tcPr>
            <w:tcW w:w="25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采用优质变频调速器，根据实际需要控制专用通风机的风速。</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台</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w:t>
            </w:r>
          </w:p>
        </w:tc>
        <w:tc>
          <w:tcPr>
            <w:tcW w:w="87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Theme="minorEastAsia" w:hAnsiTheme="minorEastAsia" w:eastAsiaTheme="minorEastAsia" w:cstheme="minorEastAsia"/>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jc w:val="center"/>
        </w:trPr>
        <w:tc>
          <w:tcPr>
            <w:tcW w:w="2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12</w:t>
            </w:r>
          </w:p>
        </w:tc>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风量分配器</w:t>
            </w:r>
          </w:p>
        </w:tc>
        <w:tc>
          <w:tcPr>
            <w:tcW w:w="25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PVC材质，主要用于风量分布的控制，使各吸风罩风量均匀。</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套</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w:t>
            </w:r>
          </w:p>
        </w:tc>
        <w:tc>
          <w:tcPr>
            <w:tcW w:w="87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Theme="minorEastAsia" w:hAnsiTheme="minorEastAsia" w:eastAsiaTheme="minorEastAsia" w:cstheme="minorEastAsia"/>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jc w:val="center"/>
        </w:trPr>
        <w:tc>
          <w:tcPr>
            <w:tcW w:w="2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13</w:t>
            </w:r>
          </w:p>
        </w:tc>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变频调速风机</w:t>
            </w:r>
          </w:p>
        </w:tc>
        <w:tc>
          <w:tcPr>
            <w:tcW w:w="25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结构：箱体式低噪音。</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功率：4KW。</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风量：6840-12700m3/h。</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噪音：≤55dB(A)。</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室内换气次数：≥20次/h。</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终端流速：≥11.3米/秒。</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台</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w:t>
            </w:r>
          </w:p>
        </w:tc>
        <w:tc>
          <w:tcPr>
            <w:tcW w:w="87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Theme="minorEastAsia" w:hAnsiTheme="minorEastAsia" w:eastAsiaTheme="minorEastAsia" w:cstheme="minorEastAsia"/>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jc w:val="center"/>
        </w:trPr>
        <w:tc>
          <w:tcPr>
            <w:tcW w:w="2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14</w:t>
            </w:r>
          </w:p>
        </w:tc>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风机减振器</w:t>
            </w:r>
          </w:p>
        </w:tc>
        <w:tc>
          <w:tcPr>
            <w:tcW w:w="25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铸铁，橡胶材质，主要用于消除专用通风机引起的微量震动。</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套</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w:t>
            </w:r>
          </w:p>
        </w:tc>
        <w:tc>
          <w:tcPr>
            <w:tcW w:w="87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Theme="minorEastAsia" w:hAnsiTheme="minorEastAsia" w:eastAsiaTheme="minorEastAsia" w:cstheme="minorEastAsia"/>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2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15</w:t>
            </w:r>
          </w:p>
        </w:tc>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风机进出口柔性接头</w:t>
            </w:r>
          </w:p>
        </w:tc>
        <w:tc>
          <w:tcPr>
            <w:tcW w:w="25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柔性材质，通风机与消声器的连接，消除因震动引起的微量错位对通风机的影响。</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付</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w:t>
            </w:r>
          </w:p>
        </w:tc>
        <w:tc>
          <w:tcPr>
            <w:tcW w:w="87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Theme="minorEastAsia" w:hAnsiTheme="minorEastAsia" w:eastAsiaTheme="minorEastAsia" w:cstheme="minorEastAsia"/>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jc w:val="center"/>
        </w:trPr>
        <w:tc>
          <w:tcPr>
            <w:tcW w:w="2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16</w:t>
            </w:r>
          </w:p>
        </w:tc>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弯头</w:t>
            </w:r>
          </w:p>
        </w:tc>
        <w:tc>
          <w:tcPr>
            <w:tcW w:w="25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DN250,PVC材质，主要用于室外主管道与室内主管道的连接。</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个</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8</w:t>
            </w:r>
          </w:p>
        </w:tc>
        <w:tc>
          <w:tcPr>
            <w:tcW w:w="87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Theme="minorEastAsia" w:hAnsiTheme="minorEastAsia" w:eastAsiaTheme="minorEastAsia" w:cstheme="minorEastAsia"/>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jc w:val="center"/>
        </w:trPr>
        <w:tc>
          <w:tcPr>
            <w:tcW w:w="2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17</w:t>
            </w:r>
          </w:p>
        </w:tc>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消音装置</w:t>
            </w:r>
          </w:p>
        </w:tc>
        <w:tc>
          <w:tcPr>
            <w:tcW w:w="25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PVC材质，内置隔音棉等隔音装置，确保通风室外噪音小于50分贝。</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套</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w:t>
            </w:r>
          </w:p>
        </w:tc>
        <w:tc>
          <w:tcPr>
            <w:tcW w:w="87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Theme="minorEastAsia" w:hAnsiTheme="minorEastAsia" w:eastAsiaTheme="minorEastAsia" w:cstheme="minorEastAsia"/>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jc w:val="center"/>
        </w:trPr>
        <w:tc>
          <w:tcPr>
            <w:tcW w:w="2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18</w:t>
            </w:r>
          </w:p>
        </w:tc>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防雨帽</w:t>
            </w:r>
          </w:p>
        </w:tc>
        <w:tc>
          <w:tcPr>
            <w:tcW w:w="25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PVC材质，主要用于对专用通风机的防护。</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个</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w:t>
            </w:r>
          </w:p>
        </w:tc>
        <w:tc>
          <w:tcPr>
            <w:tcW w:w="87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Theme="minorEastAsia" w:hAnsiTheme="minorEastAsia" w:eastAsiaTheme="minorEastAsia" w:cstheme="minorEastAsia"/>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1" w:hRule="atLeast"/>
          <w:jc w:val="center"/>
        </w:trPr>
        <w:tc>
          <w:tcPr>
            <w:tcW w:w="2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19</w:t>
            </w:r>
          </w:p>
        </w:tc>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管卡</w:t>
            </w:r>
          </w:p>
        </w:tc>
        <w:tc>
          <w:tcPr>
            <w:tcW w:w="25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采用不锈钢制作。</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付</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7</w:t>
            </w:r>
          </w:p>
        </w:tc>
        <w:tc>
          <w:tcPr>
            <w:tcW w:w="87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Theme="minorEastAsia" w:hAnsiTheme="minorEastAsia" w:eastAsiaTheme="minorEastAsia" w:cstheme="minorEastAsia"/>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5" w:hRule="atLeast"/>
          <w:jc w:val="center"/>
        </w:trPr>
        <w:tc>
          <w:tcPr>
            <w:tcW w:w="2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20</w:t>
            </w:r>
          </w:p>
        </w:tc>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吊顶调整</w:t>
            </w:r>
          </w:p>
        </w:tc>
        <w:tc>
          <w:tcPr>
            <w:tcW w:w="25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轻钢龙骨，铝方通吊顶拆除，通风设备安装后复原</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平方</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96</w:t>
            </w:r>
          </w:p>
        </w:tc>
        <w:tc>
          <w:tcPr>
            <w:tcW w:w="8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基础设施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jc w:val="center"/>
        </w:trPr>
        <w:tc>
          <w:tcPr>
            <w:tcW w:w="2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21</w:t>
            </w:r>
          </w:p>
        </w:tc>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壁扇</w:t>
            </w:r>
          </w:p>
        </w:tc>
        <w:tc>
          <w:tcPr>
            <w:tcW w:w="25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尺寸：452*310*610mm，电机类型：交流电机，扇叶直径：400mm，最大噪音：68dB，额定功率：60W</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套</w:t>
            </w:r>
          </w:p>
        </w:tc>
        <w:tc>
          <w:tcPr>
            <w:tcW w:w="3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4</w:t>
            </w:r>
          </w:p>
        </w:tc>
        <w:tc>
          <w:tcPr>
            <w:tcW w:w="8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Theme="minorEastAsia" w:hAnsiTheme="minorEastAsia" w:eastAsiaTheme="minorEastAsia" w:cstheme="minorEastAsia"/>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jc w:val="center"/>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D9D9D9"/>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auto"/>
                <w:sz w:val="21"/>
                <w:szCs w:val="21"/>
                <w:highlight w:val="none"/>
                <w:u w:val="none"/>
              </w:rPr>
            </w:pPr>
            <w:r>
              <w:rPr>
                <w:rFonts w:hint="eastAsia" w:asciiTheme="minorEastAsia" w:hAnsiTheme="minorEastAsia" w:eastAsiaTheme="minorEastAsia" w:cstheme="minorEastAsia"/>
                <w:b/>
                <w:bCs/>
                <w:i w:val="0"/>
                <w:iCs w:val="0"/>
                <w:color w:val="auto"/>
                <w:kern w:val="0"/>
                <w:sz w:val="21"/>
                <w:szCs w:val="21"/>
                <w:highlight w:val="none"/>
                <w:u w:val="none"/>
                <w:lang w:val="en-US" w:eastAsia="zh-CN" w:bidi="ar"/>
              </w:rPr>
              <w:t>二层顶装隐藏桥式化学通风实验室（56座）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jc w:val="center"/>
        </w:trPr>
        <w:tc>
          <w:tcPr>
            <w:tcW w:w="2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auto"/>
                <w:sz w:val="21"/>
                <w:szCs w:val="21"/>
                <w:highlight w:val="none"/>
                <w:u w:val="none"/>
              </w:rPr>
            </w:pPr>
            <w:r>
              <w:rPr>
                <w:rFonts w:hint="eastAsia" w:asciiTheme="minorEastAsia" w:hAnsiTheme="minorEastAsia" w:eastAsiaTheme="minorEastAsia" w:cstheme="minorEastAsia"/>
                <w:b/>
                <w:bCs/>
                <w:i w:val="0"/>
                <w:iCs w:val="0"/>
                <w:color w:val="auto"/>
                <w:kern w:val="0"/>
                <w:sz w:val="21"/>
                <w:szCs w:val="21"/>
                <w:highlight w:val="none"/>
                <w:u w:val="none"/>
                <w:lang w:val="en-US" w:eastAsia="zh-CN" w:bidi="ar"/>
              </w:rPr>
              <w:t>序号</w:t>
            </w:r>
          </w:p>
        </w:tc>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auto"/>
                <w:sz w:val="21"/>
                <w:szCs w:val="21"/>
                <w:highlight w:val="none"/>
                <w:u w:val="none"/>
              </w:rPr>
            </w:pPr>
            <w:r>
              <w:rPr>
                <w:rFonts w:hint="eastAsia" w:asciiTheme="minorEastAsia" w:hAnsiTheme="minorEastAsia" w:eastAsiaTheme="minorEastAsia" w:cstheme="minorEastAsia"/>
                <w:b/>
                <w:bCs/>
                <w:i w:val="0"/>
                <w:iCs w:val="0"/>
                <w:color w:val="auto"/>
                <w:kern w:val="0"/>
                <w:sz w:val="21"/>
                <w:szCs w:val="21"/>
                <w:highlight w:val="none"/>
                <w:u w:val="none"/>
                <w:lang w:val="en-US" w:eastAsia="zh-CN" w:bidi="ar"/>
              </w:rPr>
              <w:t>设备名称</w:t>
            </w:r>
          </w:p>
        </w:tc>
        <w:tc>
          <w:tcPr>
            <w:tcW w:w="25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auto"/>
                <w:sz w:val="21"/>
                <w:szCs w:val="21"/>
                <w:highlight w:val="none"/>
                <w:u w:val="none"/>
              </w:rPr>
            </w:pPr>
            <w:r>
              <w:rPr>
                <w:rFonts w:hint="eastAsia" w:asciiTheme="minorEastAsia" w:hAnsiTheme="minorEastAsia" w:eastAsiaTheme="minorEastAsia" w:cstheme="minorEastAsia"/>
                <w:b/>
                <w:bCs/>
                <w:i w:val="0"/>
                <w:iCs w:val="0"/>
                <w:color w:val="auto"/>
                <w:kern w:val="0"/>
                <w:sz w:val="21"/>
                <w:szCs w:val="21"/>
                <w:highlight w:val="none"/>
                <w:u w:val="none"/>
                <w:lang w:val="en-US" w:eastAsia="zh-CN" w:bidi="ar"/>
              </w:rPr>
              <w:t>规格及技术参数</w:t>
            </w:r>
          </w:p>
        </w:tc>
        <w:tc>
          <w:tcPr>
            <w:tcW w:w="2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auto"/>
                <w:sz w:val="21"/>
                <w:szCs w:val="21"/>
                <w:highlight w:val="none"/>
                <w:u w:val="none"/>
              </w:rPr>
            </w:pPr>
            <w:r>
              <w:rPr>
                <w:rFonts w:hint="eastAsia" w:asciiTheme="minorEastAsia" w:hAnsiTheme="minorEastAsia" w:eastAsiaTheme="minorEastAsia" w:cstheme="minorEastAsia"/>
                <w:b/>
                <w:bCs/>
                <w:i w:val="0"/>
                <w:iCs w:val="0"/>
                <w:color w:val="auto"/>
                <w:kern w:val="0"/>
                <w:sz w:val="21"/>
                <w:szCs w:val="21"/>
                <w:highlight w:val="none"/>
                <w:u w:val="none"/>
                <w:lang w:val="en-US" w:eastAsia="zh-CN" w:bidi="ar"/>
              </w:rPr>
              <w:t>单位</w:t>
            </w:r>
          </w:p>
        </w:tc>
        <w:tc>
          <w:tcPr>
            <w:tcW w:w="3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auto"/>
                <w:sz w:val="21"/>
                <w:szCs w:val="21"/>
                <w:highlight w:val="none"/>
                <w:u w:val="none"/>
              </w:rPr>
            </w:pPr>
            <w:r>
              <w:rPr>
                <w:rFonts w:hint="eastAsia" w:asciiTheme="minorEastAsia" w:hAnsiTheme="minorEastAsia" w:eastAsiaTheme="minorEastAsia" w:cstheme="minorEastAsia"/>
                <w:b/>
                <w:bCs/>
                <w:i w:val="0"/>
                <w:iCs w:val="0"/>
                <w:color w:val="auto"/>
                <w:kern w:val="0"/>
                <w:sz w:val="21"/>
                <w:szCs w:val="21"/>
                <w:highlight w:val="none"/>
                <w:u w:val="none"/>
                <w:lang w:val="en-US" w:eastAsia="zh-CN" w:bidi="ar"/>
              </w:rPr>
              <w:t>数量</w:t>
            </w:r>
          </w:p>
        </w:tc>
        <w:tc>
          <w:tcPr>
            <w:tcW w:w="8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auto"/>
                <w:sz w:val="21"/>
                <w:szCs w:val="21"/>
                <w:highlight w:val="none"/>
                <w:u w:val="none"/>
              </w:rPr>
            </w:pPr>
            <w:r>
              <w:rPr>
                <w:rFonts w:hint="eastAsia" w:asciiTheme="minorEastAsia" w:hAnsiTheme="minorEastAsia" w:eastAsiaTheme="minorEastAsia" w:cstheme="minorEastAsia"/>
                <w:b/>
                <w:bCs/>
                <w:i w:val="0"/>
                <w:iCs w:val="0"/>
                <w:color w:val="auto"/>
                <w:kern w:val="0"/>
                <w:sz w:val="21"/>
                <w:szCs w:val="21"/>
                <w:highlight w:val="none"/>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47" w:hRule="atLeast"/>
          <w:jc w:val="center"/>
        </w:trPr>
        <w:tc>
          <w:tcPr>
            <w:tcW w:w="2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w:t>
            </w:r>
          </w:p>
        </w:tc>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b w:val="0"/>
                <w:bCs w:val="0"/>
                <w:i w:val="0"/>
                <w:iCs w:val="0"/>
                <w:color w:val="auto"/>
                <w:kern w:val="0"/>
                <w:sz w:val="21"/>
                <w:szCs w:val="21"/>
                <w:highlight w:val="none"/>
                <w:u w:val="none"/>
                <w:lang w:val="en-US" w:eastAsia="zh-CN" w:bidi="ar"/>
              </w:rPr>
              <w:t>多媒体系统</w:t>
            </w:r>
          </w:p>
        </w:tc>
        <w:tc>
          <w:tcPr>
            <w:tcW w:w="2592"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b/>
                <w:bCs/>
                <w:i w:val="0"/>
                <w:iCs w:val="0"/>
                <w:color w:val="auto"/>
                <w:kern w:val="0"/>
                <w:sz w:val="21"/>
                <w:szCs w:val="21"/>
                <w:highlight w:val="none"/>
                <w:u w:val="none"/>
                <w:lang w:val="en-US" w:eastAsia="zh-CN" w:bidi="ar"/>
              </w:rPr>
              <w:t>一体机：</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一、整机要求</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1.整机采用一体设计，部无任何可见内部功能模块连接线，整机采用86英寸超高清LED液晶屏，采用全物理钢化玻璃，钢化玻璃表面硬度≥9H。</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2.整机采用DC调光方式提升显示对比度，采用硬件低蓝光技术达到蓝光占比＜50%。（提供国家认可的具备CMA认证的检测机构所出具的检测报告复印件并加盖投标人公章）</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3.为防止声音传播收到障碍物阻挡，整机扬声器采用顶置发声设计，位于设备上边框，总功率≥60W，声道≥2.2。（提供国家认可的具备CMA认证的检测机构所出具的检测报告复印件并加盖投标人公章）</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4.整机内置扬声器采用缝隙发声技术，喇叭采用槽式开口设计，不大于6mm。</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5.整机内置4阵列麦克风，可用于对教室环境音频进行采集，拾音距离≥12m。（提供国家认可的具备CMA认证的检测机构所出具的检测报告复印件并加盖投标人公章）</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6.整机上边框内置非独立摄像头，采用一体化集成设计，可拍摄≥1300万像素的照片，视场角≥120度，可支持学校实现色温检测判断及远程巡课等功能操作。（提供国家认可的具备CMA认证的检测机构所出具的检测报告复印件并加盖投标人公章）</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7.为确保日常无线使用稳定，整机内置双WiFi6无线网卡（不接受外接），Wi-Fi制式支持IEEE 802.11 a/b/g/n/ac/ax；支持版本Wi-Fi6或以上。（提供国家认可的具备CMA认证的检测机构所出具的检测报告复印件并加盖投标人公章）</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8.整机支持蓝牙Bluetooth 5.4或以上标准。（提供国家认可的具备CMA认证的检测机构所出具的检测报告复印件并加盖投标人公章）</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9.嵌入式系统版本不低于Android 13，内存≥2GB，存储空间≥8GB。（提供国家认可的具备CMA认证的检测机构所出具的检测报告复印件并加盖投标人公章）</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★10.采用红外触控方式， Windows系统及Android系统中均支持进行40点或以上触控，书写延迟≤26ms。（提供国家认可的具备CMA认证的检测机构所出具的检测报告复印件并加盖投标人公章）</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11.电脑模块搭载Intel酷睿系列i5或以上CPU，配置8GB DDR4或以上内存，配置256 GB或以上SSD固态硬盘。和整机的连接采用万兆级接口，传输速率≥10Gbps。</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二、功能要求</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1.整机具备至少6个前置按键，可实现开关机、调出中控菜单、音量+/-、护眼、录屏操作。</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符合学校个性化需求，设备多个前置按键支持自定义设置，可设置启用批注、截屏、计时、降半屏、放大镜、倒数日、纸质护眼模式、课堂智能反馈等功能。（提供国家认可的具备CMA认证的检测机构所出具的检测报告复印件并加盖投标人公章）</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3.整机内置中控菜单及侧边栏菜单，方便教师进行应用切换、信号源通道切换、教学工具调用、整机调节等操作。</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4.整机系统支持人工智能画质调节模式，启用后当屏幕出现人物、建筑、夜景等元素时，自动调整画质参数；支持人工智能空间感知音效模式，通过内置麦克风采集环境声音自动生成符合当前环境的音量、音效。（提供国家认可的具备CMA认证的检测机构所出具的检测报告复印件并加盖投标人公章）</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5.整机支持纸质护眼模式，可实现画面纹理的实时调整；支持纸质纹理：水彩纸、水纹纸、素描纸、宣纸、牛皮纸等。（提供国家认可的具备CMA认证的检测机构所出具的检测报告复印件并加盖投标人公章）</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6.整机支持通过人脸识别进行登录账号。（提供国家认可的具备CMA认证的检测机构所出具的检测报告复印件并加盖投标人公章）</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7.整机具备智能手势识别功能，可识别五指上、下、左、右、画 O、画~、左右晃动、缩/放等手势滑动并调用相应功能，支持将各手势滑动方向自定义设置为无操作、熄屏、批注、桌面、半屏模式。（提供国家认可的具备CMA认证的检测机构所出具的检测报告复印件并加盖投标人公章）</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8.整机触控书写功能集成预测算法，在书写速度≥40cm/s时笔迹距离笔的距离小于20mm。（提供国家认可的具备CMA认证的检测机构所出具的检测报告复印件并加盖投标人公章）</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9.优化书写体验，整机支持提笔书写及手笔分离功能，例如当检测到触控笔笔尖接触屏幕时，自动进入书写模式，使用笔可正常书写，而使用手指可以点击操作。</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10.整机触摸支持动态压力感应，支持普通书写笔（无任何电子功能）在整机上书写或点压时，笔迹呈现不同粗细。（提供国家认可的具备CMA认证的检测机构所出具的检测报告复印件并加盖投标人公章）</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11.整机内置传屏接收模块，整机不需要连接任何附加设备，可实现外部电脑、手机等设备的音视频信号实时传输到整机上。</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12.为了简化教师操作流程，整机支持发出超声波信号，智能手机通过麦克风接收后实现配对，一键投屏，用户无需手动输入或扫码等繁琐操作。（提供国家认可的具备CMA认证的检测机构所出具的检测报告复印件并加盖投标人公章）</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13.整机Windows通道支持文件传输功能，连接方式支持超声及WiFi 直连方式，传输方式支持公网传输及WiFi 直连传输。（提供国家认可的具备CMA认证的检测机构所出具的检测报告复印件并加盖投标人公章）</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14.整机设备开机启动后，自动进入教学桌面，支持账号登录、退出，自动获取个人云端教学课件列表，并可进入全部课件列表。（提供国家认可的具备CMA认证的检测机构所出具的检测报告复印件并加盖投标人公章）</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★15.为提升校园灾害预警能力，整机设备支持地震预警，支持校方在地震预警页面中获取位置、选择提醒阈值。（提供国家认可的具备CMA认证的检测机构所出具的检测报告复印件并加盖投标人公章）</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16.整机关机状态下，通过长按电源键进入设置界面后，可点击屏幕选择恢复Android系统及Windows操作系统到出厂默认状态，无需额外工具辅助。</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17.整机内置专业硬件自检维护工具（非第三方工具），支持对整机内部的板卡及部件模块进行故障检测、系统还原功能。</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b/>
                <w:bCs/>
                <w:i w:val="0"/>
                <w:iCs w:val="0"/>
                <w:color w:val="auto"/>
                <w:kern w:val="0"/>
                <w:sz w:val="21"/>
                <w:szCs w:val="21"/>
                <w:highlight w:val="none"/>
                <w:u w:val="none"/>
                <w:lang w:val="en-US" w:eastAsia="zh-CN" w:bidi="ar"/>
              </w:rPr>
              <w:t>智慧光能黑板：1290（长）*1158（高）mm</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一、硬件要求</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1.整体结构上采取左、右光能黑板+中间触控一体机的组合方式。单块光能教学板产品尺寸≥1290（长）*1158（高）mm。一套2块；</w:t>
            </w:r>
          </w:p>
          <w:p>
            <w:pPr>
              <w:keepNext w:val="0"/>
              <w:keepLines w:val="0"/>
              <w:widowControl/>
              <w:numPr>
                <w:ilvl w:val="0"/>
                <w:numId w:val="0"/>
              </w:numPr>
              <w:suppressLineNumbers w:val="0"/>
              <w:ind w:left="0" w:leftChars="0" w:firstLine="0" w:firstLineChars="0"/>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lang w:val="en-US" w:eastAsia="zh-CN" w:bidi="ar"/>
              </w:rPr>
              <w:t>2.</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光能黑板依靠压力改变液晶分子排布，使用任何硬度适中的物体均可书写，无需任何耗材，杜绝粉尘污染，消除粉尘对老师和学生构成的健康危害。</w:t>
            </w:r>
          </w:p>
          <w:p>
            <w:pPr>
              <w:keepNext w:val="0"/>
              <w:keepLines w:val="0"/>
              <w:widowControl/>
              <w:numPr>
                <w:ilvl w:val="0"/>
                <w:numId w:val="0"/>
              </w:numPr>
              <w:suppressLineNumbers w:val="0"/>
              <w:ind w:left="0" w:leftChars="0" w:firstLine="0" w:firstLineChars="0"/>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lang w:val="en-US" w:eastAsia="zh-CN" w:bidi="ar"/>
              </w:rPr>
              <w:t>3.</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自然光照射下反射固定波段的光源显示字迹，非背光呈像或投影呈像，长时间观看眼睛不易疲劳，呵护视力。</w:t>
            </w:r>
          </w:p>
          <w:p>
            <w:pPr>
              <w:keepNext w:val="0"/>
              <w:keepLines w:val="0"/>
              <w:widowControl/>
              <w:numPr>
                <w:ilvl w:val="0"/>
                <w:numId w:val="0"/>
              </w:numPr>
              <w:suppressLineNumbers w:val="0"/>
              <w:ind w:left="0" w:leftChars="0" w:firstLine="0" w:firstLineChars="0"/>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lang w:val="en-US" w:eastAsia="zh-CN" w:bidi="ar"/>
              </w:rPr>
              <w:t>4.</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书写笔迹可视距离30米。（提供国家认可CMA &amp; CNAS资质的第三方检测报告复印件并加盖投标人公章）；</w:t>
            </w:r>
          </w:p>
          <w:p>
            <w:pPr>
              <w:keepNext w:val="0"/>
              <w:keepLines w:val="0"/>
              <w:widowControl/>
              <w:numPr>
                <w:ilvl w:val="0"/>
                <w:numId w:val="0"/>
              </w:numPr>
              <w:suppressLineNumbers w:val="0"/>
              <w:ind w:left="0" w:leftChars="0" w:firstLine="0" w:firstLineChars="0"/>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lang w:val="en-US" w:eastAsia="zh-CN" w:bidi="ar"/>
              </w:rPr>
              <w:t>5.</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光能智慧黑板光泽度不高于25。（提供国家认可CMA &amp; CNAS资质的第三方检测报告复印件并加盖投标人公章）；</w:t>
            </w:r>
          </w:p>
          <w:p>
            <w:pPr>
              <w:keepNext w:val="0"/>
              <w:keepLines w:val="0"/>
              <w:widowControl/>
              <w:numPr>
                <w:ilvl w:val="0"/>
                <w:numId w:val="0"/>
              </w:numPr>
              <w:suppressLineNumbers w:val="0"/>
              <w:ind w:left="0" w:leftChars="0" w:firstLine="0" w:firstLineChars="0"/>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lang w:val="en-US" w:eastAsia="zh-CN" w:bidi="ar"/>
              </w:rPr>
              <w:t>6.</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一键擦除：光能板正面配有一个擦除按键，按下瞬间清除黑板字迹，减少师生擦拭黑板负担。</w:t>
            </w:r>
          </w:p>
          <w:p>
            <w:pPr>
              <w:keepNext w:val="0"/>
              <w:keepLines w:val="0"/>
              <w:widowControl/>
              <w:numPr>
                <w:ilvl w:val="0"/>
                <w:numId w:val="0"/>
              </w:numPr>
              <w:suppressLineNumbers w:val="0"/>
              <w:ind w:leftChars="0"/>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★7.局部擦除：可使用板擦和手势对错误字迹进行局部擦除，擦除精度方格小于1cm*1cm。光能板具有独立供电装置，可在液晶屏关机的情况下独立使用，不影响局擦功能。</w:t>
            </w:r>
          </w:p>
          <w:p>
            <w:pPr>
              <w:keepNext w:val="0"/>
              <w:keepLines w:val="0"/>
              <w:widowControl/>
              <w:numPr>
                <w:ilvl w:val="0"/>
                <w:numId w:val="0"/>
              </w:numPr>
              <w:suppressLineNumbers w:val="0"/>
              <w:ind w:left="0" w:leftChars="0" w:firstLine="0" w:firstLineChars="0"/>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lang w:val="en-US" w:eastAsia="zh-CN" w:bidi="ar"/>
              </w:rPr>
              <w:t>8.</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书写及显示过程无需任何电量，仅擦除时消耗微弱电量；内置可拆卸18650型号充电锂电池，电池容量≥2600mAh（提供国家认可的CNAS和CMA资质第三方检测报告复印件并加盖投标人公章），在停电情况下仍可进行擦除。</w:t>
            </w:r>
          </w:p>
          <w:p>
            <w:pPr>
              <w:keepNext w:val="0"/>
              <w:keepLines w:val="0"/>
              <w:widowControl/>
              <w:numPr>
                <w:ilvl w:val="0"/>
                <w:numId w:val="0"/>
              </w:numPr>
              <w:suppressLineNumbers w:val="0"/>
              <w:ind w:leftChars="0"/>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9.采用一体式按键指示灯，可通过不同颜色、闪烁等方式表示擦除、电量不足等工作状态。</w:t>
            </w:r>
          </w:p>
          <w:p>
            <w:pPr>
              <w:keepNext w:val="0"/>
              <w:keepLines w:val="0"/>
              <w:widowControl/>
              <w:numPr>
                <w:ilvl w:val="0"/>
                <w:numId w:val="0"/>
              </w:numPr>
              <w:suppressLineNumbers w:val="0"/>
              <w:ind w:leftChars="0"/>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10.配备专用书写工具，贴合教师书写习惯。</w:t>
            </w:r>
          </w:p>
          <w:p>
            <w:pPr>
              <w:keepNext w:val="0"/>
              <w:keepLines w:val="0"/>
              <w:widowControl/>
              <w:numPr>
                <w:ilvl w:val="0"/>
                <w:numId w:val="0"/>
              </w:numPr>
              <w:suppressLineNumbers w:val="0"/>
              <w:ind w:leftChars="0"/>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11.边框采用铝合金材质，坚固耐用，具有较好的耐腐蚀特性，延长了产品使用寿命。</w:t>
            </w:r>
          </w:p>
          <w:p>
            <w:pPr>
              <w:keepNext w:val="0"/>
              <w:keepLines w:val="0"/>
              <w:widowControl/>
              <w:numPr>
                <w:ilvl w:val="0"/>
                <w:numId w:val="0"/>
              </w:numPr>
              <w:suppressLineNumbers w:val="0"/>
              <w:ind w:leftChars="0"/>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12.下边框设计调节托板，高度可随所配液晶大屏高度进行调节，确保与液晶大屏高度一致，也可打开做为置物托板使用。</w:t>
            </w:r>
          </w:p>
          <w:p>
            <w:pPr>
              <w:keepNext w:val="0"/>
              <w:keepLines w:val="0"/>
              <w:widowControl/>
              <w:numPr>
                <w:ilvl w:val="0"/>
                <w:numId w:val="0"/>
              </w:numPr>
              <w:suppressLineNumbers w:val="0"/>
              <w:ind w:leftChars="0"/>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13.每块光能黑板具备DC接口*2和USB接口*2，方便用户使用。</w:t>
            </w:r>
          </w:p>
          <w:p>
            <w:pPr>
              <w:keepNext w:val="0"/>
              <w:keepLines w:val="0"/>
              <w:widowControl/>
              <w:numPr>
                <w:ilvl w:val="0"/>
                <w:numId w:val="0"/>
              </w:numPr>
              <w:suppressLineNumbers w:val="0"/>
              <w:ind w:leftChars="0"/>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14.设计简洁，每块光能黑板物理按键不可超出一个，方便操作。 </w:t>
            </w:r>
          </w:p>
          <w:p>
            <w:pPr>
              <w:keepNext w:val="0"/>
              <w:keepLines w:val="0"/>
              <w:widowControl/>
              <w:numPr>
                <w:ilvl w:val="0"/>
                <w:numId w:val="0"/>
              </w:numPr>
              <w:suppressLineNumbers w:val="0"/>
              <w:ind w:leftChars="0"/>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15.采用挂接的安装方式，杜绝外部大框安装，装卸方便，后期易维护。安装后可对倾斜角度进行微调，确保黑板与液晶大屏呈水平状态。采用双螺丝快拆设计，维护方便快速。</w:t>
            </w:r>
          </w:p>
          <w:p>
            <w:pPr>
              <w:keepNext w:val="0"/>
              <w:keepLines w:val="0"/>
              <w:widowControl/>
              <w:numPr>
                <w:ilvl w:val="0"/>
                <w:numId w:val="0"/>
              </w:numPr>
              <w:suppressLineNumbers w:val="0"/>
              <w:ind w:leftChars="0"/>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二、软件要求</w:t>
            </w:r>
          </w:p>
          <w:p>
            <w:pPr>
              <w:keepNext w:val="0"/>
              <w:keepLines w:val="0"/>
              <w:widowControl/>
              <w:numPr>
                <w:ilvl w:val="0"/>
                <w:numId w:val="0"/>
              </w:numPr>
              <w:suppressLineNumbers w:val="0"/>
              <w:ind w:leftChars="0"/>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1.同步互联：左、右光能黑板可与触控一体机进行互动，将光能黑板的内容与触控一体机无缝连接，教师在光能黑板上的书写内容可同步显示在触控一体机上。</w:t>
            </w:r>
          </w:p>
          <w:p>
            <w:pPr>
              <w:keepNext w:val="0"/>
              <w:keepLines w:val="0"/>
              <w:widowControl/>
              <w:numPr>
                <w:ilvl w:val="0"/>
                <w:numId w:val="0"/>
              </w:numPr>
              <w:suppressLineNumbers w:val="0"/>
              <w:ind w:leftChars="0"/>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2.颜色切换：可设置不同的软件端笔迹颜色，可实现老师对于教学重点的标识及批注；</w:t>
            </w:r>
          </w:p>
          <w:p>
            <w:pPr>
              <w:keepNext w:val="0"/>
              <w:keepLines w:val="0"/>
              <w:widowControl/>
              <w:numPr>
                <w:ilvl w:val="0"/>
                <w:numId w:val="0"/>
              </w:numPr>
              <w:suppressLineNumbers w:val="0"/>
              <w:ind w:leftChars="0"/>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3.板书记录：可同步传输老师的板书到软件界面；按下清除键后，板面和软件端的笔迹均可以被清除；点击“前一页”可找回清除掉的板书；</w:t>
            </w:r>
          </w:p>
          <w:p>
            <w:pPr>
              <w:keepNext w:val="0"/>
              <w:keepLines w:val="0"/>
              <w:widowControl/>
              <w:numPr>
                <w:ilvl w:val="0"/>
                <w:numId w:val="0"/>
              </w:numPr>
              <w:suppressLineNumbers w:val="0"/>
              <w:ind w:leftChars="0"/>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4.单双页切换：两种光能黑板的书写记录模式，支持单板书写记录内容为一个单页面，也可以支持双板同时书写时记录在一个页面上；</w:t>
            </w:r>
          </w:p>
          <w:p>
            <w:pPr>
              <w:keepNext w:val="0"/>
              <w:keepLines w:val="0"/>
              <w:widowControl/>
              <w:numPr>
                <w:ilvl w:val="0"/>
                <w:numId w:val="0"/>
              </w:numPr>
              <w:suppressLineNumbers w:val="0"/>
              <w:ind w:leftChars="0"/>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5.桌面切换：黑板书写内容和屏体显示内容可一键切换，不影响老师正常授课操作。</w:t>
            </w:r>
          </w:p>
          <w:p>
            <w:pPr>
              <w:keepNext w:val="0"/>
              <w:keepLines w:val="0"/>
              <w:widowControl/>
              <w:numPr>
                <w:ilvl w:val="0"/>
                <w:numId w:val="0"/>
              </w:numPr>
              <w:suppressLineNumbers w:val="0"/>
              <w:ind w:leftChars="0"/>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6.一键保存：支持将板书内容保存为PDF文档，便于学校对课堂板书的管理和传递。无需花费时间找存储路径，点击“打开”，直接进入存储位置，快速找到存储文件。</w:t>
            </w:r>
          </w:p>
          <w:p>
            <w:pPr>
              <w:keepNext w:val="0"/>
              <w:keepLines w:val="0"/>
              <w:widowControl/>
              <w:numPr>
                <w:ilvl w:val="0"/>
                <w:numId w:val="0"/>
              </w:numPr>
              <w:suppressLineNumbers w:val="0"/>
              <w:ind w:leftChars="0"/>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提供证书：</w:t>
            </w:r>
          </w:p>
          <w:p>
            <w:pPr>
              <w:keepNext w:val="0"/>
              <w:keepLines w:val="0"/>
              <w:widowControl/>
              <w:numPr>
                <w:ilvl w:val="0"/>
                <w:numId w:val="0"/>
              </w:numPr>
              <w:suppressLineNumbers w:val="0"/>
              <w:ind w:left="0" w:leftChars="0"/>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lang w:val="en-US" w:eastAsia="zh-CN" w:bidi="ar"/>
              </w:rPr>
              <w:t>1.</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光能黑板生产厂家通过知识产权管理体系认证复印件并加盖投标人公章。</w:t>
            </w: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★2.光能黑板通过中国环境标志（II型）产品认证复印件并加盖投标人公章。</w:t>
            </w: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投标人需提供视频演示以上：</w:t>
            </w:r>
          </w:p>
          <w:p>
            <w:pPr>
              <w:keepNext w:val="0"/>
              <w:keepLines w:val="0"/>
              <w:widowControl/>
              <w:numPr>
                <w:ilvl w:val="0"/>
                <w:numId w:val="5"/>
              </w:numPr>
              <w:suppressLineNumbers w:val="0"/>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局部擦除功能；</w:t>
            </w: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2.软件要求的同步互联、颜色切换、板书记录、单双页切换、桌面切换、一键保存功能。</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台</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w:t>
            </w:r>
          </w:p>
        </w:tc>
        <w:tc>
          <w:tcPr>
            <w:tcW w:w="8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jc w:val="center"/>
        </w:trPr>
        <w:tc>
          <w:tcPr>
            <w:tcW w:w="24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auto"/>
                <w:sz w:val="21"/>
                <w:szCs w:val="21"/>
                <w:highlight w:val="none"/>
                <w:u w:val="none"/>
                <w:lang w:val="en-US" w:eastAsia="zh-CN"/>
              </w:rPr>
            </w:pPr>
            <w:r>
              <w:rPr>
                <w:rFonts w:hint="eastAsia" w:asciiTheme="minorEastAsia" w:hAnsiTheme="minorEastAsia" w:eastAsiaTheme="minorEastAsia" w:cstheme="minorEastAsia"/>
                <w:i w:val="0"/>
                <w:iCs w:val="0"/>
                <w:color w:val="auto"/>
                <w:sz w:val="21"/>
                <w:szCs w:val="21"/>
                <w:highlight w:val="none"/>
                <w:u w:val="none"/>
                <w:lang w:val="en-US" w:eastAsia="zh-CN"/>
              </w:rPr>
              <w:t>2</w:t>
            </w:r>
          </w:p>
        </w:tc>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演示台</w:t>
            </w:r>
          </w:p>
        </w:tc>
        <w:tc>
          <w:tcPr>
            <w:tcW w:w="2592"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规格2400*700*850mm，三楼演示台拆装到二楼实验室，含搬运</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台</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w:t>
            </w:r>
          </w:p>
        </w:tc>
        <w:tc>
          <w:tcPr>
            <w:tcW w:w="8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jc w:val="center"/>
        </w:trPr>
        <w:tc>
          <w:tcPr>
            <w:tcW w:w="2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w:t>
            </w:r>
          </w:p>
        </w:tc>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无线实验微课同屏仪</w:t>
            </w:r>
          </w:p>
        </w:tc>
        <w:tc>
          <w:tcPr>
            <w:tcW w:w="25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lang w:val="en-US" w:eastAsia="zh-CN" w:bidi="ar"/>
              </w:rPr>
              <w:t>1.</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像素：800万自动对焦（分辨率3264*2448）；</w:t>
            </w:r>
          </w:p>
          <w:p>
            <w:pPr>
              <w:keepNext w:val="0"/>
              <w:keepLines w:val="0"/>
              <w:widowControl/>
              <w:numPr>
                <w:ilvl w:val="0"/>
                <w:numId w:val="0"/>
              </w:numPr>
              <w:suppressLineNumbers w:val="0"/>
              <w:ind w:left="0" w:leftChars="0" w:firstLine="0" w:firstLineChars="0"/>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lang w:val="en-US" w:eastAsia="zh-CN" w:bidi="ar"/>
              </w:rPr>
              <w:t>2.</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帧数：无线720P和1080P不低于25帧/秒；</w:t>
            </w:r>
          </w:p>
          <w:p>
            <w:pPr>
              <w:keepNext w:val="0"/>
              <w:keepLines w:val="0"/>
              <w:widowControl/>
              <w:numPr>
                <w:ilvl w:val="0"/>
                <w:numId w:val="0"/>
              </w:numPr>
              <w:suppressLineNumbers w:val="0"/>
              <w:ind w:leftChars="0"/>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3.最大拍摄幅面：最大拍摄幅面A2，最短拍摄距离8cm。</w:t>
            </w:r>
          </w:p>
          <w:p>
            <w:pPr>
              <w:keepNext w:val="0"/>
              <w:keepLines w:val="0"/>
              <w:widowControl/>
              <w:numPr>
                <w:ilvl w:val="0"/>
                <w:numId w:val="0"/>
              </w:numPr>
              <w:suppressLineNumbers w:val="0"/>
              <w:ind w:leftChars="0"/>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4.万向软管式设计，任意方向可调。可以微距显示（拍摄清楚线路板IC型号）也可以拍摄超大A2幅面(拍摄大场面实训，创客场景）。</w:t>
            </w:r>
          </w:p>
          <w:p>
            <w:pPr>
              <w:keepNext w:val="0"/>
              <w:keepLines w:val="0"/>
              <w:widowControl/>
              <w:numPr>
                <w:ilvl w:val="0"/>
                <w:numId w:val="0"/>
              </w:numPr>
              <w:suppressLineNumbers w:val="0"/>
              <w:ind w:leftChars="0"/>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5.插拔式底座双用，底座和机身可分离，分离后产品可以夹于桌边。</w:t>
            </w:r>
          </w:p>
          <w:p>
            <w:pPr>
              <w:keepNext w:val="0"/>
              <w:keepLines w:val="0"/>
              <w:widowControl/>
              <w:numPr>
                <w:ilvl w:val="0"/>
                <w:numId w:val="0"/>
              </w:numPr>
              <w:suppressLineNumbers w:val="0"/>
              <w:ind w:leftChars="0"/>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6.图片格式JPG,BMP,PNG,GIF,TIF，视频格式MP4。</w:t>
            </w:r>
          </w:p>
          <w:p>
            <w:pPr>
              <w:keepNext w:val="0"/>
              <w:keepLines w:val="0"/>
              <w:widowControl/>
              <w:numPr>
                <w:ilvl w:val="0"/>
                <w:numId w:val="0"/>
              </w:numPr>
              <w:suppressLineNumbers w:val="0"/>
              <w:ind w:leftChars="0"/>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7. 连接方式：支持无线WIFI多点连接，无线传输频率300M/S</w:t>
            </w:r>
          </w:p>
          <w:p>
            <w:pPr>
              <w:keepNext w:val="0"/>
              <w:keepLines w:val="0"/>
              <w:widowControl/>
              <w:numPr>
                <w:ilvl w:val="0"/>
                <w:numId w:val="0"/>
              </w:numPr>
              <w:suppressLineNumbers w:val="0"/>
              <w:ind w:leftChars="0"/>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8.光源：触摸式三级补光灯</w:t>
            </w:r>
          </w:p>
          <w:p>
            <w:pPr>
              <w:keepNext w:val="0"/>
              <w:keepLines w:val="0"/>
              <w:widowControl/>
              <w:numPr>
                <w:ilvl w:val="0"/>
                <w:numId w:val="0"/>
              </w:numPr>
              <w:suppressLineNumbers w:val="0"/>
              <w:ind w:leftChars="0"/>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二、软件功能参数：</w:t>
            </w:r>
          </w:p>
          <w:p>
            <w:pPr>
              <w:keepNext w:val="0"/>
              <w:keepLines w:val="0"/>
              <w:widowControl/>
              <w:numPr>
                <w:ilvl w:val="0"/>
                <w:numId w:val="0"/>
              </w:numPr>
              <w:suppressLineNumbers w:val="0"/>
              <w:ind w:leftChars="0"/>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1.支持笔记本、台式机、平板电脑、智能手机、一体机、电子白板同时无线接入观看实物展示；同时连接设备数量不低于5个，无线传输距离可达50米。</w:t>
            </w:r>
          </w:p>
          <w:p>
            <w:pPr>
              <w:keepNext w:val="0"/>
              <w:keepLines w:val="0"/>
              <w:widowControl/>
              <w:numPr>
                <w:ilvl w:val="0"/>
                <w:numId w:val="0"/>
              </w:numPr>
              <w:suppressLineNumbers w:val="0"/>
              <w:ind w:leftChars="0"/>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2.提供对比教学和实物展示功能，支持2、4画面同屏展示进行对比教学。</w:t>
            </w:r>
          </w:p>
          <w:p>
            <w:pPr>
              <w:keepNext w:val="0"/>
              <w:keepLines w:val="0"/>
              <w:widowControl/>
              <w:numPr>
                <w:ilvl w:val="0"/>
                <w:numId w:val="0"/>
              </w:numPr>
              <w:suppressLineNumbers w:val="0"/>
              <w:ind w:leftChars="0"/>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3.支持一体机或电脑使用本软件时，不影响一体机或电脑与外部网络连接。</w:t>
            </w:r>
          </w:p>
          <w:p>
            <w:pPr>
              <w:keepNext w:val="0"/>
              <w:keepLines w:val="0"/>
              <w:widowControl/>
              <w:numPr>
                <w:ilvl w:val="0"/>
                <w:numId w:val="0"/>
              </w:numPr>
              <w:suppressLineNumbers w:val="0"/>
              <w:ind w:leftChars="0"/>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4.支持Windows、MAC OS系统使用，其中MAC OS运行的教学软件支持实时视频展示、图片任意角度旋转、图片缩放、图片拍照、实时音视频录制等教学功能。</w:t>
            </w:r>
          </w:p>
          <w:p>
            <w:pPr>
              <w:keepNext w:val="0"/>
              <w:keepLines w:val="0"/>
              <w:widowControl/>
              <w:numPr>
                <w:ilvl w:val="0"/>
                <w:numId w:val="0"/>
              </w:numPr>
              <w:suppressLineNumbers w:val="0"/>
              <w:ind w:leftChars="0"/>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5.支持与安卓、苹果手机和安卓平板相连，可同步拍摄教学资料、试卷和实物，录制教学视频与微课。</w:t>
            </w:r>
          </w:p>
          <w:p>
            <w:pPr>
              <w:keepNext w:val="0"/>
              <w:keepLines w:val="0"/>
              <w:widowControl/>
              <w:numPr>
                <w:ilvl w:val="0"/>
                <w:numId w:val="0"/>
              </w:numPr>
              <w:suppressLineNumbers w:val="0"/>
              <w:ind w:leftChars="0"/>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6.支持电子白板讲解批注功能，可以画线、手写、黑板擦可鼠标滚动缩放。可以随时拍照、录像，对展示和批注内容保存。</w:t>
            </w:r>
          </w:p>
          <w:p>
            <w:pPr>
              <w:keepNext w:val="0"/>
              <w:keepLines w:val="0"/>
              <w:widowControl/>
              <w:numPr>
                <w:ilvl w:val="0"/>
                <w:numId w:val="0"/>
              </w:numPr>
              <w:suppressLineNumbers w:val="0"/>
              <w:ind w:leftChars="0"/>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7.支持电脑屏幕、实物展示的视频录制,支持一键切换桌面和实物展示画面录制成同一个MP4视频文件。</w:t>
            </w:r>
          </w:p>
          <w:p>
            <w:pPr>
              <w:keepNext w:val="0"/>
              <w:keepLines w:val="0"/>
              <w:widowControl/>
              <w:numPr>
                <w:ilvl w:val="0"/>
                <w:numId w:val="0"/>
              </w:numPr>
              <w:suppressLineNumbers w:val="0"/>
              <w:ind w:leftChars="0"/>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8.无线支持多场景微课录制，包括实物展示、分屏对比、电脑屏幕、PPT等内容一次录制成同一个MP4格式的视频文件，无须二次转换格式。</w:t>
            </w:r>
          </w:p>
          <w:p>
            <w:pPr>
              <w:keepNext w:val="0"/>
              <w:keepLines w:val="0"/>
              <w:widowControl/>
              <w:numPr>
                <w:ilvl w:val="0"/>
                <w:numId w:val="0"/>
              </w:numPr>
              <w:suppressLineNumbers w:val="0"/>
              <w:ind w:leftChars="0"/>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9. 微课录制支持录制、暂停、继续录制、停止等操作。</w:t>
            </w:r>
          </w:p>
          <w:p>
            <w:pPr>
              <w:keepNext w:val="0"/>
              <w:keepLines w:val="0"/>
              <w:widowControl/>
              <w:numPr>
                <w:ilvl w:val="0"/>
                <w:numId w:val="0"/>
              </w:numPr>
              <w:suppressLineNumbers w:val="0"/>
              <w:ind w:leftChars="0"/>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10.双软件：含互动教学软件和微课宝软件。</w:t>
            </w:r>
          </w:p>
          <w:p>
            <w:pPr>
              <w:keepNext w:val="0"/>
              <w:keepLines w:val="0"/>
              <w:widowControl/>
              <w:numPr>
                <w:ilvl w:val="0"/>
                <w:numId w:val="0"/>
              </w:numPr>
              <w:suppressLineNumbers w:val="0"/>
              <w:ind w:leftChars="0"/>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11.支持微课云平台功能，可以直接在软件端登入平台，支持微课上传、下载和在线观看。</w:t>
            </w:r>
          </w:p>
          <w:p>
            <w:pPr>
              <w:keepNext w:val="0"/>
              <w:keepLines w:val="0"/>
              <w:widowControl/>
              <w:numPr>
                <w:ilvl w:val="0"/>
                <w:numId w:val="0"/>
              </w:numPr>
              <w:suppressLineNumbers w:val="0"/>
              <w:ind w:leftChars="0"/>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12．支持微课编辑功能：可以对录制的微课添加片头、片尾、水印、字幕等；</w:t>
            </w:r>
          </w:p>
          <w:p>
            <w:pPr>
              <w:keepNext w:val="0"/>
              <w:keepLines w:val="0"/>
              <w:widowControl/>
              <w:numPr>
                <w:ilvl w:val="0"/>
                <w:numId w:val="0"/>
              </w:numPr>
              <w:suppressLineNumbers w:val="0"/>
              <w:ind w:leftChars="0"/>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13.可以对微课任意位置的视频剪切，且剪切后的画面可恢复。也可以对微课任意位置的音频配音，且配音后原音频可恢复。对编辑后微课一键生成视频文档。</w:t>
            </w:r>
          </w:p>
          <w:p>
            <w:pPr>
              <w:keepNext w:val="0"/>
              <w:keepLines w:val="0"/>
              <w:widowControl/>
              <w:numPr>
                <w:ilvl w:val="0"/>
                <w:numId w:val="0"/>
              </w:numPr>
              <w:suppressLineNumbers w:val="0"/>
              <w:ind w:leftChars="0"/>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14.支持微课录制完成后，可根据微课语音中的普通话转化成声音同步的字幕。</w:t>
            </w:r>
          </w:p>
          <w:p>
            <w:pPr>
              <w:keepNext w:val="0"/>
              <w:keepLines w:val="0"/>
              <w:widowControl/>
              <w:numPr>
                <w:ilvl w:val="0"/>
                <w:numId w:val="0"/>
              </w:numPr>
              <w:suppressLineNumbers w:val="0"/>
              <w:ind w:leftChars="0"/>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15.支持片头、片尾和水印模板自定义管理，支持片头、片尾、水印自定义文字大小、颜色、透明度，并可通过拖动鼠标来改变文字位置和大小。定义的模板可自动显示有视频编辑模块中。</w:t>
            </w:r>
          </w:p>
          <w:p>
            <w:pPr>
              <w:keepNext w:val="0"/>
              <w:keepLines w:val="0"/>
              <w:widowControl/>
              <w:numPr>
                <w:ilvl w:val="0"/>
                <w:numId w:val="0"/>
              </w:numPr>
              <w:suppressLineNumbers w:val="0"/>
              <w:ind w:leftChars="0"/>
              <w:jc w:val="left"/>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16.支持内容分类管理，系统自动按照图片、微课、文档等分类存档，微课按生成的日期自动归档，可以对图片、视频、文档分类查看，微课可在类目下按日期查看，方便文件管理和查找。</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台</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w:t>
            </w:r>
          </w:p>
        </w:tc>
        <w:tc>
          <w:tcPr>
            <w:tcW w:w="87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Theme="minorEastAsia" w:hAnsiTheme="minorEastAsia" w:eastAsiaTheme="minorEastAsia" w:cstheme="minorEastAsia"/>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jc w:val="center"/>
        </w:trPr>
        <w:tc>
          <w:tcPr>
            <w:tcW w:w="2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4</w:t>
            </w:r>
          </w:p>
        </w:tc>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b/>
                <w:bCs/>
                <w:i w:val="0"/>
                <w:iCs w:val="0"/>
                <w:color w:val="auto"/>
                <w:kern w:val="0"/>
                <w:sz w:val="21"/>
                <w:szCs w:val="21"/>
                <w:highlight w:val="none"/>
                <w:u w:val="none"/>
                <w:lang w:val="en-US" w:eastAsia="zh-CN" w:bidi="ar"/>
              </w:rPr>
              <w:t>化学实验桌</w:t>
            </w:r>
            <w:r>
              <w:rPr>
                <w:rFonts w:hint="eastAsia" w:asciiTheme="minorEastAsia" w:hAnsiTheme="minorEastAsia" w:eastAsiaTheme="minorEastAsia" w:cstheme="minorEastAsia"/>
                <w:b/>
                <w:bCs/>
                <w:i w:val="0"/>
                <w:iCs w:val="0"/>
                <w:color w:val="auto"/>
                <w:kern w:val="0"/>
                <w:sz w:val="21"/>
                <w:szCs w:val="21"/>
                <w:highlight w:val="none"/>
                <w:u w:val="none"/>
                <w:lang w:val="en-US" w:eastAsia="zh-CN" w:bidi="ar"/>
              </w:rPr>
              <w:t>（核心产品）</w:t>
            </w:r>
            <w:r>
              <w:rPr>
                <w:rFonts w:hint="eastAsia" w:asciiTheme="minorEastAsia" w:hAnsiTheme="minorEastAsia" w:eastAsiaTheme="minorEastAsia" w:cstheme="minorEastAsia"/>
                <w:b/>
                <w:bCs/>
                <w:i w:val="0"/>
                <w:iCs w:val="0"/>
                <w:color w:val="auto"/>
                <w:kern w:val="0"/>
                <w:sz w:val="21"/>
                <w:szCs w:val="21"/>
                <w:highlight w:val="none"/>
                <w:u w:val="none"/>
                <w:lang w:val="en-US" w:eastAsia="zh-CN" w:bidi="ar"/>
              </w:rPr>
              <w:t>（带样）</w:t>
            </w:r>
          </w:p>
        </w:tc>
        <w:tc>
          <w:tcPr>
            <w:tcW w:w="25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lang w:val="en-US" w:eastAsia="zh-CN" w:bidi="ar"/>
              </w:rPr>
              <w:t>1.</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尺寸：1200*600*780，台面：采用20mm湖蓝色陶瓷板，耐酸碱，表面哑光，不反光防滑； </w:t>
            </w: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lang w:val="en-US" w:eastAsia="zh-CN" w:bidi="ar"/>
              </w:rPr>
              <w:t>2.</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框架：采用C字形结构；</w:t>
            </w: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3.前横梁：采用60*38mm 铝型材拉伸成型，正前方下端口向上倾斜，预留与上支撑架锁紧螺丝口；</w:t>
            </w: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4.中横梁：采用20*20mm 钢质抗弯加固条；</w:t>
            </w: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5.后横梁：采用110*30mm铝型材拉伸成型，预留有与上支撑架锁紧螺丝口；</w:t>
            </w: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6.后挡板：采用86*12mm铝型材整体拉伸成型，与左右支撑架组成半包形围栏，预留与面板匹配的卡槽，顶端高出台面60mm，可有效防止台面仪器向后滚落。</w:t>
            </w: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7.桌腿由上支撑架、支撑立柱、下支撑脚和可调地脚组成C字形；</w:t>
            </w: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7.1上支撑架：采用 585*195*50mm铝压铸一次性成型，配有255*75mm倾斜式半包形围栏，内侧镶嵌有工程塑料装饰盖，两侧弧形圆角，弧度和立柱的弧度吻合，左右两侧预留安装220V多功能插座位置。</w:t>
            </w: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7.2支撑立柱：采用150x50mm铝型材拉伸成型，内置加强筋，外侧带有弧形圆角，</w:t>
            </w: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7.3下支撑脚：采用 570*130*50mm铝压铸一次性成型，外侧与前端弧形圆角，弧度和立柱的弧度吻合，前后带有与地面固定的螺丝孔，带塑料装饰盖。</w:t>
            </w: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7.4多功能可调地脚：高度螺旋调节，采用高强度的尼龙材料，塑料注塑成型，内置脚轮固定孔。</w:t>
            </w: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以上所有铝制材料表面均经防腐氧化处理和纯环氧树脂塑粉高温固化处理，具有较强的耐蚀性及承重性。</w:t>
            </w: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8.书包斗：规格460*315*154mm,采用ABS塑料一次性注塑成型，正面设有可悬挂凳子的圆形孔，周边加厚加强，斗内加强体块，两侧和后侧均设有固定耳。</w:t>
            </w:r>
          </w:p>
        </w:tc>
        <w:tc>
          <w:tcPr>
            <w:tcW w:w="2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张</w:t>
            </w:r>
          </w:p>
        </w:tc>
        <w:tc>
          <w:tcPr>
            <w:tcW w:w="3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28</w:t>
            </w:r>
          </w:p>
        </w:tc>
        <w:tc>
          <w:tcPr>
            <w:tcW w:w="87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color w:val="auto"/>
                <w:sz w:val="21"/>
                <w:szCs w:val="21"/>
                <w:highlight w:val="none"/>
              </w:rPr>
              <w:drawing>
                <wp:anchor distT="0" distB="0" distL="114300" distR="114300" simplePos="0" relativeHeight="251664384" behindDoc="0" locked="0" layoutInCell="1" allowOverlap="1">
                  <wp:simplePos x="0" y="0"/>
                  <wp:positionH relativeFrom="column">
                    <wp:posOffset>-40005</wp:posOffset>
                  </wp:positionH>
                  <wp:positionV relativeFrom="paragraph">
                    <wp:posOffset>2793365</wp:posOffset>
                  </wp:positionV>
                  <wp:extent cx="1009650" cy="826770"/>
                  <wp:effectExtent l="0" t="0" r="0" b="11430"/>
                  <wp:wrapNone/>
                  <wp:docPr id="5" name="图片_7"/>
                  <wp:cNvGraphicFramePr/>
                  <a:graphic xmlns:a="http://schemas.openxmlformats.org/drawingml/2006/main">
                    <a:graphicData uri="http://schemas.openxmlformats.org/drawingml/2006/picture">
                      <pic:pic xmlns:pic="http://schemas.openxmlformats.org/drawingml/2006/picture">
                        <pic:nvPicPr>
                          <pic:cNvPr id="5" name="图片_7"/>
                          <pic:cNvPicPr/>
                        </pic:nvPicPr>
                        <pic:blipFill>
                          <a:blip r:embed="rId11"/>
                          <a:stretch>
                            <a:fillRect/>
                          </a:stretch>
                        </pic:blipFill>
                        <pic:spPr>
                          <a:xfrm>
                            <a:off x="0" y="0"/>
                            <a:ext cx="1009650" cy="826770"/>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jc w:val="center"/>
        </w:trPr>
        <w:tc>
          <w:tcPr>
            <w:tcW w:w="2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5</w:t>
            </w:r>
          </w:p>
        </w:tc>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防护垫</w:t>
            </w:r>
          </w:p>
        </w:tc>
        <w:tc>
          <w:tcPr>
            <w:tcW w:w="25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尺寸：1200*600*1.5mm，墨绿色橡胶垫，净味</w:t>
            </w:r>
          </w:p>
        </w:tc>
        <w:tc>
          <w:tcPr>
            <w:tcW w:w="2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张</w:t>
            </w:r>
          </w:p>
        </w:tc>
        <w:tc>
          <w:tcPr>
            <w:tcW w:w="3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29</w:t>
            </w:r>
          </w:p>
        </w:tc>
        <w:tc>
          <w:tcPr>
            <w:tcW w:w="87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Theme="minorEastAsia" w:hAnsiTheme="minorEastAsia" w:eastAsiaTheme="minorEastAsia" w:cstheme="minorEastAsia"/>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jc w:val="center"/>
        </w:trPr>
        <w:tc>
          <w:tcPr>
            <w:tcW w:w="2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6</w:t>
            </w:r>
          </w:p>
        </w:tc>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b/>
                <w:bCs/>
                <w:i w:val="0"/>
                <w:iCs w:val="0"/>
                <w:color w:val="auto"/>
                <w:kern w:val="0"/>
                <w:sz w:val="21"/>
                <w:szCs w:val="21"/>
                <w:highlight w:val="none"/>
                <w:u w:val="none"/>
                <w:lang w:val="en-US" w:eastAsia="zh-CN" w:bidi="ar"/>
              </w:rPr>
              <w:t>学生实验凳</w:t>
            </w:r>
            <w:r>
              <w:rPr>
                <w:rFonts w:hint="eastAsia" w:asciiTheme="minorEastAsia" w:hAnsiTheme="minorEastAsia" w:eastAsiaTheme="minorEastAsia" w:cstheme="minorEastAsia"/>
                <w:b/>
                <w:bCs/>
                <w:i w:val="0"/>
                <w:iCs w:val="0"/>
                <w:color w:val="auto"/>
                <w:kern w:val="0"/>
                <w:sz w:val="21"/>
                <w:szCs w:val="21"/>
                <w:highlight w:val="none"/>
                <w:u w:val="none"/>
                <w:lang w:val="en-US" w:eastAsia="zh-CN" w:bidi="ar"/>
              </w:rPr>
              <w:t>（核心产品）（带样）</w:t>
            </w:r>
          </w:p>
        </w:tc>
        <w:tc>
          <w:tcPr>
            <w:tcW w:w="25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1.尺寸：315*330*440mm</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2.椅面:315×330mm,采用5mm厚白色PP工程塑料注塑成型，三面加厚至10mm，带小靠背和拉手；</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3.支撑柱采用直径56mm圆钢管；</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4.托盘:采用直径120*2mm钢板内凹成型，采用全周满焊焊接，用四颗直径10mm的六角螺丝连接凳面，结构牢固，长期使用也不会出现摇晃松散现象；</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5.支撑脚：下端五星脚采用PP塑料成型，直径460mm，配网状加强筋，承重，耐腐蚀。</w:t>
            </w:r>
          </w:p>
        </w:tc>
        <w:tc>
          <w:tcPr>
            <w:tcW w:w="2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张</w:t>
            </w:r>
          </w:p>
        </w:tc>
        <w:tc>
          <w:tcPr>
            <w:tcW w:w="3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56</w:t>
            </w:r>
          </w:p>
        </w:tc>
        <w:tc>
          <w:tcPr>
            <w:tcW w:w="87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color w:val="auto"/>
                <w:sz w:val="21"/>
                <w:szCs w:val="21"/>
                <w:highlight w:val="none"/>
              </w:rPr>
              <w:drawing>
                <wp:anchor distT="0" distB="0" distL="114300" distR="114300" simplePos="0" relativeHeight="251665408" behindDoc="0" locked="0" layoutInCell="1" allowOverlap="1">
                  <wp:simplePos x="0" y="0"/>
                  <wp:positionH relativeFrom="column">
                    <wp:posOffset>-27305</wp:posOffset>
                  </wp:positionH>
                  <wp:positionV relativeFrom="paragraph">
                    <wp:posOffset>312420</wp:posOffset>
                  </wp:positionV>
                  <wp:extent cx="989330" cy="1076325"/>
                  <wp:effectExtent l="0" t="0" r="1270" b="9525"/>
                  <wp:wrapNone/>
                  <wp:docPr id="7" name="图片_8"/>
                  <wp:cNvGraphicFramePr/>
                  <a:graphic xmlns:a="http://schemas.openxmlformats.org/drawingml/2006/main">
                    <a:graphicData uri="http://schemas.openxmlformats.org/drawingml/2006/picture">
                      <pic:pic xmlns:pic="http://schemas.openxmlformats.org/drawingml/2006/picture">
                        <pic:nvPicPr>
                          <pic:cNvPr id="7" name="图片_8"/>
                          <pic:cNvPicPr/>
                        </pic:nvPicPr>
                        <pic:blipFill>
                          <a:blip r:embed="rId12"/>
                          <a:stretch>
                            <a:fillRect/>
                          </a:stretch>
                        </pic:blipFill>
                        <pic:spPr>
                          <a:xfrm>
                            <a:off x="0" y="0"/>
                            <a:ext cx="989330" cy="1076325"/>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jc w:val="center"/>
        </w:trPr>
        <w:tc>
          <w:tcPr>
            <w:tcW w:w="2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7</w:t>
            </w:r>
          </w:p>
        </w:tc>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b/>
                <w:bCs/>
                <w:i w:val="0"/>
                <w:iCs w:val="0"/>
                <w:color w:val="auto"/>
                <w:kern w:val="0"/>
                <w:sz w:val="21"/>
                <w:szCs w:val="21"/>
                <w:highlight w:val="none"/>
                <w:u w:val="none"/>
                <w:lang w:val="en-US" w:eastAsia="zh-CN" w:bidi="ar"/>
              </w:rPr>
              <w:t>防溅水槽台（核心产品）</w:t>
            </w:r>
            <w:r>
              <w:rPr>
                <w:rFonts w:hint="eastAsia" w:asciiTheme="minorEastAsia" w:hAnsiTheme="minorEastAsia" w:eastAsiaTheme="minorEastAsia" w:cstheme="minorEastAsia"/>
                <w:b/>
                <w:bCs/>
                <w:i w:val="0"/>
                <w:iCs w:val="0"/>
                <w:color w:val="auto"/>
                <w:kern w:val="0"/>
                <w:sz w:val="21"/>
                <w:szCs w:val="21"/>
                <w:highlight w:val="none"/>
                <w:u w:val="none"/>
                <w:lang w:val="en-US" w:eastAsia="zh-CN" w:bidi="ar"/>
              </w:rPr>
              <w:t>（带样）</w:t>
            </w:r>
          </w:p>
        </w:tc>
        <w:tc>
          <w:tcPr>
            <w:tcW w:w="25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1.尺寸500*660*940mm，</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2.水槽：采用PP改性材料，塑料注塑模一次性成型，其规格600*500*343mm，壁厚4mm，四周有10mm高挡水沿；水槽内尺寸：430*360*270mm，耐强酸强碱耐＜80℃有机溶剂并耐150℃以下高温；水槽内右上角带溢水口。</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3.下水系统：采用PP材质专用连接管，配有防虹吸，防阻塞装置。</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4.上下固定框：采用PP改性材料，600*500mm，塑料注塑模一次性成型，表面光面处理。</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5.箱体支撑件：箱体四周采用64*34mm和81*34mm的铝型材支撑，表面经过时效处理和纯环氧树脂塑粉高温固化处理，具有较强的耐蚀性及承重性。</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6.水柜左右侧板：采用优质的9mm厚的中纤板，尺寸：545*655mm, 其插在支撑件铝型材槽内部。</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7.水柜前后门：采用pp改性材料，374*640*10mm，塑料注塑模一次性成型，表面沙面与光面相结合处理。并且采用直接成型后无需安装铰链、把手一体化设计，其内部置于两根32.5*6.6mm的铝型材为加强筋。  </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8.水嘴: 采用实验室专用折叠式三联水嘴，旋钮把手采用PP旋转式，鹅颈双联水嘴高度不低于370mm，可同步90度向前折叠，方便运输，出水嘴为铜质尖嘴，可方便连接循环、便于清洗滴淀管等特殊用水，中间单联固定式，带缓冲水嘴；水管管体为黄铜合金制品，90度瓷质阀芯，铜质表面经过烤漆喷涂处理，增强耐酸碱防腐蚀以及防锈性能。★高位出水口距离水槽底不少于580mm。</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9.带挡水沿，后设整体成型的滴水架。★带废弃物杯专用固定位，带废弃物杯1个：PE材质，带自封式杯赛，规格直径10.7*高度21mm。</w:t>
            </w:r>
          </w:p>
        </w:tc>
        <w:tc>
          <w:tcPr>
            <w:tcW w:w="2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套</w:t>
            </w:r>
          </w:p>
        </w:tc>
        <w:tc>
          <w:tcPr>
            <w:tcW w:w="3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15</w:t>
            </w:r>
          </w:p>
        </w:tc>
        <w:tc>
          <w:tcPr>
            <w:tcW w:w="87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Theme="minorEastAsia" w:hAnsiTheme="minorEastAsia" w:eastAsiaTheme="minorEastAsia" w:cstheme="minorEastAsia"/>
                <w:i w:val="0"/>
                <w:iCs w:val="0"/>
                <w:color w:val="auto"/>
                <w:sz w:val="21"/>
                <w:szCs w:val="21"/>
                <w:highlight w:val="none"/>
                <w:u w:val="none"/>
                <w:lang w:eastAsia="zh-CN"/>
              </w:rPr>
            </w:pPr>
            <w:r>
              <w:rPr>
                <w:rFonts w:hint="eastAsia" w:asciiTheme="minorEastAsia" w:hAnsiTheme="minorEastAsia" w:eastAsiaTheme="minorEastAsia" w:cstheme="minorEastAsia"/>
                <w:i w:val="0"/>
                <w:iCs w:val="0"/>
                <w:color w:val="auto"/>
                <w:sz w:val="21"/>
                <w:szCs w:val="21"/>
                <w:highlight w:val="none"/>
                <w:u w:val="none"/>
                <w:lang w:eastAsia="zh-CN"/>
              </w:rPr>
              <w:drawing>
                <wp:anchor distT="0" distB="0" distL="114300" distR="114300" simplePos="0" relativeHeight="251666432" behindDoc="1" locked="0" layoutInCell="1" allowOverlap="1">
                  <wp:simplePos x="0" y="0"/>
                  <wp:positionH relativeFrom="column">
                    <wp:posOffset>-34290</wp:posOffset>
                  </wp:positionH>
                  <wp:positionV relativeFrom="paragraph">
                    <wp:posOffset>2073275</wp:posOffset>
                  </wp:positionV>
                  <wp:extent cx="980440" cy="1050925"/>
                  <wp:effectExtent l="0" t="0" r="10160" b="15875"/>
                  <wp:wrapNone/>
                  <wp:docPr id="8" name="图片 8" descr="render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render_3"/>
                          <pic:cNvPicPr>
                            <a:picLocks noChangeAspect="1"/>
                          </pic:cNvPicPr>
                        </pic:nvPicPr>
                        <pic:blipFill>
                          <a:blip r:embed="rId13"/>
                          <a:stretch>
                            <a:fillRect/>
                          </a:stretch>
                        </pic:blipFill>
                        <pic:spPr>
                          <a:xfrm>
                            <a:off x="0" y="0"/>
                            <a:ext cx="980440" cy="1050925"/>
                          </a:xfrm>
                          <a:prstGeom prst="rect">
                            <a:avLst/>
                          </a:prstGeom>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48" w:hRule="atLeast"/>
          <w:jc w:val="center"/>
        </w:trPr>
        <w:tc>
          <w:tcPr>
            <w:tcW w:w="2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8</w:t>
            </w:r>
          </w:p>
        </w:tc>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通风塔吊--</w:t>
            </w:r>
          </w:p>
        </w:tc>
        <w:tc>
          <w:tcPr>
            <w:tcW w:w="25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Style w:val="71"/>
                <w:rFonts w:hint="eastAsia" w:asciiTheme="minorEastAsia" w:hAnsiTheme="minorEastAsia" w:eastAsiaTheme="minorEastAsia" w:cstheme="minorEastAsia"/>
                <w:color w:val="auto"/>
                <w:sz w:val="21"/>
                <w:szCs w:val="21"/>
                <w:highlight w:val="none"/>
                <w:lang w:val="en-US" w:eastAsia="zh-CN" w:bidi="ar"/>
              </w:rPr>
            </w:pPr>
            <w:r>
              <w:rPr>
                <w:rStyle w:val="71"/>
                <w:rFonts w:hint="eastAsia" w:asciiTheme="minorEastAsia" w:hAnsiTheme="minorEastAsia" w:eastAsiaTheme="minorEastAsia" w:cstheme="minorEastAsia"/>
                <w:color w:val="auto"/>
                <w:sz w:val="21"/>
                <w:szCs w:val="21"/>
                <w:highlight w:val="none"/>
                <w:lang w:val="en-US" w:eastAsia="zh-CN" w:bidi="ar"/>
              </w:rPr>
              <w:t>1640*500*1100/1550，整体是由钢板、铝铝型材、塑料等材质组成。</w:t>
            </w:r>
          </w:p>
          <w:p>
            <w:pPr>
              <w:keepNext w:val="0"/>
              <w:keepLines w:val="0"/>
              <w:widowControl/>
              <w:suppressLineNumbers w:val="0"/>
              <w:jc w:val="left"/>
              <w:textAlignment w:val="center"/>
              <w:rPr>
                <w:rStyle w:val="71"/>
                <w:rFonts w:hint="eastAsia" w:asciiTheme="minorEastAsia" w:hAnsiTheme="minorEastAsia" w:eastAsiaTheme="minorEastAsia" w:cstheme="minorEastAsia"/>
                <w:color w:val="auto"/>
                <w:sz w:val="21"/>
                <w:szCs w:val="21"/>
                <w:highlight w:val="none"/>
                <w:lang w:val="en-US" w:eastAsia="zh-CN" w:bidi="ar"/>
              </w:rPr>
            </w:pPr>
            <w:r>
              <w:rPr>
                <w:rStyle w:val="71"/>
                <w:rFonts w:hint="eastAsia" w:asciiTheme="minorEastAsia" w:hAnsiTheme="minorEastAsia" w:eastAsiaTheme="minorEastAsia" w:cstheme="minorEastAsia"/>
                <w:color w:val="auto"/>
                <w:sz w:val="21"/>
                <w:szCs w:val="21"/>
                <w:highlight w:val="none"/>
                <w:lang w:val="en-US" w:eastAsia="zh-CN" w:bidi="ar"/>
              </w:rPr>
              <w:t xml:space="preserve"> 设备分三大部分：电动升降导向主体、通风控制中央主体、通风吸风万向管主体</w:t>
            </w:r>
          </w:p>
          <w:p>
            <w:pPr>
              <w:keepNext w:val="0"/>
              <w:keepLines w:val="0"/>
              <w:widowControl/>
              <w:suppressLineNumbers w:val="0"/>
              <w:jc w:val="left"/>
              <w:textAlignment w:val="center"/>
              <w:rPr>
                <w:rStyle w:val="71"/>
                <w:rFonts w:hint="eastAsia" w:asciiTheme="minorEastAsia" w:hAnsiTheme="minorEastAsia" w:eastAsiaTheme="minorEastAsia" w:cstheme="minorEastAsia"/>
                <w:color w:val="auto"/>
                <w:sz w:val="21"/>
                <w:szCs w:val="21"/>
                <w:highlight w:val="none"/>
                <w:lang w:val="en-US" w:eastAsia="zh-CN" w:bidi="ar"/>
              </w:rPr>
            </w:pPr>
            <w:r>
              <w:rPr>
                <w:rStyle w:val="71"/>
                <w:rFonts w:hint="eastAsia" w:asciiTheme="minorEastAsia" w:hAnsiTheme="minorEastAsia" w:eastAsiaTheme="minorEastAsia" w:cstheme="minorEastAsia"/>
                <w:color w:val="auto"/>
                <w:sz w:val="21"/>
                <w:szCs w:val="21"/>
                <w:highlight w:val="none"/>
                <w:lang w:val="en-US" w:eastAsia="zh-CN" w:bidi="ar"/>
              </w:rPr>
              <w:t>★（一）升降导向主体（两套升降伸缩推杆，上下升降导向盖等）</w:t>
            </w:r>
          </w:p>
          <w:p>
            <w:pPr>
              <w:keepNext w:val="0"/>
              <w:keepLines w:val="0"/>
              <w:widowControl/>
              <w:suppressLineNumbers w:val="0"/>
              <w:jc w:val="left"/>
              <w:textAlignment w:val="center"/>
              <w:rPr>
                <w:rStyle w:val="71"/>
                <w:rFonts w:hint="eastAsia" w:asciiTheme="minorEastAsia" w:hAnsiTheme="minorEastAsia" w:eastAsiaTheme="minorEastAsia" w:cstheme="minorEastAsia"/>
                <w:color w:val="auto"/>
                <w:sz w:val="21"/>
                <w:szCs w:val="21"/>
                <w:highlight w:val="none"/>
                <w:lang w:val="en-US" w:eastAsia="zh-CN" w:bidi="ar"/>
              </w:rPr>
            </w:pPr>
            <w:r>
              <w:rPr>
                <w:rStyle w:val="71"/>
                <w:rFonts w:hint="eastAsia" w:asciiTheme="minorEastAsia" w:hAnsiTheme="minorEastAsia" w:eastAsiaTheme="minorEastAsia" w:cstheme="minorEastAsia"/>
                <w:color w:val="auto"/>
                <w:sz w:val="21"/>
                <w:szCs w:val="21"/>
                <w:highlight w:val="none"/>
                <w:lang w:val="en-US" w:eastAsia="zh-CN" w:bidi="ar"/>
              </w:rPr>
              <w:t>1.升降伸缩推杆部分：两套升降伸缩推杆都是悬挂在房顶上，则另一端固定在通风控制中央主体上；采用直流推杆电机，具有同步性好、安装拆卸方便并能承受重载及冲击载荷等优点.经过多次疲劳强度和负载质量测试，非常可靠。</w:t>
            </w:r>
          </w:p>
          <w:p>
            <w:pPr>
              <w:keepNext w:val="0"/>
              <w:keepLines w:val="0"/>
              <w:widowControl/>
              <w:suppressLineNumbers w:val="0"/>
              <w:jc w:val="left"/>
              <w:textAlignment w:val="center"/>
              <w:rPr>
                <w:rStyle w:val="71"/>
                <w:rFonts w:hint="eastAsia" w:asciiTheme="minorEastAsia" w:hAnsiTheme="minorEastAsia" w:eastAsiaTheme="minorEastAsia" w:cstheme="minorEastAsia"/>
                <w:color w:val="auto"/>
                <w:sz w:val="21"/>
                <w:szCs w:val="21"/>
                <w:highlight w:val="none"/>
                <w:lang w:val="en-US" w:eastAsia="zh-CN" w:bidi="ar"/>
              </w:rPr>
            </w:pPr>
            <w:r>
              <w:rPr>
                <w:rStyle w:val="71"/>
                <w:rFonts w:hint="eastAsia" w:asciiTheme="minorEastAsia" w:hAnsiTheme="minorEastAsia" w:eastAsiaTheme="minorEastAsia" w:cstheme="minorEastAsia"/>
                <w:color w:val="auto"/>
                <w:sz w:val="21"/>
                <w:szCs w:val="21"/>
                <w:highlight w:val="none"/>
                <w:lang w:val="en-US" w:eastAsia="zh-CN" w:bidi="ar"/>
              </w:rPr>
              <w:t>2.推杆控制开关：采用触摸按键式开关，自行携带电源变压器，螺旋可伸缩式开关控制线。</w:t>
            </w:r>
          </w:p>
          <w:p>
            <w:pPr>
              <w:keepNext w:val="0"/>
              <w:keepLines w:val="0"/>
              <w:widowControl/>
              <w:suppressLineNumbers w:val="0"/>
              <w:jc w:val="left"/>
              <w:textAlignment w:val="center"/>
              <w:rPr>
                <w:rStyle w:val="72"/>
                <w:rFonts w:hint="eastAsia" w:asciiTheme="minorEastAsia" w:hAnsiTheme="minorEastAsia" w:eastAsiaTheme="minorEastAsia" w:cstheme="minorEastAsia"/>
                <w:b w:val="0"/>
                <w:bCs w:val="0"/>
                <w:color w:val="auto"/>
                <w:sz w:val="21"/>
                <w:szCs w:val="21"/>
                <w:highlight w:val="none"/>
                <w:lang w:val="en-US" w:eastAsia="zh-CN" w:bidi="ar"/>
              </w:rPr>
            </w:pPr>
            <w:r>
              <w:rPr>
                <w:rStyle w:val="71"/>
                <w:rFonts w:hint="eastAsia" w:asciiTheme="minorEastAsia" w:hAnsiTheme="minorEastAsia" w:eastAsiaTheme="minorEastAsia" w:cstheme="minorEastAsia"/>
                <w:color w:val="auto"/>
                <w:sz w:val="21"/>
                <w:szCs w:val="21"/>
                <w:highlight w:val="none"/>
                <w:lang w:val="en-US" w:eastAsia="zh-CN" w:bidi="ar"/>
              </w:rPr>
              <w:t>3.</w:t>
            </w:r>
            <w:r>
              <w:rPr>
                <w:rStyle w:val="72"/>
                <w:rFonts w:hint="eastAsia" w:asciiTheme="minorEastAsia" w:hAnsiTheme="minorEastAsia" w:eastAsiaTheme="minorEastAsia" w:cstheme="minorEastAsia"/>
                <w:b w:val="0"/>
                <w:bCs w:val="0"/>
                <w:color w:val="auto"/>
                <w:sz w:val="21"/>
                <w:szCs w:val="21"/>
                <w:highlight w:val="none"/>
                <w:lang w:val="en-US" w:eastAsia="zh-CN" w:bidi="ar"/>
              </w:rPr>
              <w:t>上下升降内外导向部分：上下升降内外导向盖和内外导向固定板采用铝合金型材材料一次性成型；表面经防腐氧化处理或纯环氧树脂塑粉高温固化处理，具有较强的耐蚀性及耐磨性，采用专用螺栓连接，整体轻便且外形美观。垂直升降行程高度不少于400mm。</w:t>
            </w:r>
          </w:p>
          <w:p>
            <w:pPr>
              <w:keepNext w:val="0"/>
              <w:keepLines w:val="0"/>
              <w:widowControl/>
              <w:suppressLineNumbers w:val="0"/>
              <w:jc w:val="left"/>
              <w:textAlignment w:val="center"/>
              <w:rPr>
                <w:rStyle w:val="71"/>
                <w:rFonts w:hint="eastAsia" w:asciiTheme="minorEastAsia" w:hAnsiTheme="minorEastAsia" w:eastAsiaTheme="minorEastAsia" w:cstheme="minorEastAsia"/>
                <w:color w:val="auto"/>
                <w:sz w:val="21"/>
                <w:szCs w:val="21"/>
                <w:highlight w:val="none"/>
                <w:lang w:val="en-US" w:eastAsia="zh-CN" w:bidi="ar"/>
              </w:rPr>
            </w:pPr>
            <w:r>
              <w:rPr>
                <w:rStyle w:val="71"/>
                <w:rFonts w:hint="eastAsia" w:asciiTheme="minorEastAsia" w:hAnsiTheme="minorEastAsia" w:eastAsiaTheme="minorEastAsia" w:cstheme="minorEastAsia"/>
                <w:color w:val="auto"/>
                <w:sz w:val="21"/>
                <w:szCs w:val="21"/>
                <w:highlight w:val="none"/>
                <w:lang w:val="en-US" w:eastAsia="zh-CN" w:bidi="ar"/>
              </w:rPr>
              <w:t>★（二）通风控制中央主体</w:t>
            </w:r>
          </w:p>
          <w:p>
            <w:pPr>
              <w:keepNext w:val="0"/>
              <w:keepLines w:val="0"/>
              <w:widowControl/>
              <w:suppressLineNumbers w:val="0"/>
              <w:jc w:val="left"/>
              <w:textAlignment w:val="center"/>
              <w:rPr>
                <w:rStyle w:val="71"/>
                <w:rFonts w:hint="eastAsia" w:asciiTheme="minorEastAsia" w:hAnsiTheme="minorEastAsia" w:eastAsiaTheme="minorEastAsia" w:cstheme="minorEastAsia"/>
                <w:color w:val="auto"/>
                <w:sz w:val="21"/>
                <w:szCs w:val="21"/>
                <w:highlight w:val="none"/>
                <w:lang w:val="en-US" w:eastAsia="zh-CN" w:bidi="ar"/>
              </w:rPr>
            </w:pPr>
            <w:r>
              <w:rPr>
                <w:rStyle w:val="71"/>
                <w:rFonts w:hint="eastAsia" w:asciiTheme="minorEastAsia" w:hAnsiTheme="minorEastAsia" w:eastAsiaTheme="minorEastAsia" w:cstheme="minorEastAsia"/>
                <w:color w:val="auto"/>
                <w:sz w:val="21"/>
                <w:szCs w:val="21"/>
                <w:highlight w:val="none"/>
                <w:lang w:val="en-US" w:eastAsia="zh-CN" w:bidi="ar"/>
              </w:rPr>
              <w:t>采用PVC塑料型材一次性成型，具有较强的耐蚀性,整体轻便且外形美观。其上面可安装4组学生220V电源(无需另外安装电源摇臂装置）、隐藏式LED日光灯，四组吸风万向管主体可以完全收纳入通风控制中央主体内，四周看不到任何通风管道外露；</w:t>
            </w:r>
          </w:p>
          <w:p>
            <w:pPr>
              <w:keepNext w:val="0"/>
              <w:keepLines w:val="0"/>
              <w:widowControl/>
              <w:suppressLineNumbers w:val="0"/>
              <w:jc w:val="left"/>
              <w:textAlignment w:val="center"/>
              <w:rPr>
                <w:rStyle w:val="71"/>
                <w:rFonts w:hint="eastAsia" w:asciiTheme="minorEastAsia" w:hAnsiTheme="minorEastAsia" w:eastAsiaTheme="minorEastAsia" w:cstheme="minorEastAsia"/>
                <w:color w:val="auto"/>
                <w:sz w:val="21"/>
                <w:szCs w:val="21"/>
                <w:highlight w:val="none"/>
                <w:lang w:val="en-US" w:eastAsia="zh-CN" w:bidi="ar"/>
              </w:rPr>
            </w:pPr>
            <w:r>
              <w:rPr>
                <w:rStyle w:val="71"/>
                <w:rFonts w:hint="eastAsia" w:asciiTheme="minorEastAsia" w:hAnsiTheme="minorEastAsia" w:eastAsiaTheme="minorEastAsia" w:cstheme="minorEastAsia"/>
                <w:color w:val="auto"/>
                <w:sz w:val="21"/>
                <w:szCs w:val="21"/>
                <w:highlight w:val="none"/>
                <w:lang w:val="en-US" w:eastAsia="zh-CN" w:bidi="ar"/>
              </w:rPr>
              <w:t>（三）通风吸风万向管主体</w:t>
            </w:r>
          </w:p>
          <w:p>
            <w:pPr>
              <w:keepNext w:val="0"/>
              <w:keepLines w:val="0"/>
              <w:widowControl/>
              <w:suppressLineNumbers w:val="0"/>
              <w:jc w:val="left"/>
              <w:textAlignment w:val="center"/>
              <w:rPr>
                <w:rStyle w:val="71"/>
                <w:rFonts w:hint="eastAsia" w:asciiTheme="minorEastAsia" w:hAnsiTheme="minorEastAsia" w:eastAsiaTheme="minorEastAsia" w:cstheme="minorEastAsia"/>
                <w:color w:val="auto"/>
                <w:sz w:val="21"/>
                <w:szCs w:val="21"/>
                <w:highlight w:val="none"/>
                <w:lang w:val="en-US" w:eastAsia="zh-CN" w:bidi="ar"/>
              </w:rPr>
            </w:pPr>
            <w:r>
              <w:rPr>
                <w:rStyle w:val="71"/>
                <w:rFonts w:hint="eastAsia" w:asciiTheme="minorEastAsia" w:hAnsiTheme="minorEastAsia" w:eastAsiaTheme="minorEastAsia" w:cstheme="minorEastAsia"/>
                <w:color w:val="auto"/>
                <w:sz w:val="21"/>
                <w:szCs w:val="21"/>
                <w:highlight w:val="none"/>
                <w:lang w:val="en-US" w:eastAsia="zh-CN" w:bidi="ar"/>
              </w:rPr>
              <w:t>1.吸风罩：采用硅胶材料，形状如喇叭口，吸风面积大，效果好，具有阻燃、耐腐蚀等功效。采用隐藏式设计，不用时可完全收进塔吊舱体内，不遮挡视线，整洁美观。</w:t>
            </w:r>
          </w:p>
          <w:p>
            <w:pPr>
              <w:keepNext w:val="0"/>
              <w:keepLines w:val="0"/>
              <w:widowControl/>
              <w:suppressLineNumbers w:val="0"/>
              <w:jc w:val="left"/>
              <w:textAlignment w:val="center"/>
              <w:rPr>
                <w:rStyle w:val="71"/>
                <w:rFonts w:hint="eastAsia" w:asciiTheme="minorEastAsia" w:hAnsiTheme="minorEastAsia" w:eastAsiaTheme="minorEastAsia" w:cstheme="minorEastAsia"/>
                <w:color w:val="auto"/>
                <w:sz w:val="21"/>
                <w:szCs w:val="21"/>
                <w:highlight w:val="none"/>
                <w:lang w:val="en-US" w:eastAsia="zh-CN" w:bidi="ar"/>
              </w:rPr>
            </w:pPr>
            <w:r>
              <w:rPr>
                <w:rStyle w:val="71"/>
                <w:rFonts w:hint="eastAsia" w:asciiTheme="minorEastAsia" w:hAnsiTheme="minorEastAsia" w:eastAsiaTheme="minorEastAsia" w:cstheme="minorEastAsia"/>
                <w:color w:val="auto"/>
                <w:sz w:val="21"/>
                <w:szCs w:val="21"/>
                <w:highlight w:val="none"/>
                <w:lang w:val="en-US" w:eastAsia="zh-CN" w:bidi="ar"/>
              </w:rPr>
              <w:t>2.吸风拉手：采用优质的PP材料，注塑模成型，表面光洁舒适。</w:t>
            </w:r>
          </w:p>
          <w:p>
            <w:pPr>
              <w:keepNext w:val="0"/>
              <w:keepLines w:val="0"/>
              <w:widowControl/>
              <w:suppressLineNumbers w:val="0"/>
              <w:jc w:val="left"/>
              <w:textAlignment w:val="center"/>
              <w:rPr>
                <w:rStyle w:val="71"/>
                <w:rFonts w:hint="eastAsia" w:asciiTheme="minorEastAsia" w:hAnsiTheme="minorEastAsia" w:eastAsiaTheme="minorEastAsia" w:cstheme="minorEastAsia"/>
                <w:color w:val="auto"/>
                <w:sz w:val="21"/>
                <w:szCs w:val="21"/>
                <w:highlight w:val="none"/>
                <w:lang w:val="en-US" w:eastAsia="zh-CN" w:bidi="ar"/>
              </w:rPr>
            </w:pPr>
            <w:r>
              <w:rPr>
                <w:rStyle w:val="71"/>
                <w:rFonts w:hint="eastAsia" w:asciiTheme="minorEastAsia" w:hAnsiTheme="minorEastAsia" w:eastAsiaTheme="minorEastAsia" w:cstheme="minorEastAsia"/>
                <w:color w:val="auto"/>
                <w:sz w:val="21"/>
                <w:szCs w:val="21"/>
                <w:highlight w:val="none"/>
                <w:lang w:val="en-US" w:eastAsia="zh-CN" w:bidi="ar"/>
              </w:rPr>
              <w:t>3.通风管：采用UPVC耐腐蚀风管，风量800立方/小时，噪音≦65dB</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1"/>
                <w:szCs w:val="21"/>
                <w:highlight w:val="none"/>
                <w:u w:val="none"/>
              </w:rPr>
            </w:pPr>
            <w:r>
              <w:rPr>
                <w:rStyle w:val="71"/>
                <w:rFonts w:hint="eastAsia" w:asciiTheme="minorEastAsia" w:hAnsiTheme="minorEastAsia" w:eastAsiaTheme="minorEastAsia" w:cstheme="minorEastAsia"/>
                <w:color w:val="auto"/>
                <w:sz w:val="21"/>
                <w:szCs w:val="21"/>
                <w:highlight w:val="none"/>
                <w:lang w:val="en-US" w:eastAsia="zh-CN" w:bidi="ar"/>
              </w:rPr>
              <w:t>4.电器：设置多功能学生电源，隐藏式LED日光灯，触摸式开关，操作简单，安全可靠，配四个学生安全电源。产品符合GB21748-2008、GB28481-2012、GB6675.4-2014、GB/T22048-2015及委托单位技术条件下检测项目工作噪声、绝缘性能、抗电强度、保护接地电阻、控制和调节件、结构、寿命试验、直流输出电压、重金属,mg/kg、邻苯二甲酸脂，%等10项），要求提供检测报告复印件加盖投标人公章</w:t>
            </w:r>
          </w:p>
        </w:tc>
        <w:tc>
          <w:tcPr>
            <w:tcW w:w="2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套</w:t>
            </w:r>
          </w:p>
        </w:tc>
        <w:tc>
          <w:tcPr>
            <w:tcW w:w="3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6</w:t>
            </w:r>
          </w:p>
        </w:tc>
        <w:tc>
          <w:tcPr>
            <w:tcW w:w="8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jc w:val="center"/>
        </w:trPr>
        <w:tc>
          <w:tcPr>
            <w:tcW w:w="2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9</w:t>
            </w:r>
          </w:p>
        </w:tc>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通风塔吊--短塔吊（含学生电源2组）</w:t>
            </w:r>
          </w:p>
        </w:tc>
        <w:tc>
          <w:tcPr>
            <w:tcW w:w="25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920*500*1100/1550mm，整体是由钢板、铝铝型材、塑料等材质组成。</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设备分三大部分：电动升降导向主体、通风控制中央主体、通风吸风万向管主体</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★（一）升降导向主体（两套升降伸缩推杆，上下升降导向盖等）</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升降伸缩推杆部分：两套升降伸缩推杆都是悬挂在房顶上，则另一端固定在通风控制中央主体上；采用直流推杆电机，具有同步性好、安装拆卸方便并能承受重载及冲击载荷等优点，经过多次疲劳强度和负载质量测试，非常可靠。</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2.推杆控制开关：采用触摸按键式开关，自行携带电源变压器，螺旋可伸缩式开关控制线。</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上下升降内外导向部分：上下升降内外导向盖和内外导向固定板采用铝合金型材材料一次性成型；表面经防腐氧化处理或纯环氧树脂塑粉高温固化处理，具有较强的耐蚀性及耐磨性，采用专用螺栓连接，整体轻便且外形美观。垂直升降行程高度不少于400mm。</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★（二）通风控制中央主体</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采用PVC塑料型材一次性成型，具有较强的耐蚀性,整体轻便且外形美观。其上面可安装4组学生220V电源(无需另外安装电源摇臂装置）、隐藏式LED日光灯，四组吸风万向管主体可以完全收纳入通风控制中央主体内，四周看不到任何通风管道外露；</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（三）通风吸风万向管主体</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1.吸风罩：采用硅胶材料，形状如喇叭口，吸风面积大，效果好，具有阻燃、耐腐蚀等功效。采用隐藏式设计，不用时可完全收进塔吊舱体内，不遮挡视线，整洁美观。</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2.吸风拉手：采用优质的PP材料，注塑模成型，表面光洁舒适。</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3.通风管：采用UPVC耐腐蚀风管，风量800立方/小时，噪音≦65dB</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4.电器：设置多功能学生电源，隐藏式LED日光灯，触摸式开关，操作简单，安全可靠，配四个学生安全电源。产品符合GB21748-2008、GB28481-2012、GB6675.4-2014、GB/T22048-2015及委托单位技术条件下检测项目工作噪声、绝缘性能、抗电强度、保护接地电阻、控制和调节件、结构、寿命试验、直流输出电压、重金属,mg/kg、邻苯二甲酸脂，%等10项），要求提供检测报告复印件加盖投标人公章。</w:t>
            </w:r>
          </w:p>
        </w:tc>
        <w:tc>
          <w:tcPr>
            <w:tcW w:w="2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套</w:t>
            </w:r>
          </w:p>
        </w:tc>
        <w:tc>
          <w:tcPr>
            <w:tcW w:w="3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w:t>
            </w:r>
          </w:p>
        </w:tc>
        <w:tc>
          <w:tcPr>
            <w:tcW w:w="8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jc w:val="center"/>
        </w:trPr>
        <w:tc>
          <w:tcPr>
            <w:tcW w:w="2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lang w:val="en-US"/>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10</w:t>
            </w:r>
          </w:p>
        </w:tc>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演示通风塔吊</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（带样）</w:t>
            </w:r>
          </w:p>
        </w:tc>
        <w:tc>
          <w:tcPr>
            <w:tcW w:w="25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尺寸250*250*1230/1830mm,整体是由钢板、铝型材、塑料等材质组成。</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升降伸缩推杆电机部分：升降伸缩推杆悬挂安装，使内外导向体连接；采用直流推杆电机，具有同步性好、安装拆卸方便并能承受重载及冲击载荷等优点.经过多次疲劳强度和负载质量测试，非常可靠。推杆电机控制开关：总开关采用显示屏触摸按键式开关；内部升降控制行程采用机械式磁性接近开关。</w:t>
            </w:r>
          </w:p>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b w:val="0"/>
                <w:bCs w:val="0"/>
                <w:i w:val="0"/>
                <w:iCs w:val="0"/>
                <w:color w:val="auto"/>
                <w:kern w:val="0"/>
                <w:sz w:val="21"/>
                <w:szCs w:val="21"/>
                <w:highlight w:val="none"/>
                <w:u w:val="none"/>
                <w:lang w:val="en-US" w:eastAsia="zh-CN" w:bidi="ar"/>
              </w:rPr>
              <w:t>★2.上下升降内外导向部分：外导向体250*250mm*壁厚3mm；内导向体235*235*壁厚3mm，上下升降内外导向盖采用铝合金型材材料一次性成型；材料表面经过防腐氧化处理或纯环氧树脂塑粉高温固化处理，具有较强的耐蚀性及耐磨性，采用专用螺栓连接，整体轻便。垂直升降行程高度不少于600mm。</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b w:val="0"/>
                <w:bCs w:val="0"/>
                <w:i w:val="0"/>
                <w:iCs w:val="0"/>
                <w:color w:val="auto"/>
                <w:kern w:val="0"/>
                <w:sz w:val="21"/>
                <w:szCs w:val="21"/>
                <w:highlight w:val="none"/>
                <w:u w:val="none"/>
                <w:lang w:val="en-US" w:eastAsia="zh-CN" w:bidi="ar"/>
              </w:rPr>
              <w:t>上下导向固定框：上下导向均采用表面经过硬质氧化或纯环氧树脂塑粉高温固化处理。滑动阻尼：采用尼龙注塑模一次性成型；其作用是使上下导向体上下来回升降时，使其不摆动不晃动减低噪音，定位限位作用。固定板：采用钢板冲压一次性成型。</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吸风罩体部分：采用硅胶材料，形状如喇叭口，吸风面积大，效果好，具有阻燃、耐腐蚀等功效。吸风拉手：采用优质的PP材料，注塑模成型；表面光洁舒适。端盖：采用优质的光敏树脂材料。通风管：采用UPVC耐腐蚀风管，噪音≦65dB。</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4.电器部分：设置220V多功能电源一组，</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套</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w:t>
            </w:r>
          </w:p>
        </w:tc>
        <w:tc>
          <w:tcPr>
            <w:tcW w:w="87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Theme="minorEastAsia" w:hAnsiTheme="minorEastAsia" w:eastAsiaTheme="minorEastAsia" w:cstheme="minorEastAsia"/>
                <w:i w:val="0"/>
                <w:iCs w:val="0"/>
                <w:color w:val="auto"/>
                <w:sz w:val="21"/>
                <w:szCs w:val="21"/>
                <w:highlight w:val="none"/>
                <w:u w:val="none"/>
                <w:lang w:eastAsia="zh-CN"/>
              </w:rPr>
            </w:pPr>
            <w:r>
              <w:rPr>
                <w:rFonts w:hint="eastAsia" w:asciiTheme="minorEastAsia" w:hAnsiTheme="minorEastAsia" w:eastAsiaTheme="minorEastAsia" w:cstheme="minorEastAsia"/>
                <w:i w:val="0"/>
                <w:iCs w:val="0"/>
                <w:color w:val="auto"/>
                <w:sz w:val="21"/>
                <w:szCs w:val="21"/>
                <w:highlight w:val="none"/>
                <w:u w:val="none"/>
                <w:lang w:eastAsia="zh-CN"/>
              </w:rPr>
              <w:drawing>
                <wp:inline distT="0" distB="0" distL="114300" distR="114300">
                  <wp:extent cx="865505" cy="2347595"/>
                  <wp:effectExtent l="0" t="0" r="10795" b="14605"/>
                  <wp:docPr id="10" name="图片 10" descr="通风塔吊单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通风塔吊单头"/>
                          <pic:cNvPicPr>
                            <a:picLocks noChangeAspect="1"/>
                          </pic:cNvPicPr>
                        </pic:nvPicPr>
                        <pic:blipFill>
                          <a:blip r:embed="rId14"/>
                          <a:stretch>
                            <a:fillRect/>
                          </a:stretch>
                        </pic:blipFill>
                        <pic:spPr>
                          <a:xfrm>
                            <a:off x="0" y="0"/>
                            <a:ext cx="865505" cy="2347595"/>
                          </a:xfrm>
                          <a:prstGeom prst="rect">
                            <a:avLst/>
                          </a:prstGeom>
                        </pic:spPr>
                      </pic:pic>
                    </a:graphicData>
                  </a:graphic>
                </wp:inline>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jc w:val="center"/>
        </w:trPr>
        <w:tc>
          <w:tcPr>
            <w:tcW w:w="2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lang w:val="en-US"/>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11</w:t>
            </w:r>
          </w:p>
        </w:tc>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塔吊固定架</w:t>
            </w:r>
          </w:p>
        </w:tc>
        <w:tc>
          <w:tcPr>
            <w:tcW w:w="25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尺寸：420/600*349/419*h(层高减3300mm，低于等于3300mm不需要增加架子)，整体是由40*25（壁厚1.2mm）优质方钢、 三角铁：40*40（壁厚4mm）  、铁板：600*490（壁厚3mm）焊接、冲孔表面经酸洗、磷化、经特殊化学防锈处理、外加纯环氧树脂塑粉高温固化处理，具有防酸碱、防腐蚀的特点、且承重。</w:t>
            </w:r>
          </w:p>
        </w:tc>
        <w:tc>
          <w:tcPr>
            <w:tcW w:w="2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个</w:t>
            </w:r>
          </w:p>
        </w:tc>
        <w:tc>
          <w:tcPr>
            <w:tcW w:w="3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9</w:t>
            </w:r>
          </w:p>
        </w:tc>
        <w:tc>
          <w:tcPr>
            <w:tcW w:w="8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jc w:val="center"/>
        </w:trPr>
        <w:tc>
          <w:tcPr>
            <w:tcW w:w="2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lang w:val="en-US"/>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12</w:t>
            </w:r>
          </w:p>
        </w:tc>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供电线路</w:t>
            </w:r>
          </w:p>
        </w:tc>
        <w:tc>
          <w:tcPr>
            <w:tcW w:w="25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模块化设计，每组模块间采用活接式连接，方便安装、检修。采用2.5mm²电线进行系统布线</w:t>
            </w:r>
          </w:p>
        </w:tc>
        <w:tc>
          <w:tcPr>
            <w:tcW w:w="2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套</w:t>
            </w:r>
          </w:p>
        </w:tc>
        <w:tc>
          <w:tcPr>
            <w:tcW w:w="3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w:t>
            </w:r>
          </w:p>
        </w:tc>
        <w:tc>
          <w:tcPr>
            <w:tcW w:w="87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Theme="minorEastAsia" w:hAnsiTheme="minorEastAsia" w:eastAsiaTheme="minorEastAsia" w:cstheme="minorEastAsia"/>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jc w:val="center"/>
        </w:trPr>
        <w:tc>
          <w:tcPr>
            <w:tcW w:w="2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lang w:val="en-US"/>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13</w:t>
            </w:r>
          </w:p>
        </w:tc>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排风管道系统</w:t>
            </w:r>
          </w:p>
        </w:tc>
        <w:tc>
          <w:tcPr>
            <w:tcW w:w="25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DN250、DN315、DN160,PVC材质，主要用于室外主管道与室内主管道的连接。</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项</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w:t>
            </w:r>
          </w:p>
        </w:tc>
        <w:tc>
          <w:tcPr>
            <w:tcW w:w="87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Theme="minorEastAsia" w:hAnsiTheme="minorEastAsia" w:eastAsiaTheme="minorEastAsia" w:cstheme="minorEastAsia"/>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jc w:val="center"/>
        </w:trPr>
        <w:tc>
          <w:tcPr>
            <w:tcW w:w="2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lang w:val="en-US"/>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14</w:t>
            </w:r>
          </w:p>
        </w:tc>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变频调速器</w:t>
            </w:r>
          </w:p>
        </w:tc>
        <w:tc>
          <w:tcPr>
            <w:tcW w:w="25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采用优质变频调速器，根据实际需要控制专用通风机的风速。</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台</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w:t>
            </w:r>
          </w:p>
        </w:tc>
        <w:tc>
          <w:tcPr>
            <w:tcW w:w="87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Theme="minorEastAsia" w:hAnsiTheme="minorEastAsia" w:eastAsiaTheme="minorEastAsia" w:cstheme="minorEastAsia"/>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jc w:val="center"/>
        </w:trPr>
        <w:tc>
          <w:tcPr>
            <w:tcW w:w="2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lang w:val="en-US"/>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15</w:t>
            </w:r>
          </w:p>
        </w:tc>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风量分配器</w:t>
            </w:r>
          </w:p>
        </w:tc>
        <w:tc>
          <w:tcPr>
            <w:tcW w:w="25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PVC材质，主要用于风量分布的控制，使各吸风罩风量均匀。</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套</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w:t>
            </w:r>
          </w:p>
        </w:tc>
        <w:tc>
          <w:tcPr>
            <w:tcW w:w="87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Theme="minorEastAsia" w:hAnsiTheme="minorEastAsia" w:eastAsiaTheme="minorEastAsia" w:cstheme="minorEastAsia"/>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7" w:hRule="atLeast"/>
          <w:jc w:val="center"/>
        </w:trPr>
        <w:tc>
          <w:tcPr>
            <w:tcW w:w="2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lang w:val="en-US"/>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16</w:t>
            </w:r>
          </w:p>
        </w:tc>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变频调速风机</w:t>
            </w:r>
          </w:p>
        </w:tc>
        <w:tc>
          <w:tcPr>
            <w:tcW w:w="25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结构：箱体式低噪音。</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功率：4KW。</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风量：6840-12700m3/h。</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噪音：≤55dB(A)。</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室内换气次数：≥20次/h。</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终端流速：≥11.3米/秒。</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台</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w:t>
            </w:r>
          </w:p>
        </w:tc>
        <w:tc>
          <w:tcPr>
            <w:tcW w:w="87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Theme="minorEastAsia" w:hAnsiTheme="minorEastAsia" w:eastAsiaTheme="minorEastAsia" w:cstheme="minorEastAsia"/>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jc w:val="center"/>
        </w:trPr>
        <w:tc>
          <w:tcPr>
            <w:tcW w:w="2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lang w:val="en-US"/>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17</w:t>
            </w:r>
          </w:p>
        </w:tc>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风机减振器</w:t>
            </w:r>
          </w:p>
        </w:tc>
        <w:tc>
          <w:tcPr>
            <w:tcW w:w="25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铸铁，橡胶材质，主要用于消除专用通风机引起的微量震动。</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套</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w:t>
            </w:r>
          </w:p>
        </w:tc>
        <w:tc>
          <w:tcPr>
            <w:tcW w:w="87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Theme="minorEastAsia" w:hAnsiTheme="minorEastAsia" w:eastAsiaTheme="minorEastAsia" w:cstheme="minorEastAsia"/>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jc w:val="center"/>
        </w:trPr>
        <w:tc>
          <w:tcPr>
            <w:tcW w:w="2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lang w:val="en-US"/>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18</w:t>
            </w:r>
          </w:p>
        </w:tc>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风机进出口柔性接头</w:t>
            </w:r>
          </w:p>
        </w:tc>
        <w:tc>
          <w:tcPr>
            <w:tcW w:w="25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柔性材质，通风机与消声器的连接，消除因震动引起的微量错位对通风机的影响。</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付</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w:t>
            </w:r>
          </w:p>
        </w:tc>
        <w:tc>
          <w:tcPr>
            <w:tcW w:w="87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Theme="minorEastAsia" w:hAnsiTheme="minorEastAsia" w:eastAsiaTheme="minorEastAsia" w:cstheme="minorEastAsia"/>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7" w:hRule="atLeast"/>
          <w:jc w:val="center"/>
        </w:trPr>
        <w:tc>
          <w:tcPr>
            <w:tcW w:w="2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lang w:val="en-US"/>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19</w:t>
            </w:r>
          </w:p>
        </w:tc>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弯头</w:t>
            </w:r>
          </w:p>
        </w:tc>
        <w:tc>
          <w:tcPr>
            <w:tcW w:w="25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DN250,PVC材质，主要用于室外主管道与室内主管道的连接。</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个</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8</w:t>
            </w:r>
          </w:p>
        </w:tc>
        <w:tc>
          <w:tcPr>
            <w:tcW w:w="87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Theme="minorEastAsia" w:hAnsiTheme="minorEastAsia" w:eastAsiaTheme="minorEastAsia" w:cstheme="minorEastAsia"/>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2" w:hRule="atLeast"/>
          <w:jc w:val="center"/>
        </w:trPr>
        <w:tc>
          <w:tcPr>
            <w:tcW w:w="2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lang w:val="en-US"/>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20</w:t>
            </w:r>
          </w:p>
        </w:tc>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消音装置</w:t>
            </w:r>
          </w:p>
        </w:tc>
        <w:tc>
          <w:tcPr>
            <w:tcW w:w="25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PVC材质，内置隔音棉等隔音装置，确保通风室外噪音小于50分贝。</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套</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w:t>
            </w:r>
          </w:p>
        </w:tc>
        <w:tc>
          <w:tcPr>
            <w:tcW w:w="87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Theme="minorEastAsia" w:hAnsiTheme="minorEastAsia" w:eastAsiaTheme="minorEastAsia" w:cstheme="minorEastAsia"/>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jc w:val="center"/>
        </w:trPr>
        <w:tc>
          <w:tcPr>
            <w:tcW w:w="2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lang w:val="en-US"/>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21</w:t>
            </w:r>
          </w:p>
        </w:tc>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防雨帽</w:t>
            </w:r>
          </w:p>
        </w:tc>
        <w:tc>
          <w:tcPr>
            <w:tcW w:w="25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PVC材质，主要用于对专用通风机的防护。</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个</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w:t>
            </w:r>
          </w:p>
        </w:tc>
        <w:tc>
          <w:tcPr>
            <w:tcW w:w="87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Theme="minorEastAsia" w:hAnsiTheme="minorEastAsia" w:eastAsiaTheme="minorEastAsia" w:cstheme="minorEastAsia"/>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9" w:hRule="atLeast"/>
          <w:jc w:val="center"/>
        </w:trPr>
        <w:tc>
          <w:tcPr>
            <w:tcW w:w="2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lang w:val="en-US"/>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22</w:t>
            </w:r>
          </w:p>
        </w:tc>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管卡</w:t>
            </w:r>
          </w:p>
        </w:tc>
        <w:tc>
          <w:tcPr>
            <w:tcW w:w="25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采用不锈钢制作。</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付</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7</w:t>
            </w:r>
          </w:p>
        </w:tc>
        <w:tc>
          <w:tcPr>
            <w:tcW w:w="87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Theme="minorEastAsia" w:hAnsiTheme="minorEastAsia" w:eastAsiaTheme="minorEastAsia" w:cstheme="minorEastAsia"/>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13" w:hRule="atLeast"/>
          <w:jc w:val="center"/>
        </w:trPr>
        <w:tc>
          <w:tcPr>
            <w:tcW w:w="2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lang w:val="en-US"/>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23</w:t>
            </w:r>
          </w:p>
        </w:tc>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紧急洗眼器</w:t>
            </w:r>
          </w:p>
        </w:tc>
        <w:tc>
          <w:tcPr>
            <w:tcW w:w="25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纯铜材质，手压按把式</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套</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w:t>
            </w:r>
          </w:p>
        </w:tc>
        <w:tc>
          <w:tcPr>
            <w:tcW w:w="87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Theme="minorEastAsia" w:hAnsiTheme="minorEastAsia" w:eastAsiaTheme="minorEastAsia" w:cstheme="minorEastAsia"/>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2" w:hRule="atLeast"/>
          <w:jc w:val="center"/>
        </w:trPr>
        <w:tc>
          <w:tcPr>
            <w:tcW w:w="2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lang w:val="en-US"/>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24</w:t>
            </w:r>
          </w:p>
        </w:tc>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吊顶</w:t>
            </w:r>
          </w:p>
        </w:tc>
        <w:tc>
          <w:tcPr>
            <w:tcW w:w="25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轻钢龙骨，40*70*0.4mm间距80mm铝方通吊顶，周围600宽石膏板吊顶，批灰三底两面</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平方</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96</w:t>
            </w:r>
          </w:p>
        </w:tc>
        <w:tc>
          <w:tcPr>
            <w:tcW w:w="8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基础设施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jc w:val="center"/>
        </w:trPr>
        <w:tc>
          <w:tcPr>
            <w:tcW w:w="2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lang w:val="en-US"/>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25</w:t>
            </w:r>
          </w:p>
        </w:tc>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（LED）灯具</w:t>
            </w:r>
          </w:p>
        </w:tc>
        <w:tc>
          <w:tcPr>
            <w:tcW w:w="25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集成LED灯1200*80，含安装符合GB 7000.1、GB 7000.10、GB 17743的有关规定，有CCC证书；灯具效率：66.7%；壳体采用优质冷轧薄板，厚度为0.5mm，壳体材料经过除油剂除油，并进行防锈、磷化处理后静电喷塑；遮光角：＞30°优质高反射率铝反光板，厚度＞0.4mm，反射率＞85%，喷涂防静电膜；镇流器：符合GB 19510.1、GB 19510.4、GB 17625.1、GB/T  15144-2009、EN 50294的要求，有CCC证书；功率因素≥0.98；总谐波失真≤6.4%；灯电流波峰比≤1.38；能效等级A2级；使用寿命≥5年；</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灯管：符合GB/T 10682的规定；能效等级1级（GB19043）；Ra≥85；光效≥84lm/w；色温4000K；2000小时光通维持率≥94.9%；光通维持率下降至70%的有效使用寿命≥13000小时；汞含量≤2mg；格栅：优质合成材料的镜面格栅，具有深度散射性能，ABS真空镀膜，光洁明亮；灯具外导线：导线截面1mm2，有CCC证书</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套</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18</w:t>
            </w:r>
          </w:p>
        </w:tc>
        <w:tc>
          <w:tcPr>
            <w:tcW w:w="8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基础设施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jc w:val="center"/>
        </w:trPr>
        <w:tc>
          <w:tcPr>
            <w:tcW w:w="2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lang w:val="en-US"/>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26</w:t>
            </w:r>
          </w:p>
        </w:tc>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实验室学科窗帘</w:t>
            </w:r>
          </w:p>
        </w:tc>
        <w:tc>
          <w:tcPr>
            <w:tcW w:w="25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用窗帘的形式表现描述与学科教学内容相关或科学普及方面，选题适当，主题明确，无科学性错误，以图为主辅以文字。图片清晰美观，文字准确精炼，语句通顺易读，标点使用正确,</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平方</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25</w:t>
            </w:r>
          </w:p>
        </w:tc>
        <w:tc>
          <w:tcPr>
            <w:tcW w:w="8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基础设施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9" w:hRule="atLeast"/>
          <w:jc w:val="center"/>
        </w:trPr>
        <w:tc>
          <w:tcPr>
            <w:tcW w:w="2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lang w:val="en-US"/>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27</w:t>
            </w:r>
          </w:p>
        </w:tc>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墙体油漆</w:t>
            </w:r>
          </w:p>
        </w:tc>
        <w:tc>
          <w:tcPr>
            <w:tcW w:w="25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原墙体剥落墙体粉刷铲除，水泥砂浆抹底，环保乳胶漆三底两面</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平方</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150</w:t>
            </w:r>
          </w:p>
        </w:tc>
        <w:tc>
          <w:tcPr>
            <w:tcW w:w="8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基础设施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2" w:hRule="atLeast"/>
          <w:jc w:val="center"/>
        </w:trPr>
        <w:tc>
          <w:tcPr>
            <w:tcW w:w="2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lang w:val="en-US"/>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28</w:t>
            </w:r>
          </w:p>
        </w:tc>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墙面防水</w:t>
            </w:r>
          </w:p>
        </w:tc>
        <w:tc>
          <w:tcPr>
            <w:tcW w:w="25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黑板面、窗户面墙体防水砂浆抹底，含原墙面清理、墙体补洞。</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平方</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42</w:t>
            </w:r>
          </w:p>
        </w:tc>
        <w:tc>
          <w:tcPr>
            <w:tcW w:w="8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基础设施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4" w:hRule="atLeast"/>
          <w:jc w:val="center"/>
        </w:trPr>
        <w:tc>
          <w:tcPr>
            <w:tcW w:w="2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lang w:val="en-US"/>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29</w:t>
            </w:r>
          </w:p>
        </w:tc>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踢脚线</w:t>
            </w:r>
          </w:p>
        </w:tc>
        <w:tc>
          <w:tcPr>
            <w:tcW w:w="25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黑色瓷砖踢脚线，高度120</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米</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40</w:t>
            </w:r>
          </w:p>
        </w:tc>
        <w:tc>
          <w:tcPr>
            <w:tcW w:w="8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基础设施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jc w:val="center"/>
        </w:trPr>
        <w:tc>
          <w:tcPr>
            <w:tcW w:w="2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lang w:val="en-US"/>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30</w:t>
            </w:r>
          </w:p>
        </w:tc>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实验室地面</w:t>
            </w:r>
          </w:p>
        </w:tc>
        <w:tc>
          <w:tcPr>
            <w:tcW w:w="25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优质2.0mm厚度塑胶地板，耐磨、耐腐蚀，水泥自流平打底，专用胶粘接，焊接封口，铲平，不得有气泡，含安装</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平方</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98</w:t>
            </w:r>
          </w:p>
        </w:tc>
        <w:tc>
          <w:tcPr>
            <w:tcW w:w="8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基础设施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jc w:val="center"/>
        </w:trPr>
        <w:tc>
          <w:tcPr>
            <w:tcW w:w="2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lang w:val="en-US"/>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31</w:t>
            </w:r>
          </w:p>
        </w:tc>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窗户维修</w:t>
            </w:r>
          </w:p>
        </w:tc>
        <w:tc>
          <w:tcPr>
            <w:tcW w:w="25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塑钢窗户维修，扣件更换</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项</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w:t>
            </w:r>
          </w:p>
        </w:tc>
        <w:tc>
          <w:tcPr>
            <w:tcW w:w="8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基础设施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jc w:val="center"/>
        </w:trPr>
        <w:tc>
          <w:tcPr>
            <w:tcW w:w="2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lang w:val="en-US"/>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32</w:t>
            </w:r>
          </w:p>
        </w:tc>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墙壁式面板开关</w:t>
            </w:r>
          </w:p>
        </w:tc>
        <w:tc>
          <w:tcPr>
            <w:tcW w:w="25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品牌面板开关，开槽、含安装</w:t>
            </w:r>
          </w:p>
        </w:tc>
        <w:tc>
          <w:tcPr>
            <w:tcW w:w="2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套</w:t>
            </w:r>
          </w:p>
        </w:tc>
        <w:tc>
          <w:tcPr>
            <w:tcW w:w="3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w:t>
            </w:r>
          </w:p>
        </w:tc>
        <w:tc>
          <w:tcPr>
            <w:tcW w:w="8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基础设施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jc w:val="center"/>
        </w:trPr>
        <w:tc>
          <w:tcPr>
            <w:tcW w:w="2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lang w:val="en-US"/>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33</w:t>
            </w:r>
          </w:p>
        </w:tc>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智能锁</w:t>
            </w:r>
          </w:p>
        </w:tc>
        <w:tc>
          <w:tcPr>
            <w:tcW w:w="25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面板及执手材质采用锌合金材质，电子类型包括磁卡锁、密码锁、指纹锁，离线数据存储。</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把</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w:t>
            </w:r>
          </w:p>
        </w:tc>
        <w:tc>
          <w:tcPr>
            <w:tcW w:w="8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基础设施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jc w:val="center"/>
        </w:trPr>
        <w:tc>
          <w:tcPr>
            <w:tcW w:w="2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lang w:val="en-US"/>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34</w:t>
            </w:r>
          </w:p>
        </w:tc>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实木门</w:t>
            </w:r>
          </w:p>
        </w:tc>
        <w:tc>
          <w:tcPr>
            <w:tcW w:w="25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据实际原教室门框尺寸定制，具有不变形、耐腐蚀、无裂纹及隔热保温等特点经过烘干、下料、刨光、开榫、打眼、高速铣形、组装、打磨、上油漆等工序科学加工而成。1.实木门厚度4.5cm-5cm、门套外延8公分宽贴压条；颜色由校方法确认。含门套、门框。颜色由校方现场最终确认，带锁</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扇</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w:t>
            </w:r>
          </w:p>
        </w:tc>
        <w:tc>
          <w:tcPr>
            <w:tcW w:w="8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基础设施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7" w:hRule="atLeast"/>
          <w:jc w:val="center"/>
        </w:trPr>
        <w:tc>
          <w:tcPr>
            <w:tcW w:w="2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lang w:val="en-US"/>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35</w:t>
            </w:r>
          </w:p>
        </w:tc>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包水管</w:t>
            </w:r>
          </w:p>
        </w:tc>
        <w:tc>
          <w:tcPr>
            <w:tcW w:w="25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室内给排水立管石膏板包饰，粉刷油漆</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平方</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w:t>
            </w:r>
          </w:p>
        </w:tc>
        <w:tc>
          <w:tcPr>
            <w:tcW w:w="8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基础设施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2" w:hRule="atLeast"/>
          <w:jc w:val="center"/>
        </w:trPr>
        <w:tc>
          <w:tcPr>
            <w:tcW w:w="2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lang w:val="en-US"/>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36</w:t>
            </w:r>
          </w:p>
        </w:tc>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布线</w:t>
            </w:r>
          </w:p>
        </w:tc>
        <w:tc>
          <w:tcPr>
            <w:tcW w:w="25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含教学电源国标2.5㎜*3电线与铺设人工费,</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室</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w:t>
            </w:r>
          </w:p>
        </w:tc>
        <w:tc>
          <w:tcPr>
            <w:tcW w:w="8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基础设施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jc w:val="center"/>
        </w:trPr>
        <w:tc>
          <w:tcPr>
            <w:tcW w:w="2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lang w:val="en-US"/>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37</w:t>
            </w:r>
          </w:p>
        </w:tc>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全室给排水系统改造</w:t>
            </w:r>
          </w:p>
        </w:tc>
        <w:tc>
          <w:tcPr>
            <w:tcW w:w="25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PP-R，φ20、Φ25给排水管，φ50、110、φ75UPVC管，</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室</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w:t>
            </w:r>
          </w:p>
        </w:tc>
        <w:tc>
          <w:tcPr>
            <w:tcW w:w="8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基础设施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jc w:val="center"/>
        </w:trPr>
        <w:tc>
          <w:tcPr>
            <w:tcW w:w="2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lang w:val="en-US"/>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38</w:t>
            </w:r>
          </w:p>
        </w:tc>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壁扇</w:t>
            </w:r>
          </w:p>
        </w:tc>
        <w:tc>
          <w:tcPr>
            <w:tcW w:w="25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尺寸：452*310*610mm，电机类型：交流电机，扇叶直径：400mm，最大噪音：68dB，额定功率：60W</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套</w:t>
            </w:r>
          </w:p>
        </w:tc>
        <w:tc>
          <w:tcPr>
            <w:tcW w:w="3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4</w:t>
            </w:r>
          </w:p>
        </w:tc>
        <w:tc>
          <w:tcPr>
            <w:tcW w:w="8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Theme="minorEastAsia" w:hAnsiTheme="minorEastAsia" w:eastAsiaTheme="minorEastAsia" w:cstheme="minorEastAsia"/>
                <w:i w:val="0"/>
                <w:iCs w:val="0"/>
                <w:color w:val="auto"/>
                <w:sz w:val="21"/>
                <w:szCs w:val="21"/>
                <w:highlight w:val="none"/>
                <w:u w:val="none"/>
              </w:rPr>
            </w:pPr>
          </w:p>
        </w:tc>
      </w:tr>
    </w:tbl>
    <w:p>
      <w:pPr>
        <w:pageBreakBefore w:val="0"/>
        <w:widowControl w:val="0"/>
        <w:kinsoku/>
        <w:wordWrap/>
        <w:overflowPunct/>
        <w:topLinePunct w:val="0"/>
        <w:autoSpaceDE/>
        <w:autoSpaceDN w:val="0"/>
        <w:bidi w:val="0"/>
        <w:spacing w:line="360" w:lineRule="auto"/>
        <w:textAlignment w:val="auto"/>
        <w:outlineLvl w:val="9"/>
        <w:rPr>
          <w:rFonts w:hint="eastAsia" w:ascii="宋体" w:hAnsi="宋体" w:eastAsia="宋体" w:cs="宋体"/>
          <w:b/>
          <w:color w:val="auto"/>
          <w:szCs w:val="21"/>
          <w:highlight w:val="none"/>
        </w:rPr>
      </w:pPr>
    </w:p>
    <w:p>
      <w:pPr>
        <w:spacing w:line="360" w:lineRule="auto"/>
        <w:rPr>
          <w:rFonts w:hint="eastAsia" w:ascii="宋体" w:hAnsi="宋体" w:eastAsia="宋体" w:cs="宋体"/>
          <w:b/>
          <w:color w:val="auto"/>
          <w:sz w:val="21"/>
          <w:szCs w:val="21"/>
          <w:highlight w:val="none"/>
          <w:lang w:eastAsia="zh-CN"/>
        </w:rPr>
      </w:pPr>
      <w:r>
        <w:rPr>
          <w:rFonts w:hint="eastAsia" w:ascii="宋体" w:hAnsi="宋体" w:cs="宋体"/>
          <w:b/>
          <w:color w:val="auto"/>
          <w:sz w:val="21"/>
          <w:szCs w:val="21"/>
          <w:highlight w:val="none"/>
          <w:lang w:val="en-US" w:eastAsia="zh-CN"/>
        </w:rPr>
        <w:t>四、样品要求</w:t>
      </w:r>
    </w:p>
    <w:tbl>
      <w:tblPr>
        <w:tblStyle w:val="22"/>
        <w:tblW w:w="97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3"/>
        <w:gridCol w:w="70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1113" w:type="dxa"/>
            <w:vAlign w:val="center"/>
          </w:tcPr>
          <w:p>
            <w:pPr>
              <w:spacing w:line="240" w:lineRule="auto"/>
              <w:jc w:val="center"/>
              <w:rPr>
                <w:rFonts w:hint="eastAsia" w:asciiTheme="minorEastAsia" w:hAnsiTheme="minorEastAsia" w:eastAsiaTheme="minorEastAsia" w:cstheme="minorEastAsia"/>
                <w:color w:val="auto"/>
                <w:sz w:val="21"/>
                <w:szCs w:val="21"/>
                <w:highlight w:val="none"/>
                <w:lang w:val="en-US" w:eastAsia="zh-CN"/>
              </w:rPr>
            </w:pPr>
            <w:r>
              <w:rPr>
                <w:rFonts w:hint="eastAsia" w:ascii="宋体" w:hAnsi="宋体" w:cs="宋体"/>
                <w:color w:val="auto"/>
                <w:spacing w:val="-4"/>
                <w:szCs w:val="21"/>
                <w:highlight w:val="none"/>
                <w:lang w:val="en-US" w:eastAsia="zh-CN"/>
              </w:rPr>
              <w:t>实物样品</w:t>
            </w:r>
          </w:p>
        </w:tc>
        <w:tc>
          <w:tcPr>
            <w:tcW w:w="7033" w:type="dxa"/>
            <w:vAlign w:val="center"/>
          </w:tcPr>
          <w:p>
            <w:pPr>
              <w:numPr>
                <w:ilvl w:val="0"/>
                <w:numId w:val="0"/>
              </w:numPr>
              <w:spacing w:line="240" w:lineRule="auto"/>
              <w:rPr>
                <w:rFonts w:hint="eastAsia" w:ascii="宋体" w:hAnsi="宋体" w:cs="宋体"/>
                <w:color w:val="auto"/>
                <w:spacing w:val="-4"/>
                <w:szCs w:val="21"/>
                <w:highlight w:val="none"/>
                <w:lang w:val="en-US" w:eastAsia="zh-CN"/>
              </w:rPr>
            </w:pPr>
            <w:r>
              <w:rPr>
                <w:rFonts w:hint="eastAsia" w:ascii="宋体" w:hAnsi="宋体" w:cs="宋体"/>
                <w:b/>
                <w:bCs/>
                <w:color w:val="auto"/>
                <w:spacing w:val="-4"/>
                <w:kern w:val="2"/>
                <w:sz w:val="21"/>
                <w:szCs w:val="21"/>
                <w:lang w:val="en-US" w:eastAsia="zh-CN" w:bidi="ar-SA"/>
              </w:rPr>
              <w:t>一</w:t>
            </w:r>
            <w:r>
              <w:rPr>
                <w:rFonts w:hint="eastAsia" w:ascii="宋体" w:hAnsi="宋体" w:eastAsia="宋体" w:cs="宋体"/>
                <w:b/>
                <w:bCs/>
                <w:color w:val="auto"/>
                <w:spacing w:val="-4"/>
                <w:kern w:val="2"/>
                <w:sz w:val="21"/>
                <w:szCs w:val="21"/>
                <w:lang w:val="en-US" w:eastAsia="zh-CN" w:bidi="ar-SA"/>
              </w:rPr>
              <w:t>、</w:t>
            </w:r>
            <w:r>
              <w:rPr>
                <w:rFonts w:hint="eastAsia" w:ascii="宋体" w:hAnsi="宋体" w:cs="宋体"/>
                <w:b/>
                <w:bCs/>
                <w:color w:val="auto"/>
                <w:spacing w:val="-4"/>
                <w:szCs w:val="21"/>
                <w:highlight w:val="none"/>
                <w:lang w:val="en-US" w:eastAsia="zh-CN"/>
              </w:rPr>
              <w:t>化学实验桌（C型结构）、学生实验凳一套</w:t>
            </w:r>
          </w:p>
          <w:p>
            <w:pPr>
              <w:numPr>
                <w:ilvl w:val="0"/>
                <w:numId w:val="6"/>
              </w:numPr>
              <w:spacing w:line="240" w:lineRule="auto"/>
              <w:rPr>
                <w:rFonts w:hint="eastAsia" w:ascii="宋体" w:hAnsi="宋体" w:cs="宋体"/>
                <w:color w:val="auto"/>
                <w:spacing w:val="-4"/>
                <w:szCs w:val="21"/>
                <w:highlight w:val="none"/>
                <w:lang w:val="en-US" w:eastAsia="zh-CN"/>
              </w:rPr>
            </w:pPr>
            <w:r>
              <w:rPr>
                <w:rFonts w:hint="eastAsia" w:ascii="宋体" w:hAnsi="宋体" w:cs="宋体"/>
                <w:color w:val="auto"/>
                <w:spacing w:val="-4"/>
                <w:szCs w:val="21"/>
                <w:highlight w:val="none"/>
                <w:lang w:val="en-US" w:eastAsia="zh-CN"/>
              </w:rPr>
              <w:t>实验桌规格尺寸：1200*600*780mm，采用C字型镂空结构。实验桌台面：采用20mm湖蓝色陶瓷板，经机械打磨，表面光滑平整，无缝隙，整体美观大方。</w:t>
            </w:r>
          </w:p>
          <w:p>
            <w:pPr>
              <w:numPr>
                <w:ilvl w:val="0"/>
                <w:numId w:val="6"/>
              </w:numPr>
              <w:spacing w:line="240" w:lineRule="auto"/>
              <w:ind w:left="0" w:leftChars="0" w:firstLine="0" w:firstLineChars="0"/>
              <w:rPr>
                <w:rFonts w:hint="eastAsia" w:ascii="宋体" w:hAnsi="宋体" w:cs="宋体"/>
                <w:color w:val="auto"/>
                <w:spacing w:val="-4"/>
                <w:szCs w:val="21"/>
                <w:highlight w:val="none"/>
                <w:lang w:val="en-US" w:eastAsia="zh-CN"/>
              </w:rPr>
            </w:pPr>
            <w:r>
              <w:rPr>
                <w:rFonts w:hint="eastAsia" w:ascii="宋体" w:hAnsi="宋体" w:cs="宋体"/>
                <w:color w:val="auto"/>
                <w:spacing w:val="-4"/>
                <w:szCs w:val="21"/>
                <w:highlight w:val="none"/>
                <w:lang w:val="en-US" w:eastAsia="zh-CN"/>
              </w:rPr>
              <w:t>实验桌后挡板：采用86*12mm铝型材整体拉伸成型，与左右支撑架组成半包形围栏，预留与面板匹配的卡槽，顶端高出台面60mm，可有效防止台面仪器向后滚落。</w:t>
            </w:r>
          </w:p>
          <w:p>
            <w:pPr>
              <w:numPr>
                <w:ilvl w:val="0"/>
                <w:numId w:val="0"/>
              </w:numPr>
              <w:spacing w:line="240" w:lineRule="auto"/>
              <w:ind w:leftChars="0"/>
              <w:rPr>
                <w:rFonts w:hint="eastAsia" w:ascii="宋体" w:hAnsi="宋体" w:cs="宋体"/>
                <w:color w:val="auto"/>
                <w:spacing w:val="-4"/>
                <w:szCs w:val="21"/>
                <w:highlight w:val="none"/>
                <w:lang w:val="en-US" w:eastAsia="zh-CN"/>
              </w:rPr>
            </w:pPr>
            <w:r>
              <w:rPr>
                <w:rFonts w:hint="eastAsia" w:ascii="宋体" w:hAnsi="宋体" w:cs="宋体"/>
                <w:color w:val="auto"/>
                <w:spacing w:val="-4"/>
                <w:szCs w:val="21"/>
                <w:highlight w:val="none"/>
                <w:lang w:val="en-US" w:eastAsia="zh-CN"/>
              </w:rPr>
              <w:t>3、学生实验凳规格尺寸：315*330*440mm。学生实验凳下支撑脚：下端五星脚采用PP塑料成型，直径460mm，配网状加强筋，承重，耐腐蚀。</w:t>
            </w:r>
          </w:p>
          <w:p>
            <w:pPr>
              <w:spacing w:line="240" w:lineRule="auto"/>
              <w:rPr>
                <w:rFonts w:hint="eastAsia" w:ascii="宋体" w:hAnsi="宋体" w:cs="宋体"/>
                <w:color w:val="auto"/>
                <w:spacing w:val="-4"/>
                <w:szCs w:val="21"/>
                <w:highlight w:val="none"/>
                <w:lang w:val="en-US" w:eastAsia="zh-CN"/>
              </w:rPr>
            </w:pPr>
            <w:r>
              <w:rPr>
                <w:rFonts w:hint="eastAsia" w:ascii="宋体" w:hAnsi="宋体" w:cs="宋体"/>
                <w:b/>
                <w:bCs/>
                <w:color w:val="auto"/>
                <w:spacing w:val="-4"/>
                <w:szCs w:val="21"/>
                <w:highlight w:val="none"/>
                <w:lang w:val="en-US" w:eastAsia="zh-CN"/>
              </w:rPr>
              <w:t>二、防溅水槽台一套  尺寸500*660*940mm</w:t>
            </w:r>
          </w:p>
          <w:p>
            <w:pPr>
              <w:spacing w:line="240" w:lineRule="auto"/>
              <w:rPr>
                <w:rFonts w:hint="eastAsia" w:ascii="宋体" w:hAnsi="宋体" w:cs="宋体"/>
                <w:color w:val="auto"/>
                <w:spacing w:val="-4"/>
                <w:szCs w:val="21"/>
                <w:highlight w:val="none"/>
                <w:lang w:val="en-US" w:eastAsia="zh-CN"/>
              </w:rPr>
            </w:pPr>
            <w:r>
              <w:rPr>
                <w:rFonts w:hint="eastAsia" w:ascii="宋体" w:hAnsi="宋体" w:cs="宋体"/>
                <w:color w:val="auto"/>
                <w:spacing w:val="-4"/>
                <w:szCs w:val="21"/>
                <w:highlight w:val="none"/>
                <w:lang w:val="en-US" w:eastAsia="zh-CN"/>
              </w:rPr>
              <w:t>1、高位出水口距离水槽底不少于580mm。</w:t>
            </w:r>
          </w:p>
          <w:p>
            <w:pPr>
              <w:spacing w:line="240" w:lineRule="auto"/>
              <w:rPr>
                <w:rFonts w:hint="eastAsia" w:ascii="宋体" w:hAnsi="宋体" w:cs="宋体"/>
                <w:color w:val="auto"/>
                <w:spacing w:val="-4"/>
                <w:szCs w:val="21"/>
                <w:highlight w:val="none"/>
                <w:lang w:val="en-US" w:eastAsia="zh-CN"/>
              </w:rPr>
            </w:pPr>
            <w:r>
              <w:rPr>
                <w:rFonts w:hint="eastAsia" w:ascii="宋体" w:hAnsi="宋体" w:cs="宋体"/>
                <w:color w:val="auto"/>
                <w:spacing w:val="-4"/>
                <w:szCs w:val="21"/>
                <w:highlight w:val="none"/>
                <w:lang w:val="en-US" w:eastAsia="zh-CN"/>
              </w:rPr>
              <w:t>2、带废弃物杯专用固定位，带废弃物杯1个：PE材质，带自封式杯赛，规格直径10.7*高度21mm。</w:t>
            </w:r>
          </w:p>
          <w:p>
            <w:pPr>
              <w:spacing w:line="240" w:lineRule="auto"/>
              <w:rPr>
                <w:rFonts w:hint="eastAsia" w:ascii="宋体" w:hAnsi="宋体" w:cs="宋体"/>
                <w:color w:val="auto"/>
                <w:spacing w:val="-4"/>
                <w:szCs w:val="21"/>
                <w:highlight w:val="none"/>
                <w:lang w:val="en-US" w:eastAsia="zh-CN"/>
              </w:rPr>
            </w:pPr>
            <w:r>
              <w:rPr>
                <w:rFonts w:hint="eastAsia" w:ascii="宋体" w:hAnsi="宋体" w:cs="宋体"/>
                <w:b/>
                <w:bCs/>
                <w:color w:val="auto"/>
                <w:spacing w:val="-4"/>
                <w:szCs w:val="21"/>
                <w:highlight w:val="none"/>
                <w:lang w:val="en-US" w:eastAsia="zh-CN"/>
              </w:rPr>
              <w:t>三、演示通风塔吊一套  规格尺寸：250*250*1230/1830mm。</w:t>
            </w:r>
          </w:p>
          <w:p>
            <w:pPr>
              <w:spacing w:line="240" w:lineRule="auto"/>
              <w:rPr>
                <w:rFonts w:hint="eastAsia" w:ascii="宋体" w:hAnsi="宋体" w:cs="宋体"/>
                <w:color w:val="auto"/>
                <w:spacing w:val="-4"/>
                <w:szCs w:val="21"/>
                <w:highlight w:val="none"/>
                <w:lang w:val="en-US" w:eastAsia="zh-CN"/>
              </w:rPr>
            </w:pPr>
            <w:r>
              <w:rPr>
                <w:rFonts w:hint="eastAsia" w:ascii="宋体" w:hAnsi="宋体" w:cs="宋体"/>
                <w:color w:val="auto"/>
                <w:spacing w:val="-4"/>
                <w:szCs w:val="21"/>
                <w:highlight w:val="none"/>
                <w:lang w:val="en-US" w:eastAsia="zh-CN"/>
              </w:rPr>
              <w:t>1、上下升降内外导向部分：外导向体250*250mm*壁厚3mm；内导向体235*235*壁厚3mm，上下升降内外导向盖采用铝合金型材材料一次性成型；</w:t>
            </w:r>
          </w:p>
          <w:p>
            <w:pPr>
              <w:spacing w:line="240" w:lineRule="auto"/>
              <w:rPr>
                <w:rFonts w:hint="eastAsia" w:ascii="宋体" w:hAnsi="宋体" w:cs="宋体"/>
                <w:color w:val="auto"/>
                <w:spacing w:val="-4"/>
                <w:szCs w:val="21"/>
                <w:highlight w:val="none"/>
                <w:lang w:val="en-US" w:eastAsia="zh-CN"/>
              </w:rPr>
            </w:pPr>
            <w:r>
              <w:rPr>
                <w:rFonts w:hint="eastAsia" w:ascii="宋体" w:hAnsi="宋体" w:cs="宋体"/>
                <w:color w:val="auto"/>
                <w:spacing w:val="-4"/>
                <w:szCs w:val="21"/>
                <w:highlight w:val="none"/>
                <w:lang w:val="en-US" w:eastAsia="zh-CN"/>
              </w:rPr>
              <w:t>2、垂直升降行程高度不少于600mm；</w:t>
            </w:r>
          </w:p>
          <w:p>
            <w:pPr>
              <w:spacing w:line="240" w:lineRule="auto"/>
              <w:rPr>
                <w:rFonts w:hint="eastAsia" w:ascii="宋体" w:hAnsi="宋体" w:eastAsia="宋体" w:cs="宋体"/>
                <w:color w:val="auto"/>
                <w:spacing w:val="-4"/>
                <w:kern w:val="2"/>
                <w:sz w:val="21"/>
                <w:szCs w:val="21"/>
                <w:highlight w:val="none"/>
                <w:lang w:val="en-US" w:eastAsia="zh-CN" w:bidi="ar-SA"/>
              </w:rPr>
            </w:pPr>
            <w:r>
              <w:rPr>
                <w:rFonts w:hint="eastAsia" w:ascii="宋体" w:hAnsi="宋体" w:cs="宋体"/>
                <w:color w:val="auto"/>
                <w:spacing w:val="-4"/>
                <w:szCs w:val="21"/>
                <w:highlight w:val="none"/>
                <w:lang w:val="en-US" w:eastAsia="zh-CN"/>
              </w:rPr>
              <w:t>3、滑动阻尼：采用尼龙注塑模一次性成型；其作用是使上下导向体上下来回升降时，使其不摆动不晃动减低噪音，定位限位作用。</w:t>
            </w:r>
          </w:p>
        </w:tc>
      </w:tr>
    </w:tbl>
    <w:p>
      <w:pPr>
        <w:pStyle w:val="7"/>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宋体" w:hAnsi="宋体" w:cs="宋体"/>
          <w:b/>
          <w:bCs/>
          <w:color w:val="auto"/>
          <w:szCs w:val="28"/>
          <w:highlight w:val="none"/>
          <w:lang w:val="en-US" w:eastAsia="zh-CN"/>
        </w:rPr>
      </w:pPr>
      <w:r>
        <w:rPr>
          <w:rFonts w:hint="eastAsia" w:ascii="宋体" w:hAnsi="宋体" w:cs="宋体"/>
          <w:b/>
          <w:bCs/>
          <w:color w:val="auto"/>
          <w:szCs w:val="28"/>
          <w:highlight w:val="none"/>
          <w:lang w:val="en-US" w:eastAsia="zh-CN"/>
        </w:rPr>
        <w:t>注：</w:t>
      </w:r>
    </w:p>
    <w:p>
      <w:pPr>
        <w:pStyle w:val="7"/>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eastAsia="zh-CN"/>
        </w:rPr>
        <w:t>（1）所提供的样品不得出现投标人名称或与投标人有关的商标和标记，如有发现以上情况，样品分按零分处理。样品未提供的，样品分按零分处理。样品提供不齐全的供应商，可能会导致样品其他评审部分相应扣分。</w:t>
      </w:r>
    </w:p>
    <w:p>
      <w:pPr>
        <w:pStyle w:val="7"/>
        <w:keepNext w:val="0"/>
        <w:keepLines w:val="0"/>
        <w:pageBreakBefore w:val="0"/>
        <w:widowControl w:val="0"/>
        <w:numPr>
          <w:ilvl w:val="0"/>
          <w:numId w:val="7"/>
        </w:numPr>
        <w:kinsoku/>
        <w:wordWrap/>
        <w:overflowPunct/>
        <w:topLinePunct w:val="0"/>
        <w:autoSpaceDE/>
        <w:autoSpaceDN/>
        <w:bidi w:val="0"/>
        <w:adjustRightInd/>
        <w:snapToGrid/>
        <w:spacing w:after="0" w:line="360" w:lineRule="auto"/>
        <w:textAlignment w:val="auto"/>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eastAsia="zh-CN"/>
        </w:rPr>
        <w:t>样品在开标日9:00前送达台州市公共资源交易中心1楼西大厅，样品由投标单位自行保管，发生损失、损坏等产生的后果由投标人自行承担。</w:t>
      </w:r>
    </w:p>
    <w:p>
      <w:pPr>
        <w:pStyle w:val="7"/>
        <w:keepNext w:val="0"/>
        <w:keepLines w:val="0"/>
        <w:pageBreakBefore w:val="0"/>
        <w:widowControl w:val="0"/>
        <w:numPr>
          <w:ilvl w:val="0"/>
          <w:numId w:val="7"/>
        </w:numPr>
        <w:kinsoku/>
        <w:wordWrap/>
        <w:overflowPunct/>
        <w:topLinePunct w:val="0"/>
        <w:autoSpaceDE/>
        <w:autoSpaceDN/>
        <w:bidi w:val="0"/>
        <w:adjustRightInd/>
        <w:snapToGrid/>
        <w:spacing w:after="0" w:line="360" w:lineRule="auto"/>
        <w:ind w:left="0" w:leftChars="0" w:firstLine="0" w:firstLineChars="0"/>
        <w:textAlignment w:val="auto"/>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eastAsia="zh-CN"/>
        </w:rPr>
        <w:t>投标人请在指定区域自行组装完成样品。运送和组装样品一切费用，由投标人自行承担。</w:t>
      </w:r>
    </w:p>
    <w:p>
      <w:pPr>
        <w:pStyle w:val="7"/>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textAlignment w:val="auto"/>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eastAsia="zh-CN"/>
        </w:rPr>
        <w:t>（4）样品组装及展示地点：台州市公共资源交易中心1楼西大厅。样品在开标日9：00前送达并完成组装。</w:t>
      </w:r>
    </w:p>
    <w:p>
      <w:pPr>
        <w:pStyle w:val="7"/>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eastAsia="zh-CN"/>
        </w:rPr>
        <w:t>（5）样品不回收，评标结束以后，未中标单位样品自行领回，未及时领回造成样品丢失，责任自负；中标单位的样品，由采购单位封存作为今后验收依据。</w:t>
      </w:r>
    </w:p>
    <w:p>
      <w:pPr>
        <w:keepNext w:val="0"/>
        <w:keepLines w:val="0"/>
        <w:pageBreakBefore w:val="0"/>
        <w:widowControl w:val="0"/>
        <w:kinsoku/>
        <w:wordWrap/>
        <w:overflowPunct/>
        <w:topLinePunct w:val="0"/>
        <w:autoSpaceDE/>
        <w:autoSpaceDN/>
        <w:bidi w:val="0"/>
        <w:spacing w:line="360" w:lineRule="auto"/>
        <w:textAlignment w:val="baseline"/>
        <w:rPr>
          <w:rFonts w:hint="default"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五、演示要求：</w:t>
      </w:r>
    </w:p>
    <w:tbl>
      <w:tblPr>
        <w:tblStyle w:val="22"/>
        <w:tblW w:w="97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3"/>
        <w:gridCol w:w="70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5" w:hRule="atLeast"/>
          <w:jc w:val="center"/>
        </w:trPr>
        <w:tc>
          <w:tcPr>
            <w:tcW w:w="1113" w:type="dxa"/>
            <w:vAlign w:val="center"/>
          </w:tcPr>
          <w:p>
            <w:pPr>
              <w:spacing w:line="240" w:lineRule="auto"/>
              <w:jc w:val="center"/>
              <w:rPr>
                <w:rStyle w:val="57"/>
                <w:rFonts w:hint="eastAsia" w:asciiTheme="minorEastAsia" w:hAnsiTheme="minorEastAsia" w:eastAsiaTheme="minorEastAsia" w:cstheme="minorEastAsia"/>
                <w:color w:val="auto"/>
                <w:kern w:val="0"/>
                <w:sz w:val="21"/>
                <w:szCs w:val="21"/>
                <w:highlight w:val="none"/>
              </w:rPr>
            </w:pPr>
            <w:r>
              <w:rPr>
                <w:rFonts w:hint="eastAsia" w:ascii="宋体" w:hAnsi="宋体" w:cs="宋体"/>
                <w:color w:val="auto"/>
                <w:spacing w:val="-4"/>
                <w:szCs w:val="21"/>
                <w:highlight w:val="none"/>
                <w:lang w:val="en-US" w:eastAsia="zh-CN"/>
              </w:rPr>
              <w:t>产品功能演示</w:t>
            </w:r>
          </w:p>
        </w:tc>
        <w:tc>
          <w:tcPr>
            <w:tcW w:w="7033" w:type="dxa"/>
            <w:vAlign w:val="center"/>
          </w:tcPr>
          <w:p>
            <w:pPr>
              <w:spacing w:line="240" w:lineRule="auto"/>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sz w:val="21"/>
                <w:szCs w:val="21"/>
                <w:highlight w:val="none"/>
                <w:lang w:val="zh-CN"/>
              </w:rPr>
              <w:t>投标人演示需求条款当中的“</w:t>
            </w:r>
            <w:r>
              <w:rPr>
                <w:rFonts w:hint="eastAsia" w:ascii="宋体" w:hAnsi="宋体" w:eastAsia="宋体" w:cs="宋体"/>
                <w:i w:val="0"/>
                <w:iCs w:val="0"/>
                <w:color w:val="auto"/>
                <w:kern w:val="0"/>
                <w:sz w:val="21"/>
                <w:szCs w:val="21"/>
                <w:highlight w:val="none"/>
                <w:u w:val="none"/>
                <w:lang w:val="en-US" w:eastAsia="zh-CN" w:bidi="ar"/>
              </w:rPr>
              <w:t>多媒体系统-光能智慧黑板</w:t>
            </w:r>
            <w:r>
              <w:rPr>
                <w:rFonts w:hint="eastAsia" w:asciiTheme="minorEastAsia" w:hAnsiTheme="minorEastAsia" w:eastAsiaTheme="minorEastAsia" w:cstheme="minorEastAsia"/>
                <w:color w:val="auto"/>
                <w:sz w:val="21"/>
                <w:szCs w:val="21"/>
                <w:highlight w:val="none"/>
                <w:lang w:val="zh-CN"/>
              </w:rPr>
              <w:t>”产品，演示需要的相关器材根据招标要求自行提供。</w:t>
            </w:r>
          </w:p>
          <w:p>
            <w:pPr>
              <w:spacing w:line="240" w:lineRule="auto"/>
              <w:rPr>
                <w:rFonts w:hint="default" w:asciiTheme="minorEastAsia" w:hAnsiTheme="minorEastAsia" w:eastAsiaTheme="minorEastAsia" w:cstheme="minorEastAsia"/>
                <w:color w:val="auto"/>
                <w:sz w:val="21"/>
                <w:szCs w:val="21"/>
                <w:highlight w:val="none"/>
                <w:lang w:val="en-US"/>
              </w:rPr>
            </w:pPr>
            <w:r>
              <w:rPr>
                <w:rFonts w:hint="eastAsia" w:ascii="宋体" w:hAnsi="宋体" w:eastAsia="宋体" w:cs="宋体"/>
                <w:i w:val="0"/>
                <w:iCs w:val="0"/>
                <w:color w:val="auto"/>
                <w:kern w:val="0"/>
                <w:sz w:val="21"/>
                <w:szCs w:val="21"/>
                <w:highlight w:val="none"/>
                <w:u w:val="none"/>
                <w:lang w:val="en-US" w:eastAsia="zh-CN" w:bidi="ar"/>
              </w:rPr>
              <w:t>多媒体系统-光能智慧黑板演示要求</w:t>
            </w:r>
          </w:p>
          <w:p>
            <w:pPr>
              <w:numPr>
                <w:ilvl w:val="0"/>
                <w:numId w:val="8"/>
              </w:numPr>
              <w:spacing w:line="240" w:lineRule="auto"/>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局部擦除：可使用板擦和手势对错误字迹进行局部擦除，擦除精度方格小于1cm*1cm。光能板具有独立供电装置，可在液晶屏关机的情况下独立使用，不影响局擦功能；</w:t>
            </w:r>
          </w:p>
          <w:p>
            <w:pPr>
              <w:numPr>
                <w:ilvl w:val="0"/>
                <w:numId w:val="8"/>
              </w:numPr>
              <w:spacing w:line="240" w:lineRule="auto"/>
              <w:ind w:left="0" w:leftChars="0" w:firstLine="0" w:firstLineChars="0"/>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软件功能具有：</w:t>
            </w:r>
          </w:p>
          <w:p>
            <w:pPr>
              <w:numPr>
                <w:ilvl w:val="0"/>
                <w:numId w:val="9"/>
              </w:numPr>
              <w:spacing w:line="240" w:lineRule="auto"/>
              <w:ind w:leftChars="0"/>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同步互联：左、右光能黑板可与触控一体机进行互动，将光能黑板的内容与触控一体机无缝连接，教师在光能黑板上的书写内容可同步显示在触控一体机上。</w:t>
            </w:r>
          </w:p>
          <w:p>
            <w:pPr>
              <w:numPr>
                <w:ilvl w:val="0"/>
                <w:numId w:val="9"/>
              </w:numPr>
              <w:spacing w:line="240" w:lineRule="auto"/>
              <w:ind w:left="0" w:leftChars="0" w:firstLine="0" w:firstLineChars="0"/>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颜色切换：可设置不同的软件端笔迹颜色，可实现老师对于教学重点的标识及批注；</w:t>
            </w:r>
          </w:p>
          <w:p>
            <w:pPr>
              <w:numPr>
                <w:ilvl w:val="0"/>
                <w:numId w:val="9"/>
              </w:numPr>
              <w:spacing w:line="240" w:lineRule="auto"/>
              <w:ind w:left="0" w:leftChars="0" w:firstLine="0" w:firstLineChars="0"/>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板书记录：可同步传输老师的板书到软件界面；按下清除键后，板面和软件端的笔迹均可以被清除；点击“前一页”可找回清除掉的板书；</w:t>
            </w:r>
          </w:p>
          <w:p>
            <w:pPr>
              <w:numPr>
                <w:ilvl w:val="0"/>
                <w:numId w:val="9"/>
              </w:numPr>
              <w:spacing w:line="240" w:lineRule="auto"/>
              <w:ind w:left="0" w:leftChars="0" w:firstLine="0" w:firstLineChars="0"/>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单双页切换：两种光能黑板的书写记录模式，支持单板书写记录内容为一个单页面，也可以支持双板同时书写时记录在一个页面上；</w:t>
            </w:r>
          </w:p>
          <w:p>
            <w:pPr>
              <w:numPr>
                <w:ilvl w:val="0"/>
                <w:numId w:val="9"/>
              </w:numPr>
              <w:spacing w:line="240" w:lineRule="auto"/>
              <w:ind w:left="0" w:leftChars="0" w:firstLine="0" w:firstLineChars="0"/>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桌面切换：黑板书写内容和屏体显示内容可一键切换，不影响老师正常授课操作。</w:t>
            </w:r>
          </w:p>
          <w:p>
            <w:pPr>
              <w:numPr>
                <w:ilvl w:val="0"/>
                <w:numId w:val="0"/>
              </w:numPr>
              <w:spacing w:line="240" w:lineRule="auto"/>
              <w:ind w:leftChars="0"/>
              <w:rPr>
                <w:rFonts w:hint="eastAsia"/>
                <w:color w:val="auto"/>
                <w:highlight w:val="none"/>
                <w:lang w:val="zh-CN"/>
              </w:rPr>
            </w:pPr>
            <w:r>
              <w:rPr>
                <w:rFonts w:hint="eastAsia" w:ascii="宋体" w:hAnsi="宋体" w:eastAsia="宋体" w:cs="宋体"/>
                <w:i w:val="0"/>
                <w:iCs w:val="0"/>
                <w:color w:val="auto"/>
                <w:kern w:val="0"/>
                <w:sz w:val="21"/>
                <w:szCs w:val="21"/>
                <w:highlight w:val="none"/>
                <w:u w:val="none"/>
                <w:lang w:val="en-US" w:eastAsia="zh-CN" w:bidi="ar"/>
              </w:rPr>
              <w:t>6</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一键保存：支持将板书内容保存为PDF文档，便于学校对课堂板书的管理和传递。无需花费时间找存储路径，点击“打开”，直接进入存储位置，快速找到存储文件。</w:t>
            </w:r>
          </w:p>
        </w:tc>
      </w:tr>
    </w:tbl>
    <w:p>
      <w:pPr>
        <w:pStyle w:val="8"/>
        <w:keepNext w:val="0"/>
        <w:keepLines w:val="0"/>
        <w:pageBreakBefore w:val="0"/>
        <w:widowControl w:val="0"/>
        <w:kinsoku/>
        <w:wordWrap/>
        <w:overflowPunct/>
        <w:topLinePunct w:val="0"/>
        <w:autoSpaceDE/>
        <w:autoSpaceDN/>
        <w:bidi w:val="0"/>
        <w:adjustRightInd/>
        <w:snapToGrid/>
        <w:spacing w:after="0" w:line="360" w:lineRule="auto"/>
        <w:ind w:firstLine="0" w:firstLineChars="0"/>
        <w:textAlignment w:val="auto"/>
        <w:rPr>
          <w:rFonts w:hint="eastAsia" w:asciiTheme="minorEastAsia" w:hAnsiTheme="minorEastAsia" w:eastAsiaTheme="minorEastAsia" w:cstheme="minorEastAsia"/>
          <w:b/>
          <w:bCs/>
          <w:color w:val="auto"/>
          <w:szCs w:val="21"/>
          <w:highlight w:val="none"/>
          <w:lang w:val="zh-CN"/>
        </w:rPr>
      </w:pPr>
      <w:r>
        <w:rPr>
          <w:rFonts w:hint="eastAsia" w:asciiTheme="minorEastAsia" w:hAnsiTheme="minorEastAsia" w:eastAsiaTheme="minorEastAsia" w:cstheme="minorEastAsia"/>
          <w:b/>
          <w:bCs/>
          <w:color w:val="auto"/>
          <w:sz w:val="22"/>
          <w:szCs w:val="22"/>
          <w:highlight w:val="none"/>
        </w:rPr>
        <w:t>注：</w:t>
      </w:r>
      <w:r>
        <w:rPr>
          <w:rFonts w:hint="eastAsia" w:asciiTheme="minorEastAsia" w:hAnsiTheme="minorEastAsia" w:eastAsiaTheme="minorEastAsia" w:cstheme="minorEastAsia"/>
          <w:b/>
          <w:bCs/>
          <w:color w:val="auto"/>
          <w:sz w:val="22"/>
          <w:szCs w:val="22"/>
          <w:highlight w:val="none"/>
          <w:lang w:val="en-US" w:eastAsia="zh-CN"/>
        </w:rPr>
        <w:t>1、</w:t>
      </w:r>
      <w:r>
        <w:rPr>
          <w:rFonts w:hint="eastAsia" w:asciiTheme="minorEastAsia" w:hAnsiTheme="minorEastAsia" w:eastAsiaTheme="minorEastAsia" w:cstheme="minorEastAsia"/>
          <w:b/>
          <w:bCs/>
          <w:color w:val="auto"/>
          <w:sz w:val="22"/>
          <w:szCs w:val="22"/>
          <w:highlight w:val="none"/>
        </w:rPr>
        <w:t>投标人通过录制视频方式进行展示,时间不超过10分钟，</w:t>
      </w:r>
      <w:r>
        <w:rPr>
          <w:rFonts w:hint="eastAsia" w:asciiTheme="minorEastAsia" w:hAnsiTheme="minorEastAsia" w:eastAsiaTheme="minorEastAsia" w:cstheme="minorEastAsia"/>
          <w:b/>
          <w:bCs/>
          <w:color w:val="auto"/>
          <w:sz w:val="22"/>
          <w:szCs w:val="22"/>
          <w:highlight w:val="none"/>
          <w:lang w:val="en-US" w:eastAsia="zh-CN"/>
        </w:rPr>
        <w:t>超时部分不予演示，</w:t>
      </w:r>
      <w:r>
        <w:rPr>
          <w:rFonts w:hint="eastAsia" w:asciiTheme="minorEastAsia" w:hAnsiTheme="minorEastAsia" w:eastAsiaTheme="minorEastAsia" w:cstheme="minorEastAsia"/>
          <w:b/>
          <w:bCs/>
          <w:color w:val="auto"/>
          <w:sz w:val="22"/>
          <w:szCs w:val="22"/>
          <w:highlight w:val="none"/>
        </w:rPr>
        <w:t>无演示的此项不得分。</w:t>
      </w:r>
      <w:r>
        <w:rPr>
          <w:rFonts w:hint="eastAsia" w:asciiTheme="minorEastAsia" w:hAnsiTheme="minorEastAsia" w:eastAsiaTheme="minorEastAsia" w:cstheme="minorEastAsia"/>
          <w:b/>
          <w:bCs/>
          <w:color w:val="auto"/>
          <w:szCs w:val="21"/>
          <w:highlight w:val="none"/>
          <w:lang w:val="en-US" w:eastAsia="zh-CN"/>
        </w:rPr>
        <w:t>2、</w:t>
      </w:r>
      <w:r>
        <w:rPr>
          <w:rFonts w:hint="eastAsia" w:asciiTheme="minorEastAsia" w:hAnsiTheme="minorEastAsia" w:eastAsiaTheme="minorEastAsia" w:cstheme="minorEastAsia"/>
          <w:b/>
          <w:bCs/>
          <w:color w:val="auto"/>
          <w:szCs w:val="21"/>
          <w:highlight w:val="none"/>
          <w:lang w:val="zh-CN"/>
        </w:rPr>
        <w:t>提供视频演示的各投标人将需演示的部分自行演示并录制成视频制作在 U 盘中，录制视频时长</w:t>
      </w:r>
      <w:r>
        <w:rPr>
          <w:rFonts w:hint="eastAsia" w:asciiTheme="minorEastAsia" w:hAnsiTheme="minorEastAsia" w:eastAsiaTheme="minorEastAsia" w:cstheme="minorEastAsia"/>
          <w:b/>
          <w:bCs/>
          <w:color w:val="auto"/>
          <w:szCs w:val="21"/>
          <w:highlight w:val="none"/>
        </w:rPr>
        <w:t xml:space="preserve"> 1</w:t>
      </w:r>
      <w:r>
        <w:rPr>
          <w:rFonts w:hint="eastAsia" w:asciiTheme="minorEastAsia" w:hAnsiTheme="minorEastAsia" w:eastAsiaTheme="minorEastAsia" w:cstheme="minorEastAsia"/>
          <w:b/>
          <w:bCs/>
          <w:color w:val="auto"/>
          <w:szCs w:val="21"/>
          <w:highlight w:val="none"/>
          <w:lang w:val="zh-CN"/>
        </w:rPr>
        <w:t>0 分钟以内，录制的视频必须为MP4格式（若视频为其他格式导致评审中不能正常播放的，责任自负），U盘须加设密码并装入密封袋，在投标截止时间前用密封袋包装好注明项目名称和投标人名称快递到招标代理机构处，招标代理在投标截止时间后联系投标人获取密码进行播放，未提供演示或使用其他方式（如软件Demo、PPT 演示、图片原型或方案等）演示，此项不得分。评委观看演示视频按招标文件评分项进行评分。</w:t>
      </w:r>
    </w:p>
    <w:p>
      <w:pPr>
        <w:pStyle w:val="8"/>
        <w:ind w:firstLine="0" w:firstLineChars="0"/>
        <w:rPr>
          <w:rFonts w:hint="eastAsia" w:ascii="宋体" w:hAnsi="宋体" w:eastAsia="宋体" w:cs="宋体"/>
          <w:b/>
          <w:color w:val="auto"/>
          <w:sz w:val="21"/>
          <w:szCs w:val="21"/>
          <w:highlight w:val="none"/>
          <w:lang w:eastAsia="zh-CN"/>
        </w:rPr>
      </w:pPr>
      <w:r>
        <w:rPr>
          <w:rFonts w:hint="eastAsia" w:ascii="宋体" w:hAnsi="宋体" w:cs="宋体"/>
          <w:b/>
          <w:color w:val="auto"/>
          <w:sz w:val="21"/>
          <w:szCs w:val="21"/>
          <w:highlight w:val="none"/>
          <w:lang w:val="en-US" w:eastAsia="zh-CN"/>
        </w:rPr>
        <w:t>六、商务要求</w:t>
      </w:r>
    </w:p>
    <w:p>
      <w:pPr>
        <w:pageBreakBefore w:val="0"/>
        <w:widowControl w:val="0"/>
        <w:kinsoku/>
        <w:wordWrap/>
        <w:overflowPunct/>
        <w:topLinePunct w:val="0"/>
        <w:autoSpaceDE/>
        <w:bidi w:val="0"/>
        <w:spacing w:line="360" w:lineRule="auto"/>
        <w:textAlignment w:val="auto"/>
        <w:outlineLvl w:val="9"/>
        <w:rPr>
          <w:rFonts w:hint="eastAsia" w:ascii="宋体" w:hAnsi="宋体" w:cs="宋体"/>
          <w:color w:val="auto"/>
          <w:szCs w:val="28"/>
          <w:highlight w:val="none"/>
        </w:rPr>
      </w:pPr>
      <w:r>
        <w:rPr>
          <w:rFonts w:hint="eastAsia" w:ascii="宋体" w:hAnsi="宋体" w:cs="宋体"/>
          <w:color w:val="auto"/>
          <w:szCs w:val="28"/>
          <w:highlight w:val="none"/>
        </w:rPr>
        <w:t>1、质保期：不少于</w:t>
      </w:r>
      <w:r>
        <w:rPr>
          <w:rFonts w:hint="eastAsia" w:ascii="宋体" w:hAnsi="宋体" w:cs="宋体"/>
          <w:color w:val="auto"/>
          <w:szCs w:val="28"/>
          <w:highlight w:val="none"/>
          <w:lang w:val="en-US" w:eastAsia="zh-CN"/>
        </w:rPr>
        <w:t>三</w:t>
      </w:r>
      <w:r>
        <w:rPr>
          <w:rFonts w:hint="eastAsia" w:ascii="宋体" w:hAnsi="宋体" w:cs="宋体"/>
          <w:color w:val="auto"/>
          <w:szCs w:val="28"/>
          <w:highlight w:val="none"/>
        </w:rPr>
        <w:t>年（全部货物安装调试完毕且验收合格之日开始计算）。</w:t>
      </w:r>
    </w:p>
    <w:p>
      <w:pPr>
        <w:pageBreakBefore w:val="0"/>
        <w:widowControl w:val="0"/>
        <w:kinsoku/>
        <w:wordWrap/>
        <w:overflowPunct/>
        <w:topLinePunct w:val="0"/>
        <w:autoSpaceDE/>
        <w:bidi w:val="0"/>
        <w:spacing w:line="360" w:lineRule="auto"/>
        <w:textAlignment w:val="auto"/>
        <w:outlineLvl w:val="9"/>
        <w:rPr>
          <w:rFonts w:hint="eastAsia" w:ascii="宋体" w:hAnsi="宋体" w:cs="宋体"/>
          <w:color w:val="auto"/>
          <w:szCs w:val="28"/>
          <w:highlight w:val="none"/>
        </w:rPr>
      </w:pPr>
      <w:r>
        <w:rPr>
          <w:rFonts w:hint="eastAsia" w:ascii="宋体" w:hAnsi="宋体" w:cs="宋体"/>
          <w:color w:val="auto"/>
          <w:szCs w:val="28"/>
          <w:highlight w:val="none"/>
        </w:rPr>
        <w:t>2、交货时间：进场施工以</w:t>
      </w:r>
      <w:r>
        <w:rPr>
          <w:rFonts w:hint="eastAsia" w:ascii="宋体" w:hAnsi="宋体" w:cs="宋体"/>
          <w:color w:val="auto"/>
          <w:szCs w:val="28"/>
          <w:highlight w:val="none"/>
          <w:lang w:val="en-US" w:eastAsia="zh-CN"/>
        </w:rPr>
        <w:t>采购人</w:t>
      </w:r>
      <w:r>
        <w:rPr>
          <w:rFonts w:hint="eastAsia" w:ascii="宋体" w:hAnsi="宋体" w:cs="宋体"/>
          <w:color w:val="auto"/>
          <w:szCs w:val="28"/>
          <w:highlight w:val="none"/>
        </w:rPr>
        <w:t>通知为准</w:t>
      </w:r>
      <w:r>
        <w:rPr>
          <w:rFonts w:hint="eastAsia" w:ascii="宋体" w:hAnsi="宋体" w:cs="宋体"/>
          <w:color w:val="auto"/>
          <w:szCs w:val="28"/>
          <w:highlight w:val="none"/>
          <w:lang w:eastAsia="zh-CN"/>
        </w:rPr>
        <w:t>，</w:t>
      </w:r>
      <w:r>
        <w:rPr>
          <w:rFonts w:hint="eastAsia" w:ascii="宋体" w:hAnsi="宋体" w:cs="宋体"/>
          <w:color w:val="auto"/>
          <w:szCs w:val="28"/>
          <w:highlight w:val="none"/>
        </w:rPr>
        <w:t>接到采购人通知</w:t>
      </w:r>
      <w:r>
        <w:rPr>
          <w:rFonts w:hint="eastAsia" w:ascii="宋体" w:hAnsi="宋体" w:cs="宋体"/>
          <w:color w:val="auto"/>
          <w:szCs w:val="28"/>
          <w:highlight w:val="none"/>
          <w:lang w:val="en-US" w:eastAsia="zh-CN"/>
        </w:rPr>
        <w:t>进场</w:t>
      </w:r>
      <w:r>
        <w:rPr>
          <w:rFonts w:hint="eastAsia" w:ascii="宋体" w:hAnsi="宋体" w:cs="宋体"/>
          <w:color w:val="auto"/>
          <w:szCs w:val="28"/>
          <w:highlight w:val="none"/>
        </w:rPr>
        <w:t>施工后</w:t>
      </w:r>
      <w:r>
        <w:rPr>
          <w:rFonts w:hint="eastAsia" w:ascii="宋体" w:hAnsi="宋体" w:cs="宋体"/>
          <w:color w:val="auto"/>
          <w:szCs w:val="28"/>
          <w:highlight w:val="none"/>
          <w:lang w:val="en-US" w:eastAsia="zh-CN"/>
        </w:rPr>
        <w:t>30</w:t>
      </w:r>
      <w:r>
        <w:rPr>
          <w:rFonts w:hint="eastAsia" w:ascii="宋体" w:hAnsi="宋体" w:cs="宋体"/>
          <w:color w:val="auto"/>
          <w:szCs w:val="28"/>
          <w:highlight w:val="none"/>
        </w:rPr>
        <w:t>天内完成供货及安装调试。</w:t>
      </w:r>
    </w:p>
    <w:p>
      <w:pPr>
        <w:keepNext w:val="0"/>
        <w:keepLines w:val="0"/>
        <w:pageBreakBefore w:val="0"/>
        <w:widowControl w:val="0"/>
        <w:kinsoku/>
        <w:wordWrap/>
        <w:overflowPunct/>
        <w:topLinePunct w:val="0"/>
        <w:bidi w:val="0"/>
        <w:adjustRightInd/>
        <w:spacing w:line="360" w:lineRule="auto"/>
        <w:outlineLvl w:val="9"/>
        <w:rPr>
          <w:rFonts w:hint="eastAsia" w:ascii="宋体" w:hAnsi="宋体" w:eastAsia="宋体" w:cs="宋体"/>
          <w:b/>
          <w:color w:val="auto"/>
          <w:szCs w:val="21"/>
          <w:highlight w:val="none"/>
          <w:lang w:val="en-US" w:eastAsia="zh-CN"/>
        </w:rPr>
      </w:pPr>
      <w:r>
        <w:rPr>
          <w:rFonts w:hint="eastAsia" w:ascii="宋体" w:hAnsi="宋体" w:cs="宋体"/>
          <w:color w:val="auto"/>
          <w:szCs w:val="28"/>
          <w:highlight w:val="none"/>
          <w:lang w:val="en-US" w:eastAsia="zh-CN"/>
        </w:rPr>
        <w:t>3</w:t>
      </w:r>
      <w:r>
        <w:rPr>
          <w:rFonts w:hint="eastAsia" w:ascii="宋体" w:hAnsi="宋体" w:cs="宋体"/>
          <w:color w:val="auto"/>
          <w:szCs w:val="28"/>
          <w:highlight w:val="none"/>
        </w:rPr>
        <w:t>、付款条件：签订合同后支付合同金额的</w:t>
      </w:r>
      <w:r>
        <w:rPr>
          <w:rFonts w:hint="eastAsia" w:ascii="宋体" w:hAnsi="宋体" w:cs="宋体"/>
          <w:color w:val="auto"/>
          <w:szCs w:val="28"/>
          <w:highlight w:val="none"/>
          <w:lang w:val="en-US" w:eastAsia="zh-CN"/>
        </w:rPr>
        <w:t>4</w:t>
      </w:r>
      <w:r>
        <w:rPr>
          <w:rFonts w:hint="eastAsia" w:ascii="宋体" w:hAnsi="宋体" w:cs="宋体"/>
          <w:color w:val="auto"/>
          <w:szCs w:val="28"/>
          <w:highlight w:val="none"/>
        </w:rPr>
        <w:t>0%作为预付款，验收合格后支付剩余全部金额。</w:t>
      </w:r>
    </w:p>
    <w:p>
      <w:pPr>
        <w:pageBreakBefore w:val="0"/>
        <w:widowControl w:val="0"/>
        <w:kinsoku/>
        <w:wordWrap/>
        <w:overflowPunct/>
        <w:topLinePunct w:val="0"/>
        <w:autoSpaceDE/>
        <w:autoSpaceDN w:val="0"/>
        <w:bidi w:val="0"/>
        <w:spacing w:line="360" w:lineRule="auto"/>
        <w:textAlignment w:val="auto"/>
        <w:outlineLvl w:val="9"/>
        <w:rPr>
          <w:rFonts w:hint="eastAsia" w:ascii="宋体" w:hAnsi="宋体" w:eastAsia="宋体" w:cs="宋体"/>
          <w:b/>
          <w:color w:val="auto"/>
          <w:szCs w:val="21"/>
          <w:highlight w:val="none"/>
        </w:rPr>
        <w:sectPr>
          <w:headerReference r:id="rId5" w:type="default"/>
          <w:footerReference r:id="rId6" w:type="default"/>
          <w:pgSz w:w="11906" w:h="16838"/>
          <w:pgMar w:top="1440" w:right="1800" w:bottom="1440" w:left="1800" w:header="851" w:footer="992" w:gutter="0"/>
          <w:pgNumType w:fmt="decimal"/>
          <w:cols w:space="425" w:num="1"/>
          <w:docGrid w:type="lines" w:linePitch="312" w:charSpace="0"/>
        </w:sectPr>
      </w:pPr>
      <w:r>
        <w:rPr>
          <w:rFonts w:hint="eastAsia" w:ascii="宋体" w:hAnsi="宋体" w:cs="宋体"/>
          <w:b/>
          <w:color w:val="auto"/>
          <w:szCs w:val="21"/>
          <w:highlight w:val="none"/>
          <w:lang w:val="en-US" w:eastAsia="zh-CN"/>
        </w:rPr>
        <w:t>七</w:t>
      </w:r>
      <w:r>
        <w:rPr>
          <w:rFonts w:hint="eastAsia" w:ascii="宋体" w:hAnsi="宋体" w:eastAsia="宋体" w:cs="宋体"/>
          <w:b/>
          <w:color w:val="auto"/>
          <w:szCs w:val="21"/>
          <w:highlight w:val="none"/>
        </w:rPr>
        <w:t>、本项目中标（成交）供应商应在</w:t>
      </w:r>
      <w:r>
        <w:rPr>
          <w:rFonts w:hint="eastAsia" w:ascii="宋体" w:hAnsi="宋体" w:eastAsia="宋体" w:cs="宋体"/>
          <w:b/>
          <w:color w:val="auto"/>
          <w:szCs w:val="21"/>
          <w:highlight w:val="none"/>
          <w:lang w:eastAsia="zh-CN"/>
        </w:rPr>
        <w:t>浙江政府采购网</w:t>
      </w:r>
      <w:r>
        <w:rPr>
          <w:rFonts w:hint="eastAsia" w:ascii="宋体" w:hAnsi="宋体" w:eastAsia="宋体" w:cs="宋体"/>
          <w:b/>
          <w:color w:val="auto"/>
          <w:szCs w:val="21"/>
          <w:highlight w:val="none"/>
        </w:rPr>
        <w:t>（</w:t>
      </w:r>
      <w:r>
        <w:rPr>
          <w:rFonts w:hint="eastAsia" w:ascii="宋体" w:hAnsi="宋体" w:eastAsia="宋体" w:cs="宋体"/>
          <w:b/>
          <w:color w:val="auto"/>
          <w:szCs w:val="21"/>
          <w:highlight w:val="none"/>
          <w:lang w:eastAsia="zh-CN"/>
        </w:rPr>
        <w:t>http://zfcg.czt.zj.gov.cn</w:t>
      </w:r>
      <w:r>
        <w:rPr>
          <w:rFonts w:hint="eastAsia" w:ascii="宋体" w:hAnsi="宋体" w:eastAsia="宋体" w:cs="宋体"/>
          <w:b/>
          <w:color w:val="auto"/>
          <w:szCs w:val="21"/>
          <w:highlight w:val="none"/>
        </w:rPr>
        <w:t>）上注册成为“政府采购供应商”，如不按要求注册的，采购方有权延期发布中标（成交）通知书和中标（成交）公告，后果由供应商自行承担</w:t>
      </w:r>
      <w:r>
        <w:rPr>
          <w:rFonts w:hint="eastAsia" w:ascii="宋体" w:hAnsi="宋体" w:eastAsia="宋体" w:cs="宋体"/>
          <w:b/>
          <w:color w:val="auto"/>
          <w:szCs w:val="21"/>
          <w:highlight w:val="none"/>
          <w:lang w:eastAsia="zh-CN"/>
        </w:rPr>
        <w:t>。</w:t>
      </w:r>
    </w:p>
    <w:p>
      <w:pPr>
        <w:spacing w:line="360" w:lineRule="auto"/>
        <w:jc w:val="center"/>
        <w:outlineLvl w:val="0"/>
        <w:rPr>
          <w:rFonts w:hint="eastAsia" w:ascii="宋体" w:hAnsi="宋体" w:eastAsia="宋体" w:cs="宋体"/>
          <w:b/>
          <w:color w:val="auto"/>
          <w:sz w:val="36"/>
          <w:szCs w:val="36"/>
          <w:highlight w:val="none"/>
          <w:lang w:eastAsia="zh-CN"/>
        </w:rPr>
      </w:pPr>
      <w:r>
        <w:rPr>
          <w:rFonts w:hint="eastAsia" w:ascii="宋体" w:hAnsi="宋体" w:eastAsia="宋体" w:cs="宋体"/>
          <w:b/>
          <w:color w:val="auto"/>
          <w:sz w:val="36"/>
          <w:szCs w:val="36"/>
          <w:highlight w:val="none"/>
        </w:rPr>
        <w:t>第五章 合同主要条款</w:t>
      </w:r>
    </w:p>
    <w:p>
      <w:pPr>
        <w:pStyle w:val="52"/>
        <w:keepNext w:val="0"/>
        <w:keepLines w:val="0"/>
        <w:pageBreakBefore w:val="0"/>
        <w:kinsoku/>
        <w:wordWrap/>
        <w:overflowPunct/>
        <w:topLinePunct w:val="0"/>
        <w:bidi w:val="0"/>
        <w:spacing w:line="36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rPr>
        <w:t>（此稿为合同样本，最终定稿待双方协商后定，但不得背离实质性内容）</w:t>
      </w:r>
    </w:p>
    <w:p>
      <w:pPr>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合同将由</w:t>
      </w:r>
      <w:r>
        <w:rPr>
          <w:rFonts w:hint="eastAsia" w:ascii="宋体" w:hAnsi="宋体" w:cs="宋体"/>
          <w:color w:val="auto"/>
          <w:sz w:val="21"/>
          <w:szCs w:val="21"/>
          <w:highlight w:val="none"/>
          <w:lang w:eastAsia="zh-CN"/>
        </w:rPr>
        <w:t>台州市路桥中学</w:t>
      </w:r>
      <w:r>
        <w:rPr>
          <w:rFonts w:hint="eastAsia" w:ascii="宋体" w:hAnsi="宋体" w:eastAsia="宋体" w:cs="宋体"/>
          <w:color w:val="auto"/>
          <w:sz w:val="21"/>
          <w:szCs w:val="21"/>
          <w:highlight w:val="none"/>
        </w:rPr>
        <w:t>（以下简称甲方）与经评审最终确定的中标人（以下简称乙方）结合本项目具体情况协商后签订。以下为采购人提出涉及乙方的主要条款，投标人在投标文件中应对其进行确认或拒绝。如投标人在其投标文件中未做拒绝或提出调整完善要求的，采购人将视作认同。具体如下：</w:t>
      </w:r>
    </w:p>
    <w:p>
      <w:pPr>
        <w:pStyle w:val="11"/>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项目编号</w:t>
      </w:r>
      <w:r>
        <w:rPr>
          <w:rFonts w:hint="eastAsia" w:ascii="宋体" w:hAnsi="宋体" w:eastAsia="宋体" w:cs="宋体"/>
          <w:color w:val="auto"/>
          <w:sz w:val="21"/>
          <w:szCs w:val="21"/>
          <w:highlight w:val="none"/>
        </w:rPr>
        <w:t>：</w:t>
      </w:r>
    </w:p>
    <w:p>
      <w:pPr>
        <w:pStyle w:val="11"/>
        <w:snapToGrid w:val="0"/>
        <w:spacing w:line="360" w:lineRule="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甲方：</w:t>
      </w:r>
      <w:r>
        <w:rPr>
          <w:rFonts w:hint="eastAsia" w:ascii="宋体" w:hAnsi="宋体" w:eastAsia="宋体" w:cs="宋体"/>
          <w:color w:val="auto"/>
          <w:sz w:val="21"/>
          <w:szCs w:val="21"/>
          <w:highlight w:val="none"/>
        </w:rPr>
        <w:t>（采购方）</w:t>
      </w:r>
    </w:p>
    <w:p>
      <w:pPr>
        <w:pStyle w:val="11"/>
        <w:adjustRightInd w:val="0"/>
        <w:snapToGrid w:val="0"/>
        <w:spacing w:line="360" w:lineRule="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乙方：</w:t>
      </w:r>
      <w:r>
        <w:rPr>
          <w:rFonts w:hint="eastAsia" w:ascii="宋体" w:hAnsi="宋体" w:eastAsia="宋体" w:cs="宋体"/>
          <w:color w:val="auto"/>
          <w:sz w:val="21"/>
          <w:szCs w:val="21"/>
          <w:highlight w:val="none"/>
        </w:rPr>
        <w:t>（供应商）</w:t>
      </w:r>
      <w:r>
        <w:rPr>
          <w:rFonts w:hint="eastAsia" w:ascii="宋体" w:hAnsi="宋体" w:eastAsia="宋体" w:cs="宋体"/>
          <w:b/>
          <w:color w:val="auto"/>
          <w:sz w:val="21"/>
          <w:szCs w:val="21"/>
          <w:highlight w:val="none"/>
        </w:rPr>
        <w:t xml:space="preserve"> </w:t>
      </w:r>
    </w:p>
    <w:p>
      <w:pPr>
        <w:pStyle w:val="11"/>
        <w:adjustRightInd w:val="0"/>
        <w:snapToGrid w:val="0"/>
        <w:spacing w:line="360" w:lineRule="auto"/>
        <w:ind w:firstLine="420" w:firstLineChars="200"/>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甲、乙双方根据</w:t>
      </w:r>
      <w:r>
        <w:rPr>
          <w:rFonts w:hint="eastAsia" w:hAnsi="宋体" w:cs="宋体"/>
          <w:color w:val="auto"/>
          <w:sz w:val="21"/>
          <w:szCs w:val="21"/>
          <w:highlight w:val="none"/>
          <w:u w:val="single"/>
          <w:lang w:eastAsia="zh-CN"/>
        </w:rPr>
        <w:t>化学实验室、化学通风设备采购项目</w:t>
      </w:r>
      <w:r>
        <w:rPr>
          <w:rFonts w:hint="eastAsia" w:ascii="宋体" w:hAnsi="宋体" w:eastAsia="宋体" w:cs="宋体"/>
          <w:color w:val="auto"/>
          <w:sz w:val="21"/>
          <w:szCs w:val="21"/>
          <w:highlight w:val="none"/>
          <w:u w:val="single"/>
        </w:rPr>
        <w:t>公开招标</w:t>
      </w:r>
      <w:r>
        <w:rPr>
          <w:rFonts w:hint="eastAsia" w:ascii="宋体" w:hAnsi="宋体" w:eastAsia="宋体" w:cs="宋体"/>
          <w:color w:val="auto"/>
          <w:sz w:val="21"/>
          <w:szCs w:val="21"/>
          <w:highlight w:val="none"/>
        </w:rPr>
        <w:t>的结果，签署本合同。</w:t>
      </w:r>
    </w:p>
    <w:p>
      <w:pPr>
        <w:snapToGrid w:val="0"/>
        <w:spacing w:line="360" w:lineRule="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第一条：承包内容</w:t>
      </w:r>
    </w:p>
    <w:p>
      <w:pPr>
        <w:snapToGrid w:val="0"/>
        <w:spacing w:line="360" w:lineRule="auto"/>
        <w:ind w:firstLine="422" w:firstLineChars="200"/>
        <w:rPr>
          <w:rFonts w:hint="eastAsia" w:ascii="宋体" w:hAnsi="宋体" w:eastAsia="宋体" w:cs="宋体"/>
          <w:color w:val="auto"/>
          <w:szCs w:val="21"/>
          <w:highlight w:val="none"/>
        </w:rPr>
      </w:pPr>
      <w:r>
        <w:rPr>
          <w:rFonts w:hint="eastAsia" w:ascii="宋体" w:hAnsi="宋体" w:cs="宋体"/>
          <w:b/>
          <w:color w:val="auto"/>
          <w:szCs w:val="21"/>
          <w:highlight w:val="none"/>
          <w:lang w:eastAsia="zh-CN"/>
        </w:rPr>
        <w:t>化学实验室、化学通风设备采购项目</w:t>
      </w:r>
      <w:r>
        <w:rPr>
          <w:rFonts w:hint="eastAsia" w:ascii="宋体" w:hAnsi="宋体" w:eastAsia="宋体" w:cs="宋体"/>
          <w:color w:val="auto"/>
          <w:szCs w:val="21"/>
          <w:highlight w:val="none"/>
        </w:rPr>
        <w:t>，包括上述项目的供货、运输、安装、总体调试、技术培训、直至验收合格及售后服务等。</w:t>
      </w:r>
    </w:p>
    <w:p>
      <w:pPr>
        <w:snapToGrid w:val="0"/>
        <w:spacing w:line="360" w:lineRule="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第二条：合同金额</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本合同金额为(大写):</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元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元) 人民币。</w:t>
      </w:r>
    </w:p>
    <w:p>
      <w:pPr>
        <w:spacing w:line="360" w:lineRule="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第三条：交货期、验收方式及地点</w:t>
      </w:r>
    </w:p>
    <w:p>
      <w:pPr>
        <w:keepNext w:val="0"/>
        <w:keepLines w:val="0"/>
        <w:pageBreakBefore w:val="0"/>
        <w:kinsoku/>
        <w:wordWrap/>
        <w:overflowPunct/>
        <w:topLinePunct w:val="0"/>
        <w:autoSpaceDE/>
        <w:autoSpaceDN/>
        <w:bidi w:val="0"/>
        <w:adjustRightInd w:val="0"/>
        <w:snapToGrid/>
        <w:spacing w:beforeAutospacing="0" w:afterAutospacing="0" w:line="360" w:lineRule="auto"/>
        <w:ind w:left="0" w:firstLine="420" w:firstLineChars="200"/>
        <w:textAlignment w:val="auto"/>
        <w:rPr>
          <w:rFonts w:hint="eastAsia" w:ascii="宋体" w:hAnsi="宋体" w:eastAsia="宋体" w:cs="宋体"/>
          <w:bCs/>
          <w:color w:val="auto"/>
          <w:sz w:val="21"/>
          <w:szCs w:val="21"/>
          <w:highlight w:val="none"/>
          <w:u w:val="single"/>
          <w:lang w:val="en-US" w:eastAsia="zh-CN"/>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en-US" w:eastAsia="zh-CN"/>
        </w:rPr>
        <w:t>工期：</w:t>
      </w:r>
      <w:r>
        <w:rPr>
          <w:rFonts w:hint="eastAsia" w:ascii="宋体" w:hAnsi="宋体" w:eastAsia="宋体" w:cs="宋体"/>
          <w:color w:val="auto"/>
          <w:szCs w:val="21"/>
          <w:highlight w:val="none"/>
          <w:u w:val="single"/>
          <w:lang w:val="en-US" w:eastAsia="zh-CN"/>
        </w:rPr>
        <w:t>进场施工以</w:t>
      </w:r>
      <w:r>
        <w:rPr>
          <w:rFonts w:hint="eastAsia" w:ascii="宋体" w:hAnsi="宋体" w:cs="宋体"/>
          <w:color w:val="auto"/>
          <w:szCs w:val="21"/>
          <w:highlight w:val="none"/>
          <w:u w:val="single"/>
          <w:lang w:val="en-US" w:eastAsia="zh-CN"/>
        </w:rPr>
        <w:t>甲方</w:t>
      </w:r>
      <w:r>
        <w:rPr>
          <w:rFonts w:hint="eastAsia" w:ascii="宋体" w:hAnsi="宋体" w:eastAsia="宋体" w:cs="宋体"/>
          <w:color w:val="auto"/>
          <w:szCs w:val="21"/>
          <w:highlight w:val="none"/>
          <w:u w:val="single"/>
          <w:lang w:val="en-US" w:eastAsia="zh-CN"/>
        </w:rPr>
        <w:t>通知为准，接到</w:t>
      </w:r>
      <w:r>
        <w:rPr>
          <w:rFonts w:hint="eastAsia" w:ascii="宋体" w:hAnsi="宋体" w:cs="宋体"/>
          <w:color w:val="auto"/>
          <w:szCs w:val="21"/>
          <w:highlight w:val="none"/>
          <w:u w:val="single"/>
          <w:lang w:val="en-US" w:eastAsia="zh-CN"/>
        </w:rPr>
        <w:t>甲方</w:t>
      </w:r>
      <w:r>
        <w:rPr>
          <w:rFonts w:hint="eastAsia" w:ascii="宋体" w:hAnsi="宋体" w:eastAsia="宋体" w:cs="宋体"/>
          <w:color w:val="auto"/>
          <w:szCs w:val="21"/>
          <w:highlight w:val="none"/>
          <w:u w:val="single"/>
          <w:lang w:val="en-US" w:eastAsia="zh-CN"/>
        </w:rPr>
        <w:t>通知进场施工后30天内完成供货及安装调试。</w:t>
      </w:r>
    </w:p>
    <w:p>
      <w:pPr>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2、验收方式及地点：</w:t>
      </w:r>
      <w:r>
        <w:rPr>
          <w:rFonts w:hint="eastAsia" w:ascii="宋体" w:hAnsi="宋体" w:eastAsia="宋体" w:cs="宋体"/>
          <w:color w:val="auto"/>
          <w:szCs w:val="21"/>
          <w:highlight w:val="none"/>
          <w:u w:val="single"/>
        </w:rPr>
        <w:t>按</w:t>
      </w:r>
      <w:r>
        <w:rPr>
          <w:rFonts w:hint="eastAsia" w:ascii="宋体" w:hAnsi="宋体" w:cs="宋体"/>
          <w:color w:val="auto"/>
          <w:szCs w:val="21"/>
          <w:highlight w:val="none"/>
          <w:u w:val="single"/>
          <w:lang w:val="en-US" w:eastAsia="zh-CN"/>
        </w:rPr>
        <w:t>甲方</w:t>
      </w:r>
      <w:r>
        <w:rPr>
          <w:rFonts w:hint="eastAsia" w:ascii="宋体" w:hAnsi="宋体" w:eastAsia="宋体" w:cs="宋体"/>
          <w:color w:val="auto"/>
          <w:szCs w:val="21"/>
          <w:highlight w:val="none"/>
          <w:u w:val="single"/>
        </w:rPr>
        <w:t>的方式、地点验收。</w:t>
      </w:r>
    </w:p>
    <w:p>
      <w:pPr>
        <w:spacing w:line="360" w:lineRule="auto"/>
        <w:ind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3、供货要求：</w:t>
      </w:r>
      <w:r>
        <w:rPr>
          <w:rFonts w:hint="eastAsia" w:ascii="宋体" w:hAnsi="宋体" w:eastAsia="宋体" w:cs="宋体"/>
          <w:color w:val="auto"/>
          <w:szCs w:val="21"/>
          <w:highlight w:val="none"/>
          <w:u w:val="single"/>
        </w:rPr>
        <w:t>货物应由乙方直供，不得转包或分包</w:t>
      </w:r>
      <w:r>
        <w:rPr>
          <w:rFonts w:hint="eastAsia" w:ascii="宋体" w:hAnsi="宋体" w:eastAsia="宋体" w:cs="宋体"/>
          <w:color w:val="auto"/>
          <w:szCs w:val="21"/>
          <w:highlight w:val="none"/>
          <w:u w:val="single"/>
          <w:lang w:eastAsia="zh-CN"/>
        </w:rPr>
        <w:t>。</w:t>
      </w:r>
    </w:p>
    <w:p>
      <w:pPr>
        <w:spacing w:line="360" w:lineRule="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第四条：质保期</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质保期</w:t>
      </w:r>
      <w:r>
        <w:rPr>
          <w:rFonts w:hint="eastAsia" w:ascii="宋体" w:hAnsi="宋体" w:eastAsia="宋体" w:cs="宋体"/>
          <w:b/>
          <w:color w:val="auto"/>
          <w:szCs w:val="21"/>
          <w:highlight w:val="none"/>
          <w:u w:val="single"/>
        </w:rPr>
        <w:t xml:space="preserve">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年。（全部货物安装调试完毕且验收合格之日开始计算）</w:t>
      </w:r>
    </w:p>
    <w:p>
      <w:pPr>
        <w:spacing w:line="360" w:lineRule="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第五条：货物包装、发运及运输</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1、乙方在货物发运前对其进行满足运输距离、防潮、防震、防锈和防破损装卸等要求包装，以保证货物安全运达甲方指定地点。</w:t>
      </w:r>
      <w:r>
        <w:rPr>
          <w:rFonts w:hint="eastAsia" w:ascii="宋体" w:hAnsi="宋体" w:eastAsia="宋体" w:cs="宋体"/>
          <w:color w:val="auto"/>
          <w:szCs w:val="21"/>
          <w:highlight w:val="none"/>
          <w:lang w:val="en-US" w:eastAsia="zh-CN"/>
        </w:rPr>
        <w:t>包装费由乙方承担。</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2、使用说明书、质量检验证明书、随配附件和工具以及清单一并附于货物内。</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3、货物在交付采购方前发生的风险由乙方承担，交付前的运输费用均由乙方</w:t>
      </w:r>
      <w:r>
        <w:rPr>
          <w:rFonts w:hint="eastAsia" w:ascii="宋体" w:hAnsi="宋体" w:eastAsia="宋体" w:cs="宋体"/>
          <w:color w:val="auto"/>
          <w:szCs w:val="21"/>
          <w:highlight w:val="none"/>
          <w:lang w:val="en-US" w:eastAsia="zh-CN"/>
        </w:rPr>
        <w:t>承担</w:t>
      </w:r>
      <w:r>
        <w:rPr>
          <w:rFonts w:hint="eastAsia" w:ascii="宋体" w:hAnsi="宋体" w:eastAsia="宋体" w:cs="宋体"/>
          <w:color w:val="auto"/>
          <w:szCs w:val="21"/>
          <w:highlight w:val="none"/>
        </w:rPr>
        <w:t>。</w:t>
      </w:r>
    </w:p>
    <w:p>
      <w:pPr>
        <w:snapToGrid w:val="0"/>
        <w:spacing w:line="360" w:lineRule="auto"/>
        <w:ind w:firstLine="401" w:firstLineChars="191"/>
        <w:rPr>
          <w:rFonts w:hint="eastAsia" w:ascii="宋体" w:hAnsi="宋体" w:eastAsia="宋体" w:cs="宋体"/>
          <w:color w:val="auto"/>
          <w:szCs w:val="21"/>
          <w:highlight w:val="none"/>
        </w:rPr>
      </w:pPr>
      <w:r>
        <w:rPr>
          <w:rFonts w:hint="eastAsia" w:ascii="宋体" w:hAnsi="宋体" w:eastAsia="宋体" w:cs="宋体"/>
          <w:color w:val="auto"/>
          <w:szCs w:val="21"/>
          <w:highlight w:val="none"/>
        </w:rPr>
        <w:t>4、货物在规定的交付期限内由乙方送达甲方指定的地点且经开箱检验合格视为交付。</w:t>
      </w:r>
    </w:p>
    <w:p>
      <w:pPr>
        <w:spacing w:line="360" w:lineRule="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第六条：调试和验收</w:t>
      </w:r>
    </w:p>
    <w:p>
      <w:pPr>
        <w:spacing w:line="360" w:lineRule="auto"/>
        <w:ind w:firstLine="411" w:firstLineChars="196"/>
        <w:rPr>
          <w:rFonts w:hint="eastAsia" w:ascii="宋体" w:hAnsi="宋体" w:eastAsia="宋体" w:cs="宋体"/>
          <w:b/>
          <w:color w:val="auto"/>
          <w:szCs w:val="21"/>
          <w:highlight w:val="none"/>
        </w:rPr>
      </w:pPr>
      <w:r>
        <w:rPr>
          <w:rFonts w:hint="eastAsia" w:ascii="宋体" w:hAnsi="宋体" w:eastAsia="宋体" w:cs="宋体"/>
          <w:color w:val="auto"/>
          <w:szCs w:val="21"/>
          <w:highlight w:val="none"/>
        </w:rPr>
        <w:t>1、甲方认为有必要在设备制造过程中派人到生产厂家进行监制，并在设备发货前赴生产厂进行预验收，乙方应予以积极配合并对监制或预验收工作提供方便。</w:t>
      </w:r>
    </w:p>
    <w:p>
      <w:pPr>
        <w:autoSpaceDE w:val="0"/>
        <w:autoSpaceDN w:val="0"/>
        <w:spacing w:line="360" w:lineRule="auto"/>
        <w:ind w:firstLine="420" w:firstLineChars="200"/>
        <w:textAlignment w:val="bottom"/>
        <w:rPr>
          <w:rFonts w:hint="eastAsia" w:ascii="宋体" w:hAnsi="宋体" w:eastAsia="宋体" w:cs="宋体"/>
          <w:color w:val="auto"/>
          <w:szCs w:val="21"/>
          <w:highlight w:val="none"/>
        </w:rPr>
      </w:pPr>
      <w:r>
        <w:rPr>
          <w:rFonts w:hint="eastAsia" w:ascii="宋体" w:hAnsi="宋体" w:eastAsia="宋体" w:cs="宋体"/>
          <w:color w:val="auto"/>
          <w:szCs w:val="21"/>
          <w:highlight w:val="none"/>
        </w:rPr>
        <w:t>2、设备到达现场后，乙方应派人参与甲方组织的开箱检验工作。</w:t>
      </w:r>
    </w:p>
    <w:p>
      <w:pPr>
        <w:autoSpaceDE w:val="0"/>
        <w:autoSpaceDN w:val="0"/>
        <w:spacing w:line="360" w:lineRule="auto"/>
        <w:ind w:firstLine="420" w:firstLineChars="200"/>
        <w:textAlignment w:val="bottom"/>
        <w:rPr>
          <w:rFonts w:hint="eastAsia" w:ascii="宋体" w:hAnsi="宋体" w:eastAsia="宋体" w:cs="宋体"/>
          <w:color w:val="auto"/>
          <w:szCs w:val="21"/>
          <w:highlight w:val="none"/>
        </w:rPr>
      </w:pPr>
      <w:r>
        <w:rPr>
          <w:rFonts w:hint="eastAsia" w:ascii="宋体" w:hAnsi="宋体" w:eastAsia="宋体" w:cs="宋体"/>
          <w:color w:val="auto"/>
          <w:szCs w:val="21"/>
          <w:highlight w:val="none"/>
        </w:rPr>
        <w:t>3、乙方交货前应按国家（行业）标准及合同规定的检验方法，做出全面检测。其记录附在质量证明书内。但有关质量、规格、性能、数量或重量的检验不应视为最终检验。乙方检验的结果和详细要求应在质量证明书中加以说明。进口元器件应提供报关及商检证明。</w:t>
      </w:r>
    </w:p>
    <w:p>
      <w:pPr>
        <w:autoSpaceDE w:val="0"/>
        <w:autoSpaceDN w:val="0"/>
        <w:spacing w:line="360" w:lineRule="auto"/>
        <w:ind w:firstLine="420" w:firstLineChars="200"/>
        <w:textAlignment w:val="bottom"/>
        <w:rPr>
          <w:rFonts w:hint="eastAsia" w:ascii="宋体" w:hAnsi="宋体" w:eastAsia="宋体" w:cs="宋体"/>
          <w:color w:val="auto"/>
          <w:szCs w:val="21"/>
          <w:highlight w:val="none"/>
        </w:rPr>
      </w:pPr>
      <w:r>
        <w:rPr>
          <w:rFonts w:hint="eastAsia" w:ascii="宋体" w:hAnsi="宋体" w:eastAsia="宋体" w:cs="宋体"/>
          <w:color w:val="auto"/>
          <w:szCs w:val="21"/>
          <w:highlight w:val="none"/>
        </w:rPr>
        <w:t>4、设备安装、调试结束后，经过一个月的试运转考核无故障，并经有关部门的检验合格后，买卖双方共同签署验收合格证书。</w:t>
      </w:r>
    </w:p>
    <w:p>
      <w:pPr>
        <w:keepNext w:val="0"/>
        <w:keepLines w:val="0"/>
        <w:pageBreakBefore w:val="0"/>
        <w:kinsoku/>
        <w:wordWrap/>
        <w:overflowPunct/>
        <w:topLinePunct w:val="0"/>
        <w:autoSpaceDE/>
        <w:autoSpaceDN/>
        <w:bidi w:val="0"/>
        <w:snapToGrid w:val="0"/>
        <w:spacing w:beforeAutospacing="0" w:afterAutospacing="0" w:line="360" w:lineRule="auto"/>
        <w:textAlignment w:val="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第七条：付款方式</w:t>
      </w:r>
    </w:p>
    <w:p>
      <w:pPr>
        <w:keepNext w:val="0"/>
        <w:keepLines w:val="0"/>
        <w:pageBreakBefore w:val="0"/>
        <w:kinsoku/>
        <w:wordWrap/>
        <w:overflowPunct/>
        <w:topLinePunct w:val="0"/>
        <w:autoSpaceDE/>
        <w:autoSpaceDN/>
        <w:bidi w:val="0"/>
        <w:adjustRightInd w:val="0"/>
        <w:snapToGrid w:val="0"/>
        <w:spacing w:beforeAutospacing="0" w:afterAutospacing="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cs="宋体"/>
          <w:color w:val="auto"/>
          <w:szCs w:val="28"/>
          <w:highlight w:val="none"/>
        </w:rPr>
        <w:t>签订合同后支付合同金额的</w:t>
      </w:r>
      <w:r>
        <w:rPr>
          <w:rFonts w:hint="eastAsia" w:ascii="宋体" w:hAnsi="宋体" w:cs="宋体"/>
          <w:color w:val="auto"/>
          <w:szCs w:val="28"/>
          <w:highlight w:val="none"/>
          <w:lang w:val="en-US" w:eastAsia="zh-CN"/>
        </w:rPr>
        <w:t>4</w:t>
      </w:r>
      <w:r>
        <w:rPr>
          <w:rFonts w:hint="eastAsia" w:ascii="宋体" w:hAnsi="宋体" w:cs="宋体"/>
          <w:color w:val="auto"/>
          <w:szCs w:val="28"/>
          <w:highlight w:val="none"/>
        </w:rPr>
        <w:t>0%作为预付款，验收合格后支付剩余全部金额</w:t>
      </w:r>
      <w:r>
        <w:rPr>
          <w:rFonts w:hint="eastAsia" w:ascii="宋体" w:hAnsi="宋体" w:eastAsia="宋体" w:cs="宋体"/>
          <w:color w:val="auto"/>
          <w:sz w:val="21"/>
          <w:szCs w:val="21"/>
          <w:highlight w:val="none"/>
        </w:rPr>
        <w:t>。</w:t>
      </w:r>
    </w:p>
    <w:p>
      <w:pPr>
        <w:keepNext w:val="0"/>
        <w:keepLines w:val="0"/>
        <w:pageBreakBefore w:val="0"/>
        <w:kinsoku/>
        <w:wordWrap/>
        <w:overflowPunct/>
        <w:topLinePunct w:val="0"/>
        <w:autoSpaceDE/>
        <w:autoSpaceDN/>
        <w:bidi w:val="0"/>
        <w:adjustRightInd w:val="0"/>
        <w:snapToGrid w:val="0"/>
        <w:spacing w:beforeAutospacing="0" w:afterAutospacing="0" w:line="360" w:lineRule="auto"/>
        <w:textAlignment w:val="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第</w:t>
      </w:r>
      <w:r>
        <w:rPr>
          <w:rFonts w:hint="eastAsia" w:ascii="宋体" w:hAnsi="宋体" w:cs="宋体"/>
          <w:b/>
          <w:color w:val="auto"/>
          <w:szCs w:val="21"/>
          <w:highlight w:val="none"/>
          <w:lang w:val="en-US" w:eastAsia="zh-CN"/>
        </w:rPr>
        <w:t>八</w:t>
      </w:r>
      <w:r>
        <w:rPr>
          <w:rFonts w:hint="eastAsia" w:ascii="宋体" w:hAnsi="宋体" w:eastAsia="宋体" w:cs="宋体"/>
          <w:b/>
          <w:color w:val="auto"/>
          <w:szCs w:val="21"/>
          <w:highlight w:val="none"/>
        </w:rPr>
        <w:t>条：违约责任</w:t>
      </w:r>
    </w:p>
    <w:p>
      <w:pPr>
        <w:adjustRightInd w:val="0"/>
        <w:snapToGrid w:val="0"/>
        <w:spacing w:line="360" w:lineRule="auto"/>
        <w:ind w:firstLine="411" w:firstLineChars="196"/>
        <w:rPr>
          <w:rFonts w:hint="eastAsia" w:ascii="宋体" w:hAnsi="宋体" w:eastAsia="宋体" w:cs="宋体"/>
          <w:color w:val="auto"/>
          <w:szCs w:val="21"/>
          <w:highlight w:val="none"/>
        </w:rPr>
      </w:pPr>
      <w:r>
        <w:rPr>
          <w:rFonts w:hint="eastAsia" w:ascii="宋体" w:hAnsi="宋体" w:eastAsia="宋体" w:cs="宋体"/>
          <w:color w:val="auto"/>
          <w:szCs w:val="21"/>
          <w:highlight w:val="none"/>
        </w:rPr>
        <w:t>1、乙方应按合同约定时间和地点准时供货、完成安装等，逾期履约的，每迟延一日乙方应向甲方支付违约金 5000元。逾期超过30日的，甲方有权单方面解除合同</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rPr>
        <w:t>乙方应赔偿损失至全额覆盖。</w:t>
      </w:r>
    </w:p>
    <w:p>
      <w:pPr>
        <w:adjustRightInd w:val="0"/>
        <w:snapToGrid w:val="0"/>
        <w:spacing w:line="360" w:lineRule="auto"/>
        <w:ind w:firstLine="411" w:firstLineChars="196"/>
        <w:rPr>
          <w:rFonts w:hint="eastAsia" w:ascii="宋体" w:hAnsi="宋体" w:eastAsia="宋体" w:cs="宋体"/>
          <w:color w:val="auto"/>
          <w:szCs w:val="21"/>
          <w:highlight w:val="none"/>
        </w:rPr>
      </w:pPr>
      <w:r>
        <w:rPr>
          <w:rFonts w:hint="eastAsia" w:ascii="宋体" w:hAnsi="宋体" w:eastAsia="宋体" w:cs="宋体"/>
          <w:color w:val="auto"/>
          <w:szCs w:val="21"/>
          <w:highlight w:val="none"/>
        </w:rPr>
        <w:t>甲方有权从未付款中扣除违约金或要求乙方另行支付该违约金。</w:t>
      </w:r>
    </w:p>
    <w:p>
      <w:pPr>
        <w:adjustRightInd w:val="0"/>
        <w:snapToGrid w:val="0"/>
        <w:spacing w:line="360" w:lineRule="auto"/>
        <w:ind w:firstLine="411" w:firstLineChars="196"/>
        <w:rPr>
          <w:rFonts w:hint="eastAsia" w:ascii="宋体" w:hAnsi="宋体" w:eastAsia="宋体" w:cs="宋体"/>
          <w:color w:val="auto"/>
          <w:szCs w:val="21"/>
          <w:highlight w:val="none"/>
        </w:rPr>
      </w:pPr>
      <w:r>
        <w:rPr>
          <w:rFonts w:hint="eastAsia" w:ascii="宋体" w:hAnsi="宋体" w:eastAsia="宋体" w:cs="宋体"/>
          <w:color w:val="auto"/>
          <w:szCs w:val="21"/>
          <w:highlight w:val="none"/>
        </w:rPr>
        <w:t>因乙方提供的货物不符合检验要求而逾期供货的属于乙方责任，按上述约定支付违约金。</w:t>
      </w:r>
    </w:p>
    <w:p>
      <w:pPr>
        <w:adjustRightInd w:val="0"/>
        <w:snapToGrid w:val="0"/>
        <w:spacing w:line="360" w:lineRule="auto"/>
        <w:ind w:firstLine="411" w:firstLineChars="196"/>
        <w:rPr>
          <w:rFonts w:hint="eastAsia" w:ascii="宋体" w:hAnsi="宋体" w:eastAsia="宋体" w:cs="宋体"/>
          <w:b/>
          <w:color w:val="auto"/>
          <w:szCs w:val="21"/>
          <w:highlight w:val="none"/>
          <w:lang w:eastAsia="zh-CN"/>
        </w:rPr>
      </w:pP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甲方有权根据甲方按检验标准自己检验的结果或当地质检部门出具的质检证书向乙方提出索赔。在根据合同中规定的检验期和质保期内，如果乙方对甲方提出的索赔和差异负有责任，乙方应按照甲方同意的下列一种或多种方式解决索赔事宜</w:t>
      </w:r>
      <w:r>
        <w:rPr>
          <w:rFonts w:hint="eastAsia" w:ascii="宋体" w:hAnsi="宋体" w:eastAsia="宋体" w:cs="宋体"/>
          <w:color w:val="auto"/>
          <w:szCs w:val="21"/>
          <w:highlight w:val="none"/>
          <w:lang w:eastAsia="zh-CN"/>
        </w:rPr>
        <w:t>，同时承担全额质检/检验费用：</w:t>
      </w:r>
    </w:p>
    <w:p>
      <w:pPr>
        <w:adjustRightInd w:val="0"/>
        <w:snapToGrid w:val="0"/>
        <w:spacing w:line="360" w:lineRule="auto"/>
        <w:ind w:firstLine="411" w:firstLineChars="196"/>
        <w:rPr>
          <w:rFonts w:hint="eastAsia" w:ascii="宋体" w:hAnsi="宋体" w:eastAsia="宋体" w:cs="宋体"/>
          <w:color w:val="auto"/>
          <w:szCs w:val="21"/>
          <w:highlight w:val="none"/>
        </w:rPr>
      </w:pPr>
      <w:r>
        <w:rPr>
          <w:rFonts w:hint="eastAsia" w:ascii="宋体" w:hAnsi="宋体" w:eastAsia="宋体" w:cs="宋体"/>
          <w:color w:val="auto"/>
          <w:szCs w:val="21"/>
          <w:highlight w:val="none"/>
        </w:rPr>
        <w:t>1）退货：乙方按合同规定的同种货币将货款退还给甲方，并承担由此发生的一切损失和费用，包括利息、银行手续费、运费、保险费、检验费、仓储费、装卸费以及为保护退回货物所需的其它必要费用。</w:t>
      </w:r>
    </w:p>
    <w:p>
      <w:pPr>
        <w:adjustRightInd w:val="0"/>
        <w:snapToGrid w:val="0"/>
        <w:spacing w:line="360" w:lineRule="auto"/>
        <w:ind w:firstLine="411" w:firstLineChars="196"/>
        <w:rPr>
          <w:rFonts w:hint="eastAsia" w:ascii="宋体" w:hAnsi="宋体" w:eastAsia="宋体" w:cs="宋体"/>
          <w:color w:val="auto"/>
          <w:szCs w:val="21"/>
          <w:highlight w:val="none"/>
        </w:rPr>
      </w:pPr>
      <w:r>
        <w:rPr>
          <w:rFonts w:hint="eastAsia" w:ascii="宋体" w:hAnsi="宋体" w:eastAsia="宋体" w:cs="宋体"/>
          <w:color w:val="auto"/>
          <w:szCs w:val="21"/>
          <w:highlight w:val="none"/>
        </w:rPr>
        <w:t>2）根据货物低劣程度、损坏程度以及甲方所遭受损失的数额，经买卖双方商定降低货物的价格。</w:t>
      </w:r>
    </w:p>
    <w:p>
      <w:pPr>
        <w:adjustRightInd w:val="0"/>
        <w:snapToGrid w:val="0"/>
        <w:spacing w:line="360" w:lineRule="auto"/>
        <w:ind w:firstLine="411" w:firstLineChars="196"/>
        <w:rPr>
          <w:rFonts w:hint="eastAsia" w:ascii="宋体" w:hAnsi="宋体" w:eastAsia="宋体" w:cs="宋体"/>
          <w:color w:val="auto"/>
          <w:szCs w:val="21"/>
          <w:highlight w:val="none"/>
        </w:rPr>
      </w:pPr>
      <w:r>
        <w:rPr>
          <w:rFonts w:hint="eastAsia" w:ascii="宋体" w:hAnsi="宋体" w:eastAsia="宋体" w:cs="宋体"/>
          <w:color w:val="auto"/>
          <w:szCs w:val="21"/>
          <w:highlight w:val="none"/>
        </w:rPr>
        <w:t>3）用符合规格、质量和性能要求的新零件、部件或货物来更换有缺陷的部分或修补缺陷部分，乙方应承担一切费用和风险，并负担甲方所发生的一切直接费用</w:t>
      </w:r>
    </w:p>
    <w:p>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如果在甲方发出索赔通知后30天内，乙方未作答复，上述索赔应视已被乙方接受。乙方未能在甲方提出索赔通知后30天内或甲方同意的更长时间内，按照本合同第九条2规定的方法解决索赔事宜，甲方将从未付款中扣回索赔金额。如果这些金额不足以补偿索赔金额，甲方有权向乙方提出不足部分的补偿。</w:t>
      </w:r>
    </w:p>
    <w:p>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4、因乙方不履行约定导致甲方需通过诉讼方式追偿的，甲方因此发生的所有费用，包括但不限于诉讼费、律师费、保全费、公证费、鉴定费、执行费、相关人员差旅费等，均应由乙方承担。</w:t>
      </w:r>
    </w:p>
    <w:p>
      <w:pPr>
        <w:spacing w:line="360" w:lineRule="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第</w:t>
      </w:r>
      <w:r>
        <w:rPr>
          <w:rFonts w:hint="eastAsia" w:ascii="宋体" w:hAnsi="宋体" w:cs="宋体"/>
          <w:b/>
          <w:color w:val="auto"/>
          <w:szCs w:val="21"/>
          <w:highlight w:val="none"/>
          <w:lang w:val="en-US" w:eastAsia="zh-CN"/>
        </w:rPr>
        <w:t>九</w:t>
      </w:r>
      <w:r>
        <w:rPr>
          <w:rFonts w:hint="eastAsia" w:ascii="宋体" w:hAnsi="宋体" w:eastAsia="宋体" w:cs="宋体"/>
          <w:b/>
          <w:color w:val="auto"/>
          <w:szCs w:val="21"/>
          <w:highlight w:val="none"/>
        </w:rPr>
        <w:t>条：质量保证及售后服务</w:t>
      </w:r>
    </w:p>
    <w:p>
      <w:pPr>
        <w:keepNext w:val="0"/>
        <w:keepLines w:val="0"/>
        <w:pageBreakBefore w:val="0"/>
        <w:widowControl w:val="0"/>
        <w:kinsoku/>
        <w:wordWrap/>
        <w:overflowPunct/>
        <w:topLinePunct w:val="0"/>
        <w:autoSpaceDE/>
        <w:autoSpaceDN/>
        <w:bidi w:val="0"/>
        <w:adjustRightInd/>
        <w:snapToGrid w:val="0"/>
        <w:spacing w:before="120" w:after="120"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1、乙方应按招标文件规定的货物性能、技术要求、质量标准向甲方提供未经使用的全新产品。</w:t>
      </w:r>
    </w:p>
    <w:p>
      <w:pPr>
        <w:keepNext w:val="0"/>
        <w:keepLines w:val="0"/>
        <w:pageBreakBefore w:val="0"/>
        <w:widowControl w:val="0"/>
        <w:kinsoku/>
        <w:wordWrap/>
        <w:overflowPunct/>
        <w:topLinePunct w:val="0"/>
        <w:autoSpaceDE/>
        <w:autoSpaceDN/>
        <w:bidi w:val="0"/>
        <w:adjustRightInd/>
        <w:snapToGrid w:val="0"/>
        <w:spacing w:before="120" w:after="120"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2、乙方应在甲方现场对采购方的操作人员和维修人员进行技术培训，使之能够独立操作。甲方有权要求更换乙方指派的不合格的技术人员，由此产生的费用由乙方承担。</w:t>
      </w:r>
    </w:p>
    <w:p>
      <w:pPr>
        <w:keepNext w:val="0"/>
        <w:keepLines w:val="0"/>
        <w:pageBreakBefore w:val="0"/>
        <w:widowControl w:val="0"/>
        <w:kinsoku/>
        <w:wordWrap/>
        <w:overflowPunct/>
        <w:topLinePunct w:val="0"/>
        <w:autoSpaceDE/>
        <w:autoSpaceDN/>
        <w:bidi w:val="0"/>
        <w:adjustRightInd/>
        <w:snapToGrid w:val="0"/>
        <w:spacing w:before="120" w:after="120"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3、在质量保证期内因货物本身的质量问题发生故障，乙方应负责免费更换。对达不到技术要求者，根据实际情况，经双方协商，可以按以下办法处理：</w:t>
      </w:r>
    </w:p>
    <w:p>
      <w:pPr>
        <w:keepNext w:val="0"/>
        <w:keepLines w:val="0"/>
        <w:pageBreakBefore w:val="0"/>
        <w:widowControl w:val="0"/>
        <w:kinsoku/>
        <w:wordWrap/>
        <w:overflowPunct/>
        <w:topLinePunct w:val="0"/>
        <w:autoSpaceDE/>
        <w:autoSpaceDN/>
        <w:bidi w:val="0"/>
        <w:adjustRightInd/>
        <w:snapToGrid w:val="0"/>
        <w:spacing w:before="120" w:after="120"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1）、更换：由乙方承担所发生的全部费用。</w:t>
      </w:r>
    </w:p>
    <w:p>
      <w:pPr>
        <w:keepNext w:val="0"/>
        <w:keepLines w:val="0"/>
        <w:pageBreakBefore w:val="0"/>
        <w:widowControl w:val="0"/>
        <w:kinsoku/>
        <w:wordWrap/>
        <w:overflowPunct/>
        <w:topLinePunct w:val="0"/>
        <w:autoSpaceDE/>
        <w:autoSpaceDN/>
        <w:bidi w:val="0"/>
        <w:adjustRightInd/>
        <w:snapToGrid w:val="0"/>
        <w:spacing w:before="120" w:after="120"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2）、贬值处理：由甲乙双方合议定价。</w:t>
      </w:r>
    </w:p>
    <w:p>
      <w:pPr>
        <w:keepNext w:val="0"/>
        <w:keepLines w:val="0"/>
        <w:pageBreakBefore w:val="0"/>
        <w:widowControl w:val="0"/>
        <w:kinsoku/>
        <w:wordWrap/>
        <w:overflowPunct/>
        <w:topLinePunct w:val="0"/>
        <w:autoSpaceDE/>
        <w:autoSpaceDN/>
        <w:bidi w:val="0"/>
        <w:adjustRightInd/>
        <w:snapToGrid w:val="0"/>
        <w:spacing w:before="120" w:after="120"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3）、退货处理: 乙方应退还甲方支付的合同款，同时应承担该货物的直接费用（运输、保险、检验等）。</w:t>
      </w:r>
    </w:p>
    <w:p>
      <w:pPr>
        <w:keepNext w:val="0"/>
        <w:keepLines w:val="0"/>
        <w:pageBreakBefore w:val="0"/>
        <w:widowControl w:val="0"/>
        <w:kinsoku/>
        <w:wordWrap/>
        <w:overflowPunct/>
        <w:topLinePunct w:val="0"/>
        <w:autoSpaceDE/>
        <w:autoSpaceDN/>
        <w:bidi w:val="0"/>
        <w:adjustRightInd/>
        <w:snapToGrid w:val="0"/>
        <w:spacing w:before="120" w:after="120"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4、质保期内，乙方应定期派出专业人员对系统设备进行检查、调整。保证系统正常工作。在使用产品过程中遇到技术或故障问题，乙方响应时间为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小时，维修人员应在</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小时内到达现场进行维修，并解决问题。</w:t>
      </w:r>
    </w:p>
    <w:p>
      <w:pPr>
        <w:keepNext w:val="0"/>
        <w:keepLines w:val="0"/>
        <w:pageBreakBefore w:val="0"/>
        <w:widowControl w:val="0"/>
        <w:kinsoku/>
        <w:wordWrap/>
        <w:overflowPunct/>
        <w:topLinePunct w:val="0"/>
        <w:autoSpaceDE/>
        <w:autoSpaceDN/>
        <w:bidi w:val="0"/>
        <w:adjustRightInd/>
        <w:snapToGrid w:val="0"/>
        <w:spacing w:before="120" w:after="120"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5、在质保期内,乙方应对货物出现的质量及安全问题负责处理解决并承担一切费用。</w:t>
      </w:r>
    </w:p>
    <w:p>
      <w:pPr>
        <w:keepNext w:val="0"/>
        <w:keepLines w:val="0"/>
        <w:pageBreakBefore w:val="0"/>
        <w:widowControl w:val="0"/>
        <w:kinsoku/>
        <w:wordWrap/>
        <w:overflowPunct/>
        <w:topLinePunct w:val="0"/>
        <w:autoSpaceDE/>
        <w:autoSpaceDN/>
        <w:bidi w:val="0"/>
        <w:adjustRightInd/>
        <w:snapToGrid w:val="0"/>
        <w:spacing w:before="120" w:after="120"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6、上述的货物免费保修期为设备验收合格之日起不少于</w:t>
      </w:r>
      <w:r>
        <w:rPr>
          <w:rFonts w:hint="eastAsia" w:ascii="宋体" w:hAnsi="宋体" w:eastAsia="宋体" w:cs="宋体"/>
          <w:color w:val="auto"/>
          <w:szCs w:val="21"/>
          <w:highlight w:val="none"/>
          <w:u w:val="single"/>
        </w:rPr>
        <w:t xml:space="preserve"> </w:t>
      </w:r>
      <w:r>
        <w:rPr>
          <w:rFonts w:hint="eastAsia" w:ascii="宋体" w:hAnsi="宋体" w:eastAsia="宋体" w:cs="宋体"/>
          <w:b/>
          <w:color w:val="auto"/>
          <w:szCs w:val="21"/>
          <w:highlight w:val="none"/>
          <w:u w:val="single"/>
        </w:rPr>
        <w:t xml:space="preserve">  </w:t>
      </w:r>
      <w:r>
        <w:rPr>
          <w:rFonts w:hint="eastAsia" w:ascii="宋体" w:hAnsi="宋体" w:eastAsia="宋体" w:cs="宋体"/>
          <w:color w:val="auto"/>
          <w:szCs w:val="21"/>
          <w:highlight w:val="none"/>
        </w:rPr>
        <w:t>年，因人为因素出现的故障不在免费保修范围内。超过保修期的维修,维修时只收部件成本费。</w:t>
      </w:r>
    </w:p>
    <w:p>
      <w:pPr>
        <w:snapToGrid w:val="0"/>
        <w:spacing w:line="360" w:lineRule="auto"/>
        <w:rPr>
          <w:rFonts w:hint="eastAsia" w:ascii="宋体" w:hAnsi="宋体" w:eastAsia="宋体" w:cs="宋体"/>
          <w:b/>
          <w:color w:val="auto"/>
          <w:szCs w:val="21"/>
          <w:highlight w:val="none"/>
          <w:lang w:val="en-US" w:eastAsia="zh-CN"/>
        </w:rPr>
      </w:pPr>
      <w:r>
        <w:rPr>
          <w:rFonts w:hint="eastAsia" w:ascii="宋体" w:hAnsi="宋体" w:eastAsia="宋体" w:cs="宋体"/>
          <w:b/>
          <w:color w:val="auto"/>
          <w:szCs w:val="21"/>
          <w:highlight w:val="none"/>
        </w:rPr>
        <w:t>第十条：</w:t>
      </w:r>
      <w:r>
        <w:rPr>
          <w:rFonts w:hint="eastAsia" w:ascii="宋体" w:hAnsi="宋体" w:eastAsia="宋体" w:cs="宋体"/>
          <w:b/>
          <w:color w:val="auto"/>
          <w:szCs w:val="21"/>
          <w:highlight w:val="none"/>
          <w:lang w:val="en-US" w:eastAsia="zh-CN"/>
        </w:rPr>
        <w:t>其他</w:t>
      </w:r>
    </w:p>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 诉讼管辖及诉讼费用承担</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1）凡有关本合同或执行本合同中发生的争端，应通过友好协商，妥善解决。如通过协商仍不能解决时，应向甲方所在地有权管辖的人民法院提起诉讼；</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2）诉讼期间，除正在进行诉讼的部分外，本合同其它部分应继续执行。</w:t>
      </w:r>
    </w:p>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2、适用法律</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本合同按照中华人民共和国的法律进行解释。</w:t>
      </w:r>
    </w:p>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 、组成本合同文件及优先解释顺序如下：</w:t>
      </w:r>
    </w:p>
    <w:p>
      <w:pPr>
        <w:spacing w:line="360" w:lineRule="auto"/>
        <w:ind w:left="-357"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1）本合同协议书；</w:t>
      </w:r>
    </w:p>
    <w:p>
      <w:pPr>
        <w:spacing w:line="360" w:lineRule="auto"/>
        <w:ind w:left="-357"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2）中标通知书；</w:t>
      </w:r>
    </w:p>
    <w:p>
      <w:pPr>
        <w:spacing w:line="360" w:lineRule="auto"/>
        <w:ind w:left="-357"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3）招标文件以及更正通知；</w:t>
      </w:r>
    </w:p>
    <w:p>
      <w:pPr>
        <w:spacing w:line="360" w:lineRule="auto"/>
        <w:ind w:left="-357"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4）投标文件及评标过程中有关澄清文件；</w:t>
      </w:r>
    </w:p>
    <w:p>
      <w:pPr>
        <w:spacing w:line="360" w:lineRule="auto"/>
        <w:ind w:left="-357"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5）国家有关标准、规范及有关技术文件；</w:t>
      </w:r>
    </w:p>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4、本合同生效及其他</w:t>
      </w:r>
    </w:p>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1）合同在双方签字盖章后生效；</w:t>
      </w:r>
    </w:p>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2）本合同正本一式陆份（</w:t>
      </w:r>
      <w:r>
        <w:rPr>
          <w:rFonts w:hint="eastAsia" w:ascii="宋体" w:hAnsi="宋体" w:eastAsia="宋体" w:cs="宋体"/>
          <w:color w:val="auto"/>
          <w:highlight w:val="none"/>
        </w:rPr>
        <w:t>采购人执贰份、供应商执贰份、采购代理机构及备案机构各执一份</w:t>
      </w:r>
      <w:r>
        <w:rPr>
          <w:rFonts w:hint="eastAsia" w:ascii="宋体" w:hAnsi="宋体" w:eastAsia="宋体" w:cs="宋体"/>
          <w:color w:val="auto"/>
          <w:szCs w:val="21"/>
          <w:highlight w:val="none"/>
        </w:rPr>
        <w:t>），具有同等法律效力；</w:t>
      </w:r>
    </w:p>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3）如需修改或补充合同内容，经协商，双方应签署书面修改或补充协议，作为本合同的一个组成部分；</w:t>
      </w:r>
    </w:p>
    <w:p>
      <w:pPr>
        <w:spacing w:line="360" w:lineRule="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4）本合同中如有未尽事宜，由双方协商另行解决</w:t>
      </w:r>
      <w:r>
        <w:rPr>
          <w:rFonts w:hint="eastAsia" w:ascii="宋体" w:hAnsi="宋体" w:cs="宋体"/>
          <w:color w:val="auto"/>
          <w:szCs w:val="21"/>
          <w:highlight w:val="none"/>
          <w:lang w:eastAsia="zh-CN"/>
        </w:rPr>
        <w:t>；</w:t>
      </w:r>
    </w:p>
    <w:p>
      <w:pPr>
        <w:spacing w:line="360" w:lineRule="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5）合同附件</w:t>
      </w:r>
      <w:r>
        <w:rPr>
          <w:rFonts w:hint="eastAsia" w:ascii="宋体" w:hAnsi="宋体" w:cs="宋体"/>
          <w:color w:val="auto"/>
          <w:szCs w:val="21"/>
          <w:highlight w:val="none"/>
          <w:lang w:eastAsia="zh-CN"/>
        </w:rPr>
        <w:t>。</w:t>
      </w:r>
    </w:p>
    <w:p>
      <w:pPr>
        <w:tabs>
          <w:tab w:val="left" w:pos="4140"/>
        </w:tabs>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甲     方（公章）：　　               乙     方（公章）：</w:t>
      </w:r>
    </w:p>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法定代表人（签章）：　                法定代表人（签章）：</w:t>
      </w:r>
    </w:p>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委托代理人（签章）：　　              委托代理人（签章）：</w:t>
      </w:r>
    </w:p>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　  　话：                          电　  　话：</w:t>
      </w:r>
    </w:p>
    <w:p>
      <w:pPr>
        <w:spacing w:line="360" w:lineRule="auto"/>
        <w:rPr>
          <w:rFonts w:hint="eastAsia" w:ascii="宋体" w:hAnsi="宋体" w:eastAsia="宋体" w:cs="宋体"/>
          <w:color w:val="auto"/>
          <w:szCs w:val="21"/>
          <w:highlight w:val="none"/>
        </w:rPr>
      </w:pPr>
      <w:r>
        <w:rPr>
          <w:rFonts w:hint="eastAsia" w:ascii="宋体" w:hAnsi="宋体" w:eastAsia="宋体" w:cs="宋体"/>
          <w:color w:val="auto"/>
          <w:spacing w:val="-8"/>
          <w:szCs w:val="21"/>
          <w:highlight w:val="none"/>
        </w:rPr>
        <w:t>开 户 银 行</w:t>
      </w:r>
      <w:r>
        <w:rPr>
          <w:rFonts w:hint="eastAsia" w:ascii="宋体" w:hAnsi="宋体" w:eastAsia="宋体" w:cs="宋体"/>
          <w:color w:val="auto"/>
          <w:szCs w:val="21"/>
          <w:highlight w:val="none"/>
        </w:rPr>
        <w:t xml:space="preserve">：                          </w:t>
      </w:r>
      <w:r>
        <w:rPr>
          <w:rFonts w:hint="eastAsia" w:ascii="宋体" w:hAnsi="宋体" w:eastAsia="宋体" w:cs="宋体"/>
          <w:color w:val="auto"/>
          <w:spacing w:val="-8"/>
          <w:szCs w:val="21"/>
          <w:highlight w:val="none"/>
        </w:rPr>
        <w:t>开 户 银 行</w:t>
      </w:r>
      <w:r>
        <w:rPr>
          <w:rFonts w:hint="eastAsia" w:ascii="宋体" w:hAnsi="宋体" w:eastAsia="宋体" w:cs="宋体"/>
          <w:color w:val="auto"/>
          <w:szCs w:val="21"/>
          <w:highlight w:val="none"/>
        </w:rPr>
        <w:t xml:space="preserve">： </w:t>
      </w:r>
    </w:p>
    <w:p>
      <w:pPr>
        <w:tabs>
          <w:tab w:val="left" w:pos="4140"/>
          <w:tab w:val="left" w:pos="4320"/>
        </w:tabs>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账　  　号：                          账　  　号：</w:t>
      </w:r>
    </w:p>
    <w:p>
      <w:pPr>
        <w:keepNext w:val="0"/>
        <w:keepLines w:val="0"/>
        <w:pageBreakBefore w:val="0"/>
        <w:kinsoku/>
        <w:wordWrap/>
        <w:overflowPunct/>
        <w:topLinePunct w:val="0"/>
        <w:bidi w:val="0"/>
        <w:spacing w:line="500" w:lineRule="exact"/>
        <w:textAlignment w:val="baseline"/>
        <w:outlineLvl w:val="9"/>
        <w:rPr>
          <w:rFonts w:hint="eastAsia" w:ascii="宋体" w:hAnsi="宋体" w:eastAsia="宋体" w:cs="宋体"/>
          <w:snapToGrid w:val="0"/>
          <w:color w:val="auto"/>
          <w:szCs w:val="21"/>
          <w:highlight w:val="none"/>
        </w:rPr>
      </w:pPr>
    </w:p>
    <w:p>
      <w:pPr>
        <w:keepNext w:val="0"/>
        <w:keepLines w:val="0"/>
        <w:pageBreakBefore w:val="0"/>
        <w:kinsoku/>
        <w:wordWrap/>
        <w:overflowPunct/>
        <w:topLinePunct w:val="0"/>
        <w:bidi w:val="0"/>
        <w:spacing w:line="500" w:lineRule="exact"/>
        <w:textAlignment w:val="baseline"/>
        <w:outlineLvl w:val="9"/>
        <w:rPr>
          <w:rFonts w:hint="eastAsia" w:ascii="宋体" w:hAnsi="宋体" w:eastAsia="宋体" w:cs="宋体"/>
          <w:snapToGrid w:val="0"/>
          <w:color w:val="auto"/>
          <w:szCs w:val="21"/>
          <w:highlight w:val="none"/>
        </w:rPr>
      </w:pPr>
      <w:r>
        <w:rPr>
          <w:rFonts w:hint="eastAsia" w:ascii="宋体" w:hAnsi="宋体" w:eastAsia="宋体" w:cs="宋体"/>
          <w:snapToGrid w:val="0"/>
          <w:color w:val="auto"/>
          <w:szCs w:val="21"/>
          <w:highlight w:val="none"/>
        </w:rPr>
        <w:t xml:space="preserve"> 合同</w:t>
      </w:r>
      <w:r>
        <w:rPr>
          <w:rFonts w:hint="eastAsia" w:ascii="宋体" w:hAnsi="宋体" w:cs="宋体"/>
          <w:snapToGrid w:val="0"/>
          <w:color w:val="auto"/>
          <w:szCs w:val="21"/>
          <w:highlight w:val="none"/>
          <w:lang w:val="en-US" w:eastAsia="zh-CN"/>
        </w:rPr>
        <w:t>见证</w:t>
      </w:r>
      <w:r>
        <w:rPr>
          <w:rFonts w:hint="eastAsia" w:ascii="宋体" w:hAnsi="宋体" w:eastAsia="宋体" w:cs="宋体"/>
          <w:snapToGrid w:val="0"/>
          <w:color w:val="auto"/>
          <w:szCs w:val="21"/>
          <w:highlight w:val="none"/>
        </w:rPr>
        <w:t>方：</w:t>
      </w:r>
    </w:p>
    <w:p>
      <w:pPr>
        <w:keepNext w:val="0"/>
        <w:keepLines w:val="0"/>
        <w:pageBreakBefore w:val="0"/>
        <w:kinsoku/>
        <w:wordWrap/>
        <w:overflowPunct/>
        <w:topLinePunct w:val="0"/>
        <w:bidi w:val="0"/>
        <w:spacing w:line="500" w:lineRule="exact"/>
        <w:ind w:firstLine="4200" w:firstLineChars="2000"/>
        <w:textAlignment w:val="baseline"/>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签订日期：       年     月     日</w:t>
      </w:r>
    </w:p>
    <w:p>
      <w:pP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br w:type="page"/>
      </w:r>
    </w:p>
    <w:p>
      <w:pPr>
        <w:pStyle w:val="7"/>
        <w:jc w:val="center"/>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第六章 投标文件格式附件</w:t>
      </w:r>
    </w:p>
    <w:p>
      <w:pPr>
        <w:keepNext w:val="0"/>
        <w:keepLines w:val="0"/>
        <w:pageBreakBefore w:val="0"/>
        <w:kinsoku/>
        <w:wordWrap/>
        <w:overflowPunct/>
        <w:topLinePunct w:val="0"/>
        <w:bidi w:val="0"/>
        <w:spacing w:line="360" w:lineRule="auto"/>
        <w:outlineLvl w:val="9"/>
        <w:rPr>
          <w:rFonts w:hint="eastAsia" w:ascii="宋体" w:hAnsi="宋体" w:eastAsia="宋体" w:cs="宋体"/>
          <w:b/>
          <w:color w:val="auto"/>
          <w:kern w:val="0"/>
          <w:sz w:val="28"/>
          <w:szCs w:val="28"/>
          <w:highlight w:val="none"/>
        </w:rPr>
      </w:pPr>
      <w:r>
        <w:rPr>
          <w:rFonts w:hint="eastAsia" w:ascii="宋体" w:hAnsi="宋体" w:eastAsia="宋体" w:cs="宋体"/>
          <w:b/>
          <w:color w:val="auto"/>
          <w:kern w:val="0"/>
          <w:sz w:val="28"/>
          <w:szCs w:val="28"/>
          <w:highlight w:val="none"/>
        </w:rPr>
        <w:t>附件1</w:t>
      </w:r>
      <w:r>
        <w:rPr>
          <w:rFonts w:hint="eastAsia" w:ascii="宋体" w:hAnsi="宋体" w:eastAsia="宋体" w:cs="宋体"/>
          <w:color w:val="auto"/>
          <w:sz w:val="30"/>
          <w:szCs w:val="30"/>
          <w:highlight w:val="none"/>
        </w:rPr>
        <w:t xml:space="preserve">　　                                      </w:t>
      </w:r>
      <w:r>
        <w:rPr>
          <w:rFonts w:hint="eastAsia" w:ascii="宋体" w:hAnsi="宋体" w:eastAsia="宋体" w:cs="宋体"/>
          <w:b/>
          <w:color w:val="auto"/>
          <w:sz w:val="28"/>
          <w:highlight w:val="none"/>
        </w:rPr>
        <w:t xml:space="preserve"> </w:t>
      </w:r>
      <w:r>
        <w:rPr>
          <w:rFonts w:hint="eastAsia" w:ascii="宋体" w:hAnsi="宋体" w:eastAsia="宋体" w:cs="宋体"/>
          <w:b/>
          <w:color w:val="auto"/>
          <w:sz w:val="28"/>
          <w:highlight w:val="none"/>
          <w:u w:val="single"/>
        </w:rPr>
        <w:t xml:space="preserve">     </w:t>
      </w:r>
      <w:r>
        <w:rPr>
          <w:rFonts w:hint="eastAsia" w:ascii="宋体" w:hAnsi="宋体" w:eastAsia="宋体" w:cs="宋体"/>
          <w:bCs/>
          <w:color w:val="auto"/>
          <w:sz w:val="24"/>
          <w:highlight w:val="none"/>
        </w:rPr>
        <w:t>本</w:t>
      </w:r>
      <w:r>
        <w:rPr>
          <w:rFonts w:hint="eastAsia" w:ascii="宋体" w:hAnsi="宋体" w:eastAsia="宋体" w:cs="宋体"/>
          <w:color w:val="auto"/>
          <w:sz w:val="30"/>
          <w:szCs w:val="30"/>
          <w:highlight w:val="none"/>
        </w:rPr>
        <w:t xml:space="preserve">                       　</w:t>
      </w:r>
    </w:p>
    <w:p>
      <w:pPr>
        <w:keepNext w:val="0"/>
        <w:keepLines w:val="0"/>
        <w:pageBreakBefore w:val="0"/>
        <w:kinsoku/>
        <w:wordWrap/>
        <w:overflowPunct/>
        <w:topLinePunct w:val="0"/>
        <w:bidi w:val="0"/>
        <w:spacing w:line="360" w:lineRule="auto"/>
        <w:outlineLvl w:val="9"/>
        <w:rPr>
          <w:rFonts w:hint="eastAsia" w:ascii="宋体" w:hAnsi="宋体" w:eastAsia="宋体" w:cs="宋体"/>
          <w:b/>
          <w:color w:val="auto"/>
          <w:sz w:val="30"/>
          <w:szCs w:val="30"/>
          <w:highlight w:val="none"/>
        </w:rPr>
      </w:pPr>
    </w:p>
    <w:p>
      <w:pPr>
        <w:keepNext w:val="0"/>
        <w:keepLines w:val="0"/>
        <w:pageBreakBefore w:val="0"/>
        <w:kinsoku/>
        <w:wordWrap/>
        <w:overflowPunct/>
        <w:topLinePunct w:val="0"/>
        <w:bidi w:val="0"/>
        <w:spacing w:line="360" w:lineRule="auto"/>
        <w:ind w:right="-110"/>
        <w:jc w:val="center"/>
        <w:outlineLvl w:val="9"/>
        <w:rPr>
          <w:rFonts w:hint="eastAsia" w:ascii="宋体" w:hAnsi="宋体" w:eastAsia="宋体" w:cs="宋体"/>
          <w:color w:val="auto"/>
          <w:spacing w:val="40"/>
          <w:sz w:val="52"/>
          <w:szCs w:val="52"/>
          <w:highlight w:val="none"/>
        </w:rPr>
      </w:pPr>
      <w:r>
        <w:rPr>
          <w:rFonts w:hint="eastAsia" w:ascii="宋体" w:hAnsi="宋体" w:eastAsia="宋体" w:cs="宋体"/>
          <w:color w:val="auto"/>
          <w:spacing w:val="40"/>
          <w:sz w:val="52"/>
          <w:szCs w:val="52"/>
          <w:highlight w:val="none"/>
        </w:rPr>
        <w:t>项目名称</w:t>
      </w:r>
    </w:p>
    <w:p>
      <w:pPr>
        <w:keepNext w:val="0"/>
        <w:keepLines w:val="0"/>
        <w:pageBreakBefore w:val="0"/>
        <w:kinsoku/>
        <w:wordWrap/>
        <w:overflowPunct/>
        <w:topLinePunct w:val="0"/>
        <w:bidi w:val="0"/>
        <w:spacing w:before="312" w:beforeLines="100" w:line="360" w:lineRule="auto"/>
        <w:ind w:right="-108"/>
        <w:jc w:val="center"/>
        <w:outlineLvl w:val="9"/>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t>项目编号：</w:t>
      </w:r>
    </w:p>
    <w:p>
      <w:pPr>
        <w:keepNext w:val="0"/>
        <w:keepLines w:val="0"/>
        <w:pageBreakBefore w:val="0"/>
        <w:kinsoku/>
        <w:wordWrap/>
        <w:overflowPunct/>
        <w:topLinePunct w:val="0"/>
        <w:autoSpaceDE w:val="0"/>
        <w:autoSpaceDN w:val="0"/>
        <w:bidi w:val="0"/>
        <w:adjustRightInd w:val="0"/>
        <w:spacing w:line="360" w:lineRule="auto"/>
        <w:jc w:val="center"/>
        <w:outlineLvl w:val="9"/>
        <w:rPr>
          <w:rFonts w:hint="eastAsia" w:ascii="宋体" w:hAnsi="宋体" w:eastAsia="宋体" w:cs="宋体"/>
          <w:color w:val="auto"/>
          <w:sz w:val="84"/>
          <w:szCs w:val="84"/>
          <w:highlight w:val="none"/>
          <w:lang w:val="zh-CN"/>
        </w:rPr>
      </w:pPr>
    </w:p>
    <w:p>
      <w:pPr>
        <w:keepNext w:val="0"/>
        <w:keepLines w:val="0"/>
        <w:pageBreakBefore w:val="0"/>
        <w:kinsoku/>
        <w:wordWrap/>
        <w:overflowPunct/>
        <w:topLinePunct w:val="0"/>
        <w:autoSpaceDE w:val="0"/>
        <w:autoSpaceDN w:val="0"/>
        <w:bidi w:val="0"/>
        <w:adjustRightInd w:val="0"/>
        <w:spacing w:line="360" w:lineRule="auto"/>
        <w:jc w:val="center"/>
        <w:outlineLvl w:val="9"/>
        <w:rPr>
          <w:rFonts w:hint="eastAsia" w:ascii="宋体" w:hAnsi="宋体" w:eastAsia="宋体" w:cs="宋体"/>
          <w:color w:val="auto"/>
          <w:sz w:val="84"/>
          <w:szCs w:val="84"/>
          <w:highlight w:val="none"/>
          <w:lang w:val="zh-CN"/>
        </w:rPr>
      </w:pPr>
      <w:r>
        <w:rPr>
          <w:rFonts w:hint="eastAsia" w:ascii="宋体" w:hAnsi="宋体" w:eastAsia="宋体" w:cs="宋体"/>
          <w:color w:val="auto"/>
          <w:sz w:val="84"/>
          <w:szCs w:val="84"/>
          <w:highlight w:val="none"/>
          <w:lang w:val="zh-CN"/>
        </w:rPr>
        <w:t>投</w:t>
      </w:r>
    </w:p>
    <w:p>
      <w:pPr>
        <w:keepNext w:val="0"/>
        <w:keepLines w:val="0"/>
        <w:pageBreakBefore w:val="0"/>
        <w:kinsoku/>
        <w:wordWrap/>
        <w:overflowPunct/>
        <w:topLinePunct w:val="0"/>
        <w:autoSpaceDE w:val="0"/>
        <w:autoSpaceDN w:val="0"/>
        <w:bidi w:val="0"/>
        <w:adjustRightInd w:val="0"/>
        <w:spacing w:line="360" w:lineRule="auto"/>
        <w:jc w:val="center"/>
        <w:outlineLvl w:val="9"/>
        <w:rPr>
          <w:rFonts w:hint="eastAsia" w:ascii="宋体" w:hAnsi="宋体" w:eastAsia="宋体" w:cs="宋体"/>
          <w:color w:val="auto"/>
          <w:sz w:val="84"/>
          <w:szCs w:val="84"/>
          <w:highlight w:val="none"/>
          <w:lang w:val="zh-CN"/>
        </w:rPr>
      </w:pPr>
      <w:r>
        <w:rPr>
          <w:rFonts w:hint="eastAsia" w:ascii="宋体" w:hAnsi="宋体" w:eastAsia="宋体" w:cs="宋体"/>
          <w:color w:val="auto"/>
          <w:sz w:val="84"/>
          <w:szCs w:val="84"/>
          <w:highlight w:val="none"/>
          <w:lang w:val="zh-CN"/>
        </w:rPr>
        <w:t>标</w:t>
      </w:r>
    </w:p>
    <w:p>
      <w:pPr>
        <w:keepNext w:val="0"/>
        <w:keepLines w:val="0"/>
        <w:pageBreakBefore w:val="0"/>
        <w:kinsoku/>
        <w:wordWrap/>
        <w:overflowPunct/>
        <w:topLinePunct w:val="0"/>
        <w:autoSpaceDE w:val="0"/>
        <w:autoSpaceDN w:val="0"/>
        <w:bidi w:val="0"/>
        <w:adjustRightInd w:val="0"/>
        <w:spacing w:line="360" w:lineRule="auto"/>
        <w:jc w:val="center"/>
        <w:outlineLvl w:val="9"/>
        <w:rPr>
          <w:rFonts w:hint="eastAsia" w:ascii="宋体" w:hAnsi="宋体" w:eastAsia="宋体" w:cs="宋体"/>
          <w:color w:val="auto"/>
          <w:sz w:val="84"/>
          <w:szCs w:val="84"/>
          <w:highlight w:val="none"/>
        </w:rPr>
      </w:pPr>
      <w:r>
        <w:rPr>
          <w:rFonts w:hint="eastAsia" w:ascii="宋体" w:hAnsi="宋体" w:eastAsia="宋体" w:cs="宋体"/>
          <w:color w:val="auto"/>
          <w:sz w:val="84"/>
          <w:szCs w:val="84"/>
          <w:highlight w:val="none"/>
          <w:lang w:val="zh-CN"/>
        </w:rPr>
        <w:t>文</w:t>
      </w:r>
    </w:p>
    <w:p>
      <w:pPr>
        <w:keepNext w:val="0"/>
        <w:keepLines w:val="0"/>
        <w:pageBreakBefore w:val="0"/>
        <w:kinsoku/>
        <w:wordWrap/>
        <w:overflowPunct/>
        <w:topLinePunct w:val="0"/>
        <w:bidi w:val="0"/>
        <w:spacing w:after="100" w:afterAutospacing="1" w:line="360" w:lineRule="auto"/>
        <w:ind w:right="-108"/>
        <w:jc w:val="center"/>
        <w:outlineLvl w:val="9"/>
        <w:rPr>
          <w:rFonts w:hint="eastAsia" w:ascii="宋体" w:hAnsi="宋体" w:eastAsia="宋体" w:cs="宋体"/>
          <w:color w:val="auto"/>
          <w:sz w:val="84"/>
          <w:szCs w:val="84"/>
          <w:highlight w:val="none"/>
          <w:lang w:val="zh-CN"/>
        </w:rPr>
      </w:pPr>
      <w:r>
        <w:rPr>
          <w:rFonts w:hint="eastAsia" w:ascii="宋体" w:hAnsi="宋体" w:eastAsia="宋体" w:cs="宋体"/>
          <w:color w:val="auto"/>
          <w:sz w:val="84"/>
          <w:szCs w:val="84"/>
          <w:highlight w:val="none"/>
          <w:lang w:val="zh-CN"/>
        </w:rPr>
        <w:t>件</w:t>
      </w:r>
    </w:p>
    <w:p>
      <w:pPr>
        <w:keepNext w:val="0"/>
        <w:keepLines w:val="0"/>
        <w:pageBreakBefore w:val="0"/>
        <w:kinsoku/>
        <w:wordWrap/>
        <w:overflowPunct/>
        <w:topLinePunct w:val="0"/>
        <w:bidi w:val="0"/>
        <w:spacing w:after="100" w:afterAutospacing="1" w:line="360" w:lineRule="auto"/>
        <w:ind w:right="-108"/>
        <w:jc w:val="center"/>
        <w:outlineLvl w:val="9"/>
        <w:rPr>
          <w:rFonts w:hint="eastAsia" w:ascii="宋体" w:hAnsi="宋体" w:eastAsia="宋体" w:cs="宋体"/>
          <w:b/>
          <w:color w:val="auto"/>
          <w:spacing w:val="40"/>
          <w:sz w:val="28"/>
          <w:szCs w:val="28"/>
          <w:highlight w:val="none"/>
        </w:rPr>
      </w:pPr>
      <w:r>
        <w:rPr>
          <w:rFonts w:hint="eastAsia" w:ascii="宋体" w:hAnsi="宋体" w:eastAsia="宋体" w:cs="宋体"/>
          <w:color w:val="auto"/>
          <w:sz w:val="28"/>
          <w:szCs w:val="28"/>
          <w:highlight w:val="none"/>
          <w:lang w:val="zh-CN"/>
        </w:rPr>
        <w:t>（</w:t>
      </w:r>
      <w:r>
        <w:rPr>
          <w:rFonts w:hint="eastAsia" w:ascii="宋体" w:hAnsi="宋体" w:eastAsia="宋体" w:cs="宋体"/>
          <w:b/>
          <w:color w:val="auto"/>
          <w:spacing w:val="40"/>
          <w:sz w:val="28"/>
          <w:szCs w:val="28"/>
          <w:highlight w:val="none"/>
        </w:rPr>
        <w:t>资格证明文件）</w:t>
      </w:r>
    </w:p>
    <w:p>
      <w:pPr>
        <w:pStyle w:val="52"/>
        <w:keepNext w:val="0"/>
        <w:keepLines w:val="0"/>
        <w:pageBreakBefore w:val="0"/>
        <w:kinsoku/>
        <w:wordWrap/>
        <w:overflowPunct/>
        <w:topLinePunct w:val="0"/>
        <w:bidi w:val="0"/>
        <w:outlineLvl w:val="9"/>
        <w:rPr>
          <w:rFonts w:hint="eastAsia" w:ascii="宋体" w:hAnsi="宋体" w:eastAsia="宋体" w:cs="宋体"/>
          <w:color w:val="auto"/>
          <w:highlight w:val="none"/>
        </w:rPr>
      </w:pPr>
    </w:p>
    <w:p>
      <w:pPr>
        <w:keepNext w:val="0"/>
        <w:keepLines w:val="0"/>
        <w:pageBreakBefore w:val="0"/>
        <w:kinsoku/>
        <w:wordWrap/>
        <w:overflowPunct/>
        <w:topLinePunct w:val="0"/>
        <w:bidi w:val="0"/>
        <w:spacing w:line="360" w:lineRule="auto"/>
        <w:ind w:right="532" w:firstLine="720" w:firstLineChars="200"/>
        <w:outlineLvl w:val="9"/>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t>投标人全称（公章）：</w:t>
      </w:r>
    </w:p>
    <w:p>
      <w:pPr>
        <w:keepNext w:val="0"/>
        <w:keepLines w:val="0"/>
        <w:pageBreakBefore w:val="0"/>
        <w:kinsoku/>
        <w:wordWrap/>
        <w:overflowPunct/>
        <w:topLinePunct w:val="0"/>
        <w:bidi w:val="0"/>
        <w:spacing w:line="360" w:lineRule="auto"/>
        <w:ind w:right="532" w:firstLine="720" w:firstLineChars="200"/>
        <w:outlineLvl w:val="9"/>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t>地址：</w:t>
      </w:r>
    </w:p>
    <w:p>
      <w:pPr>
        <w:keepNext w:val="0"/>
        <w:keepLines w:val="0"/>
        <w:pageBreakBefore w:val="0"/>
        <w:kinsoku/>
        <w:wordWrap/>
        <w:overflowPunct/>
        <w:topLinePunct w:val="0"/>
        <w:bidi w:val="0"/>
        <w:spacing w:line="360" w:lineRule="auto"/>
        <w:ind w:right="532" w:firstLine="720" w:firstLineChars="200"/>
        <w:outlineLvl w:val="9"/>
        <w:rPr>
          <w:rFonts w:hint="eastAsia" w:ascii="宋体" w:hAnsi="宋体" w:eastAsia="宋体" w:cs="宋体"/>
          <w:b/>
          <w:color w:val="auto"/>
          <w:sz w:val="36"/>
          <w:szCs w:val="36"/>
          <w:highlight w:val="none"/>
        </w:rPr>
      </w:pPr>
      <w:r>
        <w:rPr>
          <w:rFonts w:hint="eastAsia" w:ascii="宋体" w:hAnsi="宋体" w:eastAsia="宋体" w:cs="宋体"/>
          <w:color w:val="auto"/>
          <w:sz w:val="36"/>
          <w:szCs w:val="36"/>
          <w:highlight w:val="none"/>
        </w:rPr>
        <w:t>时间：</w:t>
      </w:r>
    </w:p>
    <w:p>
      <w:pPr>
        <w:keepNext w:val="0"/>
        <w:keepLines w:val="0"/>
        <w:pageBreakBefore w:val="0"/>
        <w:widowControl w:val="0"/>
        <w:kinsoku/>
        <w:wordWrap/>
        <w:overflowPunct/>
        <w:topLinePunct w:val="0"/>
        <w:autoSpaceDE/>
        <w:autoSpaceDN/>
        <w:bidi w:val="0"/>
        <w:adjustRightInd/>
        <w:snapToGrid w:val="0"/>
        <w:spacing w:before="50" w:after="50" w:line="360" w:lineRule="auto"/>
        <w:jc w:val="center"/>
        <w:textAlignment w:val="auto"/>
        <w:outlineLvl w:val="1"/>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t>资格证明文件目录</w:t>
      </w:r>
    </w:p>
    <w:p>
      <w:pPr>
        <w:keepNext w:val="0"/>
        <w:keepLines w:val="0"/>
        <w:pageBreakBefore w:val="0"/>
        <w:kinsoku/>
        <w:wordWrap/>
        <w:overflowPunct/>
        <w:topLinePunct w:val="0"/>
        <w:bidi w:val="0"/>
        <w:snapToGrid w:val="0"/>
        <w:spacing w:before="50" w:after="50" w:line="360" w:lineRule="auto"/>
        <w:jc w:val="center"/>
        <w:outlineLvl w:val="9"/>
        <w:rPr>
          <w:rFonts w:hint="eastAsia" w:ascii="宋体" w:hAnsi="宋体" w:eastAsia="宋体" w:cs="宋体"/>
          <w:b/>
          <w:bCs/>
          <w:color w:val="auto"/>
          <w:sz w:val="32"/>
          <w:szCs w:val="32"/>
          <w:highlight w:val="none"/>
        </w:rPr>
      </w:pPr>
    </w:p>
    <w:p>
      <w:pPr>
        <w:keepNext w:val="0"/>
        <w:keepLines w:val="0"/>
        <w:pageBreakBefore w:val="0"/>
        <w:kinsoku/>
        <w:wordWrap/>
        <w:overflowPunct/>
        <w:topLinePunct w:val="0"/>
        <w:bidi w:val="0"/>
        <w:snapToGrid w:val="0"/>
        <w:spacing w:line="360" w:lineRule="auto"/>
        <w:ind w:firstLine="480" w:firstLineChars="200"/>
        <w:outlineLvl w:val="9"/>
        <w:rPr>
          <w:rFonts w:hint="eastAsia" w:ascii="宋体" w:hAnsi="宋体" w:eastAsia="宋体" w:cs="宋体"/>
          <w:color w:val="auto"/>
          <w:sz w:val="24"/>
          <w:highlight w:val="none"/>
        </w:rPr>
      </w:pPr>
      <w:r>
        <w:rPr>
          <w:rFonts w:hint="eastAsia" w:ascii="宋体" w:hAnsi="宋体" w:eastAsia="宋体" w:cs="宋体"/>
          <w:bCs/>
          <w:color w:val="auto"/>
          <w:sz w:val="24"/>
          <w:highlight w:val="none"/>
        </w:rPr>
        <w:t>1、投标声明书</w:t>
      </w:r>
      <w:r>
        <w:rPr>
          <w:rFonts w:hint="eastAsia" w:ascii="宋体" w:hAnsi="宋体" w:eastAsia="宋体" w:cs="宋体"/>
          <w:color w:val="auto"/>
          <w:sz w:val="24"/>
          <w:highlight w:val="none"/>
        </w:rPr>
        <w:t>（附件2）</w:t>
      </w:r>
    </w:p>
    <w:p>
      <w:pPr>
        <w:keepNext w:val="0"/>
        <w:keepLines w:val="0"/>
        <w:pageBreakBefore w:val="0"/>
        <w:kinsoku/>
        <w:wordWrap/>
        <w:overflowPunct/>
        <w:topLinePunct w:val="0"/>
        <w:bidi w:val="0"/>
        <w:snapToGrid w:val="0"/>
        <w:spacing w:line="360" w:lineRule="auto"/>
        <w:ind w:firstLine="480" w:firstLineChars="200"/>
        <w:outlineLvl w:val="9"/>
        <w:rPr>
          <w:rFonts w:hint="eastAsia" w:ascii="宋体" w:hAnsi="宋体" w:eastAsia="宋体" w:cs="宋体"/>
          <w:color w:val="auto"/>
          <w:kern w:val="0"/>
          <w:sz w:val="24"/>
          <w:highlight w:val="none"/>
        </w:rPr>
      </w:pPr>
      <w:r>
        <w:rPr>
          <w:rFonts w:hint="eastAsia" w:ascii="宋体" w:hAnsi="宋体" w:eastAsia="宋体" w:cs="宋体"/>
          <w:bCs/>
          <w:color w:val="auto"/>
          <w:sz w:val="24"/>
          <w:highlight w:val="none"/>
        </w:rPr>
        <w:t>2、授权委托书（附件3）</w:t>
      </w:r>
    </w:p>
    <w:p>
      <w:pPr>
        <w:keepNext w:val="0"/>
        <w:keepLines w:val="0"/>
        <w:pageBreakBefore w:val="0"/>
        <w:kinsoku/>
        <w:wordWrap/>
        <w:overflowPunct/>
        <w:topLinePunct w:val="0"/>
        <w:bidi w:val="0"/>
        <w:snapToGrid w:val="0"/>
        <w:spacing w:line="360" w:lineRule="auto"/>
        <w:ind w:firstLine="480" w:firstLineChars="200"/>
        <w:outlineLvl w:val="9"/>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3、法人或者其他组织的营业执照等证明文件，法定代表人和授权代表的身份证明</w:t>
      </w:r>
    </w:p>
    <w:p>
      <w:pPr>
        <w:keepNext w:val="0"/>
        <w:keepLines w:val="0"/>
        <w:pageBreakBefore w:val="0"/>
        <w:kinsoku/>
        <w:wordWrap/>
        <w:overflowPunct/>
        <w:topLinePunct w:val="0"/>
        <w:bidi w:val="0"/>
        <w:snapToGrid w:val="0"/>
        <w:spacing w:line="360" w:lineRule="auto"/>
        <w:ind w:firstLine="480" w:firstLineChars="200"/>
        <w:outlineLvl w:val="9"/>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4、本项目要求的特定资质证书</w:t>
      </w:r>
    </w:p>
    <w:p>
      <w:pPr>
        <w:keepNext w:val="0"/>
        <w:keepLines w:val="0"/>
        <w:pageBreakBefore w:val="0"/>
        <w:kinsoku/>
        <w:wordWrap/>
        <w:overflowPunct/>
        <w:topLinePunct w:val="0"/>
        <w:bidi w:val="0"/>
        <w:snapToGrid w:val="0"/>
        <w:spacing w:before="100" w:beforeAutospacing="1" w:after="100" w:afterAutospacing="1" w:line="360" w:lineRule="auto"/>
        <w:jc w:val="center"/>
        <w:outlineLvl w:val="9"/>
        <w:rPr>
          <w:rFonts w:hint="eastAsia" w:ascii="宋体" w:hAnsi="宋体" w:eastAsia="宋体" w:cs="宋体"/>
          <w:b/>
          <w:bCs/>
          <w:color w:val="auto"/>
          <w:sz w:val="36"/>
          <w:szCs w:val="32"/>
          <w:highlight w:val="none"/>
        </w:rPr>
      </w:pPr>
    </w:p>
    <w:p>
      <w:pPr>
        <w:keepNext w:val="0"/>
        <w:keepLines w:val="0"/>
        <w:pageBreakBefore w:val="0"/>
        <w:kinsoku/>
        <w:wordWrap/>
        <w:overflowPunct/>
        <w:topLinePunct w:val="0"/>
        <w:bidi w:val="0"/>
        <w:spacing w:line="360" w:lineRule="auto"/>
        <w:outlineLvl w:val="9"/>
        <w:rPr>
          <w:rFonts w:hint="eastAsia" w:ascii="宋体" w:hAnsi="宋体" w:eastAsia="宋体" w:cs="宋体"/>
          <w:b/>
          <w:color w:val="auto"/>
          <w:sz w:val="28"/>
          <w:highlight w:val="none"/>
        </w:rPr>
      </w:pPr>
    </w:p>
    <w:p>
      <w:pPr>
        <w:keepNext w:val="0"/>
        <w:keepLines w:val="0"/>
        <w:pageBreakBefore w:val="0"/>
        <w:kinsoku/>
        <w:wordWrap/>
        <w:overflowPunct/>
        <w:topLinePunct w:val="0"/>
        <w:bidi w:val="0"/>
        <w:spacing w:line="360" w:lineRule="auto"/>
        <w:ind w:left="420"/>
        <w:outlineLvl w:val="9"/>
        <w:rPr>
          <w:rFonts w:hint="eastAsia" w:ascii="宋体" w:hAnsi="宋体" w:eastAsia="宋体" w:cs="宋体"/>
          <w:b/>
          <w:color w:val="auto"/>
          <w:sz w:val="28"/>
          <w:highlight w:val="none"/>
        </w:rPr>
      </w:pPr>
    </w:p>
    <w:p>
      <w:pPr>
        <w:keepNext w:val="0"/>
        <w:keepLines w:val="0"/>
        <w:pageBreakBefore w:val="0"/>
        <w:kinsoku/>
        <w:wordWrap/>
        <w:overflowPunct/>
        <w:topLinePunct w:val="0"/>
        <w:bidi w:val="0"/>
        <w:spacing w:line="360" w:lineRule="auto"/>
        <w:ind w:left="420"/>
        <w:outlineLvl w:val="9"/>
        <w:rPr>
          <w:rFonts w:hint="eastAsia" w:ascii="宋体" w:hAnsi="宋体" w:eastAsia="宋体" w:cs="宋体"/>
          <w:b/>
          <w:color w:val="auto"/>
          <w:sz w:val="28"/>
          <w:highlight w:val="none"/>
        </w:rPr>
      </w:pPr>
    </w:p>
    <w:p>
      <w:pPr>
        <w:keepNext w:val="0"/>
        <w:keepLines w:val="0"/>
        <w:pageBreakBefore w:val="0"/>
        <w:kinsoku/>
        <w:wordWrap/>
        <w:overflowPunct/>
        <w:topLinePunct w:val="0"/>
        <w:bidi w:val="0"/>
        <w:spacing w:line="360" w:lineRule="auto"/>
        <w:ind w:left="420"/>
        <w:outlineLvl w:val="9"/>
        <w:rPr>
          <w:rFonts w:hint="eastAsia" w:ascii="宋体" w:hAnsi="宋体" w:eastAsia="宋体" w:cs="宋体"/>
          <w:b/>
          <w:color w:val="auto"/>
          <w:sz w:val="28"/>
          <w:highlight w:val="none"/>
        </w:rPr>
      </w:pPr>
    </w:p>
    <w:p>
      <w:pPr>
        <w:keepNext w:val="0"/>
        <w:keepLines w:val="0"/>
        <w:pageBreakBefore w:val="0"/>
        <w:kinsoku/>
        <w:wordWrap/>
        <w:overflowPunct/>
        <w:topLinePunct w:val="0"/>
        <w:bidi w:val="0"/>
        <w:spacing w:line="360" w:lineRule="auto"/>
        <w:ind w:left="420"/>
        <w:outlineLvl w:val="9"/>
        <w:rPr>
          <w:rFonts w:hint="eastAsia" w:ascii="宋体" w:hAnsi="宋体" w:eastAsia="宋体" w:cs="宋体"/>
          <w:b/>
          <w:color w:val="auto"/>
          <w:sz w:val="28"/>
          <w:highlight w:val="none"/>
        </w:rPr>
      </w:pPr>
    </w:p>
    <w:p>
      <w:pPr>
        <w:keepNext w:val="0"/>
        <w:keepLines w:val="0"/>
        <w:pageBreakBefore w:val="0"/>
        <w:kinsoku/>
        <w:wordWrap/>
        <w:overflowPunct/>
        <w:topLinePunct w:val="0"/>
        <w:bidi w:val="0"/>
        <w:spacing w:line="360" w:lineRule="auto"/>
        <w:ind w:left="420"/>
        <w:outlineLvl w:val="9"/>
        <w:rPr>
          <w:rFonts w:hint="eastAsia" w:ascii="宋体" w:hAnsi="宋体" w:eastAsia="宋体" w:cs="宋体"/>
          <w:b/>
          <w:color w:val="auto"/>
          <w:sz w:val="28"/>
          <w:highlight w:val="none"/>
        </w:rPr>
      </w:pPr>
    </w:p>
    <w:p>
      <w:pPr>
        <w:keepNext w:val="0"/>
        <w:keepLines w:val="0"/>
        <w:pageBreakBefore w:val="0"/>
        <w:kinsoku/>
        <w:wordWrap/>
        <w:overflowPunct/>
        <w:topLinePunct w:val="0"/>
        <w:bidi w:val="0"/>
        <w:spacing w:line="360" w:lineRule="auto"/>
        <w:ind w:left="420"/>
        <w:outlineLvl w:val="9"/>
        <w:rPr>
          <w:rFonts w:hint="eastAsia" w:ascii="宋体" w:hAnsi="宋体" w:eastAsia="宋体" w:cs="宋体"/>
          <w:b/>
          <w:color w:val="auto"/>
          <w:sz w:val="28"/>
          <w:highlight w:val="none"/>
        </w:rPr>
      </w:pPr>
    </w:p>
    <w:p>
      <w:pPr>
        <w:keepNext w:val="0"/>
        <w:keepLines w:val="0"/>
        <w:pageBreakBefore w:val="0"/>
        <w:kinsoku/>
        <w:wordWrap/>
        <w:overflowPunct/>
        <w:topLinePunct w:val="0"/>
        <w:bidi w:val="0"/>
        <w:spacing w:line="360" w:lineRule="auto"/>
        <w:ind w:left="420"/>
        <w:outlineLvl w:val="9"/>
        <w:rPr>
          <w:rFonts w:hint="eastAsia" w:ascii="宋体" w:hAnsi="宋体" w:eastAsia="宋体" w:cs="宋体"/>
          <w:b/>
          <w:color w:val="auto"/>
          <w:sz w:val="28"/>
          <w:highlight w:val="none"/>
        </w:rPr>
      </w:pPr>
    </w:p>
    <w:p>
      <w:pPr>
        <w:keepNext w:val="0"/>
        <w:keepLines w:val="0"/>
        <w:pageBreakBefore w:val="0"/>
        <w:kinsoku/>
        <w:wordWrap/>
        <w:overflowPunct/>
        <w:topLinePunct w:val="0"/>
        <w:bidi w:val="0"/>
        <w:spacing w:line="360" w:lineRule="auto"/>
        <w:ind w:left="420"/>
        <w:outlineLvl w:val="9"/>
        <w:rPr>
          <w:rFonts w:hint="eastAsia" w:ascii="宋体" w:hAnsi="宋体" w:eastAsia="宋体" w:cs="宋体"/>
          <w:b/>
          <w:color w:val="auto"/>
          <w:sz w:val="28"/>
          <w:highlight w:val="none"/>
        </w:rPr>
      </w:pPr>
    </w:p>
    <w:p>
      <w:pPr>
        <w:keepNext w:val="0"/>
        <w:keepLines w:val="0"/>
        <w:pageBreakBefore w:val="0"/>
        <w:kinsoku/>
        <w:wordWrap/>
        <w:overflowPunct/>
        <w:topLinePunct w:val="0"/>
        <w:bidi w:val="0"/>
        <w:spacing w:line="360" w:lineRule="auto"/>
        <w:ind w:left="420"/>
        <w:outlineLvl w:val="9"/>
        <w:rPr>
          <w:rFonts w:hint="eastAsia" w:ascii="宋体" w:hAnsi="宋体" w:eastAsia="宋体" w:cs="宋体"/>
          <w:b/>
          <w:color w:val="auto"/>
          <w:sz w:val="28"/>
          <w:highlight w:val="none"/>
        </w:rPr>
      </w:pPr>
    </w:p>
    <w:p>
      <w:pPr>
        <w:pStyle w:val="7"/>
        <w:keepNext w:val="0"/>
        <w:keepLines w:val="0"/>
        <w:pageBreakBefore w:val="0"/>
        <w:kinsoku/>
        <w:wordWrap/>
        <w:overflowPunct/>
        <w:topLinePunct w:val="0"/>
        <w:bidi w:val="0"/>
        <w:outlineLvl w:val="9"/>
        <w:rPr>
          <w:rFonts w:hint="eastAsia" w:ascii="宋体" w:hAnsi="宋体" w:eastAsia="宋体" w:cs="宋体"/>
          <w:b/>
          <w:color w:val="auto"/>
          <w:sz w:val="28"/>
          <w:highlight w:val="none"/>
        </w:rPr>
      </w:pPr>
    </w:p>
    <w:p>
      <w:pPr>
        <w:keepNext w:val="0"/>
        <w:keepLines w:val="0"/>
        <w:pageBreakBefore w:val="0"/>
        <w:kinsoku/>
        <w:wordWrap/>
        <w:overflowPunct/>
        <w:topLinePunct w:val="0"/>
        <w:bidi w:val="0"/>
        <w:spacing w:line="360" w:lineRule="auto"/>
        <w:outlineLvl w:val="9"/>
        <w:rPr>
          <w:rFonts w:hint="eastAsia" w:ascii="宋体" w:hAnsi="宋体" w:eastAsia="宋体" w:cs="宋体"/>
          <w:b/>
          <w:color w:val="auto"/>
          <w:sz w:val="28"/>
          <w:highlight w:val="none"/>
        </w:rPr>
      </w:pPr>
    </w:p>
    <w:p>
      <w:pPr>
        <w:pStyle w:val="7"/>
        <w:rPr>
          <w:rFonts w:hint="eastAsia" w:ascii="宋体" w:hAnsi="宋体" w:eastAsia="宋体" w:cs="宋体"/>
          <w:b/>
          <w:color w:val="auto"/>
          <w:sz w:val="28"/>
          <w:highlight w:val="none"/>
        </w:rPr>
      </w:pPr>
    </w:p>
    <w:p>
      <w:pPr>
        <w:pStyle w:val="8"/>
        <w:rPr>
          <w:rFonts w:hint="eastAsia" w:ascii="宋体" w:hAnsi="宋体" w:eastAsia="宋体" w:cs="宋体"/>
          <w:b/>
          <w:color w:val="auto"/>
          <w:sz w:val="28"/>
          <w:highlight w:val="none"/>
        </w:rPr>
      </w:pPr>
    </w:p>
    <w:p>
      <w:pPr>
        <w:keepNext w:val="0"/>
        <w:keepLines w:val="0"/>
        <w:pageBreakBefore w:val="0"/>
        <w:kinsoku/>
        <w:wordWrap/>
        <w:overflowPunct/>
        <w:topLinePunct w:val="0"/>
        <w:bidi w:val="0"/>
        <w:spacing w:line="360" w:lineRule="auto"/>
        <w:outlineLvl w:val="9"/>
        <w:rPr>
          <w:rFonts w:hint="eastAsia" w:ascii="宋体" w:hAnsi="宋体" w:eastAsia="宋体" w:cs="宋体"/>
          <w:b/>
          <w:color w:val="auto"/>
          <w:sz w:val="28"/>
          <w:highlight w:val="none"/>
        </w:rPr>
      </w:pPr>
      <w:r>
        <w:rPr>
          <w:rFonts w:hint="eastAsia" w:ascii="宋体" w:hAnsi="宋体" w:eastAsia="宋体" w:cs="宋体"/>
          <w:b/>
          <w:color w:val="auto"/>
          <w:sz w:val="28"/>
          <w:highlight w:val="none"/>
        </w:rPr>
        <w:t>附件2</w:t>
      </w:r>
    </w:p>
    <w:p>
      <w:pPr>
        <w:keepNext w:val="0"/>
        <w:keepLines w:val="0"/>
        <w:pageBreakBefore w:val="0"/>
        <w:kinsoku/>
        <w:wordWrap/>
        <w:overflowPunct/>
        <w:topLinePunct w:val="0"/>
        <w:bidi w:val="0"/>
        <w:spacing w:line="360" w:lineRule="auto"/>
        <w:jc w:val="center"/>
        <w:outlineLvl w:val="9"/>
        <w:rPr>
          <w:rFonts w:hint="eastAsia" w:ascii="宋体" w:hAnsi="宋体" w:eastAsia="宋体" w:cs="宋体"/>
          <w:b/>
          <w:color w:val="auto"/>
          <w:kern w:val="0"/>
          <w:sz w:val="32"/>
          <w:szCs w:val="32"/>
          <w:highlight w:val="none"/>
          <w:lang w:val="zh-CN"/>
        </w:rPr>
      </w:pPr>
      <w:r>
        <w:rPr>
          <w:rFonts w:hint="eastAsia" w:ascii="宋体" w:hAnsi="宋体" w:eastAsia="宋体" w:cs="宋体"/>
          <w:b/>
          <w:color w:val="auto"/>
          <w:kern w:val="0"/>
          <w:sz w:val="32"/>
          <w:szCs w:val="32"/>
          <w:highlight w:val="none"/>
          <w:lang w:val="zh-CN"/>
        </w:rPr>
        <w:t>投标声明书</w:t>
      </w:r>
    </w:p>
    <w:p>
      <w:pPr>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u w:val="single"/>
        </w:rPr>
      </w:pPr>
      <w:r>
        <w:rPr>
          <w:rFonts w:hint="eastAsia" w:ascii="宋体" w:hAnsi="宋体" w:cs="宋体"/>
          <w:color w:val="auto"/>
          <w:szCs w:val="21"/>
          <w:highlight w:val="none"/>
          <w:u w:val="single"/>
          <w:lang w:eastAsia="zh-CN"/>
        </w:rPr>
        <w:t>台州市路桥中学</w:t>
      </w:r>
      <w:r>
        <w:rPr>
          <w:rFonts w:hint="eastAsia" w:ascii="宋体" w:hAnsi="宋体" w:eastAsia="宋体" w:cs="宋体"/>
          <w:color w:val="auto"/>
          <w:szCs w:val="21"/>
          <w:highlight w:val="none"/>
          <w:u w:val="single"/>
        </w:rPr>
        <w:t>、</w:t>
      </w:r>
      <w:r>
        <w:rPr>
          <w:rFonts w:hint="eastAsia" w:ascii="宋体" w:hAnsi="宋体" w:eastAsia="宋体" w:cs="宋体"/>
          <w:color w:val="auto"/>
          <w:szCs w:val="21"/>
          <w:highlight w:val="none"/>
          <w:u w:val="single"/>
          <w:lang w:eastAsia="zh-CN"/>
        </w:rPr>
        <w:t>浙江汇永工程咨询有限公司</w:t>
      </w:r>
      <w:r>
        <w:rPr>
          <w:rFonts w:hint="eastAsia" w:ascii="宋体" w:hAnsi="宋体" w:eastAsia="宋体" w:cs="宋体"/>
          <w:color w:val="auto"/>
          <w:szCs w:val="21"/>
          <w:highlight w:val="none"/>
          <w:u w:val="single"/>
        </w:rPr>
        <w:t>：</w:t>
      </w:r>
    </w:p>
    <w:p>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u w:val="single"/>
        </w:rPr>
        <w:t xml:space="preserve"> 投标人名称 </w:t>
      </w:r>
      <w:r>
        <w:rPr>
          <w:rFonts w:hint="eastAsia" w:ascii="宋体" w:hAnsi="宋体" w:eastAsia="宋体" w:cs="宋体"/>
          <w:color w:val="auto"/>
          <w:szCs w:val="21"/>
          <w:highlight w:val="none"/>
        </w:rPr>
        <w:t>）系中华人民共和国合法企业，经营地址。</w:t>
      </w:r>
    </w:p>
    <w:p>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我（</w:t>
      </w:r>
      <w:r>
        <w:rPr>
          <w:rFonts w:hint="eastAsia" w:ascii="宋体" w:hAnsi="宋体" w:eastAsia="宋体" w:cs="宋体"/>
          <w:color w:val="auto"/>
          <w:szCs w:val="21"/>
          <w:highlight w:val="none"/>
          <w:u w:val="single"/>
        </w:rPr>
        <w:t xml:space="preserve"> 姓名 </w:t>
      </w:r>
      <w:r>
        <w:rPr>
          <w:rFonts w:hint="eastAsia" w:ascii="宋体" w:hAnsi="宋体" w:eastAsia="宋体" w:cs="宋体"/>
          <w:color w:val="auto"/>
          <w:szCs w:val="21"/>
          <w:highlight w:val="none"/>
        </w:rPr>
        <w:t>）系（</w:t>
      </w:r>
      <w:r>
        <w:rPr>
          <w:rFonts w:hint="eastAsia" w:ascii="宋体" w:hAnsi="宋体" w:eastAsia="宋体" w:cs="宋体"/>
          <w:color w:val="auto"/>
          <w:szCs w:val="21"/>
          <w:highlight w:val="none"/>
          <w:u w:val="single"/>
        </w:rPr>
        <w:t xml:space="preserve"> 投标人名称 </w:t>
      </w:r>
      <w:r>
        <w:rPr>
          <w:rFonts w:hint="eastAsia" w:ascii="宋体" w:hAnsi="宋体" w:eastAsia="宋体" w:cs="宋体"/>
          <w:color w:val="auto"/>
          <w:szCs w:val="21"/>
          <w:highlight w:val="none"/>
        </w:rPr>
        <w:t>）的法定代表人，我公司自愿参加贵方组织的</w:t>
      </w:r>
      <w:r>
        <w:rPr>
          <w:rFonts w:hint="eastAsia" w:ascii="宋体" w:hAnsi="宋体" w:cs="宋体"/>
          <w:color w:val="auto"/>
          <w:szCs w:val="21"/>
          <w:highlight w:val="none"/>
          <w:u w:val="single"/>
          <w:lang w:eastAsia="zh-CN"/>
        </w:rPr>
        <w:t>化学实验室、化学通风设备采购项目</w:t>
      </w:r>
      <w:r>
        <w:rPr>
          <w:rFonts w:hint="eastAsia" w:ascii="宋体" w:hAnsi="宋体" w:eastAsia="宋体" w:cs="宋体"/>
          <w:color w:val="auto"/>
          <w:szCs w:val="21"/>
          <w:highlight w:val="none"/>
        </w:rPr>
        <w:t>（编号为</w:t>
      </w:r>
      <w:r>
        <w:rPr>
          <w:rFonts w:hint="eastAsia" w:ascii="宋体" w:hAnsi="宋体" w:cs="宋体"/>
          <w:color w:val="auto"/>
          <w:szCs w:val="21"/>
          <w:highlight w:val="none"/>
          <w:u w:val="single"/>
          <w:lang w:eastAsia="zh-CN"/>
        </w:rPr>
        <w:t>zjhy2024-tz05</w:t>
      </w:r>
      <w:r>
        <w:rPr>
          <w:rFonts w:hint="eastAsia" w:ascii="宋体" w:hAnsi="宋体" w:eastAsia="宋体" w:cs="宋体"/>
          <w:color w:val="auto"/>
          <w:szCs w:val="21"/>
          <w:highlight w:val="none"/>
        </w:rPr>
        <w:t>）的投标，为此，我公司就本次投标有关事项郑重声明如下：</w:t>
      </w:r>
    </w:p>
    <w:p>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一</w:t>
      </w:r>
      <w:r>
        <w:rPr>
          <w:rFonts w:hint="eastAsia" w:ascii="宋体" w:hAnsi="宋体" w:eastAsia="宋体" w:cs="宋体"/>
          <w:color w:val="auto"/>
          <w:szCs w:val="21"/>
          <w:highlight w:val="none"/>
        </w:rPr>
        <w:t>、我公司声明截止投标时间近三年以来：在政府采购领域中的项目招标、投标和合同履约期间无任何不良行为记录；无重大违法记录（重大违法记录是指供应商因违法经营受到刑事处罚或者责令停产停业、吊销许可证或者执照、较大数额罚款等行政处罚）。</w:t>
      </w:r>
    </w:p>
    <w:p>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二</w:t>
      </w:r>
      <w:r>
        <w:rPr>
          <w:rFonts w:hint="eastAsia" w:ascii="宋体" w:hAnsi="宋体" w:eastAsia="宋体" w:cs="宋体"/>
          <w:color w:val="auto"/>
          <w:szCs w:val="21"/>
          <w:highlight w:val="none"/>
        </w:rPr>
        <w:t>、我公司在参与投标前已详细审查了招标文件和所有相关资料，包括招标文件澄清或更正内容（如果有），我方完全明白并认为此招标文件没有倾向性，也没有存在排斥潜在投标人的内容，我方同意招标文件的相关条款，放弃对招标文件提出误解和质疑的一切权利。</w:t>
      </w:r>
    </w:p>
    <w:p>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三</w:t>
      </w:r>
      <w:r>
        <w:rPr>
          <w:rFonts w:hint="eastAsia" w:ascii="宋体" w:hAnsi="宋体" w:eastAsia="宋体" w:cs="宋体"/>
          <w:color w:val="auto"/>
          <w:szCs w:val="21"/>
          <w:highlight w:val="none"/>
        </w:rPr>
        <w:t>、我</w:t>
      </w:r>
      <w:r>
        <w:rPr>
          <w:rFonts w:hint="eastAsia" w:ascii="宋体" w:hAnsi="宋体" w:eastAsia="宋体" w:cs="宋体"/>
          <w:color w:val="auto"/>
          <w:szCs w:val="21"/>
          <w:highlight w:val="none"/>
          <w:lang w:val="zh-CN"/>
        </w:rPr>
        <w:t>公司</w:t>
      </w:r>
      <w:r>
        <w:rPr>
          <w:rFonts w:hint="eastAsia" w:ascii="宋体" w:hAnsi="宋体" w:eastAsia="宋体" w:cs="宋体"/>
          <w:color w:val="auto"/>
          <w:szCs w:val="21"/>
          <w:highlight w:val="none"/>
        </w:rPr>
        <w:t>不是采购人的附属机构；在获知本项目采购信息后，与采购人聘请的为此项目提供咨询服务的公司及其附属机构没有任何联系。</w:t>
      </w:r>
    </w:p>
    <w:p>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Cs w:val="21"/>
          <w:highlight w:val="none"/>
          <w:lang w:val="af-ZA"/>
        </w:rPr>
      </w:pPr>
      <w:r>
        <w:rPr>
          <w:rFonts w:hint="eastAsia" w:ascii="宋体" w:hAnsi="宋体" w:eastAsia="宋体" w:cs="宋体"/>
          <w:color w:val="auto"/>
          <w:szCs w:val="21"/>
          <w:highlight w:val="none"/>
          <w:lang w:val="en-US" w:eastAsia="zh-CN"/>
        </w:rPr>
        <w:t>四</w:t>
      </w:r>
      <w:r>
        <w:rPr>
          <w:rFonts w:hint="eastAsia" w:ascii="宋体" w:hAnsi="宋体" w:eastAsia="宋体" w:cs="宋体"/>
          <w:color w:val="auto"/>
          <w:szCs w:val="21"/>
          <w:highlight w:val="none"/>
        </w:rPr>
        <w:t>、我</w:t>
      </w:r>
      <w:r>
        <w:rPr>
          <w:rFonts w:hint="eastAsia" w:ascii="宋体" w:hAnsi="宋体" w:eastAsia="宋体" w:cs="宋体"/>
          <w:color w:val="auto"/>
          <w:szCs w:val="21"/>
          <w:highlight w:val="none"/>
          <w:lang w:val="zh-CN"/>
        </w:rPr>
        <w:t>公司</w:t>
      </w:r>
      <w:r>
        <w:rPr>
          <w:rFonts w:hint="eastAsia" w:ascii="宋体" w:hAnsi="宋体" w:eastAsia="宋体" w:cs="宋体"/>
          <w:color w:val="auto"/>
          <w:szCs w:val="21"/>
          <w:highlight w:val="none"/>
        </w:rPr>
        <w:t>保证，</w:t>
      </w:r>
      <w:r>
        <w:rPr>
          <w:rFonts w:hint="eastAsia" w:ascii="宋体" w:hAnsi="宋体" w:eastAsia="宋体" w:cs="宋体"/>
          <w:color w:val="auto"/>
          <w:szCs w:val="21"/>
          <w:highlight w:val="none"/>
          <w:lang w:val="af-ZA"/>
        </w:rPr>
        <w:t>采购人在中华人民共和国境内使用</w:t>
      </w:r>
      <w:r>
        <w:rPr>
          <w:rFonts w:hint="eastAsia" w:ascii="宋体" w:hAnsi="宋体" w:eastAsia="宋体" w:cs="宋体"/>
          <w:color w:val="auto"/>
          <w:szCs w:val="21"/>
          <w:highlight w:val="none"/>
        </w:rPr>
        <w:t>我</w:t>
      </w:r>
      <w:r>
        <w:rPr>
          <w:rFonts w:hint="eastAsia" w:ascii="宋体" w:hAnsi="宋体" w:eastAsia="宋体" w:cs="宋体"/>
          <w:color w:val="auto"/>
          <w:szCs w:val="21"/>
          <w:highlight w:val="none"/>
          <w:lang w:val="zh-CN"/>
        </w:rPr>
        <w:t>公司</w:t>
      </w:r>
      <w:r>
        <w:rPr>
          <w:rFonts w:hint="eastAsia" w:ascii="宋体" w:hAnsi="宋体" w:eastAsia="宋体" w:cs="宋体"/>
          <w:color w:val="auto"/>
          <w:szCs w:val="21"/>
          <w:highlight w:val="none"/>
          <w:lang w:val="af-ZA"/>
        </w:rPr>
        <w:t>投标货物、资料、技术、服务或其任何一部分时，享有不受限制的无偿使用权，如有第三方向采购人提出侵犯其专利权、商标权或其它知识产权的主张，该责任由我方承担。我方的投标报价已包含所有应向所有权人支付的专利权、商标权或其它知识产权的一切相关费用。</w:t>
      </w:r>
    </w:p>
    <w:p>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五</w:t>
      </w:r>
      <w:r>
        <w:rPr>
          <w:rFonts w:hint="eastAsia" w:ascii="宋体" w:hAnsi="宋体" w:eastAsia="宋体" w:cs="宋体"/>
          <w:color w:val="auto"/>
          <w:szCs w:val="21"/>
          <w:highlight w:val="none"/>
          <w:lang w:val="af-ZA"/>
        </w:rPr>
        <w:t>、我</w:t>
      </w:r>
      <w:r>
        <w:rPr>
          <w:rFonts w:hint="eastAsia" w:ascii="宋体" w:hAnsi="宋体" w:eastAsia="宋体" w:cs="宋体"/>
          <w:color w:val="auto"/>
          <w:szCs w:val="21"/>
          <w:highlight w:val="none"/>
          <w:lang w:val="zh-CN"/>
        </w:rPr>
        <w:t>公司</w:t>
      </w:r>
      <w:r>
        <w:rPr>
          <w:rFonts w:hint="eastAsia" w:ascii="宋体" w:hAnsi="宋体" w:eastAsia="宋体" w:cs="宋体"/>
          <w:color w:val="auto"/>
          <w:szCs w:val="21"/>
          <w:highlight w:val="none"/>
          <w:lang w:val="af-ZA"/>
        </w:rPr>
        <w:t>严格履行政府采购合同，</w:t>
      </w:r>
      <w:r>
        <w:rPr>
          <w:rFonts w:hint="eastAsia" w:ascii="宋体" w:hAnsi="宋体" w:eastAsia="宋体" w:cs="宋体"/>
          <w:color w:val="auto"/>
          <w:kern w:val="0"/>
          <w:szCs w:val="21"/>
          <w:highlight w:val="none"/>
          <w:lang w:val="af-ZA"/>
        </w:rPr>
        <w:t>除在投标文件中明确拒绝之外，均接受招标文件中的全部条件，</w:t>
      </w:r>
      <w:r>
        <w:rPr>
          <w:rFonts w:hint="eastAsia" w:ascii="宋体" w:hAnsi="宋体" w:eastAsia="宋体" w:cs="宋体"/>
          <w:color w:val="auto"/>
          <w:szCs w:val="21"/>
          <w:highlight w:val="none"/>
          <w:lang w:val="af-ZA"/>
        </w:rPr>
        <w:t>不降低合同约定的产品质量和服务，不擅自变更、中止、终止合同，或拒绝履行合同义务；</w:t>
      </w:r>
    </w:p>
    <w:p>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六</w:t>
      </w:r>
      <w:r>
        <w:rPr>
          <w:rFonts w:hint="eastAsia" w:ascii="宋体" w:hAnsi="宋体" w:eastAsia="宋体" w:cs="宋体"/>
          <w:color w:val="auto"/>
          <w:szCs w:val="21"/>
          <w:highlight w:val="none"/>
        </w:rPr>
        <w:t>、以上事项如有虚假或隐瞒，我</w:t>
      </w:r>
      <w:r>
        <w:rPr>
          <w:rFonts w:hint="eastAsia" w:ascii="宋体" w:hAnsi="宋体" w:eastAsia="宋体" w:cs="宋体"/>
          <w:color w:val="auto"/>
          <w:szCs w:val="21"/>
          <w:highlight w:val="none"/>
          <w:lang w:val="zh-CN"/>
        </w:rPr>
        <w:t>公司</w:t>
      </w:r>
      <w:r>
        <w:rPr>
          <w:rFonts w:hint="eastAsia" w:ascii="宋体" w:hAnsi="宋体" w:eastAsia="宋体" w:cs="宋体"/>
          <w:color w:val="auto"/>
          <w:szCs w:val="21"/>
          <w:highlight w:val="none"/>
        </w:rPr>
        <w:t>愿意承担一切后果，并不再寻求任何旨在减轻或免除法律责任的辩解。</w:t>
      </w:r>
    </w:p>
    <w:p>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本单位若违反以上承诺，将无条件接受项目主管部门和有关监督管理部门的调查，并愿意承担取消中标资格、没收履约保证金及限制在本地区参与投标等一切法律责任。</w:t>
      </w:r>
    </w:p>
    <w:p>
      <w:pPr>
        <w:keepNext w:val="0"/>
        <w:keepLines w:val="0"/>
        <w:pageBreakBefore w:val="0"/>
        <w:kinsoku/>
        <w:wordWrap/>
        <w:overflowPunct/>
        <w:topLinePunct w:val="0"/>
        <w:bidi w:val="0"/>
        <w:spacing w:line="360" w:lineRule="auto"/>
        <w:ind w:firstLine="3360" w:firstLineChars="1600"/>
        <w:outlineLvl w:val="9"/>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投标人名称(公章)：</w:t>
      </w:r>
    </w:p>
    <w:p>
      <w:pPr>
        <w:keepNext w:val="0"/>
        <w:keepLines w:val="0"/>
        <w:pageBreakBefore w:val="0"/>
        <w:kinsoku/>
        <w:wordWrap/>
        <w:overflowPunct/>
        <w:topLinePunct w:val="0"/>
        <w:bidi w:val="0"/>
        <w:spacing w:line="360" w:lineRule="auto"/>
        <w:ind w:firstLine="3360" w:firstLineChars="16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zh-CN"/>
        </w:rPr>
        <w:t>法定代表人或授权委托代理人（签字）：</w:t>
      </w:r>
    </w:p>
    <w:p>
      <w:pPr>
        <w:keepNext w:val="0"/>
        <w:keepLines w:val="0"/>
        <w:pageBreakBefore w:val="0"/>
        <w:kinsoku/>
        <w:wordWrap/>
        <w:overflowPunct/>
        <w:topLinePunct w:val="0"/>
        <w:bidi w:val="0"/>
        <w:spacing w:line="360" w:lineRule="auto"/>
        <w:ind w:firstLine="420" w:firstLineChars="200"/>
        <w:jc w:val="center"/>
        <w:outlineLvl w:val="9"/>
        <w:rPr>
          <w:rFonts w:hint="eastAsia" w:ascii="宋体" w:hAnsi="宋体" w:eastAsia="宋体" w:cs="宋体"/>
          <w:color w:val="auto"/>
          <w:sz w:val="24"/>
          <w:szCs w:val="32"/>
          <w:highlight w:val="none"/>
        </w:rPr>
      </w:pPr>
      <w:r>
        <w:rPr>
          <w:rFonts w:hint="eastAsia" w:ascii="宋体" w:hAnsi="宋体" w:eastAsia="宋体" w:cs="宋体"/>
          <w:color w:val="auto"/>
          <w:szCs w:val="21"/>
          <w:highlight w:val="none"/>
        </w:rPr>
        <w:t xml:space="preserve">       </w:t>
      </w:r>
      <w:r>
        <w:rPr>
          <w:rFonts w:hint="eastAsia" w:ascii="宋体" w:hAnsi="宋体" w:eastAsia="宋体" w:cs="宋体"/>
          <w:color w:val="auto"/>
          <w:szCs w:val="21"/>
          <w:highlight w:val="none"/>
          <w:lang w:val="zh-CN"/>
        </w:rPr>
        <w:t>日期：</w:t>
      </w:r>
      <w:r>
        <w:rPr>
          <w:rFonts w:hint="eastAsia" w:ascii="宋体" w:hAnsi="宋体" w:eastAsia="宋体" w:cs="宋体"/>
          <w:color w:val="auto"/>
          <w:szCs w:val="21"/>
          <w:highlight w:val="none"/>
        </w:rPr>
        <w:t>年  月  日</w:t>
      </w:r>
    </w:p>
    <w:p>
      <w:pPr>
        <w:keepNext w:val="0"/>
        <w:keepLines w:val="0"/>
        <w:pageBreakBefore w:val="0"/>
        <w:kinsoku/>
        <w:wordWrap/>
        <w:overflowPunct/>
        <w:topLinePunct w:val="0"/>
        <w:bidi w:val="0"/>
        <w:adjustRightInd w:val="0"/>
        <w:snapToGrid w:val="0"/>
        <w:spacing w:line="360" w:lineRule="auto"/>
        <w:ind w:right="480"/>
        <w:outlineLvl w:val="9"/>
        <w:rPr>
          <w:rFonts w:hint="eastAsia" w:ascii="宋体" w:hAnsi="宋体" w:eastAsia="宋体" w:cs="宋体"/>
          <w:b/>
          <w:color w:val="auto"/>
          <w:sz w:val="30"/>
          <w:szCs w:val="30"/>
          <w:highlight w:val="none"/>
        </w:rPr>
      </w:pPr>
      <w:r>
        <w:rPr>
          <w:rFonts w:hint="eastAsia" w:ascii="宋体" w:hAnsi="宋体" w:eastAsia="宋体" w:cs="宋体"/>
          <w:b/>
          <w:color w:val="auto"/>
          <w:sz w:val="28"/>
          <w:highlight w:val="none"/>
        </w:rPr>
        <w:t>附件3</w:t>
      </w:r>
    </w:p>
    <w:p>
      <w:pPr>
        <w:keepNext w:val="0"/>
        <w:keepLines w:val="0"/>
        <w:pageBreakBefore w:val="0"/>
        <w:kinsoku/>
        <w:wordWrap/>
        <w:overflowPunct/>
        <w:topLinePunct w:val="0"/>
        <w:bidi w:val="0"/>
        <w:spacing w:line="360" w:lineRule="auto"/>
        <w:ind w:firstLine="321" w:firstLineChars="100"/>
        <w:jc w:val="center"/>
        <w:outlineLvl w:val="9"/>
        <w:rPr>
          <w:rFonts w:hint="eastAsia" w:ascii="宋体" w:hAnsi="宋体" w:eastAsia="宋体" w:cs="宋体"/>
          <w:b/>
          <w:color w:val="auto"/>
          <w:sz w:val="32"/>
          <w:szCs w:val="32"/>
          <w:highlight w:val="none"/>
          <w:u w:val="single"/>
        </w:rPr>
      </w:pPr>
      <w:r>
        <w:rPr>
          <w:rFonts w:hint="eastAsia" w:ascii="宋体" w:hAnsi="宋体" w:eastAsia="宋体" w:cs="宋体"/>
          <w:b/>
          <w:color w:val="auto"/>
          <w:sz w:val="32"/>
          <w:szCs w:val="32"/>
          <w:highlight w:val="none"/>
        </w:rPr>
        <w:t>授权委托书</w:t>
      </w:r>
    </w:p>
    <w:p>
      <w:pPr>
        <w:pStyle w:val="11"/>
        <w:keepNext w:val="0"/>
        <w:keepLines w:val="0"/>
        <w:pageBreakBefore w:val="0"/>
        <w:kinsoku/>
        <w:wordWrap/>
        <w:overflowPunct/>
        <w:topLinePunct w:val="0"/>
        <w:bidi w:val="0"/>
        <w:spacing w:line="360" w:lineRule="auto"/>
        <w:ind w:left="210" w:hanging="210" w:hangingChars="100"/>
        <w:outlineLvl w:val="9"/>
        <w:rPr>
          <w:rFonts w:hint="eastAsia" w:ascii="宋体" w:hAnsi="宋体" w:eastAsia="宋体" w:cs="宋体"/>
          <w:color w:val="auto"/>
          <w:kern w:val="0"/>
          <w:szCs w:val="21"/>
          <w:highlight w:val="none"/>
        </w:rPr>
      </w:pPr>
      <w:r>
        <w:rPr>
          <w:rFonts w:hint="eastAsia" w:hAnsi="宋体" w:cs="宋体"/>
          <w:color w:val="auto"/>
          <w:szCs w:val="21"/>
          <w:highlight w:val="none"/>
          <w:u w:val="single"/>
          <w:lang w:eastAsia="zh-CN"/>
        </w:rPr>
        <w:t>台州市路桥中学</w:t>
      </w:r>
      <w:r>
        <w:rPr>
          <w:rFonts w:hint="eastAsia" w:ascii="宋体" w:hAnsi="宋体" w:eastAsia="宋体" w:cs="宋体"/>
          <w:color w:val="auto"/>
          <w:szCs w:val="21"/>
          <w:highlight w:val="none"/>
          <w:u w:val="single"/>
        </w:rPr>
        <w:t>、</w:t>
      </w:r>
      <w:r>
        <w:rPr>
          <w:rFonts w:hint="eastAsia" w:ascii="宋体" w:hAnsi="宋体" w:eastAsia="宋体" w:cs="宋体"/>
          <w:color w:val="auto"/>
          <w:szCs w:val="21"/>
          <w:highlight w:val="none"/>
          <w:u w:val="single"/>
          <w:lang w:eastAsia="zh-CN"/>
        </w:rPr>
        <w:t>浙江汇永工程咨询有限公司</w:t>
      </w:r>
      <w:r>
        <w:rPr>
          <w:rFonts w:hint="eastAsia" w:ascii="宋体" w:hAnsi="宋体" w:eastAsia="宋体" w:cs="宋体"/>
          <w:color w:val="auto"/>
          <w:kern w:val="0"/>
          <w:szCs w:val="21"/>
          <w:highlight w:val="none"/>
        </w:rPr>
        <w:t>：</w:t>
      </w:r>
    </w:p>
    <w:p>
      <w:pPr>
        <w:pStyle w:val="11"/>
        <w:keepNext w:val="0"/>
        <w:keepLines w:val="0"/>
        <w:pageBreakBefore w:val="0"/>
        <w:kinsoku/>
        <w:wordWrap/>
        <w:overflowPunct/>
        <w:topLinePunct w:val="0"/>
        <w:bidi w:val="0"/>
        <w:spacing w:line="360" w:lineRule="auto"/>
        <w:ind w:left="210" w:hanging="210" w:hangingChars="1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u w:val="single"/>
        </w:rPr>
        <w:t>（投标人全称）</w:t>
      </w:r>
      <w:r>
        <w:rPr>
          <w:rFonts w:hint="eastAsia" w:ascii="宋体" w:hAnsi="宋体" w:eastAsia="宋体" w:cs="宋体"/>
          <w:color w:val="auto"/>
          <w:szCs w:val="21"/>
          <w:highlight w:val="none"/>
        </w:rPr>
        <w:t>法定代表人（或营业执照中单位负责人）</w:t>
      </w:r>
      <w:r>
        <w:rPr>
          <w:rFonts w:hint="eastAsia" w:ascii="宋体" w:hAnsi="宋体" w:eastAsia="宋体" w:cs="宋体"/>
          <w:color w:val="auto"/>
          <w:szCs w:val="21"/>
          <w:highlight w:val="none"/>
          <w:u w:val="single"/>
        </w:rPr>
        <w:tab/>
      </w:r>
      <w:r>
        <w:rPr>
          <w:rFonts w:hint="eastAsia" w:ascii="宋体" w:hAnsi="宋体" w:eastAsia="宋体" w:cs="宋体"/>
          <w:color w:val="auto"/>
          <w:szCs w:val="21"/>
          <w:highlight w:val="none"/>
          <w:u w:val="single"/>
        </w:rPr>
        <w:t>（法定代表人或营业执照中单位负责人姓名）</w:t>
      </w:r>
      <w:r>
        <w:rPr>
          <w:rFonts w:hint="eastAsia" w:ascii="宋体" w:hAnsi="宋体" w:eastAsia="宋体" w:cs="宋体"/>
          <w:color w:val="auto"/>
          <w:szCs w:val="21"/>
          <w:highlight w:val="none"/>
        </w:rPr>
        <w:t>授权</w:t>
      </w:r>
      <w:r>
        <w:rPr>
          <w:rFonts w:hint="eastAsia" w:ascii="宋体" w:hAnsi="宋体" w:eastAsia="宋体" w:cs="宋体"/>
          <w:color w:val="auto"/>
          <w:szCs w:val="21"/>
          <w:highlight w:val="none"/>
          <w:u w:val="single"/>
        </w:rPr>
        <w:t>（授权委托代理人姓名）</w:t>
      </w:r>
      <w:r>
        <w:rPr>
          <w:rFonts w:hint="eastAsia" w:ascii="宋体" w:hAnsi="宋体" w:eastAsia="宋体" w:cs="宋体"/>
          <w:color w:val="auto"/>
          <w:szCs w:val="21"/>
          <w:highlight w:val="none"/>
        </w:rPr>
        <w:t>为授权委托代理人，参加贵单位组织的</w:t>
      </w:r>
      <w:r>
        <w:rPr>
          <w:rFonts w:hint="eastAsia" w:hAnsi="宋体" w:cs="宋体"/>
          <w:color w:val="auto"/>
          <w:kern w:val="0"/>
          <w:szCs w:val="21"/>
          <w:highlight w:val="none"/>
          <w:u w:val="single"/>
          <w:lang w:eastAsia="zh-CN"/>
        </w:rPr>
        <w:t>化学实验室、化学通风设备采购项目</w:t>
      </w:r>
      <w:r>
        <w:rPr>
          <w:rFonts w:hint="eastAsia" w:ascii="宋体" w:hAnsi="宋体" w:eastAsia="宋体" w:cs="宋体"/>
          <w:color w:val="auto"/>
          <w:szCs w:val="21"/>
          <w:highlight w:val="none"/>
        </w:rPr>
        <w:t>的采购活动，并代表我方全权办理针对上述项目的投标、开标、评标、签约等具体事务和签署相关文件。我方对授权委托代理人的签字事项负全部责任。</w:t>
      </w:r>
    </w:p>
    <w:p>
      <w:pPr>
        <w:pStyle w:val="11"/>
        <w:keepNext w:val="0"/>
        <w:keepLines w:val="0"/>
        <w:pageBreakBefore w:val="0"/>
        <w:kinsoku/>
        <w:wordWrap/>
        <w:overflowPunct/>
        <w:topLinePunct w:val="0"/>
        <w:bidi w:val="0"/>
        <w:spacing w:line="360" w:lineRule="auto"/>
        <w:ind w:left="139" w:leftChars="66"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在撤销授权的书面通知以前，本授权书一直有效。授权委托代理人在授权委托书有效期内签署的所有文件不因授权的撤销而失效。</w:t>
      </w:r>
    </w:p>
    <w:p>
      <w:pPr>
        <w:pStyle w:val="11"/>
        <w:keepNext w:val="0"/>
        <w:keepLines w:val="0"/>
        <w:pageBreakBefore w:val="0"/>
        <w:kinsoku/>
        <w:wordWrap/>
        <w:overflowPunct/>
        <w:topLinePunct w:val="0"/>
        <w:bidi w:val="0"/>
        <w:spacing w:line="360" w:lineRule="auto"/>
        <w:ind w:left="139" w:leftChars="66"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授权委托代理人无转委托权，特此委托。</w:t>
      </w:r>
    </w:p>
    <w:p>
      <w:pPr>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p>
      <w:pPr>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法定代表人签字或盖章：</w:t>
      </w:r>
    </w:p>
    <w:p>
      <w:pPr>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投标人全称（公章）：日期：</w:t>
      </w:r>
    </w:p>
    <w:p>
      <w:pPr>
        <w:keepNext w:val="0"/>
        <w:keepLines w:val="0"/>
        <w:pageBreakBefore w:val="0"/>
        <w:kinsoku/>
        <w:wordWrap/>
        <w:overflowPunct/>
        <w:topLinePunct w:val="0"/>
        <w:bidi w:val="0"/>
        <w:spacing w:line="360" w:lineRule="auto"/>
        <w:outlineLvl w:val="9"/>
        <w:rPr>
          <w:rFonts w:hint="eastAsia" w:ascii="宋体" w:hAnsi="宋体" w:eastAsia="宋体" w:cs="宋体"/>
          <w:color w:val="auto"/>
          <w:sz w:val="24"/>
          <w:highlight w:val="none"/>
        </w:rPr>
      </w:pPr>
    </w:p>
    <w:p>
      <w:pPr>
        <w:keepNext w:val="0"/>
        <w:keepLines w:val="0"/>
        <w:pageBreakBefore w:val="0"/>
        <w:kinsoku/>
        <w:wordWrap/>
        <w:overflowPunct/>
        <w:topLinePunct w:val="0"/>
        <w:bidi w:val="0"/>
        <w:spacing w:line="360" w:lineRule="auto"/>
        <w:outlineLvl w:val="9"/>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附：</w:t>
      </w:r>
    </w:p>
    <w:tbl>
      <w:tblPr>
        <w:tblStyle w:val="22"/>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tcPr>
          <w:p>
            <w:pPr>
              <w:keepNext w:val="0"/>
              <w:keepLines w:val="0"/>
              <w:pageBreakBefore w:val="0"/>
              <w:kinsoku/>
              <w:wordWrap/>
              <w:overflowPunct/>
              <w:topLinePunct w:val="0"/>
              <w:bidi w:val="0"/>
              <w:spacing w:line="360" w:lineRule="auto"/>
              <w:outlineLvl w:val="9"/>
              <w:rPr>
                <w:rFonts w:hint="eastAsia" w:ascii="宋体" w:hAnsi="宋体" w:eastAsia="宋体" w:cs="宋体"/>
                <w:b/>
                <w:color w:val="auto"/>
                <w:sz w:val="24"/>
                <w:highlight w:val="none"/>
              </w:rPr>
            </w:pPr>
          </w:p>
          <w:p>
            <w:pPr>
              <w:keepNext w:val="0"/>
              <w:keepLines w:val="0"/>
              <w:pageBreakBefore w:val="0"/>
              <w:kinsoku/>
              <w:wordWrap/>
              <w:overflowPunct/>
              <w:topLinePunct w:val="0"/>
              <w:bidi w:val="0"/>
              <w:spacing w:line="360" w:lineRule="auto"/>
              <w:ind w:firstLine="361" w:firstLineChars="150"/>
              <w:outlineLvl w:val="9"/>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法定代表身份证复印件粘帖处</w:t>
            </w:r>
          </w:p>
        </w:tc>
      </w:tr>
    </w:tbl>
    <w:p>
      <w:pPr>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法定代表人姓名：</w:t>
      </w:r>
    </w:p>
    <w:p>
      <w:pPr>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传真：</w:t>
      </w:r>
    </w:p>
    <w:p>
      <w:pPr>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电话：</w:t>
      </w:r>
    </w:p>
    <w:p>
      <w:pPr>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详细通讯地址：</w:t>
      </w:r>
    </w:p>
    <w:p>
      <w:pPr>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邮政编码：</w:t>
      </w:r>
    </w:p>
    <w:p>
      <w:pPr>
        <w:keepNext w:val="0"/>
        <w:keepLines w:val="0"/>
        <w:pageBreakBefore w:val="0"/>
        <w:kinsoku/>
        <w:wordWrap/>
        <w:overflowPunct/>
        <w:topLinePunct w:val="0"/>
        <w:bidi w:val="0"/>
        <w:spacing w:line="360" w:lineRule="auto"/>
        <w:outlineLvl w:val="9"/>
        <w:rPr>
          <w:rFonts w:hint="eastAsia" w:ascii="宋体" w:hAnsi="宋体" w:eastAsia="宋体" w:cs="宋体"/>
          <w:b/>
          <w:color w:val="auto"/>
          <w:szCs w:val="21"/>
          <w:highlight w:val="none"/>
        </w:rPr>
      </w:pPr>
    </w:p>
    <w:tbl>
      <w:tblPr>
        <w:tblStyle w:val="22"/>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tcPr>
          <w:p>
            <w:pPr>
              <w:keepNext w:val="0"/>
              <w:keepLines w:val="0"/>
              <w:pageBreakBefore w:val="0"/>
              <w:kinsoku/>
              <w:wordWrap/>
              <w:overflowPunct/>
              <w:topLinePunct w:val="0"/>
              <w:bidi w:val="0"/>
              <w:spacing w:line="360" w:lineRule="auto"/>
              <w:outlineLvl w:val="9"/>
              <w:rPr>
                <w:rFonts w:hint="eastAsia" w:ascii="宋体" w:hAnsi="宋体" w:eastAsia="宋体" w:cs="宋体"/>
                <w:b/>
                <w:color w:val="auto"/>
                <w:szCs w:val="21"/>
                <w:highlight w:val="none"/>
              </w:rPr>
            </w:pPr>
          </w:p>
          <w:p>
            <w:pPr>
              <w:keepNext w:val="0"/>
              <w:keepLines w:val="0"/>
              <w:pageBreakBefore w:val="0"/>
              <w:kinsoku/>
              <w:wordWrap/>
              <w:overflowPunct/>
              <w:topLinePunct w:val="0"/>
              <w:bidi w:val="0"/>
              <w:spacing w:line="360" w:lineRule="auto"/>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授权委托代理人身份证复印件粘帖处</w:t>
            </w:r>
          </w:p>
        </w:tc>
      </w:tr>
    </w:tbl>
    <w:p>
      <w:pPr>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授权委托代理人姓名：</w:t>
      </w:r>
    </w:p>
    <w:p>
      <w:pPr>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职务：</w:t>
      </w:r>
    </w:p>
    <w:p>
      <w:pPr>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传真：</w:t>
      </w:r>
    </w:p>
    <w:p>
      <w:pPr>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电话：</w:t>
      </w:r>
    </w:p>
    <w:p>
      <w:pPr>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详细通讯地址：</w:t>
      </w:r>
    </w:p>
    <w:p>
      <w:pPr>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邮政编码：</w:t>
      </w:r>
    </w:p>
    <w:p>
      <w:pPr>
        <w:keepNext w:val="0"/>
        <w:keepLines w:val="0"/>
        <w:pageBreakBefore w:val="0"/>
        <w:kinsoku/>
        <w:wordWrap/>
        <w:overflowPunct/>
        <w:topLinePunct w:val="0"/>
        <w:bidi w:val="0"/>
        <w:snapToGrid w:val="0"/>
        <w:spacing w:line="360" w:lineRule="auto"/>
        <w:outlineLvl w:val="9"/>
        <w:rPr>
          <w:rFonts w:hint="eastAsia" w:ascii="宋体" w:hAnsi="宋体" w:eastAsia="宋体" w:cs="宋体"/>
          <w:b/>
          <w:color w:val="auto"/>
          <w:sz w:val="28"/>
          <w:highlight w:val="none"/>
        </w:rPr>
      </w:pPr>
    </w:p>
    <w:p>
      <w:pPr>
        <w:keepNext w:val="0"/>
        <w:keepLines w:val="0"/>
        <w:pageBreakBefore w:val="0"/>
        <w:kinsoku/>
        <w:wordWrap/>
        <w:overflowPunct/>
        <w:topLinePunct w:val="0"/>
        <w:bidi w:val="0"/>
        <w:snapToGrid w:val="0"/>
        <w:spacing w:line="360" w:lineRule="auto"/>
        <w:outlineLvl w:val="9"/>
        <w:rPr>
          <w:rFonts w:hint="eastAsia" w:ascii="宋体" w:hAnsi="宋体" w:eastAsia="宋体" w:cs="宋体"/>
          <w:b/>
          <w:color w:val="auto"/>
          <w:sz w:val="28"/>
          <w:highlight w:val="none"/>
        </w:rPr>
        <w:sectPr>
          <w:headerReference r:id="rId7" w:type="default"/>
          <w:footerReference r:id="rId8" w:type="default"/>
          <w:pgSz w:w="11906" w:h="16838"/>
          <w:pgMar w:top="1440" w:right="1800" w:bottom="1440" w:left="1800" w:header="851" w:footer="992" w:gutter="0"/>
          <w:pgNumType w:fmt="decimal"/>
          <w:cols w:space="425" w:num="1"/>
          <w:docGrid w:type="lines" w:linePitch="312" w:charSpace="0"/>
        </w:sectPr>
      </w:pPr>
    </w:p>
    <w:p>
      <w:pPr>
        <w:pStyle w:val="65"/>
        <w:widowControl w:val="0"/>
        <w:snapToGrid w:val="0"/>
        <w:spacing w:line="360" w:lineRule="auto"/>
        <w:jc w:val="center"/>
        <w:rPr>
          <w:rFonts w:hint="eastAsia" w:ascii="宋体" w:hAnsi="宋体" w:eastAsia="宋体" w:cs="宋体"/>
          <w:b/>
          <w:color w:val="auto"/>
          <w:kern w:val="2"/>
          <w:sz w:val="32"/>
          <w:szCs w:val="32"/>
          <w:highlight w:val="none"/>
          <w:lang w:val="en-US" w:eastAsia="zh-CN" w:bidi="ar-SA"/>
        </w:rPr>
      </w:pPr>
      <w:r>
        <w:rPr>
          <w:rFonts w:hint="eastAsia" w:ascii="宋体" w:hAnsi="宋体" w:eastAsia="宋体" w:cs="宋体"/>
          <w:b/>
          <w:color w:val="auto"/>
          <w:kern w:val="2"/>
          <w:sz w:val="32"/>
          <w:szCs w:val="32"/>
          <w:highlight w:val="none"/>
          <w:lang w:val="en-US" w:eastAsia="zh-CN" w:bidi="ar-SA"/>
        </w:rPr>
        <w:t>政府采购活动现场确认声明书</w:t>
      </w:r>
    </w:p>
    <w:p>
      <w:pPr>
        <w:pStyle w:val="65"/>
        <w:widowControl w:val="0"/>
        <w:snapToGrid w:val="0"/>
        <w:spacing w:line="360" w:lineRule="auto"/>
        <w:jc w:val="both"/>
        <w:rPr>
          <w:rFonts w:hint="eastAsia" w:ascii="宋体" w:hAnsi="宋体" w:eastAsia="宋体" w:cs="宋体"/>
          <w:b/>
          <w:color w:val="auto"/>
          <w:sz w:val="21"/>
          <w:szCs w:val="21"/>
          <w:highlight w:val="none"/>
        </w:rPr>
      </w:pPr>
      <w:r>
        <w:rPr>
          <w:rFonts w:hint="eastAsia" w:ascii="宋体" w:hAnsi="宋体" w:eastAsia="宋体" w:cs="宋体"/>
          <w:color w:val="auto"/>
          <w:kern w:val="0"/>
          <w:sz w:val="21"/>
          <w:szCs w:val="21"/>
          <w:highlight w:val="none"/>
        </w:rPr>
        <w:t xml:space="preserve"> </w:t>
      </w:r>
      <w:r>
        <w:rPr>
          <w:rFonts w:hint="eastAsia" w:ascii="宋体" w:hAnsi="宋体" w:eastAsia="宋体" w:cs="宋体"/>
          <w:color w:val="auto"/>
          <w:kern w:val="0"/>
          <w:sz w:val="21"/>
          <w:szCs w:val="21"/>
          <w:highlight w:val="none"/>
          <w:u w:val="single"/>
          <w:lang w:eastAsia="zh-CN"/>
        </w:rPr>
        <w:t>浙江汇永工程咨询有限公司</w:t>
      </w:r>
      <w:r>
        <w:rPr>
          <w:rFonts w:hint="eastAsia" w:ascii="宋体" w:hAnsi="宋体" w:eastAsia="宋体" w:cs="宋体"/>
          <w:color w:val="auto"/>
          <w:kern w:val="0"/>
          <w:sz w:val="21"/>
          <w:szCs w:val="21"/>
          <w:highlight w:val="none"/>
        </w:rPr>
        <w:t>：</w:t>
      </w:r>
    </w:p>
    <w:p>
      <w:pPr>
        <w:pStyle w:val="65"/>
        <w:widowControl w:val="0"/>
        <w:snapToGrid w:val="0"/>
        <w:spacing w:line="360" w:lineRule="auto"/>
        <w:ind w:firstLine="444" w:firstLineChars="200"/>
        <w:jc w:val="left"/>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本人经由</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（供应商全称）</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pacing w:val="6"/>
          <w:sz w:val="21"/>
          <w:szCs w:val="21"/>
          <w:highlight w:val="none"/>
        </w:rPr>
        <w:t>负责人</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w:t>
      </w:r>
      <w:r>
        <w:rPr>
          <w:rFonts w:hint="eastAsia" w:ascii="宋体" w:hAnsi="宋体" w:eastAsia="宋体" w:cs="宋体"/>
          <w:color w:val="auto"/>
          <w:sz w:val="21"/>
          <w:szCs w:val="21"/>
          <w:highlight w:val="none"/>
          <w:u w:val="single"/>
          <w:lang w:val="en-US" w:eastAsia="zh-CN"/>
        </w:rPr>
        <w:t>法定代表人</w:t>
      </w:r>
      <w:r>
        <w:rPr>
          <w:rFonts w:hint="eastAsia" w:ascii="宋体" w:hAnsi="宋体" w:eastAsia="宋体" w:cs="宋体"/>
          <w:color w:val="auto"/>
          <w:sz w:val="21"/>
          <w:szCs w:val="21"/>
          <w:highlight w:val="none"/>
          <w:u w:val="single"/>
        </w:rPr>
        <w:t>姓名）</w:t>
      </w:r>
      <w:r>
        <w:rPr>
          <w:rFonts w:hint="eastAsia" w:ascii="宋体" w:hAnsi="宋体" w:eastAsia="宋体" w:cs="宋体"/>
          <w:color w:val="auto"/>
          <w:kern w:val="0"/>
          <w:sz w:val="21"/>
          <w:szCs w:val="21"/>
          <w:highlight w:val="none"/>
          <w:u w:val="single"/>
          <w:lang w:val="en-US" w:eastAsia="zh-CN"/>
        </w:rPr>
        <w:t xml:space="preserve">   </w:t>
      </w:r>
      <w:r>
        <w:rPr>
          <w:rFonts w:hint="eastAsia" w:ascii="宋体" w:hAnsi="宋体" w:eastAsia="宋体" w:cs="宋体"/>
          <w:color w:val="auto"/>
          <w:sz w:val="21"/>
          <w:szCs w:val="21"/>
          <w:highlight w:val="none"/>
          <w:u w:val="none"/>
          <w:lang w:eastAsia="zh-CN"/>
        </w:rPr>
        <w:t>合</w:t>
      </w:r>
      <w:r>
        <w:rPr>
          <w:rFonts w:hint="eastAsia" w:ascii="宋体" w:hAnsi="宋体" w:eastAsia="宋体" w:cs="宋体"/>
          <w:color w:val="auto"/>
          <w:spacing w:val="6"/>
          <w:sz w:val="21"/>
          <w:szCs w:val="21"/>
          <w:highlight w:val="none"/>
        </w:rPr>
        <w:t>法授权参加</w:t>
      </w:r>
      <w:r>
        <w:rPr>
          <w:rFonts w:hint="eastAsia" w:hAnsi="宋体" w:cs="宋体"/>
          <w:color w:val="auto"/>
          <w:kern w:val="0"/>
          <w:sz w:val="21"/>
          <w:szCs w:val="21"/>
          <w:highlight w:val="none"/>
          <w:u w:val="single"/>
          <w:lang w:eastAsia="zh-CN"/>
        </w:rPr>
        <w:t>化学实验室、化学通风设备采购项目</w:t>
      </w:r>
      <w:r>
        <w:rPr>
          <w:rFonts w:hint="eastAsia" w:ascii="宋体" w:hAnsi="宋体" w:eastAsia="宋体" w:cs="宋体"/>
          <w:color w:val="auto"/>
          <w:spacing w:val="6"/>
          <w:sz w:val="21"/>
          <w:szCs w:val="21"/>
          <w:highlight w:val="none"/>
        </w:rPr>
        <w:t>（编号：</w:t>
      </w:r>
      <w:r>
        <w:rPr>
          <w:rFonts w:hint="eastAsia" w:hAnsi="宋体" w:cs="宋体"/>
          <w:color w:val="auto"/>
          <w:sz w:val="21"/>
          <w:szCs w:val="21"/>
          <w:highlight w:val="none"/>
          <w:u w:val="single"/>
          <w:lang w:val="en-US" w:eastAsia="zh-CN"/>
        </w:rPr>
        <w:t>zjhy2024-tz05</w:t>
      </w:r>
      <w:r>
        <w:rPr>
          <w:rFonts w:hint="eastAsia" w:ascii="宋体" w:hAnsi="宋体" w:eastAsia="宋体" w:cs="宋体"/>
          <w:color w:val="auto"/>
          <w:spacing w:val="6"/>
          <w:sz w:val="21"/>
          <w:szCs w:val="21"/>
          <w:highlight w:val="none"/>
        </w:rPr>
        <w:t xml:space="preserve">）政府采购活动，经与本单位法人代表（负责人）联系确认，现就有关公平竞争事项郑重声明如下： </w:t>
      </w:r>
    </w:p>
    <w:p>
      <w:pPr>
        <w:pStyle w:val="52"/>
        <w:widowControl/>
        <w:tabs>
          <w:tab w:val="left" w:pos="630"/>
        </w:tabs>
        <w:snapToGrid w:val="0"/>
        <w:spacing w:line="360" w:lineRule="auto"/>
        <w:ind w:left="21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一、本单位与采购人之间 </w:t>
      </w:r>
      <w:r>
        <w:rPr>
          <w:rFonts w:hint="eastAsia" w:ascii="宋体" w:hAnsi="宋体" w:eastAsia="宋体" w:cs="宋体"/>
          <w:color w:val="auto"/>
          <w:sz w:val="21"/>
          <w:szCs w:val="21"/>
          <w:highlight w:val="none"/>
        </w:rPr>
        <w:sym w:font="Wingdings" w:char="00FE"/>
      </w:r>
      <w:r>
        <w:rPr>
          <w:rFonts w:hint="eastAsia" w:ascii="宋体" w:hAnsi="宋体" w:eastAsia="宋体" w:cs="宋体"/>
          <w:color w:val="auto"/>
          <w:kern w:val="0"/>
          <w:sz w:val="21"/>
          <w:szCs w:val="21"/>
          <w:highlight w:val="none"/>
        </w:rPr>
        <w:t>不存在利害关系 □存在下列利害关系</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pPr>
        <w:pStyle w:val="52"/>
        <w:widowControl/>
        <w:snapToGrid w:val="0"/>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A.投资关系    B.行政隶属关系    C.业务指导关系</w:t>
      </w:r>
    </w:p>
    <w:p>
      <w:pPr>
        <w:pStyle w:val="52"/>
        <w:widowControl/>
        <w:snapToGrid w:val="0"/>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D.其他可能</w:t>
      </w:r>
      <w:r>
        <w:rPr>
          <w:rFonts w:hint="eastAsia" w:ascii="宋体" w:hAnsi="宋体" w:eastAsia="宋体" w:cs="宋体"/>
          <w:color w:val="auto"/>
          <w:sz w:val="21"/>
          <w:szCs w:val="21"/>
          <w:highlight w:val="none"/>
        </w:rPr>
        <w:t>影响采购公正的</w:t>
      </w:r>
      <w:r>
        <w:rPr>
          <w:rFonts w:hint="eastAsia" w:ascii="宋体" w:hAnsi="宋体" w:eastAsia="宋体" w:cs="宋体"/>
          <w:color w:val="auto"/>
          <w:kern w:val="0"/>
          <w:sz w:val="21"/>
          <w:szCs w:val="21"/>
          <w:highlight w:val="none"/>
        </w:rPr>
        <w:t>利害关系</w:t>
      </w:r>
      <w:r>
        <w:rPr>
          <w:rFonts w:hint="eastAsia" w:ascii="宋体" w:hAnsi="宋体" w:eastAsia="宋体" w:cs="宋体"/>
          <w:color w:val="auto"/>
          <w:kern w:val="0"/>
          <w:sz w:val="21"/>
          <w:szCs w:val="21"/>
          <w:highlight w:val="none"/>
          <w:u w:val="single"/>
        </w:rPr>
        <w:t xml:space="preserve">（如有，请如实说明）                 </w:t>
      </w:r>
      <w:r>
        <w:rPr>
          <w:rFonts w:hint="eastAsia" w:ascii="宋体" w:hAnsi="宋体" w:eastAsia="宋体" w:cs="宋体"/>
          <w:color w:val="auto"/>
          <w:kern w:val="0"/>
          <w:sz w:val="21"/>
          <w:szCs w:val="21"/>
          <w:highlight w:val="none"/>
        </w:rPr>
        <w:t>。</w:t>
      </w:r>
    </w:p>
    <w:p>
      <w:pPr>
        <w:pStyle w:val="52"/>
        <w:widowControl/>
        <w:snapToGrid w:val="0"/>
        <w:spacing w:line="360" w:lineRule="auto"/>
        <w:ind w:firstLine="222" w:firstLineChars="100"/>
        <w:rPr>
          <w:rFonts w:hint="eastAsia" w:ascii="宋体" w:hAnsi="宋体" w:eastAsia="宋体" w:cs="宋体"/>
          <w:color w:val="auto"/>
          <w:kern w:val="0"/>
          <w:sz w:val="21"/>
          <w:szCs w:val="21"/>
          <w:highlight w:val="none"/>
        </w:rPr>
      </w:pPr>
      <w:r>
        <w:rPr>
          <w:rFonts w:hint="eastAsia" w:ascii="宋体" w:hAnsi="宋体" w:eastAsia="宋体" w:cs="宋体"/>
          <w:color w:val="auto"/>
          <w:spacing w:val="6"/>
          <w:sz w:val="21"/>
          <w:szCs w:val="21"/>
          <w:highlight w:val="none"/>
        </w:rPr>
        <w:t>二、</w:t>
      </w:r>
      <w:r>
        <w:rPr>
          <w:rFonts w:hint="eastAsia" w:ascii="宋体" w:hAnsi="宋体" w:eastAsia="宋体" w:cs="宋体"/>
          <w:color w:val="auto"/>
          <w:kern w:val="0"/>
          <w:sz w:val="21"/>
          <w:szCs w:val="21"/>
          <w:highlight w:val="none"/>
        </w:rPr>
        <w:t>现已清楚知道参加本项目采购活动的其他所有供应商名称，本单位</w:t>
      </w:r>
      <w:r>
        <w:rPr>
          <w:rFonts w:hint="eastAsia" w:ascii="宋体" w:hAnsi="宋体" w:eastAsia="宋体" w:cs="宋体"/>
          <w:color w:val="auto"/>
          <w:sz w:val="21"/>
          <w:szCs w:val="21"/>
          <w:highlight w:val="none"/>
        </w:rPr>
        <w:sym w:font="Wingdings" w:char="00FE"/>
      </w:r>
      <w:r>
        <w:rPr>
          <w:rFonts w:hint="eastAsia" w:ascii="宋体" w:hAnsi="宋体" w:eastAsia="宋体" w:cs="宋体"/>
          <w:color w:val="auto"/>
          <w:kern w:val="0"/>
          <w:sz w:val="21"/>
          <w:szCs w:val="21"/>
          <w:highlight w:val="none"/>
        </w:rPr>
        <w:t>与其他所有供应商之间均不存在利害关系 □与</w:t>
      </w:r>
      <w:r>
        <w:rPr>
          <w:rFonts w:hint="eastAsia" w:ascii="宋体" w:hAnsi="宋体" w:eastAsia="宋体" w:cs="宋体"/>
          <w:color w:val="auto"/>
          <w:kern w:val="0"/>
          <w:sz w:val="21"/>
          <w:szCs w:val="21"/>
          <w:highlight w:val="none"/>
          <w:u w:val="single"/>
        </w:rPr>
        <w:t xml:space="preserve">           （供应商名称）</w:t>
      </w:r>
      <w:r>
        <w:rPr>
          <w:rFonts w:hint="eastAsia" w:ascii="宋体" w:hAnsi="宋体" w:eastAsia="宋体" w:cs="宋体"/>
          <w:color w:val="auto"/>
          <w:kern w:val="0"/>
          <w:sz w:val="21"/>
          <w:szCs w:val="21"/>
          <w:highlight w:val="none"/>
        </w:rPr>
        <w:t>之间存在下列利害关系</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pPr>
        <w:pStyle w:val="65"/>
        <w:widowControl w:val="0"/>
        <w:snapToGrid w:val="0"/>
        <w:spacing w:line="360" w:lineRule="auto"/>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A.法定代表人或负责人或实际控制人是同一人</w:t>
      </w:r>
    </w:p>
    <w:p>
      <w:pPr>
        <w:pStyle w:val="65"/>
        <w:keepNext w:val="0"/>
        <w:keepLines w:val="0"/>
        <w:pageBreakBefore w:val="0"/>
        <w:widowControl w:val="0"/>
        <w:kinsoku/>
        <w:wordWrap/>
        <w:overflowPunct/>
        <w:topLinePunct w:val="0"/>
        <w:autoSpaceDE/>
        <w:autoSpaceDN/>
        <w:bidi w:val="0"/>
        <w:adjustRightInd w:val="0"/>
        <w:snapToGrid w:val="0"/>
        <w:spacing w:line="360" w:lineRule="auto"/>
        <w:jc w:val="both"/>
        <w:textAlignment w:val="auto"/>
        <w:outlineLvl w:val="9"/>
        <w:rPr>
          <w:rFonts w:hint="eastAsia" w:ascii="宋体" w:hAnsi="宋体" w:eastAsia="宋体" w:cs="宋体"/>
          <w:color w:val="auto"/>
          <w:spacing w:val="6"/>
          <w:sz w:val="21"/>
          <w:szCs w:val="21"/>
          <w:highlight w:val="none"/>
        </w:rPr>
      </w:pPr>
      <w:r>
        <w:rPr>
          <w:rFonts w:hint="eastAsia" w:ascii="宋体" w:hAnsi="宋体" w:eastAsia="宋体" w:cs="宋体"/>
          <w:color w:val="auto"/>
          <w:kern w:val="0"/>
          <w:sz w:val="21"/>
          <w:szCs w:val="21"/>
          <w:highlight w:val="none"/>
        </w:rPr>
        <w:t xml:space="preserve">  B.法定代表人或负责人或实际控制人是夫妻关系</w:t>
      </w:r>
    </w:p>
    <w:p>
      <w:pPr>
        <w:pStyle w:val="65"/>
        <w:keepNext w:val="0"/>
        <w:keepLines w:val="0"/>
        <w:pageBreakBefore w:val="0"/>
        <w:widowControl w:val="0"/>
        <w:kinsoku/>
        <w:wordWrap/>
        <w:overflowPunct/>
        <w:topLinePunct w:val="0"/>
        <w:autoSpaceDE/>
        <w:autoSpaceDN/>
        <w:bidi w:val="0"/>
        <w:adjustRightInd w:val="0"/>
        <w:snapToGrid w:val="0"/>
        <w:spacing w:line="360" w:lineRule="auto"/>
        <w:jc w:val="both"/>
        <w:textAlignment w:val="auto"/>
        <w:outlineLvl w:val="9"/>
        <w:rPr>
          <w:rFonts w:hint="eastAsia" w:ascii="宋体" w:hAnsi="宋体" w:eastAsia="宋体" w:cs="宋体"/>
          <w:color w:val="auto"/>
          <w:spacing w:val="6"/>
          <w:sz w:val="21"/>
          <w:szCs w:val="21"/>
          <w:highlight w:val="none"/>
        </w:rPr>
      </w:pPr>
      <w:r>
        <w:rPr>
          <w:rFonts w:hint="eastAsia" w:ascii="宋体" w:hAnsi="宋体" w:eastAsia="宋体" w:cs="宋体"/>
          <w:color w:val="auto"/>
          <w:kern w:val="0"/>
          <w:sz w:val="21"/>
          <w:szCs w:val="21"/>
          <w:highlight w:val="none"/>
        </w:rPr>
        <w:t xml:space="preserve">  C.法定代表人或负责人或实际控制人是直系血亲关系</w:t>
      </w:r>
    </w:p>
    <w:p>
      <w:pPr>
        <w:pStyle w:val="65"/>
        <w:keepNext w:val="0"/>
        <w:keepLines w:val="0"/>
        <w:pageBreakBefore w:val="0"/>
        <w:widowControl w:val="0"/>
        <w:kinsoku/>
        <w:wordWrap/>
        <w:overflowPunct/>
        <w:topLinePunct w:val="0"/>
        <w:autoSpaceDE/>
        <w:autoSpaceDN/>
        <w:bidi w:val="0"/>
        <w:adjustRightInd w:val="0"/>
        <w:snapToGrid w:val="0"/>
        <w:spacing w:line="360" w:lineRule="auto"/>
        <w:jc w:val="both"/>
        <w:textAlignment w:val="auto"/>
        <w:outlineLvl w:val="9"/>
        <w:rPr>
          <w:rFonts w:hint="eastAsia" w:ascii="宋体" w:hAnsi="宋体" w:eastAsia="宋体" w:cs="宋体"/>
          <w:color w:val="auto"/>
          <w:spacing w:val="6"/>
          <w:sz w:val="21"/>
          <w:szCs w:val="21"/>
          <w:highlight w:val="none"/>
        </w:rPr>
      </w:pPr>
      <w:r>
        <w:rPr>
          <w:rFonts w:hint="eastAsia" w:ascii="宋体" w:hAnsi="宋体" w:eastAsia="宋体" w:cs="宋体"/>
          <w:color w:val="auto"/>
          <w:kern w:val="0"/>
          <w:sz w:val="21"/>
          <w:szCs w:val="21"/>
          <w:highlight w:val="none"/>
        </w:rPr>
        <w:t xml:space="preserve">  D.法定代表人或负责人或实际控制人存在三代以内旁系血亲关系</w:t>
      </w:r>
    </w:p>
    <w:p>
      <w:pPr>
        <w:pStyle w:val="65"/>
        <w:keepNext w:val="0"/>
        <w:keepLines w:val="0"/>
        <w:pageBreakBefore w:val="0"/>
        <w:widowControl w:val="0"/>
        <w:kinsoku/>
        <w:wordWrap/>
        <w:overflowPunct/>
        <w:topLinePunct w:val="0"/>
        <w:autoSpaceDE/>
        <w:autoSpaceDN/>
        <w:bidi w:val="0"/>
        <w:adjustRightInd w:val="0"/>
        <w:snapToGrid w:val="0"/>
        <w:spacing w:line="360" w:lineRule="auto"/>
        <w:jc w:val="both"/>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E.法定代表人或负责人或实际控制人存在近姻亲关系</w:t>
      </w:r>
    </w:p>
    <w:p>
      <w:pPr>
        <w:pStyle w:val="65"/>
        <w:keepNext w:val="0"/>
        <w:keepLines w:val="0"/>
        <w:pageBreakBefore w:val="0"/>
        <w:widowControl w:val="0"/>
        <w:kinsoku/>
        <w:wordWrap/>
        <w:overflowPunct/>
        <w:topLinePunct w:val="0"/>
        <w:autoSpaceDE/>
        <w:autoSpaceDN/>
        <w:bidi w:val="0"/>
        <w:adjustRightInd w:val="0"/>
        <w:snapToGrid w:val="0"/>
        <w:spacing w:line="360" w:lineRule="auto"/>
        <w:jc w:val="both"/>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F.法定代表人或负责人或实际控制人存在股份控制或实际控制关系</w:t>
      </w:r>
    </w:p>
    <w:p>
      <w:pPr>
        <w:pStyle w:val="65"/>
        <w:keepNext w:val="0"/>
        <w:keepLines w:val="0"/>
        <w:pageBreakBefore w:val="0"/>
        <w:widowControl w:val="0"/>
        <w:kinsoku/>
        <w:wordWrap/>
        <w:overflowPunct/>
        <w:topLinePunct w:val="0"/>
        <w:autoSpaceDE/>
        <w:autoSpaceDN/>
        <w:bidi w:val="0"/>
        <w:adjustRightInd w:val="0"/>
        <w:snapToGrid w:val="0"/>
        <w:spacing w:line="360" w:lineRule="auto"/>
        <w:jc w:val="both"/>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G.存在共同直接或间接投资设立子公司、联营企业和合营企业情况</w:t>
      </w:r>
    </w:p>
    <w:p>
      <w:pPr>
        <w:pStyle w:val="65"/>
        <w:keepNext w:val="0"/>
        <w:keepLines w:val="0"/>
        <w:pageBreakBefore w:val="0"/>
        <w:widowControl w:val="0"/>
        <w:kinsoku/>
        <w:wordWrap/>
        <w:overflowPunct/>
        <w:topLinePunct w:val="0"/>
        <w:autoSpaceDE/>
        <w:autoSpaceDN/>
        <w:bidi w:val="0"/>
        <w:adjustRightInd w:val="0"/>
        <w:snapToGrid w:val="0"/>
        <w:spacing w:line="360" w:lineRule="auto"/>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 xml:space="preserve">  H.存在分级代理或代销关系、同一生产制造商关系、</w:t>
      </w:r>
      <w:r>
        <w:rPr>
          <w:rFonts w:hint="eastAsia" w:ascii="宋体" w:hAnsi="宋体" w:eastAsia="宋体" w:cs="宋体"/>
          <w:color w:val="auto"/>
          <w:sz w:val="21"/>
          <w:szCs w:val="21"/>
          <w:highlight w:val="none"/>
        </w:rPr>
        <w:t>管理关系、重要业务（占主营业务收入50%以上）或重要财务往来关系（如融资）等其他实质性控制关系</w:t>
      </w:r>
    </w:p>
    <w:p>
      <w:pPr>
        <w:pStyle w:val="65"/>
        <w:keepNext w:val="0"/>
        <w:keepLines w:val="0"/>
        <w:pageBreakBefore w:val="0"/>
        <w:widowControl w:val="0"/>
        <w:kinsoku/>
        <w:wordWrap/>
        <w:overflowPunct/>
        <w:topLinePunct w:val="0"/>
        <w:autoSpaceDE/>
        <w:autoSpaceDN/>
        <w:bidi w:val="0"/>
        <w:adjustRightInd w:val="0"/>
        <w:snapToGrid w:val="0"/>
        <w:spacing w:line="360" w:lineRule="auto"/>
        <w:jc w:val="both"/>
        <w:textAlignment w:val="auto"/>
        <w:outlineLvl w:val="9"/>
        <w:rPr>
          <w:rFonts w:hint="eastAsia" w:ascii="宋体" w:hAnsi="宋体" w:eastAsia="宋体" w:cs="宋体"/>
          <w:color w:val="auto"/>
          <w:spacing w:val="6"/>
          <w:sz w:val="21"/>
          <w:szCs w:val="21"/>
          <w:highlight w:val="none"/>
        </w:rPr>
      </w:pPr>
      <w:r>
        <w:rPr>
          <w:rFonts w:hint="eastAsia" w:ascii="宋体" w:hAnsi="宋体" w:eastAsia="宋体" w:cs="宋体"/>
          <w:color w:val="auto"/>
          <w:sz w:val="21"/>
          <w:szCs w:val="21"/>
          <w:highlight w:val="none"/>
        </w:rPr>
        <w:t xml:space="preserve">    I</w:t>
      </w:r>
      <w:r>
        <w:rPr>
          <w:rFonts w:hint="eastAsia" w:ascii="宋体" w:hAnsi="宋体" w:eastAsia="宋体" w:cs="宋体"/>
          <w:color w:val="auto"/>
          <w:kern w:val="0"/>
          <w:sz w:val="21"/>
          <w:szCs w:val="21"/>
          <w:highlight w:val="none"/>
        </w:rPr>
        <w:t>.</w:t>
      </w:r>
      <w:r>
        <w:rPr>
          <w:rFonts w:hint="eastAsia" w:ascii="宋体" w:hAnsi="宋体" w:eastAsia="宋体" w:cs="宋体"/>
          <w:color w:val="auto"/>
          <w:sz w:val="21"/>
          <w:szCs w:val="21"/>
          <w:highlight w:val="none"/>
        </w:rPr>
        <w:t>其他利害关系情况</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kern w:val="0"/>
          <w:sz w:val="21"/>
          <w:szCs w:val="21"/>
          <w:highlight w:val="none"/>
        </w:rPr>
        <w:t>。</w:t>
      </w:r>
    </w:p>
    <w:p>
      <w:pPr>
        <w:pStyle w:val="52"/>
        <w:keepNext w:val="0"/>
        <w:keepLines w:val="0"/>
        <w:pageBreakBefore w:val="0"/>
        <w:widowControl/>
        <w:kinsoku/>
        <w:wordWrap/>
        <w:overflowPunct/>
        <w:topLinePunct w:val="0"/>
        <w:autoSpaceDE/>
        <w:autoSpaceDN/>
        <w:bidi w:val="0"/>
        <w:adjustRightInd w:val="0"/>
        <w:snapToGrid w:val="0"/>
        <w:spacing w:line="360" w:lineRule="auto"/>
        <w:ind w:left="210"/>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三、现已清楚知道并</w:t>
      </w:r>
      <w:r>
        <w:rPr>
          <w:rFonts w:hint="eastAsia" w:ascii="宋体" w:hAnsi="宋体" w:eastAsia="宋体" w:cs="宋体"/>
          <w:color w:val="auto"/>
          <w:kern w:val="0"/>
          <w:sz w:val="21"/>
          <w:szCs w:val="21"/>
          <w:highlight w:val="none"/>
        </w:rPr>
        <w:t>严格遵守政府采购法律法规和现场纪律。</w:t>
      </w:r>
    </w:p>
    <w:p>
      <w:pPr>
        <w:pStyle w:val="52"/>
        <w:keepNext w:val="0"/>
        <w:keepLines w:val="0"/>
        <w:pageBreakBefore w:val="0"/>
        <w:widowControl/>
        <w:kinsoku/>
        <w:wordWrap/>
        <w:overflowPunct/>
        <w:topLinePunct w:val="0"/>
        <w:autoSpaceDE/>
        <w:autoSpaceDN/>
        <w:bidi w:val="0"/>
        <w:adjustRightInd w:val="0"/>
        <w:snapToGrid w:val="0"/>
        <w:spacing w:line="360" w:lineRule="auto"/>
        <w:ind w:left="360"/>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四、我发现</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b/>
          <w:bCs/>
          <w:color w:val="auto"/>
          <w:kern w:val="0"/>
          <w:sz w:val="21"/>
          <w:szCs w:val="21"/>
          <w:highlight w:val="none"/>
          <w:u w:val="single"/>
        </w:rPr>
        <w:t xml:space="preserve"> </w:t>
      </w:r>
      <w:r>
        <w:rPr>
          <w:rFonts w:hint="eastAsia" w:ascii="宋体" w:hAnsi="宋体" w:eastAsia="宋体" w:cs="宋体"/>
          <w:b/>
          <w:bCs/>
          <w:color w:val="auto"/>
          <w:kern w:val="0"/>
          <w:sz w:val="21"/>
          <w:szCs w:val="21"/>
          <w:highlight w:val="none"/>
          <w:u w:val="single"/>
          <w:lang w:val="en-US" w:eastAsia="zh-CN"/>
        </w:rPr>
        <w:t>/</w:t>
      </w:r>
      <w:r>
        <w:rPr>
          <w:rFonts w:hint="eastAsia" w:ascii="宋体" w:hAnsi="宋体" w:eastAsia="宋体" w:cs="宋体"/>
          <w:b/>
          <w:bCs/>
          <w:color w:val="auto"/>
          <w:kern w:val="0"/>
          <w:sz w:val="21"/>
          <w:szCs w:val="21"/>
          <w:highlight w:val="none"/>
          <w:u w:val="single"/>
        </w:rPr>
        <w:t xml:space="preserve"> </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供应商之间存在或可能存在上述第二条第</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b/>
          <w:bCs/>
          <w:color w:val="auto"/>
          <w:kern w:val="0"/>
          <w:sz w:val="21"/>
          <w:szCs w:val="21"/>
          <w:highlight w:val="none"/>
          <w:u w:val="single"/>
        </w:rPr>
        <w:t xml:space="preserve"> </w:t>
      </w:r>
      <w:r>
        <w:rPr>
          <w:rFonts w:hint="eastAsia" w:ascii="宋体" w:hAnsi="宋体" w:eastAsia="宋体" w:cs="宋体"/>
          <w:b/>
          <w:bCs/>
          <w:color w:val="auto"/>
          <w:kern w:val="0"/>
          <w:sz w:val="21"/>
          <w:szCs w:val="21"/>
          <w:highlight w:val="none"/>
          <w:u w:val="single"/>
          <w:lang w:val="en-US" w:eastAsia="zh-CN"/>
        </w:rPr>
        <w:t>/</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项利害关系。</w:t>
      </w:r>
    </w:p>
    <w:p>
      <w:pPr>
        <w:pStyle w:val="52"/>
        <w:keepNext w:val="0"/>
        <w:keepLines w:val="0"/>
        <w:pageBreakBefore w:val="0"/>
        <w:widowControl/>
        <w:kinsoku/>
        <w:wordWrap/>
        <w:overflowPunct/>
        <w:topLinePunct w:val="0"/>
        <w:autoSpaceDE/>
        <w:autoSpaceDN/>
        <w:bidi w:val="0"/>
        <w:adjustRightInd w:val="0"/>
        <w:snapToGrid w:val="0"/>
        <w:spacing w:line="360" w:lineRule="auto"/>
        <w:ind w:left="210"/>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五、本单位若有违反诚信投标、采购法律法规等行为，愿意按照招标文件规定接受投标担保的处理。如已中标，自动放弃中标资格；给招标人造成损失的，依法承担赔偿责任。</w:t>
      </w:r>
    </w:p>
    <w:p>
      <w:pPr>
        <w:pStyle w:val="65"/>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（供应商代表签名）</w:t>
      </w:r>
    </w:p>
    <w:p>
      <w:pPr>
        <w:pStyle w:val="65"/>
        <w:widowControl w:val="0"/>
        <w:snapToGrid w:val="0"/>
        <w:spacing w:line="360" w:lineRule="auto"/>
        <w:ind w:firstLine="420" w:firstLineChars="200"/>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eastAsia="zh-CN"/>
        </w:rPr>
        <w:t xml:space="preserve">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eastAsia="zh-CN"/>
        </w:rPr>
        <w:t>年</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eastAsia="zh-CN"/>
        </w:rPr>
        <w:t>月</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eastAsia="zh-CN"/>
        </w:rPr>
        <w:t>日</w:t>
      </w:r>
    </w:p>
    <w:p>
      <w:pPr>
        <w:keepNext w:val="0"/>
        <w:keepLines w:val="0"/>
        <w:pageBreakBefore w:val="0"/>
        <w:kinsoku/>
        <w:wordWrap/>
        <w:overflowPunct/>
        <w:topLinePunct w:val="0"/>
        <w:bidi w:val="0"/>
        <w:snapToGrid w:val="0"/>
        <w:spacing w:line="360" w:lineRule="auto"/>
        <w:outlineLvl w:val="9"/>
        <w:rPr>
          <w:rFonts w:hint="eastAsia" w:ascii="宋体" w:hAnsi="宋体" w:eastAsia="宋体" w:cs="宋体"/>
          <w:b/>
          <w:color w:val="auto"/>
          <w:sz w:val="28"/>
          <w:highlight w:val="none"/>
        </w:rPr>
      </w:pPr>
    </w:p>
    <w:p>
      <w:pPr>
        <w:keepNext w:val="0"/>
        <w:keepLines w:val="0"/>
        <w:pageBreakBefore w:val="0"/>
        <w:kinsoku/>
        <w:wordWrap/>
        <w:overflowPunct/>
        <w:topLinePunct w:val="0"/>
        <w:bidi w:val="0"/>
        <w:snapToGrid w:val="0"/>
        <w:spacing w:line="360" w:lineRule="auto"/>
        <w:outlineLvl w:val="9"/>
        <w:rPr>
          <w:rFonts w:hint="eastAsia" w:ascii="宋体" w:hAnsi="宋体" w:eastAsia="宋体" w:cs="宋体"/>
          <w:b/>
          <w:color w:val="auto"/>
          <w:sz w:val="28"/>
          <w:highlight w:val="none"/>
        </w:rPr>
      </w:pPr>
    </w:p>
    <w:p>
      <w:pPr>
        <w:keepNext w:val="0"/>
        <w:keepLines w:val="0"/>
        <w:pageBreakBefore w:val="0"/>
        <w:kinsoku/>
        <w:wordWrap/>
        <w:overflowPunct/>
        <w:topLinePunct w:val="0"/>
        <w:bidi w:val="0"/>
        <w:snapToGrid w:val="0"/>
        <w:spacing w:line="360" w:lineRule="auto"/>
        <w:outlineLvl w:val="9"/>
        <w:rPr>
          <w:rFonts w:hint="eastAsia" w:ascii="宋体" w:hAnsi="宋体" w:eastAsia="宋体" w:cs="宋体"/>
          <w:b/>
          <w:color w:val="auto"/>
          <w:sz w:val="28"/>
          <w:highlight w:val="none"/>
        </w:rPr>
      </w:pPr>
    </w:p>
    <w:p>
      <w:pPr>
        <w:keepNext w:val="0"/>
        <w:keepLines w:val="0"/>
        <w:pageBreakBefore w:val="0"/>
        <w:kinsoku/>
        <w:wordWrap/>
        <w:overflowPunct/>
        <w:topLinePunct w:val="0"/>
        <w:bidi w:val="0"/>
        <w:snapToGrid w:val="0"/>
        <w:spacing w:line="360" w:lineRule="auto"/>
        <w:outlineLvl w:val="9"/>
        <w:rPr>
          <w:rFonts w:hint="eastAsia" w:ascii="宋体" w:hAnsi="宋体" w:eastAsia="宋体" w:cs="宋体"/>
          <w:b/>
          <w:color w:val="auto"/>
          <w:sz w:val="28"/>
          <w:highlight w:val="none"/>
        </w:rPr>
      </w:pPr>
    </w:p>
    <w:p>
      <w:pPr>
        <w:keepNext w:val="0"/>
        <w:keepLines w:val="0"/>
        <w:pageBreakBefore w:val="0"/>
        <w:kinsoku/>
        <w:wordWrap/>
        <w:overflowPunct/>
        <w:topLinePunct w:val="0"/>
        <w:bidi w:val="0"/>
        <w:snapToGrid w:val="0"/>
        <w:spacing w:line="360" w:lineRule="auto"/>
        <w:outlineLvl w:val="9"/>
        <w:rPr>
          <w:rFonts w:hint="eastAsia" w:ascii="宋体" w:hAnsi="宋体" w:eastAsia="宋体" w:cs="宋体"/>
          <w:b/>
          <w:color w:val="auto"/>
          <w:sz w:val="28"/>
          <w:highlight w:val="none"/>
        </w:rPr>
      </w:pPr>
    </w:p>
    <w:p>
      <w:pPr>
        <w:keepNext w:val="0"/>
        <w:keepLines w:val="0"/>
        <w:pageBreakBefore w:val="0"/>
        <w:kinsoku/>
        <w:wordWrap/>
        <w:overflowPunct/>
        <w:topLinePunct w:val="0"/>
        <w:bidi w:val="0"/>
        <w:snapToGrid w:val="0"/>
        <w:spacing w:line="360" w:lineRule="auto"/>
        <w:outlineLvl w:val="9"/>
        <w:rPr>
          <w:rFonts w:hint="eastAsia" w:ascii="宋体" w:hAnsi="宋体" w:eastAsia="宋体" w:cs="宋体"/>
          <w:b/>
          <w:color w:val="auto"/>
          <w:sz w:val="28"/>
          <w:highlight w:val="none"/>
        </w:rPr>
      </w:pPr>
      <w:r>
        <w:rPr>
          <w:rFonts w:hint="eastAsia" w:ascii="宋体" w:hAnsi="宋体" w:eastAsia="宋体" w:cs="宋体"/>
          <w:b/>
          <w:color w:val="auto"/>
          <w:sz w:val="28"/>
          <w:highlight w:val="none"/>
        </w:rPr>
        <w:t xml:space="preserve">附件4                                              </w:t>
      </w:r>
      <w:r>
        <w:rPr>
          <w:rFonts w:hint="eastAsia" w:ascii="宋体" w:hAnsi="宋体" w:eastAsia="宋体" w:cs="宋体"/>
          <w:b/>
          <w:color w:val="auto"/>
          <w:sz w:val="28"/>
          <w:highlight w:val="none"/>
          <w:u w:val="single"/>
        </w:rPr>
        <w:t xml:space="preserve">     </w:t>
      </w:r>
      <w:r>
        <w:rPr>
          <w:rFonts w:hint="eastAsia" w:ascii="宋体" w:hAnsi="宋体" w:eastAsia="宋体" w:cs="宋体"/>
          <w:bCs/>
          <w:color w:val="auto"/>
          <w:sz w:val="24"/>
          <w:highlight w:val="none"/>
        </w:rPr>
        <w:t>本</w:t>
      </w:r>
    </w:p>
    <w:p>
      <w:pPr>
        <w:keepNext w:val="0"/>
        <w:keepLines w:val="0"/>
        <w:pageBreakBefore w:val="0"/>
        <w:kinsoku/>
        <w:wordWrap/>
        <w:overflowPunct/>
        <w:topLinePunct w:val="0"/>
        <w:bidi w:val="0"/>
        <w:spacing w:line="360" w:lineRule="auto"/>
        <w:ind w:right="-110"/>
        <w:jc w:val="center"/>
        <w:outlineLvl w:val="9"/>
        <w:rPr>
          <w:rFonts w:hint="eastAsia" w:ascii="宋体" w:hAnsi="宋体" w:eastAsia="宋体" w:cs="宋体"/>
          <w:color w:val="auto"/>
          <w:spacing w:val="40"/>
          <w:sz w:val="52"/>
          <w:szCs w:val="52"/>
          <w:highlight w:val="none"/>
        </w:rPr>
      </w:pPr>
      <w:r>
        <w:rPr>
          <w:rFonts w:hint="eastAsia" w:ascii="宋体" w:hAnsi="宋体" w:eastAsia="宋体" w:cs="宋体"/>
          <w:color w:val="auto"/>
          <w:spacing w:val="40"/>
          <w:sz w:val="52"/>
          <w:szCs w:val="52"/>
          <w:highlight w:val="none"/>
        </w:rPr>
        <w:t>项目名称</w:t>
      </w:r>
    </w:p>
    <w:p>
      <w:pPr>
        <w:keepNext w:val="0"/>
        <w:keepLines w:val="0"/>
        <w:pageBreakBefore w:val="0"/>
        <w:kinsoku/>
        <w:wordWrap/>
        <w:overflowPunct/>
        <w:topLinePunct w:val="0"/>
        <w:bidi w:val="0"/>
        <w:spacing w:before="312" w:beforeLines="100" w:line="360" w:lineRule="auto"/>
        <w:ind w:right="-108"/>
        <w:jc w:val="center"/>
        <w:outlineLvl w:val="9"/>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t>项目编号：</w:t>
      </w:r>
    </w:p>
    <w:p>
      <w:pPr>
        <w:keepNext w:val="0"/>
        <w:keepLines w:val="0"/>
        <w:pageBreakBefore w:val="0"/>
        <w:kinsoku/>
        <w:wordWrap/>
        <w:overflowPunct/>
        <w:topLinePunct w:val="0"/>
        <w:autoSpaceDE w:val="0"/>
        <w:autoSpaceDN w:val="0"/>
        <w:bidi w:val="0"/>
        <w:adjustRightInd w:val="0"/>
        <w:spacing w:line="360" w:lineRule="auto"/>
        <w:jc w:val="center"/>
        <w:outlineLvl w:val="9"/>
        <w:rPr>
          <w:rFonts w:hint="eastAsia" w:ascii="宋体" w:hAnsi="宋体" w:eastAsia="宋体" w:cs="宋体"/>
          <w:color w:val="auto"/>
          <w:sz w:val="84"/>
          <w:szCs w:val="84"/>
          <w:highlight w:val="none"/>
          <w:lang w:val="zh-CN"/>
        </w:rPr>
      </w:pPr>
    </w:p>
    <w:p>
      <w:pPr>
        <w:keepNext w:val="0"/>
        <w:keepLines w:val="0"/>
        <w:pageBreakBefore w:val="0"/>
        <w:kinsoku/>
        <w:wordWrap/>
        <w:overflowPunct/>
        <w:topLinePunct w:val="0"/>
        <w:autoSpaceDE w:val="0"/>
        <w:autoSpaceDN w:val="0"/>
        <w:bidi w:val="0"/>
        <w:adjustRightInd w:val="0"/>
        <w:spacing w:line="360" w:lineRule="auto"/>
        <w:jc w:val="center"/>
        <w:outlineLvl w:val="9"/>
        <w:rPr>
          <w:rFonts w:hint="eastAsia" w:ascii="宋体" w:hAnsi="宋体" w:eastAsia="宋体" w:cs="宋体"/>
          <w:color w:val="auto"/>
          <w:sz w:val="84"/>
          <w:szCs w:val="84"/>
          <w:highlight w:val="none"/>
          <w:lang w:val="zh-CN"/>
        </w:rPr>
      </w:pPr>
      <w:r>
        <w:rPr>
          <w:rFonts w:hint="eastAsia" w:ascii="宋体" w:hAnsi="宋体" w:eastAsia="宋体" w:cs="宋体"/>
          <w:color w:val="auto"/>
          <w:sz w:val="84"/>
          <w:szCs w:val="84"/>
          <w:highlight w:val="none"/>
          <w:lang w:val="zh-CN"/>
        </w:rPr>
        <w:t>投</w:t>
      </w:r>
    </w:p>
    <w:p>
      <w:pPr>
        <w:keepNext w:val="0"/>
        <w:keepLines w:val="0"/>
        <w:pageBreakBefore w:val="0"/>
        <w:kinsoku/>
        <w:wordWrap/>
        <w:overflowPunct/>
        <w:topLinePunct w:val="0"/>
        <w:autoSpaceDE w:val="0"/>
        <w:autoSpaceDN w:val="0"/>
        <w:bidi w:val="0"/>
        <w:adjustRightInd w:val="0"/>
        <w:spacing w:line="360" w:lineRule="auto"/>
        <w:jc w:val="center"/>
        <w:outlineLvl w:val="9"/>
        <w:rPr>
          <w:rFonts w:hint="eastAsia" w:ascii="宋体" w:hAnsi="宋体" w:eastAsia="宋体" w:cs="宋体"/>
          <w:color w:val="auto"/>
          <w:sz w:val="84"/>
          <w:szCs w:val="84"/>
          <w:highlight w:val="none"/>
          <w:lang w:val="zh-CN"/>
        </w:rPr>
      </w:pPr>
      <w:r>
        <w:rPr>
          <w:rFonts w:hint="eastAsia" w:ascii="宋体" w:hAnsi="宋体" w:eastAsia="宋体" w:cs="宋体"/>
          <w:color w:val="auto"/>
          <w:sz w:val="84"/>
          <w:szCs w:val="84"/>
          <w:highlight w:val="none"/>
          <w:lang w:val="zh-CN"/>
        </w:rPr>
        <w:t>标</w:t>
      </w:r>
    </w:p>
    <w:p>
      <w:pPr>
        <w:keepNext w:val="0"/>
        <w:keepLines w:val="0"/>
        <w:pageBreakBefore w:val="0"/>
        <w:kinsoku/>
        <w:wordWrap/>
        <w:overflowPunct/>
        <w:topLinePunct w:val="0"/>
        <w:autoSpaceDE w:val="0"/>
        <w:autoSpaceDN w:val="0"/>
        <w:bidi w:val="0"/>
        <w:adjustRightInd w:val="0"/>
        <w:spacing w:line="360" w:lineRule="auto"/>
        <w:jc w:val="center"/>
        <w:outlineLvl w:val="9"/>
        <w:rPr>
          <w:rFonts w:hint="eastAsia" w:ascii="宋体" w:hAnsi="宋体" w:eastAsia="宋体" w:cs="宋体"/>
          <w:color w:val="auto"/>
          <w:sz w:val="84"/>
          <w:szCs w:val="84"/>
          <w:highlight w:val="none"/>
        </w:rPr>
      </w:pPr>
      <w:r>
        <w:rPr>
          <w:rFonts w:hint="eastAsia" w:ascii="宋体" w:hAnsi="宋体" w:eastAsia="宋体" w:cs="宋体"/>
          <w:color w:val="auto"/>
          <w:sz w:val="84"/>
          <w:szCs w:val="84"/>
          <w:highlight w:val="none"/>
          <w:lang w:val="zh-CN"/>
        </w:rPr>
        <w:t>文</w:t>
      </w:r>
    </w:p>
    <w:p>
      <w:pPr>
        <w:keepNext w:val="0"/>
        <w:keepLines w:val="0"/>
        <w:pageBreakBefore w:val="0"/>
        <w:kinsoku/>
        <w:wordWrap/>
        <w:overflowPunct/>
        <w:topLinePunct w:val="0"/>
        <w:bidi w:val="0"/>
        <w:spacing w:after="100" w:afterAutospacing="1" w:line="360" w:lineRule="auto"/>
        <w:ind w:right="-108"/>
        <w:jc w:val="center"/>
        <w:outlineLvl w:val="9"/>
        <w:rPr>
          <w:rFonts w:hint="eastAsia" w:ascii="宋体" w:hAnsi="宋体" w:eastAsia="宋体" w:cs="宋体"/>
          <w:color w:val="auto"/>
          <w:sz w:val="84"/>
          <w:szCs w:val="84"/>
          <w:highlight w:val="none"/>
          <w:lang w:val="zh-CN"/>
        </w:rPr>
      </w:pPr>
      <w:r>
        <w:rPr>
          <w:rFonts w:hint="eastAsia" w:ascii="宋体" w:hAnsi="宋体" w:eastAsia="宋体" w:cs="宋体"/>
          <w:color w:val="auto"/>
          <w:sz w:val="84"/>
          <w:szCs w:val="84"/>
          <w:highlight w:val="none"/>
          <w:lang w:val="zh-CN"/>
        </w:rPr>
        <w:t>件</w:t>
      </w:r>
    </w:p>
    <w:p>
      <w:pPr>
        <w:keepNext w:val="0"/>
        <w:keepLines w:val="0"/>
        <w:pageBreakBefore w:val="0"/>
        <w:kinsoku/>
        <w:wordWrap/>
        <w:overflowPunct/>
        <w:topLinePunct w:val="0"/>
        <w:bidi w:val="0"/>
        <w:spacing w:after="100" w:afterAutospacing="1" w:line="360" w:lineRule="auto"/>
        <w:ind w:right="-108"/>
        <w:jc w:val="center"/>
        <w:outlineLvl w:val="9"/>
        <w:rPr>
          <w:rFonts w:hint="eastAsia" w:ascii="宋体" w:hAnsi="宋体" w:eastAsia="宋体" w:cs="宋体"/>
          <w:b/>
          <w:color w:val="auto"/>
          <w:spacing w:val="40"/>
          <w:sz w:val="28"/>
          <w:szCs w:val="28"/>
          <w:highlight w:val="none"/>
        </w:rPr>
      </w:pPr>
      <w:r>
        <w:rPr>
          <w:rFonts w:hint="eastAsia" w:ascii="宋体" w:hAnsi="宋体" w:eastAsia="宋体" w:cs="宋体"/>
          <w:color w:val="auto"/>
          <w:sz w:val="28"/>
          <w:szCs w:val="28"/>
          <w:highlight w:val="none"/>
          <w:lang w:val="zh-CN"/>
        </w:rPr>
        <w:t>（</w:t>
      </w:r>
      <w:r>
        <w:rPr>
          <w:rFonts w:hint="eastAsia" w:ascii="宋体" w:hAnsi="宋体" w:eastAsia="宋体" w:cs="宋体"/>
          <w:bCs/>
          <w:color w:val="auto"/>
          <w:sz w:val="24"/>
          <w:highlight w:val="none"/>
          <w:lang w:val="zh-CN"/>
        </w:rPr>
        <w:t>商务与技术文件）</w:t>
      </w:r>
    </w:p>
    <w:p>
      <w:pPr>
        <w:keepNext w:val="0"/>
        <w:keepLines w:val="0"/>
        <w:pageBreakBefore w:val="0"/>
        <w:kinsoku/>
        <w:wordWrap/>
        <w:overflowPunct/>
        <w:topLinePunct w:val="0"/>
        <w:bidi w:val="0"/>
        <w:spacing w:line="360" w:lineRule="auto"/>
        <w:ind w:right="532" w:firstLine="720" w:firstLineChars="200"/>
        <w:outlineLvl w:val="9"/>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t>投标人全称（公章）：</w:t>
      </w:r>
    </w:p>
    <w:p>
      <w:pPr>
        <w:keepNext w:val="0"/>
        <w:keepLines w:val="0"/>
        <w:pageBreakBefore w:val="0"/>
        <w:kinsoku/>
        <w:wordWrap/>
        <w:overflowPunct/>
        <w:topLinePunct w:val="0"/>
        <w:bidi w:val="0"/>
        <w:spacing w:line="360" w:lineRule="auto"/>
        <w:ind w:right="532" w:firstLine="720" w:firstLineChars="200"/>
        <w:outlineLvl w:val="9"/>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t>地    址：</w:t>
      </w:r>
    </w:p>
    <w:p>
      <w:pPr>
        <w:keepNext w:val="0"/>
        <w:keepLines w:val="0"/>
        <w:pageBreakBefore w:val="0"/>
        <w:kinsoku/>
        <w:wordWrap/>
        <w:overflowPunct/>
        <w:topLinePunct w:val="0"/>
        <w:bidi w:val="0"/>
        <w:spacing w:line="360" w:lineRule="auto"/>
        <w:ind w:right="532" w:firstLine="720" w:firstLineChars="200"/>
        <w:outlineLvl w:val="9"/>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t>时    间：</w:t>
      </w:r>
    </w:p>
    <w:p>
      <w:pPr>
        <w:keepNext w:val="0"/>
        <w:keepLines w:val="0"/>
        <w:pageBreakBefore w:val="0"/>
        <w:kinsoku/>
        <w:wordWrap/>
        <w:overflowPunct/>
        <w:topLinePunct w:val="0"/>
        <w:bidi w:val="0"/>
        <w:spacing w:line="360" w:lineRule="auto"/>
        <w:ind w:right="532" w:firstLine="720" w:firstLineChars="200"/>
        <w:outlineLvl w:val="9"/>
        <w:rPr>
          <w:rFonts w:hint="eastAsia" w:ascii="宋体" w:hAnsi="宋体" w:eastAsia="宋体" w:cs="宋体"/>
          <w:color w:val="auto"/>
          <w:sz w:val="36"/>
          <w:szCs w:val="36"/>
          <w:highlight w:val="none"/>
        </w:rPr>
      </w:pPr>
    </w:p>
    <w:p>
      <w:pPr>
        <w:keepNext w:val="0"/>
        <w:keepLines w:val="0"/>
        <w:pageBreakBefore w:val="0"/>
        <w:kinsoku/>
        <w:wordWrap/>
        <w:overflowPunct/>
        <w:topLinePunct w:val="0"/>
        <w:bidi w:val="0"/>
        <w:snapToGrid w:val="0"/>
        <w:spacing w:before="50" w:after="50" w:line="360" w:lineRule="auto"/>
        <w:jc w:val="center"/>
        <w:outlineLvl w:val="9"/>
        <w:rPr>
          <w:rFonts w:hint="eastAsia" w:ascii="宋体" w:hAnsi="宋体" w:eastAsia="宋体" w:cs="宋体"/>
          <w:b/>
          <w:bCs/>
          <w:color w:val="auto"/>
          <w:sz w:val="32"/>
          <w:szCs w:val="32"/>
          <w:highlight w:val="none"/>
          <w:lang w:val="zh-CN"/>
        </w:rPr>
      </w:pPr>
    </w:p>
    <w:p>
      <w:pPr>
        <w:keepNext w:val="0"/>
        <w:keepLines w:val="0"/>
        <w:pageBreakBefore w:val="0"/>
        <w:kinsoku/>
        <w:wordWrap/>
        <w:overflowPunct/>
        <w:topLinePunct w:val="0"/>
        <w:bidi w:val="0"/>
        <w:snapToGrid w:val="0"/>
        <w:spacing w:before="50" w:after="50" w:line="360" w:lineRule="auto"/>
        <w:outlineLvl w:val="9"/>
        <w:rPr>
          <w:rFonts w:hint="eastAsia" w:ascii="宋体" w:hAnsi="宋体" w:eastAsia="宋体" w:cs="宋体"/>
          <w:b/>
          <w:bCs/>
          <w:color w:val="auto"/>
          <w:sz w:val="32"/>
          <w:szCs w:val="32"/>
          <w:highlight w:val="none"/>
          <w:lang w:val="zh-CN"/>
        </w:rPr>
      </w:pPr>
    </w:p>
    <w:p>
      <w:pPr>
        <w:keepNext w:val="0"/>
        <w:keepLines w:val="0"/>
        <w:pageBreakBefore w:val="0"/>
        <w:widowControl w:val="0"/>
        <w:kinsoku/>
        <w:wordWrap/>
        <w:overflowPunct/>
        <w:topLinePunct w:val="0"/>
        <w:autoSpaceDE/>
        <w:autoSpaceDN/>
        <w:bidi w:val="0"/>
        <w:adjustRightInd/>
        <w:snapToGrid w:val="0"/>
        <w:spacing w:before="50" w:after="50" w:line="360" w:lineRule="auto"/>
        <w:jc w:val="center"/>
        <w:textAlignment w:val="auto"/>
        <w:outlineLvl w:val="1"/>
        <w:rPr>
          <w:rFonts w:hint="eastAsia" w:ascii="宋体" w:hAnsi="宋体" w:eastAsia="宋体" w:cs="宋体"/>
          <w:b/>
          <w:bCs/>
          <w:color w:val="auto"/>
          <w:sz w:val="24"/>
          <w:highlight w:val="none"/>
        </w:rPr>
      </w:pPr>
      <w:r>
        <w:rPr>
          <w:rFonts w:hint="eastAsia" w:ascii="宋体" w:hAnsi="宋体" w:eastAsia="宋体" w:cs="宋体"/>
          <w:b/>
          <w:bCs/>
          <w:color w:val="auto"/>
          <w:sz w:val="32"/>
          <w:szCs w:val="32"/>
          <w:highlight w:val="none"/>
          <w:lang w:val="zh-CN"/>
        </w:rPr>
        <w:t>商务与技术文件</w:t>
      </w:r>
      <w:r>
        <w:rPr>
          <w:rFonts w:hint="eastAsia" w:ascii="宋体" w:hAnsi="宋体" w:eastAsia="宋体" w:cs="宋体"/>
          <w:b/>
          <w:bCs/>
          <w:color w:val="auto"/>
          <w:sz w:val="32"/>
          <w:szCs w:val="32"/>
          <w:highlight w:val="none"/>
        </w:rPr>
        <w:t>目录</w:t>
      </w:r>
    </w:p>
    <w:p>
      <w:pPr>
        <w:numPr>
          <w:ilvl w:val="0"/>
          <w:numId w:val="0"/>
        </w:numPr>
        <w:snapToGrid w:val="0"/>
        <w:spacing w:line="360" w:lineRule="auto"/>
        <w:ind w:firstLine="422" w:firstLineChars="200"/>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一、评标索引</w:t>
      </w:r>
    </w:p>
    <w:p>
      <w:pPr>
        <w:pStyle w:val="7"/>
        <w:numPr>
          <w:ilvl w:val="0"/>
          <w:numId w:val="0"/>
        </w:numP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 xml:space="preserve">      评标索引：自评表（附件5）；</w:t>
      </w:r>
    </w:p>
    <w:p>
      <w:pPr>
        <w:snapToGrid w:val="0"/>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二、</w:t>
      </w:r>
      <w:r>
        <w:rPr>
          <w:rFonts w:hint="eastAsia" w:ascii="宋体" w:hAnsi="宋体" w:eastAsia="宋体" w:cs="宋体"/>
          <w:b/>
          <w:bCs/>
          <w:color w:val="auto"/>
          <w:sz w:val="21"/>
          <w:szCs w:val="21"/>
          <w:highlight w:val="none"/>
        </w:rPr>
        <w:t xml:space="preserve"> 技术方案描述部分</w:t>
      </w:r>
    </w:p>
    <w:p>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1、投标人情况介绍（附件</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w:t>
      </w:r>
    </w:p>
    <w:p>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2、项目需求的理解与分析；</w:t>
      </w:r>
    </w:p>
    <w:p>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3、项目组织实施方案； </w:t>
      </w:r>
    </w:p>
    <w:p>
      <w:pPr>
        <w:snapToGrid w:val="0"/>
        <w:spacing w:line="360" w:lineRule="auto"/>
        <w:ind w:firstLine="411" w:firstLineChars="196"/>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4、项目实施人员一览表（附件</w:t>
      </w: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w:t>
      </w:r>
    </w:p>
    <w:p>
      <w:pPr>
        <w:snapToGrid w:val="0"/>
        <w:spacing w:line="360" w:lineRule="auto"/>
        <w:ind w:firstLine="411" w:firstLineChars="196"/>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5、</w:t>
      </w:r>
      <w:r>
        <w:rPr>
          <w:rFonts w:hint="eastAsia" w:ascii="宋体" w:hAnsi="宋体" w:eastAsia="宋体" w:cs="宋体"/>
          <w:color w:val="auto"/>
          <w:sz w:val="21"/>
          <w:szCs w:val="21"/>
          <w:highlight w:val="none"/>
          <w:lang w:val="en-US" w:eastAsia="zh-CN"/>
        </w:rPr>
        <w:t>所投产品的规格、品牌、详细性能介绍及主要配置清单（不含报价）；</w:t>
      </w:r>
    </w:p>
    <w:p>
      <w:pPr>
        <w:snapToGrid w:val="0"/>
        <w:spacing w:line="360" w:lineRule="auto"/>
        <w:ind w:firstLine="411" w:firstLineChars="196"/>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6、投标人提供的产品供货清单及原产地（附件8）</w:t>
      </w:r>
    </w:p>
    <w:p>
      <w:pPr>
        <w:snapToGrid w:val="0"/>
        <w:spacing w:line="360" w:lineRule="auto"/>
        <w:ind w:firstLine="411" w:firstLineChars="196"/>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7、产品制造、安装、验收标准；</w:t>
      </w:r>
    </w:p>
    <w:p>
      <w:pPr>
        <w:snapToGrid w:val="0"/>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三、</w:t>
      </w:r>
      <w:r>
        <w:rPr>
          <w:rFonts w:hint="eastAsia" w:ascii="宋体" w:hAnsi="宋体" w:eastAsia="宋体" w:cs="宋体"/>
          <w:b/>
          <w:bCs/>
          <w:color w:val="auto"/>
          <w:sz w:val="21"/>
          <w:szCs w:val="21"/>
          <w:highlight w:val="none"/>
        </w:rPr>
        <w:t>投标描述部分</w:t>
      </w:r>
    </w:p>
    <w:p>
      <w:pPr>
        <w:snapToGrid w:val="0"/>
        <w:spacing w:line="360" w:lineRule="auto"/>
        <w:ind w:firstLine="411" w:firstLineChars="196"/>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1、投标描述及相关资料；</w:t>
      </w:r>
    </w:p>
    <w:p>
      <w:pPr>
        <w:snapToGrid w:val="0"/>
        <w:spacing w:line="360" w:lineRule="auto"/>
        <w:ind w:firstLine="411" w:firstLineChars="196"/>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2、技术需求响应表（附件</w:t>
      </w:r>
      <w:r>
        <w:rPr>
          <w:rFonts w:hint="eastAsia" w:ascii="宋体" w:hAnsi="宋体" w:eastAsia="宋体" w:cs="宋体"/>
          <w:color w:val="auto"/>
          <w:sz w:val="21"/>
          <w:szCs w:val="21"/>
          <w:highlight w:val="none"/>
          <w:lang w:val="en-US" w:eastAsia="zh-CN"/>
        </w:rPr>
        <w:t>9</w:t>
      </w:r>
      <w:r>
        <w:rPr>
          <w:rFonts w:hint="eastAsia" w:ascii="宋体" w:hAnsi="宋体" w:eastAsia="宋体" w:cs="宋体"/>
          <w:color w:val="auto"/>
          <w:sz w:val="21"/>
          <w:szCs w:val="21"/>
          <w:highlight w:val="none"/>
        </w:rPr>
        <w:t>）；</w:t>
      </w:r>
    </w:p>
    <w:p>
      <w:pPr>
        <w:snapToGrid w:val="0"/>
        <w:spacing w:line="360" w:lineRule="auto"/>
        <w:ind w:firstLine="411" w:firstLineChars="196"/>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3、投标人需要说明的其他内容；（包括可能影响投标人技术性能评分项的各类证明材料）</w:t>
      </w:r>
    </w:p>
    <w:p>
      <w:pPr>
        <w:snapToGrid w:val="0"/>
        <w:spacing w:line="360" w:lineRule="auto"/>
        <w:ind w:firstLine="413" w:firstLineChars="196"/>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四</w:t>
      </w:r>
      <w:r>
        <w:rPr>
          <w:rFonts w:hint="eastAsia" w:ascii="宋体" w:hAnsi="宋体" w:eastAsia="宋体" w:cs="宋体"/>
          <w:b/>
          <w:bCs/>
          <w:color w:val="auto"/>
          <w:sz w:val="21"/>
          <w:szCs w:val="21"/>
          <w:highlight w:val="none"/>
        </w:rPr>
        <w:t>、商务响应部分</w:t>
      </w:r>
    </w:p>
    <w:p>
      <w:pPr>
        <w:snapToGrid w:val="0"/>
        <w:spacing w:line="360" w:lineRule="auto"/>
        <w:ind w:firstLine="411" w:firstLineChars="196"/>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投标人的企业</w:t>
      </w:r>
      <w:r>
        <w:rPr>
          <w:rFonts w:hint="eastAsia" w:ascii="宋体" w:hAnsi="宋体" w:eastAsia="宋体" w:cs="宋体"/>
          <w:color w:val="auto"/>
          <w:sz w:val="21"/>
          <w:szCs w:val="21"/>
          <w:highlight w:val="none"/>
        </w:rPr>
        <w:t>证书一览表（附件</w:t>
      </w: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rPr>
        <w:t>）；</w:t>
      </w:r>
    </w:p>
    <w:p>
      <w:pPr>
        <w:snapToGrid w:val="0"/>
        <w:spacing w:line="360" w:lineRule="auto"/>
        <w:ind w:firstLine="411" w:firstLineChars="196"/>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2、类似项目的成功案例（附件1</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w:t>
      </w:r>
    </w:p>
    <w:p>
      <w:pPr>
        <w:snapToGrid w:val="0"/>
        <w:spacing w:line="360" w:lineRule="auto"/>
        <w:ind w:firstLine="411" w:firstLineChars="196"/>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3、资信及商务需求响应表（附件1</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w:t>
      </w:r>
    </w:p>
    <w:p>
      <w:pPr>
        <w:snapToGrid w:val="0"/>
        <w:spacing w:line="360" w:lineRule="auto"/>
        <w:ind w:firstLine="411" w:firstLineChars="196"/>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4、售后服务情况表（附件1</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可视情况选填</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w:t>
      </w:r>
    </w:p>
    <w:p>
      <w:pPr>
        <w:snapToGrid w:val="0"/>
        <w:spacing w:line="360" w:lineRule="auto"/>
        <w:ind w:firstLine="411" w:firstLineChars="196"/>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5、投标人需要说明的其他内容。（包括可能影响投标人企业实力及信誉评分项以及售后服务评分项的各类证明材料）</w:t>
      </w:r>
    </w:p>
    <w:p>
      <w:pPr>
        <w:pStyle w:val="40"/>
        <w:shd w:val="clear" w:color="auto" w:fill="FFFFFF"/>
        <w:spacing w:before="0" w:beforeAutospacing="0" w:after="0" w:afterAutospacing="0" w:line="240" w:lineRule="auto"/>
        <w:outlineLvl w:val="9"/>
        <w:rPr>
          <w:rFonts w:hint="eastAsia" w:ascii="宋体" w:hAnsi="宋体" w:eastAsia="宋体" w:cs="宋体"/>
          <w:b/>
          <w:color w:val="auto"/>
          <w:sz w:val="28"/>
          <w:highlight w:val="none"/>
        </w:rPr>
        <w:sectPr>
          <w:pgSz w:w="11906" w:h="16838"/>
          <w:pgMar w:top="1440" w:right="1800" w:bottom="1440" w:left="1800" w:header="851" w:footer="992" w:gutter="0"/>
          <w:pgNumType w:fmt="decimal"/>
          <w:cols w:space="425" w:num="1"/>
          <w:docGrid w:type="lines" w:linePitch="312" w:charSpace="0"/>
        </w:sectPr>
      </w:pPr>
    </w:p>
    <w:p>
      <w:pPr>
        <w:pStyle w:val="40"/>
        <w:keepNext w:val="0"/>
        <w:keepLines w:val="0"/>
        <w:pageBreakBefore w:val="0"/>
        <w:shd w:val="clear" w:color="auto" w:fill="FFFFFF"/>
        <w:kinsoku/>
        <w:wordWrap/>
        <w:overflowPunct/>
        <w:topLinePunct w:val="0"/>
        <w:bidi w:val="0"/>
        <w:spacing w:before="0" w:beforeAutospacing="0" w:after="0" w:afterAutospacing="0"/>
        <w:outlineLvl w:val="9"/>
        <w:rPr>
          <w:rFonts w:hint="eastAsia" w:ascii="宋体" w:hAnsi="宋体" w:eastAsia="宋体" w:cs="宋体"/>
          <w:b/>
          <w:color w:val="auto"/>
          <w:sz w:val="28"/>
          <w:highlight w:val="none"/>
          <w:lang w:eastAsia="zh-CN"/>
        </w:rPr>
      </w:pPr>
      <w:r>
        <w:rPr>
          <w:rFonts w:hint="eastAsia" w:ascii="宋体" w:hAnsi="宋体" w:eastAsia="宋体" w:cs="宋体"/>
          <w:b/>
          <w:color w:val="auto"/>
          <w:sz w:val="28"/>
          <w:highlight w:val="none"/>
        </w:rPr>
        <w:t>附件</w:t>
      </w:r>
      <w:r>
        <w:rPr>
          <w:rFonts w:hint="eastAsia" w:ascii="宋体" w:hAnsi="宋体" w:eastAsia="宋体" w:cs="宋体"/>
          <w:b/>
          <w:color w:val="auto"/>
          <w:sz w:val="28"/>
          <w:highlight w:val="none"/>
          <w:lang w:val="en-US" w:eastAsia="zh-CN"/>
        </w:rPr>
        <w:t>5</w:t>
      </w:r>
    </w:p>
    <w:p>
      <w:pPr>
        <w:keepNext w:val="0"/>
        <w:keepLines w:val="0"/>
        <w:pageBreakBefore w:val="0"/>
        <w:kinsoku/>
        <w:wordWrap/>
        <w:overflowPunct/>
        <w:topLinePunct w:val="0"/>
        <w:bidi w:val="0"/>
        <w:spacing w:line="360" w:lineRule="auto"/>
        <w:jc w:val="center"/>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评标索引：自评表</w:t>
      </w:r>
    </w:p>
    <w:tbl>
      <w:tblPr>
        <w:tblStyle w:val="22"/>
        <w:tblW w:w="111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3"/>
        <w:gridCol w:w="1113"/>
        <w:gridCol w:w="7033"/>
        <w:gridCol w:w="659"/>
        <w:gridCol w:w="659"/>
        <w:gridCol w:w="6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2096" w:type="dxa"/>
            <w:gridSpan w:val="2"/>
            <w:vAlign w:val="center"/>
          </w:tcPr>
          <w:p>
            <w:pPr>
              <w:adjustRightInd w:val="0"/>
              <w:snapToGrid w:val="0"/>
              <w:jc w:val="center"/>
              <w:rPr>
                <w:rFonts w:asciiTheme="minorEastAsia" w:hAnsiTheme="minorEastAsia" w:cstheme="minorEastAsia"/>
                <w:b/>
                <w:bCs/>
                <w:color w:val="auto"/>
                <w:szCs w:val="21"/>
                <w:highlight w:val="none"/>
              </w:rPr>
            </w:pPr>
            <w:r>
              <w:rPr>
                <w:rFonts w:hint="eastAsia" w:asciiTheme="minorEastAsia" w:hAnsiTheme="minorEastAsia" w:cstheme="minorEastAsia"/>
                <w:b/>
                <w:bCs/>
                <w:color w:val="auto"/>
                <w:szCs w:val="21"/>
                <w:highlight w:val="none"/>
              </w:rPr>
              <w:t>评标因素</w:t>
            </w:r>
          </w:p>
        </w:tc>
        <w:tc>
          <w:tcPr>
            <w:tcW w:w="7033" w:type="dxa"/>
            <w:vAlign w:val="center"/>
          </w:tcPr>
          <w:p>
            <w:pPr>
              <w:adjustRightInd w:val="0"/>
              <w:snapToGrid w:val="0"/>
              <w:jc w:val="center"/>
              <w:rPr>
                <w:rFonts w:asciiTheme="minorEastAsia" w:hAnsiTheme="minorEastAsia" w:cstheme="minorEastAsia"/>
                <w:b/>
                <w:bCs/>
                <w:color w:val="auto"/>
                <w:szCs w:val="21"/>
                <w:highlight w:val="none"/>
              </w:rPr>
            </w:pPr>
            <w:r>
              <w:rPr>
                <w:rFonts w:hint="eastAsia" w:asciiTheme="minorEastAsia" w:hAnsiTheme="minorEastAsia" w:cstheme="minorEastAsia"/>
                <w:b/>
                <w:bCs/>
                <w:color w:val="auto"/>
                <w:szCs w:val="21"/>
                <w:highlight w:val="none"/>
              </w:rPr>
              <w:t>评分标准</w:t>
            </w:r>
          </w:p>
        </w:tc>
        <w:tc>
          <w:tcPr>
            <w:tcW w:w="659" w:type="dxa"/>
            <w:vAlign w:val="center"/>
          </w:tcPr>
          <w:p>
            <w:pPr>
              <w:adjustRightInd w:val="0"/>
              <w:snapToGrid w:val="0"/>
              <w:jc w:val="center"/>
              <w:rPr>
                <w:rFonts w:asciiTheme="minorEastAsia" w:hAnsiTheme="minorEastAsia" w:cstheme="minorEastAsia"/>
                <w:b/>
                <w:bCs/>
                <w:color w:val="auto"/>
                <w:szCs w:val="21"/>
                <w:highlight w:val="none"/>
              </w:rPr>
            </w:pPr>
            <w:r>
              <w:rPr>
                <w:rFonts w:hint="eastAsia" w:asciiTheme="minorEastAsia" w:hAnsiTheme="minorEastAsia" w:cstheme="minorEastAsia"/>
                <w:b/>
                <w:bCs/>
                <w:color w:val="auto"/>
                <w:szCs w:val="21"/>
                <w:highlight w:val="none"/>
              </w:rPr>
              <w:t>分值</w:t>
            </w:r>
          </w:p>
        </w:tc>
        <w:tc>
          <w:tcPr>
            <w:tcW w:w="659" w:type="dxa"/>
            <w:vAlign w:val="center"/>
          </w:tcPr>
          <w:p>
            <w:pPr>
              <w:adjustRightInd w:val="0"/>
              <w:snapToGrid w:val="0"/>
              <w:jc w:val="center"/>
              <w:rPr>
                <w:rFonts w:hint="eastAsia" w:eastAsia="宋体" w:asciiTheme="minorEastAsia" w:hAnsiTheme="minorEastAsia" w:cstheme="minorEastAsia"/>
                <w:b/>
                <w:bCs/>
                <w:color w:val="auto"/>
                <w:szCs w:val="21"/>
                <w:highlight w:val="none"/>
                <w:lang w:val="en-US" w:eastAsia="zh-CN"/>
              </w:rPr>
            </w:pPr>
            <w:r>
              <w:rPr>
                <w:rFonts w:hint="eastAsia" w:asciiTheme="minorEastAsia" w:hAnsiTheme="minorEastAsia" w:cstheme="minorEastAsia"/>
                <w:b/>
                <w:bCs/>
                <w:color w:val="auto"/>
                <w:szCs w:val="21"/>
                <w:highlight w:val="none"/>
                <w:lang w:val="en-US" w:eastAsia="zh-CN"/>
              </w:rPr>
              <w:t>对应页码</w:t>
            </w:r>
          </w:p>
        </w:tc>
        <w:tc>
          <w:tcPr>
            <w:tcW w:w="659" w:type="dxa"/>
            <w:vAlign w:val="center"/>
          </w:tcPr>
          <w:p>
            <w:pPr>
              <w:adjustRightInd w:val="0"/>
              <w:snapToGrid w:val="0"/>
              <w:jc w:val="center"/>
              <w:rPr>
                <w:rFonts w:hint="eastAsia" w:eastAsia="宋体" w:asciiTheme="minorEastAsia" w:hAnsiTheme="minorEastAsia" w:cstheme="minorEastAsia"/>
                <w:b/>
                <w:bCs/>
                <w:color w:val="auto"/>
                <w:szCs w:val="21"/>
                <w:highlight w:val="none"/>
                <w:lang w:val="en-US" w:eastAsia="zh-CN"/>
              </w:rPr>
            </w:pPr>
            <w:r>
              <w:rPr>
                <w:rFonts w:hint="eastAsia" w:asciiTheme="minorEastAsia" w:hAnsiTheme="minorEastAsia" w:cstheme="minorEastAsia"/>
                <w:b/>
                <w:bCs/>
                <w:color w:val="auto"/>
                <w:szCs w:val="21"/>
                <w:highlight w:val="none"/>
                <w:lang w:val="en-US" w:eastAsia="zh-CN"/>
              </w:rPr>
              <w:t>自评分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983" w:type="dxa"/>
            <w:vMerge w:val="restart"/>
            <w:vAlign w:val="center"/>
          </w:tcPr>
          <w:p>
            <w:pPr>
              <w:adjustRightInd w:val="0"/>
              <w:snapToGrid w:val="0"/>
              <w:rPr>
                <w:rFonts w:asciiTheme="minorEastAsia" w:hAnsiTheme="minorEastAsia" w:cstheme="minorEastAsia"/>
                <w:color w:val="auto"/>
                <w:szCs w:val="21"/>
                <w:highlight w:val="none"/>
              </w:rPr>
            </w:pPr>
          </w:p>
          <w:p>
            <w:pPr>
              <w:adjustRightInd w:val="0"/>
              <w:snapToGrid w:val="0"/>
              <w:jc w:val="center"/>
              <w:rPr>
                <w:rFonts w:asciiTheme="minorEastAsia" w:hAnsiTheme="minorEastAsia" w:cstheme="minorEastAsia"/>
                <w:color w:val="auto"/>
                <w:szCs w:val="21"/>
                <w:highlight w:val="none"/>
              </w:rPr>
            </w:pPr>
          </w:p>
          <w:p>
            <w:pPr>
              <w:adjustRightInd w:val="0"/>
              <w:snapToGrid w:val="0"/>
              <w:jc w:val="center"/>
              <w:rPr>
                <w:rFonts w:asciiTheme="minorEastAsia" w:hAnsiTheme="minorEastAsia" w:cstheme="minorEastAsia"/>
                <w:color w:val="auto"/>
                <w:szCs w:val="21"/>
                <w:highlight w:val="none"/>
              </w:rPr>
            </w:pPr>
          </w:p>
          <w:p>
            <w:pPr>
              <w:adjustRightInd w:val="0"/>
              <w:snapToGrid w:val="0"/>
              <w:jc w:val="center"/>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商务分（</w:t>
            </w:r>
            <w:r>
              <w:rPr>
                <w:rFonts w:hint="eastAsia" w:asciiTheme="minorEastAsia" w:hAnsiTheme="minorEastAsia" w:cstheme="minorEastAsia"/>
                <w:color w:val="auto"/>
                <w:szCs w:val="21"/>
                <w:highlight w:val="none"/>
                <w:lang w:val="en-US" w:eastAsia="zh-CN"/>
              </w:rPr>
              <w:t>10</w:t>
            </w:r>
            <w:r>
              <w:rPr>
                <w:rFonts w:hint="eastAsia" w:asciiTheme="minorEastAsia" w:hAnsiTheme="minorEastAsia" w:cstheme="minorEastAsia"/>
                <w:color w:val="auto"/>
                <w:szCs w:val="21"/>
                <w:highlight w:val="none"/>
              </w:rPr>
              <w:t>分）</w:t>
            </w:r>
          </w:p>
        </w:tc>
        <w:tc>
          <w:tcPr>
            <w:tcW w:w="1113" w:type="dxa"/>
            <w:vAlign w:val="center"/>
          </w:tcPr>
          <w:p>
            <w:pPr>
              <w:adjustRightInd w:val="0"/>
              <w:snapToGrid w:val="0"/>
              <w:jc w:val="center"/>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企业综合实力</w:t>
            </w:r>
          </w:p>
        </w:tc>
        <w:tc>
          <w:tcPr>
            <w:tcW w:w="7033" w:type="dxa"/>
            <w:vAlign w:val="top"/>
          </w:tcPr>
          <w:p>
            <w:pPr>
              <w:autoSpaceDE w:val="0"/>
              <w:autoSpaceDN w:val="0"/>
              <w:adjustRightInd w:val="0"/>
              <w:spacing w:line="240" w:lineRule="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1、投标人具有有效的中国环境标志产品认证证书的得3分（认证单元：钢木家具，产品名称：实验桌）；</w:t>
            </w:r>
          </w:p>
          <w:p>
            <w:pPr>
              <w:autoSpaceDE w:val="0"/>
              <w:autoSpaceDN w:val="0"/>
              <w:adjustRightInd w:val="0"/>
              <w:spacing w:line="240" w:lineRule="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2、投标人具有有效的中国环保产品认证证书的得3分（产品名称：实验室家具、实验桌）；</w:t>
            </w:r>
          </w:p>
          <w:p>
            <w:pPr>
              <w:autoSpaceDE w:val="0"/>
              <w:autoSpaceDN w:val="0"/>
              <w:adjustRightInd w:val="0"/>
              <w:spacing w:line="240" w:lineRule="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3、投标人具有有效的质量管理体系认证证书的得1分；</w:t>
            </w:r>
          </w:p>
          <w:p>
            <w:pPr>
              <w:autoSpaceDE w:val="0"/>
              <w:autoSpaceDN w:val="0"/>
              <w:adjustRightInd w:val="0"/>
              <w:rPr>
                <w:rFonts w:asciiTheme="minorEastAsia" w:hAnsiTheme="minorEastAsia" w:cstheme="minorEastAsia"/>
                <w:color w:val="auto"/>
                <w:szCs w:val="21"/>
                <w:highlight w:val="none"/>
              </w:rPr>
            </w:pPr>
            <w:r>
              <w:rPr>
                <w:rFonts w:hint="eastAsia" w:asciiTheme="minorEastAsia" w:hAnsiTheme="minorEastAsia" w:eastAsiaTheme="minorEastAsia" w:cstheme="minorEastAsia"/>
                <w:color w:val="auto"/>
                <w:sz w:val="21"/>
                <w:szCs w:val="21"/>
                <w:highlight w:val="none"/>
                <w:lang w:val="en-US" w:eastAsia="zh-CN"/>
              </w:rPr>
              <w:t>本项最高得7分。</w:t>
            </w:r>
            <w:r>
              <w:rPr>
                <w:rFonts w:hint="eastAsia"/>
                <w:b/>
                <w:bCs/>
                <w:color w:val="auto"/>
                <w:highlight w:val="none"/>
                <w:lang w:val="en-US" w:eastAsia="zh-CN"/>
              </w:rPr>
              <w:t>（须提供相关证书的扫描件和中国国家认证认可监督管理委员会网站（www.cnca.gov.cn)查询截图加盖投标人公章编入投标文件中，未提供或提供不全的不得分）</w:t>
            </w:r>
          </w:p>
        </w:tc>
        <w:tc>
          <w:tcPr>
            <w:tcW w:w="659" w:type="dxa"/>
            <w:vAlign w:val="center"/>
          </w:tcPr>
          <w:p>
            <w:pPr>
              <w:autoSpaceDE w:val="0"/>
              <w:autoSpaceDN w:val="0"/>
              <w:adjustRightInd w:val="0"/>
              <w:jc w:val="center"/>
              <w:rPr>
                <w:rFonts w:hint="eastAsia" w:eastAsia="宋体" w:asciiTheme="minorEastAsia" w:hAnsiTheme="minorEastAsia" w:cstheme="minorEastAsia"/>
                <w:color w:val="auto"/>
                <w:szCs w:val="21"/>
                <w:highlight w:val="none"/>
                <w:lang w:eastAsia="zh-CN"/>
              </w:rPr>
            </w:pPr>
            <w:r>
              <w:rPr>
                <w:rFonts w:hint="eastAsia" w:ascii="宋体" w:hAnsi="宋体" w:cs="宋体"/>
                <w:color w:val="auto"/>
                <w:szCs w:val="21"/>
                <w:highlight w:val="none"/>
                <w:lang w:val="en-US" w:eastAsia="zh-CN"/>
              </w:rPr>
              <w:t>7</w:t>
            </w:r>
          </w:p>
        </w:tc>
        <w:tc>
          <w:tcPr>
            <w:tcW w:w="659" w:type="dxa"/>
            <w:vAlign w:val="center"/>
          </w:tcPr>
          <w:p>
            <w:pPr>
              <w:autoSpaceDE w:val="0"/>
              <w:autoSpaceDN w:val="0"/>
              <w:adjustRightInd w:val="0"/>
              <w:jc w:val="center"/>
              <w:rPr>
                <w:rFonts w:hint="eastAsia" w:ascii="宋体" w:hAnsi="宋体" w:cs="宋体"/>
                <w:color w:val="auto"/>
                <w:szCs w:val="21"/>
                <w:highlight w:val="none"/>
                <w:lang w:val="en-US" w:eastAsia="zh-CN"/>
              </w:rPr>
            </w:pPr>
          </w:p>
        </w:tc>
        <w:tc>
          <w:tcPr>
            <w:tcW w:w="659" w:type="dxa"/>
            <w:vAlign w:val="center"/>
          </w:tcPr>
          <w:p>
            <w:pPr>
              <w:autoSpaceDE w:val="0"/>
              <w:autoSpaceDN w:val="0"/>
              <w:adjustRightInd w:val="0"/>
              <w:jc w:val="center"/>
              <w:rPr>
                <w:rFonts w:hint="eastAsia" w:ascii="宋体" w:hAnsi="宋体" w:cs="宋体"/>
                <w:color w:val="auto"/>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jc w:val="center"/>
        </w:trPr>
        <w:tc>
          <w:tcPr>
            <w:tcW w:w="983" w:type="dxa"/>
            <w:vMerge w:val="continue"/>
            <w:vAlign w:val="center"/>
          </w:tcPr>
          <w:p>
            <w:pPr>
              <w:jc w:val="center"/>
              <w:rPr>
                <w:rFonts w:asciiTheme="minorEastAsia" w:hAnsiTheme="minorEastAsia" w:cstheme="minorEastAsia"/>
                <w:color w:val="auto"/>
                <w:szCs w:val="21"/>
                <w:highlight w:val="none"/>
              </w:rPr>
            </w:pPr>
          </w:p>
        </w:tc>
        <w:tc>
          <w:tcPr>
            <w:tcW w:w="1113" w:type="dxa"/>
            <w:vAlign w:val="center"/>
          </w:tcPr>
          <w:p>
            <w:pPr>
              <w:jc w:val="center"/>
              <w:rPr>
                <w:rStyle w:val="57"/>
                <w:rFonts w:asciiTheme="minorEastAsia" w:hAnsiTheme="minorEastAsia" w:cstheme="minorEastAsia"/>
                <w:color w:val="auto"/>
                <w:szCs w:val="21"/>
                <w:highlight w:val="none"/>
              </w:rPr>
            </w:pPr>
            <w:r>
              <w:rPr>
                <w:rStyle w:val="57"/>
                <w:rFonts w:hint="eastAsia" w:asciiTheme="minorEastAsia" w:hAnsiTheme="minorEastAsia" w:cstheme="minorEastAsia"/>
                <w:color w:val="auto"/>
                <w:szCs w:val="21"/>
                <w:highlight w:val="none"/>
              </w:rPr>
              <w:t>承接经验</w:t>
            </w:r>
          </w:p>
        </w:tc>
        <w:tc>
          <w:tcPr>
            <w:tcW w:w="7033" w:type="dxa"/>
            <w:vAlign w:val="center"/>
          </w:tcPr>
          <w:p>
            <w:pPr>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投标人自2020年1月1日以来</w:t>
            </w:r>
            <w:r>
              <w:rPr>
                <w:rFonts w:hint="eastAsia" w:asciiTheme="minorEastAsia" w:hAnsiTheme="minorEastAsia" w:cstheme="minorEastAsia"/>
                <w:color w:val="auto"/>
                <w:szCs w:val="21"/>
                <w:highlight w:val="none"/>
                <w:lang w:val="zh-CN"/>
              </w:rPr>
              <w:t>（以合同签订时间为准），</w:t>
            </w:r>
            <w:r>
              <w:rPr>
                <w:rFonts w:hint="eastAsia" w:asciiTheme="minorEastAsia" w:hAnsiTheme="minorEastAsia" w:cstheme="minorEastAsia"/>
                <w:color w:val="auto"/>
                <w:szCs w:val="21"/>
                <w:highlight w:val="none"/>
              </w:rPr>
              <w:t>承接过类似项目业绩，一个合同得1分，最高</w:t>
            </w:r>
            <w:r>
              <w:rPr>
                <w:rFonts w:hint="eastAsia" w:asciiTheme="minorEastAsia" w:hAnsiTheme="minorEastAsia" w:cstheme="minorEastAsia"/>
                <w:color w:val="auto"/>
                <w:szCs w:val="21"/>
                <w:highlight w:val="none"/>
                <w:lang w:val="en-US" w:eastAsia="zh-CN"/>
              </w:rPr>
              <w:t>3</w:t>
            </w:r>
            <w:r>
              <w:rPr>
                <w:rFonts w:hint="eastAsia" w:asciiTheme="minorEastAsia" w:hAnsiTheme="minorEastAsia" w:cstheme="minorEastAsia"/>
                <w:color w:val="auto"/>
                <w:szCs w:val="21"/>
                <w:highlight w:val="none"/>
              </w:rPr>
              <w:t>分。</w:t>
            </w:r>
            <w:r>
              <w:rPr>
                <w:rFonts w:hint="eastAsia" w:ascii="Times New Roman" w:hAnsi="Times New Roman" w:cs="Times New Roman"/>
                <w:b/>
                <w:bCs/>
                <w:color w:val="auto"/>
                <w:highlight w:val="none"/>
                <w:lang w:val="zh-CN"/>
              </w:rPr>
              <w:t>（</w:t>
            </w:r>
            <w:r>
              <w:rPr>
                <w:rFonts w:hint="eastAsia" w:ascii="Times New Roman" w:hAnsi="Times New Roman" w:cs="Times New Roman"/>
                <w:b/>
                <w:bCs/>
                <w:color w:val="auto"/>
                <w:highlight w:val="none"/>
              </w:rPr>
              <w:t>须</w:t>
            </w:r>
            <w:r>
              <w:rPr>
                <w:rFonts w:hint="eastAsia" w:ascii="Times New Roman" w:hAnsi="Times New Roman" w:cs="Times New Roman"/>
                <w:b/>
                <w:bCs/>
                <w:color w:val="auto"/>
                <w:highlight w:val="none"/>
                <w:lang w:val="zh-CN"/>
              </w:rPr>
              <w:t>提供合同</w:t>
            </w:r>
            <w:r>
              <w:rPr>
                <w:rFonts w:hint="eastAsia" w:ascii="Times New Roman" w:hAnsi="Times New Roman" w:cs="Times New Roman"/>
                <w:b/>
                <w:bCs/>
                <w:color w:val="auto"/>
                <w:highlight w:val="none"/>
              </w:rPr>
              <w:t>扫描件并</w:t>
            </w:r>
            <w:r>
              <w:rPr>
                <w:rFonts w:hint="eastAsia" w:ascii="Times New Roman" w:hAnsi="Times New Roman" w:cs="Times New Roman"/>
                <w:b/>
                <w:bCs/>
                <w:color w:val="auto"/>
                <w:highlight w:val="none"/>
                <w:lang w:val="zh-CN"/>
              </w:rPr>
              <w:t>加盖</w:t>
            </w:r>
            <w:r>
              <w:rPr>
                <w:rFonts w:hint="eastAsia" w:ascii="Times New Roman" w:hAnsi="Times New Roman" w:cs="Times New Roman"/>
                <w:b/>
                <w:bCs/>
                <w:color w:val="auto"/>
                <w:highlight w:val="none"/>
              </w:rPr>
              <w:t>投标人</w:t>
            </w:r>
            <w:r>
              <w:rPr>
                <w:rFonts w:hint="eastAsia" w:ascii="Times New Roman" w:hAnsi="Times New Roman" w:cs="Times New Roman"/>
                <w:b/>
                <w:bCs/>
                <w:color w:val="auto"/>
                <w:highlight w:val="none"/>
                <w:lang w:val="zh-CN"/>
              </w:rPr>
              <w:t>公章</w:t>
            </w:r>
            <w:r>
              <w:rPr>
                <w:rFonts w:hint="eastAsia" w:ascii="Times New Roman" w:hAnsi="Times New Roman" w:cs="Times New Roman"/>
                <w:b/>
                <w:bCs/>
                <w:color w:val="auto"/>
                <w:highlight w:val="none"/>
              </w:rPr>
              <w:t>编入投标文件中，未提供的不得分</w:t>
            </w:r>
            <w:r>
              <w:rPr>
                <w:rFonts w:hint="eastAsia" w:ascii="Times New Roman" w:hAnsi="Times New Roman" w:cs="Times New Roman"/>
                <w:b/>
                <w:bCs/>
                <w:color w:val="auto"/>
                <w:highlight w:val="none"/>
                <w:lang w:val="zh-CN"/>
              </w:rPr>
              <w:t>）</w:t>
            </w:r>
          </w:p>
        </w:tc>
        <w:tc>
          <w:tcPr>
            <w:tcW w:w="659" w:type="dxa"/>
            <w:vAlign w:val="center"/>
          </w:tcPr>
          <w:p>
            <w:pPr>
              <w:pStyle w:val="11"/>
              <w:snapToGrid w:val="0"/>
              <w:jc w:val="center"/>
              <w:rPr>
                <w:rFonts w:hint="eastAsia" w:eastAsia="宋体" w:asciiTheme="minorEastAsia" w:hAnsiTheme="minorEastAsia" w:cstheme="minorEastAsia"/>
                <w:color w:val="auto"/>
                <w:szCs w:val="21"/>
                <w:highlight w:val="none"/>
                <w:lang w:eastAsia="zh-CN"/>
              </w:rPr>
            </w:pPr>
            <w:r>
              <w:rPr>
                <w:rFonts w:hint="eastAsia" w:asciiTheme="minorEastAsia" w:hAnsiTheme="minorEastAsia" w:cstheme="minorEastAsia"/>
                <w:color w:val="auto"/>
                <w:szCs w:val="21"/>
                <w:highlight w:val="none"/>
                <w:lang w:val="en-US" w:eastAsia="zh-CN"/>
              </w:rPr>
              <w:t>3</w:t>
            </w:r>
          </w:p>
        </w:tc>
        <w:tc>
          <w:tcPr>
            <w:tcW w:w="659" w:type="dxa"/>
            <w:vAlign w:val="center"/>
          </w:tcPr>
          <w:p>
            <w:pPr>
              <w:pStyle w:val="11"/>
              <w:snapToGrid w:val="0"/>
              <w:jc w:val="center"/>
              <w:rPr>
                <w:rFonts w:hint="eastAsia" w:asciiTheme="minorEastAsia" w:hAnsiTheme="minorEastAsia" w:cstheme="minorEastAsia"/>
                <w:color w:val="auto"/>
                <w:szCs w:val="21"/>
                <w:highlight w:val="none"/>
                <w:lang w:val="en-US" w:eastAsia="zh-CN"/>
              </w:rPr>
            </w:pPr>
          </w:p>
        </w:tc>
        <w:tc>
          <w:tcPr>
            <w:tcW w:w="659" w:type="dxa"/>
            <w:vAlign w:val="center"/>
          </w:tcPr>
          <w:p>
            <w:pPr>
              <w:pStyle w:val="11"/>
              <w:snapToGrid w:val="0"/>
              <w:jc w:val="center"/>
              <w:rPr>
                <w:rFonts w:hint="eastAsia" w:asciiTheme="minorEastAsia" w:hAnsiTheme="minorEastAsia" w:cstheme="minorEastAsia"/>
                <w:color w:val="auto"/>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83" w:type="dxa"/>
            <w:vMerge w:val="restart"/>
            <w:vAlign w:val="center"/>
          </w:tcPr>
          <w:p>
            <w:pPr>
              <w:adjustRightInd w:val="0"/>
              <w:snapToGrid w:val="0"/>
              <w:jc w:val="center"/>
              <w:rPr>
                <w:rFonts w:asciiTheme="minorEastAsia" w:hAnsiTheme="minorEastAsia" w:cstheme="minorEastAsia"/>
                <w:color w:val="auto"/>
                <w:szCs w:val="21"/>
                <w:highlight w:val="none"/>
              </w:rPr>
            </w:pPr>
          </w:p>
          <w:p>
            <w:pPr>
              <w:adjustRightInd w:val="0"/>
              <w:snapToGrid w:val="0"/>
              <w:jc w:val="center"/>
              <w:rPr>
                <w:rFonts w:asciiTheme="minorEastAsia" w:hAnsiTheme="minorEastAsia" w:cstheme="minorEastAsia"/>
                <w:color w:val="auto"/>
                <w:szCs w:val="21"/>
                <w:highlight w:val="none"/>
              </w:rPr>
            </w:pPr>
          </w:p>
          <w:p>
            <w:pPr>
              <w:adjustRightInd w:val="0"/>
              <w:snapToGrid w:val="0"/>
              <w:jc w:val="center"/>
              <w:rPr>
                <w:rFonts w:asciiTheme="minorEastAsia" w:hAnsiTheme="minorEastAsia" w:cstheme="minorEastAsia"/>
                <w:color w:val="auto"/>
                <w:szCs w:val="21"/>
                <w:highlight w:val="none"/>
              </w:rPr>
            </w:pPr>
          </w:p>
          <w:p>
            <w:pPr>
              <w:adjustRightInd w:val="0"/>
              <w:snapToGrid w:val="0"/>
              <w:jc w:val="center"/>
              <w:rPr>
                <w:rFonts w:asciiTheme="minorEastAsia" w:hAnsiTheme="minorEastAsia" w:cstheme="minorEastAsia"/>
                <w:color w:val="auto"/>
                <w:szCs w:val="21"/>
                <w:highlight w:val="none"/>
              </w:rPr>
            </w:pPr>
          </w:p>
          <w:p>
            <w:pPr>
              <w:adjustRightInd w:val="0"/>
              <w:snapToGrid w:val="0"/>
              <w:jc w:val="center"/>
              <w:rPr>
                <w:rFonts w:asciiTheme="minorEastAsia" w:hAnsiTheme="minorEastAsia" w:cstheme="minorEastAsia"/>
                <w:color w:val="auto"/>
                <w:szCs w:val="21"/>
                <w:highlight w:val="none"/>
              </w:rPr>
            </w:pPr>
          </w:p>
          <w:p>
            <w:pPr>
              <w:adjustRightInd w:val="0"/>
              <w:snapToGrid w:val="0"/>
              <w:jc w:val="center"/>
              <w:rPr>
                <w:rFonts w:asciiTheme="minorEastAsia" w:hAnsiTheme="minorEastAsia" w:cstheme="minorEastAsia"/>
                <w:color w:val="auto"/>
                <w:szCs w:val="21"/>
                <w:highlight w:val="none"/>
              </w:rPr>
            </w:pPr>
          </w:p>
          <w:p>
            <w:pPr>
              <w:adjustRightInd w:val="0"/>
              <w:snapToGrid w:val="0"/>
              <w:jc w:val="center"/>
              <w:rPr>
                <w:rFonts w:asciiTheme="minorEastAsia" w:hAnsiTheme="minorEastAsia" w:cstheme="minorEastAsia"/>
                <w:color w:val="auto"/>
                <w:szCs w:val="21"/>
                <w:highlight w:val="none"/>
              </w:rPr>
            </w:pPr>
          </w:p>
          <w:p>
            <w:pPr>
              <w:adjustRightInd w:val="0"/>
              <w:snapToGrid w:val="0"/>
              <w:jc w:val="center"/>
              <w:rPr>
                <w:rFonts w:asciiTheme="minorEastAsia" w:hAnsiTheme="minorEastAsia" w:cstheme="minorEastAsia"/>
                <w:color w:val="auto"/>
                <w:szCs w:val="21"/>
                <w:highlight w:val="none"/>
              </w:rPr>
            </w:pPr>
          </w:p>
          <w:p>
            <w:pPr>
              <w:adjustRightInd w:val="0"/>
              <w:snapToGrid w:val="0"/>
              <w:jc w:val="center"/>
              <w:rPr>
                <w:rFonts w:asciiTheme="minorEastAsia" w:hAnsiTheme="minorEastAsia" w:cstheme="minorEastAsia"/>
                <w:color w:val="auto"/>
                <w:szCs w:val="21"/>
                <w:highlight w:val="none"/>
              </w:rPr>
            </w:pPr>
          </w:p>
          <w:p>
            <w:pPr>
              <w:adjustRightInd w:val="0"/>
              <w:snapToGrid w:val="0"/>
              <w:jc w:val="center"/>
              <w:rPr>
                <w:rFonts w:asciiTheme="minorEastAsia" w:hAnsiTheme="minorEastAsia" w:cstheme="minorEastAsia"/>
                <w:color w:val="auto"/>
                <w:szCs w:val="21"/>
                <w:highlight w:val="none"/>
              </w:rPr>
            </w:pPr>
          </w:p>
          <w:p>
            <w:pPr>
              <w:adjustRightInd w:val="0"/>
              <w:snapToGrid w:val="0"/>
              <w:jc w:val="center"/>
              <w:rPr>
                <w:rFonts w:asciiTheme="minorEastAsia" w:hAnsiTheme="minorEastAsia" w:cstheme="minorEastAsia"/>
                <w:color w:val="auto"/>
                <w:szCs w:val="21"/>
                <w:highlight w:val="none"/>
              </w:rPr>
            </w:pPr>
          </w:p>
          <w:p>
            <w:pPr>
              <w:pStyle w:val="7"/>
              <w:jc w:val="center"/>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技术分（6</w:t>
            </w:r>
            <w:r>
              <w:rPr>
                <w:rFonts w:hint="eastAsia" w:asciiTheme="minorEastAsia" w:hAnsiTheme="minorEastAsia" w:cstheme="minorEastAsia"/>
                <w:color w:val="auto"/>
                <w:szCs w:val="21"/>
                <w:highlight w:val="none"/>
                <w:lang w:val="en-US" w:eastAsia="zh-CN"/>
              </w:rPr>
              <w:t>0</w:t>
            </w:r>
            <w:r>
              <w:rPr>
                <w:rFonts w:hint="eastAsia" w:asciiTheme="minorEastAsia" w:hAnsiTheme="minorEastAsia" w:cstheme="minorEastAsia"/>
                <w:color w:val="auto"/>
                <w:szCs w:val="21"/>
                <w:highlight w:val="none"/>
              </w:rPr>
              <w:t>分）</w:t>
            </w:r>
          </w:p>
          <w:p>
            <w:pPr>
              <w:pStyle w:val="8"/>
              <w:ind w:left="5250" w:leftChars="0" w:firstLine="0" w:firstLineChars="0"/>
              <w:jc w:val="center"/>
              <w:rPr>
                <w:rFonts w:asciiTheme="minorEastAsia" w:hAnsiTheme="minorEastAsia" w:cstheme="minorEastAsia"/>
                <w:color w:val="auto"/>
                <w:szCs w:val="21"/>
                <w:highlight w:val="none"/>
              </w:rPr>
            </w:pPr>
          </w:p>
        </w:tc>
        <w:tc>
          <w:tcPr>
            <w:tcW w:w="1113" w:type="dxa"/>
            <w:vAlign w:val="center"/>
          </w:tcPr>
          <w:p>
            <w:pPr>
              <w:keepNext w:val="0"/>
              <w:keepLines w:val="0"/>
              <w:pageBreakBefore w:val="0"/>
              <w:kinsoku/>
              <w:wordWrap/>
              <w:topLinePunct w:val="0"/>
              <w:autoSpaceDE w:val="0"/>
              <w:autoSpaceDN w:val="0"/>
              <w:bidi w:val="0"/>
              <w:adjustRightInd w:val="0"/>
              <w:spacing w:beforeAutospacing="0" w:afterAutospacing="0" w:line="240" w:lineRule="auto"/>
              <w:ind w:left="0" w:leftChars="0"/>
              <w:jc w:val="center"/>
              <w:textAlignment w:val="auto"/>
              <w:rPr>
                <w:rFonts w:ascii="宋体" w:hAnsi="宋体" w:eastAsia="宋体" w:cs="新宋体"/>
                <w:color w:val="auto"/>
                <w:szCs w:val="21"/>
                <w:highlight w:val="none"/>
              </w:rPr>
            </w:pPr>
            <w:r>
              <w:rPr>
                <w:rStyle w:val="57"/>
                <w:rFonts w:hint="eastAsia" w:asciiTheme="minorEastAsia" w:hAnsiTheme="minorEastAsia" w:eastAsiaTheme="minorEastAsia" w:cstheme="minorEastAsia"/>
                <w:color w:val="auto"/>
                <w:sz w:val="21"/>
                <w:szCs w:val="21"/>
                <w:highlight w:val="none"/>
                <w:lang w:val="en-US" w:eastAsia="zh-CN"/>
              </w:rPr>
              <w:t>设备性能指标</w:t>
            </w:r>
          </w:p>
        </w:tc>
        <w:tc>
          <w:tcPr>
            <w:tcW w:w="7033" w:type="dxa"/>
            <w:vAlign w:val="center"/>
          </w:tcPr>
          <w:p>
            <w:pPr>
              <w:keepNext w:val="0"/>
              <w:keepLines w:val="0"/>
              <w:pageBreakBefore w:val="0"/>
              <w:tabs>
                <w:tab w:val="left" w:pos="2061"/>
              </w:tabs>
              <w:kinsoku/>
              <w:wordWrap/>
              <w:overflowPunct/>
              <w:topLinePunct w:val="0"/>
              <w:bidi w:val="0"/>
              <w:spacing w:beforeAutospacing="0" w:afterAutospacing="0" w:line="240" w:lineRule="auto"/>
              <w:ind w:left="0" w:leftChars="0" w:right="0" w:rightChars="0" w:firstLine="0" w:firstLineChars="0"/>
              <w:textAlignment w:val="auto"/>
              <w:outlineLvl w:val="9"/>
              <w:rPr>
                <w:rFonts w:hint="eastAsia" w:ascii="宋体" w:hAnsi="宋体" w:eastAsia="宋体" w:cs="新宋体"/>
                <w:color w:val="auto"/>
                <w:szCs w:val="21"/>
                <w:highlight w:val="none"/>
                <w:lang w:eastAsia="zh-CN"/>
              </w:rPr>
            </w:pPr>
            <w:r>
              <w:rPr>
                <w:rFonts w:hint="eastAsia" w:asciiTheme="minorEastAsia" w:hAnsiTheme="minorEastAsia" w:eastAsiaTheme="minorEastAsia" w:cstheme="minorEastAsia"/>
                <w:color w:val="auto"/>
                <w:szCs w:val="21"/>
                <w:highlight w:val="none"/>
              </w:rPr>
              <w:t>根据所投产品</w:t>
            </w:r>
            <w:r>
              <w:rPr>
                <w:rFonts w:hint="eastAsia" w:ascii="宋体" w:hAnsi="宋体" w:eastAsia="宋体" w:cs="新宋体"/>
                <w:b w:val="0"/>
                <w:color w:val="auto"/>
                <w:sz w:val="21"/>
                <w:szCs w:val="21"/>
                <w:highlight w:val="none"/>
                <w:lang w:val="en-US" w:eastAsia="zh-CN"/>
              </w:rPr>
              <w:t>所有技术指标均响应招标文件要求的得20分</w:t>
            </w:r>
            <w:r>
              <w:rPr>
                <w:rFonts w:hint="eastAsia" w:ascii="宋体" w:hAnsi="宋体" w:cs="新宋体"/>
                <w:b w:val="0"/>
                <w:color w:val="auto"/>
                <w:sz w:val="21"/>
                <w:szCs w:val="21"/>
                <w:highlight w:val="none"/>
                <w:lang w:val="en-US" w:eastAsia="zh-CN"/>
              </w:rPr>
              <w:t>，</w:t>
            </w:r>
            <w:r>
              <w:rPr>
                <w:rFonts w:hint="eastAsia" w:ascii="宋体" w:hAnsi="宋体" w:eastAsia="宋体" w:cs="新宋体"/>
                <w:b w:val="0"/>
                <w:color w:val="auto"/>
                <w:sz w:val="21"/>
                <w:szCs w:val="21"/>
                <w:highlight w:val="none"/>
                <w:lang w:val="en-US" w:eastAsia="zh-CN"/>
              </w:rPr>
              <w:t>带★项为重要技术参数指标项，一项不满足扣</w:t>
            </w:r>
            <w:r>
              <w:rPr>
                <w:rFonts w:hint="eastAsia" w:ascii="宋体" w:hAnsi="宋体" w:cs="新宋体"/>
                <w:b w:val="0"/>
                <w:color w:val="auto"/>
                <w:sz w:val="21"/>
                <w:szCs w:val="21"/>
                <w:highlight w:val="none"/>
                <w:lang w:val="en-US" w:eastAsia="zh-CN"/>
              </w:rPr>
              <w:t>1.3</w:t>
            </w:r>
            <w:r>
              <w:rPr>
                <w:rFonts w:hint="eastAsia" w:ascii="宋体" w:hAnsi="宋体" w:eastAsia="宋体" w:cs="新宋体"/>
                <w:b w:val="0"/>
                <w:color w:val="auto"/>
                <w:sz w:val="21"/>
                <w:szCs w:val="21"/>
                <w:highlight w:val="none"/>
                <w:lang w:val="en-US" w:eastAsia="zh-CN"/>
              </w:rPr>
              <w:t>分</w:t>
            </w:r>
            <w:r>
              <w:rPr>
                <w:rFonts w:hint="eastAsia" w:ascii="宋体" w:hAnsi="宋体" w:cs="新宋体"/>
                <w:b w:val="0"/>
                <w:color w:val="auto"/>
                <w:sz w:val="21"/>
                <w:szCs w:val="21"/>
                <w:highlight w:val="none"/>
                <w:lang w:val="en-US" w:eastAsia="zh-CN"/>
              </w:rPr>
              <w:t>，其他技术指标</w:t>
            </w:r>
            <w:r>
              <w:rPr>
                <w:rFonts w:hint="eastAsia" w:ascii="宋体" w:hAnsi="宋体" w:eastAsia="宋体" w:cs="新宋体"/>
                <w:b w:val="0"/>
                <w:color w:val="auto"/>
                <w:sz w:val="21"/>
                <w:szCs w:val="21"/>
                <w:highlight w:val="none"/>
                <w:lang w:val="en-US" w:eastAsia="zh-CN"/>
              </w:rPr>
              <w:t>一项不满足扣</w:t>
            </w:r>
            <w:r>
              <w:rPr>
                <w:rFonts w:hint="eastAsia" w:ascii="宋体" w:hAnsi="宋体" w:cs="新宋体"/>
                <w:b w:val="0"/>
                <w:color w:val="auto"/>
                <w:sz w:val="21"/>
                <w:szCs w:val="21"/>
                <w:highlight w:val="none"/>
                <w:lang w:val="en-US" w:eastAsia="zh-CN"/>
              </w:rPr>
              <w:t>0.1</w:t>
            </w:r>
            <w:r>
              <w:rPr>
                <w:rFonts w:hint="eastAsia" w:ascii="宋体" w:hAnsi="宋体" w:eastAsia="宋体" w:cs="新宋体"/>
                <w:b w:val="0"/>
                <w:color w:val="auto"/>
                <w:sz w:val="21"/>
                <w:szCs w:val="21"/>
                <w:highlight w:val="none"/>
                <w:lang w:val="en-US" w:eastAsia="zh-CN"/>
              </w:rPr>
              <w:t>分，扣完为止。</w:t>
            </w:r>
            <w:r>
              <w:rPr>
                <w:rFonts w:hint="eastAsia" w:ascii="宋体" w:hAnsi="宋体" w:eastAsia="宋体" w:cs="新宋体"/>
                <w:b/>
                <w:bCs/>
                <w:color w:val="auto"/>
                <w:sz w:val="21"/>
                <w:szCs w:val="21"/>
                <w:highlight w:val="none"/>
                <w:lang w:val="en-US" w:eastAsia="zh-CN"/>
              </w:rPr>
              <w:t>（注：投标人必须如实地对招标文件技术参数中各条款作出明确的逐项响应承诺，并对其真实性负责）</w:t>
            </w:r>
          </w:p>
        </w:tc>
        <w:tc>
          <w:tcPr>
            <w:tcW w:w="659" w:type="dxa"/>
            <w:vAlign w:val="center"/>
          </w:tcPr>
          <w:p>
            <w:pPr>
              <w:keepNext w:val="0"/>
              <w:keepLines w:val="0"/>
              <w:pageBreakBefore w:val="0"/>
              <w:kinsoku/>
              <w:wordWrap/>
              <w:topLinePunct w:val="0"/>
              <w:autoSpaceDE w:val="0"/>
              <w:autoSpaceDN w:val="0"/>
              <w:bidi w:val="0"/>
              <w:adjustRightInd w:val="0"/>
              <w:spacing w:beforeAutospacing="0" w:afterAutospacing="0" w:line="240" w:lineRule="auto"/>
              <w:ind w:left="0" w:leftChars="0"/>
              <w:jc w:val="center"/>
              <w:textAlignment w:val="auto"/>
              <w:rPr>
                <w:rFonts w:ascii="宋体" w:hAnsi="宋体" w:eastAsia="宋体" w:cs="新宋体"/>
                <w:color w:val="auto"/>
                <w:szCs w:val="21"/>
                <w:highlight w:val="none"/>
              </w:rPr>
            </w:pPr>
            <w:r>
              <w:rPr>
                <w:rFonts w:hint="eastAsia" w:ascii="宋体" w:hAnsi="宋体" w:cs="新宋体"/>
                <w:b w:val="0"/>
                <w:bCs w:val="0"/>
                <w:color w:val="auto"/>
                <w:kern w:val="2"/>
                <w:sz w:val="21"/>
                <w:szCs w:val="21"/>
                <w:highlight w:val="none"/>
                <w:lang w:val="en-US" w:eastAsia="zh-CN" w:bidi="ar-SA"/>
              </w:rPr>
              <w:t>20</w:t>
            </w:r>
          </w:p>
        </w:tc>
        <w:tc>
          <w:tcPr>
            <w:tcW w:w="659" w:type="dxa"/>
            <w:vAlign w:val="center"/>
          </w:tcPr>
          <w:p>
            <w:pPr>
              <w:keepNext w:val="0"/>
              <w:keepLines w:val="0"/>
              <w:pageBreakBefore w:val="0"/>
              <w:kinsoku/>
              <w:wordWrap/>
              <w:topLinePunct w:val="0"/>
              <w:autoSpaceDE w:val="0"/>
              <w:autoSpaceDN w:val="0"/>
              <w:bidi w:val="0"/>
              <w:adjustRightInd w:val="0"/>
              <w:spacing w:beforeAutospacing="0" w:afterAutospacing="0" w:line="240" w:lineRule="auto"/>
              <w:ind w:left="0" w:leftChars="0"/>
              <w:jc w:val="center"/>
              <w:textAlignment w:val="auto"/>
              <w:rPr>
                <w:rFonts w:hint="eastAsia" w:ascii="宋体" w:hAnsi="宋体" w:cs="新宋体"/>
                <w:b w:val="0"/>
                <w:bCs w:val="0"/>
                <w:color w:val="auto"/>
                <w:kern w:val="2"/>
                <w:sz w:val="21"/>
                <w:szCs w:val="21"/>
                <w:highlight w:val="none"/>
                <w:lang w:val="en-US" w:eastAsia="zh-CN" w:bidi="ar-SA"/>
              </w:rPr>
            </w:pPr>
          </w:p>
        </w:tc>
        <w:tc>
          <w:tcPr>
            <w:tcW w:w="659" w:type="dxa"/>
            <w:vAlign w:val="center"/>
          </w:tcPr>
          <w:p>
            <w:pPr>
              <w:keepNext w:val="0"/>
              <w:keepLines w:val="0"/>
              <w:pageBreakBefore w:val="0"/>
              <w:kinsoku/>
              <w:wordWrap/>
              <w:topLinePunct w:val="0"/>
              <w:autoSpaceDE w:val="0"/>
              <w:autoSpaceDN w:val="0"/>
              <w:bidi w:val="0"/>
              <w:adjustRightInd w:val="0"/>
              <w:spacing w:beforeAutospacing="0" w:afterAutospacing="0" w:line="240" w:lineRule="auto"/>
              <w:ind w:left="0" w:leftChars="0"/>
              <w:jc w:val="center"/>
              <w:textAlignment w:val="auto"/>
              <w:rPr>
                <w:rFonts w:hint="eastAsia" w:ascii="宋体" w:hAnsi="宋体" w:cs="新宋体"/>
                <w:b w:val="0"/>
                <w:bCs w:val="0"/>
                <w:color w:val="auto"/>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83" w:type="dxa"/>
            <w:vMerge w:val="continue"/>
            <w:vAlign w:val="center"/>
          </w:tcPr>
          <w:p>
            <w:pPr>
              <w:pStyle w:val="8"/>
              <w:ind w:left="5250" w:leftChars="0" w:firstLine="0" w:firstLineChars="0"/>
              <w:jc w:val="center"/>
              <w:rPr>
                <w:rFonts w:asciiTheme="minorEastAsia" w:hAnsiTheme="minorEastAsia" w:cstheme="minorEastAsia"/>
                <w:color w:val="auto"/>
                <w:szCs w:val="21"/>
                <w:highlight w:val="none"/>
              </w:rPr>
            </w:pPr>
          </w:p>
        </w:tc>
        <w:tc>
          <w:tcPr>
            <w:tcW w:w="1113" w:type="dxa"/>
            <w:vAlign w:val="center"/>
          </w:tcPr>
          <w:p>
            <w:pPr>
              <w:keepNext w:val="0"/>
              <w:keepLines w:val="0"/>
              <w:pageBreakBefore w:val="0"/>
              <w:kinsoku/>
              <w:wordWrap/>
              <w:topLinePunct w:val="0"/>
              <w:autoSpaceDE w:val="0"/>
              <w:autoSpaceDN w:val="0"/>
              <w:bidi w:val="0"/>
              <w:adjustRightInd w:val="0"/>
              <w:spacing w:beforeAutospacing="0" w:afterAutospacing="0" w:line="240" w:lineRule="auto"/>
              <w:ind w:left="0" w:leftChars="0"/>
              <w:jc w:val="center"/>
              <w:textAlignment w:val="auto"/>
              <w:rPr>
                <w:rFonts w:ascii="宋体" w:hAnsi="宋体" w:eastAsia="宋体" w:cs="新宋体"/>
                <w:color w:val="auto"/>
                <w:szCs w:val="21"/>
                <w:highlight w:val="none"/>
              </w:rPr>
            </w:pPr>
            <w:r>
              <w:rPr>
                <w:rFonts w:hint="eastAsia" w:ascii="宋体" w:hAnsi="宋体" w:cs="新宋体"/>
                <w:b w:val="0"/>
                <w:bCs w:val="0"/>
                <w:color w:val="auto"/>
                <w:sz w:val="21"/>
                <w:szCs w:val="21"/>
                <w:highlight w:val="none"/>
                <w:lang w:val="en-US" w:eastAsia="zh-CN"/>
              </w:rPr>
              <w:t>生产设备</w:t>
            </w:r>
          </w:p>
        </w:tc>
        <w:tc>
          <w:tcPr>
            <w:tcW w:w="7033" w:type="dxa"/>
            <w:vAlign w:val="center"/>
          </w:tcPr>
          <w:p>
            <w:pPr>
              <w:keepNext w:val="0"/>
              <w:keepLines w:val="0"/>
              <w:pageBreakBefore w:val="0"/>
              <w:widowControl/>
              <w:kinsoku/>
              <w:wordWrap/>
              <w:overflowPunct/>
              <w:topLinePunct w:val="0"/>
              <w:bidi w:val="0"/>
              <w:snapToGrid/>
              <w:spacing w:beforeAutospacing="0" w:afterAutospacing="0" w:line="240" w:lineRule="auto"/>
              <w:ind w:left="0" w:leftChars="0"/>
              <w:textAlignment w:val="auto"/>
              <w:rPr>
                <w:rFonts w:hint="eastAsia" w:ascii="宋体" w:hAnsi="宋体" w:eastAsia="宋体" w:cs="新宋体"/>
                <w:b w:val="0"/>
                <w:color w:val="auto"/>
                <w:sz w:val="21"/>
                <w:szCs w:val="21"/>
                <w:highlight w:val="none"/>
                <w:lang w:val="en-US" w:eastAsia="zh-CN"/>
              </w:rPr>
            </w:pPr>
            <w:r>
              <w:rPr>
                <w:rFonts w:hint="eastAsia" w:ascii="宋体" w:hAnsi="宋体" w:eastAsia="宋体" w:cs="新宋体"/>
                <w:b w:val="0"/>
                <w:color w:val="auto"/>
                <w:sz w:val="21"/>
                <w:szCs w:val="21"/>
                <w:highlight w:val="none"/>
                <w:lang w:val="en-US" w:eastAsia="zh-CN"/>
              </w:rPr>
              <w:t>实验室设备产品生产厂家具有：液压闸式剪板机、8磨头玻璃直线磨边机、双面涂胶机</w:t>
            </w:r>
            <w:r>
              <w:rPr>
                <w:rFonts w:hint="eastAsia" w:ascii="宋体" w:hAnsi="宋体" w:cs="新宋体"/>
                <w:b w:val="0"/>
                <w:color w:val="auto"/>
                <w:sz w:val="21"/>
                <w:szCs w:val="21"/>
                <w:highlight w:val="none"/>
                <w:lang w:val="en-US" w:eastAsia="zh-CN"/>
              </w:rPr>
              <w:t>、</w:t>
            </w:r>
            <w:r>
              <w:rPr>
                <w:rFonts w:hint="eastAsia" w:ascii="宋体" w:hAnsi="宋体" w:eastAsia="宋体" w:cs="新宋体"/>
                <w:b w:val="0"/>
                <w:color w:val="auto"/>
                <w:sz w:val="21"/>
                <w:szCs w:val="21"/>
                <w:highlight w:val="none"/>
                <w:lang w:val="en-US" w:eastAsia="zh-CN"/>
              </w:rPr>
              <w:t>压力机、流水线喷漆设备（含大旋风换色粉房、喷枪系统、自动喷枪、气体压缩机、储气罐、冷干机）</w:t>
            </w:r>
            <w:r>
              <w:rPr>
                <w:rFonts w:hint="eastAsia" w:ascii="宋体" w:hAnsi="宋体" w:cs="新宋体"/>
                <w:b w:val="0"/>
                <w:color w:val="auto"/>
                <w:sz w:val="21"/>
                <w:szCs w:val="21"/>
                <w:highlight w:val="none"/>
                <w:lang w:val="en-US" w:eastAsia="zh-CN"/>
              </w:rPr>
              <w:t>、</w:t>
            </w:r>
            <w:r>
              <w:rPr>
                <w:rFonts w:hint="eastAsia" w:ascii="宋体" w:hAnsi="宋体" w:eastAsia="宋体" w:cs="新宋体"/>
                <w:b w:val="0"/>
                <w:color w:val="auto"/>
                <w:sz w:val="21"/>
                <w:szCs w:val="21"/>
                <w:highlight w:val="none"/>
                <w:lang w:val="en-US" w:eastAsia="zh-CN"/>
              </w:rPr>
              <w:t>光纤激光切割机</w:t>
            </w:r>
            <w:r>
              <w:rPr>
                <w:rFonts w:hint="eastAsia" w:ascii="宋体" w:hAnsi="宋体" w:cs="新宋体"/>
                <w:b w:val="0"/>
                <w:color w:val="auto"/>
                <w:sz w:val="21"/>
                <w:szCs w:val="21"/>
                <w:highlight w:val="none"/>
                <w:lang w:val="en-US" w:eastAsia="zh-CN"/>
              </w:rPr>
              <w:t>、</w:t>
            </w:r>
            <w:r>
              <w:rPr>
                <w:rFonts w:hint="eastAsia" w:ascii="宋体" w:hAnsi="宋体" w:eastAsia="宋体" w:cs="新宋体"/>
                <w:b w:val="0"/>
                <w:color w:val="auto"/>
                <w:sz w:val="21"/>
                <w:szCs w:val="21"/>
                <w:highlight w:val="none"/>
                <w:lang w:val="en-US" w:eastAsia="zh-CN"/>
              </w:rPr>
              <w:t>机器人焊接工作站、冷压机、电脑裁板锯、注塑机、铣床、压力机，全部有得7分，缺一项扣1分，扣完为止。</w:t>
            </w:r>
          </w:p>
          <w:p>
            <w:pPr>
              <w:keepNext w:val="0"/>
              <w:keepLines w:val="0"/>
              <w:pageBreakBefore w:val="0"/>
              <w:widowControl/>
              <w:kinsoku/>
              <w:wordWrap/>
              <w:overflowPunct/>
              <w:topLinePunct w:val="0"/>
              <w:bidi w:val="0"/>
              <w:snapToGrid/>
              <w:spacing w:beforeAutospacing="0" w:afterAutospacing="0" w:line="240" w:lineRule="auto"/>
              <w:ind w:left="0" w:leftChars="0"/>
              <w:textAlignment w:val="auto"/>
              <w:rPr>
                <w:rFonts w:ascii="宋体" w:hAnsi="宋体" w:eastAsia="宋体" w:cs="新宋体"/>
                <w:color w:val="auto"/>
                <w:szCs w:val="21"/>
                <w:highlight w:val="none"/>
              </w:rPr>
            </w:pPr>
            <w:r>
              <w:rPr>
                <w:rFonts w:hint="eastAsia" w:ascii="宋体" w:hAnsi="宋体" w:cs="新宋体"/>
                <w:b/>
                <w:bCs/>
                <w:color w:val="auto"/>
                <w:sz w:val="21"/>
                <w:szCs w:val="21"/>
                <w:highlight w:val="none"/>
                <w:lang w:val="en-US" w:eastAsia="zh-CN"/>
              </w:rPr>
              <w:t>（须</w:t>
            </w:r>
            <w:r>
              <w:rPr>
                <w:rFonts w:hint="eastAsia" w:ascii="宋体" w:hAnsi="宋体" w:eastAsia="宋体" w:cs="新宋体"/>
                <w:b/>
                <w:bCs/>
                <w:color w:val="auto"/>
                <w:sz w:val="21"/>
                <w:szCs w:val="21"/>
                <w:highlight w:val="none"/>
                <w:lang w:val="en-US" w:eastAsia="zh-CN"/>
              </w:rPr>
              <w:t>提供以上生产设备购置专用发票扫描件和生产车间现场实景照片并加盖投标人公章编入投标文件中，且发票抬头单位名称必须与产品生产单位名称相一致，未提供或提供不全的不得分</w:t>
            </w:r>
            <w:r>
              <w:rPr>
                <w:rFonts w:hint="eastAsia" w:ascii="宋体" w:hAnsi="宋体" w:cs="新宋体"/>
                <w:b/>
                <w:bCs/>
                <w:color w:val="auto"/>
                <w:sz w:val="21"/>
                <w:szCs w:val="21"/>
                <w:highlight w:val="none"/>
                <w:lang w:val="en-US" w:eastAsia="zh-CN"/>
              </w:rPr>
              <w:t>）</w:t>
            </w:r>
          </w:p>
        </w:tc>
        <w:tc>
          <w:tcPr>
            <w:tcW w:w="659" w:type="dxa"/>
            <w:vAlign w:val="center"/>
          </w:tcPr>
          <w:p>
            <w:pPr>
              <w:keepNext w:val="0"/>
              <w:keepLines w:val="0"/>
              <w:pageBreakBefore w:val="0"/>
              <w:kinsoku/>
              <w:wordWrap/>
              <w:topLinePunct w:val="0"/>
              <w:autoSpaceDE w:val="0"/>
              <w:autoSpaceDN w:val="0"/>
              <w:bidi w:val="0"/>
              <w:adjustRightInd w:val="0"/>
              <w:spacing w:beforeAutospacing="0" w:afterAutospacing="0" w:line="240" w:lineRule="auto"/>
              <w:ind w:left="0" w:leftChars="0"/>
              <w:jc w:val="center"/>
              <w:textAlignment w:val="auto"/>
              <w:rPr>
                <w:rFonts w:ascii="宋体" w:hAnsi="宋体" w:eastAsia="宋体" w:cs="新宋体"/>
                <w:color w:val="auto"/>
                <w:szCs w:val="21"/>
                <w:highlight w:val="none"/>
              </w:rPr>
            </w:pPr>
            <w:r>
              <w:rPr>
                <w:rFonts w:hint="eastAsia" w:ascii="宋体" w:hAnsi="宋体" w:eastAsia="宋体" w:cs="新宋体"/>
                <w:b w:val="0"/>
                <w:bCs w:val="0"/>
                <w:color w:val="auto"/>
                <w:kern w:val="2"/>
                <w:sz w:val="21"/>
                <w:szCs w:val="21"/>
                <w:highlight w:val="none"/>
                <w:lang w:val="en-US" w:eastAsia="zh-CN" w:bidi="ar-SA"/>
              </w:rPr>
              <w:t>7</w:t>
            </w:r>
          </w:p>
        </w:tc>
        <w:tc>
          <w:tcPr>
            <w:tcW w:w="659" w:type="dxa"/>
            <w:vAlign w:val="center"/>
          </w:tcPr>
          <w:p>
            <w:pPr>
              <w:keepNext w:val="0"/>
              <w:keepLines w:val="0"/>
              <w:pageBreakBefore w:val="0"/>
              <w:kinsoku/>
              <w:wordWrap/>
              <w:topLinePunct w:val="0"/>
              <w:autoSpaceDE w:val="0"/>
              <w:autoSpaceDN w:val="0"/>
              <w:bidi w:val="0"/>
              <w:adjustRightInd w:val="0"/>
              <w:spacing w:beforeAutospacing="0" w:afterAutospacing="0" w:line="240" w:lineRule="auto"/>
              <w:ind w:left="0" w:leftChars="0"/>
              <w:jc w:val="center"/>
              <w:textAlignment w:val="auto"/>
              <w:rPr>
                <w:rFonts w:hint="eastAsia" w:ascii="宋体" w:hAnsi="宋体" w:eastAsia="宋体" w:cs="新宋体"/>
                <w:b w:val="0"/>
                <w:bCs w:val="0"/>
                <w:color w:val="auto"/>
                <w:kern w:val="2"/>
                <w:sz w:val="21"/>
                <w:szCs w:val="21"/>
                <w:highlight w:val="none"/>
                <w:lang w:val="en-US" w:eastAsia="zh-CN" w:bidi="ar-SA"/>
              </w:rPr>
            </w:pPr>
          </w:p>
        </w:tc>
        <w:tc>
          <w:tcPr>
            <w:tcW w:w="659" w:type="dxa"/>
            <w:vAlign w:val="center"/>
          </w:tcPr>
          <w:p>
            <w:pPr>
              <w:keepNext w:val="0"/>
              <w:keepLines w:val="0"/>
              <w:pageBreakBefore w:val="0"/>
              <w:kinsoku/>
              <w:wordWrap/>
              <w:topLinePunct w:val="0"/>
              <w:autoSpaceDE w:val="0"/>
              <w:autoSpaceDN w:val="0"/>
              <w:bidi w:val="0"/>
              <w:adjustRightInd w:val="0"/>
              <w:spacing w:beforeAutospacing="0" w:afterAutospacing="0" w:line="240" w:lineRule="auto"/>
              <w:ind w:left="0" w:leftChars="0"/>
              <w:jc w:val="center"/>
              <w:textAlignment w:val="auto"/>
              <w:rPr>
                <w:rFonts w:hint="eastAsia" w:ascii="宋体" w:hAnsi="宋体" w:eastAsia="宋体" w:cs="新宋体"/>
                <w:b w:val="0"/>
                <w:bCs w:val="0"/>
                <w:color w:val="auto"/>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83" w:type="dxa"/>
            <w:vMerge w:val="continue"/>
            <w:vAlign w:val="center"/>
          </w:tcPr>
          <w:p>
            <w:pPr>
              <w:pStyle w:val="8"/>
              <w:ind w:left="5250" w:leftChars="0" w:firstLine="0" w:firstLineChars="0"/>
              <w:jc w:val="center"/>
              <w:rPr>
                <w:rFonts w:asciiTheme="minorEastAsia" w:hAnsiTheme="minorEastAsia" w:cstheme="minorEastAsia"/>
                <w:color w:val="auto"/>
                <w:szCs w:val="21"/>
                <w:highlight w:val="none"/>
              </w:rPr>
            </w:pPr>
          </w:p>
        </w:tc>
        <w:tc>
          <w:tcPr>
            <w:tcW w:w="1113" w:type="dxa"/>
            <w:vAlign w:val="center"/>
          </w:tcPr>
          <w:p>
            <w:pPr>
              <w:autoSpaceDE w:val="0"/>
              <w:autoSpaceDN w:val="0"/>
              <w:adjustRightInd w:val="0"/>
              <w:jc w:val="center"/>
              <w:rPr>
                <w:rFonts w:ascii="宋体" w:hAnsi="宋体" w:eastAsia="宋体" w:cs="新宋体"/>
                <w:color w:val="auto"/>
                <w:szCs w:val="21"/>
                <w:highlight w:val="none"/>
              </w:rPr>
            </w:pPr>
            <w:r>
              <w:rPr>
                <w:rFonts w:hint="eastAsia" w:ascii="宋体" w:hAnsi="宋体" w:cs="新宋体"/>
                <w:color w:val="auto"/>
                <w:szCs w:val="21"/>
                <w:highlight w:val="none"/>
                <w:lang w:val="en-US" w:eastAsia="zh-CN"/>
              </w:rPr>
              <w:t>供货安装</w:t>
            </w:r>
            <w:r>
              <w:rPr>
                <w:rFonts w:hint="eastAsia" w:ascii="宋体" w:hAnsi="宋体" w:cs="新宋体"/>
                <w:color w:val="auto"/>
                <w:szCs w:val="21"/>
                <w:highlight w:val="none"/>
              </w:rPr>
              <w:t>方案</w:t>
            </w:r>
          </w:p>
        </w:tc>
        <w:tc>
          <w:tcPr>
            <w:tcW w:w="7033" w:type="dxa"/>
            <w:vAlign w:val="center"/>
          </w:tcPr>
          <w:p>
            <w:pPr>
              <w:tabs>
                <w:tab w:val="left" w:pos="2061"/>
              </w:tabs>
              <w:rPr>
                <w:color w:val="auto"/>
                <w:highlight w:val="none"/>
              </w:rPr>
            </w:pPr>
            <w:r>
              <w:rPr>
                <w:rFonts w:hint="eastAsia"/>
                <w:color w:val="auto"/>
                <w:highlight w:val="none"/>
              </w:rPr>
              <w:t>要求根据招标文件的要求编写相应的</w:t>
            </w:r>
            <w:r>
              <w:rPr>
                <w:rFonts w:hint="eastAsia"/>
                <w:color w:val="auto"/>
                <w:highlight w:val="none"/>
                <w:lang w:val="en-US" w:eastAsia="zh-CN"/>
              </w:rPr>
              <w:t>供货安装</w:t>
            </w:r>
            <w:r>
              <w:rPr>
                <w:rFonts w:hint="eastAsia"/>
                <w:color w:val="auto"/>
                <w:highlight w:val="none"/>
              </w:rPr>
              <w:t>方案，根据投标人</w:t>
            </w:r>
            <w:r>
              <w:rPr>
                <w:rFonts w:hint="eastAsia"/>
                <w:color w:val="auto"/>
                <w:highlight w:val="none"/>
                <w:lang w:val="en-US" w:eastAsia="zh-CN"/>
              </w:rPr>
              <w:t>供货安装</w:t>
            </w:r>
            <w:r>
              <w:rPr>
                <w:rFonts w:hint="eastAsia"/>
                <w:color w:val="auto"/>
                <w:highlight w:val="none"/>
              </w:rPr>
              <w:t>方案的完整性、先进性、合理性以及交货计划、人员安排、验收流程等方面进行打分。</w:t>
            </w:r>
          </w:p>
          <w:p>
            <w:pPr>
              <w:tabs>
                <w:tab w:val="left" w:pos="2061"/>
              </w:tabs>
              <w:rPr>
                <w:rFonts w:asciiTheme="minorEastAsia" w:hAnsiTheme="minorEastAsia" w:cstheme="minorEastAsia"/>
                <w:color w:val="auto"/>
                <w:szCs w:val="21"/>
                <w:highlight w:val="none"/>
              </w:rPr>
            </w:pPr>
            <w:r>
              <w:rPr>
                <w:rFonts w:hint="eastAsia"/>
                <w:color w:val="auto"/>
                <w:highlight w:val="none"/>
                <w:lang w:val="en-US" w:eastAsia="zh-CN"/>
              </w:rPr>
              <w:t>供货安装</w:t>
            </w:r>
            <w:r>
              <w:rPr>
                <w:rFonts w:hint="eastAsia" w:asciiTheme="minorEastAsia" w:hAnsiTheme="minorEastAsia" w:cstheme="minorEastAsia"/>
                <w:color w:val="auto"/>
                <w:szCs w:val="21"/>
                <w:highlight w:val="none"/>
              </w:rPr>
              <w:t>方案合理、可行、先进的得</w:t>
            </w:r>
            <w:r>
              <w:rPr>
                <w:rFonts w:hint="eastAsia" w:asciiTheme="minorEastAsia" w:hAnsiTheme="minorEastAsia" w:cstheme="minorEastAsia"/>
                <w:color w:val="auto"/>
                <w:szCs w:val="21"/>
                <w:highlight w:val="none"/>
                <w:lang w:val="en-US" w:eastAsia="zh-CN"/>
              </w:rPr>
              <w:t>5</w:t>
            </w:r>
            <w:r>
              <w:rPr>
                <w:rFonts w:hint="eastAsia" w:asciiTheme="minorEastAsia" w:hAnsiTheme="minorEastAsia" w:cstheme="minorEastAsia"/>
                <w:color w:val="auto"/>
                <w:szCs w:val="21"/>
                <w:highlight w:val="none"/>
              </w:rPr>
              <w:t>分；</w:t>
            </w:r>
          </w:p>
          <w:p>
            <w:pPr>
              <w:tabs>
                <w:tab w:val="left" w:pos="2061"/>
              </w:tabs>
              <w:rPr>
                <w:rFonts w:hint="eastAsia" w:asciiTheme="minorEastAsia" w:hAnsiTheme="minorEastAsia" w:cstheme="minorEastAsia"/>
                <w:color w:val="auto"/>
                <w:szCs w:val="21"/>
                <w:highlight w:val="none"/>
                <w:lang w:eastAsia="zh-CN"/>
              </w:rPr>
            </w:pPr>
            <w:r>
              <w:rPr>
                <w:rFonts w:hint="eastAsia"/>
                <w:color w:val="auto"/>
                <w:highlight w:val="none"/>
                <w:lang w:val="en-US" w:eastAsia="zh-CN"/>
              </w:rPr>
              <w:t>供货安装</w:t>
            </w:r>
            <w:r>
              <w:rPr>
                <w:rFonts w:hint="eastAsia" w:asciiTheme="minorEastAsia" w:hAnsiTheme="minorEastAsia" w:cstheme="minorEastAsia"/>
                <w:color w:val="auto"/>
                <w:szCs w:val="21"/>
                <w:highlight w:val="none"/>
              </w:rPr>
              <w:t>方案</w:t>
            </w:r>
            <w:r>
              <w:rPr>
                <w:rFonts w:hint="eastAsia" w:asciiTheme="minorEastAsia" w:hAnsiTheme="minorEastAsia" w:cstheme="minorEastAsia"/>
                <w:color w:val="auto"/>
                <w:szCs w:val="21"/>
                <w:highlight w:val="none"/>
                <w:lang w:val="en-US" w:eastAsia="zh-CN"/>
              </w:rPr>
              <w:t>较为</w:t>
            </w:r>
            <w:r>
              <w:rPr>
                <w:rFonts w:hint="eastAsia" w:asciiTheme="minorEastAsia" w:hAnsiTheme="minorEastAsia" w:cstheme="minorEastAsia"/>
                <w:color w:val="auto"/>
                <w:szCs w:val="21"/>
                <w:highlight w:val="none"/>
              </w:rPr>
              <w:t>合理、可行的得</w:t>
            </w:r>
            <w:r>
              <w:rPr>
                <w:rFonts w:hint="eastAsia" w:asciiTheme="minorEastAsia" w:hAnsiTheme="minorEastAsia" w:cstheme="minorEastAsia"/>
                <w:color w:val="auto"/>
                <w:szCs w:val="21"/>
                <w:highlight w:val="none"/>
                <w:lang w:val="en-US" w:eastAsia="zh-CN"/>
              </w:rPr>
              <w:t>3</w:t>
            </w:r>
            <w:r>
              <w:rPr>
                <w:rFonts w:hint="eastAsia" w:asciiTheme="minorEastAsia" w:hAnsiTheme="minorEastAsia" w:cstheme="minorEastAsia"/>
                <w:color w:val="auto"/>
                <w:szCs w:val="21"/>
                <w:highlight w:val="none"/>
              </w:rPr>
              <w:t>分</w:t>
            </w:r>
            <w:r>
              <w:rPr>
                <w:rFonts w:hint="eastAsia" w:asciiTheme="minorEastAsia" w:hAnsiTheme="minorEastAsia" w:cstheme="minorEastAsia"/>
                <w:color w:val="auto"/>
                <w:szCs w:val="21"/>
                <w:highlight w:val="none"/>
                <w:lang w:eastAsia="zh-CN"/>
              </w:rPr>
              <w:t>；</w:t>
            </w:r>
          </w:p>
          <w:p>
            <w:pPr>
              <w:tabs>
                <w:tab w:val="left" w:pos="2061"/>
              </w:tabs>
              <w:rPr>
                <w:rFonts w:ascii="Times New Roman" w:hAnsi="Times New Roman" w:eastAsia="宋体" w:cs="Times New Roman"/>
                <w:color w:val="auto"/>
                <w:highlight w:val="none"/>
              </w:rPr>
            </w:pPr>
            <w:r>
              <w:rPr>
                <w:rFonts w:hint="eastAsia"/>
                <w:color w:val="auto"/>
                <w:highlight w:val="none"/>
                <w:lang w:val="en-US" w:eastAsia="zh-CN"/>
              </w:rPr>
              <w:t>供货安装</w:t>
            </w:r>
            <w:r>
              <w:rPr>
                <w:rFonts w:hint="eastAsia" w:asciiTheme="minorEastAsia" w:hAnsiTheme="minorEastAsia" w:cstheme="minorEastAsia"/>
                <w:color w:val="auto"/>
                <w:szCs w:val="21"/>
                <w:highlight w:val="none"/>
                <w:lang w:val="en-US" w:eastAsia="zh-CN"/>
              </w:rPr>
              <w:t>方案简单，存在不足的得1分，</w:t>
            </w:r>
            <w:r>
              <w:rPr>
                <w:rFonts w:hint="eastAsia" w:asciiTheme="minorEastAsia" w:hAnsiTheme="minorEastAsia" w:cstheme="minorEastAsia"/>
                <w:color w:val="auto"/>
                <w:szCs w:val="21"/>
                <w:highlight w:val="none"/>
              </w:rPr>
              <w:t>未提及此项不得分。</w:t>
            </w:r>
          </w:p>
        </w:tc>
        <w:tc>
          <w:tcPr>
            <w:tcW w:w="659" w:type="dxa"/>
            <w:vAlign w:val="center"/>
          </w:tcPr>
          <w:p>
            <w:pPr>
              <w:autoSpaceDE w:val="0"/>
              <w:autoSpaceDN w:val="0"/>
              <w:adjustRightInd w:val="0"/>
              <w:jc w:val="center"/>
              <w:rPr>
                <w:rFonts w:ascii="宋体" w:hAnsi="宋体" w:eastAsia="宋体" w:cs="新宋体"/>
                <w:color w:val="auto"/>
                <w:szCs w:val="21"/>
                <w:highlight w:val="none"/>
              </w:rPr>
            </w:pPr>
            <w:r>
              <w:rPr>
                <w:rFonts w:hint="eastAsia" w:ascii="宋体" w:hAnsi="宋体" w:eastAsia="宋体" w:cs="新宋体"/>
                <w:color w:val="auto"/>
                <w:szCs w:val="21"/>
                <w:highlight w:val="none"/>
              </w:rPr>
              <w:t>5</w:t>
            </w:r>
          </w:p>
        </w:tc>
        <w:tc>
          <w:tcPr>
            <w:tcW w:w="659" w:type="dxa"/>
            <w:vAlign w:val="center"/>
          </w:tcPr>
          <w:p>
            <w:pPr>
              <w:autoSpaceDE w:val="0"/>
              <w:autoSpaceDN w:val="0"/>
              <w:adjustRightInd w:val="0"/>
              <w:jc w:val="center"/>
              <w:rPr>
                <w:rFonts w:hint="eastAsia" w:ascii="宋体" w:hAnsi="宋体" w:eastAsia="宋体" w:cs="新宋体"/>
                <w:color w:val="auto"/>
                <w:szCs w:val="21"/>
                <w:highlight w:val="none"/>
              </w:rPr>
            </w:pPr>
          </w:p>
        </w:tc>
        <w:tc>
          <w:tcPr>
            <w:tcW w:w="659" w:type="dxa"/>
            <w:vAlign w:val="center"/>
          </w:tcPr>
          <w:p>
            <w:pPr>
              <w:autoSpaceDE w:val="0"/>
              <w:autoSpaceDN w:val="0"/>
              <w:adjustRightInd w:val="0"/>
              <w:jc w:val="center"/>
              <w:rPr>
                <w:rFonts w:hint="eastAsia" w:ascii="宋体" w:hAnsi="宋体" w:eastAsia="宋体" w:cs="新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83" w:type="dxa"/>
            <w:vMerge w:val="continue"/>
            <w:vAlign w:val="center"/>
          </w:tcPr>
          <w:p>
            <w:pPr>
              <w:pStyle w:val="8"/>
              <w:ind w:left="5250" w:leftChars="0" w:firstLine="0" w:firstLineChars="0"/>
              <w:jc w:val="center"/>
              <w:rPr>
                <w:rFonts w:asciiTheme="minorEastAsia" w:hAnsiTheme="minorEastAsia" w:cstheme="minorEastAsia"/>
                <w:color w:val="auto"/>
                <w:szCs w:val="21"/>
                <w:highlight w:val="none"/>
              </w:rPr>
            </w:pPr>
          </w:p>
        </w:tc>
        <w:tc>
          <w:tcPr>
            <w:tcW w:w="1113" w:type="dxa"/>
            <w:vMerge w:val="restart"/>
            <w:vAlign w:val="center"/>
          </w:tcPr>
          <w:p>
            <w:pPr>
              <w:snapToGrid w:val="0"/>
              <w:jc w:val="center"/>
              <w:rPr>
                <w:rFonts w:ascii="宋体" w:hAnsi="宋体" w:eastAsia="宋体" w:cs="新宋体"/>
                <w:color w:val="auto"/>
                <w:szCs w:val="21"/>
                <w:highlight w:val="none"/>
              </w:rPr>
            </w:pPr>
            <w:r>
              <w:rPr>
                <w:rFonts w:hint="eastAsia" w:ascii="宋体" w:hAnsi="宋体" w:eastAsia="宋体" w:cs="新宋体"/>
                <w:color w:val="auto"/>
                <w:szCs w:val="21"/>
                <w:highlight w:val="none"/>
              </w:rPr>
              <w:t>售后服务</w:t>
            </w:r>
          </w:p>
        </w:tc>
        <w:tc>
          <w:tcPr>
            <w:tcW w:w="7033" w:type="dxa"/>
            <w:vAlign w:val="center"/>
          </w:tcPr>
          <w:p>
            <w:pPr>
              <w:tabs>
                <w:tab w:val="left" w:pos="2061"/>
              </w:tabs>
              <w:rPr>
                <w:rFonts w:hint="eastAsia" w:ascii="Times New Roman" w:hAnsi="Times New Roman" w:eastAsia="宋体" w:cs="Times New Roman"/>
                <w:color w:val="auto"/>
                <w:highlight w:val="none"/>
              </w:rPr>
            </w:pPr>
            <w:r>
              <w:rPr>
                <w:rFonts w:hint="eastAsia" w:ascii="Times New Roman" w:hAnsi="Times New Roman" w:eastAsia="宋体" w:cs="Times New Roman"/>
                <w:color w:val="auto"/>
                <w:highlight w:val="none"/>
                <w:lang w:val="en-US" w:eastAsia="zh-CN"/>
              </w:rPr>
              <w:t>根据投标人的售后服务方案，包括是否有</w:t>
            </w:r>
            <w:r>
              <w:rPr>
                <w:rFonts w:hint="eastAsia" w:ascii="Times New Roman" w:hAnsi="Times New Roman" w:eastAsia="宋体" w:cs="Times New Roman"/>
                <w:color w:val="auto"/>
                <w:highlight w:val="none"/>
              </w:rPr>
              <w:t>详细完整的“三包”、免费保修及售后服务措施和方案（包括服务措施、产品质量保证、回访、技术培训等）</w:t>
            </w:r>
            <w:r>
              <w:rPr>
                <w:rFonts w:hint="eastAsia" w:ascii="Times New Roman" w:hAnsi="Times New Roman" w:eastAsia="宋体" w:cs="Times New Roman"/>
                <w:color w:val="auto"/>
                <w:highlight w:val="none"/>
                <w:lang w:val="en-US" w:eastAsia="zh-CN"/>
              </w:rPr>
              <w:t>进行打分</w:t>
            </w:r>
            <w:r>
              <w:rPr>
                <w:rFonts w:hint="eastAsia" w:ascii="Times New Roman" w:hAnsi="Times New Roman" w:eastAsia="宋体" w:cs="Times New Roman"/>
                <w:color w:val="auto"/>
                <w:highlight w:val="none"/>
              </w:rPr>
              <w:t>。</w:t>
            </w:r>
          </w:p>
          <w:p>
            <w:pPr>
              <w:tabs>
                <w:tab w:val="left" w:pos="2061"/>
              </w:tabs>
              <w:rPr>
                <w:rFonts w:asciiTheme="minorEastAsia" w:hAnsiTheme="minorEastAsia" w:cstheme="minorEastAsia"/>
                <w:color w:val="auto"/>
                <w:szCs w:val="21"/>
                <w:highlight w:val="none"/>
                <w:lang w:val="zh-CN"/>
              </w:rPr>
            </w:pPr>
            <w:r>
              <w:rPr>
                <w:rFonts w:hint="eastAsia" w:asciiTheme="minorEastAsia" w:hAnsiTheme="minorEastAsia" w:cstheme="minorEastAsia"/>
                <w:color w:val="auto"/>
                <w:szCs w:val="21"/>
                <w:highlight w:val="none"/>
                <w:lang w:val="zh-CN"/>
              </w:rPr>
              <w:t>售后服务方案和服务承诺落实的保障措施全面科学、合理可行的得</w:t>
            </w:r>
            <w:r>
              <w:rPr>
                <w:rFonts w:hint="eastAsia" w:asciiTheme="minorEastAsia" w:hAnsiTheme="minorEastAsia" w:cstheme="minorEastAsia"/>
                <w:color w:val="auto"/>
                <w:szCs w:val="21"/>
                <w:highlight w:val="none"/>
                <w:lang w:val="en-US" w:eastAsia="zh-CN"/>
              </w:rPr>
              <w:t>4</w:t>
            </w:r>
            <w:r>
              <w:rPr>
                <w:rFonts w:hint="eastAsia" w:asciiTheme="minorEastAsia" w:hAnsiTheme="minorEastAsia" w:cstheme="minorEastAsia"/>
                <w:color w:val="auto"/>
                <w:szCs w:val="21"/>
                <w:highlight w:val="none"/>
                <w:lang w:val="zh-CN"/>
              </w:rPr>
              <w:t>分；</w:t>
            </w:r>
          </w:p>
          <w:p>
            <w:pPr>
              <w:tabs>
                <w:tab w:val="left" w:pos="2061"/>
              </w:tabs>
              <w:rPr>
                <w:rFonts w:hint="eastAsia" w:asciiTheme="minorEastAsia" w:hAnsiTheme="minorEastAsia" w:cstheme="minorEastAsia"/>
                <w:color w:val="auto"/>
                <w:szCs w:val="21"/>
                <w:highlight w:val="none"/>
                <w:lang w:val="zh-CN"/>
              </w:rPr>
            </w:pPr>
            <w:r>
              <w:rPr>
                <w:rFonts w:hint="eastAsia" w:asciiTheme="minorEastAsia" w:hAnsiTheme="minorEastAsia" w:cstheme="minorEastAsia"/>
                <w:color w:val="auto"/>
                <w:szCs w:val="21"/>
                <w:highlight w:val="none"/>
                <w:lang w:val="zh-CN"/>
              </w:rPr>
              <w:t>售后服务方案和服务承诺落实的保障措施</w:t>
            </w:r>
            <w:r>
              <w:rPr>
                <w:rFonts w:hint="eastAsia" w:asciiTheme="minorEastAsia" w:hAnsiTheme="minorEastAsia" w:cstheme="minorEastAsia"/>
                <w:color w:val="auto"/>
                <w:szCs w:val="21"/>
                <w:highlight w:val="none"/>
                <w:lang w:val="en-US" w:eastAsia="zh-CN"/>
              </w:rPr>
              <w:t>比较</w:t>
            </w:r>
            <w:r>
              <w:rPr>
                <w:rFonts w:hint="eastAsia" w:asciiTheme="minorEastAsia" w:hAnsiTheme="minorEastAsia" w:cstheme="minorEastAsia"/>
                <w:color w:val="auto"/>
                <w:szCs w:val="21"/>
                <w:highlight w:val="none"/>
                <w:lang w:val="zh-CN"/>
              </w:rPr>
              <w:t>全面、</w:t>
            </w:r>
            <w:r>
              <w:rPr>
                <w:rFonts w:hint="eastAsia" w:asciiTheme="minorEastAsia" w:hAnsiTheme="minorEastAsia" w:cstheme="minorEastAsia"/>
                <w:color w:val="auto"/>
                <w:szCs w:val="21"/>
                <w:highlight w:val="none"/>
                <w:lang w:val="en-US" w:eastAsia="zh-CN"/>
              </w:rPr>
              <w:t>基本</w:t>
            </w:r>
            <w:r>
              <w:rPr>
                <w:rFonts w:hint="eastAsia" w:asciiTheme="minorEastAsia" w:hAnsiTheme="minorEastAsia" w:cstheme="minorEastAsia"/>
                <w:color w:val="auto"/>
                <w:szCs w:val="21"/>
                <w:highlight w:val="none"/>
                <w:lang w:val="zh-CN"/>
              </w:rPr>
              <w:t>可行的得</w:t>
            </w:r>
            <w:r>
              <w:rPr>
                <w:rFonts w:hint="eastAsia" w:asciiTheme="minorEastAsia" w:hAnsiTheme="minorEastAsia" w:cstheme="minorEastAsia"/>
                <w:color w:val="auto"/>
                <w:szCs w:val="21"/>
                <w:highlight w:val="none"/>
                <w:lang w:val="en-US" w:eastAsia="zh-CN"/>
              </w:rPr>
              <w:t>2</w:t>
            </w:r>
            <w:r>
              <w:rPr>
                <w:rFonts w:hint="eastAsia" w:asciiTheme="minorEastAsia" w:hAnsiTheme="minorEastAsia" w:cstheme="minorEastAsia"/>
                <w:color w:val="auto"/>
                <w:szCs w:val="21"/>
                <w:highlight w:val="none"/>
                <w:lang w:val="zh-CN"/>
              </w:rPr>
              <w:t>分；</w:t>
            </w:r>
          </w:p>
          <w:p>
            <w:pPr>
              <w:tabs>
                <w:tab w:val="left" w:pos="2061"/>
              </w:tabs>
              <w:rPr>
                <w:rFonts w:hint="eastAsia" w:asciiTheme="minorEastAsia" w:hAnsiTheme="minorEastAsia" w:cstheme="minorEastAsia"/>
                <w:color w:val="auto"/>
                <w:szCs w:val="21"/>
                <w:highlight w:val="none"/>
                <w:lang w:val="zh-CN"/>
              </w:rPr>
            </w:pPr>
            <w:r>
              <w:rPr>
                <w:rFonts w:hint="eastAsia" w:asciiTheme="minorEastAsia" w:hAnsiTheme="minorEastAsia" w:cstheme="minorEastAsia"/>
                <w:color w:val="auto"/>
                <w:szCs w:val="21"/>
                <w:highlight w:val="none"/>
                <w:lang w:val="zh-CN"/>
              </w:rPr>
              <w:t>售后服务方案和服务承诺落实的保障措施一般，不甚全面的得</w:t>
            </w:r>
            <w:r>
              <w:rPr>
                <w:rFonts w:hint="eastAsia" w:asciiTheme="minorEastAsia" w:hAnsiTheme="minorEastAsia" w:cstheme="minorEastAsia"/>
                <w:color w:val="auto"/>
                <w:szCs w:val="21"/>
                <w:highlight w:val="none"/>
                <w:lang w:val="en-US" w:eastAsia="zh-CN"/>
              </w:rPr>
              <w:t>1</w:t>
            </w:r>
            <w:r>
              <w:rPr>
                <w:rFonts w:hint="eastAsia" w:asciiTheme="minorEastAsia" w:hAnsiTheme="minorEastAsia" w:cstheme="minorEastAsia"/>
                <w:color w:val="auto"/>
                <w:szCs w:val="21"/>
                <w:highlight w:val="none"/>
                <w:lang w:val="zh-CN"/>
              </w:rPr>
              <w:t>分；</w:t>
            </w:r>
          </w:p>
          <w:p>
            <w:pPr>
              <w:tabs>
                <w:tab w:val="left" w:pos="2061"/>
              </w:tabs>
              <w:rPr>
                <w:rFonts w:ascii="Times New Roman" w:hAnsi="Times New Roman" w:eastAsia="宋体" w:cs="Times New Roman"/>
                <w:color w:val="auto"/>
                <w:highlight w:val="none"/>
              </w:rPr>
            </w:pPr>
            <w:r>
              <w:rPr>
                <w:rFonts w:hint="eastAsia" w:asciiTheme="minorEastAsia" w:hAnsiTheme="minorEastAsia" w:cstheme="minorEastAsia"/>
                <w:color w:val="auto"/>
                <w:szCs w:val="21"/>
                <w:highlight w:val="none"/>
              </w:rPr>
              <w:t>未提及此项不得分。</w:t>
            </w:r>
          </w:p>
        </w:tc>
        <w:tc>
          <w:tcPr>
            <w:tcW w:w="659" w:type="dxa"/>
            <w:vAlign w:val="center"/>
          </w:tcPr>
          <w:p>
            <w:pPr>
              <w:autoSpaceDE w:val="0"/>
              <w:autoSpaceDN w:val="0"/>
              <w:adjustRightInd w:val="0"/>
              <w:jc w:val="center"/>
              <w:rPr>
                <w:rFonts w:ascii="宋体" w:hAnsi="宋体" w:eastAsia="宋体" w:cs="新宋体"/>
                <w:color w:val="auto"/>
                <w:szCs w:val="21"/>
                <w:highlight w:val="none"/>
              </w:rPr>
            </w:pPr>
            <w:r>
              <w:rPr>
                <w:rFonts w:hint="eastAsia" w:ascii="宋体" w:hAnsi="宋体" w:cs="新宋体"/>
                <w:color w:val="auto"/>
                <w:szCs w:val="21"/>
                <w:highlight w:val="none"/>
              </w:rPr>
              <w:t>4</w:t>
            </w:r>
          </w:p>
        </w:tc>
        <w:tc>
          <w:tcPr>
            <w:tcW w:w="659" w:type="dxa"/>
            <w:vAlign w:val="center"/>
          </w:tcPr>
          <w:p>
            <w:pPr>
              <w:autoSpaceDE w:val="0"/>
              <w:autoSpaceDN w:val="0"/>
              <w:adjustRightInd w:val="0"/>
              <w:jc w:val="center"/>
              <w:rPr>
                <w:rFonts w:hint="eastAsia" w:ascii="宋体" w:hAnsi="宋体" w:cs="新宋体"/>
                <w:color w:val="auto"/>
                <w:szCs w:val="21"/>
                <w:highlight w:val="none"/>
              </w:rPr>
            </w:pPr>
          </w:p>
        </w:tc>
        <w:tc>
          <w:tcPr>
            <w:tcW w:w="659" w:type="dxa"/>
            <w:vAlign w:val="center"/>
          </w:tcPr>
          <w:p>
            <w:pPr>
              <w:autoSpaceDE w:val="0"/>
              <w:autoSpaceDN w:val="0"/>
              <w:adjustRightInd w:val="0"/>
              <w:jc w:val="center"/>
              <w:rPr>
                <w:rFonts w:hint="eastAsia" w:ascii="宋体" w:hAnsi="宋体" w:cs="新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983" w:type="dxa"/>
            <w:vMerge w:val="continue"/>
            <w:vAlign w:val="center"/>
          </w:tcPr>
          <w:p>
            <w:pPr>
              <w:pStyle w:val="8"/>
              <w:ind w:left="5250" w:leftChars="0" w:firstLine="0" w:firstLineChars="0"/>
              <w:rPr>
                <w:rFonts w:asciiTheme="minorEastAsia" w:hAnsiTheme="minorEastAsia" w:cstheme="minorEastAsia"/>
                <w:color w:val="auto"/>
                <w:szCs w:val="21"/>
                <w:highlight w:val="none"/>
              </w:rPr>
            </w:pPr>
          </w:p>
        </w:tc>
        <w:tc>
          <w:tcPr>
            <w:tcW w:w="1113" w:type="dxa"/>
            <w:vMerge w:val="continue"/>
            <w:vAlign w:val="center"/>
          </w:tcPr>
          <w:p>
            <w:pPr>
              <w:snapToGrid w:val="0"/>
              <w:jc w:val="center"/>
              <w:rPr>
                <w:rFonts w:ascii="宋体" w:hAnsi="宋体" w:eastAsia="宋体" w:cs="新宋体"/>
                <w:color w:val="auto"/>
                <w:szCs w:val="21"/>
                <w:highlight w:val="none"/>
              </w:rPr>
            </w:pPr>
          </w:p>
        </w:tc>
        <w:tc>
          <w:tcPr>
            <w:tcW w:w="7033" w:type="dxa"/>
            <w:vAlign w:val="center"/>
          </w:tcPr>
          <w:p>
            <w:pPr>
              <w:tabs>
                <w:tab w:val="left" w:pos="2061"/>
              </w:tabs>
              <w:rPr>
                <w:rFonts w:asciiTheme="minorEastAsia" w:hAnsiTheme="minorEastAsia" w:eastAsiaTheme="minorEastAsia" w:cstheme="minorEastAsia"/>
                <w:color w:val="auto"/>
                <w:szCs w:val="21"/>
                <w:highlight w:val="none"/>
                <w:lang w:val="zh-CN"/>
              </w:rPr>
            </w:pPr>
            <w:r>
              <w:rPr>
                <w:rFonts w:hint="eastAsia" w:asciiTheme="minorEastAsia" w:hAnsiTheme="minorEastAsia" w:eastAsiaTheme="minorEastAsia" w:cstheme="minorEastAsia"/>
                <w:color w:val="auto"/>
                <w:szCs w:val="21"/>
                <w:highlight w:val="none"/>
                <w:lang w:val="zh-CN"/>
              </w:rPr>
              <w:t>根据投标人售后服务响应时间进行打分：</w:t>
            </w:r>
          </w:p>
          <w:p>
            <w:pPr>
              <w:tabs>
                <w:tab w:val="left" w:pos="2061"/>
              </w:tabs>
              <w:rPr>
                <w:rFonts w:asciiTheme="minorEastAsia" w:hAnsiTheme="minorEastAsia" w:eastAsiaTheme="minorEastAsia" w:cstheme="minorEastAsia"/>
                <w:color w:val="auto"/>
                <w:szCs w:val="21"/>
                <w:highlight w:val="none"/>
                <w:lang w:val="zh-CN"/>
              </w:rPr>
            </w:pPr>
            <w:r>
              <w:rPr>
                <w:rFonts w:hint="eastAsia" w:asciiTheme="minorEastAsia" w:hAnsiTheme="minorEastAsia" w:eastAsiaTheme="minorEastAsia" w:cstheme="minorEastAsia"/>
                <w:color w:val="auto"/>
                <w:szCs w:val="21"/>
                <w:highlight w:val="none"/>
                <w:lang w:val="zh-CN"/>
              </w:rPr>
              <w:t>响应时间在</w:t>
            </w:r>
            <w:r>
              <w:rPr>
                <w:rFonts w:hint="eastAsia" w:asciiTheme="minorEastAsia" w:hAnsiTheme="minorEastAsia" w:eastAsiaTheme="minorEastAsia" w:cstheme="minorEastAsia"/>
                <w:color w:val="auto"/>
                <w:szCs w:val="21"/>
                <w:highlight w:val="none"/>
              </w:rPr>
              <w:t>30</w:t>
            </w:r>
            <w:r>
              <w:rPr>
                <w:rFonts w:hint="eastAsia" w:asciiTheme="minorEastAsia" w:hAnsiTheme="minorEastAsia" w:eastAsiaTheme="minorEastAsia" w:cstheme="minorEastAsia"/>
                <w:color w:val="auto"/>
                <w:szCs w:val="21"/>
                <w:highlight w:val="none"/>
                <w:lang w:val="zh-CN"/>
              </w:rPr>
              <w:t>分钟以内</w:t>
            </w:r>
            <w:r>
              <w:rPr>
                <w:rFonts w:hint="eastAsia" w:asciiTheme="minorEastAsia" w:hAnsiTheme="minorEastAsia" w:eastAsiaTheme="minorEastAsia" w:cstheme="minorEastAsia"/>
                <w:color w:val="auto"/>
                <w:szCs w:val="21"/>
                <w:highlight w:val="none"/>
              </w:rPr>
              <w:t>的</w:t>
            </w:r>
            <w:r>
              <w:rPr>
                <w:rFonts w:hint="eastAsia" w:asciiTheme="minorEastAsia" w:hAnsiTheme="minorEastAsia" w:eastAsiaTheme="minorEastAsia" w:cstheme="minorEastAsia"/>
                <w:color w:val="auto"/>
                <w:szCs w:val="21"/>
                <w:highlight w:val="none"/>
                <w:lang w:val="zh-CN"/>
              </w:rPr>
              <w:t>得</w:t>
            </w:r>
            <w:r>
              <w:rPr>
                <w:rFonts w:hint="eastAsia" w:asciiTheme="minorEastAsia" w:hAnsiTheme="minorEastAsia" w:eastAsiaTheme="minorEastAsia" w:cstheme="minorEastAsia"/>
                <w:color w:val="auto"/>
                <w:szCs w:val="21"/>
                <w:highlight w:val="none"/>
                <w:lang w:val="en-US" w:eastAsia="zh-CN"/>
              </w:rPr>
              <w:t>3</w:t>
            </w:r>
            <w:r>
              <w:rPr>
                <w:rFonts w:hint="eastAsia" w:asciiTheme="minorEastAsia" w:hAnsiTheme="minorEastAsia" w:eastAsiaTheme="minorEastAsia" w:cstheme="minorEastAsia"/>
                <w:color w:val="auto"/>
                <w:szCs w:val="21"/>
                <w:highlight w:val="none"/>
                <w:lang w:val="zh-CN"/>
              </w:rPr>
              <w:t>分；</w:t>
            </w:r>
          </w:p>
          <w:p>
            <w:pPr>
              <w:tabs>
                <w:tab w:val="left" w:pos="2061"/>
              </w:tabs>
              <w:rPr>
                <w:rFonts w:asciiTheme="minorEastAsia" w:hAnsiTheme="minorEastAsia" w:eastAsiaTheme="minorEastAsia" w:cstheme="minorEastAsia"/>
                <w:color w:val="auto"/>
                <w:szCs w:val="21"/>
                <w:highlight w:val="none"/>
                <w:lang w:val="zh-CN"/>
              </w:rPr>
            </w:pPr>
            <w:r>
              <w:rPr>
                <w:rFonts w:hint="eastAsia" w:asciiTheme="minorEastAsia" w:hAnsiTheme="minorEastAsia" w:eastAsiaTheme="minorEastAsia" w:cstheme="minorEastAsia"/>
                <w:color w:val="auto"/>
                <w:szCs w:val="21"/>
                <w:highlight w:val="none"/>
                <w:lang w:val="zh-CN"/>
              </w:rPr>
              <w:t>响应时间在</w:t>
            </w:r>
            <w:r>
              <w:rPr>
                <w:rFonts w:hint="eastAsia" w:asciiTheme="minorEastAsia" w:hAnsiTheme="minorEastAsia" w:eastAsiaTheme="minorEastAsia" w:cstheme="minorEastAsia"/>
                <w:color w:val="auto"/>
                <w:szCs w:val="21"/>
                <w:highlight w:val="none"/>
              </w:rPr>
              <w:t>3</w:t>
            </w:r>
            <w:r>
              <w:rPr>
                <w:rFonts w:hint="eastAsia" w:asciiTheme="minorEastAsia" w:hAnsiTheme="minorEastAsia" w:eastAsiaTheme="minorEastAsia" w:cstheme="minorEastAsia"/>
                <w:color w:val="auto"/>
                <w:szCs w:val="21"/>
                <w:highlight w:val="none"/>
                <w:lang w:val="en-US" w:eastAsia="zh-CN"/>
              </w:rPr>
              <w:t>0</w:t>
            </w:r>
            <w:r>
              <w:rPr>
                <w:rFonts w:hint="eastAsia" w:asciiTheme="minorEastAsia" w:hAnsiTheme="minorEastAsia" w:eastAsiaTheme="minorEastAsia" w:cstheme="minorEastAsia"/>
                <w:color w:val="auto"/>
                <w:szCs w:val="21"/>
                <w:highlight w:val="none"/>
                <w:lang w:val="zh-CN"/>
              </w:rPr>
              <w:t>-</w:t>
            </w:r>
            <w:r>
              <w:rPr>
                <w:rFonts w:hint="eastAsia" w:asciiTheme="minorEastAsia" w:hAnsiTheme="minorEastAsia" w:eastAsiaTheme="minorEastAsia" w:cstheme="minorEastAsia"/>
                <w:color w:val="auto"/>
                <w:szCs w:val="21"/>
                <w:highlight w:val="none"/>
                <w:lang w:val="en-US" w:eastAsia="zh-CN"/>
              </w:rPr>
              <w:t>49</w:t>
            </w:r>
            <w:r>
              <w:rPr>
                <w:rFonts w:hint="eastAsia" w:asciiTheme="minorEastAsia" w:hAnsiTheme="minorEastAsia" w:eastAsiaTheme="minorEastAsia" w:cstheme="minorEastAsia"/>
                <w:color w:val="auto"/>
                <w:szCs w:val="21"/>
                <w:highlight w:val="none"/>
                <w:lang w:val="zh-CN"/>
              </w:rPr>
              <w:t>分钟</w:t>
            </w:r>
            <w:r>
              <w:rPr>
                <w:rFonts w:hint="eastAsia" w:asciiTheme="minorEastAsia" w:hAnsiTheme="minorEastAsia" w:eastAsiaTheme="minorEastAsia" w:cstheme="minorEastAsia"/>
                <w:color w:val="auto"/>
                <w:szCs w:val="21"/>
                <w:highlight w:val="none"/>
              </w:rPr>
              <w:t>的</w:t>
            </w:r>
            <w:r>
              <w:rPr>
                <w:rFonts w:hint="eastAsia" w:asciiTheme="minorEastAsia" w:hAnsiTheme="minorEastAsia" w:eastAsiaTheme="minorEastAsia" w:cstheme="minorEastAsia"/>
                <w:color w:val="auto"/>
                <w:szCs w:val="21"/>
                <w:highlight w:val="none"/>
                <w:lang w:val="zh-CN"/>
              </w:rPr>
              <w:t>得</w:t>
            </w:r>
            <w:r>
              <w:rPr>
                <w:rFonts w:hint="eastAsia" w:asciiTheme="minorEastAsia" w:hAnsiTheme="minorEastAsia" w:eastAsiaTheme="minorEastAsia" w:cstheme="minorEastAsia"/>
                <w:color w:val="auto"/>
                <w:szCs w:val="21"/>
                <w:highlight w:val="none"/>
                <w:lang w:val="en-US" w:eastAsia="zh-CN"/>
              </w:rPr>
              <w:t>2</w:t>
            </w:r>
            <w:r>
              <w:rPr>
                <w:rFonts w:hint="eastAsia" w:asciiTheme="minorEastAsia" w:hAnsiTheme="minorEastAsia" w:eastAsiaTheme="minorEastAsia" w:cstheme="minorEastAsia"/>
                <w:color w:val="auto"/>
                <w:szCs w:val="21"/>
                <w:highlight w:val="none"/>
                <w:lang w:val="zh-CN"/>
              </w:rPr>
              <w:t>分；</w:t>
            </w:r>
          </w:p>
          <w:p>
            <w:pPr>
              <w:tabs>
                <w:tab w:val="left" w:pos="2061"/>
              </w:tabs>
              <w:rPr>
                <w:rFonts w:asciiTheme="minorEastAsia" w:hAnsiTheme="minorEastAsia" w:eastAsiaTheme="minorEastAsia" w:cstheme="minorEastAsia"/>
                <w:color w:val="auto"/>
                <w:szCs w:val="21"/>
                <w:highlight w:val="none"/>
                <w:lang w:val="zh-CN"/>
              </w:rPr>
            </w:pPr>
            <w:r>
              <w:rPr>
                <w:rFonts w:hint="eastAsia" w:asciiTheme="minorEastAsia" w:hAnsiTheme="minorEastAsia" w:eastAsiaTheme="minorEastAsia" w:cstheme="minorEastAsia"/>
                <w:color w:val="auto"/>
                <w:szCs w:val="21"/>
                <w:highlight w:val="none"/>
                <w:lang w:val="zh-CN"/>
              </w:rPr>
              <w:t>响应时间在</w:t>
            </w:r>
            <w:r>
              <w:rPr>
                <w:rFonts w:hint="eastAsia" w:asciiTheme="minorEastAsia" w:hAnsiTheme="minorEastAsia" w:eastAsiaTheme="minorEastAsia" w:cstheme="minorEastAsia"/>
                <w:color w:val="auto"/>
                <w:szCs w:val="21"/>
                <w:highlight w:val="none"/>
              </w:rPr>
              <w:t>50-</w:t>
            </w:r>
            <w:r>
              <w:rPr>
                <w:rFonts w:hint="eastAsia" w:asciiTheme="minorEastAsia" w:hAnsiTheme="minorEastAsia" w:eastAsiaTheme="minorEastAsia" w:cstheme="minorEastAsia"/>
                <w:color w:val="auto"/>
                <w:szCs w:val="21"/>
                <w:highlight w:val="none"/>
                <w:lang w:val="en-US" w:eastAsia="zh-CN"/>
              </w:rPr>
              <w:t>60</w:t>
            </w:r>
            <w:r>
              <w:rPr>
                <w:rFonts w:hint="eastAsia" w:asciiTheme="minorEastAsia" w:hAnsiTheme="minorEastAsia" w:eastAsiaTheme="minorEastAsia" w:cstheme="minorEastAsia"/>
                <w:color w:val="auto"/>
                <w:szCs w:val="21"/>
                <w:highlight w:val="none"/>
                <w:lang w:val="zh-CN"/>
              </w:rPr>
              <w:t>分钟得</w:t>
            </w:r>
            <w:r>
              <w:rPr>
                <w:rFonts w:hint="eastAsia" w:asciiTheme="minorEastAsia" w:hAnsiTheme="minorEastAsia" w:eastAsiaTheme="minorEastAsia" w:cstheme="minorEastAsia"/>
                <w:color w:val="auto"/>
                <w:szCs w:val="21"/>
                <w:highlight w:val="none"/>
              </w:rPr>
              <w:t>1</w:t>
            </w:r>
            <w:r>
              <w:rPr>
                <w:rFonts w:hint="eastAsia" w:asciiTheme="minorEastAsia" w:hAnsiTheme="minorEastAsia" w:eastAsiaTheme="minorEastAsia" w:cstheme="minorEastAsia"/>
                <w:color w:val="auto"/>
                <w:szCs w:val="21"/>
                <w:highlight w:val="none"/>
                <w:lang w:val="zh-CN"/>
              </w:rPr>
              <w:t>分；</w:t>
            </w:r>
          </w:p>
          <w:p>
            <w:pPr>
              <w:tabs>
                <w:tab w:val="left" w:pos="2061"/>
              </w:tabs>
              <w:rPr>
                <w:rFonts w:asciiTheme="minorEastAsia" w:hAnsi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响应时间超过60分钟或未提及此项的不得分。</w:t>
            </w:r>
            <w:r>
              <w:rPr>
                <w:rFonts w:hint="eastAsia" w:asciiTheme="minorEastAsia" w:hAnsiTheme="minorEastAsia" w:eastAsiaTheme="minorEastAsia" w:cstheme="minorEastAsia"/>
                <w:b/>
                <w:bCs/>
                <w:color w:val="auto"/>
                <w:szCs w:val="21"/>
                <w:highlight w:val="none"/>
              </w:rPr>
              <w:t>（投标人须提供承诺函原件加盖投标人公章编入投标文件中，未提供的不得分）</w:t>
            </w:r>
          </w:p>
        </w:tc>
        <w:tc>
          <w:tcPr>
            <w:tcW w:w="659" w:type="dxa"/>
            <w:vAlign w:val="center"/>
          </w:tcPr>
          <w:p>
            <w:pPr>
              <w:keepNext w:val="0"/>
              <w:keepLines w:val="0"/>
              <w:pageBreakBefore w:val="0"/>
              <w:tabs>
                <w:tab w:val="left" w:pos="780"/>
              </w:tabs>
              <w:kinsoku/>
              <w:wordWrap/>
              <w:topLinePunct w:val="0"/>
              <w:autoSpaceDE w:val="0"/>
              <w:autoSpaceDN w:val="0"/>
              <w:bidi w:val="0"/>
              <w:adjustRightInd w:val="0"/>
              <w:spacing w:beforeAutospacing="0" w:afterAutospacing="0" w:line="240" w:lineRule="auto"/>
              <w:ind w:left="0" w:leftChars="0"/>
              <w:jc w:val="center"/>
              <w:textAlignment w:val="auto"/>
              <w:rPr>
                <w:rFonts w:ascii="宋体" w:hAnsi="宋体" w:cs="新宋体"/>
                <w:color w:val="auto"/>
                <w:szCs w:val="21"/>
                <w:highlight w:val="none"/>
              </w:rPr>
            </w:pPr>
            <w:r>
              <w:rPr>
                <w:rFonts w:hint="eastAsia" w:ascii="宋体" w:hAnsi="宋体" w:cs="新宋体"/>
                <w:b w:val="0"/>
                <w:bCs w:val="0"/>
                <w:color w:val="auto"/>
                <w:sz w:val="21"/>
                <w:szCs w:val="21"/>
                <w:highlight w:val="none"/>
                <w:lang w:val="en-US" w:eastAsia="zh-CN"/>
              </w:rPr>
              <w:t>3</w:t>
            </w:r>
          </w:p>
        </w:tc>
        <w:tc>
          <w:tcPr>
            <w:tcW w:w="659" w:type="dxa"/>
            <w:vAlign w:val="center"/>
          </w:tcPr>
          <w:p>
            <w:pPr>
              <w:keepNext w:val="0"/>
              <w:keepLines w:val="0"/>
              <w:pageBreakBefore w:val="0"/>
              <w:tabs>
                <w:tab w:val="left" w:pos="780"/>
              </w:tabs>
              <w:kinsoku/>
              <w:wordWrap/>
              <w:topLinePunct w:val="0"/>
              <w:autoSpaceDE w:val="0"/>
              <w:autoSpaceDN w:val="0"/>
              <w:bidi w:val="0"/>
              <w:adjustRightInd w:val="0"/>
              <w:spacing w:beforeAutospacing="0" w:afterAutospacing="0" w:line="240" w:lineRule="auto"/>
              <w:ind w:left="0" w:leftChars="0"/>
              <w:jc w:val="center"/>
              <w:textAlignment w:val="auto"/>
              <w:rPr>
                <w:rFonts w:hint="eastAsia" w:ascii="宋体" w:hAnsi="宋体" w:cs="新宋体"/>
                <w:b w:val="0"/>
                <w:bCs w:val="0"/>
                <w:color w:val="auto"/>
                <w:sz w:val="21"/>
                <w:szCs w:val="21"/>
                <w:highlight w:val="none"/>
                <w:lang w:val="en-US" w:eastAsia="zh-CN"/>
              </w:rPr>
            </w:pPr>
          </w:p>
        </w:tc>
        <w:tc>
          <w:tcPr>
            <w:tcW w:w="659" w:type="dxa"/>
            <w:vAlign w:val="center"/>
          </w:tcPr>
          <w:p>
            <w:pPr>
              <w:keepNext w:val="0"/>
              <w:keepLines w:val="0"/>
              <w:pageBreakBefore w:val="0"/>
              <w:tabs>
                <w:tab w:val="left" w:pos="780"/>
              </w:tabs>
              <w:kinsoku/>
              <w:wordWrap/>
              <w:topLinePunct w:val="0"/>
              <w:autoSpaceDE w:val="0"/>
              <w:autoSpaceDN w:val="0"/>
              <w:bidi w:val="0"/>
              <w:adjustRightInd w:val="0"/>
              <w:spacing w:beforeAutospacing="0" w:afterAutospacing="0" w:line="240" w:lineRule="auto"/>
              <w:ind w:left="0" w:leftChars="0"/>
              <w:jc w:val="center"/>
              <w:textAlignment w:val="auto"/>
              <w:rPr>
                <w:rFonts w:hint="eastAsia" w:ascii="宋体" w:hAnsi="宋体" w:cs="新宋体"/>
                <w:b w:val="0"/>
                <w:bCs w:val="0"/>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983" w:type="dxa"/>
            <w:vMerge w:val="continue"/>
            <w:vAlign w:val="center"/>
          </w:tcPr>
          <w:p>
            <w:pPr>
              <w:pStyle w:val="8"/>
              <w:ind w:left="5250" w:leftChars="0" w:firstLine="0" w:firstLineChars="0"/>
              <w:rPr>
                <w:rFonts w:asciiTheme="minorEastAsia" w:hAnsiTheme="minorEastAsia" w:cstheme="minorEastAsia"/>
                <w:color w:val="auto"/>
                <w:szCs w:val="21"/>
                <w:highlight w:val="none"/>
              </w:rPr>
            </w:pPr>
          </w:p>
        </w:tc>
        <w:tc>
          <w:tcPr>
            <w:tcW w:w="1113" w:type="dxa"/>
            <w:vMerge w:val="continue"/>
            <w:vAlign w:val="center"/>
          </w:tcPr>
          <w:p>
            <w:pPr>
              <w:snapToGrid w:val="0"/>
              <w:jc w:val="center"/>
              <w:rPr>
                <w:rFonts w:ascii="宋体" w:hAnsi="宋体" w:eastAsia="宋体" w:cs="新宋体"/>
                <w:color w:val="auto"/>
                <w:szCs w:val="21"/>
                <w:highlight w:val="none"/>
              </w:rPr>
            </w:pPr>
          </w:p>
        </w:tc>
        <w:tc>
          <w:tcPr>
            <w:tcW w:w="7033" w:type="dxa"/>
            <w:vAlign w:val="center"/>
          </w:tcPr>
          <w:p>
            <w:pPr>
              <w:tabs>
                <w:tab w:val="left" w:pos="2061"/>
              </w:tabs>
              <w:rPr>
                <w:rFonts w:ascii="Times New Roman" w:hAnsi="Times New Roman" w:cs="Times New Roman"/>
                <w:color w:val="auto"/>
                <w:highlight w:val="none"/>
              </w:rPr>
            </w:pPr>
            <w:r>
              <w:rPr>
                <w:rFonts w:hint="eastAsia" w:asciiTheme="minorEastAsia" w:hAnsiTheme="minorEastAsia" w:eastAsiaTheme="minorEastAsia" w:cstheme="minorEastAsia"/>
                <w:color w:val="auto"/>
                <w:szCs w:val="21"/>
                <w:highlight w:val="none"/>
                <w:lang w:val="en-US" w:eastAsia="zh-CN"/>
              </w:rPr>
              <w:t>投标人有</w:t>
            </w:r>
            <w:r>
              <w:rPr>
                <w:rFonts w:hint="eastAsia" w:asciiTheme="minorEastAsia" w:hAnsiTheme="minorEastAsia" w:eastAsiaTheme="minorEastAsia" w:cstheme="minorEastAsia"/>
                <w:color w:val="auto"/>
                <w:szCs w:val="21"/>
                <w:highlight w:val="none"/>
                <w:lang w:val="zh-CN"/>
              </w:rPr>
              <w:t>明确的定期巡检计划</w:t>
            </w:r>
            <w:r>
              <w:rPr>
                <w:rFonts w:hint="eastAsia" w:asciiTheme="minorEastAsia" w:hAnsiTheme="minorEastAsia" w:eastAsiaTheme="minorEastAsia" w:cstheme="minorEastAsia"/>
                <w:color w:val="auto"/>
                <w:szCs w:val="21"/>
                <w:highlight w:val="none"/>
                <w:lang w:val="en-US" w:eastAsia="zh-CN"/>
              </w:rPr>
              <w:t>的</w:t>
            </w:r>
            <w:r>
              <w:rPr>
                <w:rFonts w:hint="eastAsia" w:asciiTheme="minorEastAsia" w:hAnsiTheme="minorEastAsia" w:eastAsiaTheme="minorEastAsia" w:cstheme="minorEastAsia"/>
                <w:color w:val="auto"/>
                <w:szCs w:val="21"/>
                <w:highlight w:val="none"/>
                <w:lang w:val="zh-CN"/>
              </w:rPr>
              <w:t>得</w:t>
            </w:r>
            <w:r>
              <w:rPr>
                <w:rFonts w:hint="eastAsia" w:asciiTheme="minorEastAsia" w:hAnsiTheme="minorEastAsia" w:cstheme="minorEastAsia"/>
                <w:color w:val="auto"/>
                <w:szCs w:val="21"/>
                <w:highlight w:val="none"/>
                <w:lang w:val="en-US" w:eastAsia="zh-CN"/>
              </w:rPr>
              <w:t>1</w:t>
            </w:r>
            <w:r>
              <w:rPr>
                <w:rFonts w:hint="eastAsia" w:asciiTheme="minorEastAsia" w:hAnsiTheme="minorEastAsia" w:eastAsiaTheme="minorEastAsia" w:cstheme="minorEastAsia"/>
                <w:color w:val="auto"/>
                <w:szCs w:val="21"/>
                <w:highlight w:val="none"/>
                <w:lang w:val="zh-CN"/>
              </w:rPr>
              <w:t>分，</w:t>
            </w:r>
            <w:r>
              <w:rPr>
                <w:rFonts w:hint="eastAsia" w:asciiTheme="minorEastAsia" w:hAnsiTheme="minorEastAsia" w:eastAsiaTheme="minorEastAsia" w:cstheme="minorEastAsia"/>
                <w:color w:val="auto"/>
                <w:szCs w:val="21"/>
                <w:highlight w:val="none"/>
                <w:lang w:val="en-US" w:eastAsia="zh-CN"/>
              </w:rPr>
              <w:t>未提及此项不得分。</w:t>
            </w:r>
          </w:p>
        </w:tc>
        <w:tc>
          <w:tcPr>
            <w:tcW w:w="659" w:type="dxa"/>
            <w:vAlign w:val="center"/>
          </w:tcPr>
          <w:p>
            <w:pPr>
              <w:keepNext w:val="0"/>
              <w:keepLines w:val="0"/>
              <w:pageBreakBefore w:val="0"/>
              <w:tabs>
                <w:tab w:val="left" w:pos="780"/>
              </w:tabs>
              <w:kinsoku/>
              <w:wordWrap/>
              <w:topLinePunct w:val="0"/>
              <w:autoSpaceDE w:val="0"/>
              <w:autoSpaceDN w:val="0"/>
              <w:bidi w:val="0"/>
              <w:adjustRightInd w:val="0"/>
              <w:spacing w:beforeAutospacing="0" w:afterAutospacing="0" w:line="240" w:lineRule="auto"/>
              <w:ind w:left="0" w:leftChars="0"/>
              <w:jc w:val="center"/>
              <w:textAlignment w:val="auto"/>
              <w:rPr>
                <w:rFonts w:ascii="宋体" w:hAnsi="宋体" w:eastAsia="宋体" w:cs="新宋体"/>
                <w:color w:val="auto"/>
                <w:szCs w:val="21"/>
                <w:highlight w:val="none"/>
              </w:rPr>
            </w:pPr>
            <w:r>
              <w:rPr>
                <w:rFonts w:hint="eastAsia" w:ascii="宋体" w:hAnsi="宋体" w:eastAsia="宋体" w:cs="新宋体"/>
                <w:b w:val="0"/>
                <w:bCs w:val="0"/>
                <w:color w:val="auto"/>
                <w:kern w:val="2"/>
                <w:sz w:val="21"/>
                <w:szCs w:val="21"/>
                <w:highlight w:val="none"/>
                <w:lang w:val="en-US" w:eastAsia="zh-CN" w:bidi="ar-SA"/>
              </w:rPr>
              <w:t>1</w:t>
            </w:r>
          </w:p>
        </w:tc>
        <w:tc>
          <w:tcPr>
            <w:tcW w:w="659" w:type="dxa"/>
            <w:vAlign w:val="center"/>
          </w:tcPr>
          <w:p>
            <w:pPr>
              <w:keepNext w:val="0"/>
              <w:keepLines w:val="0"/>
              <w:pageBreakBefore w:val="0"/>
              <w:tabs>
                <w:tab w:val="left" w:pos="780"/>
              </w:tabs>
              <w:kinsoku/>
              <w:wordWrap/>
              <w:topLinePunct w:val="0"/>
              <w:autoSpaceDE w:val="0"/>
              <w:autoSpaceDN w:val="0"/>
              <w:bidi w:val="0"/>
              <w:adjustRightInd w:val="0"/>
              <w:spacing w:beforeAutospacing="0" w:afterAutospacing="0" w:line="240" w:lineRule="auto"/>
              <w:ind w:left="0" w:leftChars="0"/>
              <w:jc w:val="center"/>
              <w:textAlignment w:val="auto"/>
              <w:rPr>
                <w:rFonts w:hint="eastAsia" w:ascii="宋体" w:hAnsi="宋体" w:eastAsia="宋体" w:cs="新宋体"/>
                <w:b w:val="0"/>
                <w:bCs w:val="0"/>
                <w:color w:val="auto"/>
                <w:kern w:val="2"/>
                <w:sz w:val="21"/>
                <w:szCs w:val="21"/>
                <w:highlight w:val="none"/>
                <w:lang w:val="en-US" w:eastAsia="zh-CN" w:bidi="ar-SA"/>
              </w:rPr>
            </w:pPr>
          </w:p>
        </w:tc>
        <w:tc>
          <w:tcPr>
            <w:tcW w:w="659" w:type="dxa"/>
            <w:vAlign w:val="center"/>
          </w:tcPr>
          <w:p>
            <w:pPr>
              <w:keepNext w:val="0"/>
              <w:keepLines w:val="0"/>
              <w:pageBreakBefore w:val="0"/>
              <w:tabs>
                <w:tab w:val="left" w:pos="780"/>
              </w:tabs>
              <w:kinsoku/>
              <w:wordWrap/>
              <w:topLinePunct w:val="0"/>
              <w:autoSpaceDE w:val="0"/>
              <w:autoSpaceDN w:val="0"/>
              <w:bidi w:val="0"/>
              <w:adjustRightInd w:val="0"/>
              <w:spacing w:beforeAutospacing="0" w:afterAutospacing="0" w:line="240" w:lineRule="auto"/>
              <w:ind w:left="0" w:leftChars="0"/>
              <w:jc w:val="center"/>
              <w:textAlignment w:val="auto"/>
              <w:rPr>
                <w:rFonts w:hint="eastAsia" w:ascii="宋体" w:hAnsi="宋体" w:eastAsia="宋体" w:cs="新宋体"/>
                <w:b w:val="0"/>
                <w:bCs w:val="0"/>
                <w:color w:val="auto"/>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jc w:val="center"/>
        </w:trPr>
        <w:tc>
          <w:tcPr>
            <w:tcW w:w="983" w:type="dxa"/>
            <w:vMerge w:val="continue"/>
            <w:vAlign w:val="center"/>
          </w:tcPr>
          <w:p>
            <w:pPr>
              <w:jc w:val="center"/>
              <w:rPr>
                <w:rStyle w:val="57"/>
                <w:rFonts w:asciiTheme="minorEastAsia" w:hAnsiTheme="minorEastAsia" w:cstheme="minorEastAsia"/>
                <w:color w:val="auto"/>
                <w:kern w:val="0"/>
                <w:szCs w:val="21"/>
                <w:highlight w:val="none"/>
              </w:rPr>
            </w:pPr>
          </w:p>
        </w:tc>
        <w:tc>
          <w:tcPr>
            <w:tcW w:w="1113" w:type="dxa"/>
            <w:vAlign w:val="center"/>
          </w:tcPr>
          <w:p>
            <w:pPr>
              <w:jc w:val="center"/>
              <w:rPr>
                <w:rFonts w:asciiTheme="minorEastAsia" w:hAnsiTheme="minorEastAsia" w:cstheme="minorEastAsia"/>
                <w:color w:val="auto"/>
                <w:szCs w:val="21"/>
                <w:highlight w:val="none"/>
              </w:rPr>
            </w:pPr>
            <w:r>
              <w:rPr>
                <w:rFonts w:hint="eastAsia" w:ascii="宋体" w:hAnsi="宋体" w:cs="宋体"/>
                <w:color w:val="auto"/>
                <w:spacing w:val="-4"/>
                <w:szCs w:val="21"/>
                <w:highlight w:val="none"/>
              </w:rPr>
              <w:t>实物样品</w:t>
            </w:r>
          </w:p>
        </w:tc>
        <w:tc>
          <w:tcPr>
            <w:tcW w:w="7033" w:type="dxa"/>
            <w:vAlign w:val="center"/>
          </w:tcPr>
          <w:p>
            <w:pPr>
              <w:rPr>
                <w:rFonts w:ascii="宋体" w:hAnsi="宋体" w:cs="宋体"/>
                <w:color w:val="auto"/>
                <w:spacing w:val="-4"/>
                <w:szCs w:val="21"/>
                <w:highlight w:val="none"/>
              </w:rPr>
            </w:pPr>
            <w:r>
              <w:rPr>
                <w:rFonts w:hint="eastAsia" w:ascii="宋体" w:hAnsi="宋体" w:cs="宋体"/>
                <w:color w:val="auto"/>
                <w:spacing w:val="-4"/>
                <w:szCs w:val="21"/>
                <w:highlight w:val="none"/>
              </w:rPr>
              <w:t>根据</w:t>
            </w:r>
            <w:r>
              <w:rPr>
                <w:rFonts w:hint="eastAsia" w:ascii="宋体" w:hAnsi="宋体" w:cs="宋体"/>
                <w:color w:val="auto"/>
                <w:spacing w:val="-4"/>
                <w:szCs w:val="21"/>
                <w:highlight w:val="none"/>
                <w:lang w:val="en-US" w:eastAsia="zh-CN"/>
              </w:rPr>
              <w:t>投标人提供</w:t>
            </w:r>
            <w:r>
              <w:rPr>
                <w:rFonts w:hint="eastAsia" w:ascii="宋体" w:hAnsi="宋体" w:cs="宋体"/>
                <w:color w:val="auto"/>
                <w:spacing w:val="-4"/>
                <w:szCs w:val="21"/>
                <w:highlight w:val="none"/>
              </w:rPr>
              <w:t>样品</w:t>
            </w:r>
            <w:r>
              <w:rPr>
                <w:rFonts w:hint="eastAsia" w:ascii="宋体" w:hAnsi="宋体" w:cs="宋体"/>
                <w:color w:val="auto"/>
                <w:spacing w:val="-4"/>
                <w:szCs w:val="21"/>
                <w:highlight w:val="none"/>
                <w:lang w:val="en-US" w:eastAsia="zh-CN"/>
              </w:rPr>
              <w:t>的</w:t>
            </w:r>
            <w:r>
              <w:rPr>
                <w:rFonts w:hint="eastAsia" w:ascii="宋体" w:hAnsi="宋体" w:cs="宋体"/>
                <w:color w:val="auto"/>
                <w:spacing w:val="-4"/>
                <w:szCs w:val="21"/>
                <w:highlight w:val="none"/>
              </w:rPr>
              <w:t>工艺、质量、材质、尺寸、规格、外观的整体效果是否响应招标文件要求，根据样品实样进行打分。</w:t>
            </w:r>
          </w:p>
          <w:p>
            <w:pPr>
              <w:numPr>
                <w:ilvl w:val="0"/>
                <w:numId w:val="0"/>
              </w:numPr>
              <w:spacing w:line="240" w:lineRule="auto"/>
              <w:rPr>
                <w:rFonts w:hint="eastAsia" w:ascii="宋体" w:hAnsi="宋体" w:cs="宋体"/>
                <w:color w:val="auto"/>
                <w:spacing w:val="-4"/>
                <w:szCs w:val="21"/>
                <w:highlight w:val="none"/>
                <w:lang w:val="en-US" w:eastAsia="zh-CN"/>
              </w:rPr>
            </w:pPr>
            <w:r>
              <w:rPr>
                <w:rFonts w:hint="eastAsia" w:ascii="宋体" w:hAnsi="宋体" w:eastAsia="宋体" w:cs="宋体"/>
                <w:color w:val="auto"/>
                <w:spacing w:val="-4"/>
                <w:kern w:val="2"/>
                <w:sz w:val="21"/>
                <w:szCs w:val="21"/>
                <w:lang w:val="en-US" w:eastAsia="zh-CN" w:bidi="ar-SA"/>
              </w:rPr>
              <w:t>一、</w:t>
            </w:r>
            <w:r>
              <w:rPr>
                <w:rFonts w:hint="eastAsia" w:ascii="宋体" w:hAnsi="宋体" w:cs="宋体"/>
                <w:b/>
                <w:bCs/>
                <w:color w:val="auto"/>
                <w:spacing w:val="-4"/>
                <w:szCs w:val="21"/>
                <w:highlight w:val="none"/>
                <w:lang w:val="en-US" w:eastAsia="zh-CN"/>
              </w:rPr>
              <w:t>化学实验桌（C型结构）、学生实验凳一套</w:t>
            </w:r>
          </w:p>
          <w:p>
            <w:pPr>
              <w:numPr>
                <w:ilvl w:val="0"/>
                <w:numId w:val="0"/>
              </w:numPr>
              <w:spacing w:line="240" w:lineRule="auto"/>
              <w:rPr>
                <w:rFonts w:hint="eastAsia" w:ascii="宋体" w:hAnsi="宋体" w:cs="宋体"/>
                <w:color w:val="auto"/>
                <w:spacing w:val="-4"/>
                <w:szCs w:val="21"/>
                <w:highlight w:val="none"/>
                <w:lang w:val="en-US" w:eastAsia="zh-CN"/>
              </w:rPr>
            </w:pPr>
            <w:r>
              <w:rPr>
                <w:rFonts w:hint="eastAsia" w:ascii="宋体" w:hAnsi="宋体" w:eastAsia="宋体" w:cs="宋体"/>
                <w:color w:val="auto"/>
                <w:spacing w:val="-4"/>
                <w:kern w:val="2"/>
                <w:sz w:val="21"/>
                <w:szCs w:val="21"/>
                <w:lang w:val="en-US" w:eastAsia="zh-CN" w:bidi="ar-SA"/>
              </w:rPr>
              <w:t>1、</w:t>
            </w:r>
            <w:r>
              <w:rPr>
                <w:rFonts w:hint="eastAsia" w:ascii="宋体" w:hAnsi="宋体" w:cs="宋体"/>
                <w:color w:val="auto"/>
                <w:spacing w:val="-4"/>
                <w:szCs w:val="21"/>
                <w:highlight w:val="none"/>
                <w:lang w:val="en-US" w:eastAsia="zh-CN"/>
              </w:rPr>
              <w:t>实验桌规格尺寸：1200*600*780mm，采用C字型镂空结构。实验桌台面：采用20mm湖蓝色陶瓷板，经机械打磨，表面光滑平整，无缝隙，整体美观大方。</w:t>
            </w:r>
            <w:r>
              <w:rPr>
                <w:rFonts w:hint="eastAsia" w:ascii="宋体" w:hAnsi="宋体" w:cs="宋体"/>
                <w:b w:val="0"/>
                <w:bCs w:val="0"/>
                <w:color w:val="auto"/>
                <w:spacing w:val="-4"/>
                <w:szCs w:val="21"/>
                <w:highlight w:val="none"/>
                <w:lang w:val="en-US" w:eastAsia="zh-CN"/>
              </w:rPr>
              <w:t>样品完全满足项目要求的得3分</w:t>
            </w:r>
            <w:bookmarkStart w:id="1" w:name="_GoBack"/>
            <w:bookmarkEnd w:id="1"/>
            <w:r>
              <w:rPr>
                <w:rFonts w:hint="eastAsia" w:ascii="宋体" w:hAnsi="宋体" w:cs="宋体"/>
                <w:b w:val="0"/>
                <w:bCs w:val="0"/>
                <w:color w:val="auto"/>
                <w:spacing w:val="-4"/>
                <w:szCs w:val="21"/>
                <w:highlight w:val="none"/>
                <w:lang w:val="en-US" w:eastAsia="zh-CN"/>
              </w:rPr>
              <w:t>；样品质量、材质满足项目要求，尺寸、外观有所偏差的得2分；样品质量、材质有所偏差，不能保证实物质量的得1分，未提供样品的此项不得分。</w:t>
            </w:r>
          </w:p>
          <w:p>
            <w:pPr>
              <w:numPr>
                <w:ilvl w:val="0"/>
                <w:numId w:val="0"/>
              </w:numPr>
              <w:spacing w:line="240" w:lineRule="auto"/>
              <w:ind w:left="0" w:leftChars="0" w:firstLine="0" w:firstLineChars="0"/>
              <w:rPr>
                <w:rFonts w:hint="eastAsia" w:ascii="宋体" w:hAnsi="宋体" w:cs="宋体"/>
                <w:color w:val="auto"/>
                <w:spacing w:val="-4"/>
                <w:szCs w:val="21"/>
                <w:highlight w:val="none"/>
                <w:lang w:val="en-US" w:eastAsia="zh-CN"/>
              </w:rPr>
            </w:pPr>
            <w:r>
              <w:rPr>
                <w:rFonts w:hint="eastAsia" w:ascii="宋体" w:hAnsi="宋体" w:eastAsia="宋体" w:cs="宋体"/>
                <w:color w:val="auto"/>
                <w:spacing w:val="-4"/>
                <w:kern w:val="2"/>
                <w:sz w:val="21"/>
                <w:szCs w:val="21"/>
                <w:lang w:val="en-US" w:eastAsia="zh-CN" w:bidi="ar-SA"/>
              </w:rPr>
              <w:t>2、</w:t>
            </w:r>
            <w:r>
              <w:rPr>
                <w:rFonts w:hint="eastAsia" w:ascii="宋体" w:hAnsi="宋体" w:cs="宋体"/>
                <w:color w:val="auto"/>
                <w:spacing w:val="-4"/>
                <w:szCs w:val="21"/>
                <w:highlight w:val="none"/>
                <w:lang w:val="en-US" w:eastAsia="zh-CN"/>
              </w:rPr>
              <w:t>实验桌后挡板：采用86*12mm铝型材整体拉伸成型，与左右支撑架组成半包形围栏，预留与面板匹配的卡槽，顶端高出台面60mm，可有效防止台面仪器向后滚落。</w:t>
            </w:r>
            <w:r>
              <w:rPr>
                <w:rFonts w:hint="eastAsia" w:ascii="宋体" w:hAnsi="宋体" w:cs="宋体"/>
                <w:b w:val="0"/>
                <w:bCs w:val="0"/>
                <w:color w:val="auto"/>
                <w:spacing w:val="-4"/>
                <w:szCs w:val="21"/>
                <w:highlight w:val="none"/>
                <w:lang w:val="en-US" w:eastAsia="zh-CN"/>
              </w:rPr>
              <w:t>样品完全满足项目要求的得2分；样品质量、材质满足项目要求，尺寸、外观有所偏差的得1分；样品质量、材质有所偏差，不能保证实物质量的得0.5分，未提供样品的此项不得分。</w:t>
            </w:r>
          </w:p>
          <w:p>
            <w:pPr>
              <w:numPr>
                <w:ilvl w:val="0"/>
                <w:numId w:val="0"/>
              </w:numPr>
              <w:spacing w:line="240" w:lineRule="auto"/>
              <w:ind w:left="0" w:leftChars="0" w:firstLine="0" w:firstLineChars="0"/>
              <w:rPr>
                <w:rFonts w:hint="eastAsia" w:ascii="宋体" w:hAnsi="宋体" w:cs="宋体"/>
                <w:b w:val="0"/>
                <w:bCs w:val="0"/>
                <w:color w:val="auto"/>
                <w:spacing w:val="-4"/>
                <w:szCs w:val="21"/>
                <w:highlight w:val="none"/>
                <w:lang w:val="en-US" w:eastAsia="zh-CN"/>
              </w:rPr>
            </w:pPr>
            <w:r>
              <w:rPr>
                <w:rFonts w:hint="eastAsia" w:ascii="宋体" w:hAnsi="宋体" w:eastAsia="宋体" w:cs="宋体"/>
                <w:b w:val="0"/>
                <w:bCs w:val="0"/>
                <w:color w:val="auto"/>
                <w:spacing w:val="-4"/>
                <w:kern w:val="2"/>
                <w:sz w:val="21"/>
                <w:szCs w:val="21"/>
                <w:lang w:val="en-US" w:eastAsia="zh-CN" w:bidi="ar-SA"/>
              </w:rPr>
              <w:t>3、</w:t>
            </w:r>
            <w:r>
              <w:rPr>
                <w:rFonts w:hint="eastAsia" w:ascii="宋体" w:hAnsi="宋体" w:cs="宋体"/>
                <w:color w:val="auto"/>
                <w:spacing w:val="-4"/>
                <w:szCs w:val="21"/>
                <w:highlight w:val="none"/>
                <w:lang w:val="en-US" w:eastAsia="zh-CN"/>
              </w:rPr>
              <w:t>学生实验凳规格尺寸：315*330*440mm。学生实验凳下支撑脚：下端五星脚采用PP塑料成型，直径460mm，配网状加强筋，承重，耐腐蚀。</w:t>
            </w:r>
            <w:r>
              <w:rPr>
                <w:rFonts w:hint="eastAsia" w:ascii="宋体" w:hAnsi="宋体" w:cs="宋体"/>
                <w:b w:val="0"/>
                <w:bCs w:val="0"/>
                <w:color w:val="auto"/>
                <w:spacing w:val="-4"/>
                <w:szCs w:val="21"/>
                <w:highlight w:val="none"/>
                <w:lang w:val="en-US" w:eastAsia="zh-CN"/>
              </w:rPr>
              <w:t>样品完全满足项目要求的得2分；样品质量、材质满足项目要求，尺寸、外观有所偏差的得1分；样品质量、材质有所偏差，不能保证实物质量的得0.5分，未提供样品的此项不得分。</w:t>
            </w:r>
          </w:p>
          <w:p>
            <w:pPr>
              <w:numPr>
                <w:ilvl w:val="0"/>
                <w:numId w:val="0"/>
              </w:numPr>
              <w:spacing w:line="240" w:lineRule="auto"/>
              <w:ind w:leftChars="0"/>
              <w:rPr>
                <w:rFonts w:hint="eastAsia" w:ascii="宋体" w:hAnsi="宋体" w:cs="宋体"/>
                <w:b/>
                <w:bCs/>
                <w:color w:val="auto"/>
                <w:spacing w:val="-4"/>
                <w:szCs w:val="21"/>
                <w:highlight w:val="none"/>
                <w:lang w:val="en-US" w:eastAsia="zh-CN"/>
              </w:rPr>
            </w:pPr>
            <w:r>
              <w:rPr>
                <w:rFonts w:hint="eastAsia" w:ascii="宋体" w:hAnsi="宋体" w:cs="宋体"/>
                <w:b/>
                <w:bCs/>
                <w:color w:val="auto"/>
                <w:spacing w:val="-4"/>
                <w:szCs w:val="21"/>
                <w:highlight w:val="none"/>
                <w:lang w:val="en-US" w:eastAsia="zh-CN"/>
              </w:rPr>
              <w:t>二、防溅水槽台一套 尺寸500*660*940mm</w:t>
            </w:r>
          </w:p>
          <w:p>
            <w:pPr>
              <w:rPr>
                <w:rFonts w:hint="eastAsia" w:ascii="宋体" w:hAnsi="宋体" w:cs="宋体"/>
                <w:color w:val="auto"/>
                <w:spacing w:val="-4"/>
                <w:szCs w:val="21"/>
                <w:highlight w:val="none"/>
                <w:lang w:val="en-US" w:eastAsia="zh-CN"/>
              </w:rPr>
            </w:pPr>
            <w:r>
              <w:rPr>
                <w:rFonts w:hint="eastAsia" w:ascii="宋体" w:hAnsi="宋体" w:cs="宋体"/>
                <w:color w:val="auto"/>
                <w:spacing w:val="-4"/>
                <w:szCs w:val="21"/>
                <w:highlight w:val="none"/>
                <w:lang w:val="en-US" w:eastAsia="zh-CN"/>
              </w:rPr>
              <w:t>1、高位出水口距离水槽底不少于580mm；2、带废弃物杯专用固定位，带废弃物杯1个：PE材质，带自封式杯赛，规格直径10.7*高度21mm。</w:t>
            </w:r>
            <w:r>
              <w:rPr>
                <w:rFonts w:hint="eastAsia" w:ascii="宋体" w:hAnsi="宋体" w:cs="宋体"/>
                <w:b w:val="0"/>
                <w:bCs w:val="0"/>
                <w:color w:val="auto"/>
                <w:spacing w:val="-4"/>
                <w:szCs w:val="21"/>
                <w:highlight w:val="none"/>
                <w:lang w:val="en-US" w:eastAsia="zh-CN"/>
              </w:rPr>
              <w:t>样品完全满足项目要求的得3分；样品质量、材质满足项目要求，尺寸、外观有所偏差的得2分；样品质量、材质有所偏差，不能保证实物质量的得1分，未提供样品的此项不得分。</w:t>
            </w:r>
          </w:p>
          <w:p>
            <w:pPr>
              <w:spacing w:line="240" w:lineRule="auto"/>
              <w:rPr>
                <w:rFonts w:hint="eastAsia" w:ascii="宋体" w:hAnsi="宋体" w:cs="宋体"/>
                <w:b/>
                <w:bCs/>
                <w:color w:val="auto"/>
                <w:spacing w:val="-4"/>
                <w:szCs w:val="21"/>
                <w:highlight w:val="none"/>
                <w:lang w:val="en-US" w:eastAsia="zh-CN"/>
              </w:rPr>
            </w:pPr>
            <w:r>
              <w:rPr>
                <w:rFonts w:hint="eastAsia" w:ascii="宋体" w:hAnsi="宋体" w:cs="宋体"/>
                <w:b/>
                <w:bCs/>
                <w:color w:val="auto"/>
                <w:spacing w:val="-4"/>
                <w:szCs w:val="21"/>
                <w:highlight w:val="none"/>
                <w:lang w:val="en-US" w:eastAsia="zh-CN"/>
              </w:rPr>
              <w:t>三、演示通风塔吊一套 规格尺寸：250*250*1230/1830mm。</w:t>
            </w:r>
          </w:p>
          <w:p>
            <w:pPr>
              <w:rPr>
                <w:rFonts w:hint="default" w:ascii="宋体" w:hAnsi="宋体" w:cs="宋体"/>
                <w:color w:val="auto"/>
                <w:spacing w:val="-4"/>
                <w:szCs w:val="21"/>
                <w:highlight w:val="none"/>
                <w:lang w:val="en-US" w:eastAsia="zh-CN"/>
              </w:rPr>
            </w:pPr>
            <w:r>
              <w:rPr>
                <w:rFonts w:hint="eastAsia" w:ascii="宋体" w:hAnsi="宋体" w:cs="宋体"/>
                <w:color w:val="auto"/>
                <w:spacing w:val="-4"/>
                <w:szCs w:val="21"/>
                <w:highlight w:val="none"/>
                <w:lang w:val="en-US" w:eastAsia="zh-CN"/>
              </w:rPr>
              <w:t>1、上下升降内外导向部分：外导向体250*250mm*壁厚3mm；内导向体235*235*壁厚3mm，上下升降内外导向盖采用铝合金型材材料一次性成型；</w:t>
            </w:r>
          </w:p>
          <w:p>
            <w:pPr>
              <w:spacing w:line="240" w:lineRule="auto"/>
              <w:rPr>
                <w:rFonts w:hint="eastAsia" w:ascii="宋体" w:hAnsi="宋体" w:cs="宋体"/>
                <w:color w:val="auto"/>
                <w:spacing w:val="-4"/>
                <w:szCs w:val="21"/>
                <w:highlight w:val="none"/>
                <w:lang w:val="en-US" w:eastAsia="zh-CN"/>
              </w:rPr>
            </w:pPr>
            <w:r>
              <w:rPr>
                <w:rFonts w:hint="eastAsia" w:ascii="宋体" w:hAnsi="宋体" w:cs="宋体"/>
                <w:color w:val="auto"/>
                <w:spacing w:val="-4"/>
                <w:szCs w:val="21"/>
                <w:highlight w:val="none"/>
                <w:lang w:val="en-US" w:eastAsia="zh-CN"/>
              </w:rPr>
              <w:t>2、垂直升降行程高度不少于600mm；</w:t>
            </w:r>
          </w:p>
          <w:p>
            <w:pPr>
              <w:rPr>
                <w:rFonts w:ascii="宋体" w:hAnsi="宋体" w:eastAsia="宋体" w:cs="宋体"/>
                <w:color w:val="auto"/>
                <w:spacing w:val="-4"/>
                <w:szCs w:val="21"/>
                <w:highlight w:val="none"/>
              </w:rPr>
            </w:pPr>
            <w:r>
              <w:rPr>
                <w:rFonts w:hint="eastAsia" w:ascii="宋体" w:hAnsi="宋体" w:cs="宋体"/>
                <w:color w:val="auto"/>
                <w:spacing w:val="-4"/>
                <w:szCs w:val="21"/>
                <w:highlight w:val="none"/>
                <w:lang w:val="en-US" w:eastAsia="zh-CN"/>
              </w:rPr>
              <w:t>3、滑动阻尼：采用尼龙注塑模一次性成型；其作用是使上下导向体上下来回升降时，使其不摆动不晃动减低噪音，定位限位作用。</w:t>
            </w:r>
            <w:r>
              <w:rPr>
                <w:rFonts w:hint="eastAsia" w:ascii="宋体" w:hAnsi="宋体" w:cs="宋体"/>
                <w:b w:val="0"/>
                <w:bCs w:val="0"/>
                <w:color w:val="auto"/>
                <w:spacing w:val="-4"/>
                <w:szCs w:val="21"/>
                <w:highlight w:val="none"/>
                <w:lang w:val="en-US" w:eastAsia="zh-CN"/>
              </w:rPr>
              <w:t>样品完全满足项目要求的得5分；样品质量、材质满足项目要求，尺寸、外观有所偏差的得3分；样品质量、材质有所偏差，不能保证实物质量的得1分，未提供样品的此项不得分。</w:t>
            </w:r>
          </w:p>
        </w:tc>
        <w:tc>
          <w:tcPr>
            <w:tcW w:w="659" w:type="dxa"/>
            <w:vAlign w:val="center"/>
          </w:tcPr>
          <w:p>
            <w:pPr>
              <w:spacing w:before="100" w:beforeAutospacing="1" w:after="100" w:afterAutospacing="1"/>
              <w:jc w:val="center"/>
              <w:rPr>
                <w:rFonts w:hint="default" w:ascii="宋体" w:hAnsi="宋体" w:eastAsia="宋体" w:cs="宋体"/>
                <w:color w:val="auto"/>
                <w:spacing w:val="-4"/>
                <w:szCs w:val="21"/>
                <w:highlight w:val="none"/>
                <w:lang w:val="en-US" w:eastAsia="zh-CN"/>
              </w:rPr>
            </w:pPr>
            <w:r>
              <w:rPr>
                <w:rFonts w:hint="eastAsia" w:ascii="宋体" w:hAnsi="宋体" w:cs="宋体"/>
                <w:color w:val="auto"/>
                <w:spacing w:val="-4"/>
                <w:szCs w:val="21"/>
                <w:highlight w:val="none"/>
                <w:lang w:val="en-US" w:eastAsia="zh-CN"/>
              </w:rPr>
              <w:t>15</w:t>
            </w:r>
          </w:p>
        </w:tc>
        <w:tc>
          <w:tcPr>
            <w:tcW w:w="659" w:type="dxa"/>
            <w:vAlign w:val="center"/>
          </w:tcPr>
          <w:p>
            <w:pPr>
              <w:spacing w:before="100" w:beforeAutospacing="1" w:after="100" w:afterAutospacing="1"/>
              <w:jc w:val="center"/>
              <w:rPr>
                <w:rFonts w:hint="eastAsia" w:ascii="宋体" w:hAnsi="宋体" w:cs="宋体"/>
                <w:color w:val="auto"/>
                <w:spacing w:val="-4"/>
                <w:szCs w:val="21"/>
                <w:highlight w:val="none"/>
                <w:lang w:val="en-US" w:eastAsia="zh-CN"/>
              </w:rPr>
            </w:pPr>
          </w:p>
        </w:tc>
        <w:tc>
          <w:tcPr>
            <w:tcW w:w="659" w:type="dxa"/>
            <w:vAlign w:val="center"/>
          </w:tcPr>
          <w:p>
            <w:pPr>
              <w:spacing w:before="100" w:beforeAutospacing="1" w:after="100" w:afterAutospacing="1"/>
              <w:jc w:val="center"/>
              <w:rPr>
                <w:rFonts w:hint="eastAsia" w:ascii="宋体" w:hAnsi="宋体" w:cs="宋体"/>
                <w:color w:val="auto"/>
                <w:spacing w:val="-4"/>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1" w:hRule="atLeast"/>
          <w:jc w:val="center"/>
        </w:trPr>
        <w:tc>
          <w:tcPr>
            <w:tcW w:w="983" w:type="dxa"/>
            <w:vMerge w:val="continue"/>
            <w:vAlign w:val="center"/>
          </w:tcPr>
          <w:p>
            <w:pPr>
              <w:jc w:val="center"/>
              <w:rPr>
                <w:rStyle w:val="57"/>
                <w:rFonts w:asciiTheme="minorEastAsia" w:hAnsiTheme="minorEastAsia" w:cstheme="minorEastAsia"/>
                <w:color w:val="auto"/>
                <w:kern w:val="0"/>
                <w:szCs w:val="21"/>
                <w:highlight w:val="none"/>
              </w:rPr>
            </w:pPr>
          </w:p>
        </w:tc>
        <w:tc>
          <w:tcPr>
            <w:tcW w:w="1113" w:type="dxa"/>
            <w:vAlign w:val="center"/>
          </w:tcPr>
          <w:p>
            <w:pPr>
              <w:jc w:val="center"/>
              <w:rPr>
                <w:rStyle w:val="57"/>
                <w:rFonts w:asciiTheme="minorEastAsia" w:hAnsiTheme="minorEastAsia" w:cstheme="minorEastAsia"/>
                <w:color w:val="auto"/>
                <w:kern w:val="0"/>
                <w:szCs w:val="21"/>
                <w:highlight w:val="none"/>
              </w:rPr>
            </w:pPr>
            <w:r>
              <w:rPr>
                <w:rFonts w:hint="eastAsia" w:ascii="宋体" w:hAnsi="宋体" w:cs="宋体"/>
                <w:color w:val="auto"/>
                <w:spacing w:val="-4"/>
                <w:szCs w:val="21"/>
                <w:highlight w:val="none"/>
              </w:rPr>
              <w:t>产品功能演示</w:t>
            </w:r>
          </w:p>
        </w:tc>
        <w:tc>
          <w:tcPr>
            <w:tcW w:w="7033" w:type="dxa"/>
            <w:vAlign w:val="center"/>
          </w:tcPr>
          <w:p>
            <w:pPr>
              <w:spacing w:line="240" w:lineRule="auto"/>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sz w:val="21"/>
                <w:szCs w:val="21"/>
                <w:highlight w:val="none"/>
                <w:lang w:val="zh-CN"/>
              </w:rPr>
              <w:t>投标人演示需求条款当中的“</w:t>
            </w:r>
            <w:r>
              <w:rPr>
                <w:rFonts w:hint="eastAsia" w:ascii="宋体" w:hAnsi="宋体" w:eastAsia="宋体" w:cs="宋体"/>
                <w:i w:val="0"/>
                <w:iCs w:val="0"/>
                <w:color w:val="auto"/>
                <w:kern w:val="0"/>
                <w:sz w:val="21"/>
                <w:szCs w:val="21"/>
                <w:highlight w:val="none"/>
                <w:u w:val="none"/>
                <w:lang w:val="en-US" w:eastAsia="zh-CN" w:bidi="ar"/>
              </w:rPr>
              <w:t>多媒体系统-光能智慧黑板</w:t>
            </w:r>
            <w:r>
              <w:rPr>
                <w:rFonts w:hint="eastAsia" w:asciiTheme="minorEastAsia" w:hAnsiTheme="minorEastAsia" w:eastAsiaTheme="minorEastAsia" w:cstheme="minorEastAsia"/>
                <w:color w:val="auto"/>
                <w:sz w:val="21"/>
                <w:szCs w:val="21"/>
                <w:highlight w:val="none"/>
                <w:lang w:val="zh-CN"/>
              </w:rPr>
              <w:t>”产品</w:t>
            </w:r>
            <w:r>
              <w:rPr>
                <w:rFonts w:hint="eastAsia" w:asciiTheme="minorEastAsia" w:hAnsiTheme="minorEastAsia" w:cstheme="minorEastAsia"/>
                <w:color w:val="auto"/>
                <w:sz w:val="21"/>
                <w:szCs w:val="21"/>
                <w:highlight w:val="none"/>
                <w:lang w:val="zh-CN"/>
              </w:rPr>
              <w:t>；</w:t>
            </w:r>
          </w:p>
          <w:p>
            <w:pPr>
              <w:spacing w:line="240" w:lineRule="auto"/>
              <w:rPr>
                <w:rFonts w:hint="default" w:asciiTheme="minorEastAsia" w:hAnsiTheme="minorEastAsia" w:eastAsiaTheme="minorEastAsia" w:cstheme="minorEastAsia"/>
                <w:color w:val="auto"/>
                <w:sz w:val="21"/>
                <w:szCs w:val="21"/>
                <w:highlight w:val="none"/>
                <w:lang w:val="en-US"/>
              </w:rPr>
            </w:pPr>
            <w:r>
              <w:rPr>
                <w:rFonts w:hint="eastAsia" w:ascii="宋体" w:hAnsi="宋体" w:eastAsia="宋体" w:cs="宋体"/>
                <w:i w:val="0"/>
                <w:iCs w:val="0"/>
                <w:color w:val="auto"/>
                <w:kern w:val="0"/>
                <w:sz w:val="21"/>
                <w:szCs w:val="21"/>
                <w:highlight w:val="none"/>
                <w:u w:val="none"/>
                <w:lang w:val="en-US" w:eastAsia="zh-CN" w:bidi="ar"/>
              </w:rPr>
              <w:t>多媒体系统-光能智慧黑板演示要求：</w:t>
            </w:r>
          </w:p>
          <w:p>
            <w:pPr>
              <w:numPr>
                <w:ilvl w:val="0"/>
                <w:numId w:val="0"/>
              </w:numPr>
              <w:spacing w:line="240" w:lineRule="auto"/>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lang w:val="en-US" w:eastAsia="zh-CN" w:bidi="ar"/>
              </w:rPr>
              <w:t>1、</w:t>
            </w:r>
            <w:r>
              <w:rPr>
                <w:rFonts w:hint="eastAsia" w:ascii="宋体" w:hAnsi="宋体" w:eastAsia="宋体" w:cs="宋体"/>
                <w:i w:val="0"/>
                <w:iCs w:val="0"/>
                <w:color w:val="auto"/>
                <w:kern w:val="0"/>
                <w:sz w:val="21"/>
                <w:szCs w:val="21"/>
                <w:highlight w:val="none"/>
                <w:u w:val="none"/>
                <w:lang w:val="en-US" w:eastAsia="zh-CN" w:bidi="ar"/>
              </w:rPr>
              <w:t>局部擦除：可使用板擦和手势对错误字迹进行局部擦除，擦除精度方格小于1cm*1cm。光能板具有独立供电装置，可在液晶屏关机的情况下独立使用，不影响局擦功能。演示内容符合采购需求的得2分；演示内容有欠缺的得1分；未提供演示该项不得分。</w:t>
            </w:r>
          </w:p>
          <w:p>
            <w:pPr>
              <w:pStyle w:val="68"/>
              <w:numPr>
                <w:ilvl w:val="0"/>
                <w:numId w:val="0"/>
              </w:numPr>
              <w:spacing w:before="0" w:after="0" w:line="276" w:lineRule="auto"/>
              <w:ind w:left="0" w:leftChars="0" w:firstLine="0" w:firstLineChars="0"/>
              <w:rPr>
                <w:rFonts w:hint="eastAsia" w:eastAsia="宋体"/>
                <w:color w:val="auto"/>
                <w:highlight w:val="none"/>
                <w:lang w:val="zh-CN" w:eastAsia="zh-CN"/>
              </w:rPr>
            </w:pPr>
            <w:r>
              <w:rPr>
                <w:rFonts w:hint="eastAsia" w:ascii="宋体" w:hAnsi="宋体" w:eastAsia="宋体" w:cs="宋体"/>
                <w:i w:val="0"/>
                <w:iCs w:val="0"/>
                <w:color w:val="auto"/>
                <w:kern w:val="0"/>
                <w:sz w:val="21"/>
                <w:szCs w:val="21"/>
                <w:highlight w:val="none"/>
                <w:u w:val="none"/>
                <w:lang w:val="en-US" w:eastAsia="zh-CN" w:bidi="ar"/>
              </w:rPr>
              <w:t>2、软件功能具有：1.同步互联：左、右光能黑板可与触控一体机进行互动，将光能黑板的内容与触控一体机无缝连接，教师在光能黑板上的书写内容可同步显示在触控一体机上；2.颜色切换：可设置不同的软件端笔迹颜色，可实现老师对于教学重点的标识及批注；3.板书记录：可同步传输老师的板书到软件界面；按下清除键后，板面和软件端的笔迹均可以被清除；点击“前一页”可找回清除掉的板书；4.单双页切换：两种光能黑板的书写记录模式，支持单板书写记录内容为一个单页面，也可以支持双板同时书写时记录在一个页面上；5.桌面切换：黑板书写内容和屏体显示内容可一键切换，不影响老师正常授课操作；6.一键保存：支持将板书内容保存为PDF文档，便于学校对课堂板书的管理和传递。无需花费时间找存储路径，点击“打开”，直接进入存储位置，快速找到存储文件。</w:t>
            </w:r>
            <w:r>
              <w:rPr>
                <w:rFonts w:hint="eastAsia" w:asciiTheme="minorEastAsia" w:hAnsiTheme="minorEastAsia" w:eastAsiaTheme="minorEastAsia" w:cstheme="minorEastAsia"/>
                <w:color w:val="auto"/>
                <w:highlight w:val="none"/>
                <w:lang w:val="en-US" w:eastAsia="zh-CN"/>
              </w:rPr>
              <w:t>演示</w:t>
            </w:r>
            <w:r>
              <w:rPr>
                <w:rFonts w:hint="eastAsia" w:asciiTheme="minorEastAsia" w:hAnsiTheme="minorEastAsia" w:eastAsiaTheme="minorEastAsia" w:cstheme="minorEastAsia"/>
                <w:color w:val="auto"/>
                <w:highlight w:val="none"/>
              </w:rPr>
              <w:t>内容</w:t>
            </w:r>
            <w:r>
              <w:rPr>
                <w:rFonts w:hint="eastAsia" w:asciiTheme="minorEastAsia" w:hAnsiTheme="minorEastAsia" w:eastAsiaTheme="minorEastAsia" w:cstheme="minorEastAsia"/>
                <w:color w:val="auto"/>
                <w:highlight w:val="none"/>
                <w:lang w:val="en-US" w:eastAsia="zh-CN"/>
              </w:rPr>
              <w:t>完全</w:t>
            </w:r>
            <w:r>
              <w:rPr>
                <w:rFonts w:hint="eastAsia" w:asciiTheme="minorEastAsia" w:hAnsiTheme="minorEastAsia" w:eastAsiaTheme="minorEastAsia" w:cstheme="minorEastAsia"/>
                <w:color w:val="auto"/>
                <w:highlight w:val="none"/>
              </w:rPr>
              <w:t>符合采购需求的得</w:t>
            </w:r>
            <w:r>
              <w:rPr>
                <w:rFonts w:hint="eastAsia" w:asciiTheme="minorEastAsia" w:hAnsiTheme="minorEastAsia" w:eastAsiaTheme="minorEastAsia" w:cstheme="minorEastAsia"/>
                <w:color w:val="auto"/>
                <w:highlight w:val="none"/>
                <w:lang w:val="en-US" w:eastAsia="zh-CN"/>
              </w:rPr>
              <w:t>3</w:t>
            </w:r>
            <w:r>
              <w:rPr>
                <w:rFonts w:hint="eastAsia" w:asciiTheme="minorEastAsia" w:hAnsiTheme="minorEastAsia" w:eastAsiaTheme="minorEastAsia" w:cstheme="minorEastAsia"/>
                <w:color w:val="auto"/>
                <w:highlight w:val="none"/>
              </w:rPr>
              <w:t>分；</w:t>
            </w:r>
            <w:r>
              <w:rPr>
                <w:rFonts w:hint="eastAsia" w:asciiTheme="minorEastAsia" w:hAnsiTheme="minorEastAsia" w:eastAsiaTheme="minorEastAsia" w:cstheme="minorEastAsia"/>
                <w:color w:val="auto"/>
                <w:highlight w:val="none"/>
                <w:lang w:val="en-US" w:eastAsia="zh-CN"/>
              </w:rPr>
              <w:t>演示内容基本符合采购需求的得2分；演示</w:t>
            </w:r>
            <w:r>
              <w:rPr>
                <w:rFonts w:hint="eastAsia" w:asciiTheme="minorEastAsia" w:hAnsiTheme="minorEastAsia" w:eastAsiaTheme="minorEastAsia" w:cstheme="minorEastAsia"/>
                <w:color w:val="auto"/>
                <w:highlight w:val="none"/>
              </w:rPr>
              <w:t>内容有欠缺的得</w:t>
            </w:r>
            <w:r>
              <w:rPr>
                <w:rFonts w:hint="eastAsia" w:asciiTheme="minorEastAsia" w:hAnsiTheme="minorEastAsia" w:eastAsiaTheme="minorEastAsia" w:cstheme="minorEastAsia"/>
                <w:color w:val="auto"/>
                <w:highlight w:val="none"/>
                <w:lang w:val="en-US" w:eastAsia="zh-CN"/>
              </w:rPr>
              <w:t>1</w:t>
            </w:r>
            <w:r>
              <w:rPr>
                <w:rFonts w:hint="eastAsia" w:asciiTheme="minorEastAsia" w:hAnsiTheme="minorEastAsia" w:eastAsiaTheme="minorEastAsia" w:cstheme="minorEastAsia"/>
                <w:color w:val="auto"/>
                <w:highlight w:val="none"/>
              </w:rPr>
              <w:t>分</w:t>
            </w:r>
            <w:r>
              <w:rPr>
                <w:rFonts w:hint="eastAsia" w:asciiTheme="minorEastAsia" w:hAnsiTheme="minorEastAsia" w:eastAsiaTheme="minorEastAsia" w:cstheme="minorEastAsia"/>
                <w:color w:val="auto"/>
                <w:highlight w:val="none"/>
                <w:lang w:val="en-US" w:eastAsia="zh-CN"/>
              </w:rPr>
              <w:t>，</w:t>
            </w:r>
            <w:r>
              <w:rPr>
                <w:rFonts w:hint="eastAsia" w:asciiTheme="minorEastAsia" w:hAnsiTheme="minorEastAsia" w:eastAsiaTheme="minorEastAsia" w:cstheme="minorEastAsia"/>
                <w:color w:val="auto"/>
                <w:highlight w:val="none"/>
              </w:rPr>
              <w:t>未</w:t>
            </w:r>
            <w:r>
              <w:rPr>
                <w:rFonts w:hint="eastAsia" w:asciiTheme="minorEastAsia" w:hAnsiTheme="minorEastAsia" w:eastAsiaTheme="minorEastAsia" w:cstheme="minorEastAsia"/>
                <w:color w:val="auto"/>
                <w:highlight w:val="none"/>
                <w:lang w:val="en-US" w:eastAsia="zh-CN"/>
              </w:rPr>
              <w:t>提供演示该项</w:t>
            </w:r>
            <w:r>
              <w:rPr>
                <w:rFonts w:hint="eastAsia" w:asciiTheme="minorEastAsia" w:hAnsiTheme="minorEastAsia" w:eastAsiaTheme="minorEastAsia" w:cstheme="minorEastAsia"/>
                <w:color w:val="auto"/>
                <w:highlight w:val="none"/>
              </w:rPr>
              <w:t>不得分</w:t>
            </w:r>
            <w:r>
              <w:rPr>
                <w:rFonts w:hint="eastAsia" w:asciiTheme="minorEastAsia" w:hAnsiTheme="minorEastAsia" w:eastAsiaTheme="minorEastAsia" w:cstheme="minorEastAsia"/>
                <w:color w:val="auto"/>
                <w:highlight w:val="none"/>
                <w:lang w:eastAsia="zh-CN"/>
              </w:rPr>
              <w:t>。</w:t>
            </w:r>
          </w:p>
        </w:tc>
        <w:tc>
          <w:tcPr>
            <w:tcW w:w="659" w:type="dxa"/>
            <w:vAlign w:val="center"/>
          </w:tcPr>
          <w:p>
            <w:pPr>
              <w:adjustRightInd w:val="0"/>
              <w:snapToGrid w:val="0"/>
              <w:jc w:val="center"/>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5</w:t>
            </w:r>
          </w:p>
        </w:tc>
        <w:tc>
          <w:tcPr>
            <w:tcW w:w="659" w:type="dxa"/>
            <w:vAlign w:val="center"/>
          </w:tcPr>
          <w:p>
            <w:pPr>
              <w:adjustRightInd w:val="0"/>
              <w:snapToGrid w:val="0"/>
              <w:jc w:val="center"/>
              <w:rPr>
                <w:rFonts w:hint="eastAsia" w:asciiTheme="minorEastAsia" w:hAnsiTheme="minorEastAsia" w:cstheme="minorEastAsia"/>
                <w:color w:val="auto"/>
                <w:szCs w:val="21"/>
                <w:highlight w:val="none"/>
              </w:rPr>
            </w:pPr>
          </w:p>
        </w:tc>
        <w:tc>
          <w:tcPr>
            <w:tcW w:w="659" w:type="dxa"/>
            <w:vAlign w:val="center"/>
          </w:tcPr>
          <w:p>
            <w:pPr>
              <w:adjustRightInd w:val="0"/>
              <w:snapToGrid w:val="0"/>
              <w:jc w:val="center"/>
              <w:rPr>
                <w:rFonts w:hint="eastAsia" w:asciiTheme="minorEastAsia" w:hAnsiTheme="minorEastAsia" w:cstheme="minorEastAsia"/>
                <w:color w:val="auto"/>
                <w:szCs w:val="21"/>
                <w:highlight w:val="none"/>
              </w:rPr>
            </w:pPr>
          </w:p>
        </w:tc>
      </w:tr>
    </w:tbl>
    <w:p>
      <w:pPr>
        <w:pStyle w:val="7"/>
        <w:keepNext w:val="0"/>
        <w:keepLines w:val="0"/>
        <w:pageBreakBefore w:val="0"/>
        <w:kinsoku/>
        <w:wordWrap/>
        <w:overflowPunct/>
        <w:topLinePunct w:val="0"/>
        <w:bidi w:val="0"/>
        <w:outlineLvl w:val="9"/>
        <w:rPr>
          <w:rFonts w:hint="eastAsia" w:ascii="宋体" w:hAnsi="宋体" w:eastAsia="宋体" w:cs="宋体"/>
          <w:color w:val="auto"/>
          <w:highlight w:val="none"/>
          <w:lang w:val="zh-CN"/>
        </w:rPr>
      </w:pPr>
    </w:p>
    <w:p>
      <w:pPr>
        <w:pStyle w:val="40"/>
        <w:keepNext w:val="0"/>
        <w:keepLines w:val="0"/>
        <w:pageBreakBefore w:val="0"/>
        <w:shd w:val="clear" w:color="auto" w:fill="FFFFFF"/>
        <w:kinsoku/>
        <w:wordWrap/>
        <w:overflowPunct/>
        <w:topLinePunct w:val="0"/>
        <w:bidi w:val="0"/>
        <w:spacing w:before="0" w:beforeAutospacing="0" w:after="0" w:afterAutospacing="0"/>
        <w:jc w:val="both"/>
        <w:outlineLvl w:val="9"/>
        <w:rPr>
          <w:rFonts w:hint="eastAsia" w:ascii="宋体" w:hAnsi="宋体" w:eastAsia="宋体" w:cs="宋体"/>
          <w:b/>
          <w:color w:val="auto"/>
          <w:sz w:val="32"/>
          <w:szCs w:val="32"/>
          <w:highlight w:val="none"/>
        </w:rPr>
        <w:sectPr>
          <w:pgSz w:w="11906" w:h="16838"/>
          <w:pgMar w:top="1440" w:right="1800" w:bottom="1440" w:left="1800" w:header="851" w:footer="992" w:gutter="0"/>
          <w:pgNumType w:fmt="decimal"/>
          <w:cols w:space="425" w:num="1"/>
          <w:docGrid w:type="lines" w:linePitch="312" w:charSpace="0"/>
        </w:sectPr>
      </w:pPr>
    </w:p>
    <w:p>
      <w:pPr>
        <w:pStyle w:val="40"/>
        <w:keepNext w:val="0"/>
        <w:keepLines w:val="0"/>
        <w:pageBreakBefore w:val="0"/>
        <w:shd w:val="clear" w:color="auto" w:fill="FFFFFF"/>
        <w:kinsoku/>
        <w:wordWrap/>
        <w:overflowPunct/>
        <w:topLinePunct w:val="0"/>
        <w:bidi w:val="0"/>
        <w:spacing w:before="0" w:beforeAutospacing="0" w:after="0" w:afterAutospacing="0"/>
        <w:jc w:val="both"/>
        <w:outlineLvl w:val="9"/>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附件</w:t>
      </w:r>
      <w:r>
        <w:rPr>
          <w:rFonts w:hint="eastAsia" w:ascii="宋体" w:hAnsi="宋体" w:eastAsia="宋体" w:cs="宋体"/>
          <w:b/>
          <w:color w:val="auto"/>
          <w:sz w:val="32"/>
          <w:szCs w:val="32"/>
          <w:highlight w:val="none"/>
          <w:lang w:val="en-US" w:eastAsia="zh-CN"/>
        </w:rPr>
        <w:t>6</w:t>
      </w:r>
      <w:r>
        <w:rPr>
          <w:rFonts w:hint="eastAsia" w:ascii="宋体" w:hAnsi="宋体" w:eastAsia="宋体" w:cs="宋体"/>
          <w:b/>
          <w:color w:val="auto"/>
          <w:sz w:val="32"/>
          <w:szCs w:val="32"/>
          <w:highlight w:val="none"/>
        </w:rPr>
        <w:t>：</w:t>
      </w:r>
    </w:p>
    <w:p>
      <w:pPr>
        <w:pStyle w:val="40"/>
        <w:keepNext w:val="0"/>
        <w:keepLines w:val="0"/>
        <w:pageBreakBefore w:val="0"/>
        <w:shd w:val="clear" w:color="auto" w:fill="FFFFFF"/>
        <w:kinsoku/>
        <w:wordWrap/>
        <w:overflowPunct/>
        <w:topLinePunct w:val="0"/>
        <w:bidi w:val="0"/>
        <w:spacing w:before="0" w:beforeAutospacing="0" w:after="0" w:afterAutospacing="0"/>
        <w:jc w:val="center"/>
        <w:outlineLvl w:val="9"/>
        <w:rPr>
          <w:rFonts w:hint="eastAsia" w:ascii="宋体" w:hAnsi="宋体" w:eastAsia="宋体" w:cs="宋体"/>
          <w:color w:val="auto"/>
          <w:sz w:val="36"/>
          <w:szCs w:val="36"/>
          <w:highlight w:val="none"/>
        </w:rPr>
      </w:pPr>
      <w:r>
        <w:rPr>
          <w:rFonts w:hint="eastAsia" w:ascii="宋体" w:hAnsi="宋体" w:eastAsia="宋体" w:cs="宋体"/>
          <w:b/>
          <w:color w:val="auto"/>
          <w:sz w:val="32"/>
          <w:szCs w:val="32"/>
          <w:highlight w:val="none"/>
        </w:rPr>
        <w:t>投标</w:t>
      </w:r>
      <w:r>
        <w:rPr>
          <w:rFonts w:hint="eastAsia" w:ascii="宋体" w:hAnsi="宋体" w:eastAsia="宋体" w:cs="宋体"/>
          <w:b/>
          <w:bCs/>
          <w:color w:val="auto"/>
          <w:spacing w:val="21"/>
          <w:sz w:val="32"/>
          <w:szCs w:val="32"/>
          <w:highlight w:val="none"/>
        </w:rPr>
        <w:t>人基本情况表</w:t>
      </w:r>
    </w:p>
    <w:tbl>
      <w:tblPr>
        <w:tblStyle w:val="22"/>
        <w:tblW w:w="9064" w:type="dxa"/>
        <w:tblInd w:w="-2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1"/>
        <w:gridCol w:w="633"/>
        <w:gridCol w:w="910"/>
        <w:gridCol w:w="311"/>
        <w:gridCol w:w="852"/>
        <w:gridCol w:w="112"/>
        <w:gridCol w:w="1093"/>
        <w:gridCol w:w="325"/>
        <w:gridCol w:w="1276"/>
        <w:gridCol w:w="400"/>
        <w:gridCol w:w="1218"/>
        <w:gridCol w:w="9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001" w:type="dxa"/>
          </w:tcPr>
          <w:p>
            <w:pPr>
              <w:pStyle w:val="40"/>
              <w:keepNext w:val="0"/>
              <w:keepLines w:val="0"/>
              <w:pageBreakBefore w:val="0"/>
              <w:shd w:val="clear" w:color="auto" w:fill="FFFFFF"/>
              <w:kinsoku/>
              <w:wordWrap/>
              <w:overflowPunct/>
              <w:topLinePunct w:val="0"/>
              <w:bidi w:val="0"/>
              <w:outlineLvl w:val="9"/>
              <w:rPr>
                <w:rFonts w:hint="eastAsia" w:ascii="宋体" w:hAnsi="宋体" w:eastAsia="宋体" w:cs="宋体"/>
                <w:bCs/>
                <w:color w:val="auto"/>
                <w:sz w:val="21"/>
                <w:szCs w:val="21"/>
                <w:highlight w:val="none"/>
              </w:rPr>
            </w:pPr>
            <w:r>
              <w:rPr>
                <w:rFonts w:hint="eastAsia" w:ascii="宋体" w:hAnsi="宋体" w:eastAsia="宋体" w:cs="宋体"/>
                <w:bCs/>
                <w:color w:val="auto"/>
                <w:spacing w:val="27"/>
                <w:sz w:val="21"/>
                <w:szCs w:val="21"/>
                <w:highlight w:val="none"/>
              </w:rPr>
              <w:t>企业名称</w:t>
            </w:r>
          </w:p>
        </w:tc>
        <w:tc>
          <w:tcPr>
            <w:tcW w:w="3911" w:type="dxa"/>
            <w:gridSpan w:val="6"/>
          </w:tcPr>
          <w:p>
            <w:pPr>
              <w:pStyle w:val="40"/>
              <w:keepNext w:val="0"/>
              <w:keepLines w:val="0"/>
              <w:pageBreakBefore w:val="0"/>
              <w:shd w:val="clear" w:color="auto" w:fill="FFFFFF"/>
              <w:kinsoku/>
              <w:wordWrap/>
              <w:overflowPunct/>
              <w:topLinePunct w:val="0"/>
              <w:bidi w:val="0"/>
              <w:outlineLvl w:val="9"/>
              <w:rPr>
                <w:rFonts w:hint="eastAsia" w:ascii="宋体" w:hAnsi="宋体" w:eastAsia="宋体" w:cs="宋体"/>
                <w:bCs/>
                <w:color w:val="auto"/>
                <w:sz w:val="21"/>
                <w:szCs w:val="21"/>
                <w:highlight w:val="none"/>
              </w:rPr>
            </w:pPr>
          </w:p>
        </w:tc>
        <w:tc>
          <w:tcPr>
            <w:tcW w:w="2001" w:type="dxa"/>
            <w:gridSpan w:val="3"/>
          </w:tcPr>
          <w:p>
            <w:pPr>
              <w:pStyle w:val="40"/>
              <w:keepNext w:val="0"/>
              <w:keepLines w:val="0"/>
              <w:pageBreakBefore w:val="0"/>
              <w:shd w:val="clear" w:color="auto" w:fill="FFFFFF"/>
              <w:kinsoku/>
              <w:wordWrap/>
              <w:overflowPunct/>
              <w:topLinePunct w:val="0"/>
              <w:bidi w:val="0"/>
              <w:outlineLvl w:val="9"/>
              <w:rPr>
                <w:rFonts w:hint="eastAsia" w:ascii="宋体" w:hAnsi="宋体" w:eastAsia="宋体" w:cs="宋体"/>
                <w:bCs/>
                <w:color w:val="auto"/>
                <w:sz w:val="21"/>
                <w:szCs w:val="21"/>
                <w:highlight w:val="none"/>
              </w:rPr>
            </w:pPr>
            <w:r>
              <w:rPr>
                <w:rFonts w:hint="eastAsia" w:ascii="宋体" w:hAnsi="宋体" w:eastAsia="宋体" w:cs="宋体"/>
                <w:bCs/>
                <w:color w:val="auto"/>
                <w:spacing w:val="16"/>
                <w:sz w:val="21"/>
                <w:szCs w:val="21"/>
                <w:highlight w:val="none"/>
              </w:rPr>
              <w:t>法定代表人</w:t>
            </w:r>
          </w:p>
        </w:tc>
        <w:tc>
          <w:tcPr>
            <w:tcW w:w="2151" w:type="dxa"/>
            <w:gridSpan w:val="2"/>
          </w:tcPr>
          <w:p>
            <w:pPr>
              <w:pStyle w:val="40"/>
              <w:keepNext w:val="0"/>
              <w:keepLines w:val="0"/>
              <w:pageBreakBefore w:val="0"/>
              <w:shd w:val="clear" w:color="auto" w:fill="FFFFFF"/>
              <w:kinsoku/>
              <w:wordWrap/>
              <w:overflowPunct/>
              <w:topLinePunct w:val="0"/>
              <w:bidi w:val="0"/>
              <w:outlineLvl w:val="9"/>
              <w:rPr>
                <w:rFonts w:hint="eastAsia" w:ascii="宋体" w:hAnsi="宋体" w:eastAsia="宋体" w:cs="宋体"/>
                <w:bCs/>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001" w:type="dxa"/>
          </w:tcPr>
          <w:p>
            <w:pPr>
              <w:pStyle w:val="40"/>
              <w:keepNext w:val="0"/>
              <w:keepLines w:val="0"/>
              <w:pageBreakBefore w:val="0"/>
              <w:shd w:val="clear" w:color="auto" w:fill="FFFFFF"/>
              <w:kinsoku/>
              <w:wordWrap/>
              <w:overflowPunct/>
              <w:topLinePunct w:val="0"/>
              <w:bidi w:val="0"/>
              <w:outlineLvl w:val="9"/>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27"/>
                <w:sz w:val="21"/>
                <w:szCs w:val="21"/>
                <w:highlight w:val="none"/>
              </w:rPr>
              <w:t>地址</w:t>
            </w:r>
          </w:p>
        </w:tc>
        <w:tc>
          <w:tcPr>
            <w:tcW w:w="3911" w:type="dxa"/>
            <w:gridSpan w:val="6"/>
          </w:tcPr>
          <w:p>
            <w:pPr>
              <w:pStyle w:val="40"/>
              <w:keepNext w:val="0"/>
              <w:keepLines w:val="0"/>
              <w:pageBreakBefore w:val="0"/>
              <w:shd w:val="clear" w:color="auto" w:fill="FFFFFF"/>
              <w:kinsoku/>
              <w:wordWrap/>
              <w:overflowPunct/>
              <w:topLinePunct w:val="0"/>
              <w:bidi w:val="0"/>
              <w:outlineLvl w:val="9"/>
              <w:rPr>
                <w:rFonts w:hint="eastAsia" w:ascii="宋体" w:hAnsi="宋体" w:eastAsia="宋体" w:cs="宋体"/>
                <w:bCs/>
                <w:color w:val="auto"/>
                <w:spacing w:val="16"/>
                <w:sz w:val="21"/>
                <w:szCs w:val="21"/>
                <w:highlight w:val="none"/>
              </w:rPr>
            </w:pPr>
          </w:p>
        </w:tc>
        <w:tc>
          <w:tcPr>
            <w:tcW w:w="2001" w:type="dxa"/>
            <w:gridSpan w:val="3"/>
          </w:tcPr>
          <w:p>
            <w:pPr>
              <w:pStyle w:val="40"/>
              <w:keepNext w:val="0"/>
              <w:keepLines w:val="0"/>
              <w:pageBreakBefore w:val="0"/>
              <w:shd w:val="clear" w:color="auto" w:fill="FFFFFF"/>
              <w:kinsoku/>
              <w:wordWrap/>
              <w:overflowPunct/>
              <w:topLinePunct w:val="0"/>
              <w:bidi w:val="0"/>
              <w:outlineLvl w:val="9"/>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16"/>
                <w:sz w:val="21"/>
                <w:szCs w:val="21"/>
                <w:highlight w:val="none"/>
              </w:rPr>
              <w:t>企业性质</w:t>
            </w:r>
          </w:p>
        </w:tc>
        <w:tc>
          <w:tcPr>
            <w:tcW w:w="2151" w:type="dxa"/>
            <w:gridSpan w:val="2"/>
          </w:tcPr>
          <w:p>
            <w:pPr>
              <w:pStyle w:val="40"/>
              <w:keepNext w:val="0"/>
              <w:keepLines w:val="0"/>
              <w:pageBreakBefore w:val="0"/>
              <w:shd w:val="clear" w:color="auto" w:fill="FFFFFF"/>
              <w:kinsoku/>
              <w:wordWrap/>
              <w:overflowPunct/>
              <w:topLinePunct w:val="0"/>
              <w:bidi w:val="0"/>
              <w:outlineLvl w:val="9"/>
              <w:rPr>
                <w:rFonts w:hint="eastAsia" w:ascii="宋体" w:hAnsi="宋体" w:eastAsia="宋体" w:cs="宋体"/>
                <w:bCs/>
                <w:color w:val="auto"/>
                <w:spacing w:val="16"/>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001" w:type="dxa"/>
          </w:tcPr>
          <w:p>
            <w:pPr>
              <w:pStyle w:val="40"/>
              <w:keepNext w:val="0"/>
              <w:keepLines w:val="0"/>
              <w:pageBreakBefore w:val="0"/>
              <w:shd w:val="clear" w:color="auto" w:fill="FFFFFF"/>
              <w:kinsoku/>
              <w:wordWrap/>
              <w:overflowPunct/>
              <w:topLinePunct w:val="0"/>
              <w:bidi w:val="0"/>
              <w:outlineLvl w:val="9"/>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27"/>
                <w:sz w:val="21"/>
                <w:szCs w:val="21"/>
                <w:highlight w:val="none"/>
              </w:rPr>
              <w:t>股东姓名</w:t>
            </w:r>
          </w:p>
        </w:tc>
        <w:tc>
          <w:tcPr>
            <w:tcW w:w="633" w:type="dxa"/>
          </w:tcPr>
          <w:p>
            <w:pPr>
              <w:pStyle w:val="40"/>
              <w:keepNext w:val="0"/>
              <w:keepLines w:val="0"/>
              <w:pageBreakBefore w:val="0"/>
              <w:shd w:val="clear" w:color="auto" w:fill="FFFFFF"/>
              <w:kinsoku/>
              <w:wordWrap/>
              <w:overflowPunct/>
              <w:topLinePunct w:val="0"/>
              <w:bidi w:val="0"/>
              <w:spacing w:before="0" w:beforeAutospacing="0" w:after="0" w:afterAutospacing="0"/>
              <w:outlineLvl w:val="9"/>
              <w:rPr>
                <w:rFonts w:hint="eastAsia" w:ascii="宋体" w:hAnsi="宋体" w:eastAsia="宋体" w:cs="宋体"/>
                <w:bCs/>
                <w:color w:val="auto"/>
                <w:spacing w:val="16"/>
                <w:sz w:val="21"/>
                <w:szCs w:val="21"/>
                <w:highlight w:val="none"/>
              </w:rPr>
            </w:pPr>
          </w:p>
        </w:tc>
        <w:tc>
          <w:tcPr>
            <w:tcW w:w="910" w:type="dxa"/>
          </w:tcPr>
          <w:p>
            <w:pPr>
              <w:pStyle w:val="40"/>
              <w:keepNext w:val="0"/>
              <w:keepLines w:val="0"/>
              <w:pageBreakBefore w:val="0"/>
              <w:shd w:val="clear" w:color="auto" w:fill="FFFFFF"/>
              <w:kinsoku/>
              <w:wordWrap/>
              <w:overflowPunct/>
              <w:topLinePunct w:val="0"/>
              <w:bidi w:val="0"/>
              <w:outlineLvl w:val="9"/>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16"/>
                <w:sz w:val="21"/>
                <w:szCs w:val="21"/>
                <w:highlight w:val="none"/>
              </w:rPr>
              <w:t>股权结构（%）</w:t>
            </w:r>
          </w:p>
        </w:tc>
        <w:tc>
          <w:tcPr>
            <w:tcW w:w="2368" w:type="dxa"/>
            <w:gridSpan w:val="4"/>
          </w:tcPr>
          <w:p>
            <w:pPr>
              <w:keepNext w:val="0"/>
              <w:keepLines w:val="0"/>
              <w:pageBreakBefore w:val="0"/>
              <w:widowControl/>
              <w:kinsoku/>
              <w:wordWrap/>
              <w:overflowPunct/>
              <w:topLinePunct w:val="0"/>
              <w:bidi w:val="0"/>
              <w:jc w:val="left"/>
              <w:outlineLvl w:val="9"/>
              <w:rPr>
                <w:rFonts w:hint="eastAsia" w:ascii="宋体" w:hAnsi="宋体" w:eastAsia="宋体" w:cs="宋体"/>
                <w:bCs/>
                <w:color w:val="auto"/>
                <w:spacing w:val="16"/>
                <w:kern w:val="0"/>
                <w:szCs w:val="21"/>
                <w:highlight w:val="none"/>
              </w:rPr>
            </w:pPr>
          </w:p>
          <w:p>
            <w:pPr>
              <w:pStyle w:val="40"/>
              <w:keepNext w:val="0"/>
              <w:keepLines w:val="0"/>
              <w:pageBreakBefore w:val="0"/>
              <w:shd w:val="clear" w:color="auto" w:fill="FFFFFF"/>
              <w:kinsoku/>
              <w:wordWrap/>
              <w:overflowPunct/>
              <w:topLinePunct w:val="0"/>
              <w:bidi w:val="0"/>
              <w:outlineLvl w:val="9"/>
              <w:rPr>
                <w:rFonts w:hint="eastAsia" w:ascii="宋体" w:hAnsi="宋体" w:eastAsia="宋体" w:cs="宋体"/>
                <w:bCs/>
                <w:color w:val="auto"/>
                <w:spacing w:val="16"/>
                <w:sz w:val="21"/>
                <w:szCs w:val="21"/>
                <w:highlight w:val="none"/>
              </w:rPr>
            </w:pPr>
          </w:p>
        </w:tc>
        <w:tc>
          <w:tcPr>
            <w:tcW w:w="2001" w:type="dxa"/>
            <w:gridSpan w:val="3"/>
          </w:tcPr>
          <w:p>
            <w:pPr>
              <w:pStyle w:val="40"/>
              <w:keepNext w:val="0"/>
              <w:keepLines w:val="0"/>
              <w:pageBreakBefore w:val="0"/>
              <w:shd w:val="clear" w:color="auto" w:fill="FFFFFF"/>
              <w:kinsoku/>
              <w:wordWrap/>
              <w:overflowPunct/>
              <w:topLinePunct w:val="0"/>
              <w:bidi w:val="0"/>
              <w:ind w:left="107"/>
              <w:outlineLvl w:val="9"/>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16"/>
                <w:sz w:val="21"/>
                <w:szCs w:val="21"/>
                <w:highlight w:val="none"/>
              </w:rPr>
              <w:t>股东关系</w:t>
            </w:r>
          </w:p>
        </w:tc>
        <w:tc>
          <w:tcPr>
            <w:tcW w:w="2151" w:type="dxa"/>
            <w:gridSpan w:val="2"/>
          </w:tcPr>
          <w:p>
            <w:pPr>
              <w:pStyle w:val="40"/>
              <w:keepNext w:val="0"/>
              <w:keepLines w:val="0"/>
              <w:pageBreakBefore w:val="0"/>
              <w:shd w:val="clear" w:color="auto" w:fill="FFFFFF"/>
              <w:kinsoku/>
              <w:wordWrap/>
              <w:overflowPunct/>
              <w:topLinePunct w:val="0"/>
              <w:bidi w:val="0"/>
              <w:ind w:left="107"/>
              <w:outlineLvl w:val="9"/>
              <w:rPr>
                <w:rFonts w:hint="eastAsia" w:ascii="宋体" w:hAnsi="宋体" w:eastAsia="宋体" w:cs="宋体"/>
                <w:bCs/>
                <w:color w:val="auto"/>
                <w:spacing w:val="16"/>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001" w:type="dxa"/>
            <w:vMerge w:val="restart"/>
          </w:tcPr>
          <w:p>
            <w:pPr>
              <w:pStyle w:val="40"/>
              <w:keepNext w:val="0"/>
              <w:keepLines w:val="0"/>
              <w:pageBreakBefore w:val="0"/>
              <w:shd w:val="clear" w:color="auto" w:fill="FFFFFF"/>
              <w:kinsoku/>
              <w:wordWrap/>
              <w:overflowPunct/>
              <w:topLinePunct w:val="0"/>
              <w:bidi w:val="0"/>
              <w:outlineLvl w:val="9"/>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12"/>
                <w:sz w:val="21"/>
                <w:szCs w:val="21"/>
                <w:highlight w:val="none"/>
              </w:rPr>
              <w:t>联系人</w:t>
            </w:r>
            <w:r>
              <w:rPr>
                <w:rFonts w:hint="eastAsia" w:ascii="宋体" w:hAnsi="宋体" w:eastAsia="宋体" w:cs="宋体"/>
                <w:bCs/>
                <w:color w:val="auto"/>
                <w:spacing w:val="27"/>
                <w:sz w:val="21"/>
                <w:szCs w:val="21"/>
                <w:highlight w:val="none"/>
              </w:rPr>
              <w:t>姓名</w:t>
            </w:r>
          </w:p>
        </w:tc>
        <w:tc>
          <w:tcPr>
            <w:tcW w:w="633" w:type="dxa"/>
            <w:vMerge w:val="restart"/>
            <w:tcBorders>
              <w:top w:val="nil"/>
            </w:tcBorders>
          </w:tcPr>
          <w:p>
            <w:pPr>
              <w:pStyle w:val="40"/>
              <w:keepNext w:val="0"/>
              <w:keepLines w:val="0"/>
              <w:pageBreakBefore w:val="0"/>
              <w:shd w:val="clear" w:color="auto" w:fill="FFFFFF"/>
              <w:kinsoku/>
              <w:wordWrap/>
              <w:overflowPunct/>
              <w:topLinePunct w:val="0"/>
              <w:bidi w:val="0"/>
              <w:outlineLvl w:val="9"/>
              <w:rPr>
                <w:rFonts w:hint="eastAsia" w:ascii="宋体" w:hAnsi="宋体" w:eastAsia="宋体" w:cs="宋体"/>
                <w:bCs/>
                <w:color w:val="auto"/>
                <w:spacing w:val="16"/>
                <w:sz w:val="21"/>
                <w:szCs w:val="21"/>
                <w:highlight w:val="none"/>
              </w:rPr>
            </w:pPr>
          </w:p>
        </w:tc>
        <w:tc>
          <w:tcPr>
            <w:tcW w:w="910" w:type="dxa"/>
            <w:tcBorders>
              <w:top w:val="nil"/>
            </w:tcBorders>
          </w:tcPr>
          <w:p>
            <w:pPr>
              <w:pStyle w:val="40"/>
              <w:keepNext w:val="0"/>
              <w:keepLines w:val="0"/>
              <w:pageBreakBefore w:val="0"/>
              <w:shd w:val="clear" w:color="auto" w:fill="FFFFFF"/>
              <w:kinsoku/>
              <w:wordWrap/>
              <w:overflowPunct/>
              <w:topLinePunct w:val="0"/>
              <w:bidi w:val="0"/>
              <w:outlineLvl w:val="9"/>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16"/>
                <w:sz w:val="21"/>
                <w:szCs w:val="21"/>
                <w:highlight w:val="none"/>
              </w:rPr>
              <w:t>固定电话</w:t>
            </w:r>
          </w:p>
        </w:tc>
        <w:tc>
          <w:tcPr>
            <w:tcW w:w="2368" w:type="dxa"/>
            <w:gridSpan w:val="4"/>
            <w:tcBorders>
              <w:top w:val="nil"/>
            </w:tcBorders>
          </w:tcPr>
          <w:p>
            <w:pPr>
              <w:keepNext w:val="0"/>
              <w:keepLines w:val="0"/>
              <w:pageBreakBefore w:val="0"/>
              <w:widowControl/>
              <w:kinsoku/>
              <w:wordWrap/>
              <w:overflowPunct/>
              <w:topLinePunct w:val="0"/>
              <w:bidi w:val="0"/>
              <w:jc w:val="left"/>
              <w:outlineLvl w:val="9"/>
              <w:rPr>
                <w:rFonts w:hint="eastAsia" w:ascii="宋体" w:hAnsi="宋体" w:eastAsia="宋体" w:cs="宋体"/>
                <w:bCs/>
                <w:color w:val="auto"/>
                <w:spacing w:val="16"/>
                <w:kern w:val="0"/>
                <w:szCs w:val="21"/>
                <w:highlight w:val="none"/>
              </w:rPr>
            </w:pPr>
          </w:p>
          <w:p>
            <w:pPr>
              <w:pStyle w:val="40"/>
              <w:keepNext w:val="0"/>
              <w:keepLines w:val="0"/>
              <w:pageBreakBefore w:val="0"/>
              <w:shd w:val="clear" w:color="auto" w:fill="FFFFFF"/>
              <w:kinsoku/>
              <w:wordWrap/>
              <w:overflowPunct/>
              <w:topLinePunct w:val="0"/>
              <w:bidi w:val="0"/>
              <w:outlineLvl w:val="9"/>
              <w:rPr>
                <w:rFonts w:hint="eastAsia" w:ascii="宋体" w:hAnsi="宋体" w:eastAsia="宋体" w:cs="宋体"/>
                <w:bCs/>
                <w:color w:val="auto"/>
                <w:spacing w:val="16"/>
                <w:sz w:val="21"/>
                <w:szCs w:val="21"/>
                <w:highlight w:val="none"/>
              </w:rPr>
            </w:pPr>
          </w:p>
        </w:tc>
        <w:tc>
          <w:tcPr>
            <w:tcW w:w="2001" w:type="dxa"/>
            <w:gridSpan w:val="3"/>
            <w:vMerge w:val="restart"/>
          </w:tcPr>
          <w:p>
            <w:pPr>
              <w:pStyle w:val="40"/>
              <w:keepNext w:val="0"/>
              <w:keepLines w:val="0"/>
              <w:pageBreakBefore w:val="0"/>
              <w:shd w:val="clear" w:color="auto" w:fill="FFFFFF"/>
              <w:kinsoku/>
              <w:wordWrap/>
              <w:overflowPunct/>
              <w:topLinePunct w:val="0"/>
              <w:bidi w:val="0"/>
              <w:spacing w:before="0" w:beforeAutospacing="0" w:after="0" w:afterAutospacing="0"/>
              <w:outlineLvl w:val="9"/>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16"/>
                <w:sz w:val="21"/>
                <w:szCs w:val="21"/>
                <w:highlight w:val="none"/>
              </w:rPr>
              <w:t>传真</w:t>
            </w:r>
          </w:p>
        </w:tc>
        <w:tc>
          <w:tcPr>
            <w:tcW w:w="2151" w:type="dxa"/>
            <w:gridSpan w:val="2"/>
            <w:vMerge w:val="restart"/>
          </w:tcPr>
          <w:p>
            <w:pPr>
              <w:pStyle w:val="40"/>
              <w:keepNext w:val="0"/>
              <w:keepLines w:val="0"/>
              <w:pageBreakBefore w:val="0"/>
              <w:shd w:val="clear" w:color="auto" w:fill="FFFFFF"/>
              <w:kinsoku/>
              <w:wordWrap/>
              <w:overflowPunct/>
              <w:topLinePunct w:val="0"/>
              <w:bidi w:val="0"/>
              <w:outlineLvl w:val="9"/>
              <w:rPr>
                <w:rFonts w:hint="eastAsia" w:ascii="宋体" w:hAnsi="宋体" w:eastAsia="宋体" w:cs="宋体"/>
                <w:bCs/>
                <w:color w:val="auto"/>
                <w:spacing w:val="16"/>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1001" w:type="dxa"/>
            <w:vMerge w:val="continue"/>
          </w:tcPr>
          <w:p>
            <w:pPr>
              <w:pStyle w:val="40"/>
              <w:keepNext w:val="0"/>
              <w:keepLines w:val="0"/>
              <w:pageBreakBefore w:val="0"/>
              <w:shd w:val="clear" w:color="auto" w:fill="FFFFFF"/>
              <w:kinsoku/>
              <w:wordWrap/>
              <w:overflowPunct/>
              <w:topLinePunct w:val="0"/>
              <w:bidi w:val="0"/>
              <w:ind w:left="107"/>
              <w:outlineLvl w:val="9"/>
              <w:rPr>
                <w:rFonts w:hint="eastAsia" w:ascii="宋体" w:hAnsi="宋体" w:eastAsia="宋体" w:cs="宋体"/>
                <w:bCs/>
                <w:color w:val="auto"/>
                <w:sz w:val="21"/>
                <w:szCs w:val="21"/>
                <w:highlight w:val="none"/>
              </w:rPr>
            </w:pPr>
          </w:p>
        </w:tc>
        <w:tc>
          <w:tcPr>
            <w:tcW w:w="633" w:type="dxa"/>
            <w:vMerge w:val="continue"/>
          </w:tcPr>
          <w:p>
            <w:pPr>
              <w:pStyle w:val="40"/>
              <w:keepNext w:val="0"/>
              <w:keepLines w:val="0"/>
              <w:pageBreakBefore w:val="0"/>
              <w:shd w:val="clear" w:color="auto" w:fill="FFFFFF"/>
              <w:kinsoku/>
              <w:wordWrap/>
              <w:overflowPunct/>
              <w:topLinePunct w:val="0"/>
              <w:bidi w:val="0"/>
              <w:outlineLvl w:val="9"/>
              <w:rPr>
                <w:rFonts w:hint="eastAsia" w:ascii="宋体" w:hAnsi="宋体" w:eastAsia="宋体" w:cs="宋体"/>
                <w:bCs/>
                <w:color w:val="auto"/>
                <w:spacing w:val="16"/>
                <w:sz w:val="21"/>
                <w:szCs w:val="21"/>
                <w:highlight w:val="none"/>
              </w:rPr>
            </w:pPr>
          </w:p>
        </w:tc>
        <w:tc>
          <w:tcPr>
            <w:tcW w:w="910" w:type="dxa"/>
          </w:tcPr>
          <w:p>
            <w:pPr>
              <w:pStyle w:val="40"/>
              <w:keepNext w:val="0"/>
              <w:keepLines w:val="0"/>
              <w:pageBreakBefore w:val="0"/>
              <w:shd w:val="clear" w:color="auto" w:fill="FFFFFF"/>
              <w:kinsoku/>
              <w:wordWrap/>
              <w:overflowPunct/>
              <w:topLinePunct w:val="0"/>
              <w:bidi w:val="0"/>
              <w:outlineLvl w:val="9"/>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27"/>
                <w:sz w:val="21"/>
                <w:szCs w:val="21"/>
                <w:highlight w:val="none"/>
              </w:rPr>
              <w:t>手机</w:t>
            </w:r>
          </w:p>
        </w:tc>
        <w:tc>
          <w:tcPr>
            <w:tcW w:w="2368" w:type="dxa"/>
            <w:gridSpan w:val="4"/>
          </w:tcPr>
          <w:p>
            <w:pPr>
              <w:pStyle w:val="40"/>
              <w:keepNext w:val="0"/>
              <w:keepLines w:val="0"/>
              <w:pageBreakBefore w:val="0"/>
              <w:shd w:val="clear" w:color="auto" w:fill="FFFFFF"/>
              <w:kinsoku/>
              <w:wordWrap/>
              <w:overflowPunct/>
              <w:topLinePunct w:val="0"/>
              <w:bidi w:val="0"/>
              <w:outlineLvl w:val="9"/>
              <w:rPr>
                <w:rFonts w:hint="eastAsia" w:ascii="宋体" w:hAnsi="宋体" w:eastAsia="宋体" w:cs="宋体"/>
                <w:bCs/>
                <w:color w:val="auto"/>
                <w:spacing w:val="16"/>
                <w:sz w:val="21"/>
                <w:szCs w:val="21"/>
                <w:highlight w:val="none"/>
              </w:rPr>
            </w:pPr>
          </w:p>
        </w:tc>
        <w:tc>
          <w:tcPr>
            <w:tcW w:w="2001" w:type="dxa"/>
            <w:gridSpan w:val="3"/>
            <w:vMerge w:val="continue"/>
          </w:tcPr>
          <w:p>
            <w:pPr>
              <w:pStyle w:val="40"/>
              <w:keepNext w:val="0"/>
              <w:keepLines w:val="0"/>
              <w:pageBreakBefore w:val="0"/>
              <w:shd w:val="clear" w:color="auto" w:fill="FFFFFF"/>
              <w:kinsoku/>
              <w:wordWrap/>
              <w:overflowPunct/>
              <w:topLinePunct w:val="0"/>
              <w:bidi w:val="0"/>
              <w:outlineLvl w:val="9"/>
              <w:rPr>
                <w:rFonts w:hint="eastAsia" w:ascii="宋体" w:hAnsi="宋体" w:eastAsia="宋体" w:cs="宋体"/>
                <w:bCs/>
                <w:color w:val="auto"/>
                <w:spacing w:val="16"/>
                <w:sz w:val="21"/>
                <w:szCs w:val="21"/>
                <w:highlight w:val="none"/>
              </w:rPr>
            </w:pPr>
          </w:p>
        </w:tc>
        <w:tc>
          <w:tcPr>
            <w:tcW w:w="2151" w:type="dxa"/>
            <w:gridSpan w:val="2"/>
            <w:vMerge w:val="continue"/>
          </w:tcPr>
          <w:p>
            <w:pPr>
              <w:pStyle w:val="40"/>
              <w:keepNext w:val="0"/>
              <w:keepLines w:val="0"/>
              <w:pageBreakBefore w:val="0"/>
              <w:shd w:val="clear" w:color="auto" w:fill="FFFFFF"/>
              <w:kinsoku/>
              <w:wordWrap/>
              <w:overflowPunct/>
              <w:topLinePunct w:val="0"/>
              <w:bidi w:val="0"/>
              <w:outlineLvl w:val="9"/>
              <w:rPr>
                <w:rFonts w:hint="eastAsia" w:ascii="宋体" w:hAnsi="宋体" w:eastAsia="宋体" w:cs="宋体"/>
                <w:bCs/>
                <w:color w:val="auto"/>
                <w:spacing w:val="16"/>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1001" w:type="dxa"/>
            <w:vMerge w:val="restart"/>
          </w:tcPr>
          <w:p>
            <w:pPr>
              <w:pStyle w:val="40"/>
              <w:keepNext w:val="0"/>
              <w:keepLines w:val="0"/>
              <w:pageBreakBefore w:val="0"/>
              <w:shd w:val="clear" w:color="auto" w:fill="FFFFFF"/>
              <w:kinsoku/>
              <w:wordWrap/>
              <w:overflowPunct/>
              <w:topLinePunct w:val="0"/>
              <w:bidi w:val="0"/>
              <w:ind w:left="107"/>
              <w:outlineLvl w:val="9"/>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一、</w:t>
            </w:r>
          </w:p>
          <w:p>
            <w:pPr>
              <w:pStyle w:val="40"/>
              <w:keepNext w:val="0"/>
              <w:keepLines w:val="0"/>
              <w:pageBreakBefore w:val="0"/>
              <w:shd w:val="clear" w:color="auto" w:fill="FFFFFF"/>
              <w:kinsoku/>
              <w:wordWrap/>
              <w:overflowPunct/>
              <w:topLinePunct w:val="0"/>
              <w:bidi w:val="0"/>
              <w:ind w:left="107"/>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企</w:t>
            </w:r>
          </w:p>
          <w:p>
            <w:pPr>
              <w:pStyle w:val="40"/>
              <w:keepNext w:val="0"/>
              <w:keepLines w:val="0"/>
              <w:pageBreakBefore w:val="0"/>
              <w:shd w:val="clear" w:color="auto" w:fill="FFFFFF"/>
              <w:kinsoku/>
              <w:wordWrap/>
              <w:overflowPunct/>
              <w:topLinePunct w:val="0"/>
              <w:bidi w:val="0"/>
              <w:ind w:left="107"/>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业</w:t>
            </w:r>
          </w:p>
          <w:p>
            <w:pPr>
              <w:pStyle w:val="40"/>
              <w:keepNext w:val="0"/>
              <w:keepLines w:val="0"/>
              <w:pageBreakBefore w:val="0"/>
              <w:shd w:val="clear" w:color="auto" w:fill="FFFFFF"/>
              <w:kinsoku/>
              <w:wordWrap/>
              <w:overflowPunct/>
              <w:topLinePunct w:val="0"/>
              <w:bidi w:val="0"/>
              <w:ind w:left="107"/>
              <w:outlineLvl w:val="9"/>
              <w:rPr>
                <w:rFonts w:hint="eastAsia" w:ascii="宋体" w:hAnsi="宋体" w:eastAsia="宋体" w:cs="宋体"/>
                <w:bCs/>
                <w:color w:val="auto"/>
                <w:spacing w:val="27"/>
                <w:sz w:val="21"/>
                <w:szCs w:val="21"/>
                <w:highlight w:val="none"/>
              </w:rPr>
            </w:pPr>
            <w:r>
              <w:rPr>
                <w:rFonts w:hint="eastAsia" w:ascii="宋体" w:hAnsi="宋体" w:eastAsia="宋体" w:cs="宋体"/>
                <w:bCs/>
                <w:color w:val="auto"/>
                <w:spacing w:val="27"/>
                <w:sz w:val="21"/>
                <w:szCs w:val="21"/>
                <w:highlight w:val="none"/>
              </w:rPr>
              <w:t>概</w:t>
            </w:r>
          </w:p>
          <w:p>
            <w:pPr>
              <w:pStyle w:val="40"/>
              <w:keepNext w:val="0"/>
              <w:keepLines w:val="0"/>
              <w:pageBreakBefore w:val="0"/>
              <w:shd w:val="clear" w:color="auto" w:fill="FFFFFF"/>
              <w:kinsoku/>
              <w:wordWrap/>
              <w:overflowPunct/>
              <w:topLinePunct w:val="0"/>
              <w:bidi w:val="0"/>
              <w:ind w:left="107"/>
              <w:outlineLvl w:val="9"/>
              <w:rPr>
                <w:rFonts w:hint="eastAsia" w:ascii="宋体" w:hAnsi="宋体" w:eastAsia="宋体" w:cs="宋体"/>
                <w:bCs/>
                <w:color w:val="auto"/>
                <w:sz w:val="21"/>
                <w:szCs w:val="21"/>
                <w:highlight w:val="none"/>
              </w:rPr>
            </w:pPr>
            <w:r>
              <w:rPr>
                <w:rFonts w:hint="eastAsia" w:ascii="宋体" w:hAnsi="宋体" w:eastAsia="宋体" w:cs="宋体"/>
                <w:bCs/>
                <w:color w:val="auto"/>
                <w:spacing w:val="27"/>
                <w:sz w:val="21"/>
                <w:szCs w:val="21"/>
                <w:highlight w:val="none"/>
              </w:rPr>
              <w:t>况</w:t>
            </w:r>
          </w:p>
        </w:tc>
        <w:tc>
          <w:tcPr>
            <w:tcW w:w="633" w:type="dxa"/>
            <w:tcBorders>
              <w:top w:val="nil"/>
            </w:tcBorders>
          </w:tcPr>
          <w:p>
            <w:pPr>
              <w:pStyle w:val="40"/>
              <w:keepNext w:val="0"/>
              <w:keepLines w:val="0"/>
              <w:pageBreakBefore w:val="0"/>
              <w:shd w:val="clear" w:color="auto" w:fill="FFFFFF"/>
              <w:kinsoku/>
              <w:wordWrap/>
              <w:overflowPunct/>
              <w:topLinePunct w:val="0"/>
              <w:bidi w:val="0"/>
              <w:outlineLvl w:val="9"/>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16"/>
                <w:sz w:val="21"/>
                <w:szCs w:val="21"/>
                <w:highlight w:val="none"/>
              </w:rPr>
              <w:t>职工人数</w:t>
            </w:r>
          </w:p>
        </w:tc>
        <w:tc>
          <w:tcPr>
            <w:tcW w:w="910" w:type="dxa"/>
            <w:tcBorders>
              <w:top w:val="nil"/>
            </w:tcBorders>
          </w:tcPr>
          <w:p>
            <w:pPr>
              <w:pStyle w:val="40"/>
              <w:keepNext w:val="0"/>
              <w:keepLines w:val="0"/>
              <w:pageBreakBefore w:val="0"/>
              <w:shd w:val="clear" w:color="auto" w:fill="FFFFFF"/>
              <w:kinsoku/>
              <w:wordWrap/>
              <w:overflowPunct/>
              <w:topLinePunct w:val="0"/>
              <w:bidi w:val="0"/>
              <w:outlineLvl w:val="9"/>
              <w:rPr>
                <w:rFonts w:hint="eastAsia" w:ascii="宋体" w:hAnsi="宋体" w:eastAsia="宋体" w:cs="宋体"/>
                <w:bCs/>
                <w:color w:val="auto"/>
                <w:spacing w:val="16"/>
                <w:sz w:val="21"/>
                <w:szCs w:val="21"/>
                <w:highlight w:val="none"/>
              </w:rPr>
            </w:pPr>
          </w:p>
        </w:tc>
        <w:tc>
          <w:tcPr>
            <w:tcW w:w="1163" w:type="dxa"/>
            <w:gridSpan w:val="2"/>
            <w:tcBorders>
              <w:top w:val="nil"/>
            </w:tcBorders>
          </w:tcPr>
          <w:p>
            <w:pPr>
              <w:pStyle w:val="40"/>
              <w:keepNext w:val="0"/>
              <w:keepLines w:val="0"/>
              <w:pageBreakBefore w:val="0"/>
              <w:shd w:val="clear" w:color="auto" w:fill="FFFFFF"/>
              <w:kinsoku/>
              <w:wordWrap/>
              <w:overflowPunct/>
              <w:topLinePunct w:val="0"/>
              <w:bidi w:val="0"/>
              <w:spacing w:before="0" w:beforeAutospacing="0" w:after="0" w:afterAutospacing="0"/>
              <w:outlineLvl w:val="9"/>
              <w:rPr>
                <w:rFonts w:hint="eastAsia" w:ascii="宋体" w:hAnsi="宋体" w:eastAsia="宋体" w:cs="宋体"/>
                <w:bCs/>
                <w:color w:val="auto"/>
                <w:sz w:val="21"/>
                <w:szCs w:val="21"/>
                <w:highlight w:val="none"/>
              </w:rPr>
            </w:pPr>
            <w:r>
              <w:rPr>
                <w:rFonts w:hint="eastAsia" w:ascii="宋体" w:hAnsi="宋体" w:eastAsia="宋体" w:cs="宋体"/>
                <w:bCs/>
                <w:color w:val="auto"/>
                <w:spacing w:val="18"/>
                <w:sz w:val="21"/>
                <w:szCs w:val="21"/>
                <w:highlight w:val="none"/>
              </w:rPr>
              <w:t>具备大专以</w:t>
            </w:r>
            <w:r>
              <w:rPr>
                <w:rFonts w:hint="eastAsia" w:ascii="宋体" w:hAnsi="宋体" w:eastAsia="宋体" w:cs="宋体"/>
                <w:bCs/>
                <w:color w:val="auto"/>
                <w:spacing w:val="12"/>
                <w:sz w:val="21"/>
                <w:szCs w:val="21"/>
                <w:highlight w:val="none"/>
              </w:rPr>
              <w:t>上学历人数</w:t>
            </w:r>
          </w:p>
        </w:tc>
        <w:tc>
          <w:tcPr>
            <w:tcW w:w="1205" w:type="dxa"/>
            <w:gridSpan w:val="2"/>
            <w:tcBorders>
              <w:top w:val="nil"/>
            </w:tcBorders>
          </w:tcPr>
          <w:p>
            <w:pPr>
              <w:keepNext w:val="0"/>
              <w:keepLines w:val="0"/>
              <w:pageBreakBefore w:val="0"/>
              <w:widowControl/>
              <w:kinsoku/>
              <w:wordWrap/>
              <w:overflowPunct/>
              <w:topLinePunct w:val="0"/>
              <w:bidi w:val="0"/>
              <w:jc w:val="left"/>
              <w:outlineLvl w:val="9"/>
              <w:rPr>
                <w:rFonts w:hint="eastAsia" w:ascii="宋体" w:hAnsi="宋体" w:eastAsia="宋体" w:cs="宋体"/>
                <w:bCs/>
                <w:color w:val="auto"/>
                <w:spacing w:val="16"/>
                <w:kern w:val="0"/>
                <w:szCs w:val="21"/>
                <w:highlight w:val="none"/>
              </w:rPr>
            </w:pPr>
          </w:p>
          <w:p>
            <w:pPr>
              <w:keepNext w:val="0"/>
              <w:keepLines w:val="0"/>
              <w:pageBreakBefore w:val="0"/>
              <w:widowControl/>
              <w:kinsoku/>
              <w:wordWrap/>
              <w:overflowPunct/>
              <w:topLinePunct w:val="0"/>
              <w:bidi w:val="0"/>
              <w:jc w:val="left"/>
              <w:outlineLvl w:val="9"/>
              <w:rPr>
                <w:rFonts w:hint="eastAsia" w:ascii="宋体" w:hAnsi="宋体" w:eastAsia="宋体" w:cs="宋体"/>
                <w:bCs/>
                <w:color w:val="auto"/>
                <w:spacing w:val="16"/>
                <w:kern w:val="0"/>
                <w:szCs w:val="21"/>
                <w:highlight w:val="none"/>
              </w:rPr>
            </w:pPr>
          </w:p>
          <w:p>
            <w:pPr>
              <w:pStyle w:val="40"/>
              <w:keepNext w:val="0"/>
              <w:keepLines w:val="0"/>
              <w:pageBreakBefore w:val="0"/>
              <w:shd w:val="clear" w:color="auto" w:fill="FFFFFF"/>
              <w:kinsoku/>
              <w:wordWrap/>
              <w:overflowPunct/>
              <w:topLinePunct w:val="0"/>
              <w:bidi w:val="0"/>
              <w:outlineLvl w:val="9"/>
              <w:rPr>
                <w:rFonts w:hint="eastAsia" w:ascii="宋体" w:hAnsi="宋体" w:eastAsia="宋体" w:cs="宋体"/>
                <w:bCs/>
                <w:color w:val="auto"/>
                <w:spacing w:val="16"/>
                <w:sz w:val="21"/>
                <w:szCs w:val="21"/>
                <w:highlight w:val="none"/>
              </w:rPr>
            </w:pPr>
          </w:p>
        </w:tc>
        <w:tc>
          <w:tcPr>
            <w:tcW w:w="2001" w:type="dxa"/>
            <w:gridSpan w:val="3"/>
          </w:tcPr>
          <w:p>
            <w:pPr>
              <w:pStyle w:val="40"/>
              <w:keepNext w:val="0"/>
              <w:keepLines w:val="0"/>
              <w:pageBreakBefore w:val="0"/>
              <w:shd w:val="clear" w:color="auto" w:fill="FFFFFF"/>
              <w:kinsoku/>
              <w:wordWrap/>
              <w:overflowPunct/>
              <w:topLinePunct w:val="0"/>
              <w:bidi w:val="0"/>
              <w:outlineLvl w:val="9"/>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65"/>
                <w:sz w:val="21"/>
                <w:szCs w:val="21"/>
                <w:highlight w:val="none"/>
              </w:rPr>
              <w:t>国家授予技</w:t>
            </w:r>
            <w:r>
              <w:rPr>
                <w:rFonts w:hint="eastAsia" w:ascii="宋体" w:hAnsi="宋体" w:eastAsia="宋体" w:cs="宋体"/>
                <w:bCs/>
                <w:color w:val="auto"/>
                <w:spacing w:val="12"/>
                <w:sz w:val="21"/>
                <w:szCs w:val="21"/>
                <w:highlight w:val="none"/>
              </w:rPr>
              <w:t>术职称人数</w:t>
            </w:r>
          </w:p>
        </w:tc>
        <w:tc>
          <w:tcPr>
            <w:tcW w:w="2151" w:type="dxa"/>
            <w:gridSpan w:val="2"/>
          </w:tcPr>
          <w:p>
            <w:pPr>
              <w:keepNext w:val="0"/>
              <w:keepLines w:val="0"/>
              <w:pageBreakBefore w:val="0"/>
              <w:widowControl/>
              <w:kinsoku/>
              <w:wordWrap/>
              <w:overflowPunct/>
              <w:topLinePunct w:val="0"/>
              <w:bidi w:val="0"/>
              <w:jc w:val="left"/>
              <w:outlineLvl w:val="9"/>
              <w:rPr>
                <w:rFonts w:hint="eastAsia" w:ascii="宋体" w:hAnsi="宋体" w:eastAsia="宋体" w:cs="宋体"/>
                <w:bCs/>
                <w:color w:val="auto"/>
                <w:spacing w:val="16"/>
                <w:kern w:val="0"/>
                <w:szCs w:val="21"/>
                <w:highlight w:val="none"/>
              </w:rPr>
            </w:pPr>
          </w:p>
          <w:p>
            <w:pPr>
              <w:pStyle w:val="40"/>
              <w:keepNext w:val="0"/>
              <w:keepLines w:val="0"/>
              <w:pageBreakBefore w:val="0"/>
              <w:shd w:val="clear" w:color="auto" w:fill="FFFFFF"/>
              <w:kinsoku/>
              <w:wordWrap/>
              <w:overflowPunct/>
              <w:topLinePunct w:val="0"/>
              <w:bidi w:val="0"/>
              <w:outlineLvl w:val="9"/>
              <w:rPr>
                <w:rFonts w:hint="eastAsia" w:ascii="宋体" w:hAnsi="宋体" w:eastAsia="宋体" w:cs="宋体"/>
                <w:bCs/>
                <w:color w:val="auto"/>
                <w:spacing w:val="16"/>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8" w:hRule="atLeast"/>
        </w:trPr>
        <w:tc>
          <w:tcPr>
            <w:tcW w:w="1001" w:type="dxa"/>
            <w:vMerge w:val="continue"/>
          </w:tcPr>
          <w:p>
            <w:pPr>
              <w:pStyle w:val="40"/>
              <w:keepNext w:val="0"/>
              <w:keepLines w:val="0"/>
              <w:pageBreakBefore w:val="0"/>
              <w:shd w:val="clear" w:color="auto" w:fill="FFFFFF"/>
              <w:kinsoku/>
              <w:wordWrap/>
              <w:overflowPunct/>
              <w:topLinePunct w:val="0"/>
              <w:bidi w:val="0"/>
              <w:ind w:left="107"/>
              <w:outlineLvl w:val="9"/>
              <w:rPr>
                <w:rFonts w:hint="eastAsia" w:ascii="宋体" w:hAnsi="宋体" w:eastAsia="宋体" w:cs="宋体"/>
                <w:bCs/>
                <w:color w:val="auto"/>
                <w:sz w:val="21"/>
                <w:szCs w:val="21"/>
                <w:highlight w:val="none"/>
              </w:rPr>
            </w:pPr>
          </w:p>
        </w:tc>
        <w:tc>
          <w:tcPr>
            <w:tcW w:w="633" w:type="dxa"/>
          </w:tcPr>
          <w:p>
            <w:pPr>
              <w:pStyle w:val="40"/>
              <w:keepNext w:val="0"/>
              <w:keepLines w:val="0"/>
              <w:pageBreakBefore w:val="0"/>
              <w:shd w:val="clear" w:color="auto" w:fill="FFFFFF"/>
              <w:kinsoku/>
              <w:wordWrap/>
              <w:overflowPunct/>
              <w:topLinePunct w:val="0"/>
              <w:bidi w:val="0"/>
              <w:outlineLvl w:val="9"/>
              <w:rPr>
                <w:rFonts w:hint="eastAsia" w:ascii="宋体" w:hAnsi="宋体" w:eastAsia="宋体" w:cs="宋体"/>
                <w:bCs/>
                <w:color w:val="auto"/>
                <w:sz w:val="21"/>
                <w:szCs w:val="21"/>
                <w:highlight w:val="none"/>
              </w:rPr>
            </w:pPr>
            <w:r>
              <w:rPr>
                <w:rFonts w:hint="eastAsia" w:ascii="宋体" w:hAnsi="宋体" w:eastAsia="宋体" w:cs="宋体"/>
                <w:bCs/>
                <w:color w:val="auto"/>
                <w:spacing w:val="16"/>
                <w:sz w:val="21"/>
                <w:szCs w:val="21"/>
                <w:highlight w:val="none"/>
              </w:rPr>
              <w:t>占地面积</w:t>
            </w:r>
          </w:p>
        </w:tc>
        <w:tc>
          <w:tcPr>
            <w:tcW w:w="910" w:type="dxa"/>
          </w:tcPr>
          <w:p>
            <w:pPr>
              <w:pStyle w:val="40"/>
              <w:keepNext w:val="0"/>
              <w:keepLines w:val="0"/>
              <w:pageBreakBefore w:val="0"/>
              <w:shd w:val="clear" w:color="auto" w:fill="FFFFFF"/>
              <w:kinsoku/>
              <w:wordWrap/>
              <w:overflowPunct/>
              <w:topLinePunct w:val="0"/>
              <w:bidi w:val="0"/>
              <w:outlineLvl w:val="9"/>
              <w:rPr>
                <w:rFonts w:hint="eastAsia" w:ascii="宋体" w:hAnsi="宋体" w:eastAsia="宋体" w:cs="宋体"/>
                <w:bCs/>
                <w:color w:val="auto"/>
                <w:sz w:val="21"/>
                <w:szCs w:val="21"/>
                <w:highlight w:val="none"/>
              </w:rPr>
            </w:pPr>
          </w:p>
        </w:tc>
        <w:tc>
          <w:tcPr>
            <w:tcW w:w="1163" w:type="dxa"/>
            <w:gridSpan w:val="2"/>
          </w:tcPr>
          <w:p>
            <w:pPr>
              <w:pStyle w:val="40"/>
              <w:keepNext w:val="0"/>
              <w:keepLines w:val="0"/>
              <w:pageBreakBefore w:val="0"/>
              <w:shd w:val="clear" w:color="auto" w:fill="FFFFFF"/>
              <w:kinsoku/>
              <w:wordWrap/>
              <w:overflowPunct/>
              <w:topLinePunct w:val="0"/>
              <w:bidi w:val="0"/>
              <w:outlineLvl w:val="9"/>
              <w:rPr>
                <w:rFonts w:hint="eastAsia" w:ascii="宋体" w:hAnsi="宋体" w:eastAsia="宋体" w:cs="宋体"/>
                <w:bCs/>
                <w:color w:val="auto"/>
                <w:sz w:val="21"/>
                <w:szCs w:val="21"/>
                <w:highlight w:val="none"/>
              </w:rPr>
            </w:pPr>
            <w:r>
              <w:rPr>
                <w:rFonts w:hint="eastAsia" w:ascii="宋体" w:hAnsi="宋体" w:eastAsia="宋体" w:cs="宋体"/>
                <w:bCs/>
                <w:color w:val="auto"/>
                <w:spacing w:val="16"/>
                <w:sz w:val="21"/>
                <w:szCs w:val="21"/>
                <w:highlight w:val="none"/>
              </w:rPr>
              <w:t>建筑面积</w:t>
            </w:r>
          </w:p>
        </w:tc>
        <w:tc>
          <w:tcPr>
            <w:tcW w:w="1205" w:type="dxa"/>
            <w:gridSpan w:val="2"/>
          </w:tcPr>
          <w:p>
            <w:pPr>
              <w:pStyle w:val="40"/>
              <w:keepNext w:val="0"/>
              <w:keepLines w:val="0"/>
              <w:pageBreakBefore w:val="0"/>
              <w:shd w:val="clear" w:color="auto" w:fill="FFFFFF"/>
              <w:kinsoku/>
              <w:wordWrap/>
              <w:overflowPunct/>
              <w:topLinePunct w:val="0"/>
              <w:bidi w:val="0"/>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平方米</w:t>
            </w:r>
          </w:p>
          <w:p>
            <w:pPr>
              <w:pStyle w:val="40"/>
              <w:keepNext w:val="0"/>
              <w:keepLines w:val="0"/>
              <w:pageBreakBefore w:val="0"/>
              <w:shd w:val="clear" w:color="auto" w:fill="FFFFFF"/>
              <w:kinsoku/>
              <w:wordWrap/>
              <w:overflowPunct/>
              <w:topLinePunct w:val="0"/>
              <w:bidi w:val="0"/>
              <w:outlineLvl w:val="9"/>
              <w:rPr>
                <w:rFonts w:hint="eastAsia" w:ascii="宋体" w:hAnsi="宋体" w:eastAsia="宋体" w:cs="宋体"/>
                <w:bCs/>
                <w:color w:val="auto"/>
                <w:sz w:val="21"/>
                <w:szCs w:val="21"/>
                <w:highlight w:val="none"/>
              </w:rPr>
            </w:pPr>
            <w:r>
              <w:rPr>
                <w:rFonts w:hint="eastAsia" w:ascii="宋体" w:hAnsi="宋体" w:eastAsia="宋体" w:cs="宋体"/>
                <w:bCs/>
                <w:color w:val="auto"/>
                <w:spacing w:val="16"/>
                <w:sz w:val="21"/>
                <w:szCs w:val="21"/>
                <w:highlight w:val="none"/>
              </w:rPr>
              <w:t>□自有□租賃</w:t>
            </w:r>
          </w:p>
        </w:tc>
        <w:tc>
          <w:tcPr>
            <w:tcW w:w="2001" w:type="dxa"/>
            <w:gridSpan w:val="3"/>
          </w:tcPr>
          <w:p>
            <w:pPr>
              <w:pStyle w:val="40"/>
              <w:keepNext w:val="0"/>
              <w:keepLines w:val="0"/>
              <w:pageBreakBefore w:val="0"/>
              <w:shd w:val="clear" w:color="auto" w:fill="FFFFFF"/>
              <w:kinsoku/>
              <w:wordWrap/>
              <w:overflowPunct/>
              <w:topLinePunct w:val="0"/>
              <w:bidi w:val="0"/>
              <w:outlineLvl w:val="9"/>
              <w:rPr>
                <w:rFonts w:hint="eastAsia" w:ascii="宋体" w:hAnsi="宋体" w:eastAsia="宋体" w:cs="宋体"/>
                <w:bCs/>
                <w:color w:val="auto"/>
                <w:sz w:val="21"/>
                <w:szCs w:val="21"/>
                <w:highlight w:val="none"/>
              </w:rPr>
            </w:pPr>
            <w:r>
              <w:rPr>
                <w:rFonts w:hint="eastAsia" w:ascii="宋体" w:hAnsi="宋体" w:eastAsia="宋体" w:cs="宋体"/>
                <w:bCs/>
                <w:color w:val="auto"/>
                <w:spacing w:val="16"/>
                <w:sz w:val="21"/>
                <w:szCs w:val="21"/>
                <w:highlight w:val="none"/>
              </w:rPr>
              <w:t>生产经营场所及场所的设施与设备</w:t>
            </w:r>
          </w:p>
        </w:tc>
        <w:tc>
          <w:tcPr>
            <w:tcW w:w="2151" w:type="dxa"/>
            <w:gridSpan w:val="2"/>
          </w:tcPr>
          <w:p>
            <w:pPr>
              <w:pStyle w:val="40"/>
              <w:keepNext w:val="0"/>
              <w:keepLines w:val="0"/>
              <w:pageBreakBefore w:val="0"/>
              <w:shd w:val="clear" w:color="auto" w:fill="FFFFFF"/>
              <w:kinsoku/>
              <w:wordWrap/>
              <w:overflowPunct/>
              <w:topLinePunct w:val="0"/>
              <w:bidi w:val="0"/>
              <w:spacing w:before="0" w:beforeAutospacing="0" w:after="0" w:afterAutospacing="0"/>
              <w:outlineLvl w:val="9"/>
              <w:rPr>
                <w:rFonts w:hint="eastAsia" w:ascii="宋体" w:hAnsi="宋体" w:eastAsia="宋体" w:cs="宋体"/>
                <w:bCs/>
                <w:color w:val="auto"/>
                <w:spacing w:val="16"/>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1001" w:type="dxa"/>
            <w:vMerge w:val="continue"/>
          </w:tcPr>
          <w:p>
            <w:pPr>
              <w:pStyle w:val="40"/>
              <w:keepNext w:val="0"/>
              <w:keepLines w:val="0"/>
              <w:pageBreakBefore w:val="0"/>
              <w:shd w:val="clear" w:color="auto" w:fill="FFFFFF"/>
              <w:kinsoku/>
              <w:wordWrap/>
              <w:overflowPunct/>
              <w:topLinePunct w:val="0"/>
              <w:bidi w:val="0"/>
              <w:ind w:left="107"/>
              <w:outlineLvl w:val="9"/>
              <w:rPr>
                <w:rFonts w:hint="eastAsia" w:ascii="宋体" w:hAnsi="宋体" w:eastAsia="宋体" w:cs="宋体"/>
                <w:bCs/>
                <w:color w:val="auto"/>
                <w:sz w:val="21"/>
                <w:szCs w:val="21"/>
                <w:highlight w:val="none"/>
              </w:rPr>
            </w:pPr>
          </w:p>
        </w:tc>
        <w:tc>
          <w:tcPr>
            <w:tcW w:w="633" w:type="dxa"/>
          </w:tcPr>
          <w:p>
            <w:pPr>
              <w:pStyle w:val="40"/>
              <w:keepNext w:val="0"/>
              <w:keepLines w:val="0"/>
              <w:pageBreakBefore w:val="0"/>
              <w:shd w:val="clear" w:color="auto" w:fill="FFFFFF"/>
              <w:kinsoku/>
              <w:wordWrap/>
              <w:overflowPunct/>
              <w:topLinePunct w:val="0"/>
              <w:bidi w:val="0"/>
              <w:ind w:left="2"/>
              <w:outlineLvl w:val="9"/>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16"/>
                <w:sz w:val="21"/>
                <w:szCs w:val="21"/>
                <w:highlight w:val="none"/>
              </w:rPr>
              <w:t>注册资金</w:t>
            </w:r>
          </w:p>
        </w:tc>
        <w:tc>
          <w:tcPr>
            <w:tcW w:w="910" w:type="dxa"/>
          </w:tcPr>
          <w:p>
            <w:pPr>
              <w:pStyle w:val="40"/>
              <w:keepNext w:val="0"/>
              <w:keepLines w:val="0"/>
              <w:pageBreakBefore w:val="0"/>
              <w:shd w:val="clear" w:color="auto" w:fill="FFFFFF"/>
              <w:kinsoku/>
              <w:wordWrap/>
              <w:overflowPunct/>
              <w:topLinePunct w:val="0"/>
              <w:bidi w:val="0"/>
              <w:ind w:left="2"/>
              <w:outlineLvl w:val="9"/>
              <w:rPr>
                <w:rFonts w:hint="eastAsia" w:ascii="宋体" w:hAnsi="宋体" w:eastAsia="宋体" w:cs="宋体"/>
                <w:bCs/>
                <w:color w:val="auto"/>
                <w:sz w:val="21"/>
                <w:szCs w:val="21"/>
                <w:highlight w:val="none"/>
              </w:rPr>
            </w:pPr>
          </w:p>
        </w:tc>
        <w:tc>
          <w:tcPr>
            <w:tcW w:w="1163" w:type="dxa"/>
            <w:gridSpan w:val="2"/>
          </w:tcPr>
          <w:p>
            <w:pPr>
              <w:pStyle w:val="40"/>
              <w:keepNext w:val="0"/>
              <w:keepLines w:val="0"/>
              <w:pageBreakBefore w:val="0"/>
              <w:shd w:val="clear" w:color="auto" w:fill="FFFFFF"/>
              <w:kinsoku/>
              <w:wordWrap/>
              <w:overflowPunct/>
              <w:topLinePunct w:val="0"/>
              <w:bidi w:val="0"/>
              <w:ind w:left="107"/>
              <w:outlineLvl w:val="9"/>
              <w:rPr>
                <w:rFonts w:hint="eastAsia" w:ascii="宋体" w:hAnsi="宋体" w:eastAsia="宋体" w:cs="宋体"/>
                <w:bCs/>
                <w:color w:val="auto"/>
                <w:sz w:val="21"/>
                <w:szCs w:val="21"/>
                <w:highlight w:val="none"/>
              </w:rPr>
            </w:pPr>
            <w:r>
              <w:rPr>
                <w:rFonts w:hint="eastAsia" w:ascii="宋体" w:hAnsi="宋体" w:eastAsia="宋体" w:cs="宋体"/>
                <w:bCs/>
                <w:color w:val="auto"/>
                <w:spacing w:val="16"/>
                <w:sz w:val="21"/>
                <w:szCs w:val="21"/>
                <w:highlight w:val="none"/>
              </w:rPr>
              <w:t>注册发证</w:t>
            </w:r>
            <w:r>
              <w:rPr>
                <w:rFonts w:hint="eastAsia" w:ascii="宋体" w:hAnsi="宋体" w:eastAsia="宋体" w:cs="宋体"/>
                <w:bCs/>
                <w:color w:val="auto"/>
                <w:spacing w:val="27"/>
                <w:sz w:val="21"/>
                <w:szCs w:val="21"/>
                <w:highlight w:val="none"/>
              </w:rPr>
              <w:t>机关</w:t>
            </w:r>
          </w:p>
        </w:tc>
        <w:tc>
          <w:tcPr>
            <w:tcW w:w="3206" w:type="dxa"/>
            <w:gridSpan w:val="5"/>
          </w:tcPr>
          <w:p>
            <w:pPr>
              <w:keepNext w:val="0"/>
              <w:keepLines w:val="0"/>
              <w:pageBreakBefore w:val="0"/>
              <w:widowControl/>
              <w:kinsoku/>
              <w:wordWrap/>
              <w:overflowPunct/>
              <w:topLinePunct w:val="0"/>
              <w:bidi w:val="0"/>
              <w:jc w:val="left"/>
              <w:outlineLvl w:val="9"/>
              <w:rPr>
                <w:rFonts w:hint="eastAsia" w:ascii="宋体" w:hAnsi="宋体" w:eastAsia="宋体" w:cs="宋体"/>
                <w:bCs/>
                <w:color w:val="auto"/>
                <w:kern w:val="0"/>
                <w:szCs w:val="21"/>
                <w:highlight w:val="none"/>
              </w:rPr>
            </w:pPr>
          </w:p>
          <w:p>
            <w:pPr>
              <w:pStyle w:val="40"/>
              <w:keepNext w:val="0"/>
              <w:keepLines w:val="0"/>
              <w:pageBreakBefore w:val="0"/>
              <w:shd w:val="clear" w:color="auto" w:fill="FFFFFF"/>
              <w:kinsoku/>
              <w:wordWrap/>
              <w:overflowPunct/>
              <w:topLinePunct w:val="0"/>
              <w:bidi w:val="0"/>
              <w:ind w:left="107"/>
              <w:outlineLvl w:val="9"/>
              <w:rPr>
                <w:rFonts w:hint="eastAsia" w:ascii="宋体" w:hAnsi="宋体" w:eastAsia="宋体" w:cs="宋体"/>
                <w:bCs/>
                <w:color w:val="auto"/>
                <w:sz w:val="21"/>
                <w:szCs w:val="21"/>
                <w:highlight w:val="none"/>
              </w:rPr>
            </w:pPr>
          </w:p>
        </w:tc>
        <w:tc>
          <w:tcPr>
            <w:tcW w:w="1218" w:type="dxa"/>
          </w:tcPr>
          <w:p>
            <w:pPr>
              <w:pStyle w:val="40"/>
              <w:keepNext w:val="0"/>
              <w:keepLines w:val="0"/>
              <w:pageBreakBefore w:val="0"/>
              <w:shd w:val="clear" w:color="auto" w:fill="FFFFFF"/>
              <w:kinsoku/>
              <w:wordWrap/>
              <w:overflowPunct/>
              <w:topLinePunct w:val="0"/>
              <w:bidi w:val="0"/>
              <w:ind w:left="107"/>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公司成</w:t>
            </w:r>
            <w:r>
              <w:rPr>
                <w:rFonts w:hint="eastAsia" w:ascii="宋体" w:hAnsi="宋体" w:eastAsia="宋体" w:cs="宋体"/>
                <w:bCs/>
                <w:color w:val="auto"/>
                <w:spacing w:val="12"/>
                <w:sz w:val="21"/>
                <w:szCs w:val="21"/>
                <w:highlight w:val="none"/>
              </w:rPr>
              <w:t>立时间</w:t>
            </w:r>
          </w:p>
        </w:tc>
        <w:tc>
          <w:tcPr>
            <w:tcW w:w="933" w:type="dxa"/>
          </w:tcPr>
          <w:p>
            <w:pPr>
              <w:pStyle w:val="40"/>
              <w:keepNext w:val="0"/>
              <w:keepLines w:val="0"/>
              <w:pageBreakBefore w:val="0"/>
              <w:shd w:val="clear" w:color="auto" w:fill="FFFFFF"/>
              <w:kinsoku/>
              <w:wordWrap/>
              <w:overflowPunct/>
              <w:topLinePunct w:val="0"/>
              <w:bidi w:val="0"/>
              <w:ind w:left="107"/>
              <w:outlineLvl w:val="9"/>
              <w:rPr>
                <w:rFonts w:hint="eastAsia" w:ascii="宋体" w:hAnsi="宋体" w:eastAsia="宋体" w:cs="宋体"/>
                <w:bCs/>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trPr>
        <w:tc>
          <w:tcPr>
            <w:tcW w:w="1001" w:type="dxa"/>
            <w:vMerge w:val="continue"/>
          </w:tcPr>
          <w:p>
            <w:pPr>
              <w:pStyle w:val="40"/>
              <w:keepNext w:val="0"/>
              <w:keepLines w:val="0"/>
              <w:pageBreakBefore w:val="0"/>
              <w:shd w:val="clear" w:color="auto" w:fill="FFFFFF"/>
              <w:kinsoku/>
              <w:wordWrap/>
              <w:overflowPunct/>
              <w:topLinePunct w:val="0"/>
              <w:bidi w:val="0"/>
              <w:ind w:left="107"/>
              <w:outlineLvl w:val="9"/>
              <w:rPr>
                <w:rFonts w:hint="eastAsia" w:ascii="宋体" w:hAnsi="宋体" w:eastAsia="宋体" w:cs="宋体"/>
                <w:bCs/>
                <w:color w:val="auto"/>
                <w:sz w:val="21"/>
                <w:szCs w:val="21"/>
                <w:highlight w:val="none"/>
              </w:rPr>
            </w:pPr>
          </w:p>
        </w:tc>
        <w:tc>
          <w:tcPr>
            <w:tcW w:w="633" w:type="dxa"/>
          </w:tcPr>
          <w:p>
            <w:pPr>
              <w:pStyle w:val="40"/>
              <w:keepNext w:val="0"/>
              <w:keepLines w:val="0"/>
              <w:pageBreakBefore w:val="0"/>
              <w:shd w:val="clear" w:color="auto" w:fill="FFFFFF"/>
              <w:kinsoku/>
              <w:wordWrap/>
              <w:overflowPunct/>
              <w:topLinePunct w:val="0"/>
              <w:bidi w:val="0"/>
              <w:ind w:left="2"/>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核准经营范围</w:t>
            </w:r>
          </w:p>
        </w:tc>
        <w:tc>
          <w:tcPr>
            <w:tcW w:w="7430" w:type="dxa"/>
            <w:gridSpan w:val="10"/>
          </w:tcPr>
          <w:p>
            <w:pPr>
              <w:pStyle w:val="40"/>
              <w:keepNext w:val="0"/>
              <w:keepLines w:val="0"/>
              <w:pageBreakBefore w:val="0"/>
              <w:shd w:val="clear" w:color="auto" w:fill="FFFFFF"/>
              <w:kinsoku/>
              <w:wordWrap/>
              <w:overflowPunct/>
              <w:topLinePunct w:val="0"/>
              <w:bidi w:val="0"/>
              <w:ind w:left="107"/>
              <w:outlineLvl w:val="9"/>
              <w:rPr>
                <w:rFonts w:hint="eastAsia" w:ascii="宋体" w:hAnsi="宋体" w:eastAsia="宋体" w:cs="宋体"/>
                <w:bCs/>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trPr>
        <w:tc>
          <w:tcPr>
            <w:tcW w:w="1001" w:type="dxa"/>
            <w:vMerge w:val="continue"/>
          </w:tcPr>
          <w:p>
            <w:pPr>
              <w:pStyle w:val="40"/>
              <w:keepNext w:val="0"/>
              <w:keepLines w:val="0"/>
              <w:pageBreakBefore w:val="0"/>
              <w:shd w:val="clear" w:color="auto" w:fill="FFFFFF"/>
              <w:kinsoku/>
              <w:wordWrap/>
              <w:overflowPunct/>
              <w:topLinePunct w:val="0"/>
              <w:bidi w:val="0"/>
              <w:ind w:left="107"/>
              <w:outlineLvl w:val="9"/>
              <w:rPr>
                <w:rFonts w:hint="eastAsia" w:ascii="宋体" w:hAnsi="宋体" w:eastAsia="宋体" w:cs="宋体"/>
                <w:bCs/>
                <w:color w:val="auto"/>
                <w:sz w:val="21"/>
                <w:szCs w:val="21"/>
                <w:highlight w:val="none"/>
              </w:rPr>
            </w:pPr>
          </w:p>
        </w:tc>
        <w:tc>
          <w:tcPr>
            <w:tcW w:w="8063" w:type="dxa"/>
            <w:gridSpan w:val="11"/>
          </w:tcPr>
          <w:p>
            <w:pPr>
              <w:pStyle w:val="40"/>
              <w:keepNext w:val="0"/>
              <w:keepLines w:val="0"/>
              <w:pageBreakBefore w:val="0"/>
              <w:shd w:val="clear" w:color="auto" w:fill="FFFFFF"/>
              <w:kinsoku/>
              <w:wordWrap/>
              <w:overflowPunct/>
              <w:topLinePunct w:val="0"/>
              <w:bidi w:val="0"/>
              <w:outlineLvl w:val="9"/>
              <w:rPr>
                <w:rFonts w:hint="eastAsia" w:ascii="宋体" w:hAnsi="宋体" w:eastAsia="宋体" w:cs="宋体"/>
                <w:bCs/>
                <w:color w:val="auto"/>
                <w:spacing w:val="13"/>
                <w:sz w:val="21"/>
                <w:szCs w:val="21"/>
                <w:highlight w:val="none"/>
              </w:rPr>
            </w:pPr>
            <w:r>
              <w:rPr>
                <w:rFonts w:hint="eastAsia" w:ascii="宋体" w:hAnsi="宋体" w:eastAsia="宋体" w:cs="宋体"/>
                <w:bCs/>
                <w:color w:val="auto"/>
                <w:spacing w:val="13"/>
                <w:sz w:val="21"/>
                <w:szCs w:val="21"/>
                <w:highlight w:val="none"/>
              </w:rPr>
              <w:t>发展历程及主要荣誉：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1001" w:type="dxa"/>
            <w:vMerge w:val="restart"/>
          </w:tcPr>
          <w:p>
            <w:pPr>
              <w:pStyle w:val="40"/>
              <w:keepNext w:val="0"/>
              <w:keepLines w:val="0"/>
              <w:pageBreakBefore w:val="0"/>
              <w:shd w:val="clear" w:color="auto" w:fill="FFFFFF"/>
              <w:kinsoku/>
              <w:wordWrap/>
              <w:overflowPunct/>
              <w:topLinePunct w:val="0"/>
              <w:bidi w:val="0"/>
              <w:ind w:left="107"/>
              <w:outlineLvl w:val="9"/>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val="en-US" w:eastAsia="zh-CN"/>
              </w:rPr>
              <w:t>二、</w:t>
            </w:r>
          </w:p>
          <w:p>
            <w:pPr>
              <w:pStyle w:val="40"/>
              <w:keepNext w:val="0"/>
              <w:keepLines w:val="0"/>
              <w:pageBreakBefore w:val="0"/>
              <w:shd w:val="clear" w:color="auto" w:fill="FFFFFF"/>
              <w:kinsoku/>
              <w:wordWrap/>
              <w:overflowPunct/>
              <w:topLinePunct w:val="0"/>
              <w:bidi w:val="0"/>
              <w:ind w:left="107"/>
              <w:outlineLvl w:val="9"/>
              <w:rPr>
                <w:rFonts w:hint="eastAsia" w:ascii="宋体" w:hAnsi="宋体" w:eastAsia="宋体" w:cs="宋体"/>
                <w:bCs/>
                <w:color w:val="auto"/>
                <w:spacing w:val="16"/>
                <w:sz w:val="21"/>
                <w:szCs w:val="21"/>
                <w:highlight w:val="none"/>
              </w:rPr>
            </w:pPr>
            <w:r>
              <w:rPr>
                <w:rFonts w:hint="eastAsia" w:ascii="宋体" w:hAnsi="宋体" w:eastAsia="宋体" w:cs="宋体"/>
                <w:bCs/>
                <w:color w:val="auto"/>
                <w:sz w:val="21"/>
                <w:szCs w:val="21"/>
                <w:highlight w:val="none"/>
              </w:rPr>
              <w:t>企</w:t>
            </w:r>
            <w:r>
              <w:rPr>
                <w:rFonts w:hint="eastAsia" w:ascii="宋体" w:hAnsi="宋体" w:eastAsia="宋体" w:cs="宋体"/>
                <w:bCs/>
                <w:color w:val="auto"/>
                <w:spacing w:val="12"/>
                <w:sz w:val="21"/>
                <w:szCs w:val="21"/>
                <w:highlight w:val="none"/>
              </w:rPr>
              <w:t>业有关资质获证情况</w:t>
            </w:r>
          </w:p>
        </w:tc>
        <w:tc>
          <w:tcPr>
            <w:tcW w:w="1854" w:type="dxa"/>
            <w:gridSpan w:val="3"/>
            <w:vMerge w:val="restart"/>
          </w:tcPr>
          <w:p>
            <w:pPr>
              <w:pStyle w:val="40"/>
              <w:keepNext w:val="0"/>
              <w:keepLines w:val="0"/>
              <w:pageBreakBefore w:val="0"/>
              <w:shd w:val="clear" w:color="auto" w:fill="FFFFFF"/>
              <w:kinsoku/>
              <w:wordWrap/>
              <w:overflowPunct/>
              <w:topLinePunct w:val="0"/>
              <w:bidi w:val="0"/>
              <w:spacing w:before="0" w:beforeAutospacing="0" w:after="0" w:afterAutospacing="0"/>
              <w:outlineLvl w:val="9"/>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12"/>
                <w:sz w:val="21"/>
                <w:szCs w:val="21"/>
                <w:highlight w:val="none"/>
              </w:rPr>
              <w:t>产品生产许可证情况</w:t>
            </w:r>
            <w:r>
              <w:rPr>
                <w:rFonts w:hint="eastAsia" w:ascii="宋体" w:hAnsi="宋体" w:eastAsia="宋体" w:cs="宋体"/>
                <w:bCs/>
                <w:color w:val="auto"/>
                <w:spacing w:val="41"/>
                <w:sz w:val="21"/>
                <w:szCs w:val="21"/>
                <w:highlight w:val="none"/>
              </w:rPr>
              <w:t>（对需获得生产许可证的</w:t>
            </w:r>
            <w:r>
              <w:rPr>
                <w:rFonts w:hint="eastAsia" w:ascii="宋体" w:hAnsi="宋体" w:eastAsia="宋体" w:cs="宋体"/>
                <w:bCs/>
                <w:color w:val="auto"/>
                <w:spacing w:val="11"/>
                <w:sz w:val="21"/>
                <w:szCs w:val="21"/>
                <w:highlight w:val="none"/>
              </w:rPr>
              <w:t>产品要填写此栏）</w:t>
            </w:r>
          </w:p>
        </w:tc>
        <w:tc>
          <w:tcPr>
            <w:tcW w:w="964" w:type="dxa"/>
            <w:gridSpan w:val="2"/>
          </w:tcPr>
          <w:p>
            <w:pPr>
              <w:pStyle w:val="40"/>
              <w:keepNext w:val="0"/>
              <w:keepLines w:val="0"/>
              <w:pageBreakBefore w:val="0"/>
              <w:shd w:val="clear" w:color="auto" w:fill="FFFFFF"/>
              <w:kinsoku/>
              <w:wordWrap/>
              <w:overflowPunct/>
              <w:topLinePunct w:val="0"/>
              <w:bidi w:val="0"/>
              <w:ind w:right="-78" w:rightChars="-37"/>
              <w:outlineLvl w:val="9"/>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16"/>
                <w:sz w:val="21"/>
                <w:szCs w:val="21"/>
                <w:highlight w:val="none"/>
              </w:rPr>
              <w:t>产品名称</w:t>
            </w:r>
          </w:p>
        </w:tc>
        <w:tc>
          <w:tcPr>
            <w:tcW w:w="1418" w:type="dxa"/>
            <w:gridSpan w:val="2"/>
          </w:tcPr>
          <w:p>
            <w:pPr>
              <w:pStyle w:val="40"/>
              <w:keepNext w:val="0"/>
              <w:keepLines w:val="0"/>
              <w:pageBreakBefore w:val="0"/>
              <w:shd w:val="clear" w:color="auto" w:fill="FFFFFF"/>
              <w:kinsoku/>
              <w:wordWrap/>
              <w:overflowPunct/>
              <w:topLinePunct w:val="0"/>
              <w:bidi w:val="0"/>
              <w:spacing w:before="0" w:beforeAutospacing="0" w:after="0" w:afterAutospacing="0"/>
              <w:outlineLvl w:val="9"/>
              <w:rPr>
                <w:rFonts w:hint="eastAsia" w:ascii="宋体" w:hAnsi="宋体" w:eastAsia="宋体" w:cs="宋体"/>
                <w:bCs/>
                <w:color w:val="auto"/>
                <w:sz w:val="21"/>
                <w:szCs w:val="21"/>
                <w:highlight w:val="none"/>
              </w:rPr>
            </w:pPr>
            <w:r>
              <w:rPr>
                <w:rFonts w:hint="eastAsia" w:ascii="宋体" w:hAnsi="宋体" w:eastAsia="宋体" w:cs="宋体"/>
                <w:bCs/>
                <w:color w:val="auto"/>
                <w:spacing w:val="16"/>
                <w:sz w:val="21"/>
                <w:szCs w:val="21"/>
                <w:highlight w:val="none"/>
              </w:rPr>
              <w:t>发证机关</w:t>
            </w:r>
          </w:p>
        </w:tc>
        <w:tc>
          <w:tcPr>
            <w:tcW w:w="1276" w:type="dxa"/>
          </w:tcPr>
          <w:p>
            <w:pPr>
              <w:pStyle w:val="40"/>
              <w:keepNext w:val="0"/>
              <w:keepLines w:val="0"/>
              <w:pageBreakBefore w:val="0"/>
              <w:shd w:val="clear" w:color="auto" w:fill="FFFFFF"/>
              <w:kinsoku/>
              <w:wordWrap/>
              <w:overflowPunct/>
              <w:topLinePunct w:val="0"/>
              <w:bidi w:val="0"/>
              <w:jc w:val="center"/>
              <w:outlineLvl w:val="9"/>
              <w:rPr>
                <w:rFonts w:hint="eastAsia" w:ascii="宋体" w:hAnsi="宋体" w:eastAsia="宋体" w:cs="宋体"/>
                <w:bCs/>
                <w:color w:val="auto"/>
                <w:sz w:val="21"/>
                <w:szCs w:val="21"/>
                <w:highlight w:val="none"/>
              </w:rPr>
            </w:pPr>
            <w:r>
              <w:rPr>
                <w:rFonts w:hint="eastAsia" w:ascii="宋体" w:hAnsi="宋体" w:eastAsia="宋体" w:cs="宋体"/>
                <w:bCs/>
                <w:color w:val="auto"/>
                <w:spacing w:val="27"/>
                <w:sz w:val="21"/>
                <w:szCs w:val="21"/>
                <w:highlight w:val="none"/>
              </w:rPr>
              <w:t>编号</w:t>
            </w:r>
          </w:p>
        </w:tc>
        <w:tc>
          <w:tcPr>
            <w:tcW w:w="1618" w:type="dxa"/>
            <w:gridSpan w:val="2"/>
          </w:tcPr>
          <w:p>
            <w:pPr>
              <w:pStyle w:val="40"/>
              <w:keepNext w:val="0"/>
              <w:keepLines w:val="0"/>
              <w:pageBreakBefore w:val="0"/>
              <w:shd w:val="clear" w:color="auto" w:fill="FFFFFF"/>
              <w:kinsoku/>
              <w:wordWrap/>
              <w:overflowPunct/>
              <w:topLinePunct w:val="0"/>
              <w:bidi w:val="0"/>
              <w:jc w:val="center"/>
              <w:outlineLvl w:val="9"/>
              <w:rPr>
                <w:rFonts w:hint="eastAsia" w:ascii="宋体" w:hAnsi="宋体" w:eastAsia="宋体" w:cs="宋体"/>
                <w:bCs/>
                <w:color w:val="auto"/>
                <w:sz w:val="21"/>
                <w:szCs w:val="21"/>
                <w:highlight w:val="none"/>
              </w:rPr>
            </w:pPr>
            <w:r>
              <w:rPr>
                <w:rFonts w:hint="eastAsia" w:ascii="宋体" w:hAnsi="宋体" w:eastAsia="宋体" w:cs="宋体"/>
                <w:bCs/>
                <w:color w:val="auto"/>
                <w:spacing w:val="16"/>
                <w:sz w:val="21"/>
                <w:szCs w:val="21"/>
                <w:highlight w:val="none"/>
              </w:rPr>
              <w:t>发证时间</w:t>
            </w:r>
          </w:p>
        </w:tc>
        <w:tc>
          <w:tcPr>
            <w:tcW w:w="933" w:type="dxa"/>
          </w:tcPr>
          <w:p>
            <w:pPr>
              <w:pStyle w:val="40"/>
              <w:keepNext w:val="0"/>
              <w:keepLines w:val="0"/>
              <w:pageBreakBefore w:val="0"/>
              <w:shd w:val="clear" w:color="auto" w:fill="FFFFFF"/>
              <w:kinsoku/>
              <w:wordWrap/>
              <w:overflowPunct/>
              <w:topLinePunct w:val="0"/>
              <w:bidi w:val="0"/>
              <w:spacing w:before="0" w:beforeAutospacing="0" w:after="0" w:afterAutospacing="0"/>
              <w:jc w:val="center"/>
              <w:outlineLvl w:val="9"/>
              <w:rPr>
                <w:rFonts w:hint="eastAsia" w:ascii="宋体" w:hAnsi="宋体" w:eastAsia="宋体" w:cs="宋体"/>
                <w:bCs/>
                <w:color w:val="auto"/>
                <w:sz w:val="21"/>
                <w:szCs w:val="21"/>
                <w:highlight w:val="none"/>
              </w:rPr>
            </w:pPr>
            <w:r>
              <w:rPr>
                <w:rFonts w:hint="eastAsia" w:ascii="宋体" w:hAnsi="宋体" w:eastAsia="宋体" w:cs="宋体"/>
                <w:bCs/>
                <w:color w:val="auto"/>
                <w:spacing w:val="27"/>
                <w:sz w:val="21"/>
                <w:szCs w:val="21"/>
                <w:highlight w:val="none"/>
              </w:rPr>
              <w:t>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1001" w:type="dxa"/>
            <w:vMerge w:val="continue"/>
          </w:tcPr>
          <w:p>
            <w:pPr>
              <w:pStyle w:val="40"/>
              <w:keepNext w:val="0"/>
              <w:keepLines w:val="0"/>
              <w:pageBreakBefore w:val="0"/>
              <w:shd w:val="clear" w:color="auto" w:fill="FFFFFF"/>
              <w:kinsoku/>
              <w:wordWrap/>
              <w:overflowPunct/>
              <w:topLinePunct w:val="0"/>
              <w:bidi w:val="0"/>
              <w:ind w:left="107"/>
              <w:outlineLvl w:val="9"/>
              <w:rPr>
                <w:rFonts w:hint="eastAsia" w:ascii="宋体" w:hAnsi="宋体" w:eastAsia="宋体" w:cs="宋体"/>
                <w:bCs/>
                <w:color w:val="auto"/>
                <w:sz w:val="21"/>
                <w:szCs w:val="21"/>
                <w:highlight w:val="none"/>
              </w:rPr>
            </w:pPr>
          </w:p>
        </w:tc>
        <w:tc>
          <w:tcPr>
            <w:tcW w:w="1854" w:type="dxa"/>
            <w:gridSpan w:val="3"/>
            <w:vMerge w:val="continue"/>
          </w:tcPr>
          <w:p>
            <w:pPr>
              <w:pStyle w:val="40"/>
              <w:keepNext w:val="0"/>
              <w:keepLines w:val="0"/>
              <w:pageBreakBefore w:val="0"/>
              <w:shd w:val="clear" w:color="auto" w:fill="FFFFFF"/>
              <w:kinsoku/>
              <w:wordWrap/>
              <w:overflowPunct/>
              <w:topLinePunct w:val="0"/>
              <w:bidi w:val="0"/>
              <w:outlineLvl w:val="9"/>
              <w:rPr>
                <w:rFonts w:hint="eastAsia" w:ascii="宋体" w:hAnsi="宋体" w:eastAsia="宋体" w:cs="宋体"/>
                <w:bCs/>
                <w:color w:val="auto"/>
                <w:sz w:val="21"/>
                <w:szCs w:val="21"/>
                <w:highlight w:val="none"/>
              </w:rPr>
            </w:pPr>
          </w:p>
        </w:tc>
        <w:tc>
          <w:tcPr>
            <w:tcW w:w="964" w:type="dxa"/>
            <w:gridSpan w:val="2"/>
          </w:tcPr>
          <w:p>
            <w:pPr>
              <w:pStyle w:val="40"/>
              <w:keepNext w:val="0"/>
              <w:keepLines w:val="0"/>
              <w:pageBreakBefore w:val="0"/>
              <w:shd w:val="clear" w:color="auto" w:fill="FFFFFF"/>
              <w:kinsoku/>
              <w:wordWrap/>
              <w:overflowPunct/>
              <w:topLinePunct w:val="0"/>
              <w:bidi w:val="0"/>
              <w:outlineLvl w:val="9"/>
              <w:rPr>
                <w:rFonts w:hint="eastAsia" w:ascii="宋体" w:hAnsi="宋体" w:eastAsia="宋体" w:cs="宋体"/>
                <w:bCs/>
                <w:color w:val="auto"/>
                <w:sz w:val="21"/>
                <w:szCs w:val="21"/>
                <w:highlight w:val="none"/>
              </w:rPr>
            </w:pPr>
          </w:p>
        </w:tc>
        <w:tc>
          <w:tcPr>
            <w:tcW w:w="1418" w:type="dxa"/>
            <w:gridSpan w:val="2"/>
          </w:tcPr>
          <w:p>
            <w:pPr>
              <w:pStyle w:val="40"/>
              <w:keepNext w:val="0"/>
              <w:keepLines w:val="0"/>
              <w:pageBreakBefore w:val="0"/>
              <w:shd w:val="clear" w:color="auto" w:fill="FFFFFF"/>
              <w:kinsoku/>
              <w:wordWrap/>
              <w:overflowPunct/>
              <w:topLinePunct w:val="0"/>
              <w:bidi w:val="0"/>
              <w:outlineLvl w:val="9"/>
              <w:rPr>
                <w:rFonts w:hint="eastAsia" w:ascii="宋体" w:hAnsi="宋体" w:eastAsia="宋体" w:cs="宋体"/>
                <w:bCs/>
                <w:color w:val="auto"/>
                <w:sz w:val="21"/>
                <w:szCs w:val="21"/>
                <w:highlight w:val="none"/>
              </w:rPr>
            </w:pPr>
          </w:p>
        </w:tc>
        <w:tc>
          <w:tcPr>
            <w:tcW w:w="1276" w:type="dxa"/>
          </w:tcPr>
          <w:p>
            <w:pPr>
              <w:pStyle w:val="40"/>
              <w:keepNext w:val="0"/>
              <w:keepLines w:val="0"/>
              <w:pageBreakBefore w:val="0"/>
              <w:shd w:val="clear" w:color="auto" w:fill="FFFFFF"/>
              <w:kinsoku/>
              <w:wordWrap/>
              <w:overflowPunct/>
              <w:topLinePunct w:val="0"/>
              <w:bidi w:val="0"/>
              <w:outlineLvl w:val="9"/>
              <w:rPr>
                <w:rFonts w:hint="eastAsia" w:ascii="宋体" w:hAnsi="宋体" w:eastAsia="宋体" w:cs="宋体"/>
                <w:bCs/>
                <w:color w:val="auto"/>
                <w:sz w:val="21"/>
                <w:szCs w:val="21"/>
                <w:highlight w:val="none"/>
              </w:rPr>
            </w:pPr>
          </w:p>
        </w:tc>
        <w:tc>
          <w:tcPr>
            <w:tcW w:w="2551" w:type="dxa"/>
            <w:gridSpan w:val="3"/>
          </w:tcPr>
          <w:p>
            <w:pPr>
              <w:pStyle w:val="40"/>
              <w:keepNext w:val="0"/>
              <w:keepLines w:val="0"/>
              <w:pageBreakBefore w:val="0"/>
              <w:shd w:val="clear" w:color="auto" w:fill="FFFFFF"/>
              <w:kinsoku/>
              <w:wordWrap/>
              <w:overflowPunct/>
              <w:topLinePunct w:val="0"/>
              <w:bidi w:val="0"/>
              <w:outlineLvl w:val="9"/>
              <w:rPr>
                <w:rFonts w:hint="eastAsia" w:ascii="宋体" w:hAnsi="宋体" w:eastAsia="宋体" w:cs="宋体"/>
                <w:bCs/>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trPr>
        <w:tc>
          <w:tcPr>
            <w:tcW w:w="1001" w:type="dxa"/>
            <w:vMerge w:val="continue"/>
          </w:tcPr>
          <w:p>
            <w:pPr>
              <w:pStyle w:val="40"/>
              <w:keepNext w:val="0"/>
              <w:keepLines w:val="0"/>
              <w:pageBreakBefore w:val="0"/>
              <w:shd w:val="clear" w:color="auto" w:fill="FFFFFF"/>
              <w:kinsoku/>
              <w:wordWrap/>
              <w:overflowPunct/>
              <w:topLinePunct w:val="0"/>
              <w:bidi w:val="0"/>
              <w:ind w:left="107"/>
              <w:outlineLvl w:val="9"/>
              <w:rPr>
                <w:rFonts w:hint="eastAsia" w:ascii="宋体" w:hAnsi="宋体" w:eastAsia="宋体" w:cs="宋体"/>
                <w:bCs/>
                <w:color w:val="auto"/>
                <w:spacing w:val="16"/>
                <w:sz w:val="21"/>
                <w:szCs w:val="21"/>
                <w:highlight w:val="none"/>
              </w:rPr>
            </w:pPr>
          </w:p>
        </w:tc>
        <w:tc>
          <w:tcPr>
            <w:tcW w:w="1854" w:type="dxa"/>
            <w:gridSpan w:val="3"/>
          </w:tcPr>
          <w:p>
            <w:pPr>
              <w:pStyle w:val="40"/>
              <w:keepNext w:val="0"/>
              <w:keepLines w:val="0"/>
              <w:pageBreakBefore w:val="0"/>
              <w:shd w:val="clear" w:color="auto" w:fill="FFFFFF"/>
              <w:kinsoku/>
              <w:wordWrap/>
              <w:overflowPunct/>
              <w:topLinePunct w:val="0"/>
              <w:bidi w:val="0"/>
              <w:spacing w:before="0" w:beforeAutospacing="0" w:after="0" w:afterAutospacing="0"/>
              <w:ind w:right="-107" w:rightChars="-51"/>
              <w:outlineLvl w:val="9"/>
              <w:rPr>
                <w:rFonts w:hint="eastAsia" w:ascii="宋体" w:hAnsi="宋体" w:eastAsia="宋体" w:cs="宋体"/>
                <w:bCs/>
                <w:color w:val="auto"/>
                <w:spacing w:val="41"/>
                <w:sz w:val="21"/>
                <w:szCs w:val="21"/>
                <w:highlight w:val="none"/>
              </w:rPr>
            </w:pPr>
            <w:r>
              <w:rPr>
                <w:rFonts w:hint="eastAsia" w:ascii="宋体" w:hAnsi="宋体" w:eastAsia="宋体" w:cs="宋体"/>
                <w:bCs/>
                <w:color w:val="auto"/>
                <w:spacing w:val="41"/>
                <w:sz w:val="21"/>
                <w:szCs w:val="21"/>
                <w:highlight w:val="none"/>
              </w:rPr>
              <w:t>企业通过质量体系、环保</w:t>
            </w:r>
            <w:r>
              <w:rPr>
                <w:rFonts w:hint="eastAsia" w:ascii="宋体" w:hAnsi="宋体" w:eastAsia="宋体" w:cs="宋体"/>
                <w:bCs/>
                <w:color w:val="auto"/>
                <w:spacing w:val="11"/>
                <w:sz w:val="21"/>
                <w:szCs w:val="21"/>
                <w:highlight w:val="none"/>
              </w:rPr>
              <w:t>体系、计量等认证情况</w:t>
            </w:r>
          </w:p>
        </w:tc>
        <w:tc>
          <w:tcPr>
            <w:tcW w:w="6209" w:type="dxa"/>
            <w:gridSpan w:val="8"/>
          </w:tcPr>
          <w:p>
            <w:pPr>
              <w:pStyle w:val="40"/>
              <w:keepNext w:val="0"/>
              <w:keepLines w:val="0"/>
              <w:pageBreakBefore w:val="0"/>
              <w:shd w:val="clear" w:color="auto" w:fill="FFFFFF"/>
              <w:kinsoku/>
              <w:wordWrap/>
              <w:overflowPunct/>
              <w:topLinePunct w:val="0"/>
              <w:bidi w:val="0"/>
              <w:outlineLvl w:val="9"/>
              <w:rPr>
                <w:rFonts w:hint="eastAsia" w:ascii="宋体" w:hAnsi="宋体" w:eastAsia="宋体" w:cs="宋体"/>
                <w:bCs/>
                <w:color w:val="auto"/>
                <w:spacing w:val="16"/>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rPr>
        <w:tc>
          <w:tcPr>
            <w:tcW w:w="1001" w:type="dxa"/>
            <w:vMerge w:val="continue"/>
          </w:tcPr>
          <w:p>
            <w:pPr>
              <w:pStyle w:val="40"/>
              <w:keepNext w:val="0"/>
              <w:keepLines w:val="0"/>
              <w:pageBreakBefore w:val="0"/>
              <w:shd w:val="clear" w:color="auto" w:fill="FFFFFF"/>
              <w:kinsoku/>
              <w:wordWrap/>
              <w:overflowPunct/>
              <w:topLinePunct w:val="0"/>
              <w:bidi w:val="0"/>
              <w:ind w:left="107"/>
              <w:outlineLvl w:val="9"/>
              <w:rPr>
                <w:rFonts w:hint="eastAsia" w:ascii="宋体" w:hAnsi="宋体" w:eastAsia="宋体" w:cs="宋体"/>
                <w:bCs/>
                <w:color w:val="auto"/>
                <w:spacing w:val="27"/>
                <w:sz w:val="21"/>
                <w:szCs w:val="21"/>
                <w:highlight w:val="none"/>
              </w:rPr>
            </w:pPr>
          </w:p>
        </w:tc>
        <w:tc>
          <w:tcPr>
            <w:tcW w:w="1854" w:type="dxa"/>
            <w:gridSpan w:val="3"/>
          </w:tcPr>
          <w:p>
            <w:pPr>
              <w:pStyle w:val="40"/>
              <w:keepNext w:val="0"/>
              <w:keepLines w:val="0"/>
              <w:pageBreakBefore w:val="0"/>
              <w:shd w:val="clear" w:color="auto" w:fill="FFFFFF"/>
              <w:kinsoku/>
              <w:wordWrap/>
              <w:overflowPunct/>
              <w:topLinePunct w:val="0"/>
              <w:bidi w:val="0"/>
              <w:outlineLvl w:val="9"/>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10"/>
                <w:sz w:val="21"/>
                <w:szCs w:val="21"/>
                <w:highlight w:val="none"/>
              </w:rPr>
              <w:t>企业获得专利情况</w:t>
            </w:r>
          </w:p>
        </w:tc>
        <w:tc>
          <w:tcPr>
            <w:tcW w:w="6209" w:type="dxa"/>
            <w:gridSpan w:val="8"/>
          </w:tcPr>
          <w:p>
            <w:pPr>
              <w:pStyle w:val="40"/>
              <w:keepNext w:val="0"/>
              <w:keepLines w:val="0"/>
              <w:pageBreakBefore w:val="0"/>
              <w:shd w:val="clear" w:color="auto" w:fill="FFFFFF"/>
              <w:kinsoku/>
              <w:wordWrap/>
              <w:overflowPunct/>
              <w:topLinePunct w:val="0"/>
              <w:bidi w:val="0"/>
              <w:outlineLvl w:val="9"/>
              <w:rPr>
                <w:rFonts w:hint="eastAsia" w:ascii="宋体" w:hAnsi="宋体" w:eastAsia="宋体" w:cs="宋体"/>
                <w:bCs/>
                <w:color w:val="auto"/>
                <w:spacing w:val="16"/>
                <w:sz w:val="21"/>
                <w:szCs w:val="21"/>
                <w:highlight w:val="none"/>
              </w:rPr>
            </w:pPr>
          </w:p>
        </w:tc>
      </w:tr>
    </w:tbl>
    <w:p>
      <w:pPr>
        <w:pStyle w:val="40"/>
        <w:keepNext w:val="0"/>
        <w:keepLines w:val="0"/>
        <w:pageBreakBefore w:val="0"/>
        <w:shd w:val="clear" w:color="auto" w:fill="FFFFFF"/>
        <w:kinsoku/>
        <w:wordWrap/>
        <w:overflowPunct/>
        <w:topLinePunct w:val="0"/>
        <w:bidi w:val="0"/>
        <w:spacing w:before="0" w:beforeAutospacing="0" w:after="0" w:afterAutospacing="0" w:line="360" w:lineRule="auto"/>
        <w:outlineLvl w:val="9"/>
        <w:rPr>
          <w:rFonts w:hint="eastAsia" w:ascii="宋体" w:hAnsi="宋体" w:eastAsia="宋体" w:cs="宋体"/>
          <w:color w:val="auto"/>
          <w:highlight w:val="none"/>
        </w:rPr>
      </w:pPr>
    </w:p>
    <w:p>
      <w:pPr>
        <w:pStyle w:val="40"/>
        <w:keepNext w:val="0"/>
        <w:keepLines w:val="0"/>
        <w:pageBreakBefore w:val="0"/>
        <w:shd w:val="clear" w:color="auto" w:fill="FFFFFF"/>
        <w:kinsoku/>
        <w:wordWrap/>
        <w:overflowPunct/>
        <w:topLinePunct w:val="0"/>
        <w:bidi w:val="0"/>
        <w:spacing w:before="0" w:beforeAutospacing="0" w:after="0" w:afterAutospacing="0" w:line="360" w:lineRule="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要求：</w:t>
      </w:r>
    </w:p>
    <w:p>
      <w:pPr>
        <w:pStyle w:val="40"/>
        <w:keepNext w:val="0"/>
        <w:keepLines w:val="0"/>
        <w:pageBreakBefore w:val="0"/>
        <w:shd w:val="clear" w:color="auto" w:fill="FFFFFF"/>
        <w:kinsoku/>
        <w:wordWrap/>
        <w:overflowPunct/>
        <w:topLinePunct w:val="0"/>
        <w:bidi w:val="0"/>
        <w:spacing w:before="0" w:beforeAutospacing="0" w:after="0" w:afterAutospacing="0" w:line="360" w:lineRule="auto"/>
        <w:ind w:firstLine="424" w:firstLineChars="202"/>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1.姓名栏必须将所有股东都统计在内，若非股份公司此行（第三行）无需填写；</w:t>
      </w:r>
    </w:p>
    <w:p>
      <w:pPr>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p>
      <w:pPr>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p>
      <w:pPr>
        <w:keepNext w:val="0"/>
        <w:keepLines w:val="0"/>
        <w:pageBreakBefore w:val="0"/>
        <w:kinsoku/>
        <w:wordWrap/>
        <w:overflowPunct/>
        <w:topLinePunct w:val="0"/>
        <w:bidi w:val="0"/>
        <w:spacing w:line="360" w:lineRule="auto"/>
        <w:ind w:firstLine="371" w:firstLineChars="177"/>
        <w:outlineLvl w:val="9"/>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投标人名称（盖章）：</w:t>
      </w:r>
    </w:p>
    <w:p>
      <w:pPr>
        <w:keepNext w:val="0"/>
        <w:keepLines w:val="0"/>
        <w:pageBreakBefore w:val="0"/>
        <w:kinsoku/>
        <w:wordWrap/>
        <w:overflowPunct/>
        <w:topLinePunct w:val="0"/>
        <w:bidi w:val="0"/>
        <w:spacing w:line="360" w:lineRule="auto"/>
        <w:ind w:left="420"/>
        <w:outlineLvl w:val="9"/>
        <w:rPr>
          <w:rFonts w:hint="eastAsia" w:ascii="宋体" w:hAnsi="宋体" w:eastAsia="宋体" w:cs="宋体"/>
          <w:color w:val="auto"/>
          <w:szCs w:val="21"/>
          <w:highlight w:val="none"/>
        </w:rPr>
      </w:pPr>
    </w:p>
    <w:p>
      <w:pPr>
        <w:keepNext w:val="0"/>
        <w:keepLines w:val="0"/>
        <w:pageBreakBefore w:val="0"/>
        <w:kinsoku/>
        <w:wordWrap/>
        <w:overflowPunct/>
        <w:topLinePunct w:val="0"/>
        <w:bidi w:val="0"/>
        <w:spacing w:line="360" w:lineRule="auto"/>
        <w:ind w:firstLine="371" w:firstLineChars="177"/>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法定代表人或授权委托代理人（签字或盖章）：</w:t>
      </w:r>
    </w:p>
    <w:p>
      <w:pPr>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p>
      <w:pPr>
        <w:pStyle w:val="40"/>
        <w:keepNext w:val="0"/>
        <w:keepLines w:val="0"/>
        <w:pageBreakBefore w:val="0"/>
        <w:shd w:val="clear" w:color="auto" w:fill="FFFFFF"/>
        <w:kinsoku/>
        <w:wordWrap/>
        <w:overflowPunct/>
        <w:topLinePunct w:val="0"/>
        <w:bidi w:val="0"/>
        <w:spacing w:before="0" w:beforeAutospacing="0" w:after="0" w:afterAutospacing="0" w:line="360" w:lineRule="auto"/>
        <w:ind w:firstLine="371" w:firstLineChars="177"/>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日期：</w:t>
      </w:r>
    </w:p>
    <w:p>
      <w:pPr>
        <w:pStyle w:val="40"/>
        <w:keepNext w:val="0"/>
        <w:keepLines w:val="0"/>
        <w:pageBreakBefore w:val="0"/>
        <w:shd w:val="clear" w:color="auto" w:fill="FFFFFF"/>
        <w:kinsoku/>
        <w:wordWrap/>
        <w:overflowPunct/>
        <w:topLinePunct w:val="0"/>
        <w:bidi w:val="0"/>
        <w:spacing w:before="0" w:beforeAutospacing="0" w:after="0" w:afterAutospacing="0" w:line="360" w:lineRule="auto"/>
        <w:ind w:firstLine="498" w:firstLineChars="177"/>
        <w:outlineLvl w:val="9"/>
        <w:rPr>
          <w:rFonts w:hint="eastAsia" w:ascii="宋体" w:hAnsi="宋体" w:eastAsia="宋体" w:cs="宋体"/>
          <w:b/>
          <w:color w:val="auto"/>
          <w:sz w:val="28"/>
          <w:highlight w:val="none"/>
        </w:rPr>
      </w:pPr>
    </w:p>
    <w:p>
      <w:pPr>
        <w:pStyle w:val="40"/>
        <w:keepNext w:val="0"/>
        <w:keepLines w:val="0"/>
        <w:pageBreakBefore w:val="0"/>
        <w:shd w:val="clear" w:color="auto" w:fill="FFFFFF"/>
        <w:kinsoku/>
        <w:wordWrap/>
        <w:overflowPunct/>
        <w:topLinePunct w:val="0"/>
        <w:bidi w:val="0"/>
        <w:spacing w:before="0" w:beforeAutospacing="0" w:after="0" w:afterAutospacing="0" w:line="360" w:lineRule="auto"/>
        <w:ind w:firstLine="498" w:firstLineChars="177"/>
        <w:outlineLvl w:val="9"/>
        <w:rPr>
          <w:rFonts w:hint="eastAsia" w:ascii="宋体" w:hAnsi="宋体" w:eastAsia="宋体" w:cs="宋体"/>
          <w:b/>
          <w:color w:val="auto"/>
          <w:sz w:val="28"/>
          <w:highlight w:val="none"/>
        </w:rPr>
      </w:pPr>
    </w:p>
    <w:p>
      <w:pPr>
        <w:pStyle w:val="40"/>
        <w:keepNext w:val="0"/>
        <w:keepLines w:val="0"/>
        <w:pageBreakBefore w:val="0"/>
        <w:shd w:val="clear" w:color="auto" w:fill="FFFFFF"/>
        <w:kinsoku/>
        <w:wordWrap/>
        <w:overflowPunct/>
        <w:topLinePunct w:val="0"/>
        <w:bidi w:val="0"/>
        <w:spacing w:before="0" w:beforeAutospacing="0" w:after="0" w:afterAutospacing="0" w:line="360" w:lineRule="auto"/>
        <w:ind w:firstLine="498" w:firstLineChars="177"/>
        <w:outlineLvl w:val="9"/>
        <w:rPr>
          <w:rFonts w:hint="eastAsia" w:ascii="宋体" w:hAnsi="宋体" w:eastAsia="宋体" w:cs="宋体"/>
          <w:b/>
          <w:color w:val="auto"/>
          <w:sz w:val="28"/>
          <w:highlight w:val="none"/>
        </w:rPr>
      </w:pPr>
    </w:p>
    <w:p>
      <w:pPr>
        <w:pStyle w:val="40"/>
        <w:keepNext w:val="0"/>
        <w:keepLines w:val="0"/>
        <w:pageBreakBefore w:val="0"/>
        <w:shd w:val="clear" w:color="auto" w:fill="FFFFFF"/>
        <w:kinsoku/>
        <w:wordWrap/>
        <w:overflowPunct/>
        <w:topLinePunct w:val="0"/>
        <w:bidi w:val="0"/>
        <w:spacing w:before="0" w:beforeAutospacing="0" w:after="0" w:afterAutospacing="0" w:line="360" w:lineRule="auto"/>
        <w:ind w:firstLine="498" w:firstLineChars="177"/>
        <w:outlineLvl w:val="9"/>
        <w:rPr>
          <w:rFonts w:hint="eastAsia" w:ascii="宋体" w:hAnsi="宋体" w:eastAsia="宋体" w:cs="宋体"/>
          <w:b/>
          <w:color w:val="auto"/>
          <w:sz w:val="28"/>
          <w:highlight w:val="none"/>
        </w:rPr>
      </w:pPr>
    </w:p>
    <w:p>
      <w:pPr>
        <w:pStyle w:val="40"/>
        <w:keepNext w:val="0"/>
        <w:keepLines w:val="0"/>
        <w:pageBreakBefore w:val="0"/>
        <w:shd w:val="clear" w:color="auto" w:fill="FFFFFF"/>
        <w:kinsoku/>
        <w:wordWrap/>
        <w:overflowPunct/>
        <w:topLinePunct w:val="0"/>
        <w:bidi w:val="0"/>
        <w:spacing w:before="0" w:beforeAutospacing="0" w:after="0" w:afterAutospacing="0" w:line="360" w:lineRule="auto"/>
        <w:ind w:firstLine="498" w:firstLineChars="177"/>
        <w:outlineLvl w:val="9"/>
        <w:rPr>
          <w:rFonts w:hint="eastAsia" w:ascii="宋体" w:hAnsi="宋体" w:eastAsia="宋体" w:cs="宋体"/>
          <w:b/>
          <w:color w:val="auto"/>
          <w:sz w:val="28"/>
          <w:highlight w:val="none"/>
        </w:rPr>
      </w:pPr>
    </w:p>
    <w:p>
      <w:pPr>
        <w:pStyle w:val="40"/>
        <w:keepNext w:val="0"/>
        <w:keepLines w:val="0"/>
        <w:pageBreakBefore w:val="0"/>
        <w:shd w:val="clear" w:color="auto" w:fill="FFFFFF"/>
        <w:kinsoku/>
        <w:wordWrap/>
        <w:overflowPunct/>
        <w:topLinePunct w:val="0"/>
        <w:bidi w:val="0"/>
        <w:spacing w:before="0" w:beforeAutospacing="0" w:after="0" w:afterAutospacing="0" w:line="360" w:lineRule="auto"/>
        <w:ind w:firstLine="498" w:firstLineChars="177"/>
        <w:outlineLvl w:val="9"/>
        <w:rPr>
          <w:rFonts w:hint="eastAsia" w:ascii="宋体" w:hAnsi="宋体" w:eastAsia="宋体" w:cs="宋体"/>
          <w:b/>
          <w:color w:val="auto"/>
          <w:sz w:val="28"/>
          <w:highlight w:val="none"/>
        </w:rPr>
      </w:pPr>
    </w:p>
    <w:p>
      <w:pPr>
        <w:pStyle w:val="40"/>
        <w:keepNext w:val="0"/>
        <w:keepLines w:val="0"/>
        <w:pageBreakBefore w:val="0"/>
        <w:shd w:val="clear" w:color="auto" w:fill="FFFFFF"/>
        <w:kinsoku/>
        <w:wordWrap/>
        <w:overflowPunct/>
        <w:topLinePunct w:val="0"/>
        <w:bidi w:val="0"/>
        <w:spacing w:before="0" w:beforeAutospacing="0" w:after="0" w:afterAutospacing="0" w:line="360" w:lineRule="auto"/>
        <w:ind w:firstLine="498" w:firstLineChars="177"/>
        <w:outlineLvl w:val="9"/>
        <w:rPr>
          <w:rFonts w:hint="eastAsia" w:ascii="宋体" w:hAnsi="宋体" w:eastAsia="宋体" w:cs="宋体"/>
          <w:b/>
          <w:color w:val="auto"/>
          <w:sz w:val="28"/>
          <w:highlight w:val="none"/>
        </w:rPr>
      </w:pPr>
    </w:p>
    <w:p>
      <w:pPr>
        <w:pStyle w:val="40"/>
        <w:keepNext w:val="0"/>
        <w:keepLines w:val="0"/>
        <w:pageBreakBefore w:val="0"/>
        <w:shd w:val="clear" w:color="auto" w:fill="FFFFFF"/>
        <w:kinsoku/>
        <w:wordWrap/>
        <w:overflowPunct/>
        <w:topLinePunct w:val="0"/>
        <w:bidi w:val="0"/>
        <w:spacing w:before="0" w:beforeAutospacing="0" w:after="0" w:afterAutospacing="0" w:line="360" w:lineRule="auto"/>
        <w:ind w:firstLine="498" w:firstLineChars="177"/>
        <w:outlineLvl w:val="9"/>
        <w:rPr>
          <w:rFonts w:hint="eastAsia" w:ascii="宋体" w:hAnsi="宋体" w:eastAsia="宋体" w:cs="宋体"/>
          <w:b/>
          <w:color w:val="auto"/>
          <w:sz w:val="28"/>
          <w:highlight w:val="none"/>
        </w:rPr>
      </w:pPr>
    </w:p>
    <w:p>
      <w:pPr>
        <w:pStyle w:val="40"/>
        <w:keepNext w:val="0"/>
        <w:keepLines w:val="0"/>
        <w:pageBreakBefore w:val="0"/>
        <w:shd w:val="clear" w:color="auto" w:fill="FFFFFF"/>
        <w:kinsoku/>
        <w:wordWrap/>
        <w:overflowPunct/>
        <w:topLinePunct w:val="0"/>
        <w:bidi w:val="0"/>
        <w:spacing w:before="0" w:beforeAutospacing="0" w:after="0" w:afterAutospacing="0" w:line="360" w:lineRule="auto"/>
        <w:ind w:firstLine="498" w:firstLineChars="177"/>
        <w:outlineLvl w:val="9"/>
        <w:rPr>
          <w:rFonts w:hint="eastAsia" w:ascii="宋体" w:hAnsi="宋体" w:eastAsia="宋体" w:cs="宋体"/>
          <w:b/>
          <w:color w:val="auto"/>
          <w:sz w:val="28"/>
          <w:highlight w:val="none"/>
        </w:rPr>
      </w:pPr>
    </w:p>
    <w:p>
      <w:pPr>
        <w:pStyle w:val="40"/>
        <w:keepNext w:val="0"/>
        <w:keepLines w:val="0"/>
        <w:pageBreakBefore w:val="0"/>
        <w:shd w:val="clear" w:color="auto" w:fill="FFFFFF"/>
        <w:kinsoku/>
        <w:wordWrap/>
        <w:overflowPunct/>
        <w:topLinePunct w:val="0"/>
        <w:bidi w:val="0"/>
        <w:spacing w:before="0" w:beforeAutospacing="0" w:after="0" w:afterAutospacing="0" w:line="360" w:lineRule="auto"/>
        <w:ind w:firstLine="498" w:firstLineChars="177"/>
        <w:outlineLvl w:val="9"/>
        <w:rPr>
          <w:rFonts w:hint="eastAsia" w:ascii="宋体" w:hAnsi="宋体" w:eastAsia="宋体" w:cs="宋体"/>
          <w:b/>
          <w:color w:val="auto"/>
          <w:sz w:val="28"/>
          <w:highlight w:val="none"/>
        </w:rPr>
      </w:pPr>
    </w:p>
    <w:p>
      <w:pPr>
        <w:pStyle w:val="40"/>
        <w:keepNext w:val="0"/>
        <w:keepLines w:val="0"/>
        <w:pageBreakBefore w:val="0"/>
        <w:shd w:val="clear" w:color="auto" w:fill="FFFFFF"/>
        <w:kinsoku/>
        <w:wordWrap/>
        <w:overflowPunct/>
        <w:topLinePunct w:val="0"/>
        <w:bidi w:val="0"/>
        <w:spacing w:before="0" w:beforeAutospacing="0" w:after="0" w:afterAutospacing="0" w:line="360" w:lineRule="auto"/>
        <w:ind w:firstLine="498" w:firstLineChars="177"/>
        <w:outlineLvl w:val="9"/>
        <w:rPr>
          <w:rFonts w:hint="eastAsia" w:ascii="宋体" w:hAnsi="宋体" w:eastAsia="宋体" w:cs="宋体"/>
          <w:b/>
          <w:color w:val="auto"/>
          <w:sz w:val="28"/>
          <w:highlight w:val="none"/>
        </w:rPr>
      </w:pPr>
    </w:p>
    <w:p>
      <w:pPr>
        <w:pStyle w:val="40"/>
        <w:keepNext w:val="0"/>
        <w:keepLines w:val="0"/>
        <w:pageBreakBefore w:val="0"/>
        <w:shd w:val="clear" w:color="auto" w:fill="FFFFFF"/>
        <w:kinsoku/>
        <w:wordWrap/>
        <w:overflowPunct/>
        <w:topLinePunct w:val="0"/>
        <w:bidi w:val="0"/>
        <w:spacing w:before="0" w:beforeAutospacing="0" w:after="0" w:afterAutospacing="0" w:line="360" w:lineRule="auto"/>
        <w:outlineLvl w:val="9"/>
        <w:rPr>
          <w:rFonts w:hint="eastAsia" w:ascii="宋体" w:hAnsi="宋体" w:eastAsia="宋体" w:cs="宋体"/>
          <w:b/>
          <w:color w:val="auto"/>
          <w:sz w:val="28"/>
          <w:highlight w:val="none"/>
        </w:rPr>
        <w:sectPr>
          <w:pgSz w:w="11906" w:h="16838"/>
          <w:pgMar w:top="1440" w:right="1800" w:bottom="1440" w:left="1800" w:header="851" w:footer="992" w:gutter="0"/>
          <w:pgNumType w:fmt="decimal"/>
          <w:cols w:space="425" w:num="1"/>
          <w:docGrid w:type="lines" w:linePitch="312" w:charSpace="0"/>
        </w:sectPr>
      </w:pPr>
    </w:p>
    <w:p>
      <w:pPr>
        <w:pStyle w:val="40"/>
        <w:keepNext w:val="0"/>
        <w:keepLines w:val="0"/>
        <w:pageBreakBefore w:val="0"/>
        <w:shd w:val="clear" w:color="auto" w:fill="FFFFFF"/>
        <w:kinsoku/>
        <w:wordWrap/>
        <w:overflowPunct/>
        <w:topLinePunct w:val="0"/>
        <w:bidi w:val="0"/>
        <w:spacing w:before="0" w:beforeAutospacing="0" w:after="0" w:afterAutospacing="0" w:line="360" w:lineRule="auto"/>
        <w:outlineLvl w:val="9"/>
        <w:rPr>
          <w:rFonts w:hint="eastAsia" w:ascii="宋体" w:hAnsi="宋体" w:eastAsia="宋体" w:cs="宋体"/>
          <w:color w:val="auto"/>
          <w:highlight w:val="none"/>
          <w:lang w:eastAsia="zh-CN"/>
        </w:rPr>
      </w:pPr>
      <w:r>
        <w:rPr>
          <w:rFonts w:hint="eastAsia" w:ascii="宋体" w:hAnsi="宋体" w:eastAsia="宋体" w:cs="宋体"/>
          <w:b/>
          <w:color w:val="auto"/>
          <w:sz w:val="28"/>
          <w:highlight w:val="none"/>
        </w:rPr>
        <w:t>附件</w:t>
      </w:r>
      <w:r>
        <w:rPr>
          <w:rFonts w:hint="eastAsia" w:ascii="宋体" w:hAnsi="宋体" w:eastAsia="宋体" w:cs="宋体"/>
          <w:b/>
          <w:color w:val="auto"/>
          <w:sz w:val="28"/>
          <w:highlight w:val="none"/>
          <w:lang w:val="en-US" w:eastAsia="zh-CN"/>
        </w:rPr>
        <w:t>7</w:t>
      </w:r>
    </w:p>
    <w:p>
      <w:pPr>
        <w:keepNext w:val="0"/>
        <w:keepLines w:val="0"/>
        <w:pageBreakBefore w:val="0"/>
        <w:kinsoku/>
        <w:wordWrap/>
        <w:overflowPunct/>
        <w:topLinePunct w:val="0"/>
        <w:bidi w:val="0"/>
        <w:snapToGrid w:val="0"/>
        <w:spacing w:before="156" w:beforeLines="50" w:after="50" w:line="360" w:lineRule="auto"/>
        <w:jc w:val="center"/>
        <w:outlineLvl w:val="9"/>
        <w:rPr>
          <w:rFonts w:hint="eastAsia" w:ascii="宋体" w:hAnsi="宋体" w:eastAsia="宋体" w:cs="宋体"/>
          <w:b/>
          <w:color w:val="auto"/>
          <w:sz w:val="36"/>
          <w:szCs w:val="36"/>
          <w:highlight w:val="none"/>
        </w:rPr>
      </w:pPr>
      <w:r>
        <w:rPr>
          <w:rFonts w:hint="eastAsia" w:ascii="宋体" w:hAnsi="宋体" w:eastAsia="宋体" w:cs="宋体"/>
          <w:b/>
          <w:color w:val="auto"/>
          <w:sz w:val="32"/>
          <w:szCs w:val="32"/>
          <w:highlight w:val="none"/>
        </w:rPr>
        <w:t>项目实施人员一览表</w:t>
      </w:r>
    </w:p>
    <w:p>
      <w:pPr>
        <w:keepNext w:val="0"/>
        <w:keepLines w:val="0"/>
        <w:pageBreakBefore w:val="0"/>
        <w:kinsoku/>
        <w:overflowPunct/>
        <w:topLinePunct w:val="0"/>
        <w:bidi w:val="0"/>
        <w:snapToGrid w:val="0"/>
        <w:spacing w:beforeLines="50" w:after="50" w:line="360" w:lineRule="auto"/>
        <w:ind w:firstLine="2400" w:firstLineChars="1000"/>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（主要从业人员及其技术资格）</w:t>
      </w:r>
    </w:p>
    <w:tbl>
      <w:tblPr>
        <w:tblStyle w:val="22"/>
        <w:tblW w:w="8898" w:type="dxa"/>
        <w:tblInd w:w="-14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34"/>
        <w:gridCol w:w="814"/>
        <w:gridCol w:w="750"/>
        <w:gridCol w:w="879"/>
        <w:gridCol w:w="1521"/>
        <w:gridCol w:w="1275"/>
        <w:gridCol w:w="1372"/>
        <w:gridCol w:w="155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34" w:type="dxa"/>
            <w:tcBorders>
              <w:top w:val="single" w:color="auto" w:sz="4" w:space="0"/>
              <w:bottom w:val="single" w:color="auto" w:sz="4" w:space="0"/>
              <w:right w:val="single" w:color="auto" w:sz="4" w:space="0"/>
            </w:tcBorders>
            <w:vAlign w:val="center"/>
          </w:tcPr>
          <w:p>
            <w:pPr>
              <w:keepNext w:val="0"/>
              <w:keepLines w:val="0"/>
              <w:pageBreakBefore w:val="0"/>
              <w:kinsoku/>
              <w:overflowPunct/>
              <w:topLinePunct w:val="0"/>
              <w:bidi w:val="0"/>
              <w:snapToGrid w:val="0"/>
              <w:spacing w:beforeLines="50" w:after="50" w:line="360" w:lineRule="auto"/>
              <w:jc w:val="center"/>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序号</w:t>
            </w:r>
          </w:p>
        </w:tc>
        <w:tc>
          <w:tcPr>
            <w:tcW w:w="8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bidi w:val="0"/>
              <w:snapToGrid w:val="0"/>
              <w:spacing w:beforeLines="50" w:after="50" w:line="360" w:lineRule="auto"/>
              <w:jc w:val="center"/>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姓名</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bidi w:val="0"/>
              <w:snapToGrid w:val="0"/>
              <w:spacing w:beforeLines="50" w:after="50" w:line="360" w:lineRule="auto"/>
              <w:jc w:val="center"/>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职务</w:t>
            </w:r>
          </w:p>
        </w:tc>
        <w:tc>
          <w:tcPr>
            <w:tcW w:w="87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bidi w:val="0"/>
              <w:snapToGrid w:val="0"/>
              <w:spacing w:beforeLines="50" w:after="50" w:line="360" w:lineRule="auto"/>
              <w:jc w:val="center"/>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职责</w:t>
            </w:r>
          </w:p>
        </w:tc>
        <w:tc>
          <w:tcPr>
            <w:tcW w:w="152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bidi w:val="0"/>
              <w:snapToGrid w:val="0"/>
              <w:spacing w:beforeLines="50" w:after="50" w:line="360" w:lineRule="auto"/>
              <w:jc w:val="center"/>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专业技术资格</w:t>
            </w:r>
          </w:p>
        </w:tc>
        <w:tc>
          <w:tcPr>
            <w:tcW w:w="12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bidi w:val="0"/>
              <w:snapToGrid w:val="0"/>
              <w:spacing w:beforeLines="50" w:after="50" w:line="360" w:lineRule="auto"/>
              <w:jc w:val="center"/>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证书编号</w:t>
            </w:r>
          </w:p>
        </w:tc>
        <w:tc>
          <w:tcPr>
            <w:tcW w:w="137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bidi w:val="0"/>
              <w:snapToGrid w:val="0"/>
              <w:spacing w:beforeLines="50" w:after="50" w:line="360" w:lineRule="auto"/>
              <w:jc w:val="center"/>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参加本单位工作时间</w:t>
            </w:r>
          </w:p>
        </w:tc>
        <w:tc>
          <w:tcPr>
            <w:tcW w:w="1553" w:type="dxa"/>
            <w:tcBorders>
              <w:top w:val="single" w:color="auto" w:sz="4" w:space="0"/>
              <w:left w:val="single" w:color="auto" w:sz="4" w:space="0"/>
              <w:bottom w:val="single" w:color="auto" w:sz="4" w:space="0"/>
            </w:tcBorders>
            <w:vAlign w:val="center"/>
          </w:tcPr>
          <w:p>
            <w:pPr>
              <w:keepNext w:val="0"/>
              <w:keepLines w:val="0"/>
              <w:pageBreakBefore w:val="0"/>
              <w:kinsoku/>
              <w:overflowPunct/>
              <w:topLinePunct w:val="0"/>
              <w:bidi w:val="0"/>
              <w:snapToGrid w:val="0"/>
              <w:spacing w:beforeLines="50" w:after="50" w:line="360" w:lineRule="auto"/>
              <w:jc w:val="center"/>
              <w:outlineLvl w:val="9"/>
              <w:rPr>
                <w:rFonts w:hint="eastAsia" w:ascii="宋体" w:hAnsi="宋体" w:eastAsia="宋体" w:cs="宋体"/>
                <w:b/>
                <w:bCs/>
                <w:color w:val="auto"/>
                <w:sz w:val="21"/>
                <w:szCs w:val="21"/>
                <w:highlight w:val="none"/>
              </w:rPr>
            </w:pPr>
            <w:r>
              <w:rPr>
                <w:rFonts w:hint="eastAsia" w:ascii="宋体" w:hAnsi="宋体" w:eastAsia="宋体" w:cs="宋体"/>
                <w:b/>
                <w:color w:val="auto"/>
                <w:sz w:val="21"/>
                <w:szCs w:val="21"/>
                <w:highlight w:val="none"/>
              </w:rPr>
              <w:t>劳动合同编号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34" w:type="dxa"/>
            <w:tcBorders>
              <w:top w:val="single" w:color="auto" w:sz="4" w:space="0"/>
              <w:bottom w:val="single" w:color="auto" w:sz="4" w:space="0"/>
              <w:right w:val="single" w:color="auto" w:sz="4" w:space="0"/>
            </w:tcBorders>
          </w:tcPr>
          <w:p>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color w:val="auto"/>
                <w:sz w:val="21"/>
                <w:szCs w:val="21"/>
                <w:highlight w:val="none"/>
              </w:rPr>
            </w:pPr>
          </w:p>
        </w:tc>
        <w:tc>
          <w:tcPr>
            <w:tcW w:w="814" w:type="dxa"/>
            <w:tcBorders>
              <w:top w:val="single" w:color="auto" w:sz="4" w:space="0"/>
              <w:left w:val="single" w:color="auto" w:sz="4" w:space="0"/>
              <w:bottom w:val="single" w:color="auto" w:sz="4" w:space="0"/>
              <w:right w:val="single" w:color="auto" w:sz="4" w:space="0"/>
            </w:tcBorders>
          </w:tcPr>
          <w:p>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750" w:type="dxa"/>
            <w:tcBorders>
              <w:top w:val="single" w:color="auto" w:sz="4" w:space="0"/>
              <w:left w:val="single" w:color="auto" w:sz="4" w:space="0"/>
              <w:bottom w:val="single" w:color="auto" w:sz="4" w:space="0"/>
              <w:right w:val="single" w:color="auto" w:sz="4" w:space="0"/>
            </w:tcBorders>
          </w:tcPr>
          <w:p>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879" w:type="dxa"/>
            <w:tcBorders>
              <w:top w:val="single" w:color="auto" w:sz="4" w:space="0"/>
              <w:left w:val="single" w:color="auto" w:sz="4" w:space="0"/>
              <w:bottom w:val="single" w:color="auto" w:sz="4" w:space="0"/>
              <w:right w:val="single" w:color="auto" w:sz="4" w:space="0"/>
            </w:tcBorders>
          </w:tcPr>
          <w:p>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521" w:type="dxa"/>
            <w:tcBorders>
              <w:top w:val="single" w:color="auto" w:sz="4" w:space="0"/>
              <w:left w:val="single" w:color="auto" w:sz="4" w:space="0"/>
              <w:bottom w:val="single" w:color="auto" w:sz="4" w:space="0"/>
              <w:right w:val="single" w:color="auto" w:sz="4" w:space="0"/>
            </w:tcBorders>
          </w:tcPr>
          <w:p>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275" w:type="dxa"/>
            <w:tcBorders>
              <w:top w:val="single" w:color="auto" w:sz="4" w:space="0"/>
              <w:left w:val="single" w:color="auto" w:sz="4" w:space="0"/>
              <w:bottom w:val="single" w:color="auto" w:sz="4" w:space="0"/>
              <w:right w:val="single" w:color="auto" w:sz="4" w:space="0"/>
            </w:tcBorders>
          </w:tcPr>
          <w:p>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372" w:type="dxa"/>
            <w:tcBorders>
              <w:top w:val="single" w:color="auto" w:sz="4" w:space="0"/>
              <w:left w:val="single" w:color="auto" w:sz="4" w:space="0"/>
              <w:bottom w:val="single" w:color="auto" w:sz="4" w:space="0"/>
              <w:right w:val="single" w:color="auto" w:sz="4" w:space="0"/>
            </w:tcBorders>
          </w:tcPr>
          <w:p>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553" w:type="dxa"/>
            <w:tcBorders>
              <w:top w:val="single" w:color="auto" w:sz="4" w:space="0"/>
              <w:left w:val="single" w:color="auto" w:sz="4" w:space="0"/>
              <w:bottom w:val="single" w:color="auto" w:sz="4" w:space="0"/>
            </w:tcBorders>
          </w:tcPr>
          <w:p>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34" w:type="dxa"/>
            <w:tcBorders>
              <w:top w:val="single" w:color="auto" w:sz="4" w:space="0"/>
              <w:bottom w:val="single" w:color="auto" w:sz="4" w:space="0"/>
              <w:right w:val="single" w:color="auto" w:sz="4" w:space="0"/>
            </w:tcBorders>
          </w:tcPr>
          <w:p>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color w:val="auto"/>
                <w:sz w:val="21"/>
                <w:szCs w:val="21"/>
                <w:highlight w:val="none"/>
              </w:rPr>
            </w:pPr>
          </w:p>
        </w:tc>
        <w:tc>
          <w:tcPr>
            <w:tcW w:w="814" w:type="dxa"/>
            <w:tcBorders>
              <w:top w:val="single" w:color="auto" w:sz="4" w:space="0"/>
              <w:left w:val="single" w:color="auto" w:sz="4" w:space="0"/>
              <w:bottom w:val="single" w:color="auto" w:sz="4" w:space="0"/>
              <w:right w:val="single" w:color="auto" w:sz="4" w:space="0"/>
            </w:tcBorders>
          </w:tcPr>
          <w:p>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750" w:type="dxa"/>
            <w:tcBorders>
              <w:top w:val="single" w:color="auto" w:sz="4" w:space="0"/>
              <w:left w:val="single" w:color="auto" w:sz="4" w:space="0"/>
              <w:bottom w:val="single" w:color="auto" w:sz="4" w:space="0"/>
              <w:right w:val="single" w:color="auto" w:sz="4" w:space="0"/>
            </w:tcBorders>
          </w:tcPr>
          <w:p>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879" w:type="dxa"/>
            <w:tcBorders>
              <w:top w:val="single" w:color="auto" w:sz="4" w:space="0"/>
              <w:left w:val="single" w:color="auto" w:sz="4" w:space="0"/>
              <w:bottom w:val="single" w:color="auto" w:sz="4" w:space="0"/>
              <w:right w:val="single" w:color="auto" w:sz="4" w:space="0"/>
            </w:tcBorders>
          </w:tcPr>
          <w:p>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521" w:type="dxa"/>
            <w:tcBorders>
              <w:top w:val="single" w:color="auto" w:sz="4" w:space="0"/>
              <w:left w:val="single" w:color="auto" w:sz="4" w:space="0"/>
              <w:bottom w:val="single" w:color="auto" w:sz="4" w:space="0"/>
              <w:right w:val="single" w:color="auto" w:sz="4" w:space="0"/>
            </w:tcBorders>
          </w:tcPr>
          <w:p>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275" w:type="dxa"/>
            <w:tcBorders>
              <w:top w:val="single" w:color="auto" w:sz="4" w:space="0"/>
              <w:left w:val="single" w:color="auto" w:sz="4" w:space="0"/>
              <w:bottom w:val="single" w:color="auto" w:sz="4" w:space="0"/>
              <w:right w:val="single" w:color="auto" w:sz="4" w:space="0"/>
            </w:tcBorders>
          </w:tcPr>
          <w:p>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372" w:type="dxa"/>
            <w:tcBorders>
              <w:top w:val="single" w:color="auto" w:sz="4" w:space="0"/>
              <w:left w:val="single" w:color="auto" w:sz="4" w:space="0"/>
              <w:bottom w:val="single" w:color="auto" w:sz="4" w:space="0"/>
              <w:right w:val="single" w:color="auto" w:sz="4" w:space="0"/>
            </w:tcBorders>
          </w:tcPr>
          <w:p>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553" w:type="dxa"/>
            <w:tcBorders>
              <w:top w:val="single" w:color="auto" w:sz="4" w:space="0"/>
              <w:left w:val="single" w:color="auto" w:sz="4" w:space="0"/>
              <w:bottom w:val="single" w:color="auto" w:sz="4" w:space="0"/>
            </w:tcBorders>
          </w:tcPr>
          <w:p>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34" w:type="dxa"/>
            <w:tcBorders>
              <w:top w:val="single" w:color="auto" w:sz="4" w:space="0"/>
              <w:bottom w:val="single" w:color="auto" w:sz="4" w:space="0"/>
              <w:right w:val="single" w:color="auto" w:sz="4" w:space="0"/>
            </w:tcBorders>
          </w:tcPr>
          <w:p>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color w:val="auto"/>
                <w:sz w:val="21"/>
                <w:szCs w:val="21"/>
                <w:highlight w:val="none"/>
              </w:rPr>
            </w:pPr>
          </w:p>
        </w:tc>
        <w:tc>
          <w:tcPr>
            <w:tcW w:w="814" w:type="dxa"/>
            <w:tcBorders>
              <w:top w:val="single" w:color="auto" w:sz="4" w:space="0"/>
              <w:left w:val="single" w:color="auto" w:sz="4" w:space="0"/>
              <w:bottom w:val="single" w:color="auto" w:sz="4" w:space="0"/>
              <w:right w:val="single" w:color="auto" w:sz="4" w:space="0"/>
            </w:tcBorders>
          </w:tcPr>
          <w:p>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750" w:type="dxa"/>
            <w:tcBorders>
              <w:top w:val="single" w:color="auto" w:sz="4" w:space="0"/>
              <w:left w:val="single" w:color="auto" w:sz="4" w:space="0"/>
              <w:bottom w:val="single" w:color="auto" w:sz="4" w:space="0"/>
              <w:right w:val="single" w:color="auto" w:sz="4" w:space="0"/>
            </w:tcBorders>
          </w:tcPr>
          <w:p>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879" w:type="dxa"/>
            <w:tcBorders>
              <w:top w:val="single" w:color="auto" w:sz="4" w:space="0"/>
              <w:left w:val="single" w:color="auto" w:sz="4" w:space="0"/>
              <w:bottom w:val="single" w:color="auto" w:sz="4" w:space="0"/>
              <w:right w:val="single" w:color="auto" w:sz="4" w:space="0"/>
            </w:tcBorders>
          </w:tcPr>
          <w:p>
            <w:pPr>
              <w:pStyle w:val="12"/>
              <w:keepNext w:val="0"/>
              <w:keepLines w:val="0"/>
              <w:pageBreakBefore w:val="0"/>
              <w:kinsoku/>
              <w:overflowPunct/>
              <w:topLinePunct w:val="0"/>
              <w:bidi w:val="0"/>
              <w:snapToGrid w:val="0"/>
              <w:spacing w:beforeLines="50" w:after="50" w:line="360" w:lineRule="auto"/>
              <w:ind w:left="5250"/>
              <w:outlineLvl w:val="9"/>
              <w:rPr>
                <w:rFonts w:hint="eastAsia" w:ascii="宋体" w:hAnsi="宋体" w:eastAsia="宋体" w:cs="宋体"/>
                <w:b/>
                <w:color w:val="auto"/>
                <w:kern w:val="44"/>
                <w:sz w:val="21"/>
                <w:szCs w:val="21"/>
                <w:highlight w:val="none"/>
              </w:rPr>
            </w:pPr>
          </w:p>
        </w:tc>
        <w:tc>
          <w:tcPr>
            <w:tcW w:w="1521" w:type="dxa"/>
            <w:tcBorders>
              <w:top w:val="single" w:color="auto" w:sz="4" w:space="0"/>
              <w:left w:val="single" w:color="auto" w:sz="4" w:space="0"/>
              <w:bottom w:val="single" w:color="auto" w:sz="4" w:space="0"/>
              <w:right w:val="single" w:color="auto" w:sz="4" w:space="0"/>
            </w:tcBorders>
          </w:tcPr>
          <w:p>
            <w:pPr>
              <w:pStyle w:val="12"/>
              <w:keepNext w:val="0"/>
              <w:keepLines w:val="0"/>
              <w:pageBreakBefore w:val="0"/>
              <w:kinsoku/>
              <w:overflowPunct/>
              <w:topLinePunct w:val="0"/>
              <w:bidi w:val="0"/>
              <w:snapToGrid w:val="0"/>
              <w:spacing w:beforeLines="50" w:after="50" w:line="360" w:lineRule="auto"/>
              <w:ind w:left="5250"/>
              <w:outlineLvl w:val="9"/>
              <w:rPr>
                <w:rFonts w:hint="eastAsia" w:ascii="宋体" w:hAnsi="宋体" w:eastAsia="宋体" w:cs="宋体"/>
                <w:b/>
                <w:color w:val="auto"/>
                <w:kern w:val="44"/>
                <w:sz w:val="21"/>
                <w:szCs w:val="21"/>
                <w:highlight w:val="none"/>
              </w:rPr>
            </w:pPr>
          </w:p>
        </w:tc>
        <w:tc>
          <w:tcPr>
            <w:tcW w:w="1275" w:type="dxa"/>
            <w:tcBorders>
              <w:top w:val="single" w:color="auto" w:sz="4" w:space="0"/>
              <w:left w:val="single" w:color="auto" w:sz="4" w:space="0"/>
              <w:bottom w:val="single" w:color="auto" w:sz="4" w:space="0"/>
              <w:right w:val="single" w:color="auto" w:sz="4" w:space="0"/>
            </w:tcBorders>
          </w:tcPr>
          <w:p>
            <w:pPr>
              <w:pStyle w:val="12"/>
              <w:keepNext w:val="0"/>
              <w:keepLines w:val="0"/>
              <w:pageBreakBefore w:val="0"/>
              <w:kinsoku/>
              <w:overflowPunct/>
              <w:topLinePunct w:val="0"/>
              <w:bidi w:val="0"/>
              <w:spacing w:line="360" w:lineRule="auto"/>
              <w:ind w:left="5250"/>
              <w:outlineLvl w:val="9"/>
              <w:rPr>
                <w:rFonts w:hint="eastAsia" w:ascii="宋体" w:hAnsi="宋体" w:eastAsia="宋体" w:cs="宋体"/>
                <w:color w:val="auto"/>
                <w:sz w:val="21"/>
                <w:szCs w:val="21"/>
                <w:highlight w:val="none"/>
              </w:rPr>
            </w:pPr>
          </w:p>
        </w:tc>
        <w:tc>
          <w:tcPr>
            <w:tcW w:w="1372" w:type="dxa"/>
            <w:tcBorders>
              <w:top w:val="single" w:color="auto" w:sz="4" w:space="0"/>
              <w:left w:val="single" w:color="auto" w:sz="4" w:space="0"/>
              <w:bottom w:val="single" w:color="auto" w:sz="4" w:space="0"/>
              <w:right w:val="single" w:color="auto" w:sz="4" w:space="0"/>
            </w:tcBorders>
          </w:tcPr>
          <w:p>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color w:val="auto"/>
                <w:sz w:val="21"/>
                <w:szCs w:val="21"/>
                <w:highlight w:val="none"/>
              </w:rPr>
            </w:pPr>
          </w:p>
        </w:tc>
        <w:tc>
          <w:tcPr>
            <w:tcW w:w="1553" w:type="dxa"/>
            <w:tcBorders>
              <w:top w:val="single" w:color="auto" w:sz="4" w:space="0"/>
              <w:left w:val="single" w:color="auto" w:sz="4" w:space="0"/>
              <w:bottom w:val="single" w:color="auto" w:sz="4" w:space="0"/>
            </w:tcBorders>
          </w:tcPr>
          <w:p>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34" w:type="dxa"/>
            <w:tcBorders>
              <w:top w:val="single" w:color="auto" w:sz="4" w:space="0"/>
              <w:bottom w:val="single" w:color="auto" w:sz="4" w:space="0"/>
              <w:right w:val="single" w:color="auto" w:sz="4" w:space="0"/>
            </w:tcBorders>
          </w:tcPr>
          <w:p>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color w:val="auto"/>
                <w:sz w:val="21"/>
                <w:szCs w:val="21"/>
                <w:highlight w:val="none"/>
              </w:rPr>
            </w:pPr>
          </w:p>
        </w:tc>
        <w:tc>
          <w:tcPr>
            <w:tcW w:w="814" w:type="dxa"/>
            <w:tcBorders>
              <w:top w:val="single" w:color="auto" w:sz="4" w:space="0"/>
              <w:left w:val="single" w:color="auto" w:sz="4" w:space="0"/>
              <w:bottom w:val="single" w:color="auto" w:sz="4" w:space="0"/>
              <w:right w:val="single" w:color="auto" w:sz="4" w:space="0"/>
            </w:tcBorders>
          </w:tcPr>
          <w:p>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750" w:type="dxa"/>
            <w:tcBorders>
              <w:top w:val="single" w:color="auto" w:sz="4" w:space="0"/>
              <w:left w:val="single" w:color="auto" w:sz="4" w:space="0"/>
              <w:bottom w:val="single" w:color="auto" w:sz="4" w:space="0"/>
              <w:right w:val="single" w:color="auto" w:sz="4" w:space="0"/>
            </w:tcBorders>
          </w:tcPr>
          <w:p>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879" w:type="dxa"/>
            <w:tcBorders>
              <w:top w:val="single" w:color="auto" w:sz="4" w:space="0"/>
              <w:left w:val="single" w:color="auto" w:sz="4" w:space="0"/>
              <w:bottom w:val="single" w:color="auto" w:sz="4" w:space="0"/>
              <w:right w:val="single" w:color="auto" w:sz="4" w:space="0"/>
            </w:tcBorders>
          </w:tcPr>
          <w:p>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521" w:type="dxa"/>
            <w:tcBorders>
              <w:top w:val="single" w:color="auto" w:sz="4" w:space="0"/>
              <w:left w:val="single" w:color="auto" w:sz="4" w:space="0"/>
              <w:bottom w:val="single" w:color="auto" w:sz="4" w:space="0"/>
              <w:right w:val="single" w:color="auto" w:sz="4" w:space="0"/>
            </w:tcBorders>
          </w:tcPr>
          <w:p>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275" w:type="dxa"/>
            <w:tcBorders>
              <w:top w:val="single" w:color="auto" w:sz="4" w:space="0"/>
              <w:left w:val="single" w:color="auto" w:sz="4" w:space="0"/>
              <w:bottom w:val="single" w:color="auto" w:sz="4" w:space="0"/>
              <w:right w:val="single" w:color="auto" w:sz="4" w:space="0"/>
            </w:tcBorders>
          </w:tcPr>
          <w:p>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372" w:type="dxa"/>
            <w:tcBorders>
              <w:top w:val="single" w:color="auto" w:sz="4" w:space="0"/>
              <w:left w:val="single" w:color="auto" w:sz="4" w:space="0"/>
              <w:bottom w:val="single" w:color="auto" w:sz="4" w:space="0"/>
              <w:right w:val="single" w:color="auto" w:sz="4" w:space="0"/>
            </w:tcBorders>
          </w:tcPr>
          <w:p>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553" w:type="dxa"/>
            <w:tcBorders>
              <w:top w:val="single" w:color="auto" w:sz="4" w:space="0"/>
              <w:left w:val="single" w:color="auto" w:sz="4" w:space="0"/>
              <w:bottom w:val="single" w:color="auto" w:sz="4" w:space="0"/>
            </w:tcBorders>
          </w:tcPr>
          <w:p>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34" w:type="dxa"/>
            <w:tcBorders>
              <w:top w:val="single" w:color="auto" w:sz="4" w:space="0"/>
              <w:bottom w:val="single" w:color="auto" w:sz="4" w:space="0"/>
              <w:right w:val="single" w:color="auto" w:sz="4" w:space="0"/>
            </w:tcBorders>
          </w:tcPr>
          <w:p>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color w:val="auto"/>
                <w:sz w:val="21"/>
                <w:szCs w:val="21"/>
                <w:highlight w:val="none"/>
              </w:rPr>
            </w:pPr>
          </w:p>
        </w:tc>
        <w:tc>
          <w:tcPr>
            <w:tcW w:w="814" w:type="dxa"/>
            <w:tcBorders>
              <w:top w:val="single" w:color="auto" w:sz="4" w:space="0"/>
              <w:left w:val="single" w:color="auto" w:sz="4" w:space="0"/>
              <w:bottom w:val="single" w:color="auto" w:sz="4" w:space="0"/>
              <w:right w:val="single" w:color="auto" w:sz="4" w:space="0"/>
            </w:tcBorders>
          </w:tcPr>
          <w:p>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750" w:type="dxa"/>
            <w:tcBorders>
              <w:top w:val="single" w:color="auto" w:sz="4" w:space="0"/>
              <w:left w:val="single" w:color="auto" w:sz="4" w:space="0"/>
              <w:bottom w:val="single" w:color="auto" w:sz="4" w:space="0"/>
              <w:right w:val="single" w:color="auto" w:sz="4" w:space="0"/>
            </w:tcBorders>
          </w:tcPr>
          <w:p>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879" w:type="dxa"/>
            <w:tcBorders>
              <w:top w:val="single" w:color="auto" w:sz="4" w:space="0"/>
              <w:left w:val="single" w:color="auto" w:sz="4" w:space="0"/>
              <w:bottom w:val="single" w:color="auto" w:sz="4" w:space="0"/>
              <w:right w:val="single" w:color="auto" w:sz="4" w:space="0"/>
            </w:tcBorders>
          </w:tcPr>
          <w:p>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521" w:type="dxa"/>
            <w:tcBorders>
              <w:top w:val="single" w:color="auto" w:sz="4" w:space="0"/>
              <w:left w:val="single" w:color="auto" w:sz="4" w:space="0"/>
              <w:bottom w:val="single" w:color="auto" w:sz="4" w:space="0"/>
              <w:right w:val="single" w:color="auto" w:sz="4" w:space="0"/>
            </w:tcBorders>
          </w:tcPr>
          <w:p>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275" w:type="dxa"/>
            <w:tcBorders>
              <w:top w:val="single" w:color="auto" w:sz="4" w:space="0"/>
              <w:left w:val="single" w:color="auto" w:sz="4" w:space="0"/>
              <w:bottom w:val="single" w:color="auto" w:sz="4" w:space="0"/>
              <w:right w:val="single" w:color="auto" w:sz="4" w:space="0"/>
            </w:tcBorders>
          </w:tcPr>
          <w:p>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372" w:type="dxa"/>
            <w:tcBorders>
              <w:top w:val="single" w:color="auto" w:sz="4" w:space="0"/>
              <w:left w:val="single" w:color="auto" w:sz="4" w:space="0"/>
              <w:bottom w:val="single" w:color="auto" w:sz="4" w:space="0"/>
              <w:right w:val="single" w:color="auto" w:sz="4" w:space="0"/>
            </w:tcBorders>
          </w:tcPr>
          <w:p>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553" w:type="dxa"/>
            <w:tcBorders>
              <w:top w:val="single" w:color="auto" w:sz="4" w:space="0"/>
              <w:left w:val="single" w:color="auto" w:sz="4" w:space="0"/>
              <w:bottom w:val="single" w:color="auto" w:sz="4" w:space="0"/>
            </w:tcBorders>
          </w:tcPr>
          <w:p>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34" w:type="dxa"/>
            <w:tcBorders>
              <w:top w:val="single" w:color="auto" w:sz="4" w:space="0"/>
              <w:bottom w:val="single" w:color="auto" w:sz="4" w:space="0"/>
              <w:right w:val="single" w:color="auto" w:sz="4" w:space="0"/>
            </w:tcBorders>
          </w:tcPr>
          <w:p>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color w:val="auto"/>
                <w:sz w:val="21"/>
                <w:szCs w:val="21"/>
                <w:highlight w:val="none"/>
              </w:rPr>
            </w:pPr>
          </w:p>
        </w:tc>
        <w:tc>
          <w:tcPr>
            <w:tcW w:w="814" w:type="dxa"/>
            <w:tcBorders>
              <w:top w:val="single" w:color="auto" w:sz="4" w:space="0"/>
              <w:left w:val="single" w:color="auto" w:sz="4" w:space="0"/>
              <w:bottom w:val="single" w:color="auto" w:sz="4" w:space="0"/>
              <w:right w:val="single" w:color="auto" w:sz="4" w:space="0"/>
            </w:tcBorders>
          </w:tcPr>
          <w:p>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750" w:type="dxa"/>
            <w:tcBorders>
              <w:top w:val="single" w:color="auto" w:sz="4" w:space="0"/>
              <w:left w:val="single" w:color="auto" w:sz="4" w:space="0"/>
              <w:bottom w:val="single" w:color="auto" w:sz="4" w:space="0"/>
              <w:right w:val="single" w:color="auto" w:sz="4" w:space="0"/>
            </w:tcBorders>
          </w:tcPr>
          <w:p>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879" w:type="dxa"/>
            <w:tcBorders>
              <w:top w:val="single" w:color="auto" w:sz="4" w:space="0"/>
              <w:left w:val="single" w:color="auto" w:sz="4" w:space="0"/>
              <w:bottom w:val="single" w:color="auto" w:sz="4" w:space="0"/>
              <w:right w:val="single" w:color="auto" w:sz="4" w:space="0"/>
            </w:tcBorders>
          </w:tcPr>
          <w:p>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521" w:type="dxa"/>
            <w:tcBorders>
              <w:top w:val="single" w:color="auto" w:sz="4" w:space="0"/>
              <w:left w:val="single" w:color="auto" w:sz="4" w:space="0"/>
              <w:bottom w:val="single" w:color="auto" w:sz="4" w:space="0"/>
              <w:right w:val="single" w:color="auto" w:sz="4" w:space="0"/>
            </w:tcBorders>
          </w:tcPr>
          <w:p>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275" w:type="dxa"/>
            <w:tcBorders>
              <w:top w:val="single" w:color="auto" w:sz="4" w:space="0"/>
              <w:left w:val="single" w:color="auto" w:sz="4" w:space="0"/>
              <w:bottom w:val="single" w:color="auto" w:sz="4" w:space="0"/>
              <w:right w:val="single" w:color="auto" w:sz="4" w:space="0"/>
            </w:tcBorders>
          </w:tcPr>
          <w:p>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372" w:type="dxa"/>
            <w:tcBorders>
              <w:top w:val="single" w:color="auto" w:sz="4" w:space="0"/>
              <w:left w:val="single" w:color="auto" w:sz="4" w:space="0"/>
              <w:bottom w:val="single" w:color="auto" w:sz="4" w:space="0"/>
              <w:right w:val="single" w:color="auto" w:sz="4" w:space="0"/>
            </w:tcBorders>
          </w:tcPr>
          <w:p>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553" w:type="dxa"/>
            <w:tcBorders>
              <w:top w:val="single" w:color="auto" w:sz="4" w:space="0"/>
              <w:left w:val="single" w:color="auto" w:sz="4" w:space="0"/>
              <w:bottom w:val="single" w:color="auto" w:sz="4" w:space="0"/>
            </w:tcBorders>
          </w:tcPr>
          <w:p>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34" w:type="dxa"/>
            <w:tcBorders>
              <w:top w:val="single" w:color="auto" w:sz="4" w:space="0"/>
              <w:bottom w:val="single" w:color="auto" w:sz="4" w:space="0"/>
              <w:right w:val="single" w:color="auto" w:sz="4" w:space="0"/>
            </w:tcBorders>
          </w:tcPr>
          <w:p>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color w:val="auto"/>
                <w:sz w:val="21"/>
                <w:szCs w:val="21"/>
                <w:highlight w:val="none"/>
              </w:rPr>
            </w:pPr>
          </w:p>
        </w:tc>
        <w:tc>
          <w:tcPr>
            <w:tcW w:w="814" w:type="dxa"/>
            <w:tcBorders>
              <w:top w:val="single" w:color="auto" w:sz="4" w:space="0"/>
              <w:left w:val="single" w:color="auto" w:sz="4" w:space="0"/>
              <w:bottom w:val="single" w:color="auto" w:sz="4" w:space="0"/>
              <w:right w:val="single" w:color="auto" w:sz="4" w:space="0"/>
            </w:tcBorders>
          </w:tcPr>
          <w:p>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750" w:type="dxa"/>
            <w:tcBorders>
              <w:top w:val="single" w:color="auto" w:sz="4" w:space="0"/>
              <w:left w:val="single" w:color="auto" w:sz="4" w:space="0"/>
              <w:bottom w:val="single" w:color="auto" w:sz="4" w:space="0"/>
              <w:right w:val="single" w:color="auto" w:sz="4" w:space="0"/>
            </w:tcBorders>
          </w:tcPr>
          <w:p>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879" w:type="dxa"/>
            <w:tcBorders>
              <w:top w:val="single" w:color="auto" w:sz="4" w:space="0"/>
              <w:left w:val="single" w:color="auto" w:sz="4" w:space="0"/>
              <w:bottom w:val="single" w:color="auto" w:sz="4" w:space="0"/>
              <w:right w:val="single" w:color="auto" w:sz="4" w:space="0"/>
            </w:tcBorders>
          </w:tcPr>
          <w:p>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521" w:type="dxa"/>
            <w:tcBorders>
              <w:top w:val="single" w:color="auto" w:sz="4" w:space="0"/>
              <w:left w:val="single" w:color="auto" w:sz="4" w:space="0"/>
              <w:bottom w:val="single" w:color="auto" w:sz="4" w:space="0"/>
              <w:right w:val="single" w:color="auto" w:sz="4" w:space="0"/>
            </w:tcBorders>
          </w:tcPr>
          <w:p>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275" w:type="dxa"/>
            <w:tcBorders>
              <w:top w:val="single" w:color="auto" w:sz="4" w:space="0"/>
              <w:left w:val="single" w:color="auto" w:sz="4" w:space="0"/>
              <w:bottom w:val="single" w:color="auto" w:sz="4" w:space="0"/>
              <w:right w:val="single" w:color="auto" w:sz="4" w:space="0"/>
            </w:tcBorders>
          </w:tcPr>
          <w:p>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372" w:type="dxa"/>
            <w:tcBorders>
              <w:top w:val="single" w:color="auto" w:sz="4" w:space="0"/>
              <w:left w:val="single" w:color="auto" w:sz="4" w:space="0"/>
              <w:bottom w:val="single" w:color="auto" w:sz="4" w:space="0"/>
              <w:right w:val="single" w:color="auto" w:sz="4" w:space="0"/>
            </w:tcBorders>
          </w:tcPr>
          <w:p>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553" w:type="dxa"/>
            <w:tcBorders>
              <w:top w:val="single" w:color="auto" w:sz="4" w:space="0"/>
              <w:left w:val="single" w:color="auto" w:sz="4" w:space="0"/>
              <w:bottom w:val="single" w:color="auto" w:sz="4" w:space="0"/>
            </w:tcBorders>
          </w:tcPr>
          <w:p>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34" w:type="dxa"/>
            <w:tcBorders>
              <w:top w:val="single" w:color="auto" w:sz="4" w:space="0"/>
              <w:bottom w:val="single" w:color="auto" w:sz="4" w:space="0"/>
              <w:right w:val="single" w:color="auto" w:sz="4" w:space="0"/>
            </w:tcBorders>
          </w:tcPr>
          <w:p>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color w:val="auto"/>
                <w:sz w:val="21"/>
                <w:szCs w:val="21"/>
                <w:highlight w:val="none"/>
              </w:rPr>
            </w:pPr>
          </w:p>
        </w:tc>
        <w:tc>
          <w:tcPr>
            <w:tcW w:w="814" w:type="dxa"/>
            <w:tcBorders>
              <w:top w:val="single" w:color="auto" w:sz="4" w:space="0"/>
              <w:left w:val="single" w:color="auto" w:sz="4" w:space="0"/>
              <w:bottom w:val="single" w:color="auto" w:sz="4" w:space="0"/>
              <w:right w:val="single" w:color="auto" w:sz="4" w:space="0"/>
            </w:tcBorders>
          </w:tcPr>
          <w:p>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750" w:type="dxa"/>
            <w:tcBorders>
              <w:top w:val="single" w:color="auto" w:sz="4" w:space="0"/>
              <w:left w:val="single" w:color="auto" w:sz="4" w:space="0"/>
              <w:bottom w:val="single" w:color="auto" w:sz="4" w:space="0"/>
              <w:right w:val="single" w:color="auto" w:sz="4" w:space="0"/>
            </w:tcBorders>
          </w:tcPr>
          <w:p>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879" w:type="dxa"/>
            <w:tcBorders>
              <w:top w:val="single" w:color="auto" w:sz="4" w:space="0"/>
              <w:left w:val="single" w:color="auto" w:sz="4" w:space="0"/>
              <w:bottom w:val="single" w:color="auto" w:sz="4" w:space="0"/>
              <w:right w:val="single" w:color="auto" w:sz="4" w:space="0"/>
            </w:tcBorders>
          </w:tcPr>
          <w:p>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521" w:type="dxa"/>
            <w:tcBorders>
              <w:top w:val="single" w:color="auto" w:sz="4" w:space="0"/>
              <w:left w:val="single" w:color="auto" w:sz="4" w:space="0"/>
              <w:bottom w:val="single" w:color="auto" w:sz="4" w:space="0"/>
              <w:right w:val="single" w:color="auto" w:sz="4" w:space="0"/>
            </w:tcBorders>
          </w:tcPr>
          <w:p>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275" w:type="dxa"/>
            <w:tcBorders>
              <w:top w:val="single" w:color="auto" w:sz="4" w:space="0"/>
              <w:left w:val="single" w:color="auto" w:sz="4" w:space="0"/>
              <w:bottom w:val="single" w:color="auto" w:sz="4" w:space="0"/>
              <w:right w:val="single" w:color="auto" w:sz="4" w:space="0"/>
            </w:tcBorders>
          </w:tcPr>
          <w:p>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372" w:type="dxa"/>
            <w:tcBorders>
              <w:top w:val="single" w:color="auto" w:sz="4" w:space="0"/>
              <w:left w:val="single" w:color="auto" w:sz="4" w:space="0"/>
              <w:bottom w:val="single" w:color="auto" w:sz="4" w:space="0"/>
              <w:right w:val="single" w:color="auto" w:sz="4" w:space="0"/>
            </w:tcBorders>
          </w:tcPr>
          <w:p>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553" w:type="dxa"/>
            <w:tcBorders>
              <w:top w:val="single" w:color="auto" w:sz="4" w:space="0"/>
              <w:left w:val="single" w:color="auto" w:sz="4" w:space="0"/>
              <w:bottom w:val="single" w:color="auto" w:sz="4" w:space="0"/>
            </w:tcBorders>
          </w:tcPr>
          <w:p>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r>
    </w:tbl>
    <w:p>
      <w:pPr>
        <w:keepNext w:val="0"/>
        <w:keepLines w:val="0"/>
        <w:pageBreakBefore w:val="0"/>
        <w:kinsoku/>
        <w:wordWrap/>
        <w:overflowPunct/>
        <w:topLinePunct w:val="0"/>
        <w:bidi w:val="0"/>
        <w:spacing w:line="360" w:lineRule="auto"/>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要求：</w:t>
      </w:r>
    </w:p>
    <w:p>
      <w:pPr>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r>
        <w:rPr>
          <w:rFonts w:hint="eastAsia" w:ascii="宋体" w:hAnsi="宋体" w:eastAsia="宋体" w:cs="宋体"/>
          <w:bCs/>
          <w:color w:val="auto"/>
          <w:szCs w:val="21"/>
          <w:highlight w:val="none"/>
        </w:rPr>
        <w:t>1</w:t>
      </w:r>
      <w:r>
        <w:rPr>
          <w:rFonts w:hint="eastAsia" w:ascii="宋体" w:hAnsi="宋体" w:eastAsia="宋体" w:cs="宋体"/>
          <w:bCs/>
          <w:color w:val="auto"/>
          <w:szCs w:val="21"/>
          <w:highlight w:val="none"/>
          <w:lang w:eastAsia="zh-CN"/>
        </w:rPr>
        <w:t>、</w:t>
      </w:r>
      <w:r>
        <w:rPr>
          <w:rFonts w:hint="eastAsia" w:ascii="宋体" w:hAnsi="宋体" w:eastAsia="宋体" w:cs="宋体"/>
          <w:color w:val="auto"/>
          <w:szCs w:val="21"/>
          <w:highlight w:val="none"/>
        </w:rPr>
        <w:t>在填写时，如本表格不适合投标单位的实际情况，可根据本表格式自行划表填写。</w:t>
      </w:r>
    </w:p>
    <w:p>
      <w:pPr>
        <w:pStyle w:val="41"/>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附人员证书复印件；</w:t>
      </w:r>
    </w:p>
    <w:p>
      <w:pPr>
        <w:pStyle w:val="41"/>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出具上述人员在本单位服务的外部证明，如：投标截止日之前六个月以内的代缴个税税单、参加社会保险的《投保单》或《社会保险参保人员证明》等。</w:t>
      </w:r>
    </w:p>
    <w:p>
      <w:pPr>
        <w:keepNext w:val="0"/>
        <w:keepLines w:val="0"/>
        <w:pageBreakBefore w:val="0"/>
        <w:kinsoku/>
        <w:wordWrap/>
        <w:overflowPunct/>
        <w:topLinePunct w:val="0"/>
        <w:bidi w:val="0"/>
        <w:spacing w:line="360" w:lineRule="auto"/>
        <w:ind w:left="420"/>
        <w:outlineLvl w:val="9"/>
        <w:rPr>
          <w:rFonts w:hint="eastAsia" w:ascii="宋体" w:hAnsi="宋体" w:eastAsia="宋体" w:cs="宋体"/>
          <w:color w:val="auto"/>
          <w:szCs w:val="21"/>
          <w:highlight w:val="none"/>
        </w:rPr>
      </w:pPr>
    </w:p>
    <w:p>
      <w:pPr>
        <w:spacing w:line="360" w:lineRule="auto"/>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投标人名称（盖章）：</w:t>
      </w:r>
    </w:p>
    <w:p>
      <w:pPr>
        <w:spacing w:line="360" w:lineRule="auto"/>
        <w:ind w:left="420"/>
        <w:rPr>
          <w:rFonts w:hint="eastAsia" w:ascii="宋体" w:hAnsi="宋体" w:eastAsia="宋体" w:cs="宋体"/>
          <w:color w:val="auto"/>
          <w:sz w:val="21"/>
          <w:szCs w:val="21"/>
          <w:highlight w:val="none"/>
        </w:rPr>
      </w:pPr>
    </w:p>
    <w:p>
      <w:pPr>
        <w:spacing w:line="360" w:lineRule="auto"/>
        <w:ind w:firstLine="43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法定代表人或授权委托代理人（签字或盖章）</w:t>
      </w:r>
      <w:r>
        <w:rPr>
          <w:rFonts w:hint="eastAsia" w:ascii="宋体" w:hAnsi="宋体" w:eastAsia="宋体" w:cs="宋体"/>
          <w:color w:val="auto"/>
          <w:sz w:val="21"/>
          <w:szCs w:val="21"/>
          <w:highlight w:val="none"/>
        </w:rPr>
        <w:t>：</w:t>
      </w:r>
    </w:p>
    <w:p>
      <w:pPr>
        <w:spacing w:line="360" w:lineRule="auto"/>
        <w:rPr>
          <w:rFonts w:hint="eastAsia" w:ascii="宋体" w:hAnsi="宋体" w:eastAsia="宋体" w:cs="宋体"/>
          <w:color w:val="auto"/>
          <w:sz w:val="21"/>
          <w:szCs w:val="21"/>
          <w:highlight w:val="none"/>
        </w:rPr>
      </w:pPr>
    </w:p>
    <w:p>
      <w:pPr>
        <w:spacing w:line="360" w:lineRule="auto"/>
        <w:ind w:firstLine="43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日期：</w:t>
      </w:r>
    </w:p>
    <w:p>
      <w:pPr>
        <w:keepNext w:val="0"/>
        <w:keepLines w:val="0"/>
        <w:pageBreakBefore w:val="0"/>
        <w:kinsoku/>
        <w:wordWrap/>
        <w:overflowPunct/>
        <w:topLinePunct w:val="0"/>
        <w:bidi w:val="0"/>
        <w:spacing w:line="360" w:lineRule="auto"/>
        <w:outlineLvl w:val="9"/>
        <w:rPr>
          <w:rFonts w:hint="eastAsia" w:ascii="宋体" w:hAnsi="宋体" w:eastAsia="宋体" w:cs="宋体"/>
          <w:b/>
          <w:color w:val="auto"/>
          <w:sz w:val="28"/>
          <w:highlight w:val="none"/>
        </w:rPr>
        <w:sectPr>
          <w:pgSz w:w="11906" w:h="16838"/>
          <w:pgMar w:top="1440" w:right="1800" w:bottom="1440" w:left="1800" w:header="851" w:footer="992" w:gutter="0"/>
          <w:pgNumType w:fmt="decimal"/>
          <w:cols w:space="425" w:num="1"/>
          <w:docGrid w:type="lines" w:linePitch="312" w:charSpace="0"/>
        </w:sectPr>
      </w:pPr>
    </w:p>
    <w:p>
      <w:pPr>
        <w:keepNext w:val="0"/>
        <w:keepLines w:val="0"/>
        <w:pageBreakBefore w:val="0"/>
        <w:kinsoku/>
        <w:wordWrap/>
        <w:overflowPunct/>
        <w:topLinePunct w:val="0"/>
        <w:bidi w:val="0"/>
        <w:spacing w:line="360" w:lineRule="auto"/>
        <w:outlineLvl w:val="9"/>
        <w:rPr>
          <w:rFonts w:hint="eastAsia" w:ascii="宋体" w:hAnsi="宋体" w:eastAsia="宋体" w:cs="宋体"/>
          <w:color w:val="auto"/>
          <w:highlight w:val="none"/>
          <w:lang w:eastAsia="zh-CN"/>
        </w:rPr>
      </w:pPr>
      <w:r>
        <w:rPr>
          <w:rFonts w:hint="eastAsia" w:ascii="宋体" w:hAnsi="宋体" w:eastAsia="宋体" w:cs="宋体"/>
          <w:b/>
          <w:color w:val="auto"/>
          <w:sz w:val="28"/>
          <w:highlight w:val="none"/>
        </w:rPr>
        <w:t>附件</w:t>
      </w:r>
      <w:r>
        <w:rPr>
          <w:rFonts w:hint="eastAsia" w:ascii="宋体" w:hAnsi="宋体" w:eastAsia="宋体" w:cs="宋体"/>
          <w:b/>
          <w:color w:val="auto"/>
          <w:sz w:val="28"/>
          <w:highlight w:val="none"/>
          <w:lang w:val="en-US" w:eastAsia="zh-CN"/>
        </w:rPr>
        <w:t>8</w:t>
      </w:r>
    </w:p>
    <w:p>
      <w:pPr>
        <w:keepNext w:val="0"/>
        <w:keepLines w:val="0"/>
        <w:pageBreakBefore w:val="0"/>
        <w:kinsoku/>
        <w:overflowPunct/>
        <w:topLinePunct w:val="0"/>
        <w:bidi w:val="0"/>
        <w:spacing w:before="156" w:beforeLines="50" w:after="156" w:afterLines="50" w:line="360" w:lineRule="auto"/>
        <w:ind w:right="-10"/>
        <w:jc w:val="center"/>
        <w:outlineLvl w:val="9"/>
        <w:rPr>
          <w:rFonts w:hint="eastAsia" w:ascii="宋体" w:hAnsi="宋体" w:eastAsia="宋体" w:cs="宋体"/>
          <w:b/>
          <w:bCs/>
          <w:color w:val="auto"/>
          <w:sz w:val="32"/>
          <w:szCs w:val="32"/>
          <w:highlight w:val="none"/>
          <w:lang w:eastAsia="zh-CN"/>
        </w:rPr>
      </w:pPr>
      <w:r>
        <w:rPr>
          <w:rFonts w:hint="eastAsia" w:ascii="宋体" w:hAnsi="宋体" w:eastAsia="宋体" w:cs="宋体"/>
          <w:b/>
          <w:bCs/>
          <w:color w:val="auto"/>
          <w:sz w:val="32"/>
          <w:szCs w:val="32"/>
          <w:highlight w:val="none"/>
        </w:rPr>
        <w:t>投标人提供的产品供货清单及原产地</w:t>
      </w:r>
    </w:p>
    <w:p>
      <w:pPr>
        <w:keepNext w:val="0"/>
        <w:keepLines w:val="0"/>
        <w:pageBreakBefore w:val="0"/>
        <w:kinsoku/>
        <w:overflowPunct/>
        <w:topLinePunct w:val="0"/>
        <w:bidi w:val="0"/>
        <w:spacing w:line="360" w:lineRule="auto"/>
        <w:outlineLvl w:val="9"/>
        <w:rPr>
          <w:rFonts w:hint="eastAsia" w:ascii="宋体" w:hAnsi="宋体" w:eastAsia="宋体" w:cs="宋体"/>
          <w:b/>
          <w:color w:val="auto"/>
          <w:sz w:val="21"/>
          <w:szCs w:val="21"/>
          <w:highlight w:val="none"/>
        </w:rPr>
      </w:pP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1316"/>
        <w:gridCol w:w="1138"/>
        <w:gridCol w:w="1139"/>
        <w:gridCol w:w="1139"/>
        <w:gridCol w:w="1139"/>
        <w:gridCol w:w="1139"/>
        <w:gridCol w:w="11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959" w:type="dxa"/>
            <w:noWrap w:val="0"/>
            <w:vAlign w:val="center"/>
          </w:tcPr>
          <w:p>
            <w:pPr>
              <w:keepNext w:val="0"/>
              <w:keepLines w:val="0"/>
              <w:pageBreakBefore w:val="0"/>
              <w:kinsoku/>
              <w:overflowPunct/>
              <w:topLinePunct w:val="0"/>
              <w:bidi w:val="0"/>
              <w:spacing w:line="360" w:lineRule="auto"/>
              <w:jc w:val="center"/>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序 号</w:t>
            </w:r>
          </w:p>
        </w:tc>
        <w:tc>
          <w:tcPr>
            <w:tcW w:w="1316" w:type="dxa"/>
            <w:noWrap w:val="0"/>
            <w:vAlign w:val="center"/>
          </w:tcPr>
          <w:p>
            <w:pPr>
              <w:keepNext w:val="0"/>
              <w:keepLines w:val="0"/>
              <w:pageBreakBefore w:val="0"/>
              <w:kinsoku/>
              <w:overflowPunct/>
              <w:topLinePunct w:val="0"/>
              <w:bidi w:val="0"/>
              <w:spacing w:line="360" w:lineRule="auto"/>
              <w:jc w:val="center"/>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名  称</w:t>
            </w:r>
          </w:p>
        </w:tc>
        <w:tc>
          <w:tcPr>
            <w:tcW w:w="1138" w:type="dxa"/>
            <w:noWrap w:val="0"/>
            <w:vAlign w:val="center"/>
          </w:tcPr>
          <w:p>
            <w:pPr>
              <w:keepNext w:val="0"/>
              <w:keepLines w:val="0"/>
              <w:pageBreakBefore w:val="0"/>
              <w:kinsoku/>
              <w:overflowPunct/>
              <w:topLinePunct w:val="0"/>
              <w:bidi w:val="0"/>
              <w:spacing w:line="360" w:lineRule="auto"/>
              <w:jc w:val="center"/>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型号</w:t>
            </w:r>
          </w:p>
        </w:tc>
        <w:tc>
          <w:tcPr>
            <w:tcW w:w="1139" w:type="dxa"/>
            <w:noWrap w:val="0"/>
            <w:vAlign w:val="center"/>
          </w:tcPr>
          <w:p>
            <w:pPr>
              <w:keepNext w:val="0"/>
              <w:keepLines w:val="0"/>
              <w:pageBreakBefore w:val="0"/>
              <w:kinsoku/>
              <w:overflowPunct/>
              <w:topLinePunct w:val="0"/>
              <w:bidi w:val="0"/>
              <w:spacing w:line="360" w:lineRule="auto"/>
              <w:jc w:val="center"/>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制造商/原产地</w:t>
            </w:r>
          </w:p>
        </w:tc>
        <w:tc>
          <w:tcPr>
            <w:tcW w:w="1139" w:type="dxa"/>
            <w:noWrap w:val="0"/>
            <w:vAlign w:val="center"/>
          </w:tcPr>
          <w:p>
            <w:pPr>
              <w:keepNext w:val="0"/>
              <w:keepLines w:val="0"/>
              <w:pageBreakBefore w:val="0"/>
              <w:kinsoku/>
              <w:overflowPunct/>
              <w:topLinePunct w:val="0"/>
              <w:bidi w:val="0"/>
              <w:spacing w:line="360" w:lineRule="auto"/>
              <w:jc w:val="center"/>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品牌</w:t>
            </w:r>
          </w:p>
        </w:tc>
        <w:tc>
          <w:tcPr>
            <w:tcW w:w="1139" w:type="dxa"/>
            <w:noWrap w:val="0"/>
            <w:vAlign w:val="center"/>
          </w:tcPr>
          <w:p>
            <w:pPr>
              <w:keepNext w:val="0"/>
              <w:keepLines w:val="0"/>
              <w:pageBreakBefore w:val="0"/>
              <w:kinsoku/>
              <w:overflowPunct/>
              <w:topLinePunct w:val="0"/>
              <w:bidi w:val="0"/>
              <w:spacing w:line="360" w:lineRule="auto"/>
              <w:jc w:val="center"/>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单 位</w:t>
            </w:r>
          </w:p>
        </w:tc>
        <w:tc>
          <w:tcPr>
            <w:tcW w:w="1139" w:type="dxa"/>
            <w:noWrap w:val="0"/>
            <w:vAlign w:val="center"/>
          </w:tcPr>
          <w:p>
            <w:pPr>
              <w:keepNext w:val="0"/>
              <w:keepLines w:val="0"/>
              <w:pageBreakBefore w:val="0"/>
              <w:kinsoku/>
              <w:overflowPunct/>
              <w:topLinePunct w:val="0"/>
              <w:bidi w:val="0"/>
              <w:spacing w:line="360" w:lineRule="auto"/>
              <w:jc w:val="center"/>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数 量</w:t>
            </w:r>
          </w:p>
        </w:tc>
        <w:tc>
          <w:tcPr>
            <w:tcW w:w="1139" w:type="dxa"/>
            <w:noWrap w:val="0"/>
            <w:vAlign w:val="center"/>
          </w:tcPr>
          <w:p>
            <w:pPr>
              <w:keepNext w:val="0"/>
              <w:keepLines w:val="0"/>
              <w:pageBreakBefore w:val="0"/>
              <w:kinsoku/>
              <w:overflowPunct/>
              <w:topLinePunct w:val="0"/>
              <w:bidi w:val="0"/>
              <w:spacing w:line="360" w:lineRule="auto"/>
              <w:jc w:val="center"/>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备 注</w:t>
            </w:r>
          </w:p>
          <w:p>
            <w:pPr>
              <w:keepNext w:val="0"/>
              <w:keepLines w:val="0"/>
              <w:pageBreakBefore w:val="0"/>
              <w:kinsoku/>
              <w:overflowPunct/>
              <w:topLinePunct w:val="0"/>
              <w:bidi w:val="0"/>
              <w:spacing w:line="360" w:lineRule="auto"/>
              <w:jc w:val="center"/>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959" w:type="dxa"/>
            <w:noWrap w:val="0"/>
            <w:vAlign w:val="center"/>
          </w:tcPr>
          <w:p>
            <w:pPr>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316" w:type="dxa"/>
            <w:noWrap w:val="0"/>
            <w:vAlign w:val="center"/>
          </w:tcPr>
          <w:p>
            <w:pPr>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1138" w:type="dxa"/>
            <w:noWrap w:val="0"/>
            <w:vAlign w:val="center"/>
          </w:tcPr>
          <w:p>
            <w:pPr>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1139" w:type="dxa"/>
            <w:noWrap w:val="0"/>
            <w:vAlign w:val="center"/>
          </w:tcPr>
          <w:p>
            <w:pPr>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1139" w:type="dxa"/>
            <w:noWrap w:val="0"/>
            <w:vAlign w:val="center"/>
          </w:tcPr>
          <w:p>
            <w:pPr>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1139" w:type="dxa"/>
            <w:noWrap w:val="0"/>
            <w:vAlign w:val="center"/>
          </w:tcPr>
          <w:p>
            <w:pPr>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1139" w:type="dxa"/>
            <w:noWrap w:val="0"/>
            <w:vAlign w:val="center"/>
          </w:tcPr>
          <w:p>
            <w:pPr>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1139" w:type="dxa"/>
            <w:noWrap w:val="0"/>
            <w:vAlign w:val="center"/>
          </w:tcPr>
          <w:p>
            <w:pPr>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959" w:type="dxa"/>
            <w:noWrap w:val="0"/>
            <w:vAlign w:val="top"/>
          </w:tcPr>
          <w:p>
            <w:pPr>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316" w:type="dxa"/>
            <w:noWrap w:val="0"/>
            <w:vAlign w:val="top"/>
          </w:tcPr>
          <w:p>
            <w:pPr>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1138" w:type="dxa"/>
            <w:noWrap w:val="0"/>
            <w:vAlign w:val="top"/>
          </w:tcPr>
          <w:p>
            <w:pPr>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1139" w:type="dxa"/>
            <w:noWrap w:val="0"/>
            <w:vAlign w:val="top"/>
          </w:tcPr>
          <w:p>
            <w:pPr>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1139" w:type="dxa"/>
            <w:noWrap w:val="0"/>
            <w:vAlign w:val="top"/>
          </w:tcPr>
          <w:p>
            <w:pPr>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1139" w:type="dxa"/>
            <w:noWrap w:val="0"/>
            <w:vAlign w:val="top"/>
          </w:tcPr>
          <w:p>
            <w:pPr>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1139" w:type="dxa"/>
            <w:noWrap w:val="0"/>
            <w:vAlign w:val="top"/>
          </w:tcPr>
          <w:p>
            <w:pPr>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1139" w:type="dxa"/>
            <w:noWrap w:val="0"/>
            <w:vAlign w:val="top"/>
          </w:tcPr>
          <w:p>
            <w:pPr>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959" w:type="dxa"/>
            <w:noWrap w:val="0"/>
            <w:vAlign w:val="top"/>
          </w:tcPr>
          <w:p>
            <w:pPr>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1316" w:type="dxa"/>
            <w:noWrap w:val="0"/>
            <w:vAlign w:val="top"/>
          </w:tcPr>
          <w:p>
            <w:pPr>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1138" w:type="dxa"/>
            <w:noWrap w:val="0"/>
            <w:vAlign w:val="top"/>
          </w:tcPr>
          <w:p>
            <w:pPr>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1139" w:type="dxa"/>
            <w:noWrap w:val="0"/>
            <w:vAlign w:val="top"/>
          </w:tcPr>
          <w:p>
            <w:pPr>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1139" w:type="dxa"/>
            <w:noWrap w:val="0"/>
            <w:vAlign w:val="top"/>
          </w:tcPr>
          <w:p>
            <w:pPr>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1139" w:type="dxa"/>
            <w:noWrap w:val="0"/>
            <w:vAlign w:val="top"/>
          </w:tcPr>
          <w:p>
            <w:pPr>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1139" w:type="dxa"/>
            <w:noWrap w:val="0"/>
            <w:vAlign w:val="top"/>
          </w:tcPr>
          <w:p>
            <w:pPr>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1139" w:type="dxa"/>
            <w:noWrap w:val="0"/>
            <w:vAlign w:val="top"/>
          </w:tcPr>
          <w:p>
            <w:pPr>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959" w:type="dxa"/>
            <w:noWrap w:val="0"/>
            <w:vAlign w:val="top"/>
          </w:tcPr>
          <w:p>
            <w:pPr>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1316" w:type="dxa"/>
            <w:noWrap w:val="0"/>
            <w:vAlign w:val="top"/>
          </w:tcPr>
          <w:p>
            <w:pPr>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1138" w:type="dxa"/>
            <w:noWrap w:val="0"/>
            <w:vAlign w:val="top"/>
          </w:tcPr>
          <w:p>
            <w:pPr>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1139" w:type="dxa"/>
            <w:noWrap w:val="0"/>
            <w:vAlign w:val="top"/>
          </w:tcPr>
          <w:p>
            <w:pPr>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1139" w:type="dxa"/>
            <w:noWrap w:val="0"/>
            <w:vAlign w:val="top"/>
          </w:tcPr>
          <w:p>
            <w:pPr>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1139" w:type="dxa"/>
            <w:noWrap w:val="0"/>
            <w:vAlign w:val="top"/>
          </w:tcPr>
          <w:p>
            <w:pPr>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1139" w:type="dxa"/>
            <w:noWrap w:val="0"/>
            <w:vAlign w:val="top"/>
          </w:tcPr>
          <w:p>
            <w:pPr>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1139" w:type="dxa"/>
            <w:noWrap w:val="0"/>
            <w:vAlign w:val="top"/>
          </w:tcPr>
          <w:p>
            <w:pPr>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959" w:type="dxa"/>
            <w:noWrap w:val="0"/>
            <w:vAlign w:val="top"/>
          </w:tcPr>
          <w:p>
            <w:pPr>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1316" w:type="dxa"/>
            <w:noWrap w:val="0"/>
            <w:vAlign w:val="top"/>
          </w:tcPr>
          <w:p>
            <w:pPr>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1138" w:type="dxa"/>
            <w:noWrap w:val="0"/>
            <w:vAlign w:val="top"/>
          </w:tcPr>
          <w:p>
            <w:pPr>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1139" w:type="dxa"/>
            <w:noWrap w:val="0"/>
            <w:vAlign w:val="top"/>
          </w:tcPr>
          <w:p>
            <w:pPr>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1139" w:type="dxa"/>
            <w:noWrap w:val="0"/>
            <w:vAlign w:val="top"/>
          </w:tcPr>
          <w:p>
            <w:pPr>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1139" w:type="dxa"/>
            <w:noWrap w:val="0"/>
            <w:vAlign w:val="top"/>
          </w:tcPr>
          <w:p>
            <w:pPr>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1139" w:type="dxa"/>
            <w:noWrap w:val="0"/>
            <w:vAlign w:val="top"/>
          </w:tcPr>
          <w:p>
            <w:pPr>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1139" w:type="dxa"/>
            <w:noWrap w:val="0"/>
            <w:vAlign w:val="top"/>
          </w:tcPr>
          <w:p>
            <w:pPr>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top"/>
          </w:tcPr>
          <w:p>
            <w:pPr>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p>
        </w:tc>
        <w:tc>
          <w:tcPr>
            <w:tcW w:w="1316" w:type="dxa"/>
            <w:noWrap w:val="0"/>
            <w:vAlign w:val="top"/>
          </w:tcPr>
          <w:p>
            <w:pPr>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1138" w:type="dxa"/>
            <w:noWrap w:val="0"/>
            <w:vAlign w:val="top"/>
          </w:tcPr>
          <w:p>
            <w:pPr>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1139" w:type="dxa"/>
            <w:noWrap w:val="0"/>
            <w:vAlign w:val="top"/>
          </w:tcPr>
          <w:p>
            <w:pPr>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1139" w:type="dxa"/>
            <w:noWrap w:val="0"/>
            <w:vAlign w:val="top"/>
          </w:tcPr>
          <w:p>
            <w:pPr>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1139" w:type="dxa"/>
            <w:noWrap w:val="0"/>
            <w:vAlign w:val="top"/>
          </w:tcPr>
          <w:p>
            <w:pPr>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1139" w:type="dxa"/>
            <w:noWrap w:val="0"/>
            <w:vAlign w:val="top"/>
          </w:tcPr>
          <w:p>
            <w:pPr>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1139" w:type="dxa"/>
            <w:noWrap w:val="0"/>
            <w:vAlign w:val="top"/>
          </w:tcPr>
          <w:p>
            <w:pPr>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top"/>
          </w:tcPr>
          <w:p>
            <w:pPr>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1316" w:type="dxa"/>
            <w:noWrap w:val="0"/>
            <w:vAlign w:val="top"/>
          </w:tcPr>
          <w:p>
            <w:pPr>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1138" w:type="dxa"/>
            <w:noWrap w:val="0"/>
            <w:vAlign w:val="top"/>
          </w:tcPr>
          <w:p>
            <w:pPr>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1139" w:type="dxa"/>
            <w:noWrap w:val="0"/>
            <w:vAlign w:val="top"/>
          </w:tcPr>
          <w:p>
            <w:pPr>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1139" w:type="dxa"/>
            <w:noWrap w:val="0"/>
            <w:vAlign w:val="top"/>
          </w:tcPr>
          <w:p>
            <w:pPr>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1139" w:type="dxa"/>
            <w:noWrap w:val="0"/>
            <w:vAlign w:val="top"/>
          </w:tcPr>
          <w:p>
            <w:pPr>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1139" w:type="dxa"/>
            <w:noWrap w:val="0"/>
            <w:vAlign w:val="top"/>
          </w:tcPr>
          <w:p>
            <w:pPr>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1139" w:type="dxa"/>
            <w:noWrap w:val="0"/>
            <w:vAlign w:val="top"/>
          </w:tcPr>
          <w:p>
            <w:pPr>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top"/>
          </w:tcPr>
          <w:p>
            <w:pPr>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1316" w:type="dxa"/>
            <w:noWrap w:val="0"/>
            <w:vAlign w:val="top"/>
          </w:tcPr>
          <w:p>
            <w:pPr>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随产品备品备件</w:t>
            </w:r>
          </w:p>
        </w:tc>
        <w:tc>
          <w:tcPr>
            <w:tcW w:w="1138" w:type="dxa"/>
            <w:noWrap w:val="0"/>
            <w:vAlign w:val="top"/>
          </w:tcPr>
          <w:p>
            <w:pPr>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1139" w:type="dxa"/>
            <w:noWrap w:val="0"/>
            <w:vAlign w:val="top"/>
          </w:tcPr>
          <w:p>
            <w:pPr>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1139" w:type="dxa"/>
            <w:noWrap w:val="0"/>
            <w:vAlign w:val="top"/>
          </w:tcPr>
          <w:p>
            <w:pPr>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1139" w:type="dxa"/>
            <w:noWrap w:val="0"/>
            <w:vAlign w:val="top"/>
          </w:tcPr>
          <w:p>
            <w:pPr>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1139" w:type="dxa"/>
            <w:noWrap w:val="0"/>
            <w:vAlign w:val="top"/>
          </w:tcPr>
          <w:p>
            <w:pPr>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1139" w:type="dxa"/>
            <w:noWrap w:val="0"/>
            <w:vAlign w:val="top"/>
          </w:tcPr>
          <w:p>
            <w:pPr>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top"/>
          </w:tcPr>
          <w:p>
            <w:pPr>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1316" w:type="dxa"/>
            <w:noWrap w:val="0"/>
            <w:vAlign w:val="top"/>
          </w:tcPr>
          <w:p>
            <w:pPr>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1138" w:type="dxa"/>
            <w:noWrap w:val="0"/>
            <w:vAlign w:val="top"/>
          </w:tcPr>
          <w:p>
            <w:pPr>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1139" w:type="dxa"/>
            <w:noWrap w:val="0"/>
            <w:vAlign w:val="top"/>
          </w:tcPr>
          <w:p>
            <w:pPr>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1139" w:type="dxa"/>
            <w:noWrap w:val="0"/>
            <w:vAlign w:val="top"/>
          </w:tcPr>
          <w:p>
            <w:pPr>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1139" w:type="dxa"/>
            <w:noWrap w:val="0"/>
            <w:vAlign w:val="top"/>
          </w:tcPr>
          <w:p>
            <w:pPr>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1139" w:type="dxa"/>
            <w:noWrap w:val="0"/>
            <w:vAlign w:val="top"/>
          </w:tcPr>
          <w:p>
            <w:pPr>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1139" w:type="dxa"/>
            <w:noWrap w:val="0"/>
            <w:vAlign w:val="top"/>
          </w:tcPr>
          <w:p>
            <w:pPr>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r>
    </w:tbl>
    <w:p>
      <w:pPr>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本表所列项目应全部计入投标总价。</w:t>
      </w:r>
    </w:p>
    <w:p>
      <w:pPr>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投标人在投标时，应对所供产品的包装方式给于具体说明。</w:t>
      </w:r>
    </w:p>
    <w:p>
      <w:pPr>
        <w:pStyle w:val="11"/>
        <w:keepNext w:val="0"/>
        <w:keepLines w:val="0"/>
        <w:pageBreakBefore w:val="0"/>
        <w:kinsoku/>
        <w:overflowPunct/>
        <w:topLinePunct w:val="0"/>
        <w:bidi w:val="0"/>
        <w:spacing w:line="360" w:lineRule="auto"/>
        <w:ind w:firstLine="42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此表仅提供了表格形式，投标人应根据需要准备足够数量的表格来填写本表。</w:t>
      </w:r>
    </w:p>
    <w:p>
      <w:pPr>
        <w:spacing w:line="360" w:lineRule="auto"/>
        <w:ind w:left="420"/>
        <w:rPr>
          <w:rFonts w:hint="eastAsia" w:ascii="宋体" w:hAnsi="宋体" w:eastAsia="宋体" w:cs="宋体"/>
          <w:color w:val="auto"/>
          <w:sz w:val="21"/>
          <w:szCs w:val="21"/>
          <w:highlight w:val="none"/>
        </w:rPr>
      </w:pPr>
    </w:p>
    <w:p>
      <w:pPr>
        <w:spacing w:line="360" w:lineRule="auto"/>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投标人名称（盖章）：</w:t>
      </w:r>
    </w:p>
    <w:p>
      <w:pPr>
        <w:spacing w:line="360" w:lineRule="auto"/>
        <w:ind w:left="420"/>
        <w:rPr>
          <w:rFonts w:hint="eastAsia" w:ascii="宋体" w:hAnsi="宋体" w:eastAsia="宋体" w:cs="宋体"/>
          <w:color w:val="auto"/>
          <w:sz w:val="21"/>
          <w:szCs w:val="21"/>
          <w:highlight w:val="none"/>
        </w:rPr>
      </w:pPr>
    </w:p>
    <w:p>
      <w:pPr>
        <w:spacing w:line="360" w:lineRule="auto"/>
        <w:ind w:firstLine="43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法定代表人或授权委托代理人（签字或盖章）</w:t>
      </w:r>
      <w:r>
        <w:rPr>
          <w:rFonts w:hint="eastAsia" w:ascii="宋体" w:hAnsi="宋体" w:eastAsia="宋体" w:cs="宋体"/>
          <w:color w:val="auto"/>
          <w:sz w:val="21"/>
          <w:szCs w:val="21"/>
          <w:highlight w:val="none"/>
        </w:rPr>
        <w:t>：</w:t>
      </w:r>
    </w:p>
    <w:p>
      <w:pPr>
        <w:spacing w:line="360" w:lineRule="auto"/>
        <w:rPr>
          <w:rFonts w:hint="eastAsia" w:ascii="宋体" w:hAnsi="宋体" w:eastAsia="宋体" w:cs="宋体"/>
          <w:color w:val="auto"/>
          <w:sz w:val="21"/>
          <w:szCs w:val="21"/>
          <w:highlight w:val="none"/>
        </w:rPr>
      </w:pPr>
    </w:p>
    <w:p>
      <w:pPr>
        <w:spacing w:line="360" w:lineRule="auto"/>
        <w:ind w:firstLine="43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日期：</w:t>
      </w:r>
    </w:p>
    <w:p>
      <w:pPr>
        <w:keepNext w:val="0"/>
        <w:keepLines w:val="0"/>
        <w:pageBreakBefore w:val="0"/>
        <w:kinsoku/>
        <w:wordWrap/>
        <w:overflowPunct/>
        <w:topLinePunct w:val="0"/>
        <w:bidi w:val="0"/>
        <w:snapToGrid w:val="0"/>
        <w:spacing w:before="50" w:after="50" w:line="360" w:lineRule="auto"/>
        <w:outlineLvl w:val="9"/>
        <w:rPr>
          <w:rFonts w:hint="eastAsia" w:ascii="宋体" w:hAnsi="宋体" w:eastAsia="宋体" w:cs="宋体"/>
          <w:b/>
          <w:color w:val="auto"/>
          <w:sz w:val="28"/>
          <w:highlight w:val="none"/>
        </w:rPr>
      </w:pPr>
    </w:p>
    <w:p>
      <w:pPr>
        <w:keepNext w:val="0"/>
        <w:keepLines w:val="0"/>
        <w:pageBreakBefore w:val="0"/>
        <w:kinsoku/>
        <w:wordWrap/>
        <w:overflowPunct/>
        <w:topLinePunct w:val="0"/>
        <w:bidi w:val="0"/>
        <w:snapToGrid w:val="0"/>
        <w:spacing w:before="50" w:after="50" w:line="360" w:lineRule="auto"/>
        <w:outlineLvl w:val="9"/>
        <w:rPr>
          <w:rFonts w:hint="eastAsia" w:ascii="宋体" w:hAnsi="宋体" w:eastAsia="宋体" w:cs="宋体"/>
          <w:b/>
          <w:color w:val="auto"/>
          <w:sz w:val="28"/>
          <w:highlight w:val="none"/>
        </w:rPr>
      </w:pPr>
    </w:p>
    <w:p>
      <w:pPr>
        <w:keepNext w:val="0"/>
        <w:keepLines w:val="0"/>
        <w:pageBreakBefore w:val="0"/>
        <w:kinsoku/>
        <w:wordWrap/>
        <w:overflowPunct/>
        <w:topLinePunct w:val="0"/>
        <w:bidi w:val="0"/>
        <w:snapToGrid w:val="0"/>
        <w:spacing w:before="50" w:after="50" w:line="360" w:lineRule="auto"/>
        <w:outlineLvl w:val="9"/>
        <w:rPr>
          <w:rFonts w:hint="eastAsia" w:ascii="宋体" w:hAnsi="宋体" w:eastAsia="宋体" w:cs="宋体"/>
          <w:b/>
          <w:color w:val="auto"/>
          <w:sz w:val="28"/>
          <w:highlight w:val="none"/>
          <w:lang w:eastAsia="zh-CN"/>
        </w:rPr>
      </w:pPr>
      <w:r>
        <w:rPr>
          <w:rFonts w:hint="eastAsia" w:ascii="宋体" w:hAnsi="宋体" w:eastAsia="宋体" w:cs="宋体"/>
          <w:b/>
          <w:color w:val="auto"/>
          <w:sz w:val="28"/>
          <w:highlight w:val="none"/>
        </w:rPr>
        <w:t>附件</w:t>
      </w:r>
      <w:r>
        <w:rPr>
          <w:rFonts w:hint="eastAsia" w:ascii="宋体" w:hAnsi="宋体" w:eastAsia="宋体" w:cs="宋体"/>
          <w:b/>
          <w:color w:val="auto"/>
          <w:sz w:val="28"/>
          <w:highlight w:val="none"/>
          <w:lang w:val="en-US" w:eastAsia="zh-CN"/>
        </w:rPr>
        <w:t>9</w:t>
      </w:r>
    </w:p>
    <w:p>
      <w:pPr>
        <w:keepNext w:val="0"/>
        <w:keepLines w:val="0"/>
        <w:pageBreakBefore w:val="0"/>
        <w:kinsoku/>
        <w:wordWrap/>
        <w:overflowPunct/>
        <w:topLinePunct w:val="0"/>
        <w:bidi w:val="0"/>
        <w:spacing w:line="360" w:lineRule="auto"/>
        <w:ind w:left="480"/>
        <w:jc w:val="center"/>
        <w:outlineLvl w:val="9"/>
        <w:rPr>
          <w:rFonts w:hint="eastAsia" w:ascii="宋体" w:hAnsi="宋体" w:eastAsia="宋体" w:cs="宋体"/>
          <w:b/>
          <w:bCs/>
          <w:color w:val="auto"/>
          <w:sz w:val="32"/>
          <w:szCs w:val="32"/>
          <w:highlight w:val="none"/>
        </w:rPr>
      </w:pPr>
      <w:r>
        <w:rPr>
          <w:rFonts w:hint="eastAsia" w:ascii="宋体" w:hAnsi="宋体" w:eastAsia="宋体" w:cs="宋体"/>
          <w:b/>
          <w:bCs/>
          <w:color w:val="auto"/>
          <w:kern w:val="0"/>
          <w:sz w:val="32"/>
          <w:szCs w:val="32"/>
          <w:highlight w:val="none"/>
        </w:rPr>
        <w:t>技术需求响应表</w:t>
      </w:r>
    </w:p>
    <w:p>
      <w:pPr>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tbl>
      <w:tblPr>
        <w:tblStyle w:val="22"/>
        <w:tblW w:w="829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1785"/>
        <w:gridCol w:w="1449"/>
        <w:gridCol w:w="1560"/>
        <w:gridCol w:w="1401"/>
        <w:gridCol w:w="13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735" w:type="dxa"/>
            <w:vAlign w:val="center"/>
          </w:tcPr>
          <w:p>
            <w:pPr>
              <w:keepNext w:val="0"/>
              <w:keepLines w:val="0"/>
              <w:pageBreakBefore w:val="0"/>
              <w:kinsoku/>
              <w:wordWrap/>
              <w:overflowPunct/>
              <w:topLinePunct w:val="0"/>
              <w:bidi w:val="0"/>
              <w:spacing w:line="360" w:lineRule="auto"/>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序号</w:t>
            </w:r>
          </w:p>
        </w:tc>
        <w:tc>
          <w:tcPr>
            <w:tcW w:w="1785" w:type="dxa"/>
            <w:vAlign w:val="center"/>
          </w:tcPr>
          <w:p>
            <w:pPr>
              <w:keepNext w:val="0"/>
              <w:keepLines w:val="0"/>
              <w:pageBreakBefore w:val="0"/>
              <w:kinsoku/>
              <w:wordWrap/>
              <w:overflowPunct/>
              <w:topLinePunct w:val="0"/>
              <w:bidi w:val="0"/>
              <w:spacing w:line="360" w:lineRule="auto"/>
              <w:ind w:left="13" w:leftChars="6" w:firstLine="422" w:firstLineChars="200"/>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名称</w:t>
            </w:r>
          </w:p>
        </w:tc>
        <w:tc>
          <w:tcPr>
            <w:tcW w:w="1449" w:type="dxa"/>
            <w:vAlign w:val="center"/>
          </w:tcPr>
          <w:p>
            <w:pPr>
              <w:keepNext w:val="0"/>
              <w:keepLines w:val="0"/>
              <w:pageBreakBefore w:val="0"/>
              <w:kinsoku/>
              <w:wordWrap/>
              <w:overflowPunct/>
              <w:topLinePunct w:val="0"/>
              <w:bidi w:val="0"/>
              <w:spacing w:line="360" w:lineRule="auto"/>
              <w:ind w:left="52"/>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规格型号</w:t>
            </w:r>
          </w:p>
        </w:tc>
        <w:tc>
          <w:tcPr>
            <w:tcW w:w="1560" w:type="dxa"/>
            <w:vAlign w:val="center"/>
          </w:tcPr>
          <w:p>
            <w:pPr>
              <w:keepNext w:val="0"/>
              <w:keepLines w:val="0"/>
              <w:pageBreakBefore w:val="0"/>
              <w:kinsoku/>
              <w:wordWrap/>
              <w:overflowPunct/>
              <w:topLinePunct w:val="0"/>
              <w:bidi w:val="0"/>
              <w:spacing w:line="360" w:lineRule="auto"/>
              <w:ind w:left="152"/>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招标参数</w:t>
            </w:r>
          </w:p>
        </w:tc>
        <w:tc>
          <w:tcPr>
            <w:tcW w:w="1401" w:type="dxa"/>
            <w:vAlign w:val="center"/>
          </w:tcPr>
          <w:p>
            <w:pPr>
              <w:keepNext w:val="0"/>
              <w:keepLines w:val="0"/>
              <w:pageBreakBefore w:val="0"/>
              <w:kinsoku/>
              <w:wordWrap/>
              <w:overflowPunct/>
              <w:topLinePunct w:val="0"/>
              <w:bidi w:val="0"/>
              <w:spacing w:line="360" w:lineRule="auto"/>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投标参数</w:t>
            </w:r>
          </w:p>
        </w:tc>
        <w:tc>
          <w:tcPr>
            <w:tcW w:w="1365" w:type="dxa"/>
            <w:vAlign w:val="center"/>
          </w:tcPr>
          <w:p>
            <w:pPr>
              <w:keepNext w:val="0"/>
              <w:keepLines w:val="0"/>
              <w:pageBreakBefore w:val="0"/>
              <w:kinsoku/>
              <w:wordWrap/>
              <w:overflowPunct/>
              <w:topLinePunct w:val="0"/>
              <w:bidi w:val="0"/>
              <w:spacing w:line="360" w:lineRule="auto"/>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735" w:type="dxa"/>
            <w:vAlign w:val="center"/>
          </w:tcPr>
          <w:p>
            <w:pPr>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tc>
        <w:tc>
          <w:tcPr>
            <w:tcW w:w="1785" w:type="dxa"/>
            <w:vAlign w:val="center"/>
          </w:tcPr>
          <w:p>
            <w:pPr>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tc>
        <w:tc>
          <w:tcPr>
            <w:tcW w:w="1449" w:type="dxa"/>
            <w:vAlign w:val="center"/>
          </w:tcPr>
          <w:p>
            <w:pPr>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tc>
        <w:tc>
          <w:tcPr>
            <w:tcW w:w="1560" w:type="dxa"/>
            <w:vAlign w:val="center"/>
          </w:tcPr>
          <w:p>
            <w:pPr>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tc>
        <w:tc>
          <w:tcPr>
            <w:tcW w:w="1401" w:type="dxa"/>
            <w:vAlign w:val="center"/>
          </w:tcPr>
          <w:p>
            <w:pPr>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tc>
        <w:tc>
          <w:tcPr>
            <w:tcW w:w="1365" w:type="dxa"/>
            <w:vAlign w:val="center"/>
          </w:tcPr>
          <w:p>
            <w:pPr>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735" w:type="dxa"/>
            <w:vAlign w:val="center"/>
          </w:tcPr>
          <w:p>
            <w:pPr>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tc>
        <w:tc>
          <w:tcPr>
            <w:tcW w:w="1785" w:type="dxa"/>
            <w:vAlign w:val="center"/>
          </w:tcPr>
          <w:p>
            <w:pPr>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tc>
        <w:tc>
          <w:tcPr>
            <w:tcW w:w="1449" w:type="dxa"/>
            <w:vAlign w:val="center"/>
          </w:tcPr>
          <w:p>
            <w:pPr>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tc>
        <w:tc>
          <w:tcPr>
            <w:tcW w:w="1560" w:type="dxa"/>
            <w:vAlign w:val="center"/>
          </w:tcPr>
          <w:p>
            <w:pPr>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tc>
        <w:tc>
          <w:tcPr>
            <w:tcW w:w="1401" w:type="dxa"/>
            <w:vAlign w:val="center"/>
          </w:tcPr>
          <w:p>
            <w:pPr>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tc>
        <w:tc>
          <w:tcPr>
            <w:tcW w:w="1365" w:type="dxa"/>
            <w:vAlign w:val="center"/>
          </w:tcPr>
          <w:p>
            <w:pPr>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pPr>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tc>
        <w:tc>
          <w:tcPr>
            <w:tcW w:w="1785" w:type="dxa"/>
            <w:vAlign w:val="center"/>
          </w:tcPr>
          <w:p>
            <w:pPr>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tc>
        <w:tc>
          <w:tcPr>
            <w:tcW w:w="1449" w:type="dxa"/>
            <w:vAlign w:val="center"/>
          </w:tcPr>
          <w:p>
            <w:pPr>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tc>
        <w:tc>
          <w:tcPr>
            <w:tcW w:w="1560" w:type="dxa"/>
            <w:vAlign w:val="center"/>
          </w:tcPr>
          <w:p>
            <w:pPr>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tc>
        <w:tc>
          <w:tcPr>
            <w:tcW w:w="1401" w:type="dxa"/>
            <w:vAlign w:val="center"/>
          </w:tcPr>
          <w:p>
            <w:pPr>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tc>
        <w:tc>
          <w:tcPr>
            <w:tcW w:w="1365" w:type="dxa"/>
            <w:vAlign w:val="center"/>
          </w:tcPr>
          <w:p>
            <w:pPr>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pPr>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tc>
        <w:tc>
          <w:tcPr>
            <w:tcW w:w="1785" w:type="dxa"/>
            <w:vAlign w:val="center"/>
          </w:tcPr>
          <w:p>
            <w:pPr>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tc>
        <w:tc>
          <w:tcPr>
            <w:tcW w:w="1449" w:type="dxa"/>
            <w:vAlign w:val="center"/>
          </w:tcPr>
          <w:p>
            <w:pPr>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tc>
        <w:tc>
          <w:tcPr>
            <w:tcW w:w="1560" w:type="dxa"/>
            <w:vAlign w:val="center"/>
          </w:tcPr>
          <w:p>
            <w:pPr>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tc>
        <w:tc>
          <w:tcPr>
            <w:tcW w:w="1401" w:type="dxa"/>
            <w:vAlign w:val="center"/>
          </w:tcPr>
          <w:p>
            <w:pPr>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tc>
        <w:tc>
          <w:tcPr>
            <w:tcW w:w="1365" w:type="dxa"/>
            <w:vAlign w:val="center"/>
          </w:tcPr>
          <w:p>
            <w:pPr>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rPr>
        <w:tc>
          <w:tcPr>
            <w:tcW w:w="735" w:type="dxa"/>
            <w:vAlign w:val="center"/>
          </w:tcPr>
          <w:p>
            <w:pPr>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tc>
        <w:tc>
          <w:tcPr>
            <w:tcW w:w="1785" w:type="dxa"/>
            <w:vAlign w:val="center"/>
          </w:tcPr>
          <w:p>
            <w:pPr>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tc>
        <w:tc>
          <w:tcPr>
            <w:tcW w:w="1449" w:type="dxa"/>
            <w:vAlign w:val="center"/>
          </w:tcPr>
          <w:p>
            <w:pPr>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tc>
        <w:tc>
          <w:tcPr>
            <w:tcW w:w="1560" w:type="dxa"/>
            <w:vAlign w:val="center"/>
          </w:tcPr>
          <w:p>
            <w:pPr>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tc>
        <w:tc>
          <w:tcPr>
            <w:tcW w:w="1401" w:type="dxa"/>
            <w:vAlign w:val="center"/>
          </w:tcPr>
          <w:p>
            <w:pPr>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tc>
        <w:tc>
          <w:tcPr>
            <w:tcW w:w="1365" w:type="dxa"/>
            <w:vAlign w:val="center"/>
          </w:tcPr>
          <w:p>
            <w:pPr>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trPr>
        <w:tc>
          <w:tcPr>
            <w:tcW w:w="735" w:type="dxa"/>
            <w:vAlign w:val="center"/>
          </w:tcPr>
          <w:p>
            <w:pPr>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tc>
        <w:tc>
          <w:tcPr>
            <w:tcW w:w="1785" w:type="dxa"/>
            <w:vAlign w:val="center"/>
          </w:tcPr>
          <w:p>
            <w:pPr>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tc>
        <w:tc>
          <w:tcPr>
            <w:tcW w:w="1449" w:type="dxa"/>
            <w:vAlign w:val="center"/>
          </w:tcPr>
          <w:p>
            <w:pPr>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tc>
        <w:tc>
          <w:tcPr>
            <w:tcW w:w="1560" w:type="dxa"/>
            <w:vAlign w:val="center"/>
          </w:tcPr>
          <w:p>
            <w:pPr>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tc>
        <w:tc>
          <w:tcPr>
            <w:tcW w:w="1401" w:type="dxa"/>
            <w:vAlign w:val="center"/>
          </w:tcPr>
          <w:p>
            <w:pPr>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tc>
        <w:tc>
          <w:tcPr>
            <w:tcW w:w="1365" w:type="dxa"/>
            <w:vAlign w:val="center"/>
          </w:tcPr>
          <w:p>
            <w:pPr>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735" w:type="dxa"/>
            <w:vAlign w:val="center"/>
          </w:tcPr>
          <w:p>
            <w:pPr>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tc>
        <w:tc>
          <w:tcPr>
            <w:tcW w:w="1785" w:type="dxa"/>
            <w:vAlign w:val="center"/>
          </w:tcPr>
          <w:p>
            <w:pPr>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tc>
        <w:tc>
          <w:tcPr>
            <w:tcW w:w="1449" w:type="dxa"/>
            <w:vAlign w:val="center"/>
          </w:tcPr>
          <w:p>
            <w:pPr>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tc>
        <w:tc>
          <w:tcPr>
            <w:tcW w:w="1560" w:type="dxa"/>
            <w:vAlign w:val="center"/>
          </w:tcPr>
          <w:p>
            <w:pPr>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tc>
        <w:tc>
          <w:tcPr>
            <w:tcW w:w="1401" w:type="dxa"/>
            <w:vAlign w:val="center"/>
          </w:tcPr>
          <w:p>
            <w:pPr>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tc>
        <w:tc>
          <w:tcPr>
            <w:tcW w:w="1365" w:type="dxa"/>
            <w:vAlign w:val="center"/>
          </w:tcPr>
          <w:p>
            <w:pPr>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tc>
      </w:tr>
    </w:tbl>
    <w:p>
      <w:pPr>
        <w:pStyle w:val="42"/>
        <w:keepNext w:val="0"/>
        <w:keepLines w:val="0"/>
        <w:pageBreakBefore w:val="0"/>
        <w:tabs>
          <w:tab w:val="left" w:pos="360"/>
        </w:tabs>
        <w:kinsoku/>
        <w:wordWrap/>
        <w:overflowPunct/>
        <w:topLinePunct w:val="0"/>
        <w:bidi w:val="0"/>
        <w:spacing w:line="360" w:lineRule="auto"/>
        <w:ind w:right="84" w:rightChars="40"/>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要求：</w:t>
      </w:r>
    </w:p>
    <w:p>
      <w:pPr>
        <w:pStyle w:val="42"/>
        <w:keepNext w:val="0"/>
        <w:keepLines w:val="0"/>
        <w:pageBreakBefore w:val="0"/>
        <w:kinsoku/>
        <w:wordWrap/>
        <w:overflowPunct/>
        <w:topLinePunct w:val="0"/>
        <w:bidi w:val="0"/>
        <w:spacing w:line="360" w:lineRule="auto"/>
        <w:ind w:right="84" w:rightChars="40"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本表参照本招标文件第</w:t>
      </w:r>
      <w:r>
        <w:rPr>
          <w:rFonts w:hint="eastAsia" w:ascii="宋体" w:hAnsi="宋体" w:eastAsia="宋体" w:cs="宋体"/>
          <w:color w:val="auto"/>
          <w:szCs w:val="21"/>
          <w:highlight w:val="none"/>
          <w:lang w:val="en-US" w:eastAsia="zh-CN"/>
        </w:rPr>
        <w:t>四</w:t>
      </w:r>
      <w:r>
        <w:rPr>
          <w:rFonts w:hint="eastAsia" w:ascii="宋体" w:hAnsi="宋体" w:eastAsia="宋体" w:cs="宋体"/>
          <w:color w:val="auto"/>
          <w:szCs w:val="21"/>
          <w:highlight w:val="none"/>
        </w:rPr>
        <w:t>部分“</w:t>
      </w:r>
      <w:r>
        <w:rPr>
          <w:rFonts w:hint="eastAsia" w:ascii="宋体" w:hAnsi="宋体" w:cs="宋体"/>
          <w:color w:val="auto"/>
          <w:szCs w:val="21"/>
          <w:highlight w:val="none"/>
          <w:lang w:val="en-US" w:eastAsia="zh-CN"/>
        </w:rPr>
        <w:t>公开</w:t>
      </w:r>
      <w:r>
        <w:rPr>
          <w:rFonts w:hint="eastAsia" w:ascii="宋体" w:hAnsi="宋体" w:eastAsia="宋体" w:cs="宋体"/>
          <w:color w:val="auto"/>
          <w:szCs w:val="21"/>
          <w:highlight w:val="none"/>
        </w:rPr>
        <w:t>招标需求”内具体技术需求填制，投标人应根据投标设备的性能指标、服务指标，对照招标文件要求在“偏离情况”栏注明“正偏离”、“负偏离”或“无偏离”。</w:t>
      </w:r>
    </w:p>
    <w:p>
      <w:pPr>
        <w:pStyle w:val="42"/>
        <w:keepNext w:val="0"/>
        <w:keepLines w:val="0"/>
        <w:pageBreakBefore w:val="0"/>
        <w:kinsoku/>
        <w:wordWrap/>
        <w:overflowPunct/>
        <w:topLinePunct w:val="0"/>
        <w:bidi w:val="0"/>
        <w:spacing w:line="360" w:lineRule="auto"/>
        <w:ind w:right="84" w:rightChars="40"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对于投标产品的技术偏离情况需严格按照招标文件的技术要求一一比对给出，未达到技术要求中规定的数值应以负偏离标注。若因技术实现方式等其他问题而导致的理解不同未标注负偏离的，需在备注中具体说明；若未按要求标注负偏离又未予以说明的，评审小组将视偏离程度给予扣分或认定为虚假应标。</w:t>
      </w:r>
    </w:p>
    <w:p>
      <w:pPr>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p>
      <w:pPr>
        <w:keepNext w:val="0"/>
        <w:keepLines w:val="0"/>
        <w:pageBreakBefore w:val="0"/>
        <w:kinsoku/>
        <w:wordWrap/>
        <w:overflowPunct/>
        <w:topLinePunct w:val="0"/>
        <w:bidi w:val="0"/>
        <w:spacing w:line="360" w:lineRule="auto"/>
        <w:ind w:left="420"/>
        <w:outlineLvl w:val="9"/>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投标人名称（盖章）：</w:t>
      </w:r>
    </w:p>
    <w:p>
      <w:pPr>
        <w:keepNext w:val="0"/>
        <w:keepLines w:val="0"/>
        <w:pageBreakBefore w:val="0"/>
        <w:kinsoku/>
        <w:wordWrap/>
        <w:overflowPunct/>
        <w:topLinePunct w:val="0"/>
        <w:bidi w:val="0"/>
        <w:spacing w:line="360" w:lineRule="auto"/>
        <w:ind w:left="420"/>
        <w:outlineLvl w:val="9"/>
        <w:rPr>
          <w:rFonts w:hint="eastAsia" w:ascii="宋体" w:hAnsi="宋体" w:eastAsia="宋体" w:cs="宋体"/>
          <w:color w:val="auto"/>
          <w:szCs w:val="21"/>
          <w:highlight w:val="none"/>
        </w:rPr>
      </w:pPr>
    </w:p>
    <w:p>
      <w:pPr>
        <w:keepNext w:val="0"/>
        <w:keepLines w:val="0"/>
        <w:pageBreakBefore w:val="0"/>
        <w:kinsoku/>
        <w:wordWrap/>
        <w:overflowPunct/>
        <w:topLinePunct w:val="0"/>
        <w:bidi w:val="0"/>
        <w:spacing w:line="360" w:lineRule="auto"/>
        <w:ind w:firstLine="435"/>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法定代表人或授权委托代理人（签字或盖章）：</w:t>
      </w:r>
    </w:p>
    <w:p>
      <w:pPr>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p>
      <w:pPr>
        <w:keepNext w:val="0"/>
        <w:keepLines w:val="0"/>
        <w:pageBreakBefore w:val="0"/>
        <w:kinsoku/>
        <w:wordWrap/>
        <w:overflowPunct/>
        <w:topLinePunct w:val="0"/>
        <w:bidi w:val="0"/>
        <w:spacing w:line="360" w:lineRule="auto"/>
        <w:ind w:firstLine="435"/>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日期：</w:t>
      </w:r>
    </w:p>
    <w:p>
      <w:pPr>
        <w:pStyle w:val="43"/>
        <w:keepNext w:val="0"/>
        <w:keepLines w:val="0"/>
        <w:pageBreakBefore w:val="0"/>
        <w:kinsoku/>
        <w:wordWrap/>
        <w:overflowPunct/>
        <w:topLinePunct w:val="0"/>
        <w:bidi w:val="0"/>
        <w:spacing w:line="360" w:lineRule="auto"/>
        <w:jc w:val="left"/>
        <w:outlineLvl w:val="9"/>
        <w:rPr>
          <w:rFonts w:hint="eastAsia" w:ascii="宋体" w:hAnsi="宋体" w:eastAsia="宋体" w:cs="宋体"/>
          <w:b/>
          <w:color w:val="auto"/>
          <w:sz w:val="28"/>
          <w:highlight w:val="none"/>
        </w:rPr>
      </w:pPr>
    </w:p>
    <w:p>
      <w:pPr>
        <w:pStyle w:val="43"/>
        <w:keepNext w:val="0"/>
        <w:keepLines w:val="0"/>
        <w:pageBreakBefore w:val="0"/>
        <w:kinsoku/>
        <w:wordWrap/>
        <w:overflowPunct/>
        <w:topLinePunct w:val="0"/>
        <w:bidi w:val="0"/>
        <w:spacing w:line="360" w:lineRule="auto"/>
        <w:jc w:val="left"/>
        <w:outlineLvl w:val="9"/>
        <w:rPr>
          <w:rFonts w:hint="eastAsia" w:ascii="宋体" w:hAnsi="宋体" w:eastAsia="宋体" w:cs="宋体"/>
          <w:b/>
          <w:color w:val="auto"/>
          <w:sz w:val="28"/>
          <w:highlight w:val="none"/>
        </w:rPr>
      </w:pPr>
    </w:p>
    <w:p>
      <w:pPr>
        <w:pStyle w:val="43"/>
        <w:keepNext w:val="0"/>
        <w:keepLines w:val="0"/>
        <w:pageBreakBefore w:val="0"/>
        <w:kinsoku/>
        <w:wordWrap/>
        <w:overflowPunct/>
        <w:topLinePunct w:val="0"/>
        <w:bidi w:val="0"/>
        <w:spacing w:line="360" w:lineRule="auto"/>
        <w:jc w:val="left"/>
        <w:outlineLvl w:val="9"/>
        <w:rPr>
          <w:rFonts w:hint="eastAsia" w:ascii="宋体" w:hAnsi="宋体" w:eastAsia="宋体" w:cs="宋体"/>
          <w:b/>
          <w:color w:val="auto"/>
          <w:sz w:val="28"/>
          <w:highlight w:val="none"/>
          <w:lang w:eastAsia="zh-CN"/>
        </w:rPr>
      </w:pPr>
      <w:r>
        <w:rPr>
          <w:rFonts w:hint="eastAsia" w:ascii="宋体" w:hAnsi="宋体" w:eastAsia="宋体" w:cs="宋体"/>
          <w:b/>
          <w:color w:val="auto"/>
          <w:sz w:val="28"/>
          <w:highlight w:val="none"/>
        </w:rPr>
        <w:t>附件1</w:t>
      </w:r>
      <w:r>
        <w:rPr>
          <w:rFonts w:hint="eastAsia" w:ascii="宋体" w:hAnsi="宋体" w:eastAsia="宋体" w:cs="宋体"/>
          <w:b/>
          <w:color w:val="auto"/>
          <w:sz w:val="28"/>
          <w:highlight w:val="none"/>
          <w:lang w:val="en-US" w:eastAsia="zh-CN"/>
        </w:rPr>
        <w:t>0</w:t>
      </w:r>
    </w:p>
    <w:p>
      <w:pPr>
        <w:pStyle w:val="44"/>
        <w:keepNext w:val="0"/>
        <w:keepLines w:val="0"/>
        <w:pageBreakBefore w:val="0"/>
        <w:kinsoku/>
        <w:wordWrap/>
        <w:overflowPunct/>
        <w:topLinePunct w:val="0"/>
        <w:bidi w:val="0"/>
        <w:spacing w:line="360" w:lineRule="auto"/>
        <w:jc w:val="center"/>
        <w:outlineLvl w:val="9"/>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企业证书一览表</w:t>
      </w:r>
    </w:p>
    <w:p>
      <w:pPr>
        <w:pStyle w:val="44"/>
        <w:keepNext w:val="0"/>
        <w:keepLines w:val="0"/>
        <w:pageBreakBefore w:val="0"/>
        <w:kinsoku/>
        <w:wordWrap/>
        <w:overflowPunct/>
        <w:topLinePunct w:val="0"/>
        <w:bidi w:val="0"/>
        <w:spacing w:line="360" w:lineRule="auto"/>
        <w:jc w:val="center"/>
        <w:outlineLvl w:val="9"/>
        <w:rPr>
          <w:rFonts w:hint="eastAsia" w:ascii="宋体" w:hAnsi="宋体" w:eastAsia="宋体" w:cs="宋体"/>
          <w:color w:val="auto"/>
          <w:sz w:val="24"/>
          <w:highlight w:val="none"/>
        </w:rPr>
      </w:pPr>
    </w:p>
    <w:tbl>
      <w:tblPr>
        <w:tblStyle w:val="22"/>
        <w:tblW w:w="8432"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7"/>
        <w:gridCol w:w="2258"/>
        <w:gridCol w:w="2260"/>
        <w:gridCol w:w="2047"/>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1867" w:type="dxa"/>
            <w:tcBorders>
              <w:top w:val="double" w:color="auto" w:sz="4" w:space="0"/>
              <w:left w:val="single" w:color="auto" w:sz="4" w:space="0"/>
            </w:tcBorders>
          </w:tcPr>
          <w:p>
            <w:pPr>
              <w:pStyle w:val="44"/>
              <w:keepNext w:val="0"/>
              <w:keepLines w:val="0"/>
              <w:pageBreakBefore w:val="0"/>
              <w:kinsoku/>
              <w:wordWrap/>
              <w:overflowPunct/>
              <w:topLinePunct w:val="0"/>
              <w:bidi w:val="0"/>
              <w:spacing w:line="360" w:lineRule="auto"/>
              <w:jc w:val="center"/>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证书名称</w:t>
            </w:r>
          </w:p>
        </w:tc>
        <w:tc>
          <w:tcPr>
            <w:tcW w:w="2258" w:type="dxa"/>
            <w:tcBorders>
              <w:top w:val="double" w:color="auto" w:sz="4" w:space="0"/>
            </w:tcBorders>
          </w:tcPr>
          <w:p>
            <w:pPr>
              <w:pStyle w:val="44"/>
              <w:keepNext w:val="0"/>
              <w:keepLines w:val="0"/>
              <w:pageBreakBefore w:val="0"/>
              <w:kinsoku/>
              <w:wordWrap/>
              <w:overflowPunct/>
              <w:topLinePunct w:val="0"/>
              <w:bidi w:val="0"/>
              <w:spacing w:line="360" w:lineRule="auto"/>
              <w:jc w:val="center"/>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发证单位</w:t>
            </w:r>
          </w:p>
        </w:tc>
        <w:tc>
          <w:tcPr>
            <w:tcW w:w="2260" w:type="dxa"/>
            <w:tcBorders>
              <w:top w:val="double" w:color="auto" w:sz="4" w:space="0"/>
            </w:tcBorders>
          </w:tcPr>
          <w:p>
            <w:pPr>
              <w:pStyle w:val="44"/>
              <w:keepNext w:val="0"/>
              <w:keepLines w:val="0"/>
              <w:pageBreakBefore w:val="0"/>
              <w:kinsoku/>
              <w:wordWrap/>
              <w:overflowPunct/>
              <w:topLinePunct w:val="0"/>
              <w:bidi w:val="0"/>
              <w:spacing w:line="360" w:lineRule="auto"/>
              <w:jc w:val="center"/>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证书等级</w:t>
            </w:r>
          </w:p>
        </w:tc>
        <w:tc>
          <w:tcPr>
            <w:tcW w:w="2047" w:type="dxa"/>
            <w:tcBorders>
              <w:top w:val="double" w:color="auto" w:sz="4" w:space="0"/>
              <w:right w:val="single" w:color="auto" w:sz="4" w:space="0"/>
            </w:tcBorders>
          </w:tcPr>
          <w:p>
            <w:pPr>
              <w:pStyle w:val="44"/>
              <w:keepNext w:val="0"/>
              <w:keepLines w:val="0"/>
              <w:pageBreakBefore w:val="0"/>
              <w:kinsoku/>
              <w:wordWrap/>
              <w:overflowPunct/>
              <w:topLinePunct w:val="0"/>
              <w:bidi w:val="0"/>
              <w:spacing w:line="360" w:lineRule="auto"/>
              <w:jc w:val="center"/>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证书有效期</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pPr>
              <w:pStyle w:val="44"/>
              <w:keepNext w:val="0"/>
              <w:keepLines w:val="0"/>
              <w:pageBreakBefore w:val="0"/>
              <w:kinsoku/>
              <w:wordWrap/>
              <w:overflowPunct/>
              <w:topLinePunct w:val="0"/>
              <w:bidi w:val="0"/>
              <w:spacing w:line="360" w:lineRule="auto"/>
              <w:jc w:val="center"/>
              <w:outlineLvl w:val="9"/>
              <w:rPr>
                <w:rFonts w:hint="eastAsia" w:ascii="宋体" w:hAnsi="宋体" w:eastAsia="宋体" w:cs="宋体"/>
                <w:color w:val="auto"/>
                <w:szCs w:val="21"/>
                <w:highlight w:val="none"/>
              </w:rPr>
            </w:pPr>
          </w:p>
        </w:tc>
        <w:tc>
          <w:tcPr>
            <w:tcW w:w="2258" w:type="dxa"/>
          </w:tcPr>
          <w:p>
            <w:pPr>
              <w:pStyle w:val="44"/>
              <w:keepNext w:val="0"/>
              <w:keepLines w:val="0"/>
              <w:pageBreakBefore w:val="0"/>
              <w:kinsoku/>
              <w:wordWrap/>
              <w:overflowPunct/>
              <w:topLinePunct w:val="0"/>
              <w:bidi w:val="0"/>
              <w:spacing w:line="360" w:lineRule="auto"/>
              <w:jc w:val="center"/>
              <w:outlineLvl w:val="9"/>
              <w:rPr>
                <w:rFonts w:hint="eastAsia" w:ascii="宋体" w:hAnsi="宋体" w:eastAsia="宋体" w:cs="宋体"/>
                <w:color w:val="auto"/>
                <w:szCs w:val="21"/>
                <w:highlight w:val="none"/>
              </w:rPr>
            </w:pPr>
          </w:p>
        </w:tc>
        <w:tc>
          <w:tcPr>
            <w:tcW w:w="2260" w:type="dxa"/>
          </w:tcPr>
          <w:p>
            <w:pPr>
              <w:pStyle w:val="44"/>
              <w:keepNext w:val="0"/>
              <w:keepLines w:val="0"/>
              <w:pageBreakBefore w:val="0"/>
              <w:kinsoku/>
              <w:wordWrap/>
              <w:overflowPunct/>
              <w:topLinePunct w:val="0"/>
              <w:bidi w:val="0"/>
              <w:spacing w:line="360" w:lineRule="auto"/>
              <w:jc w:val="center"/>
              <w:outlineLvl w:val="9"/>
              <w:rPr>
                <w:rFonts w:hint="eastAsia" w:ascii="宋体" w:hAnsi="宋体" w:eastAsia="宋体" w:cs="宋体"/>
                <w:color w:val="auto"/>
                <w:szCs w:val="21"/>
                <w:highlight w:val="none"/>
              </w:rPr>
            </w:pPr>
          </w:p>
        </w:tc>
        <w:tc>
          <w:tcPr>
            <w:tcW w:w="2047" w:type="dxa"/>
            <w:tcBorders>
              <w:right w:val="single" w:color="auto" w:sz="4" w:space="0"/>
            </w:tcBorders>
          </w:tcPr>
          <w:p>
            <w:pPr>
              <w:pStyle w:val="44"/>
              <w:keepNext w:val="0"/>
              <w:keepLines w:val="0"/>
              <w:pageBreakBefore w:val="0"/>
              <w:kinsoku/>
              <w:wordWrap/>
              <w:overflowPunct/>
              <w:topLinePunct w:val="0"/>
              <w:bidi w:val="0"/>
              <w:spacing w:line="360" w:lineRule="auto"/>
              <w:jc w:val="center"/>
              <w:outlineLvl w:val="9"/>
              <w:rPr>
                <w:rFonts w:hint="eastAsia" w:ascii="宋体" w:hAnsi="宋体" w:eastAsia="宋体" w:cs="宋体"/>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pPr>
              <w:pStyle w:val="44"/>
              <w:keepNext w:val="0"/>
              <w:keepLines w:val="0"/>
              <w:pageBreakBefore w:val="0"/>
              <w:kinsoku/>
              <w:wordWrap/>
              <w:overflowPunct/>
              <w:topLinePunct w:val="0"/>
              <w:bidi w:val="0"/>
              <w:spacing w:line="360" w:lineRule="auto"/>
              <w:jc w:val="center"/>
              <w:outlineLvl w:val="9"/>
              <w:rPr>
                <w:rFonts w:hint="eastAsia" w:ascii="宋体" w:hAnsi="宋体" w:eastAsia="宋体" w:cs="宋体"/>
                <w:color w:val="auto"/>
                <w:szCs w:val="21"/>
                <w:highlight w:val="none"/>
              </w:rPr>
            </w:pPr>
          </w:p>
        </w:tc>
        <w:tc>
          <w:tcPr>
            <w:tcW w:w="2258" w:type="dxa"/>
          </w:tcPr>
          <w:p>
            <w:pPr>
              <w:pStyle w:val="44"/>
              <w:keepNext w:val="0"/>
              <w:keepLines w:val="0"/>
              <w:pageBreakBefore w:val="0"/>
              <w:kinsoku/>
              <w:wordWrap/>
              <w:overflowPunct/>
              <w:topLinePunct w:val="0"/>
              <w:bidi w:val="0"/>
              <w:spacing w:line="360" w:lineRule="auto"/>
              <w:jc w:val="center"/>
              <w:outlineLvl w:val="9"/>
              <w:rPr>
                <w:rFonts w:hint="eastAsia" w:ascii="宋体" w:hAnsi="宋体" w:eastAsia="宋体" w:cs="宋体"/>
                <w:color w:val="auto"/>
                <w:szCs w:val="21"/>
                <w:highlight w:val="none"/>
              </w:rPr>
            </w:pPr>
          </w:p>
        </w:tc>
        <w:tc>
          <w:tcPr>
            <w:tcW w:w="2260" w:type="dxa"/>
          </w:tcPr>
          <w:p>
            <w:pPr>
              <w:pStyle w:val="44"/>
              <w:keepNext w:val="0"/>
              <w:keepLines w:val="0"/>
              <w:pageBreakBefore w:val="0"/>
              <w:kinsoku/>
              <w:wordWrap/>
              <w:overflowPunct/>
              <w:topLinePunct w:val="0"/>
              <w:bidi w:val="0"/>
              <w:spacing w:line="360" w:lineRule="auto"/>
              <w:jc w:val="center"/>
              <w:outlineLvl w:val="9"/>
              <w:rPr>
                <w:rFonts w:hint="eastAsia" w:ascii="宋体" w:hAnsi="宋体" w:eastAsia="宋体" w:cs="宋体"/>
                <w:color w:val="auto"/>
                <w:szCs w:val="21"/>
                <w:highlight w:val="none"/>
              </w:rPr>
            </w:pPr>
          </w:p>
        </w:tc>
        <w:tc>
          <w:tcPr>
            <w:tcW w:w="2047" w:type="dxa"/>
            <w:tcBorders>
              <w:right w:val="single" w:color="auto" w:sz="4" w:space="0"/>
            </w:tcBorders>
          </w:tcPr>
          <w:p>
            <w:pPr>
              <w:pStyle w:val="44"/>
              <w:keepNext w:val="0"/>
              <w:keepLines w:val="0"/>
              <w:pageBreakBefore w:val="0"/>
              <w:kinsoku/>
              <w:wordWrap/>
              <w:overflowPunct/>
              <w:topLinePunct w:val="0"/>
              <w:bidi w:val="0"/>
              <w:spacing w:line="360" w:lineRule="auto"/>
              <w:jc w:val="center"/>
              <w:outlineLvl w:val="9"/>
              <w:rPr>
                <w:rFonts w:hint="eastAsia" w:ascii="宋体" w:hAnsi="宋体" w:eastAsia="宋体" w:cs="宋体"/>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pPr>
              <w:pStyle w:val="44"/>
              <w:keepNext w:val="0"/>
              <w:keepLines w:val="0"/>
              <w:pageBreakBefore w:val="0"/>
              <w:kinsoku/>
              <w:wordWrap/>
              <w:overflowPunct/>
              <w:topLinePunct w:val="0"/>
              <w:bidi w:val="0"/>
              <w:spacing w:line="360" w:lineRule="auto"/>
              <w:jc w:val="center"/>
              <w:outlineLvl w:val="9"/>
              <w:rPr>
                <w:rFonts w:hint="eastAsia" w:ascii="宋体" w:hAnsi="宋体" w:eastAsia="宋体" w:cs="宋体"/>
                <w:color w:val="auto"/>
                <w:szCs w:val="21"/>
                <w:highlight w:val="none"/>
              </w:rPr>
            </w:pPr>
          </w:p>
        </w:tc>
        <w:tc>
          <w:tcPr>
            <w:tcW w:w="2258" w:type="dxa"/>
          </w:tcPr>
          <w:p>
            <w:pPr>
              <w:pStyle w:val="44"/>
              <w:keepNext w:val="0"/>
              <w:keepLines w:val="0"/>
              <w:pageBreakBefore w:val="0"/>
              <w:kinsoku/>
              <w:wordWrap/>
              <w:overflowPunct/>
              <w:topLinePunct w:val="0"/>
              <w:bidi w:val="0"/>
              <w:spacing w:line="360" w:lineRule="auto"/>
              <w:jc w:val="center"/>
              <w:outlineLvl w:val="9"/>
              <w:rPr>
                <w:rFonts w:hint="eastAsia" w:ascii="宋体" w:hAnsi="宋体" w:eastAsia="宋体" w:cs="宋体"/>
                <w:color w:val="auto"/>
                <w:szCs w:val="21"/>
                <w:highlight w:val="none"/>
              </w:rPr>
            </w:pPr>
          </w:p>
        </w:tc>
        <w:tc>
          <w:tcPr>
            <w:tcW w:w="2260" w:type="dxa"/>
          </w:tcPr>
          <w:p>
            <w:pPr>
              <w:pStyle w:val="44"/>
              <w:keepNext w:val="0"/>
              <w:keepLines w:val="0"/>
              <w:pageBreakBefore w:val="0"/>
              <w:kinsoku/>
              <w:wordWrap/>
              <w:overflowPunct/>
              <w:topLinePunct w:val="0"/>
              <w:bidi w:val="0"/>
              <w:spacing w:line="360" w:lineRule="auto"/>
              <w:jc w:val="center"/>
              <w:outlineLvl w:val="9"/>
              <w:rPr>
                <w:rFonts w:hint="eastAsia" w:ascii="宋体" w:hAnsi="宋体" w:eastAsia="宋体" w:cs="宋体"/>
                <w:color w:val="auto"/>
                <w:szCs w:val="21"/>
                <w:highlight w:val="none"/>
              </w:rPr>
            </w:pPr>
          </w:p>
        </w:tc>
        <w:tc>
          <w:tcPr>
            <w:tcW w:w="2047" w:type="dxa"/>
            <w:tcBorders>
              <w:right w:val="single" w:color="auto" w:sz="4" w:space="0"/>
            </w:tcBorders>
          </w:tcPr>
          <w:p>
            <w:pPr>
              <w:pStyle w:val="44"/>
              <w:keepNext w:val="0"/>
              <w:keepLines w:val="0"/>
              <w:pageBreakBefore w:val="0"/>
              <w:kinsoku/>
              <w:wordWrap/>
              <w:overflowPunct/>
              <w:topLinePunct w:val="0"/>
              <w:bidi w:val="0"/>
              <w:spacing w:line="360" w:lineRule="auto"/>
              <w:jc w:val="center"/>
              <w:outlineLvl w:val="9"/>
              <w:rPr>
                <w:rFonts w:hint="eastAsia" w:ascii="宋体" w:hAnsi="宋体" w:eastAsia="宋体" w:cs="宋体"/>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pPr>
              <w:pStyle w:val="44"/>
              <w:keepNext w:val="0"/>
              <w:keepLines w:val="0"/>
              <w:pageBreakBefore w:val="0"/>
              <w:kinsoku/>
              <w:wordWrap/>
              <w:overflowPunct/>
              <w:topLinePunct w:val="0"/>
              <w:bidi w:val="0"/>
              <w:spacing w:line="360" w:lineRule="auto"/>
              <w:jc w:val="center"/>
              <w:outlineLvl w:val="9"/>
              <w:rPr>
                <w:rFonts w:hint="eastAsia" w:ascii="宋体" w:hAnsi="宋体" w:eastAsia="宋体" w:cs="宋体"/>
                <w:color w:val="auto"/>
                <w:szCs w:val="21"/>
                <w:highlight w:val="none"/>
              </w:rPr>
            </w:pPr>
          </w:p>
        </w:tc>
        <w:tc>
          <w:tcPr>
            <w:tcW w:w="2258" w:type="dxa"/>
          </w:tcPr>
          <w:p>
            <w:pPr>
              <w:pStyle w:val="44"/>
              <w:keepNext w:val="0"/>
              <w:keepLines w:val="0"/>
              <w:pageBreakBefore w:val="0"/>
              <w:kinsoku/>
              <w:wordWrap/>
              <w:overflowPunct/>
              <w:topLinePunct w:val="0"/>
              <w:bidi w:val="0"/>
              <w:spacing w:line="360" w:lineRule="auto"/>
              <w:jc w:val="center"/>
              <w:outlineLvl w:val="9"/>
              <w:rPr>
                <w:rFonts w:hint="eastAsia" w:ascii="宋体" w:hAnsi="宋体" w:eastAsia="宋体" w:cs="宋体"/>
                <w:color w:val="auto"/>
                <w:szCs w:val="21"/>
                <w:highlight w:val="none"/>
              </w:rPr>
            </w:pPr>
          </w:p>
        </w:tc>
        <w:tc>
          <w:tcPr>
            <w:tcW w:w="2260" w:type="dxa"/>
          </w:tcPr>
          <w:p>
            <w:pPr>
              <w:pStyle w:val="44"/>
              <w:keepNext w:val="0"/>
              <w:keepLines w:val="0"/>
              <w:pageBreakBefore w:val="0"/>
              <w:kinsoku/>
              <w:wordWrap/>
              <w:overflowPunct/>
              <w:topLinePunct w:val="0"/>
              <w:bidi w:val="0"/>
              <w:spacing w:line="360" w:lineRule="auto"/>
              <w:jc w:val="center"/>
              <w:outlineLvl w:val="9"/>
              <w:rPr>
                <w:rFonts w:hint="eastAsia" w:ascii="宋体" w:hAnsi="宋体" w:eastAsia="宋体" w:cs="宋体"/>
                <w:color w:val="auto"/>
                <w:szCs w:val="21"/>
                <w:highlight w:val="none"/>
              </w:rPr>
            </w:pPr>
          </w:p>
        </w:tc>
        <w:tc>
          <w:tcPr>
            <w:tcW w:w="2047" w:type="dxa"/>
            <w:tcBorders>
              <w:right w:val="single" w:color="auto" w:sz="4" w:space="0"/>
            </w:tcBorders>
          </w:tcPr>
          <w:p>
            <w:pPr>
              <w:pStyle w:val="44"/>
              <w:keepNext w:val="0"/>
              <w:keepLines w:val="0"/>
              <w:pageBreakBefore w:val="0"/>
              <w:kinsoku/>
              <w:wordWrap/>
              <w:overflowPunct/>
              <w:topLinePunct w:val="0"/>
              <w:bidi w:val="0"/>
              <w:spacing w:line="360" w:lineRule="auto"/>
              <w:jc w:val="center"/>
              <w:outlineLvl w:val="9"/>
              <w:rPr>
                <w:rFonts w:hint="eastAsia" w:ascii="宋体" w:hAnsi="宋体" w:eastAsia="宋体" w:cs="宋体"/>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pPr>
              <w:pStyle w:val="44"/>
              <w:keepNext w:val="0"/>
              <w:keepLines w:val="0"/>
              <w:pageBreakBefore w:val="0"/>
              <w:kinsoku/>
              <w:wordWrap/>
              <w:overflowPunct/>
              <w:topLinePunct w:val="0"/>
              <w:bidi w:val="0"/>
              <w:spacing w:line="360" w:lineRule="auto"/>
              <w:jc w:val="center"/>
              <w:outlineLvl w:val="9"/>
              <w:rPr>
                <w:rFonts w:hint="eastAsia" w:ascii="宋体" w:hAnsi="宋体" w:eastAsia="宋体" w:cs="宋体"/>
                <w:color w:val="auto"/>
                <w:szCs w:val="21"/>
                <w:highlight w:val="none"/>
              </w:rPr>
            </w:pPr>
          </w:p>
        </w:tc>
        <w:tc>
          <w:tcPr>
            <w:tcW w:w="2258" w:type="dxa"/>
          </w:tcPr>
          <w:p>
            <w:pPr>
              <w:pStyle w:val="44"/>
              <w:keepNext w:val="0"/>
              <w:keepLines w:val="0"/>
              <w:pageBreakBefore w:val="0"/>
              <w:kinsoku/>
              <w:wordWrap/>
              <w:overflowPunct/>
              <w:topLinePunct w:val="0"/>
              <w:bidi w:val="0"/>
              <w:spacing w:line="360" w:lineRule="auto"/>
              <w:jc w:val="center"/>
              <w:outlineLvl w:val="9"/>
              <w:rPr>
                <w:rFonts w:hint="eastAsia" w:ascii="宋体" w:hAnsi="宋体" w:eastAsia="宋体" w:cs="宋体"/>
                <w:color w:val="auto"/>
                <w:szCs w:val="21"/>
                <w:highlight w:val="none"/>
              </w:rPr>
            </w:pPr>
          </w:p>
        </w:tc>
        <w:tc>
          <w:tcPr>
            <w:tcW w:w="2260" w:type="dxa"/>
          </w:tcPr>
          <w:p>
            <w:pPr>
              <w:pStyle w:val="44"/>
              <w:keepNext w:val="0"/>
              <w:keepLines w:val="0"/>
              <w:pageBreakBefore w:val="0"/>
              <w:kinsoku/>
              <w:wordWrap/>
              <w:overflowPunct/>
              <w:topLinePunct w:val="0"/>
              <w:bidi w:val="0"/>
              <w:spacing w:line="360" w:lineRule="auto"/>
              <w:jc w:val="center"/>
              <w:outlineLvl w:val="9"/>
              <w:rPr>
                <w:rFonts w:hint="eastAsia" w:ascii="宋体" w:hAnsi="宋体" w:eastAsia="宋体" w:cs="宋体"/>
                <w:color w:val="auto"/>
                <w:szCs w:val="21"/>
                <w:highlight w:val="none"/>
              </w:rPr>
            </w:pPr>
          </w:p>
        </w:tc>
        <w:tc>
          <w:tcPr>
            <w:tcW w:w="2047" w:type="dxa"/>
            <w:tcBorders>
              <w:right w:val="single" w:color="auto" w:sz="4" w:space="0"/>
            </w:tcBorders>
          </w:tcPr>
          <w:p>
            <w:pPr>
              <w:pStyle w:val="44"/>
              <w:keepNext w:val="0"/>
              <w:keepLines w:val="0"/>
              <w:pageBreakBefore w:val="0"/>
              <w:kinsoku/>
              <w:wordWrap/>
              <w:overflowPunct/>
              <w:topLinePunct w:val="0"/>
              <w:bidi w:val="0"/>
              <w:spacing w:line="360" w:lineRule="auto"/>
              <w:jc w:val="center"/>
              <w:outlineLvl w:val="9"/>
              <w:rPr>
                <w:rFonts w:hint="eastAsia" w:ascii="宋体" w:hAnsi="宋体" w:eastAsia="宋体" w:cs="宋体"/>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pPr>
              <w:pStyle w:val="44"/>
              <w:keepNext w:val="0"/>
              <w:keepLines w:val="0"/>
              <w:pageBreakBefore w:val="0"/>
              <w:kinsoku/>
              <w:wordWrap/>
              <w:overflowPunct/>
              <w:topLinePunct w:val="0"/>
              <w:bidi w:val="0"/>
              <w:spacing w:line="360" w:lineRule="auto"/>
              <w:jc w:val="center"/>
              <w:outlineLvl w:val="9"/>
              <w:rPr>
                <w:rFonts w:hint="eastAsia" w:ascii="宋体" w:hAnsi="宋体" w:eastAsia="宋体" w:cs="宋体"/>
                <w:color w:val="auto"/>
                <w:szCs w:val="21"/>
                <w:highlight w:val="none"/>
              </w:rPr>
            </w:pPr>
          </w:p>
        </w:tc>
        <w:tc>
          <w:tcPr>
            <w:tcW w:w="2258" w:type="dxa"/>
          </w:tcPr>
          <w:p>
            <w:pPr>
              <w:pStyle w:val="44"/>
              <w:keepNext w:val="0"/>
              <w:keepLines w:val="0"/>
              <w:pageBreakBefore w:val="0"/>
              <w:kinsoku/>
              <w:wordWrap/>
              <w:overflowPunct/>
              <w:topLinePunct w:val="0"/>
              <w:bidi w:val="0"/>
              <w:spacing w:line="360" w:lineRule="auto"/>
              <w:jc w:val="center"/>
              <w:outlineLvl w:val="9"/>
              <w:rPr>
                <w:rFonts w:hint="eastAsia" w:ascii="宋体" w:hAnsi="宋体" w:eastAsia="宋体" w:cs="宋体"/>
                <w:color w:val="auto"/>
                <w:szCs w:val="21"/>
                <w:highlight w:val="none"/>
              </w:rPr>
            </w:pPr>
          </w:p>
        </w:tc>
        <w:tc>
          <w:tcPr>
            <w:tcW w:w="2260" w:type="dxa"/>
          </w:tcPr>
          <w:p>
            <w:pPr>
              <w:pStyle w:val="44"/>
              <w:keepNext w:val="0"/>
              <w:keepLines w:val="0"/>
              <w:pageBreakBefore w:val="0"/>
              <w:kinsoku/>
              <w:wordWrap/>
              <w:overflowPunct/>
              <w:topLinePunct w:val="0"/>
              <w:bidi w:val="0"/>
              <w:spacing w:line="360" w:lineRule="auto"/>
              <w:jc w:val="center"/>
              <w:outlineLvl w:val="9"/>
              <w:rPr>
                <w:rFonts w:hint="eastAsia" w:ascii="宋体" w:hAnsi="宋体" w:eastAsia="宋体" w:cs="宋体"/>
                <w:color w:val="auto"/>
                <w:szCs w:val="21"/>
                <w:highlight w:val="none"/>
              </w:rPr>
            </w:pPr>
          </w:p>
        </w:tc>
        <w:tc>
          <w:tcPr>
            <w:tcW w:w="2047" w:type="dxa"/>
            <w:tcBorders>
              <w:right w:val="single" w:color="auto" w:sz="4" w:space="0"/>
            </w:tcBorders>
          </w:tcPr>
          <w:p>
            <w:pPr>
              <w:pStyle w:val="44"/>
              <w:keepNext w:val="0"/>
              <w:keepLines w:val="0"/>
              <w:pageBreakBefore w:val="0"/>
              <w:kinsoku/>
              <w:wordWrap/>
              <w:overflowPunct/>
              <w:topLinePunct w:val="0"/>
              <w:bidi w:val="0"/>
              <w:spacing w:line="360" w:lineRule="auto"/>
              <w:jc w:val="center"/>
              <w:outlineLvl w:val="9"/>
              <w:rPr>
                <w:rFonts w:hint="eastAsia" w:ascii="宋体" w:hAnsi="宋体" w:eastAsia="宋体" w:cs="宋体"/>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bottom w:val="double" w:color="auto" w:sz="4" w:space="0"/>
            </w:tcBorders>
          </w:tcPr>
          <w:p>
            <w:pPr>
              <w:pStyle w:val="44"/>
              <w:keepNext w:val="0"/>
              <w:keepLines w:val="0"/>
              <w:pageBreakBefore w:val="0"/>
              <w:kinsoku/>
              <w:wordWrap/>
              <w:overflowPunct/>
              <w:topLinePunct w:val="0"/>
              <w:bidi w:val="0"/>
              <w:spacing w:line="360" w:lineRule="auto"/>
              <w:jc w:val="center"/>
              <w:outlineLvl w:val="9"/>
              <w:rPr>
                <w:rFonts w:hint="eastAsia" w:ascii="宋体" w:hAnsi="宋体" w:eastAsia="宋体" w:cs="宋体"/>
                <w:color w:val="auto"/>
                <w:szCs w:val="21"/>
                <w:highlight w:val="none"/>
              </w:rPr>
            </w:pPr>
          </w:p>
        </w:tc>
        <w:tc>
          <w:tcPr>
            <w:tcW w:w="2258" w:type="dxa"/>
            <w:tcBorders>
              <w:bottom w:val="double" w:color="auto" w:sz="4" w:space="0"/>
            </w:tcBorders>
          </w:tcPr>
          <w:p>
            <w:pPr>
              <w:pStyle w:val="44"/>
              <w:keepNext w:val="0"/>
              <w:keepLines w:val="0"/>
              <w:pageBreakBefore w:val="0"/>
              <w:kinsoku/>
              <w:wordWrap/>
              <w:overflowPunct/>
              <w:topLinePunct w:val="0"/>
              <w:bidi w:val="0"/>
              <w:spacing w:line="360" w:lineRule="auto"/>
              <w:jc w:val="center"/>
              <w:outlineLvl w:val="9"/>
              <w:rPr>
                <w:rFonts w:hint="eastAsia" w:ascii="宋体" w:hAnsi="宋体" w:eastAsia="宋体" w:cs="宋体"/>
                <w:color w:val="auto"/>
                <w:szCs w:val="21"/>
                <w:highlight w:val="none"/>
              </w:rPr>
            </w:pPr>
          </w:p>
        </w:tc>
        <w:tc>
          <w:tcPr>
            <w:tcW w:w="2260" w:type="dxa"/>
            <w:tcBorders>
              <w:bottom w:val="double" w:color="auto" w:sz="4" w:space="0"/>
            </w:tcBorders>
          </w:tcPr>
          <w:p>
            <w:pPr>
              <w:pStyle w:val="44"/>
              <w:keepNext w:val="0"/>
              <w:keepLines w:val="0"/>
              <w:pageBreakBefore w:val="0"/>
              <w:kinsoku/>
              <w:wordWrap/>
              <w:overflowPunct/>
              <w:topLinePunct w:val="0"/>
              <w:bidi w:val="0"/>
              <w:spacing w:line="360" w:lineRule="auto"/>
              <w:jc w:val="center"/>
              <w:outlineLvl w:val="9"/>
              <w:rPr>
                <w:rFonts w:hint="eastAsia" w:ascii="宋体" w:hAnsi="宋体" w:eastAsia="宋体" w:cs="宋体"/>
                <w:color w:val="auto"/>
                <w:szCs w:val="21"/>
                <w:highlight w:val="none"/>
              </w:rPr>
            </w:pPr>
          </w:p>
        </w:tc>
        <w:tc>
          <w:tcPr>
            <w:tcW w:w="2047" w:type="dxa"/>
            <w:tcBorders>
              <w:bottom w:val="double" w:color="auto" w:sz="4" w:space="0"/>
              <w:right w:val="single" w:color="auto" w:sz="4" w:space="0"/>
            </w:tcBorders>
          </w:tcPr>
          <w:p>
            <w:pPr>
              <w:pStyle w:val="44"/>
              <w:keepNext w:val="0"/>
              <w:keepLines w:val="0"/>
              <w:pageBreakBefore w:val="0"/>
              <w:kinsoku/>
              <w:wordWrap/>
              <w:overflowPunct/>
              <w:topLinePunct w:val="0"/>
              <w:bidi w:val="0"/>
              <w:spacing w:line="360" w:lineRule="auto"/>
              <w:jc w:val="center"/>
              <w:outlineLvl w:val="9"/>
              <w:rPr>
                <w:rFonts w:hint="eastAsia" w:ascii="宋体" w:hAnsi="宋体" w:eastAsia="宋体" w:cs="宋体"/>
                <w:color w:val="auto"/>
                <w:szCs w:val="21"/>
                <w:highlight w:val="none"/>
              </w:rPr>
            </w:pPr>
          </w:p>
        </w:tc>
      </w:tr>
    </w:tbl>
    <w:p>
      <w:pPr>
        <w:pStyle w:val="44"/>
        <w:keepNext w:val="0"/>
        <w:keepLines w:val="0"/>
        <w:pageBreakBefore w:val="0"/>
        <w:tabs>
          <w:tab w:val="left" w:pos="1050"/>
        </w:tabs>
        <w:kinsoku/>
        <w:wordWrap/>
        <w:overflowPunct/>
        <w:topLinePunct w:val="0"/>
        <w:bidi w:val="0"/>
        <w:spacing w:line="360" w:lineRule="auto"/>
        <w:outlineLvl w:val="9"/>
        <w:rPr>
          <w:rFonts w:hint="eastAsia" w:ascii="宋体" w:hAnsi="宋体" w:eastAsia="宋体" w:cs="宋体"/>
          <w:color w:val="auto"/>
          <w:sz w:val="24"/>
          <w:highlight w:val="none"/>
        </w:rPr>
      </w:pPr>
    </w:p>
    <w:p>
      <w:pPr>
        <w:pStyle w:val="44"/>
        <w:keepNext w:val="0"/>
        <w:keepLines w:val="0"/>
        <w:pageBreakBefore w:val="0"/>
        <w:tabs>
          <w:tab w:val="left" w:pos="1050"/>
        </w:tabs>
        <w:kinsoku/>
        <w:wordWrap/>
        <w:overflowPunct/>
        <w:topLinePunct w:val="0"/>
        <w:bidi w:val="0"/>
        <w:spacing w:line="360" w:lineRule="auto"/>
        <w:outlineLvl w:val="9"/>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要求：</w:t>
      </w:r>
    </w:p>
    <w:p>
      <w:pPr>
        <w:pStyle w:val="44"/>
        <w:keepNext w:val="0"/>
        <w:keepLines w:val="0"/>
        <w:pageBreakBefore w:val="0"/>
        <w:tabs>
          <w:tab w:val="left" w:pos="1050"/>
        </w:tabs>
        <w:kinsoku/>
        <w:wordWrap/>
        <w:overflowPunct/>
        <w:topLinePunct w:val="0"/>
        <w:bidi w:val="0"/>
        <w:spacing w:line="360" w:lineRule="auto"/>
        <w:ind w:firstLine="424" w:firstLineChars="202"/>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填写投标人获得资质、认证或企业信誉证书；</w:t>
      </w:r>
    </w:p>
    <w:p>
      <w:pPr>
        <w:pStyle w:val="44"/>
        <w:keepNext w:val="0"/>
        <w:keepLines w:val="0"/>
        <w:pageBreakBefore w:val="0"/>
        <w:tabs>
          <w:tab w:val="left" w:pos="1050"/>
        </w:tabs>
        <w:kinsoku/>
        <w:wordWrap/>
        <w:overflowPunct/>
        <w:topLinePunct w:val="0"/>
        <w:bidi w:val="0"/>
        <w:spacing w:line="360" w:lineRule="auto"/>
        <w:ind w:firstLine="424" w:firstLineChars="202"/>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附所列证书复印件或其他证明材料。</w:t>
      </w:r>
    </w:p>
    <w:p>
      <w:pPr>
        <w:pStyle w:val="44"/>
        <w:keepNext w:val="0"/>
        <w:keepLines w:val="0"/>
        <w:pageBreakBefore w:val="0"/>
        <w:tabs>
          <w:tab w:val="left" w:pos="1050"/>
        </w:tabs>
        <w:kinsoku/>
        <w:wordWrap/>
        <w:overflowPunct/>
        <w:topLinePunct w:val="0"/>
        <w:bidi w:val="0"/>
        <w:spacing w:line="360" w:lineRule="auto"/>
        <w:ind w:firstLine="630" w:firstLineChars="300"/>
        <w:outlineLvl w:val="9"/>
        <w:rPr>
          <w:rFonts w:hint="eastAsia" w:ascii="宋体" w:hAnsi="宋体" w:eastAsia="宋体" w:cs="宋体"/>
          <w:color w:val="auto"/>
          <w:szCs w:val="21"/>
          <w:highlight w:val="none"/>
        </w:rPr>
      </w:pPr>
    </w:p>
    <w:p>
      <w:pPr>
        <w:pStyle w:val="44"/>
        <w:keepNext w:val="0"/>
        <w:keepLines w:val="0"/>
        <w:pageBreakBefore w:val="0"/>
        <w:tabs>
          <w:tab w:val="left" w:pos="1050"/>
        </w:tabs>
        <w:kinsoku/>
        <w:wordWrap/>
        <w:overflowPunct/>
        <w:topLinePunct w:val="0"/>
        <w:bidi w:val="0"/>
        <w:spacing w:line="360" w:lineRule="auto"/>
        <w:ind w:firstLine="630" w:firstLineChars="300"/>
        <w:outlineLvl w:val="9"/>
        <w:rPr>
          <w:rFonts w:hint="eastAsia" w:ascii="宋体" w:hAnsi="宋体" w:eastAsia="宋体" w:cs="宋体"/>
          <w:color w:val="auto"/>
          <w:szCs w:val="21"/>
          <w:highlight w:val="none"/>
        </w:rPr>
      </w:pPr>
    </w:p>
    <w:p>
      <w:pPr>
        <w:pStyle w:val="44"/>
        <w:keepNext w:val="0"/>
        <w:keepLines w:val="0"/>
        <w:pageBreakBefore w:val="0"/>
        <w:tabs>
          <w:tab w:val="left" w:pos="1050"/>
        </w:tabs>
        <w:kinsoku/>
        <w:wordWrap/>
        <w:overflowPunct/>
        <w:topLinePunct w:val="0"/>
        <w:bidi w:val="0"/>
        <w:spacing w:line="360" w:lineRule="auto"/>
        <w:ind w:firstLine="630" w:firstLineChars="300"/>
        <w:outlineLvl w:val="9"/>
        <w:rPr>
          <w:rFonts w:hint="eastAsia" w:ascii="宋体" w:hAnsi="宋体" w:eastAsia="宋体" w:cs="宋体"/>
          <w:color w:val="auto"/>
          <w:szCs w:val="21"/>
          <w:highlight w:val="none"/>
        </w:rPr>
      </w:pPr>
    </w:p>
    <w:p>
      <w:pPr>
        <w:keepNext w:val="0"/>
        <w:keepLines w:val="0"/>
        <w:pageBreakBefore w:val="0"/>
        <w:kinsoku/>
        <w:wordWrap/>
        <w:overflowPunct/>
        <w:topLinePunct w:val="0"/>
        <w:bidi w:val="0"/>
        <w:spacing w:line="360" w:lineRule="auto"/>
        <w:ind w:firstLine="371" w:firstLineChars="177"/>
        <w:outlineLvl w:val="9"/>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投标人名称（盖章）：</w:t>
      </w:r>
    </w:p>
    <w:p>
      <w:pPr>
        <w:keepNext w:val="0"/>
        <w:keepLines w:val="0"/>
        <w:pageBreakBefore w:val="0"/>
        <w:kinsoku/>
        <w:wordWrap/>
        <w:overflowPunct/>
        <w:topLinePunct w:val="0"/>
        <w:bidi w:val="0"/>
        <w:spacing w:line="360" w:lineRule="auto"/>
        <w:ind w:left="420"/>
        <w:outlineLvl w:val="9"/>
        <w:rPr>
          <w:rFonts w:hint="eastAsia" w:ascii="宋体" w:hAnsi="宋体" w:eastAsia="宋体" w:cs="宋体"/>
          <w:color w:val="auto"/>
          <w:szCs w:val="21"/>
          <w:highlight w:val="none"/>
        </w:rPr>
      </w:pPr>
    </w:p>
    <w:p>
      <w:pPr>
        <w:keepNext w:val="0"/>
        <w:keepLines w:val="0"/>
        <w:pageBreakBefore w:val="0"/>
        <w:kinsoku/>
        <w:wordWrap/>
        <w:overflowPunct/>
        <w:topLinePunct w:val="0"/>
        <w:bidi w:val="0"/>
        <w:spacing w:line="360" w:lineRule="auto"/>
        <w:ind w:firstLine="371" w:firstLineChars="177"/>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法定代表人或授权委托代理人（签字或盖章）：</w:t>
      </w:r>
    </w:p>
    <w:p>
      <w:pPr>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p>
      <w:pPr>
        <w:pStyle w:val="40"/>
        <w:keepNext w:val="0"/>
        <w:keepLines w:val="0"/>
        <w:pageBreakBefore w:val="0"/>
        <w:shd w:val="clear" w:color="auto" w:fill="FFFFFF"/>
        <w:kinsoku/>
        <w:wordWrap/>
        <w:overflowPunct/>
        <w:topLinePunct w:val="0"/>
        <w:bidi w:val="0"/>
        <w:spacing w:before="0" w:beforeAutospacing="0" w:after="0" w:afterAutospacing="0" w:line="360" w:lineRule="auto"/>
        <w:ind w:firstLine="371" w:firstLineChars="177"/>
        <w:outlineLvl w:val="9"/>
        <w:rPr>
          <w:rFonts w:hint="eastAsia" w:ascii="宋体" w:hAnsi="宋体" w:eastAsia="宋体" w:cs="宋体"/>
          <w:b/>
          <w:bCs/>
          <w:color w:val="auto"/>
          <w:spacing w:val="11"/>
          <w:sz w:val="21"/>
          <w:szCs w:val="21"/>
          <w:highlight w:val="none"/>
        </w:rPr>
      </w:pPr>
      <w:r>
        <w:rPr>
          <w:rFonts w:hint="eastAsia" w:ascii="宋体" w:hAnsi="宋体" w:eastAsia="宋体" w:cs="宋体"/>
          <w:color w:val="auto"/>
          <w:sz w:val="21"/>
          <w:szCs w:val="21"/>
          <w:highlight w:val="none"/>
        </w:rPr>
        <w:t>日期：：</w:t>
      </w:r>
    </w:p>
    <w:p>
      <w:pPr>
        <w:keepNext w:val="0"/>
        <w:keepLines w:val="0"/>
        <w:pageBreakBefore w:val="0"/>
        <w:kinsoku/>
        <w:wordWrap/>
        <w:overflowPunct/>
        <w:topLinePunct w:val="0"/>
        <w:bidi w:val="0"/>
        <w:spacing w:line="360" w:lineRule="auto"/>
        <w:outlineLvl w:val="9"/>
        <w:rPr>
          <w:rFonts w:hint="eastAsia" w:ascii="宋体" w:hAnsi="宋体" w:eastAsia="宋体" w:cs="宋体"/>
          <w:b/>
          <w:color w:val="auto"/>
          <w:sz w:val="24"/>
          <w:highlight w:val="none"/>
        </w:rPr>
      </w:pPr>
    </w:p>
    <w:p>
      <w:pPr>
        <w:keepNext w:val="0"/>
        <w:keepLines w:val="0"/>
        <w:pageBreakBefore w:val="0"/>
        <w:kinsoku/>
        <w:wordWrap/>
        <w:overflowPunct/>
        <w:topLinePunct w:val="0"/>
        <w:bidi w:val="0"/>
        <w:spacing w:line="360" w:lineRule="auto"/>
        <w:outlineLvl w:val="9"/>
        <w:rPr>
          <w:rFonts w:hint="eastAsia" w:ascii="宋体" w:hAnsi="宋体" w:eastAsia="宋体" w:cs="宋体"/>
          <w:b/>
          <w:color w:val="auto"/>
          <w:sz w:val="28"/>
          <w:highlight w:val="none"/>
        </w:rPr>
      </w:pPr>
    </w:p>
    <w:p>
      <w:pPr>
        <w:pStyle w:val="7"/>
        <w:keepNext w:val="0"/>
        <w:keepLines w:val="0"/>
        <w:pageBreakBefore w:val="0"/>
        <w:kinsoku/>
        <w:wordWrap/>
        <w:overflowPunct/>
        <w:topLinePunct w:val="0"/>
        <w:bidi w:val="0"/>
        <w:outlineLvl w:val="9"/>
        <w:rPr>
          <w:rFonts w:hint="eastAsia" w:ascii="宋体" w:hAnsi="宋体" w:eastAsia="宋体" w:cs="宋体"/>
          <w:b/>
          <w:color w:val="auto"/>
          <w:sz w:val="28"/>
          <w:highlight w:val="none"/>
        </w:rPr>
      </w:pPr>
    </w:p>
    <w:p>
      <w:pPr>
        <w:pStyle w:val="7"/>
        <w:keepNext w:val="0"/>
        <w:keepLines w:val="0"/>
        <w:pageBreakBefore w:val="0"/>
        <w:kinsoku/>
        <w:wordWrap/>
        <w:overflowPunct/>
        <w:topLinePunct w:val="0"/>
        <w:bidi w:val="0"/>
        <w:outlineLvl w:val="9"/>
        <w:rPr>
          <w:rFonts w:hint="eastAsia" w:ascii="宋体" w:hAnsi="宋体" w:eastAsia="宋体" w:cs="宋体"/>
          <w:b/>
          <w:color w:val="auto"/>
          <w:sz w:val="28"/>
          <w:highlight w:val="none"/>
        </w:rPr>
      </w:pPr>
    </w:p>
    <w:p>
      <w:pPr>
        <w:keepNext w:val="0"/>
        <w:keepLines w:val="0"/>
        <w:pageBreakBefore w:val="0"/>
        <w:kinsoku/>
        <w:wordWrap/>
        <w:overflowPunct/>
        <w:topLinePunct w:val="0"/>
        <w:bidi w:val="0"/>
        <w:spacing w:line="360" w:lineRule="auto"/>
        <w:outlineLvl w:val="9"/>
        <w:rPr>
          <w:rFonts w:hint="eastAsia" w:ascii="宋体" w:hAnsi="宋体" w:eastAsia="宋体" w:cs="宋体"/>
          <w:b/>
          <w:color w:val="auto"/>
          <w:sz w:val="28"/>
          <w:highlight w:val="none"/>
          <w:lang w:eastAsia="zh-CN"/>
        </w:rPr>
      </w:pPr>
      <w:r>
        <w:rPr>
          <w:rFonts w:hint="eastAsia" w:ascii="宋体" w:hAnsi="宋体" w:eastAsia="宋体" w:cs="宋体"/>
          <w:b/>
          <w:color w:val="auto"/>
          <w:sz w:val="28"/>
          <w:highlight w:val="none"/>
        </w:rPr>
        <w:t>附件1</w:t>
      </w:r>
      <w:r>
        <w:rPr>
          <w:rFonts w:hint="eastAsia" w:ascii="宋体" w:hAnsi="宋体" w:eastAsia="宋体" w:cs="宋体"/>
          <w:b/>
          <w:color w:val="auto"/>
          <w:sz w:val="28"/>
          <w:highlight w:val="none"/>
          <w:lang w:val="en-US" w:eastAsia="zh-CN"/>
        </w:rPr>
        <w:t>1</w:t>
      </w:r>
    </w:p>
    <w:p>
      <w:pPr>
        <w:pStyle w:val="43"/>
        <w:keepNext w:val="0"/>
        <w:keepLines w:val="0"/>
        <w:pageBreakBefore w:val="0"/>
        <w:kinsoku/>
        <w:wordWrap/>
        <w:overflowPunct/>
        <w:topLinePunct w:val="0"/>
        <w:bidi w:val="0"/>
        <w:spacing w:line="360" w:lineRule="auto"/>
        <w:jc w:val="center"/>
        <w:outlineLvl w:val="9"/>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投标人类似项目实施情况一览表</w:t>
      </w:r>
    </w:p>
    <w:p>
      <w:pPr>
        <w:pStyle w:val="43"/>
        <w:keepNext w:val="0"/>
        <w:keepLines w:val="0"/>
        <w:pageBreakBefore w:val="0"/>
        <w:kinsoku/>
        <w:wordWrap/>
        <w:overflowPunct/>
        <w:topLinePunct w:val="0"/>
        <w:bidi w:val="0"/>
        <w:spacing w:line="360" w:lineRule="auto"/>
        <w:jc w:val="center"/>
        <w:outlineLvl w:val="9"/>
        <w:rPr>
          <w:rFonts w:hint="eastAsia" w:ascii="宋体" w:hAnsi="宋体" w:eastAsia="宋体" w:cs="宋体"/>
          <w:b/>
          <w:color w:val="auto"/>
          <w:sz w:val="24"/>
          <w:highlight w:val="none"/>
        </w:rPr>
      </w:pPr>
    </w:p>
    <w:tbl>
      <w:tblPr>
        <w:tblStyle w:val="22"/>
        <w:tblW w:w="954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0"/>
        <w:gridCol w:w="1293"/>
        <w:gridCol w:w="1575"/>
        <w:gridCol w:w="1260"/>
        <w:gridCol w:w="1452"/>
        <w:gridCol w:w="1383"/>
        <w:gridCol w:w="203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40" w:type="dxa"/>
            <w:tcBorders>
              <w:top w:val="single" w:color="auto" w:sz="6" w:space="0"/>
              <w:left w:val="single" w:color="auto" w:sz="6" w:space="0"/>
              <w:bottom w:val="single" w:color="auto" w:sz="6" w:space="0"/>
              <w:right w:val="single" w:color="auto" w:sz="6" w:space="0"/>
            </w:tcBorders>
            <w:vAlign w:val="center"/>
          </w:tcPr>
          <w:p>
            <w:pPr>
              <w:pStyle w:val="43"/>
              <w:keepNext w:val="0"/>
              <w:keepLines w:val="0"/>
              <w:pageBreakBefore w:val="0"/>
              <w:kinsoku/>
              <w:wordWrap/>
              <w:overflowPunct/>
              <w:topLinePunct w:val="0"/>
              <w:bidi w:val="0"/>
              <w:spacing w:line="360" w:lineRule="auto"/>
              <w:jc w:val="center"/>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序号</w:t>
            </w:r>
          </w:p>
        </w:tc>
        <w:tc>
          <w:tcPr>
            <w:tcW w:w="1293" w:type="dxa"/>
            <w:tcBorders>
              <w:top w:val="single" w:color="auto" w:sz="6" w:space="0"/>
              <w:left w:val="single" w:color="auto" w:sz="6" w:space="0"/>
              <w:bottom w:val="single" w:color="auto" w:sz="6" w:space="0"/>
              <w:right w:val="single" w:color="auto" w:sz="6" w:space="0"/>
            </w:tcBorders>
            <w:vAlign w:val="center"/>
          </w:tcPr>
          <w:p>
            <w:pPr>
              <w:pStyle w:val="43"/>
              <w:keepNext w:val="0"/>
              <w:keepLines w:val="0"/>
              <w:pageBreakBefore w:val="0"/>
              <w:kinsoku/>
              <w:wordWrap/>
              <w:overflowPunct/>
              <w:topLinePunct w:val="0"/>
              <w:bidi w:val="0"/>
              <w:spacing w:line="360" w:lineRule="auto"/>
              <w:jc w:val="center"/>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项目名称</w:t>
            </w:r>
          </w:p>
        </w:tc>
        <w:tc>
          <w:tcPr>
            <w:tcW w:w="1575" w:type="dxa"/>
            <w:tcBorders>
              <w:top w:val="single" w:color="auto" w:sz="6" w:space="0"/>
              <w:left w:val="single" w:color="auto" w:sz="6" w:space="0"/>
              <w:bottom w:val="single" w:color="auto" w:sz="6" w:space="0"/>
              <w:right w:val="single" w:color="auto" w:sz="6" w:space="0"/>
            </w:tcBorders>
            <w:vAlign w:val="center"/>
          </w:tcPr>
          <w:p>
            <w:pPr>
              <w:pStyle w:val="43"/>
              <w:keepNext w:val="0"/>
              <w:keepLines w:val="0"/>
              <w:pageBreakBefore w:val="0"/>
              <w:kinsoku/>
              <w:wordWrap/>
              <w:overflowPunct/>
              <w:topLinePunct w:val="0"/>
              <w:bidi w:val="0"/>
              <w:spacing w:line="360" w:lineRule="auto"/>
              <w:jc w:val="center"/>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项目地址</w:t>
            </w:r>
          </w:p>
        </w:tc>
        <w:tc>
          <w:tcPr>
            <w:tcW w:w="1260" w:type="dxa"/>
            <w:tcBorders>
              <w:top w:val="single" w:color="auto" w:sz="6" w:space="0"/>
              <w:left w:val="single" w:color="auto" w:sz="6" w:space="0"/>
              <w:bottom w:val="single" w:color="auto" w:sz="6" w:space="0"/>
              <w:right w:val="single" w:color="auto" w:sz="6" w:space="0"/>
            </w:tcBorders>
            <w:vAlign w:val="center"/>
          </w:tcPr>
          <w:p>
            <w:pPr>
              <w:pStyle w:val="43"/>
              <w:keepNext w:val="0"/>
              <w:keepLines w:val="0"/>
              <w:pageBreakBefore w:val="0"/>
              <w:kinsoku/>
              <w:wordWrap/>
              <w:overflowPunct/>
              <w:topLinePunct w:val="0"/>
              <w:bidi w:val="0"/>
              <w:spacing w:line="360" w:lineRule="auto"/>
              <w:jc w:val="center"/>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合同总价</w:t>
            </w:r>
          </w:p>
        </w:tc>
        <w:tc>
          <w:tcPr>
            <w:tcW w:w="1452" w:type="dxa"/>
            <w:tcBorders>
              <w:top w:val="single" w:color="auto" w:sz="6" w:space="0"/>
              <w:left w:val="single" w:color="auto" w:sz="6" w:space="0"/>
              <w:bottom w:val="single" w:color="auto" w:sz="6" w:space="0"/>
              <w:right w:val="single" w:color="auto" w:sz="6" w:space="0"/>
            </w:tcBorders>
            <w:vAlign w:val="center"/>
          </w:tcPr>
          <w:p>
            <w:pPr>
              <w:pStyle w:val="43"/>
              <w:keepNext w:val="0"/>
              <w:keepLines w:val="0"/>
              <w:pageBreakBefore w:val="0"/>
              <w:kinsoku/>
              <w:wordWrap/>
              <w:overflowPunct/>
              <w:topLinePunct w:val="0"/>
              <w:bidi w:val="0"/>
              <w:spacing w:line="360" w:lineRule="auto"/>
              <w:jc w:val="center"/>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实施时间</w:t>
            </w:r>
          </w:p>
        </w:tc>
        <w:tc>
          <w:tcPr>
            <w:tcW w:w="1383" w:type="dxa"/>
            <w:tcBorders>
              <w:top w:val="single" w:color="auto" w:sz="6" w:space="0"/>
              <w:left w:val="single" w:color="auto" w:sz="6" w:space="0"/>
              <w:bottom w:val="single" w:color="auto" w:sz="6" w:space="0"/>
              <w:right w:val="single" w:color="auto" w:sz="6" w:space="0"/>
            </w:tcBorders>
            <w:vAlign w:val="center"/>
          </w:tcPr>
          <w:p>
            <w:pPr>
              <w:pStyle w:val="43"/>
              <w:keepNext w:val="0"/>
              <w:keepLines w:val="0"/>
              <w:pageBreakBefore w:val="0"/>
              <w:kinsoku/>
              <w:wordWrap/>
              <w:overflowPunct/>
              <w:topLinePunct w:val="0"/>
              <w:bidi w:val="0"/>
              <w:spacing w:line="360" w:lineRule="auto"/>
              <w:jc w:val="center"/>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项目质量</w:t>
            </w:r>
          </w:p>
        </w:tc>
        <w:tc>
          <w:tcPr>
            <w:tcW w:w="2037" w:type="dxa"/>
            <w:tcBorders>
              <w:top w:val="single" w:color="auto" w:sz="6" w:space="0"/>
              <w:left w:val="single" w:color="auto" w:sz="6" w:space="0"/>
              <w:bottom w:val="single" w:color="auto" w:sz="6" w:space="0"/>
              <w:right w:val="single" w:color="auto" w:sz="6" w:space="0"/>
            </w:tcBorders>
            <w:vAlign w:val="center"/>
          </w:tcPr>
          <w:p>
            <w:pPr>
              <w:pStyle w:val="43"/>
              <w:keepNext w:val="0"/>
              <w:keepLines w:val="0"/>
              <w:pageBreakBefore w:val="0"/>
              <w:kinsoku/>
              <w:wordWrap/>
              <w:overflowPunct/>
              <w:topLinePunct w:val="0"/>
              <w:bidi w:val="0"/>
              <w:spacing w:line="360" w:lineRule="auto"/>
              <w:jc w:val="center"/>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项目单位名称及其联系人电话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1"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43"/>
              <w:keepNext w:val="0"/>
              <w:keepLines w:val="0"/>
              <w:pageBreakBefore w:val="0"/>
              <w:kinsoku/>
              <w:wordWrap/>
              <w:overflowPunct/>
              <w:topLinePunct w:val="0"/>
              <w:bidi w:val="0"/>
              <w:spacing w:line="36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1293" w:type="dxa"/>
            <w:tcBorders>
              <w:top w:val="single" w:color="auto" w:sz="6" w:space="0"/>
              <w:left w:val="single" w:color="auto" w:sz="6" w:space="0"/>
              <w:bottom w:val="single" w:color="auto" w:sz="6" w:space="0"/>
              <w:right w:val="single" w:color="auto" w:sz="6" w:space="0"/>
            </w:tcBorders>
          </w:tcPr>
          <w:p>
            <w:pPr>
              <w:pStyle w:val="43"/>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tc>
        <w:tc>
          <w:tcPr>
            <w:tcW w:w="1575" w:type="dxa"/>
            <w:tcBorders>
              <w:top w:val="single" w:color="auto" w:sz="6" w:space="0"/>
              <w:left w:val="single" w:color="auto" w:sz="6" w:space="0"/>
              <w:bottom w:val="single" w:color="auto" w:sz="6" w:space="0"/>
              <w:right w:val="single" w:color="auto" w:sz="6" w:space="0"/>
            </w:tcBorders>
          </w:tcPr>
          <w:p>
            <w:pPr>
              <w:pStyle w:val="43"/>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tc>
        <w:tc>
          <w:tcPr>
            <w:tcW w:w="1260" w:type="dxa"/>
            <w:tcBorders>
              <w:top w:val="single" w:color="auto" w:sz="6" w:space="0"/>
              <w:left w:val="single" w:color="auto" w:sz="6" w:space="0"/>
              <w:bottom w:val="single" w:color="auto" w:sz="6" w:space="0"/>
              <w:right w:val="single" w:color="auto" w:sz="6" w:space="0"/>
            </w:tcBorders>
          </w:tcPr>
          <w:p>
            <w:pPr>
              <w:pStyle w:val="43"/>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tc>
        <w:tc>
          <w:tcPr>
            <w:tcW w:w="1452" w:type="dxa"/>
            <w:tcBorders>
              <w:top w:val="single" w:color="auto" w:sz="6" w:space="0"/>
              <w:left w:val="single" w:color="auto" w:sz="6" w:space="0"/>
              <w:bottom w:val="single" w:color="auto" w:sz="6" w:space="0"/>
              <w:right w:val="single" w:color="auto" w:sz="6" w:space="0"/>
            </w:tcBorders>
          </w:tcPr>
          <w:p>
            <w:pPr>
              <w:pStyle w:val="43"/>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tc>
        <w:tc>
          <w:tcPr>
            <w:tcW w:w="1383" w:type="dxa"/>
            <w:tcBorders>
              <w:top w:val="single" w:color="auto" w:sz="6" w:space="0"/>
              <w:left w:val="single" w:color="auto" w:sz="6" w:space="0"/>
              <w:bottom w:val="single" w:color="auto" w:sz="6" w:space="0"/>
              <w:right w:val="single" w:color="auto" w:sz="6" w:space="0"/>
            </w:tcBorders>
          </w:tcPr>
          <w:p>
            <w:pPr>
              <w:pStyle w:val="43"/>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tc>
        <w:tc>
          <w:tcPr>
            <w:tcW w:w="2037" w:type="dxa"/>
            <w:tcBorders>
              <w:top w:val="single" w:color="auto" w:sz="6" w:space="0"/>
              <w:left w:val="single" w:color="auto" w:sz="6" w:space="0"/>
              <w:bottom w:val="single" w:color="auto" w:sz="6" w:space="0"/>
              <w:right w:val="single" w:color="auto" w:sz="6" w:space="0"/>
            </w:tcBorders>
          </w:tcPr>
          <w:p>
            <w:pPr>
              <w:pStyle w:val="43"/>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43"/>
              <w:keepNext w:val="0"/>
              <w:keepLines w:val="0"/>
              <w:pageBreakBefore w:val="0"/>
              <w:kinsoku/>
              <w:wordWrap/>
              <w:overflowPunct/>
              <w:topLinePunct w:val="0"/>
              <w:bidi w:val="0"/>
              <w:spacing w:line="36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1293" w:type="dxa"/>
            <w:tcBorders>
              <w:top w:val="single" w:color="auto" w:sz="6" w:space="0"/>
              <w:left w:val="single" w:color="auto" w:sz="6" w:space="0"/>
              <w:bottom w:val="single" w:color="auto" w:sz="6" w:space="0"/>
              <w:right w:val="single" w:color="auto" w:sz="6" w:space="0"/>
            </w:tcBorders>
          </w:tcPr>
          <w:p>
            <w:pPr>
              <w:pStyle w:val="43"/>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tc>
        <w:tc>
          <w:tcPr>
            <w:tcW w:w="1575" w:type="dxa"/>
            <w:tcBorders>
              <w:top w:val="single" w:color="auto" w:sz="6" w:space="0"/>
              <w:left w:val="single" w:color="auto" w:sz="6" w:space="0"/>
              <w:bottom w:val="single" w:color="auto" w:sz="6" w:space="0"/>
              <w:right w:val="single" w:color="auto" w:sz="6" w:space="0"/>
            </w:tcBorders>
          </w:tcPr>
          <w:p>
            <w:pPr>
              <w:pStyle w:val="43"/>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tc>
        <w:tc>
          <w:tcPr>
            <w:tcW w:w="1260" w:type="dxa"/>
            <w:tcBorders>
              <w:top w:val="single" w:color="auto" w:sz="6" w:space="0"/>
              <w:left w:val="single" w:color="auto" w:sz="6" w:space="0"/>
              <w:bottom w:val="single" w:color="auto" w:sz="6" w:space="0"/>
              <w:right w:val="single" w:color="auto" w:sz="6" w:space="0"/>
            </w:tcBorders>
          </w:tcPr>
          <w:p>
            <w:pPr>
              <w:pStyle w:val="43"/>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tc>
        <w:tc>
          <w:tcPr>
            <w:tcW w:w="1452" w:type="dxa"/>
            <w:tcBorders>
              <w:top w:val="single" w:color="auto" w:sz="6" w:space="0"/>
              <w:left w:val="single" w:color="auto" w:sz="6" w:space="0"/>
              <w:bottom w:val="single" w:color="auto" w:sz="6" w:space="0"/>
              <w:right w:val="single" w:color="auto" w:sz="6" w:space="0"/>
            </w:tcBorders>
          </w:tcPr>
          <w:p>
            <w:pPr>
              <w:pStyle w:val="43"/>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tc>
        <w:tc>
          <w:tcPr>
            <w:tcW w:w="1383" w:type="dxa"/>
            <w:tcBorders>
              <w:top w:val="single" w:color="auto" w:sz="6" w:space="0"/>
              <w:left w:val="single" w:color="auto" w:sz="6" w:space="0"/>
              <w:bottom w:val="single" w:color="auto" w:sz="6" w:space="0"/>
              <w:right w:val="single" w:color="auto" w:sz="6" w:space="0"/>
            </w:tcBorders>
          </w:tcPr>
          <w:p>
            <w:pPr>
              <w:pStyle w:val="43"/>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tc>
        <w:tc>
          <w:tcPr>
            <w:tcW w:w="2037" w:type="dxa"/>
            <w:tcBorders>
              <w:top w:val="single" w:color="auto" w:sz="6" w:space="0"/>
              <w:left w:val="single" w:color="auto" w:sz="6" w:space="0"/>
              <w:bottom w:val="single" w:color="auto" w:sz="6" w:space="0"/>
              <w:right w:val="single" w:color="auto" w:sz="6" w:space="0"/>
            </w:tcBorders>
          </w:tcPr>
          <w:p>
            <w:pPr>
              <w:pStyle w:val="43"/>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3"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43"/>
              <w:keepNext w:val="0"/>
              <w:keepLines w:val="0"/>
              <w:pageBreakBefore w:val="0"/>
              <w:kinsoku/>
              <w:wordWrap/>
              <w:overflowPunct/>
              <w:topLinePunct w:val="0"/>
              <w:bidi w:val="0"/>
              <w:spacing w:line="36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1293" w:type="dxa"/>
            <w:tcBorders>
              <w:top w:val="single" w:color="auto" w:sz="6" w:space="0"/>
              <w:left w:val="single" w:color="auto" w:sz="6" w:space="0"/>
              <w:bottom w:val="single" w:color="auto" w:sz="6" w:space="0"/>
              <w:right w:val="single" w:color="auto" w:sz="6" w:space="0"/>
            </w:tcBorders>
          </w:tcPr>
          <w:p>
            <w:pPr>
              <w:pStyle w:val="43"/>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tc>
        <w:tc>
          <w:tcPr>
            <w:tcW w:w="1575" w:type="dxa"/>
            <w:tcBorders>
              <w:top w:val="single" w:color="auto" w:sz="6" w:space="0"/>
              <w:left w:val="single" w:color="auto" w:sz="6" w:space="0"/>
              <w:bottom w:val="single" w:color="auto" w:sz="6" w:space="0"/>
              <w:right w:val="single" w:color="auto" w:sz="6" w:space="0"/>
            </w:tcBorders>
          </w:tcPr>
          <w:p>
            <w:pPr>
              <w:pStyle w:val="43"/>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tc>
        <w:tc>
          <w:tcPr>
            <w:tcW w:w="1260" w:type="dxa"/>
            <w:tcBorders>
              <w:top w:val="single" w:color="auto" w:sz="6" w:space="0"/>
              <w:left w:val="single" w:color="auto" w:sz="6" w:space="0"/>
              <w:bottom w:val="single" w:color="auto" w:sz="6" w:space="0"/>
              <w:right w:val="single" w:color="auto" w:sz="6" w:space="0"/>
            </w:tcBorders>
          </w:tcPr>
          <w:p>
            <w:pPr>
              <w:pStyle w:val="43"/>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tc>
        <w:tc>
          <w:tcPr>
            <w:tcW w:w="1452" w:type="dxa"/>
            <w:tcBorders>
              <w:top w:val="single" w:color="auto" w:sz="6" w:space="0"/>
              <w:left w:val="single" w:color="auto" w:sz="6" w:space="0"/>
              <w:bottom w:val="single" w:color="auto" w:sz="6" w:space="0"/>
              <w:right w:val="single" w:color="auto" w:sz="6" w:space="0"/>
            </w:tcBorders>
          </w:tcPr>
          <w:p>
            <w:pPr>
              <w:pStyle w:val="43"/>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tc>
        <w:tc>
          <w:tcPr>
            <w:tcW w:w="1383" w:type="dxa"/>
            <w:tcBorders>
              <w:top w:val="single" w:color="auto" w:sz="6" w:space="0"/>
              <w:left w:val="single" w:color="auto" w:sz="6" w:space="0"/>
              <w:bottom w:val="single" w:color="auto" w:sz="6" w:space="0"/>
              <w:right w:val="single" w:color="auto" w:sz="6" w:space="0"/>
            </w:tcBorders>
          </w:tcPr>
          <w:p>
            <w:pPr>
              <w:pStyle w:val="43"/>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tc>
        <w:tc>
          <w:tcPr>
            <w:tcW w:w="2037" w:type="dxa"/>
            <w:tcBorders>
              <w:top w:val="single" w:color="auto" w:sz="6" w:space="0"/>
              <w:left w:val="single" w:color="auto" w:sz="6" w:space="0"/>
              <w:bottom w:val="single" w:color="auto" w:sz="6" w:space="0"/>
              <w:right w:val="single" w:color="auto" w:sz="6" w:space="0"/>
            </w:tcBorders>
          </w:tcPr>
          <w:p>
            <w:pPr>
              <w:pStyle w:val="43"/>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43"/>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1293" w:type="dxa"/>
            <w:tcBorders>
              <w:top w:val="single" w:color="auto" w:sz="6" w:space="0"/>
              <w:left w:val="single" w:color="auto" w:sz="6" w:space="0"/>
              <w:bottom w:val="single" w:color="auto" w:sz="6" w:space="0"/>
              <w:right w:val="single" w:color="auto" w:sz="6" w:space="0"/>
            </w:tcBorders>
          </w:tcPr>
          <w:p>
            <w:pPr>
              <w:pStyle w:val="43"/>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tc>
        <w:tc>
          <w:tcPr>
            <w:tcW w:w="1575" w:type="dxa"/>
            <w:tcBorders>
              <w:top w:val="single" w:color="auto" w:sz="6" w:space="0"/>
              <w:left w:val="single" w:color="auto" w:sz="6" w:space="0"/>
              <w:bottom w:val="single" w:color="auto" w:sz="6" w:space="0"/>
              <w:right w:val="single" w:color="auto" w:sz="6" w:space="0"/>
            </w:tcBorders>
          </w:tcPr>
          <w:p>
            <w:pPr>
              <w:pStyle w:val="43"/>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tc>
        <w:tc>
          <w:tcPr>
            <w:tcW w:w="1260" w:type="dxa"/>
            <w:tcBorders>
              <w:top w:val="single" w:color="auto" w:sz="6" w:space="0"/>
              <w:left w:val="single" w:color="auto" w:sz="6" w:space="0"/>
              <w:bottom w:val="single" w:color="auto" w:sz="6" w:space="0"/>
              <w:right w:val="single" w:color="auto" w:sz="6" w:space="0"/>
            </w:tcBorders>
          </w:tcPr>
          <w:p>
            <w:pPr>
              <w:pStyle w:val="43"/>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tc>
        <w:tc>
          <w:tcPr>
            <w:tcW w:w="1452" w:type="dxa"/>
            <w:tcBorders>
              <w:top w:val="single" w:color="auto" w:sz="6" w:space="0"/>
              <w:left w:val="single" w:color="auto" w:sz="6" w:space="0"/>
              <w:bottom w:val="single" w:color="auto" w:sz="6" w:space="0"/>
              <w:right w:val="single" w:color="auto" w:sz="6" w:space="0"/>
            </w:tcBorders>
          </w:tcPr>
          <w:p>
            <w:pPr>
              <w:pStyle w:val="43"/>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tc>
        <w:tc>
          <w:tcPr>
            <w:tcW w:w="1383" w:type="dxa"/>
            <w:tcBorders>
              <w:top w:val="single" w:color="auto" w:sz="6" w:space="0"/>
              <w:left w:val="single" w:color="auto" w:sz="6" w:space="0"/>
              <w:bottom w:val="single" w:color="auto" w:sz="6" w:space="0"/>
              <w:right w:val="single" w:color="auto" w:sz="6" w:space="0"/>
            </w:tcBorders>
          </w:tcPr>
          <w:p>
            <w:pPr>
              <w:pStyle w:val="43"/>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tc>
        <w:tc>
          <w:tcPr>
            <w:tcW w:w="2037" w:type="dxa"/>
            <w:tcBorders>
              <w:top w:val="single" w:color="auto" w:sz="6" w:space="0"/>
              <w:left w:val="single" w:color="auto" w:sz="6" w:space="0"/>
              <w:bottom w:val="single" w:color="auto" w:sz="6" w:space="0"/>
              <w:right w:val="single" w:color="auto" w:sz="6" w:space="0"/>
            </w:tcBorders>
          </w:tcPr>
          <w:p>
            <w:pPr>
              <w:pStyle w:val="43"/>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43"/>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tc>
        <w:tc>
          <w:tcPr>
            <w:tcW w:w="1293" w:type="dxa"/>
            <w:tcBorders>
              <w:top w:val="single" w:color="auto" w:sz="6" w:space="0"/>
              <w:left w:val="single" w:color="auto" w:sz="6" w:space="0"/>
              <w:bottom w:val="single" w:color="auto" w:sz="6" w:space="0"/>
              <w:right w:val="single" w:color="auto" w:sz="6" w:space="0"/>
            </w:tcBorders>
          </w:tcPr>
          <w:p>
            <w:pPr>
              <w:pStyle w:val="43"/>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tc>
        <w:tc>
          <w:tcPr>
            <w:tcW w:w="1575" w:type="dxa"/>
            <w:tcBorders>
              <w:top w:val="single" w:color="auto" w:sz="6" w:space="0"/>
              <w:left w:val="single" w:color="auto" w:sz="6" w:space="0"/>
              <w:bottom w:val="single" w:color="auto" w:sz="6" w:space="0"/>
              <w:right w:val="single" w:color="auto" w:sz="6" w:space="0"/>
            </w:tcBorders>
          </w:tcPr>
          <w:p>
            <w:pPr>
              <w:pStyle w:val="43"/>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tc>
        <w:tc>
          <w:tcPr>
            <w:tcW w:w="1260" w:type="dxa"/>
            <w:tcBorders>
              <w:top w:val="single" w:color="auto" w:sz="6" w:space="0"/>
              <w:left w:val="single" w:color="auto" w:sz="6" w:space="0"/>
              <w:bottom w:val="single" w:color="auto" w:sz="6" w:space="0"/>
              <w:right w:val="single" w:color="auto" w:sz="6" w:space="0"/>
            </w:tcBorders>
          </w:tcPr>
          <w:p>
            <w:pPr>
              <w:pStyle w:val="43"/>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tc>
        <w:tc>
          <w:tcPr>
            <w:tcW w:w="1452" w:type="dxa"/>
            <w:tcBorders>
              <w:top w:val="single" w:color="auto" w:sz="6" w:space="0"/>
              <w:left w:val="single" w:color="auto" w:sz="6" w:space="0"/>
              <w:bottom w:val="single" w:color="auto" w:sz="6" w:space="0"/>
              <w:right w:val="single" w:color="auto" w:sz="6" w:space="0"/>
            </w:tcBorders>
          </w:tcPr>
          <w:p>
            <w:pPr>
              <w:pStyle w:val="43"/>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tc>
        <w:tc>
          <w:tcPr>
            <w:tcW w:w="1383" w:type="dxa"/>
            <w:tcBorders>
              <w:top w:val="single" w:color="auto" w:sz="6" w:space="0"/>
              <w:left w:val="single" w:color="auto" w:sz="6" w:space="0"/>
              <w:bottom w:val="single" w:color="auto" w:sz="6" w:space="0"/>
              <w:right w:val="single" w:color="auto" w:sz="6" w:space="0"/>
            </w:tcBorders>
          </w:tcPr>
          <w:p>
            <w:pPr>
              <w:pStyle w:val="43"/>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tc>
        <w:tc>
          <w:tcPr>
            <w:tcW w:w="2037" w:type="dxa"/>
            <w:tcBorders>
              <w:top w:val="single" w:color="auto" w:sz="6" w:space="0"/>
              <w:left w:val="single" w:color="auto" w:sz="6" w:space="0"/>
              <w:bottom w:val="single" w:color="auto" w:sz="6" w:space="0"/>
              <w:right w:val="single" w:color="auto" w:sz="6" w:space="0"/>
            </w:tcBorders>
          </w:tcPr>
          <w:p>
            <w:pPr>
              <w:pStyle w:val="43"/>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43"/>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tc>
        <w:tc>
          <w:tcPr>
            <w:tcW w:w="1293" w:type="dxa"/>
            <w:tcBorders>
              <w:top w:val="single" w:color="auto" w:sz="6" w:space="0"/>
              <w:left w:val="single" w:color="auto" w:sz="6" w:space="0"/>
              <w:bottom w:val="single" w:color="auto" w:sz="6" w:space="0"/>
              <w:right w:val="single" w:color="auto" w:sz="6" w:space="0"/>
            </w:tcBorders>
          </w:tcPr>
          <w:p>
            <w:pPr>
              <w:pStyle w:val="43"/>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tc>
        <w:tc>
          <w:tcPr>
            <w:tcW w:w="1575" w:type="dxa"/>
            <w:tcBorders>
              <w:top w:val="single" w:color="auto" w:sz="6" w:space="0"/>
              <w:left w:val="single" w:color="auto" w:sz="6" w:space="0"/>
              <w:bottom w:val="single" w:color="auto" w:sz="6" w:space="0"/>
              <w:right w:val="single" w:color="auto" w:sz="6" w:space="0"/>
            </w:tcBorders>
          </w:tcPr>
          <w:p>
            <w:pPr>
              <w:pStyle w:val="43"/>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tc>
        <w:tc>
          <w:tcPr>
            <w:tcW w:w="1260" w:type="dxa"/>
            <w:tcBorders>
              <w:top w:val="single" w:color="auto" w:sz="6" w:space="0"/>
              <w:left w:val="single" w:color="auto" w:sz="6" w:space="0"/>
              <w:bottom w:val="single" w:color="auto" w:sz="6" w:space="0"/>
              <w:right w:val="single" w:color="auto" w:sz="6" w:space="0"/>
            </w:tcBorders>
          </w:tcPr>
          <w:p>
            <w:pPr>
              <w:pStyle w:val="43"/>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tc>
        <w:tc>
          <w:tcPr>
            <w:tcW w:w="1452" w:type="dxa"/>
            <w:tcBorders>
              <w:top w:val="single" w:color="auto" w:sz="6" w:space="0"/>
              <w:left w:val="single" w:color="auto" w:sz="6" w:space="0"/>
              <w:bottom w:val="single" w:color="auto" w:sz="6" w:space="0"/>
              <w:right w:val="single" w:color="auto" w:sz="6" w:space="0"/>
            </w:tcBorders>
          </w:tcPr>
          <w:p>
            <w:pPr>
              <w:pStyle w:val="43"/>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tc>
        <w:tc>
          <w:tcPr>
            <w:tcW w:w="1383" w:type="dxa"/>
            <w:tcBorders>
              <w:top w:val="single" w:color="auto" w:sz="6" w:space="0"/>
              <w:left w:val="single" w:color="auto" w:sz="6" w:space="0"/>
              <w:bottom w:val="single" w:color="auto" w:sz="6" w:space="0"/>
              <w:right w:val="single" w:color="auto" w:sz="6" w:space="0"/>
            </w:tcBorders>
          </w:tcPr>
          <w:p>
            <w:pPr>
              <w:pStyle w:val="43"/>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tc>
        <w:tc>
          <w:tcPr>
            <w:tcW w:w="2037" w:type="dxa"/>
            <w:tcBorders>
              <w:top w:val="single" w:color="auto" w:sz="6" w:space="0"/>
              <w:left w:val="single" w:color="auto" w:sz="6" w:space="0"/>
              <w:bottom w:val="single" w:color="auto" w:sz="6" w:space="0"/>
              <w:right w:val="single" w:color="auto" w:sz="6" w:space="0"/>
            </w:tcBorders>
          </w:tcPr>
          <w:p>
            <w:pPr>
              <w:pStyle w:val="43"/>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43"/>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tc>
        <w:tc>
          <w:tcPr>
            <w:tcW w:w="1293" w:type="dxa"/>
            <w:tcBorders>
              <w:top w:val="single" w:color="auto" w:sz="6" w:space="0"/>
              <w:left w:val="single" w:color="auto" w:sz="6" w:space="0"/>
              <w:bottom w:val="single" w:color="auto" w:sz="6" w:space="0"/>
              <w:right w:val="single" w:color="auto" w:sz="6" w:space="0"/>
            </w:tcBorders>
          </w:tcPr>
          <w:p>
            <w:pPr>
              <w:pStyle w:val="43"/>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tc>
        <w:tc>
          <w:tcPr>
            <w:tcW w:w="1575" w:type="dxa"/>
            <w:tcBorders>
              <w:top w:val="single" w:color="auto" w:sz="6" w:space="0"/>
              <w:left w:val="single" w:color="auto" w:sz="6" w:space="0"/>
              <w:bottom w:val="single" w:color="auto" w:sz="6" w:space="0"/>
              <w:right w:val="single" w:color="auto" w:sz="6" w:space="0"/>
            </w:tcBorders>
          </w:tcPr>
          <w:p>
            <w:pPr>
              <w:pStyle w:val="43"/>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tc>
        <w:tc>
          <w:tcPr>
            <w:tcW w:w="1260" w:type="dxa"/>
            <w:tcBorders>
              <w:top w:val="single" w:color="auto" w:sz="6" w:space="0"/>
              <w:left w:val="single" w:color="auto" w:sz="6" w:space="0"/>
              <w:bottom w:val="single" w:color="auto" w:sz="6" w:space="0"/>
              <w:right w:val="single" w:color="auto" w:sz="6" w:space="0"/>
            </w:tcBorders>
          </w:tcPr>
          <w:p>
            <w:pPr>
              <w:pStyle w:val="43"/>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tc>
        <w:tc>
          <w:tcPr>
            <w:tcW w:w="1452" w:type="dxa"/>
            <w:tcBorders>
              <w:top w:val="single" w:color="auto" w:sz="6" w:space="0"/>
              <w:left w:val="single" w:color="auto" w:sz="6" w:space="0"/>
              <w:bottom w:val="single" w:color="auto" w:sz="6" w:space="0"/>
              <w:right w:val="single" w:color="auto" w:sz="6" w:space="0"/>
            </w:tcBorders>
          </w:tcPr>
          <w:p>
            <w:pPr>
              <w:pStyle w:val="43"/>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tc>
        <w:tc>
          <w:tcPr>
            <w:tcW w:w="1383" w:type="dxa"/>
            <w:tcBorders>
              <w:top w:val="single" w:color="auto" w:sz="6" w:space="0"/>
              <w:left w:val="single" w:color="auto" w:sz="6" w:space="0"/>
              <w:bottom w:val="single" w:color="auto" w:sz="6" w:space="0"/>
              <w:right w:val="single" w:color="auto" w:sz="6" w:space="0"/>
            </w:tcBorders>
          </w:tcPr>
          <w:p>
            <w:pPr>
              <w:pStyle w:val="43"/>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tc>
        <w:tc>
          <w:tcPr>
            <w:tcW w:w="2037" w:type="dxa"/>
            <w:tcBorders>
              <w:top w:val="single" w:color="auto" w:sz="6" w:space="0"/>
              <w:left w:val="single" w:color="auto" w:sz="6" w:space="0"/>
              <w:bottom w:val="single" w:color="auto" w:sz="6" w:space="0"/>
              <w:right w:val="single" w:color="auto" w:sz="6" w:space="0"/>
            </w:tcBorders>
          </w:tcPr>
          <w:p>
            <w:pPr>
              <w:pStyle w:val="43"/>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tc>
      </w:tr>
    </w:tbl>
    <w:p>
      <w:pPr>
        <w:keepNext w:val="0"/>
        <w:keepLines w:val="0"/>
        <w:pageBreakBefore w:val="0"/>
        <w:kinsoku/>
        <w:wordWrap/>
        <w:overflowPunct/>
        <w:topLinePunct w:val="0"/>
        <w:autoSpaceDE w:val="0"/>
        <w:autoSpaceDN w:val="0"/>
        <w:bidi w:val="0"/>
        <w:adjustRightInd w:val="0"/>
        <w:spacing w:before="156" w:beforeLines="50" w:line="360" w:lineRule="auto"/>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要求：</w:t>
      </w:r>
    </w:p>
    <w:p>
      <w:pPr>
        <w:keepNext w:val="0"/>
        <w:keepLines w:val="0"/>
        <w:pageBreakBefore w:val="0"/>
        <w:kinsoku/>
        <w:wordWrap/>
        <w:overflowPunct/>
        <w:topLinePunct w:val="0"/>
        <w:autoSpaceDE w:val="0"/>
        <w:autoSpaceDN w:val="0"/>
        <w:bidi w:val="0"/>
        <w:adjustRightInd w:val="0"/>
        <w:spacing w:before="156" w:beforeLines="50" w:line="360" w:lineRule="auto"/>
        <w:ind w:firstLine="424" w:firstLineChars="202"/>
        <w:outlineLvl w:val="9"/>
        <w:rPr>
          <w:rFonts w:hint="eastAsia" w:ascii="宋体" w:hAnsi="宋体" w:eastAsia="宋体" w:cs="宋体"/>
          <w:b/>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业绩证明应提供证明材料（合同复印件可只提供首页、含金额页、盖章页并加盖投标人公章）；</w:t>
      </w:r>
    </w:p>
    <w:p>
      <w:pPr>
        <w:keepNext w:val="0"/>
        <w:keepLines w:val="0"/>
        <w:pageBreakBefore w:val="0"/>
        <w:kinsoku/>
        <w:wordWrap/>
        <w:overflowPunct/>
        <w:topLinePunct w:val="0"/>
        <w:bidi w:val="0"/>
        <w:spacing w:line="360" w:lineRule="auto"/>
        <w:ind w:firstLine="424" w:firstLineChars="202"/>
        <w:jc w:val="left"/>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报价供应商可按此表格式复制。</w:t>
      </w:r>
    </w:p>
    <w:p>
      <w:pPr>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p>
      <w:pPr>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p>
      <w:pPr>
        <w:keepNext w:val="0"/>
        <w:keepLines w:val="0"/>
        <w:pageBreakBefore w:val="0"/>
        <w:kinsoku/>
        <w:wordWrap/>
        <w:overflowPunct/>
        <w:topLinePunct w:val="0"/>
        <w:bidi w:val="0"/>
        <w:spacing w:line="360" w:lineRule="auto"/>
        <w:ind w:left="420"/>
        <w:outlineLvl w:val="9"/>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投标人名称（盖章）：</w:t>
      </w:r>
    </w:p>
    <w:p>
      <w:pPr>
        <w:keepNext w:val="0"/>
        <w:keepLines w:val="0"/>
        <w:pageBreakBefore w:val="0"/>
        <w:kinsoku/>
        <w:wordWrap/>
        <w:overflowPunct/>
        <w:topLinePunct w:val="0"/>
        <w:bidi w:val="0"/>
        <w:spacing w:line="360" w:lineRule="auto"/>
        <w:ind w:left="420"/>
        <w:outlineLvl w:val="9"/>
        <w:rPr>
          <w:rFonts w:hint="eastAsia" w:ascii="宋体" w:hAnsi="宋体" w:eastAsia="宋体" w:cs="宋体"/>
          <w:color w:val="auto"/>
          <w:szCs w:val="21"/>
          <w:highlight w:val="none"/>
        </w:rPr>
      </w:pPr>
    </w:p>
    <w:p>
      <w:pPr>
        <w:keepNext w:val="0"/>
        <w:keepLines w:val="0"/>
        <w:pageBreakBefore w:val="0"/>
        <w:kinsoku/>
        <w:wordWrap/>
        <w:overflowPunct/>
        <w:topLinePunct w:val="0"/>
        <w:bidi w:val="0"/>
        <w:spacing w:line="360" w:lineRule="auto"/>
        <w:ind w:firstLine="435"/>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法定代表人或授权委托代理人（签字或盖章）：</w:t>
      </w:r>
    </w:p>
    <w:p>
      <w:pPr>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p>
      <w:pPr>
        <w:keepNext w:val="0"/>
        <w:keepLines w:val="0"/>
        <w:pageBreakBefore w:val="0"/>
        <w:kinsoku/>
        <w:wordWrap/>
        <w:overflowPunct/>
        <w:topLinePunct w:val="0"/>
        <w:bidi w:val="0"/>
        <w:spacing w:line="360" w:lineRule="auto"/>
        <w:ind w:firstLine="435"/>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日期：</w:t>
      </w:r>
    </w:p>
    <w:p>
      <w:pPr>
        <w:keepNext w:val="0"/>
        <w:keepLines w:val="0"/>
        <w:pageBreakBefore w:val="0"/>
        <w:kinsoku/>
        <w:wordWrap/>
        <w:overflowPunct/>
        <w:topLinePunct w:val="0"/>
        <w:bidi w:val="0"/>
        <w:spacing w:line="360" w:lineRule="auto"/>
        <w:jc w:val="center"/>
        <w:outlineLvl w:val="9"/>
        <w:rPr>
          <w:rFonts w:hint="eastAsia" w:ascii="宋体" w:hAnsi="宋体" w:eastAsia="宋体" w:cs="宋体"/>
          <w:snapToGrid w:val="0"/>
          <w:color w:val="auto"/>
          <w:kern w:val="0"/>
          <w:szCs w:val="21"/>
          <w:highlight w:val="none"/>
        </w:rPr>
      </w:pPr>
    </w:p>
    <w:p>
      <w:pPr>
        <w:pStyle w:val="44"/>
        <w:keepNext w:val="0"/>
        <w:keepLines w:val="0"/>
        <w:pageBreakBefore w:val="0"/>
        <w:tabs>
          <w:tab w:val="left" w:pos="1050"/>
        </w:tabs>
        <w:kinsoku/>
        <w:wordWrap/>
        <w:overflowPunct/>
        <w:topLinePunct w:val="0"/>
        <w:bidi w:val="0"/>
        <w:spacing w:line="360" w:lineRule="auto"/>
        <w:outlineLvl w:val="9"/>
        <w:rPr>
          <w:rFonts w:hint="eastAsia" w:ascii="宋体" w:hAnsi="宋体" w:eastAsia="宋体" w:cs="宋体"/>
          <w:b/>
          <w:color w:val="auto"/>
          <w:sz w:val="28"/>
          <w:highlight w:val="none"/>
        </w:rPr>
      </w:pPr>
    </w:p>
    <w:p>
      <w:pPr>
        <w:pStyle w:val="44"/>
        <w:keepNext w:val="0"/>
        <w:keepLines w:val="0"/>
        <w:pageBreakBefore w:val="0"/>
        <w:tabs>
          <w:tab w:val="left" w:pos="1050"/>
        </w:tabs>
        <w:kinsoku/>
        <w:wordWrap/>
        <w:overflowPunct/>
        <w:topLinePunct w:val="0"/>
        <w:bidi w:val="0"/>
        <w:spacing w:line="360" w:lineRule="auto"/>
        <w:outlineLvl w:val="9"/>
        <w:rPr>
          <w:rFonts w:hint="eastAsia" w:ascii="宋体" w:hAnsi="宋体" w:eastAsia="宋体" w:cs="宋体"/>
          <w:b/>
          <w:color w:val="auto"/>
          <w:sz w:val="28"/>
          <w:highlight w:val="none"/>
        </w:rPr>
      </w:pPr>
    </w:p>
    <w:p>
      <w:pPr>
        <w:pStyle w:val="44"/>
        <w:keepNext w:val="0"/>
        <w:keepLines w:val="0"/>
        <w:pageBreakBefore w:val="0"/>
        <w:tabs>
          <w:tab w:val="left" w:pos="1050"/>
        </w:tabs>
        <w:kinsoku/>
        <w:wordWrap/>
        <w:overflowPunct/>
        <w:topLinePunct w:val="0"/>
        <w:bidi w:val="0"/>
        <w:spacing w:line="360" w:lineRule="auto"/>
        <w:outlineLvl w:val="9"/>
        <w:rPr>
          <w:rFonts w:hint="eastAsia" w:ascii="宋体" w:hAnsi="宋体" w:eastAsia="宋体" w:cs="宋体"/>
          <w:color w:val="auto"/>
          <w:sz w:val="24"/>
          <w:highlight w:val="none"/>
          <w:lang w:eastAsia="zh-CN"/>
        </w:rPr>
      </w:pPr>
      <w:r>
        <w:rPr>
          <w:rFonts w:hint="eastAsia" w:ascii="宋体" w:hAnsi="宋体" w:eastAsia="宋体" w:cs="宋体"/>
          <w:b/>
          <w:color w:val="auto"/>
          <w:sz w:val="28"/>
          <w:highlight w:val="none"/>
        </w:rPr>
        <w:t>附件1</w:t>
      </w:r>
      <w:r>
        <w:rPr>
          <w:rFonts w:hint="eastAsia" w:ascii="宋体" w:hAnsi="宋体" w:eastAsia="宋体" w:cs="宋体"/>
          <w:b/>
          <w:color w:val="auto"/>
          <w:sz w:val="28"/>
          <w:highlight w:val="none"/>
          <w:lang w:val="en-US" w:eastAsia="zh-CN"/>
        </w:rPr>
        <w:t>2</w:t>
      </w:r>
    </w:p>
    <w:p>
      <w:pPr>
        <w:snapToGrid w:val="0"/>
        <w:spacing w:beforeLines="50" w:after="50" w:line="360" w:lineRule="auto"/>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资信及商务需求响应表</w:t>
      </w:r>
    </w:p>
    <w:p>
      <w:pPr>
        <w:keepNext w:val="0"/>
        <w:keepLines w:val="0"/>
        <w:pageBreakBefore w:val="0"/>
        <w:kinsoku/>
        <w:wordWrap/>
        <w:overflowPunct/>
        <w:topLinePunct w:val="0"/>
        <w:bidi w:val="0"/>
        <w:spacing w:line="360" w:lineRule="auto"/>
        <w:ind w:left="481" w:leftChars="229" w:firstLine="949" w:firstLineChars="450"/>
        <w:outlineLvl w:val="9"/>
        <w:rPr>
          <w:rFonts w:hint="eastAsia" w:ascii="宋体" w:hAnsi="宋体" w:eastAsia="宋体" w:cs="宋体"/>
          <w:b/>
          <w:color w:val="auto"/>
          <w:szCs w:val="21"/>
          <w:highlight w:val="none"/>
        </w:rPr>
      </w:pPr>
    </w:p>
    <w:tbl>
      <w:tblPr>
        <w:tblStyle w:val="22"/>
        <w:tblW w:w="829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2029"/>
        <w:gridCol w:w="1541"/>
        <w:gridCol w:w="1365"/>
        <w:gridCol w:w="2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6" w:hRule="atLeast"/>
        </w:trPr>
        <w:tc>
          <w:tcPr>
            <w:tcW w:w="735" w:type="dxa"/>
            <w:vAlign w:val="center"/>
          </w:tcPr>
          <w:p>
            <w:pPr>
              <w:keepNext w:val="0"/>
              <w:keepLines w:val="0"/>
              <w:pageBreakBefore w:val="0"/>
              <w:kinsoku/>
              <w:wordWrap/>
              <w:overflowPunct/>
              <w:topLinePunct w:val="0"/>
              <w:bidi w:val="0"/>
              <w:spacing w:line="360" w:lineRule="auto"/>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序号</w:t>
            </w:r>
          </w:p>
        </w:tc>
        <w:tc>
          <w:tcPr>
            <w:tcW w:w="2029" w:type="dxa"/>
            <w:vAlign w:val="center"/>
          </w:tcPr>
          <w:p>
            <w:pPr>
              <w:keepNext w:val="0"/>
              <w:keepLines w:val="0"/>
              <w:pageBreakBefore w:val="0"/>
              <w:kinsoku/>
              <w:wordWrap/>
              <w:overflowPunct/>
              <w:topLinePunct w:val="0"/>
              <w:bidi w:val="0"/>
              <w:spacing w:line="360" w:lineRule="auto"/>
              <w:jc w:val="center"/>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内容</w:t>
            </w:r>
          </w:p>
        </w:tc>
        <w:tc>
          <w:tcPr>
            <w:tcW w:w="1541" w:type="dxa"/>
            <w:vAlign w:val="center"/>
          </w:tcPr>
          <w:p>
            <w:pPr>
              <w:keepNext w:val="0"/>
              <w:keepLines w:val="0"/>
              <w:pageBreakBefore w:val="0"/>
              <w:kinsoku/>
              <w:wordWrap/>
              <w:overflowPunct/>
              <w:topLinePunct w:val="0"/>
              <w:bidi w:val="0"/>
              <w:spacing w:line="360" w:lineRule="auto"/>
              <w:ind w:left="53" w:leftChars="25" w:firstLine="211" w:firstLineChars="100"/>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招标需求</w:t>
            </w:r>
          </w:p>
        </w:tc>
        <w:tc>
          <w:tcPr>
            <w:tcW w:w="1365" w:type="dxa"/>
            <w:vAlign w:val="center"/>
          </w:tcPr>
          <w:p>
            <w:pPr>
              <w:keepNext w:val="0"/>
              <w:keepLines w:val="0"/>
              <w:pageBreakBefore w:val="0"/>
              <w:kinsoku/>
              <w:wordWrap/>
              <w:overflowPunct/>
              <w:topLinePunct w:val="0"/>
              <w:bidi w:val="0"/>
              <w:spacing w:line="360" w:lineRule="auto"/>
              <w:ind w:left="152"/>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是否响应</w:t>
            </w:r>
          </w:p>
        </w:tc>
        <w:tc>
          <w:tcPr>
            <w:tcW w:w="2625" w:type="dxa"/>
            <w:vAlign w:val="center"/>
          </w:tcPr>
          <w:p>
            <w:pPr>
              <w:keepNext w:val="0"/>
              <w:keepLines w:val="0"/>
              <w:pageBreakBefore w:val="0"/>
              <w:kinsoku/>
              <w:wordWrap/>
              <w:overflowPunct/>
              <w:topLinePunct w:val="0"/>
              <w:bidi w:val="0"/>
              <w:spacing w:line="360" w:lineRule="auto"/>
              <w:jc w:val="center"/>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投标人的承诺或说明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735" w:type="dxa"/>
            <w:vAlign w:val="center"/>
          </w:tcPr>
          <w:p>
            <w:pPr>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tc>
        <w:tc>
          <w:tcPr>
            <w:tcW w:w="2029" w:type="dxa"/>
            <w:vAlign w:val="center"/>
          </w:tcPr>
          <w:p>
            <w:pPr>
              <w:keepNext w:val="0"/>
              <w:keepLines w:val="0"/>
              <w:pageBreakBefore w:val="0"/>
              <w:kinsoku/>
              <w:wordWrap/>
              <w:overflowPunct/>
              <w:topLinePunct w:val="0"/>
              <w:bidi w:val="0"/>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工期</w:t>
            </w:r>
          </w:p>
        </w:tc>
        <w:tc>
          <w:tcPr>
            <w:tcW w:w="1541" w:type="dxa"/>
            <w:vAlign w:val="center"/>
          </w:tcPr>
          <w:p>
            <w:pPr>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tc>
        <w:tc>
          <w:tcPr>
            <w:tcW w:w="1365" w:type="dxa"/>
            <w:vAlign w:val="center"/>
          </w:tcPr>
          <w:p>
            <w:pPr>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tc>
        <w:tc>
          <w:tcPr>
            <w:tcW w:w="2625" w:type="dxa"/>
            <w:vAlign w:val="center"/>
          </w:tcPr>
          <w:p>
            <w:pPr>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pPr>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tc>
        <w:tc>
          <w:tcPr>
            <w:tcW w:w="2029" w:type="dxa"/>
            <w:vAlign w:val="center"/>
          </w:tcPr>
          <w:p>
            <w:pPr>
              <w:keepNext w:val="0"/>
              <w:keepLines w:val="0"/>
              <w:pageBreakBefore w:val="0"/>
              <w:kinsoku/>
              <w:wordWrap/>
              <w:overflowPunct/>
              <w:topLinePunct w:val="0"/>
              <w:bidi w:val="0"/>
              <w:jc w:val="center"/>
              <w:outlineLvl w:val="9"/>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质保期</w:t>
            </w:r>
          </w:p>
        </w:tc>
        <w:tc>
          <w:tcPr>
            <w:tcW w:w="1541" w:type="dxa"/>
            <w:vAlign w:val="center"/>
          </w:tcPr>
          <w:p>
            <w:pPr>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tc>
        <w:tc>
          <w:tcPr>
            <w:tcW w:w="1365" w:type="dxa"/>
            <w:vAlign w:val="center"/>
          </w:tcPr>
          <w:p>
            <w:pPr>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tc>
        <w:tc>
          <w:tcPr>
            <w:tcW w:w="2625" w:type="dxa"/>
            <w:vAlign w:val="center"/>
          </w:tcPr>
          <w:p>
            <w:pPr>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pPr>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tc>
        <w:tc>
          <w:tcPr>
            <w:tcW w:w="2029" w:type="dxa"/>
            <w:vAlign w:val="center"/>
          </w:tcPr>
          <w:p>
            <w:pPr>
              <w:keepNext w:val="0"/>
              <w:keepLines w:val="0"/>
              <w:pageBreakBefore w:val="0"/>
              <w:kinsoku/>
              <w:wordWrap/>
              <w:overflowPunct/>
              <w:topLinePunct w:val="0"/>
              <w:bidi w:val="0"/>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付款方式</w:t>
            </w:r>
          </w:p>
        </w:tc>
        <w:tc>
          <w:tcPr>
            <w:tcW w:w="1541" w:type="dxa"/>
            <w:vAlign w:val="center"/>
          </w:tcPr>
          <w:p>
            <w:pPr>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tc>
        <w:tc>
          <w:tcPr>
            <w:tcW w:w="1365" w:type="dxa"/>
            <w:vAlign w:val="center"/>
          </w:tcPr>
          <w:p>
            <w:pPr>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tc>
        <w:tc>
          <w:tcPr>
            <w:tcW w:w="2625" w:type="dxa"/>
            <w:vAlign w:val="center"/>
          </w:tcPr>
          <w:p>
            <w:pPr>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pPr>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tc>
        <w:tc>
          <w:tcPr>
            <w:tcW w:w="2029" w:type="dxa"/>
            <w:vAlign w:val="center"/>
          </w:tcPr>
          <w:p>
            <w:pPr>
              <w:keepNext w:val="0"/>
              <w:keepLines w:val="0"/>
              <w:pageBreakBefore w:val="0"/>
              <w:kinsoku/>
              <w:wordWrap/>
              <w:overflowPunct/>
              <w:topLinePunct w:val="0"/>
              <w:bidi w:val="0"/>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1541" w:type="dxa"/>
            <w:vAlign w:val="center"/>
          </w:tcPr>
          <w:p>
            <w:pPr>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tc>
        <w:tc>
          <w:tcPr>
            <w:tcW w:w="1365" w:type="dxa"/>
            <w:vAlign w:val="center"/>
          </w:tcPr>
          <w:p>
            <w:pPr>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tc>
        <w:tc>
          <w:tcPr>
            <w:tcW w:w="2625" w:type="dxa"/>
            <w:vAlign w:val="center"/>
          </w:tcPr>
          <w:p>
            <w:pPr>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trPr>
        <w:tc>
          <w:tcPr>
            <w:tcW w:w="735" w:type="dxa"/>
            <w:vAlign w:val="center"/>
          </w:tcPr>
          <w:p>
            <w:pPr>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tc>
        <w:tc>
          <w:tcPr>
            <w:tcW w:w="2029" w:type="dxa"/>
          </w:tcPr>
          <w:p>
            <w:pPr>
              <w:keepNext w:val="0"/>
              <w:keepLines w:val="0"/>
              <w:pageBreakBefore w:val="0"/>
              <w:kinsoku/>
              <w:wordWrap/>
              <w:overflowPunct/>
              <w:topLinePunct w:val="0"/>
              <w:bidi w:val="0"/>
              <w:snapToGrid w:val="0"/>
              <w:outlineLvl w:val="9"/>
              <w:rPr>
                <w:rFonts w:hint="eastAsia" w:ascii="宋体" w:hAnsi="宋体" w:eastAsia="宋体" w:cs="宋体"/>
                <w:color w:val="auto"/>
                <w:szCs w:val="21"/>
                <w:highlight w:val="none"/>
              </w:rPr>
            </w:pPr>
          </w:p>
        </w:tc>
        <w:tc>
          <w:tcPr>
            <w:tcW w:w="1541" w:type="dxa"/>
            <w:vAlign w:val="center"/>
          </w:tcPr>
          <w:p>
            <w:pPr>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tc>
        <w:tc>
          <w:tcPr>
            <w:tcW w:w="1365" w:type="dxa"/>
            <w:vAlign w:val="center"/>
          </w:tcPr>
          <w:p>
            <w:pPr>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tc>
        <w:tc>
          <w:tcPr>
            <w:tcW w:w="2625" w:type="dxa"/>
            <w:vAlign w:val="center"/>
          </w:tcPr>
          <w:p>
            <w:pPr>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trPr>
        <w:tc>
          <w:tcPr>
            <w:tcW w:w="735" w:type="dxa"/>
            <w:vAlign w:val="center"/>
          </w:tcPr>
          <w:p>
            <w:pPr>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tc>
        <w:tc>
          <w:tcPr>
            <w:tcW w:w="2029" w:type="dxa"/>
          </w:tcPr>
          <w:p>
            <w:pPr>
              <w:keepNext w:val="0"/>
              <w:keepLines w:val="0"/>
              <w:pageBreakBefore w:val="0"/>
              <w:kinsoku/>
              <w:wordWrap/>
              <w:overflowPunct/>
              <w:topLinePunct w:val="0"/>
              <w:bidi w:val="0"/>
              <w:snapToGrid w:val="0"/>
              <w:spacing w:line="360" w:lineRule="auto"/>
              <w:outlineLvl w:val="9"/>
              <w:rPr>
                <w:rFonts w:hint="eastAsia" w:ascii="宋体" w:hAnsi="宋体" w:eastAsia="宋体" w:cs="宋体"/>
                <w:color w:val="auto"/>
                <w:szCs w:val="21"/>
                <w:highlight w:val="none"/>
              </w:rPr>
            </w:pPr>
          </w:p>
        </w:tc>
        <w:tc>
          <w:tcPr>
            <w:tcW w:w="1541" w:type="dxa"/>
            <w:vAlign w:val="center"/>
          </w:tcPr>
          <w:p>
            <w:pPr>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tc>
        <w:tc>
          <w:tcPr>
            <w:tcW w:w="1365" w:type="dxa"/>
            <w:vAlign w:val="center"/>
          </w:tcPr>
          <w:p>
            <w:pPr>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tc>
        <w:tc>
          <w:tcPr>
            <w:tcW w:w="2625" w:type="dxa"/>
            <w:vAlign w:val="center"/>
          </w:tcPr>
          <w:p>
            <w:pPr>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tc>
      </w:tr>
    </w:tbl>
    <w:p>
      <w:pPr>
        <w:keepNext w:val="0"/>
        <w:keepLines w:val="0"/>
        <w:pageBreakBefore w:val="0"/>
        <w:kinsoku/>
        <w:wordWrap/>
        <w:overflowPunct/>
        <w:topLinePunct w:val="0"/>
        <w:bidi w:val="0"/>
        <w:spacing w:line="360" w:lineRule="auto"/>
        <w:ind w:left="420"/>
        <w:outlineLvl w:val="9"/>
        <w:rPr>
          <w:rFonts w:hint="eastAsia" w:ascii="宋体" w:hAnsi="宋体" w:eastAsia="宋体" w:cs="宋体"/>
          <w:color w:val="auto"/>
          <w:szCs w:val="21"/>
          <w:highlight w:val="none"/>
        </w:rPr>
      </w:pPr>
    </w:p>
    <w:p>
      <w:pPr>
        <w:keepNext w:val="0"/>
        <w:keepLines w:val="0"/>
        <w:pageBreakBefore w:val="0"/>
        <w:kinsoku/>
        <w:wordWrap/>
        <w:overflowPunct/>
        <w:topLinePunct w:val="0"/>
        <w:bidi w:val="0"/>
        <w:spacing w:line="360" w:lineRule="auto"/>
        <w:ind w:left="420"/>
        <w:outlineLvl w:val="9"/>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投标人名称（盖章）：</w:t>
      </w:r>
    </w:p>
    <w:p>
      <w:pPr>
        <w:keepNext w:val="0"/>
        <w:keepLines w:val="0"/>
        <w:pageBreakBefore w:val="0"/>
        <w:kinsoku/>
        <w:wordWrap/>
        <w:overflowPunct/>
        <w:topLinePunct w:val="0"/>
        <w:bidi w:val="0"/>
        <w:spacing w:line="360" w:lineRule="auto"/>
        <w:ind w:left="420"/>
        <w:outlineLvl w:val="9"/>
        <w:rPr>
          <w:rFonts w:hint="eastAsia" w:ascii="宋体" w:hAnsi="宋体" w:eastAsia="宋体" w:cs="宋体"/>
          <w:color w:val="auto"/>
          <w:szCs w:val="21"/>
          <w:highlight w:val="none"/>
        </w:rPr>
      </w:pPr>
    </w:p>
    <w:p>
      <w:pPr>
        <w:keepNext w:val="0"/>
        <w:keepLines w:val="0"/>
        <w:pageBreakBefore w:val="0"/>
        <w:kinsoku/>
        <w:wordWrap/>
        <w:overflowPunct/>
        <w:topLinePunct w:val="0"/>
        <w:bidi w:val="0"/>
        <w:spacing w:line="360" w:lineRule="auto"/>
        <w:ind w:firstLine="435"/>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法定代表人或授权委托代理人（签字或盖章）：</w:t>
      </w:r>
    </w:p>
    <w:p>
      <w:pPr>
        <w:keepNext w:val="0"/>
        <w:keepLines w:val="0"/>
        <w:pageBreakBefore w:val="0"/>
        <w:kinsoku/>
        <w:wordWrap/>
        <w:overflowPunct/>
        <w:topLinePunct w:val="0"/>
        <w:bidi w:val="0"/>
        <w:spacing w:line="360" w:lineRule="auto"/>
        <w:ind w:firstLine="435"/>
        <w:outlineLvl w:val="9"/>
        <w:rPr>
          <w:rFonts w:hint="eastAsia" w:ascii="宋体" w:hAnsi="宋体" w:eastAsia="宋体" w:cs="宋体"/>
          <w:color w:val="auto"/>
          <w:szCs w:val="21"/>
          <w:highlight w:val="none"/>
        </w:rPr>
      </w:pPr>
    </w:p>
    <w:p>
      <w:pPr>
        <w:keepNext w:val="0"/>
        <w:keepLines w:val="0"/>
        <w:pageBreakBefore w:val="0"/>
        <w:kinsoku/>
        <w:wordWrap/>
        <w:overflowPunct/>
        <w:topLinePunct w:val="0"/>
        <w:bidi w:val="0"/>
        <w:spacing w:line="360" w:lineRule="auto"/>
        <w:ind w:firstLine="435"/>
        <w:outlineLvl w:val="9"/>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日期：</w:t>
      </w:r>
    </w:p>
    <w:p>
      <w:pPr>
        <w:keepNext w:val="0"/>
        <w:keepLines w:val="0"/>
        <w:pageBreakBefore w:val="0"/>
        <w:tabs>
          <w:tab w:val="left" w:pos="2460"/>
        </w:tabs>
        <w:kinsoku/>
        <w:wordWrap/>
        <w:overflowPunct/>
        <w:topLinePunct w:val="0"/>
        <w:bidi w:val="0"/>
        <w:spacing w:line="360" w:lineRule="auto"/>
        <w:ind w:firstLine="435"/>
        <w:outlineLvl w:val="9"/>
        <w:rPr>
          <w:rFonts w:hint="eastAsia" w:ascii="宋体" w:hAnsi="宋体" w:eastAsia="宋体" w:cs="宋体"/>
          <w:b/>
          <w:color w:val="auto"/>
          <w:sz w:val="28"/>
          <w:highlight w:val="none"/>
        </w:rPr>
      </w:pPr>
    </w:p>
    <w:p>
      <w:pPr>
        <w:keepNext w:val="0"/>
        <w:keepLines w:val="0"/>
        <w:pageBreakBefore w:val="0"/>
        <w:tabs>
          <w:tab w:val="left" w:pos="2460"/>
        </w:tabs>
        <w:kinsoku/>
        <w:wordWrap/>
        <w:overflowPunct/>
        <w:topLinePunct w:val="0"/>
        <w:bidi w:val="0"/>
        <w:spacing w:line="360" w:lineRule="auto"/>
        <w:ind w:firstLine="435"/>
        <w:outlineLvl w:val="9"/>
        <w:rPr>
          <w:rFonts w:hint="eastAsia" w:ascii="宋体" w:hAnsi="宋体" w:eastAsia="宋体" w:cs="宋体"/>
          <w:b/>
          <w:color w:val="auto"/>
          <w:sz w:val="28"/>
          <w:highlight w:val="none"/>
        </w:rPr>
      </w:pPr>
    </w:p>
    <w:p>
      <w:pPr>
        <w:keepNext w:val="0"/>
        <w:keepLines w:val="0"/>
        <w:pageBreakBefore w:val="0"/>
        <w:tabs>
          <w:tab w:val="left" w:pos="2460"/>
        </w:tabs>
        <w:kinsoku/>
        <w:wordWrap/>
        <w:overflowPunct/>
        <w:topLinePunct w:val="0"/>
        <w:bidi w:val="0"/>
        <w:spacing w:line="360" w:lineRule="auto"/>
        <w:ind w:firstLine="435"/>
        <w:outlineLvl w:val="9"/>
        <w:rPr>
          <w:rFonts w:hint="eastAsia" w:ascii="宋体" w:hAnsi="宋体" w:eastAsia="宋体" w:cs="宋体"/>
          <w:b/>
          <w:color w:val="auto"/>
          <w:sz w:val="28"/>
          <w:highlight w:val="none"/>
        </w:rPr>
      </w:pPr>
    </w:p>
    <w:p>
      <w:pPr>
        <w:pStyle w:val="7"/>
        <w:keepNext w:val="0"/>
        <w:keepLines w:val="0"/>
        <w:pageBreakBefore w:val="0"/>
        <w:kinsoku/>
        <w:wordWrap/>
        <w:overflowPunct/>
        <w:topLinePunct w:val="0"/>
        <w:bidi w:val="0"/>
        <w:outlineLvl w:val="9"/>
        <w:rPr>
          <w:rFonts w:hint="eastAsia" w:ascii="宋体" w:hAnsi="宋体" w:eastAsia="宋体" w:cs="宋体"/>
          <w:b/>
          <w:color w:val="auto"/>
          <w:sz w:val="28"/>
          <w:highlight w:val="none"/>
        </w:rPr>
      </w:pPr>
    </w:p>
    <w:p>
      <w:pPr>
        <w:pStyle w:val="7"/>
        <w:keepNext w:val="0"/>
        <w:keepLines w:val="0"/>
        <w:pageBreakBefore w:val="0"/>
        <w:kinsoku/>
        <w:wordWrap/>
        <w:overflowPunct/>
        <w:topLinePunct w:val="0"/>
        <w:bidi w:val="0"/>
        <w:outlineLvl w:val="9"/>
        <w:rPr>
          <w:rFonts w:hint="eastAsia" w:ascii="宋体" w:hAnsi="宋体" w:eastAsia="宋体" w:cs="宋体"/>
          <w:b/>
          <w:color w:val="auto"/>
          <w:sz w:val="28"/>
          <w:highlight w:val="none"/>
        </w:rPr>
      </w:pPr>
    </w:p>
    <w:p>
      <w:pPr>
        <w:keepNext w:val="0"/>
        <w:keepLines w:val="0"/>
        <w:pageBreakBefore w:val="0"/>
        <w:tabs>
          <w:tab w:val="left" w:pos="2460"/>
        </w:tabs>
        <w:kinsoku/>
        <w:wordWrap/>
        <w:overflowPunct/>
        <w:topLinePunct w:val="0"/>
        <w:bidi w:val="0"/>
        <w:spacing w:line="360" w:lineRule="auto"/>
        <w:outlineLvl w:val="9"/>
        <w:rPr>
          <w:rFonts w:hint="eastAsia" w:ascii="宋体" w:hAnsi="宋体" w:eastAsia="宋体" w:cs="宋体"/>
          <w:b/>
          <w:color w:val="auto"/>
          <w:sz w:val="28"/>
          <w:highlight w:val="none"/>
        </w:rPr>
      </w:pPr>
    </w:p>
    <w:p>
      <w:pPr>
        <w:pStyle w:val="52"/>
        <w:keepNext w:val="0"/>
        <w:keepLines w:val="0"/>
        <w:pageBreakBefore w:val="0"/>
        <w:kinsoku/>
        <w:wordWrap/>
        <w:overflowPunct/>
        <w:topLinePunct w:val="0"/>
        <w:bidi w:val="0"/>
        <w:outlineLvl w:val="9"/>
        <w:rPr>
          <w:rFonts w:hint="eastAsia" w:ascii="宋体" w:hAnsi="宋体" w:eastAsia="宋体" w:cs="宋体"/>
          <w:color w:val="auto"/>
          <w:highlight w:val="none"/>
        </w:rPr>
      </w:pPr>
    </w:p>
    <w:p>
      <w:pPr>
        <w:keepNext w:val="0"/>
        <w:keepLines w:val="0"/>
        <w:pageBreakBefore w:val="0"/>
        <w:tabs>
          <w:tab w:val="left" w:pos="2460"/>
        </w:tabs>
        <w:kinsoku/>
        <w:wordWrap/>
        <w:overflowPunct/>
        <w:topLinePunct w:val="0"/>
        <w:bidi w:val="0"/>
        <w:spacing w:line="360" w:lineRule="auto"/>
        <w:outlineLvl w:val="9"/>
        <w:rPr>
          <w:rFonts w:hint="eastAsia" w:ascii="宋体" w:hAnsi="宋体" w:eastAsia="宋体" w:cs="宋体"/>
          <w:b/>
          <w:color w:val="auto"/>
          <w:sz w:val="28"/>
          <w:highlight w:val="none"/>
        </w:rPr>
      </w:pPr>
      <w:r>
        <w:rPr>
          <w:rFonts w:hint="eastAsia" w:ascii="宋体" w:hAnsi="宋体" w:eastAsia="宋体" w:cs="宋体"/>
          <w:b/>
          <w:color w:val="auto"/>
          <w:sz w:val="28"/>
          <w:highlight w:val="none"/>
        </w:rPr>
        <w:t>附件1</w:t>
      </w:r>
      <w:r>
        <w:rPr>
          <w:rFonts w:hint="eastAsia" w:ascii="宋体" w:hAnsi="宋体" w:eastAsia="宋体" w:cs="宋体"/>
          <w:b/>
          <w:color w:val="auto"/>
          <w:sz w:val="28"/>
          <w:highlight w:val="none"/>
          <w:lang w:val="en-US" w:eastAsia="zh-CN"/>
        </w:rPr>
        <w:t>3</w:t>
      </w:r>
      <w:r>
        <w:rPr>
          <w:rFonts w:hint="eastAsia" w:ascii="宋体" w:hAnsi="宋体" w:eastAsia="宋体" w:cs="宋体"/>
          <w:b/>
          <w:color w:val="auto"/>
          <w:sz w:val="28"/>
          <w:highlight w:val="none"/>
        </w:rPr>
        <w:tab/>
      </w:r>
    </w:p>
    <w:p>
      <w:pPr>
        <w:keepNext w:val="0"/>
        <w:keepLines w:val="0"/>
        <w:pageBreakBefore w:val="0"/>
        <w:kinsoku/>
        <w:wordWrap/>
        <w:overflowPunct/>
        <w:topLinePunct w:val="0"/>
        <w:bidi w:val="0"/>
        <w:spacing w:line="360" w:lineRule="auto"/>
        <w:ind w:firstLine="435"/>
        <w:jc w:val="center"/>
        <w:outlineLvl w:val="9"/>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售后服务情况表</w:t>
      </w:r>
    </w:p>
    <w:p>
      <w:pPr>
        <w:keepNext w:val="0"/>
        <w:keepLines w:val="0"/>
        <w:pageBreakBefore w:val="0"/>
        <w:kinsoku/>
        <w:wordWrap/>
        <w:overflowPunct/>
        <w:topLinePunct w:val="0"/>
        <w:bidi w:val="0"/>
        <w:spacing w:line="360" w:lineRule="auto"/>
        <w:ind w:firstLine="435"/>
        <w:jc w:val="center"/>
        <w:outlineLvl w:val="9"/>
        <w:rPr>
          <w:rFonts w:hint="eastAsia" w:ascii="宋体" w:hAnsi="宋体" w:eastAsia="宋体" w:cs="宋体"/>
          <w:b/>
          <w:color w:val="auto"/>
          <w:sz w:val="36"/>
          <w:szCs w:val="36"/>
          <w:highlight w:val="none"/>
        </w:rPr>
      </w:pPr>
    </w:p>
    <w:tbl>
      <w:tblPr>
        <w:tblStyle w:val="22"/>
        <w:tblW w:w="8528"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39"/>
        <w:gridCol w:w="2355"/>
        <w:gridCol w:w="4061"/>
        <w:gridCol w:w="1373"/>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18" w:hRule="atLeast"/>
          <w:jc w:val="center"/>
        </w:trPr>
        <w:tc>
          <w:tcPr>
            <w:tcW w:w="739" w:type="dxa"/>
            <w:tcBorders>
              <w:top w:val="single" w:color="auto" w:sz="4" w:space="0"/>
            </w:tcBorders>
            <w:vAlign w:val="center"/>
          </w:tcPr>
          <w:p>
            <w:pPr>
              <w:pStyle w:val="45"/>
              <w:keepNext w:val="0"/>
              <w:keepLines w:val="0"/>
              <w:pageBreakBefore w:val="0"/>
              <w:kinsoku/>
              <w:wordWrap/>
              <w:overflowPunct/>
              <w:topLinePunct w:val="0"/>
              <w:bidi w:val="0"/>
              <w:spacing w:line="360" w:lineRule="auto"/>
              <w:jc w:val="center"/>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序号</w:t>
            </w:r>
          </w:p>
        </w:tc>
        <w:tc>
          <w:tcPr>
            <w:tcW w:w="2355" w:type="dxa"/>
            <w:tcBorders>
              <w:top w:val="single" w:color="auto" w:sz="4" w:space="0"/>
            </w:tcBorders>
            <w:vAlign w:val="center"/>
          </w:tcPr>
          <w:p>
            <w:pPr>
              <w:pStyle w:val="45"/>
              <w:keepNext w:val="0"/>
              <w:keepLines w:val="0"/>
              <w:pageBreakBefore w:val="0"/>
              <w:kinsoku/>
              <w:wordWrap/>
              <w:overflowPunct/>
              <w:topLinePunct w:val="0"/>
              <w:bidi w:val="0"/>
              <w:spacing w:line="360" w:lineRule="auto"/>
              <w:jc w:val="center"/>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项目</w:t>
            </w:r>
          </w:p>
        </w:tc>
        <w:tc>
          <w:tcPr>
            <w:tcW w:w="4061" w:type="dxa"/>
            <w:tcBorders>
              <w:top w:val="single" w:color="auto" w:sz="4" w:space="0"/>
            </w:tcBorders>
            <w:vAlign w:val="center"/>
          </w:tcPr>
          <w:p>
            <w:pPr>
              <w:pStyle w:val="45"/>
              <w:keepNext w:val="0"/>
              <w:keepLines w:val="0"/>
              <w:pageBreakBefore w:val="0"/>
              <w:kinsoku/>
              <w:wordWrap/>
              <w:overflowPunct/>
              <w:topLinePunct w:val="0"/>
              <w:bidi w:val="0"/>
              <w:spacing w:line="360" w:lineRule="auto"/>
              <w:jc w:val="center"/>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投标人情况</w:t>
            </w:r>
          </w:p>
        </w:tc>
        <w:tc>
          <w:tcPr>
            <w:tcW w:w="1373" w:type="dxa"/>
            <w:tcBorders>
              <w:top w:val="single" w:color="auto" w:sz="4" w:space="0"/>
            </w:tcBorders>
            <w:vAlign w:val="center"/>
          </w:tcPr>
          <w:p>
            <w:pPr>
              <w:pStyle w:val="45"/>
              <w:keepNext w:val="0"/>
              <w:keepLines w:val="0"/>
              <w:pageBreakBefore w:val="0"/>
              <w:kinsoku/>
              <w:wordWrap/>
              <w:overflowPunct/>
              <w:topLinePunct w:val="0"/>
              <w:bidi w:val="0"/>
              <w:spacing w:line="360" w:lineRule="auto"/>
              <w:jc w:val="center"/>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392" w:hRule="atLeast"/>
          <w:jc w:val="center"/>
        </w:trPr>
        <w:tc>
          <w:tcPr>
            <w:tcW w:w="739" w:type="dxa"/>
            <w:vAlign w:val="center"/>
          </w:tcPr>
          <w:p>
            <w:pPr>
              <w:pStyle w:val="45"/>
              <w:keepNext w:val="0"/>
              <w:keepLines w:val="0"/>
              <w:pageBreakBefore w:val="0"/>
              <w:kinsoku/>
              <w:wordWrap/>
              <w:overflowPunct/>
              <w:topLinePunct w:val="0"/>
              <w:bidi w:val="0"/>
              <w:spacing w:line="360" w:lineRule="auto"/>
              <w:jc w:val="center"/>
              <w:outlineLvl w:val="9"/>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1</w:t>
            </w:r>
          </w:p>
        </w:tc>
        <w:tc>
          <w:tcPr>
            <w:tcW w:w="2355" w:type="dxa"/>
            <w:vAlign w:val="center"/>
          </w:tcPr>
          <w:p>
            <w:pPr>
              <w:pStyle w:val="45"/>
              <w:widowControl/>
              <w:spacing w:line="360" w:lineRule="auto"/>
              <w:jc w:val="left"/>
              <w:rPr>
                <w:rFonts w:hint="eastAsia" w:ascii="宋体" w:hAnsi="宋体" w:eastAsia="宋体" w:cs="宋体"/>
                <w:bCs/>
                <w:color w:val="auto"/>
                <w:szCs w:val="21"/>
                <w:highlight w:val="none"/>
              </w:rPr>
            </w:pPr>
            <w:r>
              <w:rPr>
                <w:rFonts w:hint="eastAsia" w:ascii="宋体" w:hAnsi="宋体" w:eastAsia="宋体" w:cs="宋体"/>
                <w:bCs/>
                <w:color w:val="auto"/>
                <w:sz w:val="21"/>
                <w:szCs w:val="21"/>
                <w:highlight w:val="none"/>
              </w:rPr>
              <w:t>质保期</w:t>
            </w:r>
            <w:r>
              <w:rPr>
                <w:rFonts w:hint="eastAsia" w:ascii="宋体" w:hAnsi="宋体" w:eastAsia="宋体" w:cs="宋体"/>
                <w:bCs/>
                <w:color w:val="auto"/>
                <w:sz w:val="21"/>
                <w:szCs w:val="21"/>
                <w:highlight w:val="none"/>
                <w:lang w:val="en-US" w:eastAsia="zh-CN"/>
              </w:rPr>
              <w:t>内</w:t>
            </w:r>
            <w:r>
              <w:rPr>
                <w:rFonts w:hint="eastAsia" w:ascii="宋体" w:hAnsi="宋体" w:eastAsia="宋体" w:cs="宋体"/>
                <w:bCs/>
                <w:color w:val="auto"/>
                <w:sz w:val="21"/>
                <w:szCs w:val="21"/>
                <w:highlight w:val="none"/>
              </w:rPr>
              <w:t>售后服务情况(服务方式、服务网点、售后服务的内容和措施等等，可用附页和宣传材料)</w:t>
            </w:r>
          </w:p>
        </w:tc>
        <w:tc>
          <w:tcPr>
            <w:tcW w:w="4061" w:type="dxa"/>
          </w:tcPr>
          <w:p>
            <w:pPr>
              <w:pStyle w:val="45"/>
              <w:keepNext w:val="0"/>
              <w:keepLines w:val="0"/>
              <w:pageBreakBefore w:val="0"/>
              <w:kinsoku/>
              <w:wordWrap/>
              <w:overflowPunct/>
              <w:topLinePunct w:val="0"/>
              <w:bidi w:val="0"/>
              <w:spacing w:line="360" w:lineRule="auto"/>
              <w:outlineLvl w:val="9"/>
              <w:rPr>
                <w:rFonts w:hint="eastAsia" w:ascii="宋体" w:hAnsi="宋体" w:eastAsia="宋体" w:cs="宋体"/>
                <w:bCs/>
                <w:color w:val="auto"/>
                <w:szCs w:val="21"/>
                <w:highlight w:val="none"/>
              </w:rPr>
            </w:pPr>
          </w:p>
        </w:tc>
        <w:tc>
          <w:tcPr>
            <w:tcW w:w="1373" w:type="dxa"/>
          </w:tcPr>
          <w:p>
            <w:pPr>
              <w:pStyle w:val="45"/>
              <w:keepNext w:val="0"/>
              <w:keepLines w:val="0"/>
              <w:pageBreakBefore w:val="0"/>
              <w:kinsoku/>
              <w:wordWrap/>
              <w:overflowPunct/>
              <w:topLinePunct w:val="0"/>
              <w:bidi w:val="0"/>
              <w:spacing w:line="360" w:lineRule="auto"/>
              <w:outlineLvl w:val="9"/>
              <w:rPr>
                <w:rFonts w:hint="eastAsia" w:ascii="宋体" w:hAnsi="宋体" w:eastAsia="宋体" w:cs="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957" w:hRule="exact"/>
          <w:jc w:val="center"/>
        </w:trPr>
        <w:tc>
          <w:tcPr>
            <w:tcW w:w="739" w:type="dxa"/>
            <w:vAlign w:val="center"/>
          </w:tcPr>
          <w:p>
            <w:pPr>
              <w:pStyle w:val="45"/>
              <w:keepNext w:val="0"/>
              <w:keepLines w:val="0"/>
              <w:pageBreakBefore w:val="0"/>
              <w:kinsoku/>
              <w:wordWrap/>
              <w:overflowPunct/>
              <w:topLinePunct w:val="0"/>
              <w:bidi w:val="0"/>
              <w:spacing w:line="360" w:lineRule="auto"/>
              <w:jc w:val="center"/>
              <w:outlineLvl w:val="9"/>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2</w:t>
            </w:r>
          </w:p>
        </w:tc>
        <w:tc>
          <w:tcPr>
            <w:tcW w:w="2355" w:type="dxa"/>
            <w:vAlign w:val="center"/>
          </w:tcPr>
          <w:p>
            <w:pPr>
              <w:pStyle w:val="45"/>
              <w:spacing w:line="360" w:lineRule="auto"/>
              <w:rPr>
                <w:rFonts w:hint="eastAsia" w:ascii="宋体" w:hAnsi="宋体" w:eastAsia="宋体" w:cs="宋体"/>
                <w:bCs/>
                <w:color w:val="auto"/>
                <w:szCs w:val="21"/>
                <w:highlight w:val="none"/>
              </w:rPr>
            </w:pPr>
            <w:r>
              <w:rPr>
                <w:rFonts w:hint="eastAsia" w:ascii="宋体" w:hAnsi="宋体" w:eastAsia="宋体" w:cs="宋体"/>
                <w:bCs/>
                <w:color w:val="auto"/>
                <w:sz w:val="21"/>
                <w:szCs w:val="21"/>
                <w:highlight w:val="none"/>
              </w:rPr>
              <w:t>质保期后售后服务</w:t>
            </w:r>
          </w:p>
        </w:tc>
        <w:tc>
          <w:tcPr>
            <w:tcW w:w="4061" w:type="dxa"/>
          </w:tcPr>
          <w:p>
            <w:pPr>
              <w:pStyle w:val="45"/>
              <w:keepNext w:val="0"/>
              <w:keepLines w:val="0"/>
              <w:pageBreakBefore w:val="0"/>
              <w:widowControl/>
              <w:kinsoku/>
              <w:wordWrap/>
              <w:overflowPunct/>
              <w:topLinePunct w:val="0"/>
              <w:bidi w:val="0"/>
              <w:spacing w:line="360" w:lineRule="auto"/>
              <w:jc w:val="left"/>
              <w:outlineLvl w:val="9"/>
              <w:rPr>
                <w:rFonts w:hint="eastAsia" w:ascii="宋体" w:hAnsi="宋体" w:eastAsia="宋体" w:cs="宋体"/>
                <w:bCs/>
                <w:color w:val="auto"/>
                <w:szCs w:val="21"/>
                <w:highlight w:val="none"/>
              </w:rPr>
            </w:pPr>
          </w:p>
          <w:p>
            <w:pPr>
              <w:pStyle w:val="45"/>
              <w:keepNext w:val="0"/>
              <w:keepLines w:val="0"/>
              <w:pageBreakBefore w:val="0"/>
              <w:widowControl/>
              <w:kinsoku/>
              <w:wordWrap/>
              <w:overflowPunct/>
              <w:topLinePunct w:val="0"/>
              <w:bidi w:val="0"/>
              <w:spacing w:line="360" w:lineRule="auto"/>
              <w:jc w:val="left"/>
              <w:outlineLvl w:val="9"/>
              <w:rPr>
                <w:rFonts w:hint="eastAsia" w:ascii="宋体" w:hAnsi="宋体" w:eastAsia="宋体" w:cs="宋体"/>
                <w:bCs/>
                <w:color w:val="auto"/>
                <w:szCs w:val="21"/>
                <w:highlight w:val="none"/>
              </w:rPr>
            </w:pPr>
          </w:p>
          <w:p>
            <w:pPr>
              <w:pStyle w:val="45"/>
              <w:keepNext w:val="0"/>
              <w:keepLines w:val="0"/>
              <w:pageBreakBefore w:val="0"/>
              <w:kinsoku/>
              <w:wordWrap/>
              <w:overflowPunct/>
              <w:topLinePunct w:val="0"/>
              <w:bidi w:val="0"/>
              <w:spacing w:line="360" w:lineRule="auto"/>
              <w:outlineLvl w:val="9"/>
              <w:rPr>
                <w:rFonts w:hint="eastAsia" w:ascii="宋体" w:hAnsi="宋体" w:eastAsia="宋体" w:cs="宋体"/>
                <w:bCs/>
                <w:color w:val="auto"/>
                <w:szCs w:val="21"/>
                <w:highlight w:val="none"/>
              </w:rPr>
            </w:pPr>
          </w:p>
        </w:tc>
        <w:tc>
          <w:tcPr>
            <w:tcW w:w="1373" w:type="dxa"/>
          </w:tcPr>
          <w:p>
            <w:pPr>
              <w:pStyle w:val="45"/>
              <w:keepNext w:val="0"/>
              <w:keepLines w:val="0"/>
              <w:pageBreakBefore w:val="0"/>
              <w:widowControl/>
              <w:kinsoku/>
              <w:wordWrap/>
              <w:overflowPunct/>
              <w:topLinePunct w:val="0"/>
              <w:bidi w:val="0"/>
              <w:spacing w:line="360" w:lineRule="auto"/>
              <w:jc w:val="left"/>
              <w:outlineLvl w:val="9"/>
              <w:rPr>
                <w:rFonts w:hint="eastAsia" w:ascii="宋体" w:hAnsi="宋体" w:eastAsia="宋体" w:cs="宋体"/>
                <w:bCs/>
                <w:color w:val="auto"/>
                <w:szCs w:val="21"/>
                <w:highlight w:val="none"/>
              </w:rPr>
            </w:pPr>
          </w:p>
          <w:p>
            <w:pPr>
              <w:pStyle w:val="45"/>
              <w:keepNext w:val="0"/>
              <w:keepLines w:val="0"/>
              <w:pageBreakBefore w:val="0"/>
              <w:widowControl/>
              <w:kinsoku/>
              <w:wordWrap/>
              <w:overflowPunct/>
              <w:topLinePunct w:val="0"/>
              <w:bidi w:val="0"/>
              <w:spacing w:line="360" w:lineRule="auto"/>
              <w:jc w:val="left"/>
              <w:outlineLvl w:val="9"/>
              <w:rPr>
                <w:rFonts w:hint="eastAsia" w:ascii="宋体" w:hAnsi="宋体" w:eastAsia="宋体" w:cs="宋体"/>
                <w:bCs/>
                <w:color w:val="auto"/>
                <w:szCs w:val="21"/>
                <w:highlight w:val="none"/>
              </w:rPr>
            </w:pPr>
          </w:p>
          <w:p>
            <w:pPr>
              <w:pStyle w:val="45"/>
              <w:keepNext w:val="0"/>
              <w:keepLines w:val="0"/>
              <w:pageBreakBefore w:val="0"/>
              <w:kinsoku/>
              <w:wordWrap/>
              <w:overflowPunct/>
              <w:topLinePunct w:val="0"/>
              <w:bidi w:val="0"/>
              <w:spacing w:line="360" w:lineRule="auto"/>
              <w:outlineLvl w:val="9"/>
              <w:rPr>
                <w:rFonts w:hint="eastAsia" w:ascii="宋体" w:hAnsi="宋体" w:eastAsia="宋体" w:cs="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620" w:hRule="exact"/>
          <w:jc w:val="center"/>
        </w:trPr>
        <w:tc>
          <w:tcPr>
            <w:tcW w:w="739" w:type="dxa"/>
            <w:vAlign w:val="center"/>
          </w:tcPr>
          <w:p>
            <w:pPr>
              <w:pStyle w:val="45"/>
              <w:keepNext w:val="0"/>
              <w:keepLines w:val="0"/>
              <w:pageBreakBefore w:val="0"/>
              <w:widowControl/>
              <w:kinsoku/>
              <w:wordWrap/>
              <w:overflowPunct/>
              <w:topLinePunct w:val="0"/>
              <w:bidi w:val="0"/>
              <w:spacing w:line="360" w:lineRule="auto"/>
              <w:jc w:val="left"/>
              <w:outlineLvl w:val="9"/>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 xml:space="preserve"> 3</w:t>
            </w:r>
          </w:p>
        </w:tc>
        <w:tc>
          <w:tcPr>
            <w:tcW w:w="2355" w:type="dxa"/>
            <w:vAlign w:val="center"/>
          </w:tcPr>
          <w:p>
            <w:pPr>
              <w:pStyle w:val="45"/>
              <w:keepNext w:val="0"/>
              <w:keepLines w:val="0"/>
              <w:pageBreakBefore w:val="0"/>
              <w:widowControl/>
              <w:kinsoku/>
              <w:wordWrap/>
              <w:overflowPunct/>
              <w:topLinePunct w:val="0"/>
              <w:bidi w:val="0"/>
              <w:spacing w:line="360" w:lineRule="auto"/>
              <w:jc w:val="left"/>
              <w:outlineLvl w:val="9"/>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培训方案（可用附页）</w:t>
            </w:r>
          </w:p>
        </w:tc>
        <w:tc>
          <w:tcPr>
            <w:tcW w:w="4061" w:type="dxa"/>
          </w:tcPr>
          <w:p>
            <w:pPr>
              <w:pStyle w:val="45"/>
              <w:keepNext w:val="0"/>
              <w:keepLines w:val="0"/>
              <w:pageBreakBefore w:val="0"/>
              <w:widowControl/>
              <w:kinsoku/>
              <w:wordWrap/>
              <w:overflowPunct/>
              <w:topLinePunct w:val="0"/>
              <w:bidi w:val="0"/>
              <w:spacing w:line="360" w:lineRule="auto"/>
              <w:jc w:val="left"/>
              <w:outlineLvl w:val="9"/>
              <w:rPr>
                <w:rFonts w:hint="eastAsia" w:ascii="宋体" w:hAnsi="宋体" w:eastAsia="宋体" w:cs="宋体"/>
                <w:bCs/>
                <w:i/>
                <w:color w:val="auto"/>
                <w:szCs w:val="21"/>
                <w:highlight w:val="none"/>
              </w:rPr>
            </w:pPr>
          </w:p>
          <w:p>
            <w:pPr>
              <w:pStyle w:val="45"/>
              <w:keepNext w:val="0"/>
              <w:keepLines w:val="0"/>
              <w:pageBreakBefore w:val="0"/>
              <w:widowControl/>
              <w:kinsoku/>
              <w:wordWrap/>
              <w:overflowPunct/>
              <w:topLinePunct w:val="0"/>
              <w:bidi w:val="0"/>
              <w:spacing w:line="360" w:lineRule="auto"/>
              <w:jc w:val="left"/>
              <w:outlineLvl w:val="9"/>
              <w:rPr>
                <w:rFonts w:hint="eastAsia" w:ascii="宋体" w:hAnsi="宋体" w:eastAsia="宋体" w:cs="宋体"/>
                <w:bCs/>
                <w:i/>
                <w:color w:val="auto"/>
                <w:szCs w:val="21"/>
                <w:highlight w:val="none"/>
              </w:rPr>
            </w:pPr>
          </w:p>
        </w:tc>
        <w:tc>
          <w:tcPr>
            <w:tcW w:w="1373" w:type="dxa"/>
          </w:tcPr>
          <w:p>
            <w:pPr>
              <w:pStyle w:val="45"/>
              <w:keepNext w:val="0"/>
              <w:keepLines w:val="0"/>
              <w:pageBreakBefore w:val="0"/>
              <w:widowControl/>
              <w:kinsoku/>
              <w:wordWrap/>
              <w:overflowPunct/>
              <w:topLinePunct w:val="0"/>
              <w:bidi w:val="0"/>
              <w:spacing w:line="360" w:lineRule="auto"/>
              <w:jc w:val="left"/>
              <w:outlineLvl w:val="9"/>
              <w:rPr>
                <w:rFonts w:hint="eastAsia" w:ascii="宋体" w:hAnsi="宋体" w:eastAsia="宋体" w:cs="宋体"/>
                <w:bCs/>
                <w:i/>
                <w:color w:val="auto"/>
                <w:szCs w:val="21"/>
                <w:highlight w:val="none"/>
              </w:rPr>
            </w:pPr>
          </w:p>
          <w:p>
            <w:pPr>
              <w:pStyle w:val="45"/>
              <w:keepNext w:val="0"/>
              <w:keepLines w:val="0"/>
              <w:pageBreakBefore w:val="0"/>
              <w:widowControl/>
              <w:kinsoku/>
              <w:wordWrap/>
              <w:overflowPunct/>
              <w:topLinePunct w:val="0"/>
              <w:bidi w:val="0"/>
              <w:spacing w:line="360" w:lineRule="auto"/>
              <w:jc w:val="left"/>
              <w:outlineLvl w:val="9"/>
              <w:rPr>
                <w:rFonts w:hint="eastAsia" w:ascii="宋体" w:hAnsi="宋体" w:eastAsia="宋体" w:cs="宋体"/>
                <w:bCs/>
                <w:i/>
                <w:color w:val="auto"/>
                <w:szCs w:val="21"/>
                <w:highlight w:val="none"/>
              </w:rPr>
            </w:pPr>
          </w:p>
          <w:p>
            <w:pPr>
              <w:pStyle w:val="45"/>
              <w:keepNext w:val="0"/>
              <w:keepLines w:val="0"/>
              <w:pageBreakBefore w:val="0"/>
              <w:widowControl/>
              <w:kinsoku/>
              <w:wordWrap/>
              <w:overflowPunct/>
              <w:topLinePunct w:val="0"/>
              <w:bidi w:val="0"/>
              <w:spacing w:line="360" w:lineRule="auto"/>
              <w:jc w:val="left"/>
              <w:outlineLvl w:val="9"/>
              <w:rPr>
                <w:rFonts w:hint="eastAsia" w:ascii="宋体" w:hAnsi="宋体" w:eastAsia="宋体" w:cs="宋体"/>
                <w:bCs/>
                <w:i/>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89" w:hRule="exact"/>
          <w:jc w:val="center"/>
        </w:trPr>
        <w:tc>
          <w:tcPr>
            <w:tcW w:w="739" w:type="dxa"/>
            <w:tcBorders>
              <w:bottom w:val="single" w:color="auto" w:sz="4" w:space="0"/>
            </w:tcBorders>
            <w:vAlign w:val="center"/>
          </w:tcPr>
          <w:p>
            <w:pPr>
              <w:pStyle w:val="45"/>
              <w:keepNext w:val="0"/>
              <w:keepLines w:val="0"/>
              <w:pageBreakBefore w:val="0"/>
              <w:widowControl/>
              <w:kinsoku/>
              <w:wordWrap/>
              <w:overflowPunct/>
              <w:topLinePunct w:val="0"/>
              <w:bidi w:val="0"/>
              <w:spacing w:line="360" w:lineRule="auto"/>
              <w:jc w:val="left"/>
              <w:outlineLvl w:val="9"/>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w:t>
            </w:r>
          </w:p>
        </w:tc>
        <w:tc>
          <w:tcPr>
            <w:tcW w:w="2355" w:type="dxa"/>
            <w:tcBorders>
              <w:bottom w:val="single" w:color="auto" w:sz="4" w:space="0"/>
            </w:tcBorders>
            <w:vAlign w:val="center"/>
          </w:tcPr>
          <w:p>
            <w:pPr>
              <w:pStyle w:val="45"/>
              <w:keepNext w:val="0"/>
              <w:keepLines w:val="0"/>
              <w:pageBreakBefore w:val="0"/>
              <w:widowControl/>
              <w:kinsoku/>
              <w:wordWrap/>
              <w:overflowPunct/>
              <w:topLinePunct w:val="0"/>
              <w:bidi w:val="0"/>
              <w:spacing w:line="360" w:lineRule="auto"/>
              <w:jc w:val="left"/>
              <w:outlineLvl w:val="9"/>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w:t>
            </w:r>
          </w:p>
        </w:tc>
        <w:tc>
          <w:tcPr>
            <w:tcW w:w="4061" w:type="dxa"/>
            <w:tcBorders>
              <w:bottom w:val="single" w:color="auto" w:sz="4" w:space="0"/>
            </w:tcBorders>
          </w:tcPr>
          <w:p>
            <w:pPr>
              <w:pStyle w:val="45"/>
              <w:keepNext w:val="0"/>
              <w:keepLines w:val="0"/>
              <w:pageBreakBefore w:val="0"/>
              <w:widowControl/>
              <w:kinsoku/>
              <w:wordWrap/>
              <w:overflowPunct/>
              <w:topLinePunct w:val="0"/>
              <w:bidi w:val="0"/>
              <w:spacing w:line="360" w:lineRule="auto"/>
              <w:jc w:val="left"/>
              <w:outlineLvl w:val="9"/>
              <w:rPr>
                <w:rFonts w:hint="eastAsia" w:ascii="宋体" w:hAnsi="宋体" w:eastAsia="宋体" w:cs="宋体"/>
                <w:bCs/>
                <w:color w:val="auto"/>
                <w:szCs w:val="21"/>
                <w:highlight w:val="none"/>
              </w:rPr>
            </w:pPr>
          </w:p>
        </w:tc>
        <w:tc>
          <w:tcPr>
            <w:tcW w:w="1373" w:type="dxa"/>
            <w:tcBorders>
              <w:bottom w:val="single" w:color="auto" w:sz="4" w:space="0"/>
            </w:tcBorders>
          </w:tcPr>
          <w:p>
            <w:pPr>
              <w:pStyle w:val="45"/>
              <w:keepNext w:val="0"/>
              <w:keepLines w:val="0"/>
              <w:pageBreakBefore w:val="0"/>
              <w:widowControl/>
              <w:kinsoku/>
              <w:wordWrap/>
              <w:overflowPunct/>
              <w:topLinePunct w:val="0"/>
              <w:bidi w:val="0"/>
              <w:spacing w:line="360" w:lineRule="auto"/>
              <w:jc w:val="left"/>
              <w:outlineLvl w:val="9"/>
              <w:rPr>
                <w:rFonts w:hint="eastAsia" w:ascii="宋体" w:hAnsi="宋体" w:eastAsia="宋体" w:cs="宋体"/>
                <w:bCs/>
                <w:color w:val="auto"/>
                <w:szCs w:val="21"/>
                <w:highlight w:val="none"/>
              </w:rPr>
            </w:pPr>
          </w:p>
        </w:tc>
      </w:tr>
    </w:tbl>
    <w:p>
      <w:pPr>
        <w:keepNext w:val="0"/>
        <w:keepLines w:val="0"/>
        <w:pageBreakBefore w:val="0"/>
        <w:kinsoku/>
        <w:wordWrap/>
        <w:overflowPunct/>
        <w:topLinePunct w:val="0"/>
        <w:bidi w:val="0"/>
        <w:spacing w:line="360" w:lineRule="auto"/>
        <w:ind w:left="420"/>
        <w:outlineLvl w:val="9"/>
        <w:rPr>
          <w:rFonts w:hint="eastAsia" w:ascii="宋体" w:hAnsi="宋体" w:eastAsia="宋体" w:cs="宋体"/>
          <w:color w:val="auto"/>
          <w:szCs w:val="21"/>
          <w:highlight w:val="none"/>
        </w:rPr>
      </w:pPr>
    </w:p>
    <w:p>
      <w:pPr>
        <w:keepNext w:val="0"/>
        <w:keepLines w:val="0"/>
        <w:pageBreakBefore w:val="0"/>
        <w:kinsoku/>
        <w:wordWrap/>
        <w:overflowPunct/>
        <w:topLinePunct w:val="0"/>
        <w:bidi w:val="0"/>
        <w:spacing w:line="360" w:lineRule="auto"/>
        <w:ind w:left="420"/>
        <w:outlineLvl w:val="9"/>
        <w:rPr>
          <w:rFonts w:hint="eastAsia" w:ascii="宋体" w:hAnsi="宋体" w:eastAsia="宋体" w:cs="宋体"/>
          <w:color w:val="auto"/>
          <w:szCs w:val="21"/>
          <w:highlight w:val="none"/>
        </w:rPr>
      </w:pPr>
    </w:p>
    <w:p>
      <w:pPr>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p>
      <w:pPr>
        <w:keepNext w:val="0"/>
        <w:keepLines w:val="0"/>
        <w:pageBreakBefore w:val="0"/>
        <w:kinsoku/>
        <w:wordWrap/>
        <w:overflowPunct/>
        <w:topLinePunct w:val="0"/>
        <w:bidi w:val="0"/>
        <w:spacing w:line="360" w:lineRule="auto"/>
        <w:ind w:left="420"/>
        <w:outlineLvl w:val="9"/>
        <w:rPr>
          <w:rFonts w:hint="eastAsia" w:ascii="宋体" w:hAnsi="宋体" w:eastAsia="宋体" w:cs="宋体"/>
          <w:color w:val="auto"/>
          <w:szCs w:val="21"/>
          <w:highlight w:val="none"/>
        </w:rPr>
      </w:pPr>
    </w:p>
    <w:p>
      <w:pPr>
        <w:keepNext w:val="0"/>
        <w:keepLines w:val="0"/>
        <w:pageBreakBefore w:val="0"/>
        <w:kinsoku/>
        <w:wordWrap/>
        <w:overflowPunct/>
        <w:topLinePunct w:val="0"/>
        <w:bidi w:val="0"/>
        <w:spacing w:line="360" w:lineRule="auto"/>
        <w:ind w:left="420"/>
        <w:outlineLvl w:val="9"/>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投标人名称（盖章）：</w:t>
      </w:r>
    </w:p>
    <w:p>
      <w:pPr>
        <w:keepNext w:val="0"/>
        <w:keepLines w:val="0"/>
        <w:pageBreakBefore w:val="0"/>
        <w:kinsoku/>
        <w:wordWrap/>
        <w:overflowPunct/>
        <w:topLinePunct w:val="0"/>
        <w:bidi w:val="0"/>
        <w:spacing w:line="360" w:lineRule="auto"/>
        <w:ind w:left="420"/>
        <w:outlineLvl w:val="9"/>
        <w:rPr>
          <w:rFonts w:hint="eastAsia" w:ascii="宋体" w:hAnsi="宋体" w:eastAsia="宋体" w:cs="宋体"/>
          <w:color w:val="auto"/>
          <w:szCs w:val="21"/>
          <w:highlight w:val="none"/>
        </w:rPr>
      </w:pPr>
    </w:p>
    <w:p>
      <w:pPr>
        <w:keepNext w:val="0"/>
        <w:keepLines w:val="0"/>
        <w:pageBreakBefore w:val="0"/>
        <w:kinsoku/>
        <w:wordWrap/>
        <w:overflowPunct/>
        <w:topLinePunct w:val="0"/>
        <w:bidi w:val="0"/>
        <w:spacing w:line="360" w:lineRule="auto"/>
        <w:ind w:firstLine="435"/>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法定代表人或授权委托代理人（签字或盖章）：</w:t>
      </w:r>
    </w:p>
    <w:p>
      <w:pPr>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p>
      <w:pPr>
        <w:keepNext w:val="0"/>
        <w:keepLines w:val="0"/>
        <w:pageBreakBefore w:val="0"/>
        <w:kinsoku/>
        <w:wordWrap/>
        <w:overflowPunct/>
        <w:topLinePunct w:val="0"/>
        <w:bidi w:val="0"/>
        <w:spacing w:line="360" w:lineRule="auto"/>
        <w:ind w:firstLine="435"/>
        <w:outlineLvl w:val="9"/>
        <w:rPr>
          <w:rFonts w:hint="eastAsia" w:ascii="宋体" w:hAnsi="宋体" w:eastAsia="宋体" w:cs="宋体"/>
          <w:color w:val="auto"/>
          <w:sz w:val="24"/>
          <w:highlight w:val="none"/>
          <w:u w:val="single"/>
        </w:rPr>
      </w:pPr>
      <w:r>
        <w:rPr>
          <w:rFonts w:hint="eastAsia" w:ascii="宋体" w:hAnsi="宋体" w:eastAsia="宋体" w:cs="宋体"/>
          <w:color w:val="auto"/>
          <w:szCs w:val="21"/>
          <w:highlight w:val="none"/>
        </w:rPr>
        <w:t>日期：</w:t>
      </w:r>
    </w:p>
    <w:p>
      <w:pPr>
        <w:keepNext w:val="0"/>
        <w:keepLines w:val="0"/>
        <w:pageBreakBefore w:val="0"/>
        <w:kinsoku/>
        <w:wordWrap/>
        <w:overflowPunct/>
        <w:topLinePunct w:val="0"/>
        <w:bidi w:val="0"/>
        <w:spacing w:line="360" w:lineRule="auto"/>
        <w:ind w:firstLine="435"/>
        <w:outlineLvl w:val="9"/>
        <w:rPr>
          <w:rFonts w:hint="eastAsia" w:ascii="宋体" w:hAnsi="宋体" w:eastAsia="宋体" w:cs="宋体"/>
          <w:color w:val="auto"/>
          <w:sz w:val="24"/>
          <w:highlight w:val="none"/>
          <w:u w:val="single"/>
        </w:rPr>
      </w:pPr>
    </w:p>
    <w:p>
      <w:pPr>
        <w:pStyle w:val="46"/>
        <w:keepNext w:val="0"/>
        <w:keepLines w:val="0"/>
        <w:pageBreakBefore w:val="0"/>
        <w:kinsoku/>
        <w:wordWrap/>
        <w:overflowPunct/>
        <w:topLinePunct w:val="0"/>
        <w:bidi w:val="0"/>
        <w:spacing w:line="360" w:lineRule="auto"/>
        <w:outlineLvl w:val="9"/>
        <w:rPr>
          <w:rFonts w:hint="eastAsia" w:ascii="宋体" w:hAnsi="宋体" w:eastAsia="宋体" w:cs="宋体"/>
          <w:b/>
          <w:color w:val="auto"/>
          <w:sz w:val="28"/>
          <w:szCs w:val="28"/>
          <w:highlight w:val="none"/>
        </w:rPr>
      </w:pPr>
    </w:p>
    <w:p>
      <w:pPr>
        <w:keepNext w:val="0"/>
        <w:keepLines w:val="0"/>
        <w:pageBreakBefore w:val="0"/>
        <w:kinsoku/>
        <w:wordWrap/>
        <w:overflowPunct/>
        <w:topLinePunct w:val="0"/>
        <w:bidi w:val="0"/>
        <w:spacing w:line="360" w:lineRule="auto"/>
        <w:ind w:right="-110"/>
        <w:jc w:val="left"/>
        <w:outlineLvl w:val="9"/>
        <w:rPr>
          <w:rFonts w:hint="eastAsia" w:ascii="宋体" w:hAnsi="宋体" w:eastAsia="宋体" w:cs="宋体"/>
          <w:b/>
          <w:color w:val="auto"/>
          <w:sz w:val="28"/>
          <w:highlight w:val="none"/>
        </w:rPr>
      </w:pPr>
    </w:p>
    <w:p>
      <w:pPr>
        <w:keepNext w:val="0"/>
        <w:keepLines w:val="0"/>
        <w:pageBreakBefore w:val="0"/>
        <w:kinsoku/>
        <w:wordWrap/>
        <w:overflowPunct/>
        <w:topLinePunct w:val="0"/>
        <w:bidi w:val="0"/>
        <w:spacing w:line="360" w:lineRule="auto"/>
        <w:ind w:right="-110"/>
        <w:jc w:val="left"/>
        <w:outlineLvl w:val="9"/>
        <w:rPr>
          <w:rFonts w:hint="eastAsia" w:ascii="宋体" w:hAnsi="宋体" w:eastAsia="宋体" w:cs="宋体"/>
          <w:b/>
          <w:color w:val="auto"/>
          <w:sz w:val="28"/>
          <w:highlight w:val="none"/>
        </w:rPr>
        <w:sectPr>
          <w:pgSz w:w="11906" w:h="16838"/>
          <w:pgMar w:top="1440" w:right="1800" w:bottom="1440" w:left="1800" w:header="851" w:footer="992" w:gutter="0"/>
          <w:pgNumType w:fmt="decimal"/>
          <w:cols w:space="425" w:num="1"/>
          <w:docGrid w:type="lines" w:linePitch="312" w:charSpace="0"/>
        </w:sectPr>
      </w:pPr>
    </w:p>
    <w:p>
      <w:pPr>
        <w:keepNext w:val="0"/>
        <w:keepLines w:val="0"/>
        <w:pageBreakBefore w:val="0"/>
        <w:kinsoku/>
        <w:wordWrap/>
        <w:overflowPunct/>
        <w:topLinePunct w:val="0"/>
        <w:bidi w:val="0"/>
        <w:spacing w:line="360" w:lineRule="auto"/>
        <w:ind w:right="-110"/>
        <w:jc w:val="left"/>
        <w:outlineLvl w:val="9"/>
        <w:rPr>
          <w:rFonts w:hint="eastAsia" w:ascii="宋体" w:hAnsi="宋体" w:eastAsia="宋体" w:cs="宋体"/>
          <w:color w:val="auto"/>
          <w:spacing w:val="40"/>
          <w:sz w:val="52"/>
          <w:szCs w:val="52"/>
          <w:highlight w:val="none"/>
        </w:rPr>
      </w:pPr>
      <w:r>
        <w:rPr>
          <w:rFonts w:hint="eastAsia" w:ascii="宋体" w:hAnsi="宋体" w:eastAsia="宋体" w:cs="宋体"/>
          <w:b/>
          <w:color w:val="auto"/>
          <w:sz w:val="28"/>
          <w:highlight w:val="none"/>
        </w:rPr>
        <w:t>附件1</w:t>
      </w:r>
      <w:r>
        <w:rPr>
          <w:rFonts w:hint="eastAsia" w:ascii="宋体" w:hAnsi="宋体" w:eastAsia="宋体" w:cs="宋体"/>
          <w:b/>
          <w:color w:val="auto"/>
          <w:sz w:val="28"/>
          <w:highlight w:val="none"/>
          <w:lang w:val="en-US" w:eastAsia="zh-CN"/>
        </w:rPr>
        <w:t>4</w:t>
      </w:r>
      <w:r>
        <w:rPr>
          <w:rFonts w:hint="eastAsia" w:ascii="宋体" w:hAnsi="宋体" w:eastAsia="宋体" w:cs="宋体"/>
          <w:b/>
          <w:color w:val="auto"/>
          <w:sz w:val="28"/>
          <w:highlight w:val="none"/>
        </w:rPr>
        <w:t xml:space="preserve">                                        </w:t>
      </w:r>
      <w:r>
        <w:rPr>
          <w:rFonts w:hint="eastAsia" w:ascii="宋体" w:hAnsi="宋体" w:eastAsia="宋体" w:cs="宋体"/>
          <w:b/>
          <w:color w:val="auto"/>
          <w:sz w:val="28"/>
          <w:highlight w:val="none"/>
          <w:u w:val="single"/>
        </w:rPr>
        <w:t xml:space="preserve">     </w:t>
      </w:r>
      <w:r>
        <w:rPr>
          <w:rFonts w:hint="eastAsia" w:ascii="宋体" w:hAnsi="宋体" w:eastAsia="宋体" w:cs="宋体"/>
          <w:bCs/>
          <w:color w:val="auto"/>
          <w:sz w:val="24"/>
          <w:highlight w:val="none"/>
        </w:rPr>
        <w:t>本</w:t>
      </w:r>
    </w:p>
    <w:p>
      <w:pPr>
        <w:keepNext w:val="0"/>
        <w:keepLines w:val="0"/>
        <w:pageBreakBefore w:val="0"/>
        <w:kinsoku/>
        <w:wordWrap/>
        <w:overflowPunct/>
        <w:topLinePunct w:val="0"/>
        <w:bidi w:val="0"/>
        <w:spacing w:line="360" w:lineRule="auto"/>
        <w:ind w:right="-110"/>
        <w:jc w:val="center"/>
        <w:outlineLvl w:val="9"/>
        <w:rPr>
          <w:rFonts w:hint="eastAsia" w:ascii="宋体" w:hAnsi="宋体" w:eastAsia="宋体" w:cs="宋体"/>
          <w:color w:val="auto"/>
          <w:spacing w:val="40"/>
          <w:sz w:val="52"/>
          <w:szCs w:val="52"/>
          <w:highlight w:val="none"/>
        </w:rPr>
      </w:pPr>
      <w:r>
        <w:rPr>
          <w:rFonts w:hint="eastAsia" w:ascii="宋体" w:hAnsi="宋体" w:eastAsia="宋体" w:cs="宋体"/>
          <w:color w:val="auto"/>
          <w:spacing w:val="40"/>
          <w:sz w:val="52"/>
          <w:szCs w:val="52"/>
          <w:highlight w:val="none"/>
        </w:rPr>
        <w:t>项目名称</w:t>
      </w:r>
    </w:p>
    <w:p>
      <w:pPr>
        <w:keepNext w:val="0"/>
        <w:keepLines w:val="0"/>
        <w:pageBreakBefore w:val="0"/>
        <w:kinsoku/>
        <w:wordWrap/>
        <w:overflowPunct/>
        <w:topLinePunct w:val="0"/>
        <w:bidi w:val="0"/>
        <w:spacing w:before="312" w:beforeLines="100" w:line="360" w:lineRule="auto"/>
        <w:ind w:right="-108"/>
        <w:jc w:val="center"/>
        <w:outlineLvl w:val="9"/>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t>项目编号：</w:t>
      </w:r>
    </w:p>
    <w:p>
      <w:pPr>
        <w:keepNext w:val="0"/>
        <w:keepLines w:val="0"/>
        <w:pageBreakBefore w:val="0"/>
        <w:kinsoku/>
        <w:wordWrap/>
        <w:overflowPunct/>
        <w:topLinePunct w:val="0"/>
        <w:bidi w:val="0"/>
        <w:spacing w:after="100" w:afterAutospacing="1" w:line="360" w:lineRule="auto"/>
        <w:ind w:right="-108"/>
        <w:jc w:val="center"/>
        <w:outlineLvl w:val="9"/>
        <w:rPr>
          <w:rFonts w:hint="eastAsia" w:ascii="宋体" w:hAnsi="宋体" w:eastAsia="宋体" w:cs="宋体"/>
          <w:b/>
          <w:color w:val="auto"/>
          <w:spacing w:val="40"/>
          <w:sz w:val="84"/>
          <w:szCs w:val="84"/>
          <w:highlight w:val="none"/>
        </w:rPr>
      </w:pPr>
    </w:p>
    <w:p>
      <w:pPr>
        <w:keepNext w:val="0"/>
        <w:keepLines w:val="0"/>
        <w:pageBreakBefore w:val="0"/>
        <w:kinsoku/>
        <w:wordWrap/>
        <w:overflowPunct/>
        <w:topLinePunct w:val="0"/>
        <w:bidi w:val="0"/>
        <w:spacing w:after="100" w:afterAutospacing="1" w:line="360" w:lineRule="auto"/>
        <w:ind w:right="-108"/>
        <w:jc w:val="center"/>
        <w:outlineLvl w:val="9"/>
        <w:rPr>
          <w:rFonts w:hint="eastAsia" w:ascii="宋体" w:hAnsi="宋体" w:eastAsia="宋体" w:cs="宋体"/>
          <w:b/>
          <w:color w:val="auto"/>
          <w:spacing w:val="40"/>
          <w:sz w:val="84"/>
          <w:szCs w:val="84"/>
          <w:highlight w:val="none"/>
        </w:rPr>
      </w:pPr>
      <w:r>
        <w:rPr>
          <w:rFonts w:hint="eastAsia" w:ascii="宋体" w:hAnsi="宋体" w:eastAsia="宋体" w:cs="宋体"/>
          <w:b/>
          <w:color w:val="auto"/>
          <w:spacing w:val="40"/>
          <w:sz w:val="84"/>
          <w:szCs w:val="84"/>
          <w:highlight w:val="none"/>
        </w:rPr>
        <w:t>报</w:t>
      </w:r>
    </w:p>
    <w:p>
      <w:pPr>
        <w:keepNext w:val="0"/>
        <w:keepLines w:val="0"/>
        <w:pageBreakBefore w:val="0"/>
        <w:kinsoku/>
        <w:wordWrap/>
        <w:overflowPunct/>
        <w:topLinePunct w:val="0"/>
        <w:bidi w:val="0"/>
        <w:spacing w:after="100" w:afterAutospacing="1" w:line="360" w:lineRule="auto"/>
        <w:ind w:right="-108"/>
        <w:jc w:val="center"/>
        <w:outlineLvl w:val="9"/>
        <w:rPr>
          <w:rFonts w:hint="eastAsia" w:ascii="宋体" w:hAnsi="宋体" w:eastAsia="宋体" w:cs="宋体"/>
          <w:b/>
          <w:color w:val="auto"/>
          <w:spacing w:val="40"/>
          <w:sz w:val="84"/>
          <w:szCs w:val="84"/>
          <w:highlight w:val="none"/>
        </w:rPr>
      </w:pPr>
      <w:r>
        <w:rPr>
          <w:rFonts w:hint="eastAsia" w:ascii="宋体" w:hAnsi="宋体" w:eastAsia="宋体" w:cs="宋体"/>
          <w:b/>
          <w:color w:val="auto"/>
          <w:spacing w:val="40"/>
          <w:sz w:val="84"/>
          <w:szCs w:val="84"/>
          <w:highlight w:val="none"/>
        </w:rPr>
        <w:t>价</w:t>
      </w:r>
    </w:p>
    <w:p>
      <w:pPr>
        <w:keepNext w:val="0"/>
        <w:keepLines w:val="0"/>
        <w:pageBreakBefore w:val="0"/>
        <w:kinsoku/>
        <w:wordWrap/>
        <w:overflowPunct/>
        <w:topLinePunct w:val="0"/>
        <w:bidi w:val="0"/>
        <w:spacing w:after="100" w:afterAutospacing="1" w:line="360" w:lineRule="auto"/>
        <w:ind w:right="-108"/>
        <w:jc w:val="center"/>
        <w:outlineLvl w:val="9"/>
        <w:rPr>
          <w:rFonts w:hint="eastAsia" w:ascii="宋体" w:hAnsi="宋体" w:eastAsia="宋体" w:cs="宋体"/>
          <w:b/>
          <w:color w:val="auto"/>
          <w:spacing w:val="40"/>
          <w:sz w:val="84"/>
          <w:szCs w:val="84"/>
          <w:highlight w:val="none"/>
        </w:rPr>
      </w:pPr>
      <w:r>
        <w:rPr>
          <w:rFonts w:hint="eastAsia" w:ascii="宋体" w:hAnsi="宋体" w:eastAsia="宋体" w:cs="宋体"/>
          <w:b/>
          <w:color w:val="auto"/>
          <w:spacing w:val="40"/>
          <w:sz w:val="84"/>
          <w:szCs w:val="84"/>
          <w:highlight w:val="none"/>
        </w:rPr>
        <w:t>文</w:t>
      </w:r>
    </w:p>
    <w:p>
      <w:pPr>
        <w:keepNext w:val="0"/>
        <w:keepLines w:val="0"/>
        <w:pageBreakBefore w:val="0"/>
        <w:kinsoku/>
        <w:wordWrap/>
        <w:overflowPunct/>
        <w:topLinePunct w:val="0"/>
        <w:bidi w:val="0"/>
        <w:spacing w:after="100" w:afterAutospacing="1" w:line="360" w:lineRule="auto"/>
        <w:ind w:right="-108"/>
        <w:jc w:val="center"/>
        <w:outlineLvl w:val="9"/>
        <w:rPr>
          <w:rFonts w:hint="eastAsia" w:ascii="宋体" w:hAnsi="宋体" w:eastAsia="宋体" w:cs="宋体"/>
          <w:b/>
          <w:color w:val="auto"/>
          <w:spacing w:val="40"/>
          <w:sz w:val="84"/>
          <w:szCs w:val="84"/>
          <w:highlight w:val="none"/>
        </w:rPr>
      </w:pPr>
      <w:r>
        <w:rPr>
          <w:rFonts w:hint="eastAsia" w:ascii="宋体" w:hAnsi="宋体" w:eastAsia="宋体" w:cs="宋体"/>
          <w:b/>
          <w:color w:val="auto"/>
          <w:spacing w:val="40"/>
          <w:sz w:val="84"/>
          <w:szCs w:val="84"/>
          <w:highlight w:val="none"/>
        </w:rPr>
        <w:t>件</w:t>
      </w:r>
    </w:p>
    <w:p>
      <w:pPr>
        <w:keepNext w:val="0"/>
        <w:keepLines w:val="0"/>
        <w:pageBreakBefore w:val="0"/>
        <w:kinsoku/>
        <w:wordWrap/>
        <w:overflowPunct/>
        <w:topLinePunct w:val="0"/>
        <w:bidi w:val="0"/>
        <w:spacing w:line="360" w:lineRule="auto"/>
        <w:ind w:right="532"/>
        <w:jc w:val="center"/>
        <w:outlineLvl w:val="9"/>
        <w:rPr>
          <w:rFonts w:hint="eastAsia" w:ascii="宋体" w:hAnsi="宋体" w:eastAsia="宋体" w:cs="宋体"/>
          <w:color w:val="auto"/>
          <w:sz w:val="36"/>
          <w:szCs w:val="36"/>
          <w:highlight w:val="none"/>
        </w:rPr>
      </w:pPr>
    </w:p>
    <w:p>
      <w:pPr>
        <w:keepNext w:val="0"/>
        <w:keepLines w:val="0"/>
        <w:pageBreakBefore w:val="0"/>
        <w:kinsoku/>
        <w:wordWrap/>
        <w:overflowPunct/>
        <w:topLinePunct w:val="0"/>
        <w:bidi w:val="0"/>
        <w:spacing w:line="360" w:lineRule="auto"/>
        <w:ind w:right="532"/>
        <w:outlineLvl w:val="9"/>
        <w:rPr>
          <w:rFonts w:hint="eastAsia" w:ascii="宋体" w:hAnsi="宋体" w:eastAsia="宋体" w:cs="宋体"/>
          <w:color w:val="auto"/>
          <w:sz w:val="36"/>
          <w:szCs w:val="36"/>
          <w:highlight w:val="none"/>
        </w:rPr>
      </w:pPr>
    </w:p>
    <w:p>
      <w:pPr>
        <w:keepNext w:val="0"/>
        <w:keepLines w:val="0"/>
        <w:pageBreakBefore w:val="0"/>
        <w:kinsoku/>
        <w:wordWrap/>
        <w:overflowPunct/>
        <w:topLinePunct w:val="0"/>
        <w:bidi w:val="0"/>
        <w:spacing w:line="360" w:lineRule="auto"/>
        <w:ind w:right="532" w:firstLine="720" w:firstLineChars="200"/>
        <w:outlineLvl w:val="9"/>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t>供应商全称（公章）：</w:t>
      </w:r>
    </w:p>
    <w:p>
      <w:pPr>
        <w:keepNext w:val="0"/>
        <w:keepLines w:val="0"/>
        <w:pageBreakBefore w:val="0"/>
        <w:kinsoku/>
        <w:wordWrap/>
        <w:overflowPunct/>
        <w:topLinePunct w:val="0"/>
        <w:bidi w:val="0"/>
        <w:spacing w:line="360" w:lineRule="auto"/>
        <w:ind w:right="-108" w:firstLine="720" w:firstLineChars="200"/>
        <w:outlineLvl w:val="9"/>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t>地址：</w:t>
      </w:r>
    </w:p>
    <w:p>
      <w:pPr>
        <w:keepNext w:val="0"/>
        <w:keepLines w:val="0"/>
        <w:pageBreakBefore w:val="0"/>
        <w:kinsoku/>
        <w:wordWrap/>
        <w:overflowPunct/>
        <w:topLinePunct w:val="0"/>
        <w:bidi w:val="0"/>
        <w:spacing w:line="360" w:lineRule="auto"/>
        <w:ind w:right="-108" w:firstLine="720" w:firstLineChars="200"/>
        <w:outlineLvl w:val="9"/>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t>时间：</w:t>
      </w:r>
    </w:p>
    <w:p>
      <w:pPr>
        <w:keepNext w:val="0"/>
        <w:keepLines w:val="0"/>
        <w:pageBreakBefore w:val="0"/>
        <w:kinsoku/>
        <w:wordWrap/>
        <w:overflowPunct/>
        <w:topLinePunct w:val="0"/>
        <w:bidi w:val="0"/>
        <w:spacing w:line="360" w:lineRule="auto"/>
        <w:ind w:right="-108"/>
        <w:jc w:val="center"/>
        <w:outlineLvl w:val="9"/>
        <w:rPr>
          <w:rFonts w:hint="eastAsia" w:ascii="宋体" w:hAnsi="宋体" w:eastAsia="宋体" w:cs="宋体"/>
          <w:b/>
          <w:color w:val="auto"/>
          <w:sz w:val="36"/>
          <w:szCs w:val="32"/>
          <w:highlight w:val="none"/>
        </w:rPr>
      </w:pPr>
    </w:p>
    <w:p>
      <w:pPr>
        <w:keepNext w:val="0"/>
        <w:keepLines w:val="0"/>
        <w:pageBreakBefore w:val="0"/>
        <w:widowControl w:val="0"/>
        <w:kinsoku/>
        <w:wordWrap/>
        <w:overflowPunct/>
        <w:topLinePunct w:val="0"/>
        <w:autoSpaceDE/>
        <w:autoSpaceDN/>
        <w:bidi w:val="0"/>
        <w:adjustRightInd/>
        <w:snapToGrid/>
        <w:spacing w:line="360" w:lineRule="auto"/>
        <w:ind w:right="-108"/>
        <w:jc w:val="center"/>
        <w:textAlignment w:val="auto"/>
        <w:outlineLvl w:val="1"/>
        <w:rPr>
          <w:rFonts w:hint="eastAsia" w:ascii="宋体" w:hAnsi="宋体" w:eastAsia="宋体" w:cs="宋体"/>
          <w:b/>
          <w:color w:val="auto"/>
          <w:sz w:val="36"/>
          <w:szCs w:val="32"/>
          <w:highlight w:val="none"/>
        </w:rPr>
      </w:pPr>
      <w:r>
        <w:rPr>
          <w:rFonts w:hint="eastAsia" w:ascii="宋体" w:hAnsi="宋体" w:eastAsia="宋体" w:cs="宋体"/>
          <w:b/>
          <w:color w:val="auto"/>
          <w:sz w:val="36"/>
          <w:szCs w:val="32"/>
          <w:highlight w:val="none"/>
        </w:rPr>
        <w:t>报价文件目录</w:t>
      </w:r>
    </w:p>
    <w:p>
      <w:pPr>
        <w:keepNext w:val="0"/>
        <w:keepLines w:val="0"/>
        <w:pageBreakBefore w:val="0"/>
        <w:kinsoku/>
        <w:wordWrap/>
        <w:overflowPunct/>
        <w:topLinePunct w:val="0"/>
        <w:bidi w:val="0"/>
        <w:snapToGrid w:val="0"/>
        <w:spacing w:line="360" w:lineRule="auto"/>
        <w:outlineLvl w:val="9"/>
        <w:rPr>
          <w:rFonts w:hint="eastAsia" w:ascii="宋体" w:hAnsi="宋体" w:eastAsia="宋体" w:cs="宋体"/>
          <w:color w:val="auto"/>
          <w:sz w:val="24"/>
          <w:highlight w:val="none"/>
        </w:rPr>
      </w:pPr>
    </w:p>
    <w:p>
      <w:pPr>
        <w:keepNext w:val="0"/>
        <w:keepLines w:val="0"/>
        <w:pageBreakBefore w:val="0"/>
        <w:kinsoku/>
        <w:wordWrap/>
        <w:overflowPunct/>
        <w:topLinePunct w:val="0"/>
        <w:bidi w:val="0"/>
        <w:snapToGrid w:val="0"/>
        <w:spacing w:line="360" w:lineRule="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1、开标一览表（附件1</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w:t>
      </w:r>
    </w:p>
    <w:p>
      <w:pPr>
        <w:keepNext w:val="0"/>
        <w:keepLines w:val="0"/>
        <w:pageBreakBefore w:val="0"/>
        <w:kinsoku/>
        <w:wordWrap/>
        <w:overflowPunct/>
        <w:topLinePunct w:val="0"/>
        <w:bidi w:val="0"/>
        <w:snapToGrid w:val="0"/>
        <w:spacing w:line="360" w:lineRule="auto"/>
        <w:outlineLvl w:val="9"/>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2、</w:t>
      </w:r>
      <w:r>
        <w:rPr>
          <w:rFonts w:hint="eastAsia" w:ascii="宋体" w:hAnsi="宋体" w:cs="宋体"/>
          <w:color w:val="auto"/>
          <w:szCs w:val="21"/>
          <w:highlight w:val="none"/>
          <w:lang w:val="en-US" w:eastAsia="zh-CN"/>
        </w:rPr>
        <w:t>报价明细表（附件16）</w:t>
      </w:r>
    </w:p>
    <w:p>
      <w:pPr>
        <w:keepNext w:val="0"/>
        <w:keepLines w:val="0"/>
        <w:pageBreakBefore w:val="0"/>
        <w:kinsoku/>
        <w:wordWrap/>
        <w:overflowPunct/>
        <w:topLinePunct w:val="0"/>
        <w:bidi w:val="0"/>
        <w:snapToGrid w:val="0"/>
        <w:spacing w:line="360" w:lineRule="auto"/>
        <w:outlineLvl w:val="9"/>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3、</w:t>
      </w:r>
      <w:r>
        <w:rPr>
          <w:rFonts w:hint="eastAsia" w:ascii="宋体" w:hAnsi="宋体" w:eastAsia="宋体" w:cs="宋体"/>
          <w:color w:val="auto"/>
          <w:szCs w:val="21"/>
          <w:highlight w:val="none"/>
        </w:rPr>
        <w:t>针对报价投标人认为其他需要说明的；</w:t>
      </w:r>
    </w:p>
    <w:p>
      <w:pPr>
        <w:keepNext w:val="0"/>
        <w:keepLines w:val="0"/>
        <w:pageBreakBefore w:val="0"/>
        <w:kinsoku/>
        <w:wordWrap/>
        <w:overflowPunct/>
        <w:topLinePunct w:val="0"/>
        <w:bidi w:val="0"/>
        <w:snapToGrid w:val="0"/>
        <w:spacing w:line="360" w:lineRule="auto"/>
        <w:outlineLvl w:val="9"/>
        <w:rPr>
          <w:rFonts w:hint="eastAsia" w:ascii="宋体" w:hAnsi="宋体" w:eastAsia="宋体" w:cs="宋体"/>
          <w:color w:val="auto"/>
          <w:highlight w:val="none"/>
        </w:rPr>
      </w:pPr>
      <w:r>
        <w:rPr>
          <w:rFonts w:hint="eastAsia" w:ascii="宋体" w:hAnsi="宋体" w:cs="宋体"/>
          <w:color w:val="auto"/>
          <w:szCs w:val="21"/>
          <w:highlight w:val="none"/>
          <w:lang w:val="en-US" w:eastAsia="zh-CN"/>
        </w:rPr>
        <w:t>4、</w:t>
      </w:r>
      <w:r>
        <w:rPr>
          <w:rFonts w:hint="eastAsia" w:ascii="宋体" w:hAnsi="宋体" w:eastAsia="宋体" w:cs="宋体"/>
          <w:color w:val="auto"/>
          <w:highlight w:val="none"/>
          <w:lang w:val="en-US" w:eastAsia="zh-CN"/>
        </w:rPr>
        <w:t>中小</w:t>
      </w:r>
      <w:r>
        <w:rPr>
          <w:rFonts w:hint="eastAsia" w:ascii="宋体" w:hAnsi="宋体" w:eastAsia="宋体" w:cs="宋体"/>
          <w:color w:val="auto"/>
          <w:highlight w:val="none"/>
        </w:rPr>
        <w:t>企业等声明函（附件1</w:t>
      </w:r>
      <w:r>
        <w:rPr>
          <w:rFonts w:hint="eastAsia" w:ascii="宋体" w:hAnsi="宋体" w:cs="宋体"/>
          <w:color w:val="auto"/>
          <w:highlight w:val="none"/>
          <w:lang w:val="en-US" w:eastAsia="zh-CN"/>
        </w:rPr>
        <w:t>7</w:t>
      </w:r>
      <w:r>
        <w:rPr>
          <w:rFonts w:hint="eastAsia" w:ascii="宋体" w:hAnsi="宋体" w:eastAsia="宋体" w:cs="宋体"/>
          <w:color w:val="auto"/>
          <w:highlight w:val="none"/>
        </w:rPr>
        <w:t>）；（如有需提供）</w:t>
      </w:r>
    </w:p>
    <w:p>
      <w:pPr>
        <w:keepNext w:val="0"/>
        <w:keepLines w:val="0"/>
        <w:pageBreakBefore w:val="0"/>
        <w:kinsoku/>
        <w:wordWrap/>
        <w:overflowPunct/>
        <w:topLinePunct w:val="0"/>
        <w:bidi w:val="0"/>
        <w:spacing w:line="360" w:lineRule="auto"/>
        <w:outlineLvl w:val="9"/>
        <w:rPr>
          <w:rFonts w:hint="eastAsia" w:ascii="宋体" w:hAnsi="宋体" w:eastAsia="宋体" w:cs="宋体"/>
          <w:b/>
          <w:color w:val="auto"/>
          <w:szCs w:val="21"/>
          <w:highlight w:val="none"/>
        </w:rPr>
      </w:pPr>
    </w:p>
    <w:p>
      <w:pPr>
        <w:keepNext w:val="0"/>
        <w:keepLines w:val="0"/>
        <w:pageBreakBefore w:val="0"/>
        <w:kinsoku/>
        <w:wordWrap/>
        <w:overflowPunct/>
        <w:topLinePunct w:val="0"/>
        <w:bidi w:val="0"/>
        <w:spacing w:line="360" w:lineRule="auto"/>
        <w:ind w:left="480"/>
        <w:outlineLvl w:val="9"/>
        <w:rPr>
          <w:rFonts w:hint="eastAsia" w:ascii="宋体" w:hAnsi="宋体" w:eastAsia="宋体" w:cs="宋体"/>
          <w:b/>
          <w:color w:val="auto"/>
          <w:szCs w:val="21"/>
          <w:highlight w:val="none"/>
        </w:rPr>
      </w:pPr>
    </w:p>
    <w:p>
      <w:pPr>
        <w:keepNext w:val="0"/>
        <w:keepLines w:val="0"/>
        <w:pageBreakBefore w:val="0"/>
        <w:kinsoku/>
        <w:wordWrap/>
        <w:overflowPunct/>
        <w:topLinePunct w:val="0"/>
        <w:bidi w:val="0"/>
        <w:spacing w:line="360" w:lineRule="auto"/>
        <w:ind w:left="480"/>
        <w:outlineLvl w:val="9"/>
        <w:rPr>
          <w:rFonts w:hint="eastAsia" w:ascii="宋体" w:hAnsi="宋体" w:eastAsia="宋体" w:cs="宋体"/>
          <w:b/>
          <w:color w:val="auto"/>
          <w:sz w:val="28"/>
          <w:highlight w:val="none"/>
        </w:rPr>
      </w:pPr>
    </w:p>
    <w:p>
      <w:pPr>
        <w:keepNext w:val="0"/>
        <w:keepLines w:val="0"/>
        <w:pageBreakBefore w:val="0"/>
        <w:kinsoku/>
        <w:wordWrap/>
        <w:overflowPunct/>
        <w:topLinePunct w:val="0"/>
        <w:bidi w:val="0"/>
        <w:spacing w:line="360" w:lineRule="auto"/>
        <w:ind w:left="480"/>
        <w:outlineLvl w:val="9"/>
        <w:rPr>
          <w:rFonts w:hint="eastAsia" w:ascii="宋体" w:hAnsi="宋体" w:eastAsia="宋体" w:cs="宋体"/>
          <w:b/>
          <w:color w:val="auto"/>
          <w:sz w:val="28"/>
          <w:highlight w:val="none"/>
        </w:rPr>
      </w:pPr>
    </w:p>
    <w:p>
      <w:pPr>
        <w:keepNext w:val="0"/>
        <w:keepLines w:val="0"/>
        <w:pageBreakBefore w:val="0"/>
        <w:kinsoku/>
        <w:wordWrap/>
        <w:overflowPunct/>
        <w:topLinePunct w:val="0"/>
        <w:bidi w:val="0"/>
        <w:spacing w:line="360" w:lineRule="auto"/>
        <w:ind w:left="480"/>
        <w:outlineLvl w:val="9"/>
        <w:rPr>
          <w:rFonts w:hint="eastAsia" w:ascii="宋体" w:hAnsi="宋体" w:eastAsia="宋体" w:cs="宋体"/>
          <w:b/>
          <w:color w:val="auto"/>
          <w:sz w:val="28"/>
          <w:highlight w:val="none"/>
        </w:rPr>
      </w:pPr>
    </w:p>
    <w:p>
      <w:pPr>
        <w:keepNext w:val="0"/>
        <w:keepLines w:val="0"/>
        <w:pageBreakBefore w:val="0"/>
        <w:kinsoku/>
        <w:wordWrap/>
        <w:overflowPunct/>
        <w:topLinePunct w:val="0"/>
        <w:bidi w:val="0"/>
        <w:spacing w:line="360" w:lineRule="auto"/>
        <w:ind w:left="480"/>
        <w:outlineLvl w:val="9"/>
        <w:rPr>
          <w:rFonts w:hint="eastAsia" w:ascii="宋体" w:hAnsi="宋体" w:eastAsia="宋体" w:cs="宋体"/>
          <w:b/>
          <w:color w:val="auto"/>
          <w:sz w:val="28"/>
          <w:highlight w:val="none"/>
        </w:rPr>
      </w:pPr>
    </w:p>
    <w:p>
      <w:pPr>
        <w:keepNext w:val="0"/>
        <w:keepLines w:val="0"/>
        <w:pageBreakBefore w:val="0"/>
        <w:kinsoku/>
        <w:wordWrap/>
        <w:overflowPunct/>
        <w:topLinePunct w:val="0"/>
        <w:bidi w:val="0"/>
        <w:spacing w:line="360" w:lineRule="auto"/>
        <w:ind w:left="480"/>
        <w:outlineLvl w:val="9"/>
        <w:rPr>
          <w:rFonts w:hint="eastAsia" w:ascii="宋体" w:hAnsi="宋体" w:eastAsia="宋体" w:cs="宋体"/>
          <w:b/>
          <w:color w:val="auto"/>
          <w:sz w:val="28"/>
          <w:highlight w:val="none"/>
        </w:rPr>
      </w:pPr>
    </w:p>
    <w:p>
      <w:pPr>
        <w:keepNext w:val="0"/>
        <w:keepLines w:val="0"/>
        <w:pageBreakBefore w:val="0"/>
        <w:kinsoku/>
        <w:wordWrap/>
        <w:overflowPunct/>
        <w:topLinePunct w:val="0"/>
        <w:bidi w:val="0"/>
        <w:spacing w:line="360" w:lineRule="auto"/>
        <w:ind w:left="480"/>
        <w:outlineLvl w:val="9"/>
        <w:rPr>
          <w:rFonts w:hint="eastAsia" w:ascii="宋体" w:hAnsi="宋体" w:eastAsia="宋体" w:cs="宋体"/>
          <w:b/>
          <w:color w:val="auto"/>
          <w:sz w:val="28"/>
          <w:highlight w:val="none"/>
        </w:rPr>
      </w:pPr>
    </w:p>
    <w:p>
      <w:pPr>
        <w:keepNext w:val="0"/>
        <w:keepLines w:val="0"/>
        <w:pageBreakBefore w:val="0"/>
        <w:kinsoku/>
        <w:wordWrap/>
        <w:overflowPunct/>
        <w:topLinePunct w:val="0"/>
        <w:bidi w:val="0"/>
        <w:spacing w:line="360" w:lineRule="auto"/>
        <w:ind w:left="480"/>
        <w:outlineLvl w:val="9"/>
        <w:rPr>
          <w:rFonts w:hint="eastAsia" w:ascii="宋体" w:hAnsi="宋体" w:eastAsia="宋体" w:cs="宋体"/>
          <w:b/>
          <w:color w:val="auto"/>
          <w:sz w:val="28"/>
          <w:highlight w:val="none"/>
        </w:rPr>
      </w:pPr>
    </w:p>
    <w:p>
      <w:pPr>
        <w:keepNext w:val="0"/>
        <w:keepLines w:val="0"/>
        <w:pageBreakBefore w:val="0"/>
        <w:kinsoku/>
        <w:wordWrap/>
        <w:overflowPunct/>
        <w:topLinePunct w:val="0"/>
        <w:bidi w:val="0"/>
        <w:spacing w:line="360" w:lineRule="auto"/>
        <w:ind w:left="480"/>
        <w:outlineLvl w:val="9"/>
        <w:rPr>
          <w:rFonts w:hint="eastAsia" w:ascii="宋体" w:hAnsi="宋体" w:eastAsia="宋体" w:cs="宋体"/>
          <w:b/>
          <w:color w:val="auto"/>
          <w:sz w:val="28"/>
          <w:highlight w:val="none"/>
        </w:rPr>
      </w:pPr>
    </w:p>
    <w:p>
      <w:pPr>
        <w:keepNext w:val="0"/>
        <w:keepLines w:val="0"/>
        <w:pageBreakBefore w:val="0"/>
        <w:kinsoku/>
        <w:wordWrap/>
        <w:overflowPunct/>
        <w:topLinePunct w:val="0"/>
        <w:bidi w:val="0"/>
        <w:spacing w:line="360" w:lineRule="auto"/>
        <w:ind w:left="480"/>
        <w:outlineLvl w:val="9"/>
        <w:rPr>
          <w:rFonts w:hint="eastAsia" w:ascii="宋体" w:hAnsi="宋体" w:eastAsia="宋体" w:cs="宋体"/>
          <w:b/>
          <w:color w:val="auto"/>
          <w:sz w:val="28"/>
          <w:highlight w:val="none"/>
        </w:rPr>
      </w:pPr>
    </w:p>
    <w:p>
      <w:pPr>
        <w:keepNext w:val="0"/>
        <w:keepLines w:val="0"/>
        <w:pageBreakBefore w:val="0"/>
        <w:kinsoku/>
        <w:wordWrap/>
        <w:overflowPunct/>
        <w:topLinePunct w:val="0"/>
        <w:bidi w:val="0"/>
        <w:spacing w:line="360" w:lineRule="auto"/>
        <w:ind w:left="480"/>
        <w:outlineLvl w:val="9"/>
        <w:rPr>
          <w:rFonts w:hint="eastAsia" w:ascii="宋体" w:hAnsi="宋体" w:eastAsia="宋体" w:cs="宋体"/>
          <w:b/>
          <w:color w:val="auto"/>
          <w:sz w:val="28"/>
          <w:highlight w:val="none"/>
        </w:rPr>
      </w:pPr>
    </w:p>
    <w:p>
      <w:pPr>
        <w:keepNext w:val="0"/>
        <w:keepLines w:val="0"/>
        <w:pageBreakBefore w:val="0"/>
        <w:kinsoku/>
        <w:wordWrap/>
        <w:overflowPunct/>
        <w:topLinePunct w:val="0"/>
        <w:bidi w:val="0"/>
        <w:spacing w:line="360" w:lineRule="auto"/>
        <w:ind w:left="480"/>
        <w:outlineLvl w:val="9"/>
        <w:rPr>
          <w:rFonts w:hint="eastAsia" w:ascii="宋体" w:hAnsi="宋体" w:eastAsia="宋体" w:cs="宋体"/>
          <w:b/>
          <w:color w:val="auto"/>
          <w:sz w:val="28"/>
          <w:highlight w:val="none"/>
        </w:rPr>
      </w:pPr>
    </w:p>
    <w:p>
      <w:pPr>
        <w:keepNext w:val="0"/>
        <w:keepLines w:val="0"/>
        <w:pageBreakBefore w:val="0"/>
        <w:kinsoku/>
        <w:wordWrap/>
        <w:overflowPunct/>
        <w:topLinePunct w:val="0"/>
        <w:bidi w:val="0"/>
        <w:spacing w:line="360" w:lineRule="auto"/>
        <w:ind w:left="480"/>
        <w:outlineLvl w:val="9"/>
        <w:rPr>
          <w:rFonts w:hint="eastAsia" w:ascii="宋体" w:hAnsi="宋体" w:eastAsia="宋体" w:cs="宋体"/>
          <w:b/>
          <w:color w:val="auto"/>
          <w:sz w:val="28"/>
          <w:highlight w:val="none"/>
        </w:rPr>
      </w:pPr>
    </w:p>
    <w:p>
      <w:pPr>
        <w:pStyle w:val="7"/>
        <w:keepNext w:val="0"/>
        <w:keepLines w:val="0"/>
        <w:pageBreakBefore w:val="0"/>
        <w:kinsoku/>
        <w:wordWrap/>
        <w:overflowPunct/>
        <w:topLinePunct w:val="0"/>
        <w:bidi w:val="0"/>
        <w:outlineLvl w:val="9"/>
        <w:rPr>
          <w:rFonts w:hint="eastAsia" w:ascii="宋体" w:hAnsi="宋体" w:eastAsia="宋体" w:cs="宋体"/>
          <w:color w:val="auto"/>
          <w:highlight w:val="none"/>
        </w:rPr>
      </w:pPr>
    </w:p>
    <w:p>
      <w:pPr>
        <w:keepNext w:val="0"/>
        <w:keepLines w:val="0"/>
        <w:pageBreakBefore w:val="0"/>
        <w:kinsoku/>
        <w:wordWrap/>
        <w:overflowPunct/>
        <w:topLinePunct w:val="0"/>
        <w:bidi w:val="0"/>
        <w:spacing w:line="360" w:lineRule="auto"/>
        <w:ind w:left="480"/>
        <w:outlineLvl w:val="9"/>
        <w:rPr>
          <w:rFonts w:hint="eastAsia" w:ascii="宋体" w:hAnsi="宋体" w:eastAsia="宋体" w:cs="宋体"/>
          <w:b/>
          <w:color w:val="auto"/>
          <w:sz w:val="28"/>
          <w:highlight w:val="none"/>
        </w:rPr>
      </w:pPr>
    </w:p>
    <w:p>
      <w:pPr>
        <w:keepNext w:val="0"/>
        <w:keepLines w:val="0"/>
        <w:pageBreakBefore w:val="0"/>
        <w:kinsoku/>
        <w:wordWrap/>
        <w:overflowPunct/>
        <w:topLinePunct w:val="0"/>
        <w:bidi w:val="0"/>
        <w:spacing w:line="360" w:lineRule="auto"/>
        <w:ind w:left="480"/>
        <w:outlineLvl w:val="9"/>
        <w:rPr>
          <w:rFonts w:hint="eastAsia" w:ascii="宋体" w:hAnsi="宋体" w:eastAsia="宋体" w:cs="宋体"/>
          <w:b/>
          <w:color w:val="auto"/>
          <w:sz w:val="28"/>
          <w:highlight w:val="none"/>
        </w:rPr>
      </w:pPr>
    </w:p>
    <w:p>
      <w:pPr>
        <w:pStyle w:val="7"/>
        <w:keepNext w:val="0"/>
        <w:keepLines w:val="0"/>
        <w:pageBreakBefore w:val="0"/>
        <w:kinsoku/>
        <w:wordWrap/>
        <w:overflowPunct/>
        <w:topLinePunct w:val="0"/>
        <w:bidi w:val="0"/>
        <w:outlineLvl w:val="9"/>
        <w:rPr>
          <w:rFonts w:hint="eastAsia" w:ascii="宋体" w:hAnsi="宋体" w:eastAsia="宋体" w:cs="宋体"/>
          <w:color w:val="auto"/>
          <w:highlight w:val="none"/>
        </w:rPr>
      </w:pPr>
    </w:p>
    <w:p>
      <w:pPr>
        <w:keepNext w:val="0"/>
        <w:keepLines w:val="0"/>
        <w:pageBreakBefore w:val="0"/>
        <w:kinsoku/>
        <w:wordWrap/>
        <w:overflowPunct/>
        <w:topLinePunct w:val="0"/>
        <w:bidi w:val="0"/>
        <w:spacing w:line="360" w:lineRule="auto"/>
        <w:outlineLvl w:val="9"/>
        <w:rPr>
          <w:rFonts w:hint="eastAsia" w:ascii="宋体" w:hAnsi="宋体" w:eastAsia="宋体" w:cs="宋体"/>
          <w:b/>
          <w:color w:val="auto"/>
          <w:sz w:val="28"/>
          <w:highlight w:val="none"/>
        </w:rPr>
      </w:pPr>
    </w:p>
    <w:p>
      <w:pPr>
        <w:keepNext w:val="0"/>
        <w:keepLines w:val="0"/>
        <w:pageBreakBefore w:val="0"/>
        <w:kinsoku/>
        <w:wordWrap/>
        <w:overflowPunct/>
        <w:topLinePunct w:val="0"/>
        <w:bidi w:val="0"/>
        <w:spacing w:line="360" w:lineRule="auto"/>
        <w:outlineLvl w:val="9"/>
        <w:rPr>
          <w:rFonts w:hint="eastAsia" w:ascii="宋体" w:hAnsi="宋体" w:eastAsia="宋体" w:cs="宋体"/>
          <w:b/>
          <w:color w:val="auto"/>
          <w:sz w:val="28"/>
          <w:highlight w:val="none"/>
        </w:rPr>
        <w:sectPr>
          <w:pgSz w:w="11906" w:h="16838"/>
          <w:pgMar w:top="1440" w:right="1800" w:bottom="1440" w:left="1800" w:header="851" w:footer="992" w:gutter="0"/>
          <w:pgNumType w:fmt="decimal"/>
          <w:cols w:space="425" w:num="1"/>
          <w:docGrid w:type="lines" w:linePitch="312" w:charSpace="0"/>
        </w:sectPr>
      </w:pPr>
    </w:p>
    <w:p>
      <w:pPr>
        <w:keepNext w:val="0"/>
        <w:keepLines w:val="0"/>
        <w:pageBreakBefore w:val="0"/>
        <w:kinsoku/>
        <w:wordWrap/>
        <w:overflowPunct/>
        <w:topLinePunct w:val="0"/>
        <w:bidi w:val="0"/>
        <w:spacing w:line="360" w:lineRule="auto"/>
        <w:outlineLvl w:val="9"/>
        <w:rPr>
          <w:rFonts w:hint="eastAsia" w:ascii="宋体" w:hAnsi="宋体" w:eastAsia="宋体" w:cs="宋体"/>
          <w:b/>
          <w:color w:val="auto"/>
          <w:sz w:val="28"/>
          <w:highlight w:val="none"/>
          <w:lang w:eastAsia="zh-CN"/>
        </w:rPr>
      </w:pPr>
      <w:r>
        <w:rPr>
          <w:rFonts w:hint="eastAsia" w:ascii="宋体" w:hAnsi="宋体" w:eastAsia="宋体" w:cs="宋体"/>
          <w:b/>
          <w:color w:val="auto"/>
          <w:sz w:val="28"/>
          <w:highlight w:val="none"/>
        </w:rPr>
        <w:t>附件1</w:t>
      </w:r>
      <w:r>
        <w:rPr>
          <w:rFonts w:hint="eastAsia" w:ascii="宋体" w:hAnsi="宋体" w:eastAsia="宋体" w:cs="宋体"/>
          <w:b/>
          <w:color w:val="auto"/>
          <w:sz w:val="28"/>
          <w:highlight w:val="none"/>
          <w:lang w:val="en-US" w:eastAsia="zh-CN"/>
        </w:rPr>
        <w:t>5</w:t>
      </w:r>
    </w:p>
    <w:p>
      <w:pPr>
        <w:keepNext w:val="0"/>
        <w:keepLines w:val="0"/>
        <w:pageBreakBefore w:val="0"/>
        <w:kinsoku/>
        <w:wordWrap/>
        <w:overflowPunct/>
        <w:topLinePunct w:val="0"/>
        <w:bidi w:val="0"/>
        <w:spacing w:line="360" w:lineRule="auto"/>
        <w:ind w:left="-2" w:hanging="2"/>
        <w:jc w:val="center"/>
        <w:outlineLvl w:val="9"/>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开标一览表</w:t>
      </w:r>
    </w:p>
    <w:p>
      <w:pPr>
        <w:keepNext w:val="0"/>
        <w:keepLines w:val="0"/>
        <w:pageBreakBefore w:val="0"/>
        <w:kinsoku/>
        <w:wordWrap/>
        <w:overflowPunct/>
        <w:topLinePunct w:val="0"/>
        <w:bidi w:val="0"/>
        <w:spacing w:line="360" w:lineRule="auto"/>
        <w:ind w:left="-2" w:hanging="2"/>
        <w:jc w:val="center"/>
        <w:outlineLvl w:val="9"/>
        <w:rPr>
          <w:rFonts w:hint="eastAsia" w:ascii="宋体" w:hAnsi="宋体" w:eastAsia="宋体" w:cs="宋体"/>
          <w:b/>
          <w:color w:val="auto"/>
          <w:sz w:val="32"/>
          <w:szCs w:val="32"/>
          <w:highlight w:val="none"/>
        </w:rPr>
      </w:pPr>
    </w:p>
    <w:p>
      <w:pPr>
        <w:pStyle w:val="11"/>
        <w:keepNext w:val="0"/>
        <w:keepLines w:val="0"/>
        <w:pageBreakBefore w:val="0"/>
        <w:kinsoku/>
        <w:wordWrap/>
        <w:overflowPunct/>
        <w:topLinePunct w:val="0"/>
        <w:bidi w:val="0"/>
        <w:spacing w:line="360" w:lineRule="auto"/>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项目编号：</w:t>
      </w:r>
    </w:p>
    <w:p>
      <w:pPr>
        <w:pStyle w:val="49"/>
        <w:keepNext w:val="0"/>
        <w:keepLines w:val="0"/>
        <w:pageBreakBefore w:val="0"/>
        <w:kinsoku/>
        <w:wordWrap/>
        <w:overflowPunct/>
        <w:topLinePunct w:val="0"/>
        <w:bidi w:val="0"/>
        <w:spacing w:line="360" w:lineRule="auto"/>
        <w:ind w:right="480"/>
        <w:jc w:val="left"/>
        <w:outlineLvl w:val="9"/>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项目名称：</w:t>
      </w:r>
      <w:r>
        <w:rPr>
          <w:rFonts w:hint="eastAsia" w:ascii="宋体" w:hAnsi="宋体" w:eastAsia="宋体" w:cs="宋体"/>
          <w:color w:val="auto"/>
          <w:szCs w:val="21"/>
          <w:highlight w:val="none"/>
        </w:rPr>
        <w:t xml:space="preserve">                                     [货币单位：人民币元]</w:t>
      </w:r>
    </w:p>
    <w:tbl>
      <w:tblPr>
        <w:tblStyle w:val="22"/>
        <w:tblW w:w="8672"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0" w:type="dxa"/>
          <w:bottom w:w="0" w:type="dxa"/>
          <w:right w:w="0" w:type="dxa"/>
        </w:tblCellMar>
      </w:tblPr>
      <w:tblGrid>
        <w:gridCol w:w="2694"/>
        <w:gridCol w:w="1349"/>
        <w:gridCol w:w="462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cantSplit/>
          <w:trHeight w:val="1469" w:hRule="atLeast"/>
          <w:jc w:val="center"/>
        </w:trPr>
        <w:tc>
          <w:tcPr>
            <w:tcW w:w="2694" w:type="dxa"/>
            <w:vMerge w:val="restart"/>
            <w:tcBorders>
              <w:top w:val="single" w:color="auto" w:sz="12"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spacing w:line="360" w:lineRule="auto"/>
              <w:jc w:val="center"/>
              <w:textAlignment w:val="bottom"/>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投标总报价(元)</w:t>
            </w:r>
          </w:p>
        </w:tc>
        <w:tc>
          <w:tcPr>
            <w:tcW w:w="1349" w:type="dxa"/>
            <w:tcBorders>
              <w:top w:val="single" w:color="auto" w:sz="12"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spacing w:line="360" w:lineRule="auto"/>
              <w:jc w:val="center"/>
              <w:textAlignment w:val="bottom"/>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大写</w:t>
            </w:r>
          </w:p>
        </w:tc>
        <w:tc>
          <w:tcPr>
            <w:tcW w:w="4629" w:type="dxa"/>
            <w:tcBorders>
              <w:top w:val="single" w:color="auto" w:sz="12" w:space="0"/>
              <w:left w:val="single" w:color="auto" w:sz="4" w:space="0"/>
              <w:bottom w:val="single" w:color="auto" w:sz="4" w:space="0"/>
            </w:tcBorders>
            <w:vAlign w:val="center"/>
          </w:tcPr>
          <w:p>
            <w:pPr>
              <w:keepNext w:val="0"/>
              <w:keepLines w:val="0"/>
              <w:pageBreakBefore w:val="0"/>
              <w:kinsoku/>
              <w:wordWrap/>
              <w:overflowPunct/>
              <w:topLinePunct w:val="0"/>
              <w:autoSpaceDE w:val="0"/>
              <w:autoSpaceDN w:val="0"/>
              <w:bidi w:val="0"/>
              <w:spacing w:line="360" w:lineRule="auto"/>
              <w:jc w:val="center"/>
              <w:textAlignment w:val="bottom"/>
              <w:outlineLvl w:val="9"/>
              <w:rPr>
                <w:rFonts w:hint="eastAsia" w:ascii="宋体" w:hAnsi="宋体" w:eastAsia="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cantSplit/>
          <w:trHeight w:val="1530" w:hRule="atLeast"/>
          <w:jc w:val="center"/>
        </w:trPr>
        <w:tc>
          <w:tcPr>
            <w:tcW w:w="2694" w:type="dxa"/>
            <w:vMerge w:val="continue"/>
            <w:tcBorders>
              <w:top w:val="single" w:color="auto" w:sz="12" w:space="0"/>
              <w:bottom w:val="single" w:color="auto" w:sz="4" w:space="0"/>
              <w:right w:val="single" w:color="auto" w:sz="4" w:space="0"/>
            </w:tcBorders>
            <w:vAlign w:val="center"/>
          </w:tcPr>
          <w:p>
            <w:pPr>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tc>
        <w:tc>
          <w:tcPr>
            <w:tcW w:w="134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spacing w:line="360" w:lineRule="auto"/>
              <w:jc w:val="center"/>
              <w:textAlignment w:val="bottom"/>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小写</w:t>
            </w:r>
          </w:p>
        </w:tc>
        <w:tc>
          <w:tcPr>
            <w:tcW w:w="4629" w:type="dxa"/>
            <w:tcBorders>
              <w:top w:val="single" w:color="auto" w:sz="4" w:space="0"/>
              <w:left w:val="single" w:color="auto" w:sz="4" w:space="0"/>
              <w:bottom w:val="single" w:color="auto" w:sz="4" w:space="0"/>
            </w:tcBorders>
            <w:vAlign w:val="center"/>
          </w:tcPr>
          <w:p>
            <w:pPr>
              <w:keepNext w:val="0"/>
              <w:keepLines w:val="0"/>
              <w:pageBreakBefore w:val="0"/>
              <w:kinsoku/>
              <w:wordWrap/>
              <w:overflowPunct/>
              <w:topLinePunct w:val="0"/>
              <w:autoSpaceDE w:val="0"/>
              <w:autoSpaceDN w:val="0"/>
              <w:bidi w:val="0"/>
              <w:spacing w:line="360" w:lineRule="auto"/>
              <w:jc w:val="center"/>
              <w:textAlignment w:val="bottom"/>
              <w:outlineLvl w:val="9"/>
              <w:rPr>
                <w:rFonts w:hint="eastAsia" w:ascii="宋体" w:hAnsi="宋体" w:eastAsia="宋体" w:cs="宋体"/>
                <w:color w:val="auto"/>
                <w:szCs w:val="21"/>
                <w:highlight w:val="none"/>
              </w:rPr>
            </w:pPr>
          </w:p>
        </w:tc>
      </w:tr>
    </w:tbl>
    <w:p>
      <w:pPr>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填报要求：</w:t>
      </w:r>
    </w:p>
    <w:p>
      <w:pPr>
        <w:pStyle w:val="5"/>
        <w:spacing w:line="360" w:lineRule="auto"/>
        <w:ind w:firstLineChars="2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1</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sz w:val="21"/>
          <w:szCs w:val="21"/>
          <w:highlight w:val="none"/>
        </w:rPr>
        <w:t>投标总报价包括项目的供货、运输、安装、总体调试、技术培训、税金、验收、售后服务等为完成本次</w:t>
      </w:r>
      <w:r>
        <w:rPr>
          <w:rFonts w:hint="eastAsia" w:ascii="宋体" w:hAnsi="宋体" w:cs="宋体"/>
          <w:color w:val="auto"/>
          <w:sz w:val="21"/>
          <w:szCs w:val="21"/>
          <w:highlight w:val="none"/>
          <w:lang w:val="en-US" w:eastAsia="zh-CN"/>
        </w:rPr>
        <w:t>项目</w:t>
      </w:r>
      <w:r>
        <w:rPr>
          <w:rFonts w:hint="eastAsia" w:ascii="宋体" w:hAnsi="宋体" w:eastAsia="宋体" w:cs="宋体"/>
          <w:color w:val="auto"/>
          <w:sz w:val="21"/>
          <w:szCs w:val="21"/>
          <w:highlight w:val="none"/>
        </w:rPr>
        <w:t>涉及的一切费用。</w:t>
      </w:r>
    </w:p>
    <w:p>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b/>
          <w:i/>
          <w:color w:val="auto"/>
          <w:szCs w:val="21"/>
          <w:highlight w:val="none"/>
          <w:u w:val="singl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开标一览表，要求按格式填写，统一规范，不得自行增减内容。</w:t>
      </w:r>
    </w:p>
    <w:p>
      <w:pPr>
        <w:keepNext w:val="0"/>
        <w:keepLines w:val="0"/>
        <w:pageBreakBefore w:val="0"/>
        <w:kinsoku/>
        <w:wordWrap/>
        <w:overflowPunct/>
        <w:topLinePunct w:val="0"/>
        <w:bidi w:val="0"/>
        <w:spacing w:line="360" w:lineRule="auto"/>
        <w:ind w:left="420"/>
        <w:outlineLvl w:val="9"/>
        <w:rPr>
          <w:rFonts w:hint="eastAsia" w:ascii="宋体" w:hAnsi="宋体" w:eastAsia="宋体" w:cs="宋体"/>
          <w:color w:val="auto"/>
          <w:szCs w:val="21"/>
          <w:highlight w:val="none"/>
        </w:rPr>
      </w:pPr>
    </w:p>
    <w:p>
      <w:pPr>
        <w:keepNext w:val="0"/>
        <w:keepLines w:val="0"/>
        <w:pageBreakBefore w:val="0"/>
        <w:kinsoku/>
        <w:wordWrap/>
        <w:overflowPunct/>
        <w:topLinePunct w:val="0"/>
        <w:bidi w:val="0"/>
        <w:spacing w:line="360" w:lineRule="auto"/>
        <w:ind w:left="420"/>
        <w:outlineLvl w:val="9"/>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投标人名称（盖章）：</w:t>
      </w:r>
    </w:p>
    <w:p>
      <w:pPr>
        <w:keepNext w:val="0"/>
        <w:keepLines w:val="0"/>
        <w:pageBreakBefore w:val="0"/>
        <w:kinsoku/>
        <w:wordWrap/>
        <w:overflowPunct/>
        <w:topLinePunct w:val="0"/>
        <w:bidi w:val="0"/>
        <w:spacing w:line="360" w:lineRule="auto"/>
        <w:ind w:left="420"/>
        <w:outlineLvl w:val="9"/>
        <w:rPr>
          <w:rFonts w:hint="eastAsia" w:ascii="宋体" w:hAnsi="宋体" w:eastAsia="宋体" w:cs="宋体"/>
          <w:color w:val="auto"/>
          <w:szCs w:val="21"/>
          <w:highlight w:val="none"/>
        </w:rPr>
      </w:pPr>
    </w:p>
    <w:p>
      <w:pPr>
        <w:keepNext w:val="0"/>
        <w:keepLines w:val="0"/>
        <w:pageBreakBefore w:val="0"/>
        <w:kinsoku/>
        <w:wordWrap/>
        <w:overflowPunct/>
        <w:topLinePunct w:val="0"/>
        <w:bidi w:val="0"/>
        <w:spacing w:line="360" w:lineRule="auto"/>
        <w:ind w:firstLine="435"/>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法定代表人或授权委托代理人（签字或盖章）：</w:t>
      </w:r>
    </w:p>
    <w:p>
      <w:pPr>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p>
      <w:pPr>
        <w:keepNext w:val="0"/>
        <w:keepLines w:val="0"/>
        <w:pageBreakBefore w:val="0"/>
        <w:kinsoku/>
        <w:wordWrap/>
        <w:overflowPunct/>
        <w:topLinePunct w:val="0"/>
        <w:bidi w:val="0"/>
        <w:spacing w:line="360" w:lineRule="auto"/>
        <w:ind w:firstLine="435"/>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日期：</w:t>
      </w:r>
    </w:p>
    <w:p>
      <w:pPr>
        <w:keepNext w:val="0"/>
        <w:keepLines w:val="0"/>
        <w:pageBreakBefore w:val="0"/>
        <w:kinsoku/>
        <w:wordWrap/>
        <w:overflowPunct/>
        <w:topLinePunct w:val="0"/>
        <w:bidi w:val="0"/>
        <w:spacing w:line="360" w:lineRule="auto"/>
        <w:outlineLvl w:val="9"/>
        <w:rPr>
          <w:rFonts w:hint="eastAsia" w:ascii="宋体" w:hAnsi="宋体" w:eastAsia="宋体" w:cs="宋体"/>
          <w:b/>
          <w:color w:val="auto"/>
          <w:sz w:val="28"/>
          <w:highlight w:val="none"/>
        </w:rPr>
      </w:pPr>
    </w:p>
    <w:p>
      <w:pPr>
        <w:keepNext w:val="0"/>
        <w:keepLines w:val="0"/>
        <w:pageBreakBefore w:val="0"/>
        <w:kinsoku/>
        <w:wordWrap/>
        <w:overflowPunct/>
        <w:topLinePunct w:val="0"/>
        <w:bidi w:val="0"/>
        <w:spacing w:line="360" w:lineRule="auto"/>
        <w:outlineLvl w:val="9"/>
        <w:rPr>
          <w:rFonts w:hint="eastAsia" w:ascii="宋体" w:hAnsi="宋体" w:eastAsia="宋体" w:cs="宋体"/>
          <w:b/>
          <w:color w:val="auto"/>
          <w:sz w:val="28"/>
          <w:highlight w:val="none"/>
        </w:rPr>
      </w:pPr>
    </w:p>
    <w:p>
      <w:pPr>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w:t>
      </w:r>
    </w:p>
    <w:p>
      <w:pPr>
        <w:keepNext w:val="0"/>
        <w:keepLines w:val="0"/>
        <w:pageBreakBefore w:val="0"/>
        <w:kinsoku/>
        <w:wordWrap/>
        <w:overflowPunct/>
        <w:topLinePunct w:val="0"/>
        <w:bidi w:val="0"/>
        <w:spacing w:line="400" w:lineRule="exact"/>
        <w:outlineLvl w:val="9"/>
        <w:rPr>
          <w:rFonts w:hint="eastAsia" w:ascii="宋体" w:hAnsi="宋体" w:eastAsia="宋体" w:cs="宋体"/>
          <w:b/>
          <w:color w:val="auto"/>
          <w:sz w:val="28"/>
          <w:highlight w:val="none"/>
        </w:rPr>
      </w:pPr>
    </w:p>
    <w:p>
      <w:pPr>
        <w:keepNext w:val="0"/>
        <w:keepLines w:val="0"/>
        <w:pageBreakBefore w:val="0"/>
        <w:kinsoku/>
        <w:wordWrap/>
        <w:overflowPunct/>
        <w:topLinePunct w:val="0"/>
        <w:bidi w:val="0"/>
        <w:spacing w:line="400" w:lineRule="exact"/>
        <w:outlineLvl w:val="9"/>
        <w:rPr>
          <w:rFonts w:hint="eastAsia" w:ascii="宋体" w:hAnsi="宋体" w:eastAsia="宋体" w:cs="宋体"/>
          <w:b/>
          <w:color w:val="auto"/>
          <w:sz w:val="28"/>
          <w:highlight w:val="none"/>
        </w:rPr>
      </w:pPr>
    </w:p>
    <w:p>
      <w:pPr>
        <w:keepNext w:val="0"/>
        <w:keepLines w:val="0"/>
        <w:pageBreakBefore w:val="0"/>
        <w:kinsoku/>
        <w:wordWrap/>
        <w:overflowPunct/>
        <w:topLinePunct w:val="0"/>
        <w:bidi w:val="0"/>
        <w:spacing w:line="400" w:lineRule="exact"/>
        <w:outlineLvl w:val="9"/>
        <w:rPr>
          <w:rFonts w:hint="eastAsia" w:ascii="宋体" w:hAnsi="宋体" w:eastAsia="宋体" w:cs="宋体"/>
          <w:b/>
          <w:color w:val="auto"/>
          <w:sz w:val="28"/>
          <w:highlight w:val="none"/>
        </w:rPr>
      </w:pPr>
    </w:p>
    <w:p>
      <w:pPr>
        <w:keepNext w:val="0"/>
        <w:keepLines w:val="0"/>
        <w:pageBreakBefore w:val="0"/>
        <w:kinsoku/>
        <w:wordWrap/>
        <w:overflowPunct/>
        <w:topLinePunct w:val="0"/>
        <w:bidi w:val="0"/>
        <w:spacing w:line="400" w:lineRule="exact"/>
        <w:outlineLvl w:val="9"/>
        <w:rPr>
          <w:rFonts w:hint="eastAsia" w:ascii="宋体" w:hAnsi="宋体" w:eastAsia="宋体" w:cs="宋体"/>
          <w:b/>
          <w:color w:val="auto"/>
          <w:sz w:val="28"/>
          <w:highlight w:val="none"/>
        </w:rPr>
        <w:sectPr>
          <w:pgSz w:w="11906" w:h="16838"/>
          <w:pgMar w:top="1440" w:right="1800" w:bottom="1440" w:left="1800" w:header="851" w:footer="992" w:gutter="0"/>
          <w:pgNumType w:fmt="decimal"/>
          <w:cols w:space="425" w:num="1"/>
          <w:docGrid w:type="lines" w:linePitch="312" w:charSpace="0"/>
        </w:sectPr>
      </w:pPr>
    </w:p>
    <w:p>
      <w:pPr>
        <w:keepNext w:val="0"/>
        <w:keepLines w:val="0"/>
        <w:pageBreakBefore w:val="0"/>
        <w:kinsoku/>
        <w:wordWrap/>
        <w:overflowPunct/>
        <w:topLinePunct w:val="0"/>
        <w:bidi w:val="0"/>
        <w:spacing w:line="400" w:lineRule="exact"/>
        <w:outlineLvl w:val="9"/>
        <w:rPr>
          <w:rFonts w:hint="eastAsia" w:ascii="宋体" w:hAnsi="宋体" w:eastAsia="宋体" w:cs="宋体"/>
          <w:bCs/>
          <w:color w:val="auto"/>
          <w:sz w:val="30"/>
          <w:szCs w:val="30"/>
          <w:highlight w:val="none"/>
          <w:lang w:eastAsia="zh-CN"/>
        </w:rPr>
      </w:pPr>
      <w:r>
        <w:rPr>
          <w:rFonts w:hint="eastAsia" w:ascii="宋体" w:hAnsi="宋体" w:eastAsia="宋体" w:cs="宋体"/>
          <w:b/>
          <w:color w:val="auto"/>
          <w:sz w:val="28"/>
          <w:highlight w:val="none"/>
        </w:rPr>
        <w:t>附件1</w:t>
      </w:r>
      <w:r>
        <w:rPr>
          <w:rFonts w:hint="eastAsia" w:ascii="宋体" w:hAnsi="宋体" w:eastAsia="宋体" w:cs="宋体"/>
          <w:b/>
          <w:color w:val="auto"/>
          <w:sz w:val="28"/>
          <w:highlight w:val="none"/>
          <w:lang w:val="en-US" w:eastAsia="zh-CN"/>
        </w:rPr>
        <w:t>6</w:t>
      </w:r>
    </w:p>
    <w:p>
      <w:pPr>
        <w:snapToGrid w:val="0"/>
        <w:spacing w:beforeLines="50" w:after="50" w:line="360" w:lineRule="auto"/>
        <w:jc w:val="center"/>
        <w:rPr>
          <w:rFonts w:hint="eastAsia" w:ascii="宋体" w:hAnsi="宋体" w:eastAsia="宋体" w:cs="宋体"/>
          <w:b/>
          <w:color w:val="auto"/>
          <w:sz w:val="32"/>
          <w:szCs w:val="32"/>
          <w:highlight w:val="none"/>
          <w:lang w:eastAsia="zh-CN"/>
        </w:rPr>
      </w:pPr>
      <w:r>
        <w:rPr>
          <w:rFonts w:hint="eastAsia" w:ascii="宋体" w:hAnsi="宋体" w:eastAsia="宋体" w:cs="宋体"/>
          <w:b/>
          <w:color w:val="auto"/>
          <w:sz w:val="32"/>
          <w:szCs w:val="32"/>
          <w:highlight w:val="none"/>
        </w:rPr>
        <w:t>报价明细表</w:t>
      </w:r>
    </w:p>
    <w:p>
      <w:pPr>
        <w:spacing w:line="360" w:lineRule="auto"/>
        <w:rPr>
          <w:rFonts w:hint="eastAsia" w:ascii="宋体" w:hAnsi="宋体" w:eastAsia="宋体" w:cs="宋体"/>
          <w:color w:val="auto"/>
          <w:sz w:val="24"/>
          <w:highlight w:val="none"/>
        </w:rPr>
      </w:pPr>
    </w:p>
    <w:p>
      <w:pPr>
        <w:pStyle w:val="11"/>
        <w:spacing w:line="360" w:lineRule="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项目编号：</w:t>
      </w:r>
    </w:p>
    <w:p>
      <w:pPr>
        <w:pStyle w:val="49"/>
        <w:spacing w:line="360" w:lineRule="auto"/>
        <w:ind w:right="480"/>
        <w:jc w:val="left"/>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rPr>
        <w:t>项目名称：</w:t>
      </w:r>
      <w:r>
        <w:rPr>
          <w:rFonts w:hint="eastAsia" w:ascii="宋体" w:hAnsi="宋体" w:eastAsia="宋体" w:cs="宋体"/>
          <w:color w:val="auto"/>
          <w:sz w:val="21"/>
          <w:szCs w:val="21"/>
          <w:highlight w:val="none"/>
        </w:rPr>
        <w:t xml:space="preserve">                                     [货币单位：人民币元]</w:t>
      </w:r>
      <w:r>
        <w:rPr>
          <w:rFonts w:hint="eastAsia" w:ascii="宋体" w:hAnsi="宋体" w:eastAsia="宋体" w:cs="宋体"/>
          <w:color w:val="auto"/>
          <w:sz w:val="24"/>
          <w:highlight w:val="none"/>
        </w:rPr>
        <w:t xml:space="preserve">                             </w:t>
      </w:r>
    </w:p>
    <w:tbl>
      <w:tblPr>
        <w:tblStyle w:val="22"/>
        <w:tblW w:w="864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
        <w:gridCol w:w="1318"/>
        <w:gridCol w:w="1397"/>
        <w:gridCol w:w="1559"/>
        <w:gridCol w:w="851"/>
        <w:gridCol w:w="992"/>
        <w:gridCol w:w="992"/>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829" w:type="dxa"/>
            <w:vAlign w:val="center"/>
          </w:tcPr>
          <w:p>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1318" w:type="dxa"/>
            <w:vAlign w:val="center"/>
          </w:tcPr>
          <w:p>
            <w:pPr>
              <w:tabs>
                <w:tab w:val="left" w:pos="8280"/>
              </w:tabs>
              <w:autoSpaceDE w:val="0"/>
              <w:autoSpaceDN w:val="0"/>
              <w:adjustRightInd w:val="0"/>
              <w:spacing w:line="360" w:lineRule="auto"/>
              <w:ind w:right="25"/>
              <w:jc w:val="center"/>
              <w:rPr>
                <w:rFonts w:hint="eastAsia" w:ascii="宋体" w:hAnsi="宋体" w:eastAsia="宋体" w:cs="宋体"/>
                <w:b/>
                <w:color w:val="auto"/>
                <w:sz w:val="24"/>
                <w:highlight w:val="none"/>
                <w:lang w:val="en-US" w:eastAsia="zh-CN"/>
              </w:rPr>
            </w:pPr>
            <w:r>
              <w:rPr>
                <w:rFonts w:hint="eastAsia" w:ascii="宋体" w:hAnsi="宋体" w:eastAsia="宋体" w:cs="宋体"/>
                <w:b/>
                <w:color w:val="auto"/>
                <w:sz w:val="24"/>
                <w:highlight w:val="none"/>
                <w:lang w:val="en-US" w:eastAsia="zh-CN"/>
              </w:rPr>
              <w:t>产品名称</w:t>
            </w:r>
          </w:p>
        </w:tc>
        <w:tc>
          <w:tcPr>
            <w:tcW w:w="1397" w:type="dxa"/>
            <w:vAlign w:val="center"/>
          </w:tcPr>
          <w:p>
            <w:pPr>
              <w:tabs>
                <w:tab w:val="left" w:pos="8280"/>
              </w:tabs>
              <w:autoSpaceDE w:val="0"/>
              <w:autoSpaceDN w:val="0"/>
              <w:adjustRightInd w:val="0"/>
              <w:spacing w:line="360" w:lineRule="auto"/>
              <w:ind w:right="25"/>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品牌、产地</w:t>
            </w:r>
          </w:p>
        </w:tc>
        <w:tc>
          <w:tcPr>
            <w:tcW w:w="1559" w:type="dxa"/>
            <w:vAlign w:val="center"/>
          </w:tcPr>
          <w:p>
            <w:pPr>
              <w:spacing w:line="360" w:lineRule="auto"/>
              <w:ind w:left="52"/>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型号规格</w:t>
            </w:r>
          </w:p>
        </w:tc>
        <w:tc>
          <w:tcPr>
            <w:tcW w:w="851" w:type="dxa"/>
            <w:vAlign w:val="center"/>
          </w:tcPr>
          <w:p>
            <w:pPr>
              <w:spacing w:line="360" w:lineRule="auto"/>
              <w:ind w:left="152"/>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数量</w:t>
            </w:r>
          </w:p>
        </w:tc>
        <w:tc>
          <w:tcPr>
            <w:tcW w:w="992" w:type="dxa"/>
            <w:vAlign w:val="center"/>
          </w:tcPr>
          <w:p>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单价</w:t>
            </w:r>
          </w:p>
        </w:tc>
        <w:tc>
          <w:tcPr>
            <w:tcW w:w="992" w:type="dxa"/>
            <w:vAlign w:val="center"/>
          </w:tcPr>
          <w:p>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小计</w:t>
            </w:r>
          </w:p>
        </w:tc>
        <w:tc>
          <w:tcPr>
            <w:tcW w:w="709" w:type="dxa"/>
            <w:vAlign w:val="center"/>
          </w:tcPr>
          <w:p>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829" w:type="dxa"/>
            <w:vAlign w:val="center"/>
          </w:tcPr>
          <w:p>
            <w:pPr>
              <w:spacing w:line="360" w:lineRule="auto"/>
              <w:rPr>
                <w:rFonts w:hint="eastAsia" w:ascii="宋体" w:hAnsi="宋体" w:eastAsia="宋体" w:cs="宋体"/>
                <w:color w:val="auto"/>
                <w:sz w:val="24"/>
                <w:highlight w:val="none"/>
              </w:rPr>
            </w:pPr>
          </w:p>
        </w:tc>
        <w:tc>
          <w:tcPr>
            <w:tcW w:w="1318" w:type="dxa"/>
            <w:vAlign w:val="center"/>
          </w:tcPr>
          <w:p>
            <w:pPr>
              <w:spacing w:line="360" w:lineRule="auto"/>
              <w:rPr>
                <w:rFonts w:hint="eastAsia" w:ascii="宋体" w:hAnsi="宋体" w:eastAsia="宋体" w:cs="宋体"/>
                <w:color w:val="auto"/>
                <w:sz w:val="24"/>
                <w:highlight w:val="none"/>
              </w:rPr>
            </w:pPr>
          </w:p>
        </w:tc>
        <w:tc>
          <w:tcPr>
            <w:tcW w:w="1397" w:type="dxa"/>
            <w:vAlign w:val="center"/>
          </w:tcPr>
          <w:p>
            <w:pPr>
              <w:spacing w:line="360" w:lineRule="auto"/>
              <w:rPr>
                <w:rFonts w:hint="eastAsia" w:ascii="宋体" w:hAnsi="宋体" w:eastAsia="宋体" w:cs="宋体"/>
                <w:color w:val="auto"/>
                <w:sz w:val="24"/>
                <w:highlight w:val="none"/>
              </w:rPr>
            </w:pPr>
          </w:p>
        </w:tc>
        <w:tc>
          <w:tcPr>
            <w:tcW w:w="1559" w:type="dxa"/>
            <w:vAlign w:val="center"/>
          </w:tcPr>
          <w:p>
            <w:pPr>
              <w:spacing w:line="360" w:lineRule="auto"/>
              <w:rPr>
                <w:rFonts w:hint="eastAsia" w:ascii="宋体" w:hAnsi="宋体" w:eastAsia="宋体" w:cs="宋体"/>
                <w:color w:val="auto"/>
                <w:sz w:val="24"/>
                <w:highlight w:val="none"/>
              </w:rPr>
            </w:pPr>
          </w:p>
        </w:tc>
        <w:tc>
          <w:tcPr>
            <w:tcW w:w="851" w:type="dxa"/>
            <w:vAlign w:val="center"/>
          </w:tcPr>
          <w:p>
            <w:pPr>
              <w:spacing w:line="360" w:lineRule="auto"/>
              <w:rPr>
                <w:rFonts w:hint="eastAsia" w:ascii="宋体" w:hAnsi="宋体" w:eastAsia="宋体" w:cs="宋体"/>
                <w:color w:val="auto"/>
                <w:sz w:val="24"/>
                <w:highlight w:val="none"/>
              </w:rPr>
            </w:pPr>
          </w:p>
        </w:tc>
        <w:tc>
          <w:tcPr>
            <w:tcW w:w="992" w:type="dxa"/>
            <w:vAlign w:val="center"/>
          </w:tcPr>
          <w:p>
            <w:pPr>
              <w:spacing w:line="360" w:lineRule="auto"/>
              <w:rPr>
                <w:rFonts w:hint="eastAsia" w:ascii="宋体" w:hAnsi="宋体" w:eastAsia="宋体" w:cs="宋体"/>
                <w:color w:val="auto"/>
                <w:sz w:val="24"/>
                <w:highlight w:val="none"/>
              </w:rPr>
            </w:pPr>
          </w:p>
        </w:tc>
        <w:tc>
          <w:tcPr>
            <w:tcW w:w="992" w:type="dxa"/>
            <w:vAlign w:val="center"/>
          </w:tcPr>
          <w:p>
            <w:pPr>
              <w:spacing w:line="360" w:lineRule="auto"/>
              <w:rPr>
                <w:rFonts w:hint="eastAsia" w:ascii="宋体" w:hAnsi="宋体" w:eastAsia="宋体" w:cs="宋体"/>
                <w:color w:val="auto"/>
                <w:sz w:val="24"/>
                <w:highlight w:val="none"/>
              </w:rPr>
            </w:pPr>
          </w:p>
        </w:tc>
        <w:tc>
          <w:tcPr>
            <w:tcW w:w="709" w:type="dxa"/>
            <w:vAlign w:val="center"/>
          </w:tcPr>
          <w:p>
            <w:pPr>
              <w:spacing w:line="360" w:lineRule="auto"/>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829" w:type="dxa"/>
            <w:vAlign w:val="center"/>
          </w:tcPr>
          <w:p>
            <w:pPr>
              <w:spacing w:line="360" w:lineRule="auto"/>
              <w:rPr>
                <w:rFonts w:hint="eastAsia" w:ascii="宋体" w:hAnsi="宋体" w:eastAsia="宋体" w:cs="宋体"/>
                <w:color w:val="auto"/>
                <w:sz w:val="24"/>
                <w:highlight w:val="none"/>
              </w:rPr>
            </w:pPr>
          </w:p>
        </w:tc>
        <w:tc>
          <w:tcPr>
            <w:tcW w:w="1318" w:type="dxa"/>
            <w:vAlign w:val="center"/>
          </w:tcPr>
          <w:p>
            <w:pPr>
              <w:spacing w:line="360" w:lineRule="auto"/>
              <w:rPr>
                <w:rFonts w:hint="eastAsia" w:ascii="宋体" w:hAnsi="宋体" w:eastAsia="宋体" w:cs="宋体"/>
                <w:color w:val="auto"/>
                <w:sz w:val="24"/>
                <w:highlight w:val="none"/>
              </w:rPr>
            </w:pPr>
          </w:p>
        </w:tc>
        <w:tc>
          <w:tcPr>
            <w:tcW w:w="1397" w:type="dxa"/>
            <w:vAlign w:val="center"/>
          </w:tcPr>
          <w:p>
            <w:pPr>
              <w:spacing w:line="360" w:lineRule="auto"/>
              <w:rPr>
                <w:rFonts w:hint="eastAsia" w:ascii="宋体" w:hAnsi="宋体" w:eastAsia="宋体" w:cs="宋体"/>
                <w:color w:val="auto"/>
                <w:sz w:val="24"/>
                <w:highlight w:val="none"/>
              </w:rPr>
            </w:pPr>
          </w:p>
        </w:tc>
        <w:tc>
          <w:tcPr>
            <w:tcW w:w="1559" w:type="dxa"/>
            <w:vAlign w:val="center"/>
          </w:tcPr>
          <w:p>
            <w:pPr>
              <w:spacing w:line="360" w:lineRule="auto"/>
              <w:rPr>
                <w:rFonts w:hint="eastAsia" w:ascii="宋体" w:hAnsi="宋体" w:eastAsia="宋体" w:cs="宋体"/>
                <w:color w:val="auto"/>
                <w:sz w:val="24"/>
                <w:highlight w:val="none"/>
              </w:rPr>
            </w:pPr>
          </w:p>
        </w:tc>
        <w:tc>
          <w:tcPr>
            <w:tcW w:w="851" w:type="dxa"/>
            <w:vAlign w:val="center"/>
          </w:tcPr>
          <w:p>
            <w:pPr>
              <w:spacing w:line="360" w:lineRule="auto"/>
              <w:rPr>
                <w:rFonts w:hint="eastAsia" w:ascii="宋体" w:hAnsi="宋体" w:eastAsia="宋体" w:cs="宋体"/>
                <w:color w:val="auto"/>
                <w:sz w:val="24"/>
                <w:highlight w:val="none"/>
              </w:rPr>
            </w:pPr>
          </w:p>
        </w:tc>
        <w:tc>
          <w:tcPr>
            <w:tcW w:w="992" w:type="dxa"/>
            <w:vAlign w:val="center"/>
          </w:tcPr>
          <w:p>
            <w:pPr>
              <w:spacing w:line="360" w:lineRule="auto"/>
              <w:rPr>
                <w:rFonts w:hint="eastAsia" w:ascii="宋体" w:hAnsi="宋体" w:eastAsia="宋体" w:cs="宋体"/>
                <w:color w:val="auto"/>
                <w:sz w:val="24"/>
                <w:highlight w:val="none"/>
              </w:rPr>
            </w:pPr>
          </w:p>
        </w:tc>
        <w:tc>
          <w:tcPr>
            <w:tcW w:w="992" w:type="dxa"/>
            <w:vAlign w:val="center"/>
          </w:tcPr>
          <w:p>
            <w:pPr>
              <w:spacing w:line="360" w:lineRule="auto"/>
              <w:rPr>
                <w:rFonts w:hint="eastAsia" w:ascii="宋体" w:hAnsi="宋体" w:eastAsia="宋体" w:cs="宋体"/>
                <w:color w:val="auto"/>
                <w:sz w:val="24"/>
                <w:highlight w:val="none"/>
              </w:rPr>
            </w:pPr>
          </w:p>
        </w:tc>
        <w:tc>
          <w:tcPr>
            <w:tcW w:w="709" w:type="dxa"/>
            <w:vAlign w:val="center"/>
          </w:tcPr>
          <w:p>
            <w:pPr>
              <w:spacing w:line="360" w:lineRule="auto"/>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829" w:type="dxa"/>
            <w:vAlign w:val="center"/>
          </w:tcPr>
          <w:p>
            <w:pPr>
              <w:spacing w:line="360" w:lineRule="auto"/>
              <w:rPr>
                <w:rFonts w:hint="eastAsia" w:ascii="宋体" w:hAnsi="宋体" w:eastAsia="宋体" w:cs="宋体"/>
                <w:color w:val="auto"/>
                <w:sz w:val="24"/>
                <w:highlight w:val="none"/>
              </w:rPr>
            </w:pPr>
          </w:p>
        </w:tc>
        <w:tc>
          <w:tcPr>
            <w:tcW w:w="1318" w:type="dxa"/>
            <w:vAlign w:val="center"/>
          </w:tcPr>
          <w:p>
            <w:pPr>
              <w:spacing w:line="360" w:lineRule="auto"/>
              <w:rPr>
                <w:rFonts w:hint="eastAsia" w:ascii="宋体" w:hAnsi="宋体" w:eastAsia="宋体" w:cs="宋体"/>
                <w:color w:val="auto"/>
                <w:sz w:val="24"/>
                <w:highlight w:val="none"/>
              </w:rPr>
            </w:pPr>
          </w:p>
        </w:tc>
        <w:tc>
          <w:tcPr>
            <w:tcW w:w="1397" w:type="dxa"/>
            <w:vAlign w:val="center"/>
          </w:tcPr>
          <w:p>
            <w:pPr>
              <w:spacing w:line="360" w:lineRule="auto"/>
              <w:rPr>
                <w:rFonts w:hint="eastAsia" w:ascii="宋体" w:hAnsi="宋体" w:eastAsia="宋体" w:cs="宋体"/>
                <w:color w:val="auto"/>
                <w:sz w:val="24"/>
                <w:highlight w:val="none"/>
              </w:rPr>
            </w:pPr>
          </w:p>
        </w:tc>
        <w:tc>
          <w:tcPr>
            <w:tcW w:w="1559" w:type="dxa"/>
            <w:vAlign w:val="center"/>
          </w:tcPr>
          <w:p>
            <w:pPr>
              <w:spacing w:line="360" w:lineRule="auto"/>
              <w:rPr>
                <w:rFonts w:hint="eastAsia" w:ascii="宋体" w:hAnsi="宋体" w:eastAsia="宋体" w:cs="宋体"/>
                <w:color w:val="auto"/>
                <w:sz w:val="24"/>
                <w:highlight w:val="none"/>
              </w:rPr>
            </w:pPr>
          </w:p>
        </w:tc>
        <w:tc>
          <w:tcPr>
            <w:tcW w:w="851" w:type="dxa"/>
            <w:vAlign w:val="center"/>
          </w:tcPr>
          <w:p>
            <w:pPr>
              <w:spacing w:line="360" w:lineRule="auto"/>
              <w:rPr>
                <w:rFonts w:hint="eastAsia" w:ascii="宋体" w:hAnsi="宋体" w:eastAsia="宋体" w:cs="宋体"/>
                <w:color w:val="auto"/>
                <w:sz w:val="24"/>
                <w:highlight w:val="none"/>
              </w:rPr>
            </w:pPr>
          </w:p>
        </w:tc>
        <w:tc>
          <w:tcPr>
            <w:tcW w:w="992" w:type="dxa"/>
            <w:vAlign w:val="center"/>
          </w:tcPr>
          <w:p>
            <w:pPr>
              <w:spacing w:line="360" w:lineRule="auto"/>
              <w:rPr>
                <w:rFonts w:hint="eastAsia" w:ascii="宋体" w:hAnsi="宋体" w:eastAsia="宋体" w:cs="宋体"/>
                <w:color w:val="auto"/>
                <w:sz w:val="24"/>
                <w:highlight w:val="none"/>
              </w:rPr>
            </w:pPr>
          </w:p>
        </w:tc>
        <w:tc>
          <w:tcPr>
            <w:tcW w:w="992" w:type="dxa"/>
            <w:vAlign w:val="center"/>
          </w:tcPr>
          <w:p>
            <w:pPr>
              <w:spacing w:line="360" w:lineRule="auto"/>
              <w:rPr>
                <w:rFonts w:hint="eastAsia" w:ascii="宋体" w:hAnsi="宋体" w:eastAsia="宋体" w:cs="宋体"/>
                <w:color w:val="auto"/>
                <w:sz w:val="24"/>
                <w:highlight w:val="none"/>
              </w:rPr>
            </w:pPr>
          </w:p>
        </w:tc>
        <w:tc>
          <w:tcPr>
            <w:tcW w:w="709" w:type="dxa"/>
            <w:vAlign w:val="center"/>
          </w:tcPr>
          <w:p>
            <w:pPr>
              <w:spacing w:line="360" w:lineRule="auto"/>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829" w:type="dxa"/>
            <w:vAlign w:val="center"/>
          </w:tcPr>
          <w:p>
            <w:pPr>
              <w:spacing w:line="360" w:lineRule="auto"/>
              <w:rPr>
                <w:rFonts w:hint="eastAsia" w:ascii="宋体" w:hAnsi="宋体" w:eastAsia="宋体" w:cs="宋体"/>
                <w:color w:val="auto"/>
                <w:sz w:val="24"/>
                <w:highlight w:val="none"/>
              </w:rPr>
            </w:pPr>
          </w:p>
        </w:tc>
        <w:tc>
          <w:tcPr>
            <w:tcW w:w="1318" w:type="dxa"/>
            <w:vAlign w:val="center"/>
          </w:tcPr>
          <w:p>
            <w:pPr>
              <w:spacing w:line="360" w:lineRule="auto"/>
              <w:rPr>
                <w:rFonts w:hint="eastAsia" w:ascii="宋体" w:hAnsi="宋体" w:eastAsia="宋体" w:cs="宋体"/>
                <w:color w:val="auto"/>
                <w:sz w:val="24"/>
                <w:highlight w:val="none"/>
              </w:rPr>
            </w:pPr>
          </w:p>
        </w:tc>
        <w:tc>
          <w:tcPr>
            <w:tcW w:w="1397" w:type="dxa"/>
            <w:vAlign w:val="center"/>
          </w:tcPr>
          <w:p>
            <w:pPr>
              <w:spacing w:line="360" w:lineRule="auto"/>
              <w:rPr>
                <w:rFonts w:hint="eastAsia" w:ascii="宋体" w:hAnsi="宋体" w:eastAsia="宋体" w:cs="宋体"/>
                <w:color w:val="auto"/>
                <w:sz w:val="24"/>
                <w:highlight w:val="none"/>
              </w:rPr>
            </w:pPr>
          </w:p>
        </w:tc>
        <w:tc>
          <w:tcPr>
            <w:tcW w:w="1559" w:type="dxa"/>
            <w:vAlign w:val="center"/>
          </w:tcPr>
          <w:p>
            <w:pPr>
              <w:spacing w:line="360" w:lineRule="auto"/>
              <w:rPr>
                <w:rFonts w:hint="eastAsia" w:ascii="宋体" w:hAnsi="宋体" w:eastAsia="宋体" w:cs="宋体"/>
                <w:color w:val="auto"/>
                <w:sz w:val="24"/>
                <w:highlight w:val="none"/>
              </w:rPr>
            </w:pPr>
          </w:p>
        </w:tc>
        <w:tc>
          <w:tcPr>
            <w:tcW w:w="851" w:type="dxa"/>
            <w:vAlign w:val="center"/>
          </w:tcPr>
          <w:p>
            <w:pPr>
              <w:spacing w:line="360" w:lineRule="auto"/>
              <w:rPr>
                <w:rFonts w:hint="eastAsia" w:ascii="宋体" w:hAnsi="宋体" w:eastAsia="宋体" w:cs="宋体"/>
                <w:color w:val="auto"/>
                <w:sz w:val="24"/>
                <w:highlight w:val="none"/>
              </w:rPr>
            </w:pPr>
          </w:p>
        </w:tc>
        <w:tc>
          <w:tcPr>
            <w:tcW w:w="992" w:type="dxa"/>
            <w:vAlign w:val="center"/>
          </w:tcPr>
          <w:p>
            <w:pPr>
              <w:spacing w:line="360" w:lineRule="auto"/>
              <w:rPr>
                <w:rFonts w:hint="eastAsia" w:ascii="宋体" w:hAnsi="宋体" w:eastAsia="宋体" w:cs="宋体"/>
                <w:color w:val="auto"/>
                <w:sz w:val="24"/>
                <w:highlight w:val="none"/>
              </w:rPr>
            </w:pPr>
          </w:p>
        </w:tc>
        <w:tc>
          <w:tcPr>
            <w:tcW w:w="992" w:type="dxa"/>
            <w:vAlign w:val="center"/>
          </w:tcPr>
          <w:p>
            <w:pPr>
              <w:spacing w:line="360" w:lineRule="auto"/>
              <w:rPr>
                <w:rFonts w:hint="eastAsia" w:ascii="宋体" w:hAnsi="宋体" w:eastAsia="宋体" w:cs="宋体"/>
                <w:color w:val="auto"/>
                <w:sz w:val="24"/>
                <w:highlight w:val="none"/>
              </w:rPr>
            </w:pPr>
          </w:p>
        </w:tc>
        <w:tc>
          <w:tcPr>
            <w:tcW w:w="709" w:type="dxa"/>
            <w:vAlign w:val="center"/>
          </w:tcPr>
          <w:p>
            <w:pPr>
              <w:spacing w:line="360" w:lineRule="auto"/>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rPr>
        <w:tc>
          <w:tcPr>
            <w:tcW w:w="829" w:type="dxa"/>
            <w:vAlign w:val="center"/>
          </w:tcPr>
          <w:p>
            <w:pPr>
              <w:spacing w:line="360" w:lineRule="auto"/>
              <w:rPr>
                <w:rFonts w:hint="eastAsia" w:ascii="宋体" w:hAnsi="宋体" w:eastAsia="宋体" w:cs="宋体"/>
                <w:color w:val="auto"/>
                <w:sz w:val="24"/>
                <w:highlight w:val="none"/>
              </w:rPr>
            </w:pPr>
          </w:p>
        </w:tc>
        <w:tc>
          <w:tcPr>
            <w:tcW w:w="1318" w:type="dxa"/>
            <w:vAlign w:val="center"/>
          </w:tcPr>
          <w:p>
            <w:pPr>
              <w:spacing w:line="360" w:lineRule="auto"/>
              <w:rPr>
                <w:rFonts w:hint="eastAsia" w:ascii="宋体" w:hAnsi="宋体" w:eastAsia="宋体" w:cs="宋体"/>
                <w:color w:val="auto"/>
                <w:sz w:val="24"/>
                <w:highlight w:val="none"/>
              </w:rPr>
            </w:pPr>
          </w:p>
        </w:tc>
        <w:tc>
          <w:tcPr>
            <w:tcW w:w="1397" w:type="dxa"/>
            <w:vAlign w:val="center"/>
          </w:tcPr>
          <w:p>
            <w:pPr>
              <w:spacing w:line="360" w:lineRule="auto"/>
              <w:rPr>
                <w:rFonts w:hint="eastAsia" w:ascii="宋体" w:hAnsi="宋体" w:eastAsia="宋体" w:cs="宋体"/>
                <w:color w:val="auto"/>
                <w:sz w:val="24"/>
                <w:highlight w:val="none"/>
              </w:rPr>
            </w:pPr>
          </w:p>
        </w:tc>
        <w:tc>
          <w:tcPr>
            <w:tcW w:w="1559" w:type="dxa"/>
            <w:vAlign w:val="center"/>
          </w:tcPr>
          <w:p>
            <w:pPr>
              <w:spacing w:line="360" w:lineRule="auto"/>
              <w:rPr>
                <w:rFonts w:hint="eastAsia" w:ascii="宋体" w:hAnsi="宋体" w:eastAsia="宋体" w:cs="宋体"/>
                <w:color w:val="auto"/>
                <w:sz w:val="24"/>
                <w:highlight w:val="none"/>
              </w:rPr>
            </w:pPr>
          </w:p>
        </w:tc>
        <w:tc>
          <w:tcPr>
            <w:tcW w:w="851" w:type="dxa"/>
            <w:vAlign w:val="center"/>
          </w:tcPr>
          <w:p>
            <w:pPr>
              <w:spacing w:line="360" w:lineRule="auto"/>
              <w:rPr>
                <w:rFonts w:hint="eastAsia" w:ascii="宋体" w:hAnsi="宋体" w:eastAsia="宋体" w:cs="宋体"/>
                <w:color w:val="auto"/>
                <w:sz w:val="24"/>
                <w:highlight w:val="none"/>
              </w:rPr>
            </w:pPr>
          </w:p>
        </w:tc>
        <w:tc>
          <w:tcPr>
            <w:tcW w:w="992" w:type="dxa"/>
            <w:vAlign w:val="center"/>
          </w:tcPr>
          <w:p>
            <w:pPr>
              <w:spacing w:line="360" w:lineRule="auto"/>
              <w:rPr>
                <w:rFonts w:hint="eastAsia" w:ascii="宋体" w:hAnsi="宋体" w:eastAsia="宋体" w:cs="宋体"/>
                <w:color w:val="auto"/>
                <w:sz w:val="24"/>
                <w:highlight w:val="none"/>
              </w:rPr>
            </w:pPr>
          </w:p>
        </w:tc>
        <w:tc>
          <w:tcPr>
            <w:tcW w:w="992" w:type="dxa"/>
            <w:vAlign w:val="center"/>
          </w:tcPr>
          <w:p>
            <w:pPr>
              <w:spacing w:line="360" w:lineRule="auto"/>
              <w:rPr>
                <w:rFonts w:hint="eastAsia" w:ascii="宋体" w:hAnsi="宋体" w:eastAsia="宋体" w:cs="宋体"/>
                <w:color w:val="auto"/>
                <w:sz w:val="24"/>
                <w:highlight w:val="none"/>
              </w:rPr>
            </w:pPr>
          </w:p>
        </w:tc>
        <w:tc>
          <w:tcPr>
            <w:tcW w:w="709" w:type="dxa"/>
            <w:vAlign w:val="center"/>
          </w:tcPr>
          <w:p>
            <w:pPr>
              <w:spacing w:line="360" w:lineRule="auto"/>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6" w:hRule="atLeast"/>
        </w:trPr>
        <w:tc>
          <w:tcPr>
            <w:tcW w:w="8647" w:type="dxa"/>
            <w:gridSpan w:val="8"/>
            <w:tcBorders>
              <w:bottom w:val="single" w:color="auto" w:sz="4" w:space="0"/>
            </w:tcBorders>
            <w:vAlign w:val="center"/>
          </w:tcPr>
          <w:p>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合计人民币：大写                               小写</w:t>
            </w:r>
          </w:p>
        </w:tc>
      </w:tr>
    </w:tbl>
    <w:p>
      <w:pPr>
        <w:spacing w:line="360" w:lineRule="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要求：</w:t>
      </w:r>
    </w:p>
    <w:p>
      <w:pPr>
        <w:spacing w:line="360" w:lineRule="auto"/>
        <w:ind w:left="435"/>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 xml:space="preserve"> 本表为《开标一览表》的报价明细表，如有缺项、漏项，视为投标报价中已包含相关费用，采购人无需另外支付任何费用。</w:t>
      </w:r>
    </w:p>
    <w:p>
      <w:pPr>
        <w:spacing w:line="360" w:lineRule="auto"/>
        <w:ind w:left="435"/>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zh-CN"/>
        </w:rPr>
        <w:t>“报价明细表”中的报价合计应与“开标一览表”中的投标总报价相一致，不一致时，以开标一览表为准。</w:t>
      </w:r>
    </w:p>
    <w:p>
      <w:pPr>
        <w:spacing w:line="360" w:lineRule="auto"/>
        <w:ind w:left="435"/>
        <w:rPr>
          <w:rFonts w:hint="eastAsia" w:ascii="宋体" w:hAnsi="宋体" w:eastAsia="宋体" w:cs="宋体"/>
          <w:color w:val="auto"/>
          <w:szCs w:val="21"/>
          <w:highlight w:val="none"/>
          <w:lang w:val="zh-CN"/>
        </w:rPr>
      </w:pPr>
      <w:r>
        <w:rPr>
          <w:rFonts w:hint="eastAsia" w:ascii="宋体" w:hAnsi="宋体" w:eastAsia="宋体" w:cs="宋体"/>
          <w:color w:val="auto"/>
          <w:kern w:val="0"/>
          <w:szCs w:val="21"/>
          <w:highlight w:val="none"/>
        </w:rPr>
        <w:t>▲</w:t>
      </w:r>
      <w:r>
        <w:rPr>
          <w:rFonts w:hint="eastAsia" w:ascii="宋体" w:hAnsi="宋体" w:eastAsia="宋体" w:cs="宋体"/>
          <w:color w:val="auto"/>
          <w:szCs w:val="21"/>
          <w:highlight w:val="none"/>
        </w:rPr>
        <w:t>3</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zh-CN"/>
        </w:rPr>
        <w:t>投标报价明细表所填内容按招标文件采购设备清单要求为准。如有漏报的，视同已包含在投标总价内或已作优惠处理。有重大缺项的将作无效标处理。</w:t>
      </w:r>
    </w:p>
    <w:p>
      <w:pPr>
        <w:pStyle w:val="12"/>
        <w:ind w:left="0" w:leftChars="0" w:firstLine="0" w:firstLineChars="0"/>
        <w:rPr>
          <w:rFonts w:hint="eastAsia" w:ascii="宋体" w:hAnsi="宋体" w:eastAsia="宋体" w:cs="宋体"/>
          <w:color w:val="auto"/>
          <w:highlight w:val="none"/>
        </w:rPr>
      </w:pPr>
    </w:p>
    <w:p>
      <w:pPr>
        <w:spacing w:line="360" w:lineRule="auto"/>
        <w:ind w:firstLine="420" w:firstLineChars="200"/>
        <w:rPr>
          <w:rFonts w:hint="eastAsia" w:ascii="宋体" w:hAnsi="宋体" w:eastAsia="宋体" w:cs="宋体"/>
          <w:color w:val="auto"/>
          <w:sz w:val="21"/>
          <w:szCs w:val="21"/>
          <w:highlight w:val="none"/>
        </w:rPr>
      </w:pPr>
    </w:p>
    <w:p>
      <w:pPr>
        <w:spacing w:line="360" w:lineRule="auto"/>
        <w:ind w:firstLine="420" w:firstLineChars="200"/>
        <w:rPr>
          <w:rFonts w:hint="eastAsia" w:ascii="宋体" w:hAnsi="宋体" w:eastAsia="宋体" w:cs="宋体"/>
          <w:color w:val="auto"/>
          <w:sz w:val="21"/>
          <w:szCs w:val="21"/>
          <w:highlight w:val="none"/>
        </w:rPr>
      </w:pP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投标人名称（盖章）：</w:t>
      </w:r>
    </w:p>
    <w:p>
      <w:pPr>
        <w:spacing w:line="360" w:lineRule="auto"/>
        <w:ind w:firstLine="43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法定代表人或授权委托代理人（签字或盖章）</w:t>
      </w:r>
      <w:r>
        <w:rPr>
          <w:rFonts w:hint="eastAsia" w:ascii="宋体" w:hAnsi="宋体" w:eastAsia="宋体" w:cs="宋体"/>
          <w:color w:val="auto"/>
          <w:sz w:val="21"/>
          <w:szCs w:val="21"/>
          <w:highlight w:val="none"/>
        </w:rPr>
        <w:t>：</w:t>
      </w:r>
    </w:p>
    <w:p>
      <w:pPr>
        <w:spacing w:line="360" w:lineRule="auto"/>
        <w:ind w:firstLine="43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日期：</w:t>
      </w:r>
    </w:p>
    <w:p>
      <w:pPr>
        <w:spacing w:line="400" w:lineRule="exact"/>
        <w:rPr>
          <w:rFonts w:hint="eastAsia" w:ascii="宋体" w:hAnsi="宋体" w:eastAsia="宋体" w:cs="宋体"/>
          <w:b/>
          <w:color w:val="auto"/>
          <w:sz w:val="28"/>
          <w:highlight w:val="none"/>
        </w:rPr>
      </w:pPr>
    </w:p>
    <w:p>
      <w:pPr>
        <w:spacing w:line="400" w:lineRule="exact"/>
        <w:outlineLvl w:val="9"/>
        <w:rPr>
          <w:rFonts w:hint="eastAsia" w:ascii="宋体" w:hAnsi="宋体" w:eastAsia="宋体" w:cs="宋体"/>
          <w:b/>
          <w:color w:val="auto"/>
          <w:sz w:val="28"/>
          <w:highlight w:val="none"/>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pPr>
        <w:spacing w:line="400" w:lineRule="exact"/>
        <w:outlineLvl w:val="9"/>
        <w:rPr>
          <w:rFonts w:hint="eastAsia" w:ascii="宋体" w:hAnsi="宋体" w:eastAsia="宋体" w:cs="宋体"/>
          <w:b/>
          <w:color w:val="auto"/>
          <w:sz w:val="28"/>
          <w:highlight w:val="none"/>
          <w:lang w:val="en-US" w:eastAsia="zh-CN"/>
        </w:rPr>
      </w:pPr>
      <w:r>
        <w:rPr>
          <w:rFonts w:hint="eastAsia" w:ascii="宋体" w:hAnsi="宋体" w:eastAsia="宋体" w:cs="宋体"/>
          <w:b/>
          <w:color w:val="auto"/>
          <w:sz w:val="28"/>
          <w:highlight w:val="none"/>
        </w:rPr>
        <w:t>附件1</w:t>
      </w:r>
      <w:r>
        <w:rPr>
          <w:rFonts w:hint="eastAsia" w:ascii="宋体" w:hAnsi="宋体" w:eastAsia="宋体" w:cs="宋体"/>
          <w:b/>
          <w:color w:val="auto"/>
          <w:sz w:val="28"/>
          <w:highlight w:val="none"/>
          <w:lang w:val="en-US" w:eastAsia="zh-CN"/>
        </w:rPr>
        <w:t>7</w:t>
      </w:r>
    </w:p>
    <w:p>
      <w:pPr>
        <w:snapToGrid w:val="0"/>
        <w:spacing w:beforeLines="50" w:after="50" w:line="360" w:lineRule="auto"/>
        <w:jc w:val="center"/>
        <w:rPr>
          <w:rFonts w:hint="eastAsia" w:ascii="宋体" w:hAnsi="宋体" w:eastAsia="宋体" w:cs="宋体"/>
          <w:b/>
          <w:color w:val="auto"/>
          <w:sz w:val="32"/>
          <w:szCs w:val="32"/>
          <w:highlight w:val="none"/>
          <w:lang w:eastAsia="zh-CN"/>
        </w:rPr>
      </w:pPr>
      <w:r>
        <w:rPr>
          <w:rFonts w:hint="eastAsia" w:ascii="宋体" w:hAnsi="宋体" w:eastAsia="宋体" w:cs="宋体"/>
          <w:b/>
          <w:color w:val="auto"/>
          <w:sz w:val="32"/>
          <w:szCs w:val="32"/>
          <w:highlight w:val="none"/>
        </w:rPr>
        <w:t>中小企业声明函</w:t>
      </w:r>
    </w:p>
    <w:p>
      <w:pPr>
        <w:pStyle w:val="7"/>
        <w:spacing w:before="5"/>
        <w:rPr>
          <w:rFonts w:hint="eastAsia" w:ascii="宋体" w:hAnsi="宋体" w:eastAsia="宋体" w:cs="宋体"/>
          <w:b/>
          <w:color w:val="auto"/>
          <w:sz w:val="18"/>
          <w:szCs w:val="18"/>
          <w:highlight w:val="none"/>
        </w:rPr>
      </w:pPr>
    </w:p>
    <w:p>
      <w:pPr>
        <w:pStyle w:val="7"/>
        <w:autoSpaceDE w:val="0"/>
        <w:autoSpaceDN w:val="0"/>
        <w:adjustRightInd/>
        <w:spacing w:line="360" w:lineRule="auto"/>
        <w:ind w:right="-54" w:firstLine="420" w:firstLineChars="200"/>
        <w:jc w:val="both"/>
        <w:textAlignment w:val="auto"/>
        <w:rPr>
          <w:rFonts w:hint="eastAsia" w:ascii="宋体" w:hAnsi="宋体" w:eastAsia="宋体" w:cs="宋体"/>
          <w:color w:val="auto"/>
          <w:kern w:val="2"/>
          <w:sz w:val="21"/>
          <w:szCs w:val="21"/>
          <w:highlight w:val="none"/>
          <w:lang w:val="zh-CN" w:eastAsia="zh-CN" w:bidi="ar-SA"/>
        </w:rPr>
      </w:pPr>
      <w:r>
        <w:rPr>
          <w:rFonts w:hint="eastAsia" w:ascii="宋体" w:hAnsi="宋体" w:eastAsia="宋体" w:cs="宋体"/>
          <w:color w:val="auto"/>
          <w:kern w:val="2"/>
          <w:sz w:val="21"/>
          <w:szCs w:val="21"/>
          <w:highlight w:val="none"/>
          <w:lang w:val="zh-CN" w:eastAsia="zh-CN" w:bidi="ar-SA"/>
        </w:rPr>
        <w:t>本公司（联合体）郑重声明，根据《政府采购促进中小企业发展管理办法》（财库﹝2020﹞46号）的规定，本公司（联合体）参加</w:t>
      </w:r>
      <w:r>
        <w:rPr>
          <w:rFonts w:hint="eastAsia" w:ascii="宋体" w:hAnsi="宋体" w:eastAsia="宋体" w:cs="宋体"/>
          <w:i w:val="0"/>
          <w:iCs/>
          <w:color w:val="auto"/>
          <w:sz w:val="21"/>
          <w:szCs w:val="21"/>
          <w:highlight w:val="none"/>
          <w:u w:val="single"/>
        </w:rPr>
        <w:t>（单位名称）</w:t>
      </w:r>
      <w:r>
        <w:rPr>
          <w:rFonts w:hint="eastAsia" w:ascii="宋体" w:hAnsi="宋体" w:eastAsia="宋体" w:cs="宋体"/>
          <w:color w:val="auto"/>
          <w:sz w:val="21"/>
          <w:szCs w:val="21"/>
          <w:highlight w:val="none"/>
        </w:rPr>
        <w:t>的</w:t>
      </w:r>
      <w:r>
        <w:rPr>
          <w:rFonts w:hint="eastAsia" w:ascii="宋体" w:hAnsi="宋体" w:eastAsia="宋体" w:cs="宋体"/>
          <w:i w:val="0"/>
          <w:iCs/>
          <w:color w:val="auto"/>
          <w:sz w:val="21"/>
          <w:szCs w:val="21"/>
          <w:highlight w:val="none"/>
          <w:u w:val="single"/>
        </w:rPr>
        <w:t>（项目名称）</w:t>
      </w:r>
      <w:r>
        <w:rPr>
          <w:rFonts w:hint="eastAsia" w:ascii="宋体" w:hAnsi="宋体" w:eastAsia="宋体" w:cs="宋体"/>
          <w:color w:val="auto"/>
          <w:sz w:val="21"/>
          <w:szCs w:val="21"/>
          <w:highlight w:val="none"/>
        </w:rPr>
        <w:t>采购活动，</w:t>
      </w:r>
      <w:r>
        <w:rPr>
          <w:rFonts w:hint="eastAsia" w:ascii="宋体" w:hAnsi="宋体" w:eastAsia="宋体" w:cs="宋体"/>
          <w:bCs/>
          <w:color w:val="auto"/>
          <w:szCs w:val="21"/>
          <w:highlight w:val="none"/>
        </w:rPr>
        <w:t>提供的货物全部由符合政策要求的中小企业制造</w:t>
      </w:r>
      <w:r>
        <w:rPr>
          <w:rFonts w:hint="eastAsia" w:ascii="宋体" w:hAnsi="宋体" w:eastAsia="宋体" w:cs="宋体"/>
          <w:color w:val="auto"/>
          <w:kern w:val="2"/>
          <w:sz w:val="21"/>
          <w:szCs w:val="21"/>
          <w:highlight w:val="none"/>
          <w:lang w:val="zh-CN" w:eastAsia="zh-CN" w:bidi="ar-SA"/>
        </w:rPr>
        <w:t>。相关企业（含联合体中的中小企业、签订分包意向协议的中小企业）的具体情况如下：</w:t>
      </w:r>
    </w:p>
    <w:p>
      <w:pPr>
        <w:pStyle w:val="7"/>
        <w:autoSpaceDE w:val="0"/>
        <w:autoSpaceDN w:val="0"/>
        <w:adjustRightInd/>
        <w:spacing w:line="360" w:lineRule="auto"/>
        <w:ind w:right="-54" w:firstLine="402" w:firstLineChars="200"/>
        <w:jc w:val="both"/>
        <w:textAlignment w:val="auto"/>
        <w:rPr>
          <w:rFonts w:hint="eastAsia" w:ascii="宋体" w:hAnsi="宋体" w:eastAsia="宋体" w:cs="宋体"/>
          <w:i w:val="0"/>
          <w:iCs/>
          <w:color w:val="auto"/>
          <w:w w:val="99"/>
          <w:sz w:val="21"/>
          <w:szCs w:val="21"/>
          <w:highlight w:val="none"/>
        </w:rPr>
      </w:pPr>
      <w:r>
        <w:rPr>
          <w:rFonts w:hint="eastAsia" w:ascii="宋体" w:hAnsi="宋体" w:eastAsia="宋体" w:cs="宋体"/>
          <w:iCs/>
          <w:color w:val="auto"/>
          <w:w w:val="96"/>
          <w:sz w:val="21"/>
          <w:szCs w:val="21"/>
          <w:highlight w:val="none"/>
          <w:lang w:val="en-US" w:eastAsia="zh-CN"/>
        </w:rPr>
        <w:t>一</w:t>
      </w:r>
      <w:r>
        <w:rPr>
          <w:rFonts w:hint="eastAsia" w:ascii="宋体" w:hAnsi="宋体" w:eastAsia="宋体" w:cs="宋体"/>
          <w:iCs/>
          <w:color w:val="auto"/>
          <w:w w:val="96"/>
          <w:sz w:val="21"/>
          <w:szCs w:val="21"/>
          <w:highlight w:val="none"/>
          <w:lang w:eastAsia="zh-CN"/>
        </w:rPr>
        <w:t>、</w:t>
      </w:r>
      <w:r>
        <w:rPr>
          <w:rFonts w:hint="eastAsia" w:ascii="宋体" w:hAnsi="宋体" w:eastAsia="宋体" w:cs="宋体"/>
          <w:i w:val="0"/>
          <w:iCs/>
          <w:color w:val="auto"/>
          <w:w w:val="96"/>
          <w:sz w:val="21"/>
          <w:szCs w:val="21"/>
          <w:highlight w:val="none"/>
          <w:u w:val="single"/>
        </w:rPr>
        <w:t>（标的名称）</w:t>
      </w:r>
      <w:r>
        <w:rPr>
          <w:rFonts w:hint="eastAsia" w:ascii="宋体" w:hAnsi="宋体" w:eastAsia="宋体" w:cs="宋体"/>
          <w:color w:val="auto"/>
          <w:w w:val="99"/>
          <w:sz w:val="21"/>
          <w:szCs w:val="21"/>
          <w:highlight w:val="none"/>
        </w:rPr>
        <w:t>，属于</w:t>
      </w:r>
      <w:r>
        <w:rPr>
          <w:rFonts w:hint="eastAsia" w:ascii="宋体" w:hAnsi="宋体" w:eastAsia="宋体" w:cs="宋体"/>
          <w:i w:val="0"/>
          <w:iCs/>
          <w:color w:val="auto"/>
          <w:w w:val="96"/>
          <w:sz w:val="21"/>
          <w:szCs w:val="21"/>
          <w:highlight w:val="none"/>
        </w:rPr>
        <w:t>（</w:t>
      </w:r>
      <w:r>
        <w:rPr>
          <w:rFonts w:hint="eastAsia" w:ascii="宋体" w:hAnsi="宋体" w:eastAsia="宋体" w:cs="宋体"/>
          <w:i w:val="0"/>
          <w:iCs/>
          <w:color w:val="auto"/>
          <w:w w:val="96"/>
          <w:sz w:val="21"/>
          <w:szCs w:val="21"/>
          <w:highlight w:val="none"/>
          <w:u w:val="single"/>
        </w:rPr>
        <w:t>采购文件中明确的所属行业）</w:t>
      </w:r>
      <w:r>
        <w:rPr>
          <w:rFonts w:hint="eastAsia" w:ascii="宋体" w:hAnsi="宋体" w:eastAsia="宋体" w:cs="宋体"/>
          <w:color w:val="auto"/>
          <w:w w:val="99"/>
          <w:sz w:val="21"/>
          <w:szCs w:val="21"/>
          <w:highlight w:val="none"/>
        </w:rPr>
        <w:t>；制造商为</w:t>
      </w:r>
      <w:r>
        <w:rPr>
          <w:rFonts w:hint="eastAsia" w:ascii="宋体" w:hAnsi="宋体" w:eastAsia="宋体" w:cs="宋体"/>
          <w:i w:val="0"/>
          <w:iCs/>
          <w:color w:val="auto"/>
          <w:w w:val="96"/>
          <w:sz w:val="21"/>
          <w:szCs w:val="21"/>
          <w:highlight w:val="none"/>
          <w:u w:val="single"/>
        </w:rPr>
        <w:t>（企业名称）</w:t>
      </w:r>
      <w:r>
        <w:rPr>
          <w:rFonts w:hint="eastAsia" w:ascii="宋体" w:hAnsi="宋体" w:eastAsia="宋体" w:cs="宋体"/>
          <w:color w:val="auto"/>
          <w:w w:val="99"/>
          <w:sz w:val="21"/>
          <w:szCs w:val="21"/>
          <w:highlight w:val="none"/>
        </w:rPr>
        <w:t>，从业人员</w:t>
      </w:r>
      <w:r>
        <w:rPr>
          <w:rFonts w:hint="eastAsia" w:ascii="宋体" w:hAnsi="宋体" w:eastAsia="宋体" w:cs="宋体"/>
          <w:color w:val="auto"/>
          <w:w w:val="99"/>
          <w:sz w:val="21"/>
          <w:szCs w:val="21"/>
          <w:highlight w:val="none"/>
          <w:u w:val="single"/>
        </w:rPr>
        <w:t xml:space="preserve">  </w:t>
      </w:r>
      <w:r>
        <w:rPr>
          <w:rFonts w:hint="eastAsia" w:ascii="宋体" w:hAnsi="宋体" w:eastAsia="宋体" w:cs="宋体"/>
          <w:color w:val="auto"/>
          <w:w w:val="99"/>
          <w:sz w:val="21"/>
          <w:szCs w:val="21"/>
          <w:highlight w:val="none"/>
        </w:rPr>
        <w:t>人，营业</w:t>
      </w:r>
      <w:r>
        <w:rPr>
          <w:rFonts w:hint="eastAsia" w:ascii="宋体" w:hAnsi="宋体" w:eastAsia="宋体" w:cs="宋体"/>
          <w:color w:val="auto"/>
          <w:sz w:val="21"/>
          <w:szCs w:val="21"/>
          <w:highlight w:val="none"/>
        </w:rPr>
        <w:t>收入为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万元，资产总额为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rPr>
        <w:t>万元</w:t>
      </w:r>
      <w:r>
        <w:rPr>
          <w:rFonts w:hint="eastAsia" w:ascii="宋体" w:hAnsi="宋体" w:eastAsia="宋体" w:cs="宋体"/>
          <w:color w:val="auto"/>
          <w:sz w:val="21"/>
          <w:szCs w:val="21"/>
          <w:highlight w:val="none"/>
          <w:vertAlign w:val="superscript"/>
        </w:rPr>
        <w:t>1</w:t>
      </w:r>
      <w:r>
        <w:rPr>
          <w:rFonts w:hint="eastAsia" w:ascii="宋体" w:hAnsi="宋体" w:eastAsia="宋体" w:cs="宋体"/>
          <w:color w:val="auto"/>
          <w:sz w:val="21"/>
          <w:szCs w:val="21"/>
          <w:highlight w:val="none"/>
        </w:rPr>
        <w:t>，属于</w:t>
      </w:r>
      <w:r>
        <w:rPr>
          <w:rFonts w:hint="eastAsia" w:ascii="宋体" w:hAnsi="宋体" w:eastAsia="宋体" w:cs="宋体"/>
          <w:i w:val="0"/>
          <w:iCs/>
          <w:color w:val="auto"/>
          <w:sz w:val="21"/>
          <w:szCs w:val="21"/>
          <w:highlight w:val="none"/>
          <w:u w:val="single"/>
        </w:rPr>
        <w:t>（中型企业、</w:t>
      </w:r>
      <w:r>
        <w:rPr>
          <w:rFonts w:hint="eastAsia" w:ascii="宋体" w:hAnsi="宋体" w:eastAsia="宋体" w:cs="宋体"/>
          <w:i w:val="0"/>
          <w:iCs/>
          <w:color w:val="auto"/>
          <w:w w:val="96"/>
          <w:sz w:val="21"/>
          <w:szCs w:val="21"/>
          <w:highlight w:val="none"/>
          <w:u w:val="single"/>
        </w:rPr>
        <w:t>小型企业、微型企业）</w:t>
      </w:r>
      <w:r>
        <w:rPr>
          <w:rFonts w:hint="eastAsia" w:ascii="宋体" w:hAnsi="宋体" w:eastAsia="宋体" w:cs="宋体"/>
          <w:i w:val="0"/>
          <w:iCs/>
          <w:color w:val="auto"/>
          <w:w w:val="99"/>
          <w:sz w:val="21"/>
          <w:szCs w:val="21"/>
          <w:highlight w:val="none"/>
        </w:rPr>
        <w:t>；</w:t>
      </w:r>
    </w:p>
    <w:p>
      <w:pPr>
        <w:pStyle w:val="7"/>
        <w:autoSpaceDE w:val="0"/>
        <w:autoSpaceDN w:val="0"/>
        <w:adjustRightInd/>
        <w:spacing w:line="360" w:lineRule="auto"/>
        <w:ind w:right="-54" w:firstLine="402" w:firstLineChars="200"/>
        <w:jc w:val="both"/>
        <w:textAlignment w:val="auto"/>
        <w:rPr>
          <w:rFonts w:hint="eastAsia" w:ascii="宋体" w:hAnsi="宋体" w:eastAsia="宋体" w:cs="宋体"/>
          <w:i w:val="0"/>
          <w:iCs/>
          <w:color w:val="auto"/>
          <w:w w:val="99"/>
          <w:sz w:val="21"/>
          <w:szCs w:val="21"/>
          <w:highlight w:val="none"/>
        </w:rPr>
      </w:pPr>
      <w:r>
        <w:rPr>
          <w:rFonts w:hint="eastAsia" w:ascii="宋体" w:hAnsi="宋体" w:eastAsia="宋体" w:cs="宋体"/>
          <w:iCs/>
          <w:color w:val="auto"/>
          <w:w w:val="96"/>
          <w:sz w:val="21"/>
          <w:szCs w:val="21"/>
          <w:highlight w:val="none"/>
          <w:lang w:val="en-US" w:eastAsia="zh-CN"/>
        </w:rPr>
        <w:t>二</w:t>
      </w:r>
      <w:r>
        <w:rPr>
          <w:rFonts w:hint="eastAsia" w:ascii="宋体" w:hAnsi="宋体" w:eastAsia="宋体" w:cs="宋体"/>
          <w:iCs/>
          <w:color w:val="auto"/>
          <w:w w:val="96"/>
          <w:sz w:val="21"/>
          <w:szCs w:val="21"/>
          <w:highlight w:val="none"/>
          <w:lang w:eastAsia="zh-CN"/>
        </w:rPr>
        <w:t>、</w:t>
      </w:r>
      <w:r>
        <w:rPr>
          <w:rFonts w:hint="eastAsia" w:ascii="宋体" w:hAnsi="宋体" w:eastAsia="宋体" w:cs="宋体"/>
          <w:i w:val="0"/>
          <w:iCs/>
          <w:color w:val="auto"/>
          <w:w w:val="96"/>
          <w:sz w:val="21"/>
          <w:szCs w:val="21"/>
          <w:highlight w:val="none"/>
          <w:u w:val="single"/>
        </w:rPr>
        <w:t>（标的名称）</w:t>
      </w:r>
      <w:r>
        <w:rPr>
          <w:rFonts w:hint="eastAsia" w:ascii="宋体" w:hAnsi="宋体" w:eastAsia="宋体" w:cs="宋体"/>
          <w:color w:val="auto"/>
          <w:w w:val="99"/>
          <w:sz w:val="21"/>
          <w:szCs w:val="21"/>
          <w:highlight w:val="none"/>
        </w:rPr>
        <w:t>，属于</w:t>
      </w:r>
      <w:r>
        <w:rPr>
          <w:rFonts w:hint="eastAsia" w:ascii="宋体" w:hAnsi="宋体" w:eastAsia="宋体" w:cs="宋体"/>
          <w:i w:val="0"/>
          <w:iCs/>
          <w:color w:val="auto"/>
          <w:w w:val="96"/>
          <w:sz w:val="21"/>
          <w:szCs w:val="21"/>
          <w:highlight w:val="none"/>
        </w:rPr>
        <w:t>（</w:t>
      </w:r>
      <w:r>
        <w:rPr>
          <w:rFonts w:hint="eastAsia" w:ascii="宋体" w:hAnsi="宋体" w:eastAsia="宋体" w:cs="宋体"/>
          <w:i w:val="0"/>
          <w:iCs/>
          <w:color w:val="auto"/>
          <w:w w:val="96"/>
          <w:sz w:val="21"/>
          <w:szCs w:val="21"/>
          <w:highlight w:val="none"/>
          <w:u w:val="single"/>
        </w:rPr>
        <w:t>采购文件中明确的所属行业）</w:t>
      </w:r>
      <w:r>
        <w:rPr>
          <w:rFonts w:hint="eastAsia" w:ascii="宋体" w:hAnsi="宋体" w:eastAsia="宋体" w:cs="宋体"/>
          <w:color w:val="auto"/>
          <w:w w:val="99"/>
          <w:sz w:val="21"/>
          <w:szCs w:val="21"/>
          <w:highlight w:val="none"/>
        </w:rPr>
        <w:t>；制造商为</w:t>
      </w:r>
      <w:r>
        <w:rPr>
          <w:rFonts w:hint="eastAsia" w:ascii="宋体" w:hAnsi="宋体" w:eastAsia="宋体" w:cs="宋体"/>
          <w:i w:val="0"/>
          <w:iCs/>
          <w:color w:val="auto"/>
          <w:w w:val="96"/>
          <w:sz w:val="21"/>
          <w:szCs w:val="21"/>
          <w:highlight w:val="none"/>
          <w:u w:val="single"/>
        </w:rPr>
        <w:t>（企业名称）</w:t>
      </w:r>
      <w:r>
        <w:rPr>
          <w:rFonts w:hint="eastAsia" w:ascii="宋体" w:hAnsi="宋体" w:eastAsia="宋体" w:cs="宋体"/>
          <w:color w:val="auto"/>
          <w:w w:val="99"/>
          <w:sz w:val="21"/>
          <w:szCs w:val="21"/>
          <w:highlight w:val="none"/>
        </w:rPr>
        <w:t>，从业人员</w:t>
      </w:r>
      <w:r>
        <w:rPr>
          <w:rFonts w:hint="eastAsia" w:ascii="宋体" w:hAnsi="宋体" w:eastAsia="宋体" w:cs="宋体"/>
          <w:color w:val="auto"/>
          <w:w w:val="99"/>
          <w:sz w:val="21"/>
          <w:szCs w:val="21"/>
          <w:highlight w:val="none"/>
          <w:u w:val="single"/>
        </w:rPr>
        <w:t xml:space="preserve">  </w:t>
      </w:r>
      <w:r>
        <w:rPr>
          <w:rFonts w:hint="eastAsia" w:ascii="宋体" w:hAnsi="宋体" w:eastAsia="宋体" w:cs="宋体"/>
          <w:color w:val="auto"/>
          <w:w w:val="99"/>
          <w:sz w:val="21"/>
          <w:szCs w:val="21"/>
          <w:highlight w:val="none"/>
        </w:rPr>
        <w:t>人，营业</w:t>
      </w:r>
      <w:r>
        <w:rPr>
          <w:rFonts w:hint="eastAsia" w:ascii="宋体" w:hAnsi="宋体" w:eastAsia="宋体" w:cs="宋体"/>
          <w:color w:val="auto"/>
          <w:sz w:val="21"/>
          <w:szCs w:val="21"/>
          <w:highlight w:val="none"/>
        </w:rPr>
        <w:t>收入为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万元，资产总额为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万元，属于</w:t>
      </w:r>
      <w:r>
        <w:rPr>
          <w:rFonts w:hint="eastAsia" w:ascii="宋体" w:hAnsi="宋体" w:eastAsia="宋体" w:cs="宋体"/>
          <w:i w:val="0"/>
          <w:iCs/>
          <w:color w:val="auto"/>
          <w:sz w:val="21"/>
          <w:szCs w:val="21"/>
          <w:highlight w:val="none"/>
          <w:u w:val="single"/>
        </w:rPr>
        <w:t>（中型企业、</w:t>
      </w:r>
      <w:r>
        <w:rPr>
          <w:rFonts w:hint="eastAsia" w:ascii="宋体" w:hAnsi="宋体" w:eastAsia="宋体" w:cs="宋体"/>
          <w:i w:val="0"/>
          <w:iCs/>
          <w:color w:val="auto"/>
          <w:w w:val="96"/>
          <w:sz w:val="21"/>
          <w:szCs w:val="21"/>
          <w:highlight w:val="none"/>
          <w:u w:val="single"/>
        </w:rPr>
        <w:t>小型企业、微型企业）</w:t>
      </w:r>
      <w:r>
        <w:rPr>
          <w:rFonts w:hint="eastAsia" w:ascii="宋体" w:hAnsi="宋体" w:eastAsia="宋体" w:cs="宋体"/>
          <w:i w:val="0"/>
          <w:iCs/>
          <w:color w:val="auto"/>
          <w:w w:val="99"/>
          <w:sz w:val="21"/>
          <w:szCs w:val="21"/>
          <w:highlight w:val="none"/>
        </w:rPr>
        <w:t>；</w:t>
      </w:r>
    </w:p>
    <w:p>
      <w:pPr>
        <w:pStyle w:val="7"/>
        <w:autoSpaceDE w:val="0"/>
        <w:autoSpaceDN w:val="0"/>
        <w:adjustRightInd/>
        <w:spacing w:line="360" w:lineRule="auto"/>
        <w:ind w:right="-54"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p>
      <w:pPr>
        <w:pStyle w:val="7"/>
        <w:autoSpaceDE w:val="0"/>
        <w:autoSpaceDN w:val="0"/>
        <w:adjustRightInd/>
        <w:spacing w:line="360" w:lineRule="auto"/>
        <w:ind w:right="-54"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以上企业，不属于大企业的分支机构，不存在控股股东为大企业的情形，也不存在与大企业的负责人为同一人的情形。</w:t>
      </w:r>
    </w:p>
    <w:p>
      <w:pPr>
        <w:pStyle w:val="7"/>
        <w:autoSpaceDE w:val="0"/>
        <w:autoSpaceDN w:val="0"/>
        <w:adjustRightInd/>
        <w:spacing w:line="360" w:lineRule="auto"/>
        <w:ind w:right="-54"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本企业对上述声明内容的真实性负责。如有虚假，将依法承担相应责任。</w:t>
      </w:r>
    </w:p>
    <w:p>
      <w:pPr>
        <w:pStyle w:val="7"/>
        <w:autoSpaceDE w:val="0"/>
        <w:autoSpaceDN w:val="0"/>
        <w:adjustRightInd/>
        <w:spacing w:before="29" w:line="360" w:lineRule="auto"/>
        <w:ind w:left="4060" w:right="-54"/>
        <w:textAlignment w:val="auto"/>
        <w:rPr>
          <w:rFonts w:hint="eastAsia" w:ascii="宋体" w:hAnsi="宋体" w:eastAsia="宋体" w:cs="宋体"/>
          <w:color w:val="auto"/>
          <w:w w:val="99"/>
          <w:sz w:val="21"/>
          <w:szCs w:val="21"/>
          <w:highlight w:val="none"/>
        </w:rPr>
      </w:pPr>
    </w:p>
    <w:p>
      <w:pPr>
        <w:pStyle w:val="7"/>
        <w:autoSpaceDE w:val="0"/>
        <w:autoSpaceDN w:val="0"/>
        <w:adjustRightInd/>
        <w:spacing w:before="29" w:line="360" w:lineRule="auto"/>
        <w:ind w:left="4060" w:right="-54"/>
        <w:textAlignment w:val="auto"/>
        <w:rPr>
          <w:rFonts w:hint="eastAsia" w:ascii="宋体" w:hAnsi="宋体" w:eastAsia="宋体" w:cs="宋体"/>
          <w:color w:val="auto"/>
          <w:w w:val="99"/>
          <w:sz w:val="21"/>
          <w:szCs w:val="21"/>
          <w:highlight w:val="none"/>
        </w:rPr>
      </w:pPr>
    </w:p>
    <w:p>
      <w:pPr>
        <w:pStyle w:val="7"/>
        <w:autoSpaceDE w:val="0"/>
        <w:autoSpaceDN w:val="0"/>
        <w:adjustRightInd/>
        <w:spacing w:before="29" w:line="360" w:lineRule="auto"/>
        <w:ind w:right="-54" w:firstLine="3990" w:firstLineChars="19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企业名称（盖章）：</w:t>
      </w:r>
    </w:p>
    <w:p>
      <w:pPr>
        <w:pStyle w:val="7"/>
        <w:autoSpaceDE w:val="0"/>
        <w:autoSpaceDN w:val="0"/>
        <w:adjustRightInd/>
        <w:spacing w:before="29" w:line="360" w:lineRule="auto"/>
        <w:ind w:right="-54" w:firstLine="3990" w:firstLineChars="1900"/>
        <w:textAlignment w:val="auto"/>
        <w:rPr>
          <w:rFonts w:hint="eastAsia" w:ascii="宋体" w:hAnsi="宋体" w:eastAsia="宋体" w:cs="宋体"/>
          <w:color w:val="auto"/>
          <w:kern w:val="0"/>
          <w:szCs w:val="21"/>
          <w:highlight w:val="none"/>
        </w:rPr>
      </w:pPr>
      <w:r>
        <w:rPr>
          <w:rFonts w:hint="eastAsia" w:ascii="宋体" w:hAnsi="宋体" w:eastAsia="宋体" w:cs="宋体"/>
          <w:color w:val="auto"/>
          <w:sz w:val="21"/>
          <w:szCs w:val="21"/>
          <w:highlight w:val="none"/>
        </w:rPr>
        <w:t>日期：</w:t>
      </w:r>
    </w:p>
    <w:p>
      <w:pPr>
        <w:pStyle w:val="11"/>
        <w:spacing w:line="360" w:lineRule="auto"/>
        <w:rPr>
          <w:rFonts w:hint="eastAsia" w:ascii="宋体" w:hAnsi="宋体" w:eastAsia="宋体" w:cs="宋体"/>
          <w:b/>
          <w:color w:val="auto"/>
          <w:highlight w:val="none"/>
        </w:rPr>
      </w:pPr>
      <w:r>
        <w:rPr>
          <w:rFonts w:hint="eastAsia" w:ascii="宋体" w:hAnsi="宋体" w:eastAsia="宋体" w:cs="宋体"/>
          <w:color w:val="auto"/>
          <w:szCs w:val="21"/>
          <w:highlight w:val="none"/>
        </w:rPr>
        <w:t>注：1</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从业人员、营业收入、资产总额填报上一年度数据，无上一年度数据的新成立企业可不填报。</w:t>
      </w:r>
    </w:p>
    <w:p>
      <w:pPr>
        <w:pStyle w:val="50"/>
        <w:numPr>
          <w:ilvl w:val="0"/>
          <w:numId w:val="0"/>
        </w:numPr>
        <w:spacing w:line="360" w:lineRule="auto"/>
        <w:ind w:left="403" w:leftChars="0"/>
        <w:jc w:val="both"/>
        <w:rPr>
          <w:rFonts w:hint="eastAsia" w:ascii="宋体" w:hAnsi="宋体" w:eastAsia="宋体" w:cs="宋体"/>
          <w:color w:val="auto"/>
          <w:spacing w:val="20"/>
          <w:kern w:val="0"/>
          <w:szCs w:val="21"/>
          <w:highlight w:val="none"/>
        </w:rPr>
      </w:pPr>
      <w:r>
        <w:rPr>
          <w:rFonts w:hint="eastAsia" w:ascii="宋体" w:hAnsi="宋体" w:eastAsia="宋体" w:cs="宋体"/>
          <w:color w:val="auto"/>
          <w:kern w:val="2"/>
          <w:sz w:val="21"/>
          <w:szCs w:val="21"/>
          <w:highlight w:val="none"/>
          <w:lang w:val="en-US" w:eastAsia="zh-CN" w:bidi="ar-SA"/>
        </w:rPr>
        <w:t>2、</w:t>
      </w:r>
      <w:r>
        <w:rPr>
          <w:rFonts w:hint="eastAsia" w:ascii="宋体" w:hAnsi="宋体" w:eastAsia="宋体" w:cs="宋体"/>
          <w:color w:val="auto"/>
          <w:spacing w:val="20"/>
          <w:kern w:val="0"/>
          <w:szCs w:val="21"/>
          <w:highlight w:val="none"/>
        </w:rPr>
        <w:t>投标人按各自参加投标的对应标包分别编制、分别成册、分别提交。</w:t>
      </w:r>
    </w:p>
    <w:p>
      <w:pPr>
        <w:pStyle w:val="11"/>
        <w:spacing w:line="360" w:lineRule="auto"/>
        <w:jc w:val="center"/>
        <w:outlineLvl w:val="9"/>
        <w:rPr>
          <w:rFonts w:hint="eastAsia" w:ascii="宋体" w:hAnsi="宋体" w:eastAsia="宋体" w:cs="宋体"/>
          <w:b/>
          <w:color w:val="auto"/>
          <w:sz w:val="32"/>
          <w:szCs w:val="32"/>
          <w:highlight w:val="none"/>
          <w:lang w:val="en-GB"/>
        </w:rPr>
      </w:pPr>
    </w:p>
    <w:p>
      <w:pPr>
        <w:pStyle w:val="11"/>
        <w:spacing w:line="360" w:lineRule="auto"/>
        <w:jc w:val="center"/>
        <w:outlineLvl w:val="9"/>
        <w:rPr>
          <w:rFonts w:hint="eastAsia" w:ascii="宋体" w:hAnsi="宋体" w:eastAsia="宋体" w:cs="宋体"/>
          <w:b/>
          <w:color w:val="auto"/>
          <w:sz w:val="32"/>
          <w:szCs w:val="32"/>
          <w:highlight w:val="none"/>
          <w:lang w:val="en-GB"/>
        </w:rPr>
      </w:pPr>
    </w:p>
    <w:p>
      <w:pPr>
        <w:pStyle w:val="11"/>
        <w:spacing w:line="360" w:lineRule="auto"/>
        <w:jc w:val="center"/>
        <w:outlineLvl w:val="9"/>
        <w:rPr>
          <w:rFonts w:hint="eastAsia" w:ascii="宋体" w:hAnsi="宋体" w:eastAsia="宋体" w:cs="宋体"/>
          <w:b/>
          <w:color w:val="auto"/>
          <w:sz w:val="32"/>
          <w:szCs w:val="32"/>
          <w:highlight w:val="none"/>
          <w:lang w:val="en-GB"/>
        </w:rPr>
        <w:sectPr>
          <w:pgSz w:w="11906" w:h="16838"/>
          <w:pgMar w:top="1440" w:right="1800" w:bottom="1440" w:left="1800" w:header="851" w:footer="992" w:gutter="0"/>
          <w:pgNumType w:fmt="decimal"/>
          <w:cols w:space="425" w:num="1"/>
          <w:docGrid w:type="lines" w:linePitch="312" w:charSpace="0"/>
        </w:sectPr>
      </w:pPr>
    </w:p>
    <w:p>
      <w:pPr>
        <w:pStyle w:val="11"/>
        <w:keepNext w:val="0"/>
        <w:keepLines w:val="0"/>
        <w:pageBreakBefore w:val="0"/>
        <w:kinsoku/>
        <w:wordWrap/>
        <w:overflowPunct/>
        <w:topLinePunct w:val="0"/>
        <w:bidi w:val="0"/>
        <w:spacing w:line="360" w:lineRule="auto"/>
        <w:jc w:val="center"/>
        <w:outlineLvl w:val="9"/>
        <w:rPr>
          <w:rFonts w:hint="eastAsia" w:ascii="宋体" w:hAnsi="宋体" w:eastAsia="宋体" w:cs="宋体"/>
          <w:b/>
          <w:color w:val="auto"/>
          <w:sz w:val="32"/>
          <w:szCs w:val="32"/>
          <w:highlight w:val="none"/>
          <w:lang w:val="en-GB"/>
        </w:rPr>
      </w:pPr>
      <w:r>
        <w:rPr>
          <w:rFonts w:hint="eastAsia" w:ascii="宋体" w:hAnsi="宋体" w:eastAsia="宋体" w:cs="宋体"/>
          <w:b/>
          <w:color w:val="auto"/>
          <w:sz w:val="32"/>
          <w:szCs w:val="32"/>
          <w:highlight w:val="none"/>
          <w:lang w:val="en-GB"/>
        </w:rPr>
        <w:t>残疾人福利性单位声明函</w:t>
      </w:r>
    </w:p>
    <w:p>
      <w:pPr>
        <w:keepNext w:val="0"/>
        <w:keepLines w:val="0"/>
        <w:pageBreakBefore w:val="0"/>
        <w:kinsoku/>
        <w:wordWrap/>
        <w:overflowPunct/>
        <w:topLinePunct w:val="0"/>
        <w:bidi w:val="0"/>
        <w:spacing w:line="360" w:lineRule="auto"/>
        <w:ind w:firstLine="444" w:firstLineChars="200"/>
        <w:outlineLvl w:val="9"/>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本单位郑重声明，根据《财政部民政部中国残疾人联合会关于促进残疾人就业政府采购政策的通知》（财库〔2017〕 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keepNext w:val="0"/>
        <w:keepLines w:val="0"/>
        <w:pageBreakBefore w:val="0"/>
        <w:kinsoku/>
        <w:wordWrap/>
        <w:overflowPunct/>
        <w:topLinePunct w:val="0"/>
        <w:bidi w:val="0"/>
        <w:spacing w:line="360" w:lineRule="auto"/>
        <w:ind w:firstLine="444" w:firstLineChars="200"/>
        <w:outlineLvl w:val="9"/>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本单位对上述声明的真实性负责。如有虚假，将依法承担相应责任。</w:t>
      </w:r>
    </w:p>
    <w:p>
      <w:pPr>
        <w:keepNext w:val="0"/>
        <w:keepLines w:val="0"/>
        <w:pageBreakBefore w:val="0"/>
        <w:tabs>
          <w:tab w:val="left" w:pos="4860"/>
        </w:tabs>
        <w:kinsoku/>
        <w:wordWrap/>
        <w:overflowPunct/>
        <w:topLinePunct w:val="0"/>
        <w:bidi w:val="0"/>
        <w:spacing w:line="360" w:lineRule="auto"/>
        <w:ind w:right="1560" w:firstLine="444" w:firstLineChars="200"/>
        <w:jc w:val="center"/>
        <w:outlineLvl w:val="9"/>
        <w:rPr>
          <w:rFonts w:hint="eastAsia" w:ascii="宋体" w:hAnsi="宋体" w:eastAsia="宋体" w:cs="宋体"/>
          <w:color w:val="auto"/>
          <w:spacing w:val="6"/>
          <w:szCs w:val="21"/>
          <w:highlight w:val="none"/>
        </w:rPr>
      </w:pPr>
    </w:p>
    <w:p>
      <w:pPr>
        <w:keepNext w:val="0"/>
        <w:keepLines w:val="0"/>
        <w:pageBreakBefore w:val="0"/>
        <w:tabs>
          <w:tab w:val="left" w:pos="4860"/>
        </w:tabs>
        <w:kinsoku/>
        <w:wordWrap/>
        <w:overflowPunct/>
        <w:topLinePunct w:val="0"/>
        <w:bidi w:val="0"/>
        <w:spacing w:line="360" w:lineRule="auto"/>
        <w:ind w:right="1560" w:firstLine="444" w:firstLineChars="200"/>
        <w:jc w:val="center"/>
        <w:outlineLvl w:val="9"/>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单位名称（盖章）：</w:t>
      </w:r>
    </w:p>
    <w:p>
      <w:pPr>
        <w:keepNext w:val="0"/>
        <w:keepLines w:val="0"/>
        <w:pageBreakBefore w:val="0"/>
        <w:tabs>
          <w:tab w:val="left" w:pos="4860"/>
        </w:tabs>
        <w:kinsoku/>
        <w:wordWrap/>
        <w:overflowPunct/>
        <w:topLinePunct w:val="0"/>
        <w:bidi w:val="0"/>
        <w:spacing w:line="360" w:lineRule="auto"/>
        <w:ind w:right="1560" w:firstLine="420" w:firstLineChars="200"/>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法定代表人（签章）：</w:t>
      </w:r>
    </w:p>
    <w:p>
      <w:pPr>
        <w:keepNext w:val="0"/>
        <w:keepLines w:val="0"/>
        <w:pageBreakBefore w:val="0"/>
        <w:tabs>
          <w:tab w:val="left" w:pos="4860"/>
        </w:tabs>
        <w:kinsoku/>
        <w:wordWrap/>
        <w:overflowPunct/>
        <w:topLinePunct w:val="0"/>
        <w:bidi w:val="0"/>
        <w:spacing w:line="360" w:lineRule="auto"/>
        <w:ind w:right="1560" w:firstLine="444" w:firstLineChars="200"/>
        <w:jc w:val="center"/>
        <w:outlineLvl w:val="9"/>
        <w:rPr>
          <w:rFonts w:hint="eastAsia" w:ascii="宋体" w:hAnsi="宋体" w:eastAsia="宋体" w:cs="宋体"/>
          <w:color w:val="auto"/>
          <w:szCs w:val="21"/>
          <w:highlight w:val="none"/>
        </w:rPr>
      </w:pPr>
      <w:r>
        <w:rPr>
          <w:rFonts w:hint="eastAsia" w:ascii="宋体" w:hAnsi="宋体" w:eastAsia="宋体" w:cs="宋体"/>
          <w:color w:val="auto"/>
          <w:spacing w:val="6"/>
          <w:szCs w:val="21"/>
          <w:highlight w:val="none"/>
        </w:rPr>
        <w:t>日期：</w:t>
      </w:r>
    </w:p>
    <w:p>
      <w:pPr>
        <w:pStyle w:val="50"/>
        <w:keepNext w:val="0"/>
        <w:keepLines w:val="0"/>
        <w:pageBreakBefore w:val="0"/>
        <w:kinsoku/>
        <w:wordWrap/>
        <w:overflowPunct/>
        <w:topLinePunct w:val="0"/>
        <w:bidi w:val="0"/>
        <w:spacing w:line="360" w:lineRule="auto"/>
        <w:outlineLvl w:val="9"/>
        <w:rPr>
          <w:rFonts w:hint="eastAsia" w:ascii="宋体" w:hAnsi="宋体" w:eastAsia="宋体" w:cs="宋体"/>
          <w:b/>
          <w:color w:val="auto"/>
          <w:sz w:val="28"/>
          <w:szCs w:val="28"/>
          <w:highlight w:val="none"/>
        </w:rPr>
      </w:pPr>
    </w:p>
    <w:p>
      <w:pPr>
        <w:pStyle w:val="50"/>
        <w:keepNext w:val="0"/>
        <w:keepLines w:val="0"/>
        <w:pageBreakBefore w:val="0"/>
        <w:kinsoku/>
        <w:wordWrap/>
        <w:overflowPunct/>
        <w:topLinePunct w:val="0"/>
        <w:bidi w:val="0"/>
        <w:spacing w:line="360" w:lineRule="auto"/>
        <w:outlineLvl w:val="9"/>
        <w:rPr>
          <w:rFonts w:hint="eastAsia" w:ascii="宋体" w:hAnsi="宋体" w:eastAsia="宋体" w:cs="宋体"/>
          <w:b/>
          <w:color w:val="auto"/>
          <w:sz w:val="28"/>
          <w:szCs w:val="28"/>
          <w:highlight w:val="none"/>
        </w:rPr>
      </w:pPr>
    </w:p>
    <w:p>
      <w:pPr>
        <w:pStyle w:val="50"/>
        <w:keepNext w:val="0"/>
        <w:keepLines w:val="0"/>
        <w:pageBreakBefore w:val="0"/>
        <w:kinsoku/>
        <w:wordWrap/>
        <w:overflowPunct/>
        <w:topLinePunct w:val="0"/>
        <w:bidi w:val="0"/>
        <w:spacing w:line="360" w:lineRule="auto"/>
        <w:outlineLvl w:val="9"/>
        <w:rPr>
          <w:rFonts w:hint="eastAsia" w:ascii="宋体" w:hAnsi="宋体" w:eastAsia="宋体" w:cs="宋体"/>
          <w:b/>
          <w:color w:val="auto"/>
          <w:sz w:val="28"/>
          <w:szCs w:val="28"/>
          <w:highlight w:val="none"/>
        </w:rPr>
      </w:pPr>
    </w:p>
    <w:p>
      <w:pPr>
        <w:pStyle w:val="50"/>
        <w:keepNext w:val="0"/>
        <w:keepLines w:val="0"/>
        <w:pageBreakBefore w:val="0"/>
        <w:kinsoku/>
        <w:wordWrap/>
        <w:overflowPunct/>
        <w:topLinePunct w:val="0"/>
        <w:bidi w:val="0"/>
        <w:spacing w:line="360" w:lineRule="auto"/>
        <w:outlineLvl w:val="9"/>
        <w:rPr>
          <w:rFonts w:hint="eastAsia" w:ascii="宋体" w:hAnsi="宋体" w:eastAsia="宋体" w:cs="宋体"/>
          <w:b/>
          <w:color w:val="auto"/>
          <w:sz w:val="28"/>
          <w:szCs w:val="28"/>
          <w:highlight w:val="none"/>
        </w:rPr>
      </w:pPr>
    </w:p>
    <w:p>
      <w:pPr>
        <w:pStyle w:val="50"/>
        <w:keepNext w:val="0"/>
        <w:keepLines w:val="0"/>
        <w:pageBreakBefore w:val="0"/>
        <w:kinsoku/>
        <w:wordWrap/>
        <w:overflowPunct/>
        <w:topLinePunct w:val="0"/>
        <w:bidi w:val="0"/>
        <w:spacing w:line="360" w:lineRule="auto"/>
        <w:outlineLvl w:val="9"/>
        <w:rPr>
          <w:rFonts w:hint="eastAsia" w:ascii="宋体" w:hAnsi="宋体" w:eastAsia="宋体" w:cs="宋体"/>
          <w:b/>
          <w:color w:val="auto"/>
          <w:sz w:val="28"/>
          <w:szCs w:val="28"/>
          <w:highlight w:val="none"/>
        </w:rPr>
      </w:pPr>
    </w:p>
    <w:p>
      <w:pPr>
        <w:pStyle w:val="50"/>
        <w:keepNext w:val="0"/>
        <w:keepLines w:val="0"/>
        <w:pageBreakBefore w:val="0"/>
        <w:kinsoku/>
        <w:wordWrap/>
        <w:overflowPunct/>
        <w:topLinePunct w:val="0"/>
        <w:bidi w:val="0"/>
        <w:spacing w:line="360" w:lineRule="auto"/>
        <w:outlineLvl w:val="9"/>
        <w:rPr>
          <w:rFonts w:hint="eastAsia" w:ascii="宋体" w:hAnsi="宋体" w:eastAsia="宋体" w:cs="宋体"/>
          <w:b/>
          <w:color w:val="auto"/>
          <w:sz w:val="28"/>
          <w:szCs w:val="28"/>
          <w:highlight w:val="none"/>
        </w:rPr>
      </w:pPr>
    </w:p>
    <w:p>
      <w:pPr>
        <w:pStyle w:val="50"/>
        <w:keepNext w:val="0"/>
        <w:keepLines w:val="0"/>
        <w:pageBreakBefore w:val="0"/>
        <w:kinsoku/>
        <w:wordWrap/>
        <w:overflowPunct/>
        <w:topLinePunct w:val="0"/>
        <w:bidi w:val="0"/>
        <w:spacing w:line="360" w:lineRule="auto"/>
        <w:outlineLvl w:val="9"/>
        <w:rPr>
          <w:rFonts w:hint="eastAsia" w:ascii="宋体" w:hAnsi="宋体" w:eastAsia="宋体" w:cs="宋体"/>
          <w:b/>
          <w:color w:val="auto"/>
          <w:sz w:val="28"/>
          <w:szCs w:val="28"/>
          <w:highlight w:val="none"/>
        </w:rPr>
      </w:pPr>
    </w:p>
    <w:p>
      <w:pPr>
        <w:pStyle w:val="50"/>
        <w:keepNext w:val="0"/>
        <w:keepLines w:val="0"/>
        <w:pageBreakBefore w:val="0"/>
        <w:kinsoku/>
        <w:wordWrap/>
        <w:overflowPunct/>
        <w:topLinePunct w:val="0"/>
        <w:bidi w:val="0"/>
        <w:spacing w:line="360" w:lineRule="auto"/>
        <w:outlineLvl w:val="9"/>
        <w:rPr>
          <w:rFonts w:hint="eastAsia" w:ascii="宋体" w:hAnsi="宋体" w:eastAsia="宋体" w:cs="宋体"/>
          <w:b/>
          <w:color w:val="auto"/>
          <w:sz w:val="28"/>
          <w:szCs w:val="28"/>
          <w:highlight w:val="none"/>
        </w:rPr>
      </w:pPr>
    </w:p>
    <w:p>
      <w:pPr>
        <w:pStyle w:val="7"/>
        <w:rPr>
          <w:rFonts w:hint="eastAsia" w:ascii="宋体" w:hAnsi="宋体" w:eastAsia="宋体" w:cs="宋体"/>
          <w:color w:val="000000" w:themeColor="text1"/>
          <w:highlight w:val="none"/>
          <w14:textFill>
            <w14:solidFill>
              <w14:schemeClr w14:val="tx1"/>
            </w14:solidFill>
          </w14:textFill>
        </w:rPr>
      </w:pP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0000000000000000000"/>
    <w:charset w:val="86"/>
    <w:family w:val="auto"/>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楷体">
    <w:panose1 w:val="02010609060101010101"/>
    <w:charset w:val="86"/>
    <w:family w:val="auto"/>
    <w:pitch w:val="default"/>
    <w:sig w:usb0="800002BF" w:usb1="38CF7CFA" w:usb2="00000016" w:usb3="00000000" w:csb0="00040001" w:csb1="00000000"/>
  </w:font>
  <w:font w:name="新宋体">
    <w:panose1 w:val="02010609030101010101"/>
    <w:charset w:val="86"/>
    <w:family w:val="modern"/>
    <w:pitch w:val="default"/>
    <w:sig w:usb0="0000020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972185" cy="147955"/>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4"/>
                          </w:pPr>
                          <w:r>
                            <w:rPr>
                              <w:rFonts w:hint="eastAsia"/>
                            </w:rPr>
                            <w:fldChar w:fldCharType="begin"/>
                          </w:r>
                          <w:r>
                            <w:rPr>
                              <w:rFonts w:hint="eastAsia"/>
                            </w:rPr>
                            <w:instrText xml:space="preserve"> PAGE  \* MERGEFORMAT </w:instrText>
                          </w:r>
                          <w:r>
                            <w:rPr>
                              <w:rFonts w:hint="eastAsia"/>
                            </w:rPr>
                            <w:fldChar w:fldCharType="separate"/>
                          </w:r>
                          <w:r>
                            <w:t>23</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1.65pt;width:76.55pt;mso-position-horizontal:center;mso-position-horizontal-relative:margin;mso-wrap-style:none;z-index:251659264;mso-width-relative:page;mso-height-relative:page;" filled="f" stroked="f" coordsize="21600,21600" o:gfxdata="UEsDBAoAAAAAAIdO4kAAAAAAAAAAAAAAAAAEAAAAZHJzL1BLAwQUAAAACACHTuJAQMXxmdIAAAAE&#10;AQAADwAAAGRycy9kb3ducmV2LnhtbE2PwU7DMBBE70j8g7VI3KiTBhAKcSpREY5INBw4buMlCdjr&#10;yHbT8Pe4XOhlpdGMZt5Wm8UaMZMPo2MF+SoDQdw5PXKv4L1tbh5AhIis0TgmBT8UYFNfXlRYanfk&#10;N5p3sRephEOJCoYYp1LK0A1kMazcRJy8T+ctxiR9L7XHYyq3Rq6z7F5aHDktDDjRdqDue3ewCrZN&#10;2/qZgjcf9NIUX69Pt/S8KHV9lWePICIt8T8MJ/yEDnVi2rsD6yCMgvRI/Lsn767IQewVrIsCZF3J&#10;c/j6F1BLAwQUAAAACACHTuJAA7eU9DICAABjBAAADgAAAGRycy9lMm9Eb2MueG1srVTNjtMwEL4j&#10;8Q6W7zRpEatu1XRVtipCqtiVFsTZdZwmkv9ku03KA8AbcOLCnefqc/DZabpo4bAHLunYM/5mvm9m&#10;Or/plCQH4XxjdEHHo5wSobkpG70r6KeP61dTSnxgumTSaFHQo/D0ZvHyxby1MzExtZGlcAQg2s9a&#10;W9A6BDvLMs9roZgfGSs0nJVxigUc3S4rHWuBrmQ2yfOrrDWutM5w4T1uV72TnhHdcwBNVTVcrAzf&#10;K6FDj+qEZAGUfN1YTxep2qoSPNxVlReByIKCaUhfJIG9jd9sMWeznWO2bvi5BPacEp5wUqzRSHqB&#10;WrHAyN41f0GphjvjTRVG3KisJ5IUAYtx/kSbh5pZkbhAam8vovv/B8s/HO4dacqCXlOimULDT9+/&#10;nX78Ov38Sq6jPK31M0Q9WMSF7q3pMDTDvcdlZN1VTsVf8CHwQ9zjRVzRBcLjo+lkOs3h4vANB+Bn&#10;j8+t8+GdMIpEo6AO3UuissPGhz50CInZtFk3UqYOSk3agl69fpOnBxcPwKWOsSLNwhkmUupLj1bo&#10;tt2Z59aUR9B0pp8Tb/m6QSkb5sM9cxgMlI/VCXf4VNIgpTlblNTGffnXfYxHv+ClpMWgFVRjryiR&#10;7zX6CMAwGG4wtoOh9+rWYHLHWEnLk4kHLsjBrJxRn7FPy5gDLqY5MhU0DOZt6Icd+8jFcpmCMHmW&#10;hY1+sDxCR3m8Xe4D5EwqR1F6JdCdeMDspT6d9yQO95/nFPX437D4D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EDF8ZnSAAAABAEAAA8AAAAAAAAAAQAgAAAAIgAAAGRycy9kb3ducmV2LnhtbFBLAQIU&#10;ABQAAAAIAIdO4kADt5T0MgIAAGMEAAAOAAAAAAAAAAEAIAAAACEBAABkcnMvZTJvRG9jLnhtbFBL&#10;BQYAAAAABgAGAFkBAADFBQAAAAA=&#10;">
              <v:fill on="f" focussize="0,0"/>
              <v:stroke on="f" weight="0.5pt"/>
              <v:imagedata o:title=""/>
              <o:lock v:ext="edit" aspectratio="f"/>
              <v:textbox inset="0mm,0mm,0mm,0mm" style="mso-fit-shape-to-text:t;">
                <w:txbxContent>
                  <w:p>
                    <w:pPr>
                      <w:pStyle w:val="14"/>
                    </w:pPr>
                    <w:r>
                      <w:rPr>
                        <w:rFonts w:hint="eastAsia"/>
                      </w:rPr>
                      <w:fldChar w:fldCharType="begin"/>
                    </w:r>
                    <w:r>
                      <w:rPr>
                        <w:rFonts w:hint="eastAsia"/>
                      </w:rPr>
                      <w:instrText xml:space="preserve"> PAGE  \* MERGEFORMAT </w:instrText>
                    </w:r>
                    <w:r>
                      <w:rPr>
                        <w:rFonts w:hint="eastAsia"/>
                      </w:rPr>
                      <w:fldChar w:fldCharType="separate"/>
                    </w:r>
                    <w:r>
                      <w:t>23</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4"/>
                            <w:rPr>
                              <w:rFonts w:eastAsia="宋体"/>
                            </w:rPr>
                          </w:pPr>
                          <w:r>
                            <w:rPr>
                              <w:rFonts w:hint="eastAsia"/>
                            </w:rPr>
                            <w:fldChar w:fldCharType="begin"/>
                          </w:r>
                          <w:r>
                            <w:rPr>
                              <w:rFonts w:hint="eastAsia"/>
                            </w:rPr>
                            <w:instrText xml:space="preserve"> PAGE  \* MERGEFORMAT </w:instrText>
                          </w:r>
                          <w:r>
                            <w:rPr>
                              <w:rFonts w:hint="eastAsia"/>
                            </w:rPr>
                            <w:fldChar w:fldCharType="separate"/>
                          </w:r>
                          <w:r>
                            <w:t>25</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hwBLQyAgAAYwQAAA4AAABkcnMvZTJvRG9jLnhtbK1UzY7TMBC+I/EO&#10;lu80aRdW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l5RoplCw0/fv51+&#10;/Dr9/EpeR3la62eIerCIC91b02FohnuPy8i6q5yKv+BD4Ie4x4u4oguEx0fTyXSaw8XhGw7Azx6f&#10;W+fDO2EUiUZBHbqXRGWHjQ996BASs2mzbqRMHZSatAW9vnqTpwcXD8CljrEizcIZJlLqS49W6Lbd&#10;mefWlEfQdKafE2/5ukEpG+bDPXMYDJSP1Ql3+FTSIKU5W5TUxn35132MR7/gpaTFoBVUY68oke81&#10;+gjAMBhuMLaDoffq1mByx1hJy5OJBy7IwaycUZ+xT8uYAy6mOTIVNAzmbeiHHfvIxXKZgjB5loWN&#10;frA8Qkd5vF3uA+RMKkdReiXQnXjA7KU+nfckDvef5xT1+N+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HAEtDICAABjBAAADgAAAAAAAAABACAAAAAfAQAAZHJzL2Uyb0RvYy54bWxQSwUG&#10;AAAAAAYABgBZAQAAwwUAAAAA&#10;">
              <v:fill on="f" focussize="0,0"/>
              <v:stroke on="f" weight="0.5pt"/>
              <v:imagedata o:title=""/>
              <o:lock v:ext="edit" aspectratio="f"/>
              <v:textbox inset="0mm,0mm,0mm,0mm" style="mso-fit-shape-to-text:t;">
                <w:txbxContent>
                  <w:p>
                    <w:pPr>
                      <w:pStyle w:val="14"/>
                      <w:rPr>
                        <w:rFonts w:eastAsia="宋体"/>
                      </w:rPr>
                    </w:pPr>
                    <w:r>
                      <w:rPr>
                        <w:rFonts w:hint="eastAsia"/>
                      </w:rPr>
                      <w:fldChar w:fldCharType="begin"/>
                    </w:r>
                    <w:r>
                      <w:rPr>
                        <w:rFonts w:hint="eastAsia"/>
                      </w:rPr>
                      <w:instrText xml:space="preserve"> PAGE  \* MERGEFORMAT </w:instrText>
                    </w:r>
                    <w:r>
                      <w:rPr>
                        <w:rFonts w:hint="eastAsia"/>
                      </w:rPr>
                      <w:fldChar w:fldCharType="separate"/>
                    </w:r>
                    <w:r>
                      <w:t>25</w:t>
                    </w:r>
                    <w:r>
                      <w:rPr>
                        <w:rFonts w:hint="eastAsia"/>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4"/>
                            <w:rPr>
                              <w:rFonts w:eastAsia="宋体"/>
                            </w:rPr>
                          </w:pPr>
                          <w:r>
                            <w:rPr>
                              <w:rFonts w:hint="eastAsia"/>
                            </w:rPr>
                            <w:fldChar w:fldCharType="begin"/>
                          </w:r>
                          <w:r>
                            <w:rPr>
                              <w:rFonts w:hint="eastAsia"/>
                            </w:rPr>
                            <w:instrText xml:space="preserve"> PAGE  \* MERGEFORMAT </w:instrText>
                          </w:r>
                          <w:r>
                            <w:rPr>
                              <w:rFonts w:hint="eastAsia"/>
                            </w:rPr>
                            <w:fldChar w:fldCharType="separate"/>
                          </w:r>
                          <w:r>
                            <w:t>26</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bxmbQx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hMmzLGz1&#10;zvIIHeXxdnUMkDOpHEXplEB34gGzl/rU70kc7j/PKerx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G8Zm0MQIAAGMEAAAOAAAAAAAAAAEAIAAAAB8BAABkcnMvZTJvRG9jLnhtbFBLBQYA&#10;AAAABgAGAFkBAADCBQAAAAA=&#10;">
              <v:fill on="f" focussize="0,0"/>
              <v:stroke on="f" weight="0.5pt"/>
              <v:imagedata o:title=""/>
              <o:lock v:ext="edit" aspectratio="f"/>
              <v:textbox inset="0mm,0mm,0mm,0mm" style="mso-fit-shape-to-text:t;">
                <w:txbxContent>
                  <w:p>
                    <w:pPr>
                      <w:pStyle w:val="14"/>
                      <w:rPr>
                        <w:rFonts w:eastAsia="宋体"/>
                      </w:rPr>
                    </w:pPr>
                    <w:r>
                      <w:rPr>
                        <w:rFonts w:hint="eastAsia"/>
                      </w:rPr>
                      <w:fldChar w:fldCharType="begin"/>
                    </w:r>
                    <w:r>
                      <w:rPr>
                        <w:rFonts w:hint="eastAsia"/>
                      </w:rPr>
                      <w:instrText xml:space="preserve"> PAGE  \* MERGEFORMAT </w:instrText>
                    </w:r>
                    <w:r>
                      <w:rPr>
                        <w:rFonts w:hint="eastAsia"/>
                      </w:rPr>
                      <w:fldChar w:fldCharType="separate"/>
                    </w:r>
                    <w:r>
                      <w:t>26</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hint="eastAsia" w:eastAsia="宋体"/>
        <w:iCs/>
        <w:lang w:eastAsia="zh-CN"/>
      </w:rPr>
    </w:pPr>
    <w:r>
      <w:rPr>
        <w:rFonts w:hint="eastAsia"/>
        <w:b/>
        <w:iCs/>
        <w:color w:val="000000"/>
        <w:kern w:val="0"/>
        <w:sz w:val="18"/>
        <w:u w:val="single"/>
      </w:rPr>
      <w:t>政府采购招标文件</w:t>
    </w:r>
    <w:r>
      <w:rPr>
        <w:b/>
        <w:iCs/>
        <w:color w:val="000000"/>
        <w:kern w:val="0"/>
        <w:sz w:val="18"/>
        <w:u w:val="single"/>
      </w:rPr>
      <w:t>--</w:t>
    </w:r>
    <w:r>
      <w:rPr>
        <w:rFonts w:hint="eastAsia"/>
        <w:b/>
        <w:iCs/>
        <w:color w:val="000000"/>
        <w:kern w:val="0"/>
        <w:sz w:val="18"/>
        <w:u w:val="single"/>
        <w:lang w:eastAsia="zh-CN"/>
      </w:rPr>
      <w:t>化学实验室、化学通风设备采购项目</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6F8051"/>
    <w:multiLevelType w:val="singleLevel"/>
    <w:tmpl w:val="9B6F8051"/>
    <w:lvl w:ilvl="0" w:tentative="0">
      <w:start w:val="1"/>
      <w:numFmt w:val="decimal"/>
      <w:lvlText w:val="%1."/>
      <w:lvlJc w:val="left"/>
      <w:pPr>
        <w:tabs>
          <w:tab w:val="left" w:pos="312"/>
        </w:tabs>
      </w:pPr>
    </w:lvl>
  </w:abstractNum>
  <w:abstractNum w:abstractNumId="1">
    <w:nsid w:val="E3FFCB32"/>
    <w:multiLevelType w:val="singleLevel"/>
    <w:tmpl w:val="E3FFCB32"/>
    <w:lvl w:ilvl="0" w:tentative="0">
      <w:start w:val="1"/>
      <w:numFmt w:val="decimal"/>
      <w:suff w:val="nothing"/>
      <w:lvlText w:val="%1、"/>
      <w:lvlJc w:val="left"/>
    </w:lvl>
  </w:abstractNum>
  <w:abstractNum w:abstractNumId="2">
    <w:nsid w:val="FD21724C"/>
    <w:multiLevelType w:val="singleLevel"/>
    <w:tmpl w:val="FD21724C"/>
    <w:lvl w:ilvl="0" w:tentative="0">
      <w:start w:val="1"/>
      <w:numFmt w:val="decimal"/>
      <w:lvlText w:val="%1."/>
      <w:lvlJc w:val="left"/>
      <w:pPr>
        <w:tabs>
          <w:tab w:val="left" w:pos="312"/>
        </w:tabs>
      </w:pPr>
    </w:lvl>
  </w:abstractNum>
  <w:abstractNum w:abstractNumId="3">
    <w:nsid w:val="461E5E94"/>
    <w:multiLevelType w:val="singleLevel"/>
    <w:tmpl w:val="461E5E94"/>
    <w:lvl w:ilvl="0" w:tentative="0">
      <w:start w:val="2"/>
      <w:numFmt w:val="chineseCounting"/>
      <w:suff w:val="space"/>
      <w:lvlText w:val="第%1章"/>
      <w:lvlJc w:val="left"/>
      <w:rPr>
        <w:rFonts w:hint="eastAsia" w:cs="Times New Roman"/>
      </w:rPr>
    </w:lvl>
  </w:abstractNum>
  <w:abstractNum w:abstractNumId="4">
    <w:nsid w:val="471E06A1"/>
    <w:multiLevelType w:val="singleLevel"/>
    <w:tmpl w:val="471E06A1"/>
    <w:lvl w:ilvl="0" w:tentative="0">
      <w:start w:val="1"/>
      <w:numFmt w:val="japaneseCounting"/>
      <w:lvlText w:val="%1、"/>
      <w:lvlJc w:val="left"/>
      <w:pPr>
        <w:tabs>
          <w:tab w:val="left" w:pos="960"/>
        </w:tabs>
        <w:ind w:left="960" w:hanging="600"/>
      </w:pPr>
      <w:rPr>
        <w:rFonts w:hint="eastAsia" w:cs="Times New Roman"/>
      </w:rPr>
    </w:lvl>
  </w:abstractNum>
  <w:abstractNum w:abstractNumId="5">
    <w:nsid w:val="4DF1456E"/>
    <w:multiLevelType w:val="singleLevel"/>
    <w:tmpl w:val="4DF1456E"/>
    <w:lvl w:ilvl="0" w:tentative="0">
      <w:start w:val="2"/>
      <w:numFmt w:val="decimal"/>
      <w:suff w:val="nothing"/>
      <w:lvlText w:val="（%1）"/>
      <w:lvlJc w:val="left"/>
    </w:lvl>
  </w:abstractNum>
  <w:abstractNum w:abstractNumId="6">
    <w:nsid w:val="52543F50"/>
    <w:multiLevelType w:val="singleLevel"/>
    <w:tmpl w:val="52543F50"/>
    <w:lvl w:ilvl="0" w:tentative="0">
      <w:start w:val="1"/>
      <w:numFmt w:val="decimal"/>
      <w:suff w:val="nothing"/>
      <w:lvlText w:val="%1、"/>
      <w:lvlJc w:val="left"/>
    </w:lvl>
  </w:abstractNum>
  <w:abstractNum w:abstractNumId="7">
    <w:nsid w:val="58CA50F0"/>
    <w:multiLevelType w:val="multilevel"/>
    <w:tmpl w:val="58CA50F0"/>
    <w:lvl w:ilvl="0" w:tentative="0">
      <w:start w:val="1"/>
      <w:numFmt w:val="chineseCounting"/>
      <w:pStyle w:val="3"/>
      <w:lvlText w:val="第%1章 "/>
      <w:lvlJc w:val="left"/>
      <w:pPr>
        <w:tabs>
          <w:tab w:val="left" w:pos="432"/>
        </w:tabs>
        <w:ind w:left="432" w:hanging="432"/>
      </w:pPr>
      <w:rPr>
        <w:rFonts w:hint="eastAsia" w:ascii="Times New Roman" w:hAnsi="Times New Roman" w:eastAsia="仿宋_GB2312" w:cs="宋体"/>
      </w:rPr>
    </w:lvl>
    <w:lvl w:ilvl="1" w:tentative="0">
      <w:start w:val="1"/>
      <w:numFmt w:val="decimal"/>
      <w:isLgl/>
      <w:lvlText w:val="%1.%2."/>
      <w:lvlJc w:val="left"/>
      <w:pPr>
        <w:tabs>
          <w:tab w:val="left" w:pos="210"/>
        </w:tabs>
        <w:ind w:left="0" w:firstLine="0"/>
      </w:pPr>
      <w:rPr>
        <w:rFonts w:hint="eastAsia" w:ascii="宋体" w:hAnsi="宋体" w:eastAsia="宋体" w:cs="宋体"/>
      </w:rPr>
    </w:lvl>
    <w:lvl w:ilvl="2" w:tentative="0">
      <w:start w:val="1"/>
      <w:numFmt w:val="decimal"/>
      <w:isLgl/>
      <w:lvlText w:val="%1.%2.%3."/>
      <w:lvlJc w:val="left"/>
      <w:pPr>
        <w:tabs>
          <w:tab w:val="left" w:pos="210"/>
        </w:tabs>
        <w:ind w:left="0" w:firstLine="0"/>
      </w:pPr>
      <w:rPr>
        <w:rFonts w:hint="eastAsia" w:ascii="宋体" w:hAnsi="宋体" w:eastAsia="宋体" w:cs="宋体"/>
      </w:rPr>
    </w:lvl>
    <w:lvl w:ilvl="3" w:tentative="0">
      <w:start w:val="1"/>
      <w:numFmt w:val="decimal"/>
      <w:isLgl/>
      <w:lvlText w:val="%1.%2.%3.%4."/>
      <w:lvlJc w:val="left"/>
      <w:pPr>
        <w:tabs>
          <w:tab w:val="left" w:pos="210"/>
        </w:tabs>
        <w:ind w:left="0" w:firstLine="0"/>
      </w:pPr>
      <w:rPr>
        <w:rFonts w:hint="eastAsia" w:ascii="宋体" w:hAnsi="宋体" w:eastAsia="宋体" w:cs="宋体"/>
      </w:rPr>
    </w:lvl>
    <w:lvl w:ilvl="4" w:tentative="0">
      <w:start w:val="1"/>
      <w:numFmt w:val="decimal"/>
      <w:isLgl/>
      <w:lvlText w:val="%1.%2.%3.%4.%5."/>
      <w:lvlJc w:val="left"/>
      <w:pPr>
        <w:tabs>
          <w:tab w:val="left" w:pos="210"/>
        </w:tabs>
        <w:ind w:left="0" w:firstLine="0"/>
      </w:pPr>
      <w:rPr>
        <w:rFonts w:hint="eastAsia" w:ascii="宋体" w:hAnsi="宋体" w:eastAsia="宋体" w:cs="宋体"/>
      </w:rPr>
    </w:lvl>
    <w:lvl w:ilvl="5" w:tentative="0">
      <w:start w:val="1"/>
      <w:numFmt w:val="decimal"/>
      <w:lvlText w:val="%1.%2.%3.%4.%5.%6."/>
      <w:lvlJc w:val="left"/>
      <w:pPr>
        <w:tabs>
          <w:tab w:val="left" w:pos="1151"/>
        </w:tabs>
        <w:ind w:left="1151" w:hanging="1151"/>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3"/>
        </w:tabs>
        <w:ind w:left="1583" w:hanging="1583"/>
      </w:pPr>
      <w:rPr>
        <w:rFonts w:hint="eastAsia"/>
      </w:rPr>
    </w:lvl>
  </w:abstractNum>
  <w:abstractNum w:abstractNumId="8">
    <w:nsid w:val="629B37BC"/>
    <w:multiLevelType w:val="singleLevel"/>
    <w:tmpl w:val="629B37BC"/>
    <w:lvl w:ilvl="0" w:tentative="0">
      <w:start w:val="1"/>
      <w:numFmt w:val="decimal"/>
      <w:suff w:val="nothing"/>
      <w:lvlText w:val="%1、"/>
      <w:lvlJc w:val="left"/>
    </w:lvl>
  </w:abstractNum>
  <w:num w:numId="1">
    <w:abstractNumId w:val="7"/>
  </w:num>
  <w:num w:numId="2">
    <w:abstractNumId w:val="4"/>
  </w:num>
  <w:num w:numId="3">
    <w:abstractNumId w:val="3"/>
  </w:num>
  <w:num w:numId="4">
    <w:abstractNumId w:val="8"/>
  </w:num>
  <w:num w:numId="5">
    <w:abstractNumId w:val="0"/>
  </w:num>
  <w:num w:numId="6">
    <w:abstractNumId w:val="6"/>
  </w:num>
  <w:num w:numId="7">
    <w:abstractNumId w:val="5"/>
  </w:num>
  <w:num w:numId="8">
    <w:abstractNumId w:val="1"/>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I1NWJjYzBiMmY1ZjYzMTQ0NGViNzlkNTVkYzcwN2IifQ=="/>
  </w:docVars>
  <w:rsids>
    <w:rsidRoot w:val="00BE3149"/>
    <w:rsid w:val="0003476A"/>
    <w:rsid w:val="00055C56"/>
    <w:rsid w:val="0008396C"/>
    <w:rsid w:val="000E0D3F"/>
    <w:rsid w:val="001241E8"/>
    <w:rsid w:val="00215442"/>
    <w:rsid w:val="0028159A"/>
    <w:rsid w:val="002C6DDC"/>
    <w:rsid w:val="003929D9"/>
    <w:rsid w:val="003C6577"/>
    <w:rsid w:val="0043417D"/>
    <w:rsid w:val="00446A93"/>
    <w:rsid w:val="004C3D04"/>
    <w:rsid w:val="005079B9"/>
    <w:rsid w:val="00532108"/>
    <w:rsid w:val="005C68A9"/>
    <w:rsid w:val="006052DD"/>
    <w:rsid w:val="00641C5C"/>
    <w:rsid w:val="00650A79"/>
    <w:rsid w:val="006E681F"/>
    <w:rsid w:val="00703AFD"/>
    <w:rsid w:val="007C0A85"/>
    <w:rsid w:val="00842483"/>
    <w:rsid w:val="009C6908"/>
    <w:rsid w:val="009E7B9B"/>
    <w:rsid w:val="00A76558"/>
    <w:rsid w:val="00B7243C"/>
    <w:rsid w:val="00B8754F"/>
    <w:rsid w:val="00BE3149"/>
    <w:rsid w:val="00D27694"/>
    <w:rsid w:val="00DD40BE"/>
    <w:rsid w:val="00E04ED8"/>
    <w:rsid w:val="00E873B3"/>
    <w:rsid w:val="00EB0E14"/>
    <w:rsid w:val="00F05701"/>
    <w:rsid w:val="00F3299C"/>
    <w:rsid w:val="00FF74E6"/>
    <w:rsid w:val="014D4625"/>
    <w:rsid w:val="01DC112F"/>
    <w:rsid w:val="01F86678"/>
    <w:rsid w:val="02380D19"/>
    <w:rsid w:val="043F7FC4"/>
    <w:rsid w:val="051F6421"/>
    <w:rsid w:val="065735EF"/>
    <w:rsid w:val="08390248"/>
    <w:rsid w:val="084A3762"/>
    <w:rsid w:val="087F5981"/>
    <w:rsid w:val="08D036F3"/>
    <w:rsid w:val="08D132F7"/>
    <w:rsid w:val="09107AD0"/>
    <w:rsid w:val="091240AB"/>
    <w:rsid w:val="094B2DCA"/>
    <w:rsid w:val="09E03F7D"/>
    <w:rsid w:val="09F33DD0"/>
    <w:rsid w:val="0A5541B7"/>
    <w:rsid w:val="0AF64F0D"/>
    <w:rsid w:val="0B495EAF"/>
    <w:rsid w:val="0B5610D9"/>
    <w:rsid w:val="0C47494B"/>
    <w:rsid w:val="0D1F4CD0"/>
    <w:rsid w:val="0D9A128E"/>
    <w:rsid w:val="0E8544A7"/>
    <w:rsid w:val="0E876F3F"/>
    <w:rsid w:val="0EED4D1A"/>
    <w:rsid w:val="0F7812F7"/>
    <w:rsid w:val="0F7E6199"/>
    <w:rsid w:val="0FE74D1C"/>
    <w:rsid w:val="10052A25"/>
    <w:rsid w:val="102A177E"/>
    <w:rsid w:val="10452B67"/>
    <w:rsid w:val="10860B6D"/>
    <w:rsid w:val="10B90D80"/>
    <w:rsid w:val="114A4C33"/>
    <w:rsid w:val="11713C14"/>
    <w:rsid w:val="121665CB"/>
    <w:rsid w:val="127467FB"/>
    <w:rsid w:val="12EC03CE"/>
    <w:rsid w:val="13F45D5A"/>
    <w:rsid w:val="14121E8F"/>
    <w:rsid w:val="15D17152"/>
    <w:rsid w:val="168339D9"/>
    <w:rsid w:val="16AD459B"/>
    <w:rsid w:val="171D6CDD"/>
    <w:rsid w:val="17461D47"/>
    <w:rsid w:val="17536644"/>
    <w:rsid w:val="176F1112"/>
    <w:rsid w:val="177873A9"/>
    <w:rsid w:val="17B91B1C"/>
    <w:rsid w:val="17D2330C"/>
    <w:rsid w:val="18C150E9"/>
    <w:rsid w:val="18FD0DAA"/>
    <w:rsid w:val="199855EB"/>
    <w:rsid w:val="19CE3838"/>
    <w:rsid w:val="1A076244"/>
    <w:rsid w:val="1AE87493"/>
    <w:rsid w:val="1C6D212E"/>
    <w:rsid w:val="1C7E5C21"/>
    <w:rsid w:val="1CC61F19"/>
    <w:rsid w:val="1D1B615D"/>
    <w:rsid w:val="1D465475"/>
    <w:rsid w:val="1DB05BC4"/>
    <w:rsid w:val="1EE2639F"/>
    <w:rsid w:val="1F162724"/>
    <w:rsid w:val="201C7B31"/>
    <w:rsid w:val="20ED3C16"/>
    <w:rsid w:val="224700DF"/>
    <w:rsid w:val="22F6774D"/>
    <w:rsid w:val="25C5310A"/>
    <w:rsid w:val="26353EFB"/>
    <w:rsid w:val="281661C4"/>
    <w:rsid w:val="28B356D4"/>
    <w:rsid w:val="28FA6455"/>
    <w:rsid w:val="29367CF7"/>
    <w:rsid w:val="29861651"/>
    <w:rsid w:val="2A1E1287"/>
    <w:rsid w:val="2A906C13"/>
    <w:rsid w:val="2B1E11ED"/>
    <w:rsid w:val="2C3E0BB8"/>
    <w:rsid w:val="2D9D0807"/>
    <w:rsid w:val="2DE40D84"/>
    <w:rsid w:val="2E1924DD"/>
    <w:rsid w:val="2F7B1BB4"/>
    <w:rsid w:val="2F8D29B1"/>
    <w:rsid w:val="30AF7655"/>
    <w:rsid w:val="30D836AE"/>
    <w:rsid w:val="30EB3632"/>
    <w:rsid w:val="31AC7EA8"/>
    <w:rsid w:val="31B43515"/>
    <w:rsid w:val="31D71BF0"/>
    <w:rsid w:val="323740AF"/>
    <w:rsid w:val="32A94534"/>
    <w:rsid w:val="33413EC8"/>
    <w:rsid w:val="33554436"/>
    <w:rsid w:val="34772ADD"/>
    <w:rsid w:val="355B2A13"/>
    <w:rsid w:val="355D5C9E"/>
    <w:rsid w:val="36D706BD"/>
    <w:rsid w:val="37584051"/>
    <w:rsid w:val="37E4758B"/>
    <w:rsid w:val="38113AA0"/>
    <w:rsid w:val="3A316D41"/>
    <w:rsid w:val="3A7A6F1E"/>
    <w:rsid w:val="3A84407A"/>
    <w:rsid w:val="3AAA34F4"/>
    <w:rsid w:val="3AAB53A6"/>
    <w:rsid w:val="3B194DD7"/>
    <w:rsid w:val="3B64677C"/>
    <w:rsid w:val="3C6623F3"/>
    <w:rsid w:val="3CFB677E"/>
    <w:rsid w:val="3D1518B3"/>
    <w:rsid w:val="3E41042A"/>
    <w:rsid w:val="3E642B43"/>
    <w:rsid w:val="3E6F7B1E"/>
    <w:rsid w:val="3F1D6D60"/>
    <w:rsid w:val="3F654DFF"/>
    <w:rsid w:val="3F95513E"/>
    <w:rsid w:val="401F4E55"/>
    <w:rsid w:val="40CB4E3C"/>
    <w:rsid w:val="41A66D94"/>
    <w:rsid w:val="41ED1EFE"/>
    <w:rsid w:val="42A16F0F"/>
    <w:rsid w:val="434118E3"/>
    <w:rsid w:val="4364349F"/>
    <w:rsid w:val="43AD217F"/>
    <w:rsid w:val="452A1319"/>
    <w:rsid w:val="458B72B5"/>
    <w:rsid w:val="462E0053"/>
    <w:rsid w:val="46D0725A"/>
    <w:rsid w:val="475E4A07"/>
    <w:rsid w:val="4797223C"/>
    <w:rsid w:val="479B0ADE"/>
    <w:rsid w:val="47C11F07"/>
    <w:rsid w:val="47CA1CAB"/>
    <w:rsid w:val="47E146F9"/>
    <w:rsid w:val="48790590"/>
    <w:rsid w:val="48806C9C"/>
    <w:rsid w:val="48D11615"/>
    <w:rsid w:val="492B6C43"/>
    <w:rsid w:val="4BD6102D"/>
    <w:rsid w:val="4CF72E0A"/>
    <w:rsid w:val="4D0D668F"/>
    <w:rsid w:val="4D814B73"/>
    <w:rsid w:val="4DFA74A7"/>
    <w:rsid w:val="4E007FCD"/>
    <w:rsid w:val="4E0A1174"/>
    <w:rsid w:val="4E3623E0"/>
    <w:rsid w:val="4F632809"/>
    <w:rsid w:val="4F9A7897"/>
    <w:rsid w:val="503B3292"/>
    <w:rsid w:val="507706BC"/>
    <w:rsid w:val="50AC68A4"/>
    <w:rsid w:val="50BA0004"/>
    <w:rsid w:val="50D628CB"/>
    <w:rsid w:val="541425E1"/>
    <w:rsid w:val="54673386"/>
    <w:rsid w:val="54CF56D2"/>
    <w:rsid w:val="54EB286B"/>
    <w:rsid w:val="553E5FE2"/>
    <w:rsid w:val="557C0E2E"/>
    <w:rsid w:val="55AE418F"/>
    <w:rsid w:val="563A60ED"/>
    <w:rsid w:val="56CE797F"/>
    <w:rsid w:val="57AC5925"/>
    <w:rsid w:val="57AE5C45"/>
    <w:rsid w:val="5801790F"/>
    <w:rsid w:val="585D74AD"/>
    <w:rsid w:val="58D35C9F"/>
    <w:rsid w:val="58E305F4"/>
    <w:rsid w:val="590D0BB8"/>
    <w:rsid w:val="5A717E39"/>
    <w:rsid w:val="5CF64375"/>
    <w:rsid w:val="5D191106"/>
    <w:rsid w:val="5D683466"/>
    <w:rsid w:val="5ECD0CBA"/>
    <w:rsid w:val="5EEE1974"/>
    <w:rsid w:val="60864122"/>
    <w:rsid w:val="60CA0DE4"/>
    <w:rsid w:val="611068F3"/>
    <w:rsid w:val="61AD3C91"/>
    <w:rsid w:val="61EE3878"/>
    <w:rsid w:val="622136D2"/>
    <w:rsid w:val="62821D6C"/>
    <w:rsid w:val="62F63414"/>
    <w:rsid w:val="63BE1959"/>
    <w:rsid w:val="6406501C"/>
    <w:rsid w:val="64826984"/>
    <w:rsid w:val="650F02D7"/>
    <w:rsid w:val="652561BA"/>
    <w:rsid w:val="66123FF3"/>
    <w:rsid w:val="66950943"/>
    <w:rsid w:val="673E235F"/>
    <w:rsid w:val="673F0D45"/>
    <w:rsid w:val="6AD211AF"/>
    <w:rsid w:val="6B0242A5"/>
    <w:rsid w:val="6C9E744C"/>
    <w:rsid w:val="6D643BB1"/>
    <w:rsid w:val="6E45768A"/>
    <w:rsid w:val="6E7E7316"/>
    <w:rsid w:val="6EFF1686"/>
    <w:rsid w:val="6F4A7ADD"/>
    <w:rsid w:val="6F52577A"/>
    <w:rsid w:val="6FB47993"/>
    <w:rsid w:val="6FEE010C"/>
    <w:rsid w:val="70887011"/>
    <w:rsid w:val="70E461FA"/>
    <w:rsid w:val="71892976"/>
    <w:rsid w:val="71C36744"/>
    <w:rsid w:val="720C7DC2"/>
    <w:rsid w:val="73830D52"/>
    <w:rsid w:val="743D357C"/>
    <w:rsid w:val="748266FC"/>
    <w:rsid w:val="74BB1228"/>
    <w:rsid w:val="74E47274"/>
    <w:rsid w:val="75514582"/>
    <w:rsid w:val="759A4515"/>
    <w:rsid w:val="76092670"/>
    <w:rsid w:val="76462F27"/>
    <w:rsid w:val="767D593D"/>
    <w:rsid w:val="770A7D21"/>
    <w:rsid w:val="77AD121A"/>
    <w:rsid w:val="77BD3565"/>
    <w:rsid w:val="78867147"/>
    <w:rsid w:val="78DC3E7D"/>
    <w:rsid w:val="78E41C51"/>
    <w:rsid w:val="79030811"/>
    <w:rsid w:val="791A081E"/>
    <w:rsid w:val="7929784F"/>
    <w:rsid w:val="79DF37DE"/>
    <w:rsid w:val="7A4B44FC"/>
    <w:rsid w:val="7A7A1CA8"/>
    <w:rsid w:val="7B264035"/>
    <w:rsid w:val="7B376CA9"/>
    <w:rsid w:val="7BEB0099"/>
    <w:rsid w:val="7BFE39DD"/>
    <w:rsid w:val="7C710949"/>
    <w:rsid w:val="7E4E76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nhideWhenUsed="0" w:uiPriority="9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qFormat="1" w:unhideWhenUsed="0" w:uiPriority="0" w:semiHidden="0"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0" w:semiHidden="0" w:name="Block Text"/>
    <w:lsdException w:qFormat="1" w:uiPriority="0"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autoRedefine/>
    <w:qFormat/>
    <w:uiPriority w:val="0"/>
    <w:pPr>
      <w:keepNext/>
      <w:keepLines/>
      <w:numPr>
        <w:ilvl w:val="0"/>
        <w:numId w:val="1"/>
      </w:numPr>
      <w:spacing w:before="340" w:after="330"/>
      <w:ind w:left="0" w:firstLine="0"/>
      <w:jc w:val="center"/>
      <w:outlineLvl w:val="0"/>
    </w:pPr>
    <w:rPr>
      <w:rFonts w:ascii="Calibri" w:hAnsi="Calibri"/>
      <w:b/>
      <w:kern w:val="44"/>
      <w:sz w:val="44"/>
      <w:szCs w:val="20"/>
    </w:rPr>
  </w:style>
  <w:style w:type="paragraph" w:styleId="2">
    <w:name w:val="heading 2"/>
    <w:basedOn w:val="1"/>
    <w:next w:val="1"/>
    <w:autoRedefine/>
    <w:qFormat/>
    <w:uiPriority w:val="99"/>
    <w:pPr>
      <w:keepNext/>
      <w:keepLines/>
      <w:snapToGrid w:val="0"/>
      <w:spacing w:beforeLines="50" w:line="300" w:lineRule="auto"/>
      <w:ind w:firstLine="200" w:firstLineChars="200"/>
      <w:outlineLvl w:val="1"/>
    </w:pPr>
    <w:rPr>
      <w:rFonts w:ascii="Arial" w:hAnsi="Arial"/>
      <w:b/>
      <w:bCs/>
      <w:szCs w:val="32"/>
    </w:rPr>
  </w:style>
  <w:style w:type="paragraph" w:styleId="4">
    <w:name w:val="heading 3"/>
    <w:basedOn w:val="1"/>
    <w:next w:val="1"/>
    <w:autoRedefine/>
    <w:qFormat/>
    <w:uiPriority w:val="99"/>
    <w:pPr>
      <w:widowControl/>
      <w:autoSpaceDE w:val="0"/>
      <w:autoSpaceDN w:val="0"/>
      <w:snapToGrid w:val="0"/>
      <w:spacing w:line="300" w:lineRule="auto"/>
      <w:ind w:firstLine="200" w:firstLineChars="200"/>
      <w:outlineLvl w:val="2"/>
    </w:pPr>
    <w:rPr>
      <w:rFonts w:ascii="Arial" w:hAnsi="Arial"/>
      <w:b/>
      <w:szCs w:val="20"/>
    </w:rPr>
  </w:style>
  <w:style w:type="character" w:default="1" w:styleId="24">
    <w:name w:val="Default Paragraph Font"/>
    <w:autoRedefine/>
    <w:semiHidden/>
    <w:unhideWhenUsed/>
    <w:qFormat/>
    <w:uiPriority w:val="1"/>
  </w:style>
  <w:style w:type="table" w:default="1" w:styleId="22">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autoRedefine/>
    <w:qFormat/>
    <w:uiPriority w:val="0"/>
    <w:pPr>
      <w:ind w:firstLine="420"/>
    </w:pPr>
    <w:rPr>
      <w:szCs w:val="20"/>
    </w:rPr>
  </w:style>
  <w:style w:type="paragraph" w:styleId="6">
    <w:name w:val="annotation text"/>
    <w:basedOn w:val="1"/>
    <w:link w:val="62"/>
    <w:autoRedefine/>
    <w:qFormat/>
    <w:uiPriority w:val="0"/>
    <w:pPr>
      <w:jc w:val="left"/>
    </w:pPr>
  </w:style>
  <w:style w:type="paragraph" w:styleId="7">
    <w:name w:val="Body Text"/>
    <w:basedOn w:val="1"/>
    <w:next w:val="8"/>
    <w:link w:val="33"/>
    <w:autoRedefine/>
    <w:semiHidden/>
    <w:unhideWhenUsed/>
    <w:qFormat/>
    <w:uiPriority w:val="99"/>
    <w:pPr>
      <w:spacing w:after="120"/>
    </w:pPr>
  </w:style>
  <w:style w:type="paragraph" w:styleId="8">
    <w:name w:val="Body Text First Indent"/>
    <w:basedOn w:val="7"/>
    <w:next w:val="1"/>
    <w:autoRedefine/>
    <w:qFormat/>
    <w:uiPriority w:val="0"/>
    <w:pPr>
      <w:ind w:firstLine="420" w:firstLineChars="100"/>
    </w:pPr>
  </w:style>
  <w:style w:type="paragraph" w:styleId="9">
    <w:name w:val="Body Text Indent"/>
    <w:basedOn w:val="1"/>
    <w:next w:val="1"/>
    <w:link w:val="34"/>
    <w:autoRedefine/>
    <w:qFormat/>
    <w:uiPriority w:val="99"/>
    <w:pPr>
      <w:spacing w:after="120"/>
      <w:ind w:left="420" w:leftChars="200"/>
    </w:pPr>
  </w:style>
  <w:style w:type="paragraph" w:styleId="10">
    <w:name w:val="Block Text"/>
    <w:basedOn w:val="1"/>
    <w:autoRedefine/>
    <w:qFormat/>
    <w:uiPriority w:val="0"/>
    <w:pPr>
      <w:adjustRightInd w:val="0"/>
      <w:snapToGrid w:val="0"/>
      <w:spacing w:line="360" w:lineRule="auto"/>
      <w:ind w:left="567" w:leftChars="270" w:right="-150" w:rightChars="-150" w:firstLine="480" w:firstLineChars="200"/>
    </w:pPr>
    <w:rPr>
      <w:rFonts w:ascii="宋体"/>
      <w:sz w:val="24"/>
    </w:rPr>
  </w:style>
  <w:style w:type="paragraph" w:styleId="11">
    <w:name w:val="Plain Text"/>
    <w:basedOn w:val="1"/>
    <w:next w:val="12"/>
    <w:autoRedefine/>
    <w:qFormat/>
    <w:uiPriority w:val="0"/>
    <w:rPr>
      <w:rFonts w:ascii="宋体" w:hAnsi="Courier New" w:cstheme="minorBidi"/>
    </w:rPr>
  </w:style>
  <w:style w:type="paragraph" w:styleId="12">
    <w:name w:val="Date"/>
    <w:basedOn w:val="1"/>
    <w:next w:val="1"/>
    <w:autoRedefine/>
    <w:qFormat/>
    <w:uiPriority w:val="99"/>
    <w:pPr>
      <w:ind w:left="2500" w:leftChars="2500"/>
    </w:pPr>
    <w:rPr>
      <w:rFonts w:ascii="Calibri" w:hAnsi="Calibri" w:eastAsia="楷体_GB2312"/>
      <w:sz w:val="32"/>
      <w:szCs w:val="22"/>
    </w:rPr>
  </w:style>
  <w:style w:type="paragraph" w:styleId="13">
    <w:name w:val="Balloon Text"/>
    <w:basedOn w:val="1"/>
    <w:link w:val="35"/>
    <w:autoRedefine/>
    <w:semiHidden/>
    <w:unhideWhenUsed/>
    <w:qFormat/>
    <w:uiPriority w:val="99"/>
    <w:rPr>
      <w:sz w:val="18"/>
      <w:szCs w:val="18"/>
    </w:rPr>
  </w:style>
  <w:style w:type="paragraph" w:styleId="14">
    <w:name w:val="footer"/>
    <w:basedOn w:val="1"/>
    <w:link w:val="32"/>
    <w:autoRedefine/>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15">
    <w:name w:val="header"/>
    <w:basedOn w:val="1"/>
    <w:link w:val="31"/>
    <w:autoRedefine/>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6">
    <w:name w:val="toc 2"/>
    <w:basedOn w:val="1"/>
    <w:next w:val="1"/>
    <w:autoRedefine/>
    <w:qFormat/>
    <w:uiPriority w:val="0"/>
    <w:pPr>
      <w:tabs>
        <w:tab w:val="right" w:leader="dot" w:pos="10070"/>
      </w:tabs>
      <w:spacing w:line="480" w:lineRule="auto"/>
      <w:ind w:left="200" w:leftChars="200"/>
    </w:pPr>
  </w:style>
  <w:style w:type="paragraph" w:styleId="17">
    <w:name w:val="HTML Preformatted"/>
    <w:basedOn w:val="1"/>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pPr>
    <w:rPr>
      <w:rFonts w:ascii="Arial" w:hAnsi="Arial" w:cs="Arial"/>
      <w:kern w:val="0"/>
      <w:szCs w:val="21"/>
    </w:rPr>
  </w:style>
  <w:style w:type="paragraph" w:styleId="18">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19">
    <w:name w:val="Title"/>
    <w:basedOn w:val="1"/>
    <w:next w:val="1"/>
    <w:autoRedefine/>
    <w:qFormat/>
    <w:uiPriority w:val="10"/>
    <w:pPr>
      <w:spacing w:before="240" w:after="60"/>
      <w:jc w:val="center"/>
      <w:outlineLvl w:val="0"/>
    </w:pPr>
    <w:rPr>
      <w:rFonts w:asciiTheme="majorHAnsi" w:hAnsiTheme="majorHAnsi" w:cstheme="majorBidi"/>
      <w:b/>
      <w:bCs/>
      <w:sz w:val="32"/>
      <w:szCs w:val="32"/>
    </w:rPr>
  </w:style>
  <w:style w:type="paragraph" w:styleId="20">
    <w:name w:val="annotation subject"/>
    <w:basedOn w:val="6"/>
    <w:next w:val="6"/>
    <w:link w:val="63"/>
    <w:autoRedefine/>
    <w:semiHidden/>
    <w:unhideWhenUsed/>
    <w:qFormat/>
    <w:uiPriority w:val="99"/>
    <w:rPr>
      <w:b/>
      <w:bCs/>
    </w:rPr>
  </w:style>
  <w:style w:type="paragraph" w:styleId="21">
    <w:name w:val="Body Text First Indent 2"/>
    <w:basedOn w:val="9"/>
    <w:autoRedefine/>
    <w:qFormat/>
    <w:uiPriority w:val="99"/>
    <w:pPr>
      <w:ind w:firstLine="420"/>
    </w:pPr>
  </w:style>
  <w:style w:type="table" w:styleId="23">
    <w:name w:val="Table Grid"/>
    <w:basedOn w:val="2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5">
    <w:name w:val="Strong"/>
    <w:autoRedefine/>
    <w:qFormat/>
    <w:uiPriority w:val="0"/>
    <w:rPr>
      <w:rFonts w:ascii="Tahoma" w:hAnsi="Tahoma" w:cs="Tahoma"/>
      <w:b/>
      <w:sz w:val="24"/>
    </w:rPr>
  </w:style>
  <w:style w:type="character" w:styleId="26">
    <w:name w:val="page number"/>
    <w:basedOn w:val="24"/>
    <w:autoRedefine/>
    <w:qFormat/>
    <w:uiPriority w:val="0"/>
  </w:style>
  <w:style w:type="character" w:styleId="27">
    <w:name w:val="Hyperlink"/>
    <w:autoRedefine/>
    <w:unhideWhenUsed/>
    <w:qFormat/>
    <w:uiPriority w:val="0"/>
    <w:rPr>
      <w:color w:val="0000FF"/>
      <w:u w:val="single"/>
    </w:rPr>
  </w:style>
  <w:style w:type="character" w:styleId="28">
    <w:name w:val="annotation reference"/>
    <w:basedOn w:val="24"/>
    <w:autoRedefine/>
    <w:semiHidden/>
    <w:unhideWhenUsed/>
    <w:qFormat/>
    <w:uiPriority w:val="99"/>
    <w:rPr>
      <w:sz w:val="21"/>
      <w:szCs w:val="21"/>
    </w:rPr>
  </w:style>
  <w:style w:type="paragraph" w:customStyle="1" w:styleId="29">
    <w:name w:val="[Normal]"/>
    <w:autoRedefine/>
    <w:qFormat/>
    <w:uiPriority w:val="0"/>
    <w:rPr>
      <w:rFonts w:ascii="宋体" w:hAnsi="宋体" w:eastAsia="宋体" w:cs="Times New Roman"/>
      <w:sz w:val="24"/>
      <w:szCs w:val="22"/>
      <w:lang w:val="zh-CN" w:eastAsia="zh-CN" w:bidi="ar-SA"/>
    </w:rPr>
  </w:style>
  <w:style w:type="paragraph" w:customStyle="1" w:styleId="30">
    <w:name w:val="Normal Indent1"/>
    <w:basedOn w:val="1"/>
    <w:autoRedefine/>
    <w:qFormat/>
    <w:uiPriority w:val="0"/>
    <w:pPr>
      <w:ind w:firstLine="420" w:firstLineChars="200"/>
    </w:pPr>
  </w:style>
  <w:style w:type="character" w:customStyle="1" w:styleId="31">
    <w:name w:val="页眉 Char"/>
    <w:basedOn w:val="24"/>
    <w:link w:val="15"/>
    <w:autoRedefine/>
    <w:qFormat/>
    <w:uiPriority w:val="99"/>
    <w:rPr>
      <w:sz w:val="18"/>
      <w:szCs w:val="18"/>
    </w:rPr>
  </w:style>
  <w:style w:type="character" w:customStyle="1" w:styleId="32">
    <w:name w:val="页脚 Char"/>
    <w:basedOn w:val="24"/>
    <w:link w:val="14"/>
    <w:autoRedefine/>
    <w:qFormat/>
    <w:uiPriority w:val="99"/>
    <w:rPr>
      <w:sz w:val="18"/>
      <w:szCs w:val="18"/>
    </w:rPr>
  </w:style>
  <w:style w:type="character" w:customStyle="1" w:styleId="33">
    <w:name w:val="正文文本 Char"/>
    <w:basedOn w:val="24"/>
    <w:link w:val="7"/>
    <w:autoRedefine/>
    <w:semiHidden/>
    <w:qFormat/>
    <w:uiPriority w:val="99"/>
    <w:rPr>
      <w:rFonts w:ascii="Times New Roman" w:hAnsi="Times New Roman" w:eastAsia="宋体" w:cs="Times New Roman"/>
      <w:szCs w:val="24"/>
    </w:rPr>
  </w:style>
  <w:style w:type="character" w:customStyle="1" w:styleId="34">
    <w:name w:val="正文文本缩进 Char"/>
    <w:basedOn w:val="24"/>
    <w:link w:val="9"/>
    <w:autoRedefine/>
    <w:qFormat/>
    <w:uiPriority w:val="99"/>
    <w:rPr>
      <w:rFonts w:ascii="Times New Roman" w:hAnsi="Times New Roman" w:eastAsia="宋体" w:cs="Times New Roman"/>
      <w:szCs w:val="24"/>
    </w:rPr>
  </w:style>
  <w:style w:type="character" w:customStyle="1" w:styleId="35">
    <w:name w:val="批注框文本 Char"/>
    <w:basedOn w:val="24"/>
    <w:link w:val="13"/>
    <w:autoRedefine/>
    <w:semiHidden/>
    <w:qFormat/>
    <w:uiPriority w:val="99"/>
    <w:rPr>
      <w:rFonts w:ascii="Times New Roman" w:hAnsi="Times New Roman" w:eastAsia="宋体" w:cs="Times New Roman"/>
      <w:sz w:val="18"/>
      <w:szCs w:val="18"/>
    </w:rPr>
  </w:style>
  <w:style w:type="character" w:customStyle="1" w:styleId="36">
    <w:name w:val="无"/>
    <w:autoRedefine/>
    <w:qFormat/>
    <w:uiPriority w:val="99"/>
  </w:style>
  <w:style w:type="paragraph" w:customStyle="1" w:styleId="37">
    <w:name w:val="表格文字"/>
    <w:basedOn w:val="1"/>
    <w:next w:val="7"/>
    <w:autoRedefine/>
    <w:qFormat/>
    <w:uiPriority w:val="99"/>
    <w:pPr>
      <w:adjustRightInd w:val="0"/>
      <w:spacing w:line="420" w:lineRule="atLeast"/>
      <w:jc w:val="left"/>
      <w:textAlignment w:val="baseline"/>
    </w:pPr>
    <w:rPr>
      <w:kern w:val="0"/>
    </w:rPr>
  </w:style>
  <w:style w:type="paragraph" w:customStyle="1" w:styleId="38">
    <w:name w:val="正文_8_0_0"/>
    <w:autoRedefine/>
    <w:qFormat/>
    <w:uiPriority w:val="99"/>
    <w:pPr>
      <w:widowControl w:val="0"/>
      <w:jc w:val="both"/>
    </w:pPr>
    <w:rPr>
      <w:rFonts w:ascii="Calibri" w:hAnsi="Calibri" w:eastAsia="宋体" w:cs="Times New Roman"/>
      <w:kern w:val="2"/>
      <w:sz w:val="21"/>
      <w:szCs w:val="22"/>
      <w:lang w:val="en-US" w:eastAsia="zh-CN" w:bidi="ar-SA"/>
    </w:rPr>
  </w:style>
  <w:style w:type="paragraph" w:customStyle="1" w:styleId="39">
    <w:name w:val="正文_10_0"/>
    <w:autoRedefine/>
    <w:qFormat/>
    <w:uiPriority w:val="99"/>
    <w:pPr>
      <w:widowControl w:val="0"/>
      <w:jc w:val="both"/>
    </w:pPr>
    <w:rPr>
      <w:rFonts w:ascii="Calibri" w:hAnsi="Calibri" w:eastAsia="宋体" w:cs="Times New Roman"/>
      <w:kern w:val="2"/>
      <w:sz w:val="21"/>
      <w:szCs w:val="22"/>
      <w:lang w:val="en-US" w:eastAsia="zh-CN" w:bidi="ar-SA"/>
    </w:rPr>
  </w:style>
  <w:style w:type="paragraph" w:customStyle="1" w:styleId="40">
    <w:name w:val="reader-word-layer"/>
    <w:basedOn w:val="1"/>
    <w:autoRedefine/>
    <w:qFormat/>
    <w:uiPriority w:val="99"/>
    <w:pPr>
      <w:widowControl/>
      <w:spacing w:before="100" w:beforeAutospacing="1" w:after="100" w:afterAutospacing="1"/>
      <w:jc w:val="left"/>
    </w:pPr>
    <w:rPr>
      <w:rFonts w:ascii="宋体" w:hAnsi="宋体" w:cs="宋体"/>
      <w:kern w:val="0"/>
      <w:sz w:val="24"/>
    </w:rPr>
  </w:style>
  <w:style w:type="paragraph" w:customStyle="1" w:styleId="41">
    <w:name w:val="正文_3_0"/>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2">
    <w:name w:val="正文_14"/>
    <w:autoRedefine/>
    <w:qFormat/>
    <w:uiPriority w:val="99"/>
    <w:rPr>
      <w:rFonts w:ascii="Times New Roman" w:hAnsi="Times New Roman" w:eastAsia="宋体" w:cs="Times New Roman"/>
      <w:sz w:val="21"/>
      <w:szCs w:val="22"/>
      <w:lang w:val="en-US" w:eastAsia="zh-CN" w:bidi="ar-SA"/>
    </w:rPr>
  </w:style>
  <w:style w:type="paragraph" w:customStyle="1" w:styleId="43">
    <w:name w:val="正文_4"/>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4">
    <w:name w:val="正文_5"/>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5">
    <w:name w:val="正文_10"/>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6">
    <w:name w:val="纯文本_3"/>
    <w:basedOn w:val="45"/>
    <w:autoRedefine/>
    <w:qFormat/>
    <w:uiPriority w:val="99"/>
    <w:pPr>
      <w:widowControl/>
      <w:jc w:val="left"/>
    </w:pPr>
    <w:rPr>
      <w:rFonts w:ascii="宋体" w:hAnsi="Courier New"/>
      <w:szCs w:val="21"/>
    </w:rPr>
  </w:style>
  <w:style w:type="paragraph" w:customStyle="1" w:styleId="47">
    <w:name w:val="纯文本_0_1"/>
    <w:basedOn w:val="1"/>
    <w:autoRedefine/>
    <w:qFormat/>
    <w:uiPriority w:val="99"/>
    <w:pPr>
      <w:widowControl/>
      <w:jc w:val="left"/>
    </w:pPr>
    <w:rPr>
      <w:rFonts w:ascii="宋体" w:hAnsi="Courier New"/>
      <w:szCs w:val="21"/>
    </w:rPr>
  </w:style>
  <w:style w:type="paragraph" w:customStyle="1" w:styleId="48">
    <w:name w:val="正文_17"/>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9">
    <w:name w:val="正文_2_0"/>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50">
    <w:name w:val="正文_6"/>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51">
    <w:name w:val="Normal_15"/>
    <w:autoRedefine/>
    <w:qFormat/>
    <w:uiPriority w:val="99"/>
    <w:pPr>
      <w:widowControl w:val="0"/>
      <w:jc w:val="both"/>
    </w:pPr>
    <w:rPr>
      <w:rFonts w:ascii="Calibri" w:hAnsi="Calibri" w:eastAsia="宋体" w:cs="Times New Roman"/>
      <w:kern w:val="2"/>
      <w:sz w:val="21"/>
      <w:szCs w:val="22"/>
      <w:lang w:val="en-US" w:eastAsia="zh-CN" w:bidi="ar-SA"/>
    </w:rPr>
  </w:style>
  <w:style w:type="paragraph" w:customStyle="1" w:styleId="52">
    <w:name w:val="正文1"/>
    <w:next w:val="1"/>
    <w:autoRedefine/>
    <w:qFormat/>
    <w:uiPriority w:val="0"/>
    <w:pPr>
      <w:widowControl w:val="0"/>
      <w:adjustRightInd w:val="0"/>
      <w:spacing w:line="240" w:lineRule="atLeast"/>
      <w:jc w:val="both"/>
    </w:pPr>
    <w:rPr>
      <w:rFonts w:ascii="宋体" w:hAnsi="Times New Roman" w:eastAsia="宋体" w:cs="Times New Roman"/>
      <w:sz w:val="34"/>
      <w:lang w:val="en-US" w:eastAsia="zh-CN" w:bidi="ar-SA"/>
    </w:rPr>
  </w:style>
  <w:style w:type="paragraph" w:customStyle="1" w:styleId="53">
    <w:name w:val="p0"/>
    <w:basedOn w:val="1"/>
    <w:autoRedefine/>
    <w:qFormat/>
    <w:uiPriority w:val="0"/>
    <w:pPr>
      <w:widowControl/>
    </w:pPr>
    <w:rPr>
      <w:rFonts w:ascii="Calibri" w:hAnsi="Calibri" w:cs="宋体"/>
      <w:kern w:val="0"/>
      <w:szCs w:val="21"/>
    </w:rPr>
  </w:style>
  <w:style w:type="paragraph" w:styleId="54">
    <w:name w:val="List Paragraph"/>
    <w:basedOn w:val="1"/>
    <w:autoRedefine/>
    <w:qFormat/>
    <w:uiPriority w:val="0"/>
    <w:pPr>
      <w:ind w:firstLine="420" w:firstLineChars="200"/>
    </w:pPr>
  </w:style>
  <w:style w:type="paragraph" w:customStyle="1" w:styleId="55">
    <w:name w:val="正文（首行缩进2字符）"/>
    <w:basedOn w:val="1"/>
    <w:autoRedefine/>
    <w:qFormat/>
    <w:uiPriority w:val="0"/>
    <w:pPr>
      <w:ind w:firstLine="480" w:firstLineChars="200"/>
    </w:pPr>
    <w:rPr>
      <w:sz w:val="24"/>
      <w:szCs w:val="20"/>
    </w:rPr>
  </w:style>
  <w:style w:type="paragraph" w:customStyle="1" w:styleId="56">
    <w:name w:val="ssfa 正文"/>
    <w:basedOn w:val="1"/>
    <w:autoRedefine/>
    <w:qFormat/>
    <w:uiPriority w:val="0"/>
    <w:pPr>
      <w:spacing w:line="360" w:lineRule="auto"/>
      <w:ind w:firstLine="200" w:firstLineChars="200"/>
    </w:pPr>
    <w:rPr>
      <w:kern w:val="0"/>
      <w:sz w:val="24"/>
      <w:szCs w:val="28"/>
      <w:lang w:val="zh-CN"/>
    </w:rPr>
  </w:style>
  <w:style w:type="character" w:customStyle="1" w:styleId="57">
    <w:name w:val="NormalCharacter"/>
    <w:autoRedefine/>
    <w:semiHidden/>
    <w:qFormat/>
    <w:uiPriority w:val="0"/>
  </w:style>
  <w:style w:type="paragraph" w:customStyle="1" w:styleId="58">
    <w:name w:val="Body Text First Indent Char Char"/>
    <w:basedOn w:val="1"/>
    <w:autoRedefine/>
    <w:qFormat/>
    <w:uiPriority w:val="0"/>
    <w:pPr>
      <w:spacing w:after="120"/>
      <w:ind w:firstLine="100" w:firstLineChars="100"/>
    </w:pPr>
    <w:rPr>
      <w:rFonts w:cs="宋体"/>
      <w:szCs w:val="21"/>
    </w:rPr>
  </w:style>
  <w:style w:type="paragraph" w:customStyle="1" w:styleId="59">
    <w:name w:val="列出段落1"/>
    <w:basedOn w:val="1"/>
    <w:autoRedefine/>
    <w:qFormat/>
    <w:uiPriority w:val="34"/>
    <w:pPr>
      <w:ind w:firstLine="420" w:firstLineChars="200"/>
    </w:pPr>
  </w:style>
  <w:style w:type="paragraph" w:customStyle="1" w:styleId="60">
    <w:name w:val="表格内容"/>
    <w:basedOn w:val="1"/>
    <w:next w:val="1"/>
    <w:autoRedefine/>
    <w:qFormat/>
    <w:uiPriority w:val="0"/>
    <w:pPr>
      <w:adjustRightInd w:val="0"/>
      <w:snapToGrid w:val="0"/>
      <w:jc w:val="center"/>
      <w:textAlignment w:val="baseline"/>
    </w:pPr>
    <w:rPr>
      <w:rFonts w:ascii="Calibri" w:hAnsi="Calibri" w:cs="黑体"/>
      <w:color w:val="000000"/>
      <w:szCs w:val="22"/>
    </w:rPr>
  </w:style>
  <w:style w:type="paragraph" w:customStyle="1" w:styleId="61">
    <w:name w:val="Table Paragraph"/>
    <w:basedOn w:val="1"/>
    <w:autoRedefine/>
    <w:qFormat/>
    <w:uiPriority w:val="1"/>
    <w:pPr>
      <w:jc w:val="left"/>
    </w:pPr>
    <w:rPr>
      <w:kern w:val="0"/>
      <w:sz w:val="22"/>
      <w:lang w:eastAsia="en-US"/>
    </w:rPr>
  </w:style>
  <w:style w:type="character" w:customStyle="1" w:styleId="62">
    <w:name w:val="批注文字 Char"/>
    <w:basedOn w:val="24"/>
    <w:link w:val="6"/>
    <w:autoRedefine/>
    <w:qFormat/>
    <w:uiPriority w:val="0"/>
    <w:rPr>
      <w:kern w:val="2"/>
      <w:sz w:val="21"/>
      <w:szCs w:val="24"/>
    </w:rPr>
  </w:style>
  <w:style w:type="character" w:customStyle="1" w:styleId="63">
    <w:name w:val="批注主题 Char"/>
    <w:basedOn w:val="62"/>
    <w:link w:val="20"/>
    <w:autoRedefine/>
    <w:semiHidden/>
    <w:qFormat/>
    <w:uiPriority w:val="99"/>
    <w:rPr>
      <w:b/>
      <w:bCs/>
      <w:kern w:val="2"/>
      <w:sz w:val="21"/>
      <w:szCs w:val="24"/>
    </w:rPr>
  </w:style>
  <w:style w:type="paragraph" w:customStyle="1" w:styleId="64">
    <w:name w:val="正文首行缩进1"/>
    <w:basedOn w:val="7"/>
    <w:autoRedefine/>
    <w:qFormat/>
    <w:uiPriority w:val="0"/>
    <w:pPr>
      <w:ind w:firstLine="420" w:firstLineChars="100"/>
    </w:pPr>
  </w:style>
  <w:style w:type="paragraph" w:customStyle="1" w:styleId="65">
    <w:name w:val="纯文本1"/>
    <w:basedOn w:val="52"/>
    <w:autoRedefine/>
    <w:qFormat/>
    <w:uiPriority w:val="0"/>
    <w:pPr>
      <w:widowControl/>
      <w:jc w:val="left"/>
    </w:pPr>
    <w:rPr>
      <w:rFonts w:ascii="宋体" w:hAnsi="Courier New"/>
      <w:szCs w:val="20"/>
    </w:rPr>
  </w:style>
  <w:style w:type="paragraph" w:customStyle="1" w:styleId="66">
    <w:name w:val="正文2"/>
    <w:basedOn w:val="1"/>
    <w:autoRedefine/>
    <w:qFormat/>
    <w:uiPriority w:val="0"/>
    <w:pPr>
      <w:spacing w:before="156" w:line="360" w:lineRule="auto"/>
      <w:ind w:firstLine="510" w:firstLineChars="200"/>
    </w:pPr>
    <w:rPr>
      <w:sz w:val="24"/>
      <w:szCs w:val="20"/>
    </w:rPr>
  </w:style>
  <w:style w:type="paragraph" w:customStyle="1" w:styleId="67">
    <w:name w:val="签发人"/>
    <w:basedOn w:val="1"/>
    <w:autoRedefine/>
    <w:qFormat/>
    <w:uiPriority w:val="0"/>
    <w:rPr>
      <w:rFonts w:eastAsia="楷体"/>
      <w:sz w:val="32"/>
    </w:rPr>
  </w:style>
  <w:style w:type="paragraph" w:customStyle="1" w:styleId="68">
    <w:name w:val="表格文本"/>
    <w:basedOn w:val="1"/>
    <w:autoRedefine/>
    <w:qFormat/>
    <w:uiPriority w:val="0"/>
    <w:pPr>
      <w:spacing w:before="120" w:after="120"/>
    </w:pPr>
    <w:rPr>
      <w:rFonts w:cs="黑体"/>
      <w:szCs w:val="21"/>
    </w:rPr>
  </w:style>
  <w:style w:type="character" w:customStyle="1" w:styleId="69">
    <w:name w:val="font61"/>
    <w:basedOn w:val="24"/>
    <w:autoRedefine/>
    <w:qFormat/>
    <w:uiPriority w:val="0"/>
    <w:rPr>
      <w:rFonts w:hint="eastAsia" w:ascii="宋体" w:hAnsi="宋体" w:eastAsia="宋体" w:cs="宋体"/>
      <w:color w:val="000000"/>
      <w:sz w:val="20"/>
      <w:szCs w:val="20"/>
      <w:u w:val="none"/>
    </w:rPr>
  </w:style>
  <w:style w:type="character" w:customStyle="1" w:styleId="70">
    <w:name w:val="font131"/>
    <w:basedOn w:val="24"/>
    <w:autoRedefine/>
    <w:qFormat/>
    <w:uiPriority w:val="0"/>
    <w:rPr>
      <w:rFonts w:hint="eastAsia" w:ascii="宋体" w:hAnsi="宋体" w:eastAsia="宋体" w:cs="宋体"/>
      <w:b/>
      <w:bCs/>
      <w:color w:val="000000"/>
      <w:sz w:val="20"/>
      <w:szCs w:val="20"/>
      <w:u w:val="none"/>
    </w:rPr>
  </w:style>
  <w:style w:type="character" w:customStyle="1" w:styleId="71">
    <w:name w:val="font41"/>
    <w:basedOn w:val="24"/>
    <w:autoRedefine/>
    <w:qFormat/>
    <w:uiPriority w:val="0"/>
    <w:rPr>
      <w:rFonts w:hint="eastAsia" w:ascii="宋体" w:hAnsi="宋体" w:eastAsia="宋体" w:cs="宋体"/>
      <w:color w:val="000000"/>
      <w:sz w:val="20"/>
      <w:szCs w:val="20"/>
      <w:u w:val="none"/>
    </w:rPr>
  </w:style>
  <w:style w:type="character" w:customStyle="1" w:styleId="72">
    <w:name w:val="font111"/>
    <w:basedOn w:val="24"/>
    <w:autoRedefine/>
    <w:qFormat/>
    <w:uiPriority w:val="0"/>
    <w:rPr>
      <w:rFonts w:hint="eastAsia" w:ascii="宋体" w:hAnsi="宋体" w:eastAsia="宋体" w:cs="宋体"/>
      <w:b/>
      <w:bCs/>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5.jpeg"/><Relationship Id="rId13" Type="http://schemas.openxmlformats.org/officeDocument/2006/relationships/image" Target="media/image4.jpeg"/><Relationship Id="rId12" Type="http://schemas.openxmlformats.org/officeDocument/2006/relationships/image" Target="media/image3.png"/><Relationship Id="rId11" Type="http://schemas.openxmlformats.org/officeDocument/2006/relationships/image" Target="media/image2.png"/><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77</Pages>
  <Words>45884</Words>
  <Characters>50004</Characters>
  <Lines>211</Lines>
  <Paragraphs>59</Paragraphs>
  <TotalTime>4</TotalTime>
  <ScaleCrop>false</ScaleCrop>
  <LinksUpToDate>false</LinksUpToDate>
  <CharactersWithSpaces>51078</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2020-03-20T03:00:00Z</dcterms:created>
  <dc:creator>苏彬</dc:creator>
  <cp:lastModifiedBy>Samiha</cp:lastModifiedBy>
  <cp:lastPrinted>2020-11-27T08:28:00Z</cp:lastPrinted>
  <dcterms:modified xsi:type="dcterms:W3CDTF">2024-05-17T10:37:46Z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AD6835AB97E842EC888A097AE745AA36_13</vt:lpwstr>
  </property>
  <property fmtid="{D5CDD505-2E9C-101B-9397-08002B2CF9AE}" pid="4" name="commondata">
    <vt:lpwstr>eyJoZGlkIjoiNmNiNWQzMTIyZDkyNWQ5MzYxMmQ5MTE1ZmU3YjE0M2QifQ==</vt:lpwstr>
  </property>
</Properties>
</file>