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auto"/>
          <w:highlight w:val="none"/>
        </w:rPr>
        <w:drawing>
          <wp:inline distT="0" distB="0" distL="114300" distR="114300">
            <wp:extent cx="5268595" cy="2705100"/>
            <wp:effectExtent l="0" t="0" r="8255" b="0"/>
            <wp:docPr id="1"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工作文件\中石化费用账单\九峰加油站\2020\永安HY logo.png"/>
                    <pic:cNvPicPr>
                      <a:picLocks noChangeAspect="1"/>
                    </pic:cNvPicPr>
                  </pic:nvPicPr>
                  <pic:blipFill>
                    <a:blip r:embed="rId10"/>
                    <a:stretch>
                      <a:fillRect/>
                    </a:stretch>
                  </pic:blipFill>
                  <pic:spPr>
                    <a:xfrm>
                      <a:off x="0" y="0"/>
                      <a:ext cx="5268595" cy="2705100"/>
                    </a:xfrm>
                    <a:prstGeom prst="rect">
                      <a:avLst/>
                    </a:prstGeom>
                    <a:noFill/>
                    <a:ln>
                      <a:noFill/>
                    </a:ln>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72"/>
          <w:szCs w:val="7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政府采购招标文件</w:t>
      </w:r>
    </w:p>
    <w:p>
      <w:pPr>
        <w:spacing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（电子招投标方式）</w:t>
      </w:r>
    </w:p>
    <w:p>
      <w:pPr>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项目编号：</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zjhy2024-tz04</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spacing w:line="360" w:lineRule="auto"/>
        <w:ind w:left="1405" w:hanging="1405" w:hangingChars="50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采购项目：</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物理实验室、准备室、教室多媒体设备采购项目</w:t>
      </w:r>
    </w:p>
    <w:p>
      <w:pPr>
        <w:spacing w:line="360" w:lineRule="auto"/>
        <w:jc w:val="center"/>
        <w:rPr>
          <w:rFonts w:hint="eastAsia" w:ascii="宋体" w:hAnsi="宋体" w:eastAsia="宋体" w:cs="宋体"/>
          <w:color w:val="000000" w:themeColor="text1"/>
          <w:kern w:val="0"/>
          <w:sz w:val="28"/>
          <w:szCs w:val="28"/>
          <w:highlight w:val="none"/>
          <w:u w:val="singl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采 购 人：</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台州市路桥中学</w:t>
      </w:r>
    </w:p>
    <w:p>
      <w:pPr>
        <w:pStyle w:val="7"/>
        <w:rPr>
          <w:rFonts w:hint="eastAsia" w:ascii="宋体" w:hAnsi="宋体" w:eastAsia="宋体" w:cs="宋体"/>
          <w:color w:val="000000" w:themeColor="text1"/>
          <w:highlight w:val="none"/>
          <w14:textFill>
            <w14:solidFill>
              <w14:schemeClr w14:val="tx1"/>
            </w14:solidFill>
          </w14:textFill>
        </w:rPr>
      </w:pPr>
    </w:p>
    <w:p>
      <w:pPr>
        <w:pStyle w:val="7"/>
        <w:rPr>
          <w:rFonts w:hint="eastAsia" w:ascii="宋体" w:hAnsi="宋体" w:eastAsia="宋体" w:cs="宋体"/>
          <w:color w:val="000000" w:themeColor="text1"/>
          <w:highlight w:val="none"/>
          <w14:textFill>
            <w14:solidFill>
              <w14:schemeClr w14:val="tx1"/>
            </w14:solidFill>
          </w14:textFill>
        </w:rPr>
      </w:pPr>
    </w:p>
    <w:p>
      <w:pPr>
        <w:pStyle w:val="8"/>
        <w:rPr>
          <w:rFonts w:hint="eastAsia" w:ascii="宋体" w:hAnsi="宋体" w:eastAsia="宋体" w:cs="宋体"/>
        </w:rPr>
      </w:pPr>
    </w:p>
    <w:p>
      <w:pPr>
        <w:spacing w:line="360" w:lineRule="auto"/>
        <w:ind w:firstLine="1405" w:firstLineChars="5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采购代理机构：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浙江汇永工程咨询有限公司</w:t>
      </w:r>
    </w:p>
    <w:p>
      <w:pPr>
        <w:pStyle w:val="7"/>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二○二四年五月</w:t>
      </w:r>
    </w:p>
    <w:p>
      <w:pPr>
        <w:pStyle w:val="7"/>
        <w:jc w:val="center"/>
        <w:rPr>
          <w:rFonts w:hint="eastAsia" w:ascii="宋体" w:hAnsi="宋体" w:eastAsia="宋体" w:cs="宋体"/>
          <w:color w:val="000000" w:themeColor="text1"/>
          <w:kern w:val="0"/>
          <w:szCs w:val="21"/>
          <w:highlight w:val="none"/>
          <w14:textFill>
            <w14:solidFill>
              <w14:schemeClr w14:val="tx1"/>
            </w14:solidFill>
          </w14:textFill>
        </w:rPr>
      </w:pPr>
    </w:p>
    <w:p>
      <w:pPr>
        <w:pStyle w:val="7"/>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numPr>
          <w:ilvl w:val="0"/>
          <w:numId w:val="2"/>
        </w:numPr>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公开招标采购公告</w:t>
      </w:r>
    </w:p>
    <w:p>
      <w:pPr>
        <w:numPr>
          <w:ilvl w:val="0"/>
          <w:numId w:val="2"/>
        </w:numPr>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投标人须知</w:t>
      </w:r>
    </w:p>
    <w:p>
      <w:pPr>
        <w:numPr>
          <w:ilvl w:val="0"/>
          <w:numId w:val="2"/>
        </w:numPr>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评标办法及评分标准</w:t>
      </w:r>
    </w:p>
    <w:p>
      <w:pPr>
        <w:numPr>
          <w:ilvl w:val="0"/>
          <w:numId w:val="2"/>
        </w:numPr>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公开招标需求</w:t>
      </w:r>
    </w:p>
    <w:p>
      <w:pPr>
        <w:numPr>
          <w:ilvl w:val="0"/>
          <w:numId w:val="2"/>
        </w:numPr>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政府采购合同主要条款</w:t>
      </w:r>
    </w:p>
    <w:p>
      <w:pPr>
        <w:numPr>
          <w:ilvl w:val="0"/>
          <w:numId w:val="2"/>
        </w:numPr>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投标文件格式附件</w:t>
      </w: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p>
    <w:p>
      <w:pPr>
        <w:pStyle w:val="7"/>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第一章 公开</w:t>
      </w:r>
      <w:r>
        <w:rPr>
          <w:rFonts w:hint="eastAsia" w:ascii="宋体" w:hAnsi="宋体" w:eastAsia="宋体" w:cs="宋体"/>
          <w:b/>
          <w:color w:val="000000" w:themeColor="text1"/>
          <w:sz w:val="36"/>
          <w:szCs w:val="36"/>
          <w:highlight w:val="none"/>
          <w14:textFill>
            <w14:solidFill>
              <w14:schemeClr w14:val="tx1"/>
            </w14:solidFill>
          </w14:textFill>
        </w:rPr>
        <w:t>招标采购公告</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000000" w:themeColor="text1"/>
          <w:szCs w:val="21"/>
          <w:highlight w:val="none"/>
          <w:lang w:eastAsia="zh-CN"/>
          <w14:textFill>
            <w14:solidFill>
              <w14:schemeClr w14:val="tx1"/>
            </w14:solidFill>
          </w14:textFill>
        </w:rPr>
        <w:t>台州市路桥中学</w:t>
      </w:r>
      <w:r>
        <w:rPr>
          <w:rFonts w:hint="eastAsia" w:ascii="宋体" w:hAnsi="宋体" w:eastAsia="宋体" w:cs="宋体"/>
          <w:color w:val="000000" w:themeColor="text1"/>
          <w:szCs w:val="21"/>
          <w:highlight w:val="none"/>
          <w14:textFill>
            <w14:solidFill>
              <w14:schemeClr w14:val="tx1"/>
            </w14:solidFill>
          </w14:textFill>
        </w:rPr>
        <w:t>委托，现就其</w:t>
      </w:r>
      <w:r>
        <w:rPr>
          <w:rFonts w:hint="eastAsia" w:ascii="宋体" w:hAnsi="宋体" w:cs="宋体"/>
          <w:b/>
          <w:bCs/>
          <w:color w:val="000000" w:themeColor="text1"/>
          <w:szCs w:val="21"/>
          <w:highlight w:val="none"/>
          <w:lang w:eastAsia="zh-CN"/>
          <w14:textFill>
            <w14:solidFill>
              <w14:schemeClr w14:val="tx1"/>
            </w14:solidFill>
          </w14:textFill>
        </w:rPr>
        <w:t>物理实验室、准备室、教室多媒体设备采购项目</w:t>
      </w:r>
      <w:r>
        <w:rPr>
          <w:rFonts w:hint="eastAsia" w:ascii="宋体" w:hAnsi="宋体" w:eastAsia="宋体" w:cs="宋体"/>
          <w:color w:val="000000" w:themeColor="text1"/>
          <w:szCs w:val="21"/>
          <w:highlight w:val="none"/>
          <w14:textFill>
            <w14:solidFill>
              <w14:schemeClr w14:val="tx1"/>
            </w14:solidFill>
          </w14:textFill>
        </w:rPr>
        <w:t>进行公开招标采购，欢迎合格供应商前来投标。</w:t>
      </w:r>
    </w:p>
    <w:p>
      <w:pPr>
        <w:spacing w:line="360" w:lineRule="auto"/>
        <w:ind w:firstLine="422" w:firstLineChars="200"/>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一、项目编号：</w:t>
      </w:r>
      <w:r>
        <w:rPr>
          <w:rFonts w:hint="eastAsia" w:ascii="宋体" w:hAnsi="宋体" w:cs="宋体"/>
          <w:b/>
          <w:bCs/>
          <w:color w:val="000000" w:themeColor="text1"/>
          <w:szCs w:val="21"/>
          <w:highlight w:val="none"/>
          <w:lang w:eastAsia="zh-CN"/>
          <w14:textFill>
            <w14:solidFill>
              <w14:schemeClr w14:val="tx1"/>
            </w14:solidFill>
          </w14:textFill>
        </w:rPr>
        <w:t>zjhy2024-tz04</w:t>
      </w:r>
    </w:p>
    <w:p>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二、招标项目概况：</w:t>
      </w: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287"/>
        <w:gridCol w:w="138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p>
        </w:tc>
        <w:tc>
          <w:tcPr>
            <w:tcW w:w="1290"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简要技术要求</w:t>
            </w:r>
          </w:p>
        </w:tc>
        <w:tc>
          <w:tcPr>
            <w:tcW w:w="680"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数量</w:t>
            </w:r>
          </w:p>
        </w:tc>
        <w:tc>
          <w:tcPr>
            <w:tcW w:w="694"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单位</w:t>
            </w:r>
          </w:p>
        </w:tc>
        <w:tc>
          <w:tcPr>
            <w:tcW w:w="1287"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预算</w:t>
            </w:r>
          </w:p>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（万元）</w:t>
            </w:r>
          </w:p>
        </w:tc>
        <w:tc>
          <w:tcPr>
            <w:tcW w:w="1384"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最高限价</w:t>
            </w:r>
          </w:p>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（万元）</w:t>
            </w:r>
          </w:p>
        </w:tc>
        <w:tc>
          <w:tcPr>
            <w:tcW w:w="970"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物理实验室、准备室、教室多媒体设备采购项目</w:t>
            </w:r>
          </w:p>
        </w:tc>
        <w:tc>
          <w:tcPr>
            <w:tcW w:w="1290"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详见项目需求</w:t>
            </w:r>
          </w:p>
        </w:tc>
        <w:tc>
          <w:tcPr>
            <w:tcW w:w="680"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694" w:type="dxa"/>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w:t>
            </w:r>
          </w:p>
        </w:tc>
        <w:tc>
          <w:tcPr>
            <w:tcW w:w="1287"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60.2586</w:t>
            </w:r>
          </w:p>
        </w:tc>
        <w:tc>
          <w:tcPr>
            <w:tcW w:w="1384"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60.23</w:t>
            </w:r>
          </w:p>
        </w:tc>
        <w:tc>
          <w:tcPr>
            <w:tcW w:w="970"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Cs w:val="21"/>
                <w:highlight w:val="none"/>
                <w14:textFill>
                  <w14:solidFill>
                    <w14:schemeClr w14:val="tx1"/>
                  </w14:solidFill>
                </w14:textFill>
              </w:rPr>
            </w:pPr>
          </w:p>
        </w:tc>
      </w:tr>
    </w:tbl>
    <w:p>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Cs w:val="21"/>
          <w:highlight w:val="none"/>
          <w:u w:val="single"/>
        </w:rPr>
        <w:t>提供备份投标文件），请各投标人按照要求进行。</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三、合格投标人的资格条件：</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w:t>
      </w:r>
    </w:p>
    <w:p>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本项目不接受联合体投标。</w:t>
      </w:r>
    </w:p>
    <w:p>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四、招标文件获取的方式、时间:</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本项目招标文件实行“浙江政府采购网”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在线获取，不提供招标文件纸质版。供应商获取招标文件前应先完成“浙江政府采购网”的账号注册。</w:t>
      </w:r>
    </w:p>
    <w:p>
      <w:pPr>
        <w:spacing w:line="360" w:lineRule="auto"/>
        <w:ind w:firstLine="422" w:firstLineChars="200"/>
        <w:rPr>
          <w:rStyle w:val="25"/>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2、获取</w:t>
      </w:r>
      <w:r>
        <w:rPr>
          <w:rStyle w:val="25"/>
          <w:rFonts w:hint="eastAsia" w:ascii="宋体" w:hAnsi="宋体" w:eastAsia="宋体" w:cs="宋体"/>
          <w:color w:val="000000" w:themeColor="text1"/>
          <w:sz w:val="21"/>
          <w:szCs w:val="21"/>
          <w:highlight w:val="none"/>
          <w14:textFill>
            <w14:solidFill>
              <w14:schemeClr w14:val="tx1"/>
            </w14:solidFill>
          </w14:textFill>
        </w:rPr>
        <w:t>方式：潜在供应商登陆政府采购云平台，在线申请获取招标文件</w:t>
      </w:r>
      <w:r>
        <w:rPr>
          <w:rStyle w:val="25"/>
          <w:rFonts w:hint="eastAsia" w:ascii="宋体" w:hAnsi="宋体" w:eastAsia="宋体" w:cs="宋体"/>
          <w:b w:val="0"/>
          <w:bCs/>
          <w:color w:val="000000" w:themeColor="text1"/>
          <w:sz w:val="21"/>
          <w:szCs w:val="21"/>
          <w:highlight w:val="none"/>
          <w14:textFill>
            <w14:solidFill>
              <w14:schemeClr w14:val="tx1"/>
            </w14:solidFill>
          </w14:textFill>
        </w:rPr>
        <w:t>（进入“项目采购”应用，在获取招标文件菜单中选择项目，申请获取招标文件，本项目招标文件不收取工本费；</w:t>
      </w:r>
      <w:r>
        <w:rPr>
          <w:rStyle w:val="25"/>
          <w:rFonts w:hint="eastAsia" w:ascii="宋体" w:hAnsi="宋体" w:eastAsia="宋体" w:cs="宋体"/>
          <w:b w:val="0"/>
          <w:bCs/>
          <w:color w:val="000000" w:themeColor="text1"/>
          <w:sz w:val="21"/>
          <w:szCs w:val="21"/>
          <w:highlight w:val="none"/>
          <w:u w:val="single"/>
          <w14:textFill>
            <w14:solidFill>
              <w14:schemeClr w14:val="tx1"/>
            </w14:solidFill>
          </w14:textFill>
        </w:rPr>
        <w:t>仅需浏览招标文件的供应商可点击“游客，浏览招标文件”直接下载招标文件浏览</w:t>
      </w:r>
      <w:r>
        <w:rPr>
          <w:rStyle w:val="25"/>
          <w:rFonts w:hint="eastAsia" w:ascii="宋体" w:hAnsi="宋体" w:eastAsia="宋体" w:cs="宋体"/>
          <w:b w:val="0"/>
          <w:bCs/>
          <w:color w:val="000000" w:themeColor="text1"/>
          <w:sz w:val="21"/>
          <w:szCs w:val="21"/>
          <w:highlight w:val="none"/>
          <w14:textFill>
            <w14:solidFill>
              <w14:schemeClr w14:val="tx1"/>
            </w14:solidFill>
          </w14:textFill>
        </w:rPr>
        <w:t>）；</w:t>
      </w:r>
    </w:p>
    <w:p>
      <w:pPr>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获取（公告）时间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 w:val="21"/>
          <w:szCs w:val="21"/>
          <w:highlight w:val="none"/>
          <w:lang w:eastAsia="zh-CN"/>
        </w:rPr>
        <w:t>自本公告发布之日起至投标文件递交截止时间止；</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Style w:val="25"/>
          <w:rFonts w:hint="eastAsia" w:ascii="宋体" w:hAnsi="宋体" w:eastAsia="宋体" w:cs="宋体"/>
          <w:b w:val="0"/>
          <w:color w:val="000000" w:themeColor="text1"/>
          <w:sz w:val="21"/>
          <w:szCs w:val="21"/>
          <w:highlight w:val="none"/>
          <w14:textFill>
            <w14:solidFill>
              <w14:schemeClr w14:val="tx1"/>
            </w14:solidFill>
          </w14:textFill>
        </w:rPr>
        <w:t>供应商网上报名操作指南：“浙江政府采购网-办事指南-省采中心-网上报名”（http://zfcg.czt.zj.gov.cn/bs_other/2018-03-30/12002.html）。</w:t>
      </w:r>
    </w:p>
    <w:p>
      <w:pPr>
        <w:pStyle w:val="18"/>
        <w:spacing w:before="0" w:beforeAutospacing="0" w:after="0" w:afterAutospacing="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b w:val="0"/>
          <w:color w:val="000000" w:themeColor="text1"/>
          <w:sz w:val="21"/>
          <w:szCs w:val="21"/>
          <w:highlight w:val="none"/>
          <w14:textFill>
            <w14:solidFill>
              <w14:schemeClr w14:val="tx1"/>
            </w14:solidFill>
          </w14:textFill>
        </w:rPr>
        <w:t>5、供应商获取招标文件时须提交的文件资料：无；</w:t>
      </w:r>
    </w:p>
    <w:p>
      <w:pPr>
        <w:pStyle w:val="18"/>
        <w:spacing w:before="0" w:beforeAutospacing="0" w:after="0" w:afterAutospacing="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8"/>
        <w:spacing w:before="0" w:beforeAutospacing="0" w:after="0" w:afterAutospacing="0" w:line="360" w:lineRule="auto"/>
        <w:ind w:firstLine="480"/>
        <w:rPr>
          <w:rStyle w:val="25"/>
          <w:rFonts w:hint="eastAsia" w:ascii="宋体" w:hAnsi="宋体" w:eastAsia="宋体" w:cs="宋体"/>
          <w:color w:val="000000" w:themeColor="text1"/>
          <w:sz w:val="21"/>
          <w:szCs w:val="21"/>
          <w:highlight w:val="none"/>
          <w14:textFill>
            <w14:solidFill>
              <w14:schemeClr w14:val="tx1"/>
            </w14:solidFill>
          </w14:textFill>
        </w:rPr>
      </w:pPr>
      <w:r>
        <w:rPr>
          <w:rStyle w:val="25"/>
          <w:rFonts w:hint="eastAsia" w:ascii="宋体" w:hAnsi="宋体" w:eastAsia="宋体" w:cs="宋体"/>
          <w:color w:val="000000" w:themeColor="text1"/>
          <w:sz w:val="21"/>
          <w:szCs w:val="21"/>
          <w:highlight w:val="none"/>
          <w14:textFill>
            <w14:solidFill>
              <w14:schemeClr w14:val="tx1"/>
            </w14:solidFill>
          </w14:textFill>
        </w:rPr>
        <w:t>注：请供应商按上述要求获取招标文件，如未在“政府采购云平台”系统内完成相关流程，引起的投标无效责任自负。</w:t>
      </w:r>
    </w:p>
    <w:p>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五、招标答疑会</w:t>
      </w:r>
    </w:p>
    <w:p>
      <w:pPr>
        <w:spacing w:line="360"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w:t>
      </w:r>
    </w:p>
    <w:p>
      <w:pP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六、投标须知：</w:t>
      </w:r>
    </w:p>
    <w:p>
      <w:pPr>
        <w:pStyle w:val="53"/>
        <w:snapToGrid w:val="0"/>
        <w:spacing w:line="360" w:lineRule="auto"/>
        <w:ind w:firstLine="373" w:firstLineChars="1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1、投标截止时间与地点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2024年6月17日上午9:00</w:t>
      </w:r>
      <w:r>
        <w:rPr>
          <w:rFonts w:hint="eastAsia" w:ascii="宋体" w:hAnsi="宋体" w:eastAsia="宋体" w:cs="宋体"/>
          <w:color w:val="000000" w:themeColor="text1"/>
          <w:highlight w:val="none"/>
          <w:lang w:eastAsia="zh-CN"/>
          <w14:textFill>
            <w14:solidFill>
              <w14:schemeClr w14:val="tx1"/>
            </w14:solidFill>
          </w14:textFill>
        </w:rPr>
        <w:t>整</w:t>
      </w:r>
      <w:r>
        <w:rPr>
          <w:rFonts w:hint="eastAsia" w:ascii="宋体" w:hAnsi="宋体" w:eastAsia="宋体" w:cs="宋体"/>
          <w:color w:val="000000" w:themeColor="text1"/>
          <w:highlight w:val="none"/>
          <w14:textFill>
            <w14:solidFill>
              <w14:schemeClr w14:val="tx1"/>
            </w14:solidFill>
          </w14:textFill>
        </w:rPr>
        <w:t xml:space="preserve">，地点：通过“政府采购云平台（www.zcygov.cn）”实行在线投标响应   </w:t>
      </w:r>
    </w:p>
    <w:p>
      <w:pPr>
        <w:pStyle w:val="53"/>
        <w:snapToGrid w:val="0"/>
        <w:spacing w:line="360" w:lineRule="auto"/>
        <w:ind w:firstLine="373" w:firstLineChars="1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2、开标时间及地点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2024年6月17日上午9:00</w:t>
      </w:r>
      <w:r>
        <w:rPr>
          <w:rFonts w:hint="eastAsia" w:ascii="宋体" w:hAnsi="宋体" w:eastAsia="宋体" w:cs="宋体"/>
          <w:color w:val="000000" w:themeColor="text1"/>
          <w:highlight w:val="none"/>
          <w:lang w:eastAsia="zh-CN"/>
          <w14:textFill>
            <w14:solidFill>
              <w14:schemeClr w14:val="tx1"/>
            </w14:solidFill>
          </w14:textFill>
        </w:rPr>
        <w:t>整</w:t>
      </w:r>
      <w:r>
        <w:rPr>
          <w:rFonts w:hint="eastAsia" w:ascii="宋体" w:hAnsi="宋体" w:eastAsia="宋体" w:cs="宋体"/>
          <w:color w:val="000000" w:themeColor="text1"/>
          <w:highlight w:val="none"/>
          <w14:textFill>
            <w14:solidFill>
              <w14:schemeClr w14:val="tx1"/>
            </w14:solidFill>
          </w14:textFill>
        </w:rPr>
        <w:t>，地点：</w:t>
      </w:r>
      <w:r>
        <w:rPr>
          <w:rFonts w:hint="eastAsia" w:ascii="宋体" w:hAnsi="宋体" w:eastAsia="宋体" w:cs="宋体"/>
          <w:color w:val="000000" w:themeColor="text1"/>
          <w:kern w:val="2"/>
          <w:szCs w:val="24"/>
          <w:highlight w:val="none"/>
          <w14:textFill>
            <w14:solidFill>
              <w14:schemeClr w14:val="tx1"/>
            </w14:solidFill>
          </w14:textFill>
        </w:rPr>
        <w:t>通过“政府采购云平台（www.zcygov.cn）”实行在线投标响应</w:t>
      </w:r>
    </w:p>
    <w:p>
      <w:pPr>
        <w:pStyle w:val="53"/>
        <w:snapToGrid w:val="0"/>
        <w:spacing w:line="360" w:lineRule="auto"/>
        <w:ind w:firstLine="373" w:firstLineChars="1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3、解密截止时间</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auto"/>
          <w:sz w:val="21"/>
          <w:szCs w:val="21"/>
          <w:lang w:eastAsia="zh-CN"/>
        </w:rPr>
        <w:t>2024年6月17日上午9:30</w:t>
      </w:r>
      <w:r>
        <w:rPr>
          <w:rFonts w:hint="eastAsia" w:ascii="宋体" w:hAnsi="宋体" w:eastAsia="宋体" w:cs="宋体"/>
          <w:color w:val="auto"/>
          <w:sz w:val="21"/>
          <w:szCs w:val="21"/>
          <w:lang w:eastAsia="zh-CN"/>
        </w:rPr>
        <w:t>整</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七、在线投标响应（电子投标）说明</w:t>
      </w:r>
    </w:p>
    <w:p>
      <w:pPr>
        <w:pStyle w:val="11"/>
        <w:wordWrap w:val="0"/>
        <w:adjustRightInd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1、本项目通过“政府采购云平台（www.zcygov.cn）”实行在线投标响应（电子投标），供应商应先安装“</w:t>
      </w:r>
      <w:r>
        <w:rPr>
          <w:rFonts w:hint="eastAsia" w:ascii="宋体" w:hAnsi="宋体" w:eastAsia="宋体" w:cs="宋体"/>
          <w:b/>
          <w:bCs/>
          <w:color w:val="000000" w:themeColor="text1"/>
          <w:kern w:val="0"/>
          <w:szCs w:val="21"/>
          <w:highlight w:val="none"/>
          <w:lang w:eastAsia="zh-CN"/>
          <w14:textFill>
            <w14:solidFill>
              <w14:schemeClr w14:val="tx1"/>
            </w14:solidFill>
          </w14:textFill>
        </w:rPr>
        <w:t>政采云电子投标客户端</w:t>
      </w:r>
      <w:r>
        <w:rPr>
          <w:rFonts w:hint="eastAsia" w:ascii="宋体" w:hAnsi="宋体" w:eastAsia="宋体" w:cs="宋体"/>
          <w:b/>
          <w:bCs/>
          <w:color w:val="000000" w:themeColor="text1"/>
          <w:kern w:val="0"/>
          <w:szCs w:val="21"/>
          <w:highlight w:val="none"/>
          <w14:textFill>
            <w14:solidFill>
              <w14:schemeClr w14:val="tx1"/>
            </w14:solidFill>
          </w14:textFill>
        </w:rPr>
        <w:t>”，并按照本招标文件和“政府采购云平台”的要求，通过“</w:t>
      </w:r>
      <w:r>
        <w:rPr>
          <w:rFonts w:hint="eastAsia" w:ascii="宋体" w:hAnsi="宋体" w:eastAsia="宋体" w:cs="宋体"/>
          <w:b/>
          <w:bCs/>
          <w:color w:val="000000" w:themeColor="text1"/>
          <w:kern w:val="0"/>
          <w:szCs w:val="21"/>
          <w:highlight w:val="none"/>
          <w:lang w:eastAsia="zh-CN"/>
          <w14:textFill>
            <w14:solidFill>
              <w14:schemeClr w14:val="tx1"/>
            </w14:solidFill>
          </w14:textFill>
        </w:rPr>
        <w:t>政采云电子投标客户端</w:t>
      </w:r>
      <w:r>
        <w:rPr>
          <w:rFonts w:hint="eastAsia" w:ascii="宋体" w:hAnsi="宋体" w:eastAsia="宋体" w:cs="宋体"/>
          <w:b/>
          <w:bCs/>
          <w:color w:val="000000" w:themeColor="text1"/>
          <w:kern w:val="0"/>
          <w:szCs w:val="21"/>
          <w:highlight w:val="none"/>
          <w14:textFill>
            <w14:solidFill>
              <w14:schemeClr w14:val="tx1"/>
            </w14:solidFill>
          </w14:textFill>
        </w:rPr>
        <w:t>”编制并加密投标文件。</w:t>
      </w:r>
      <w:r>
        <w:rPr>
          <w:rFonts w:hint="eastAsia" w:ascii="宋体" w:hAnsi="宋体" w:eastAsia="宋体" w:cs="宋体"/>
          <w:sz w:val="21"/>
          <w:szCs w:val="21"/>
        </w:rPr>
        <w:t>▲</w:t>
      </w:r>
      <w:r>
        <w:rPr>
          <w:rFonts w:hint="eastAsia" w:ascii="宋体" w:hAnsi="宋体" w:eastAsia="宋体" w:cs="宋体"/>
          <w:b/>
          <w:bCs/>
          <w:color w:val="000000" w:themeColor="text1"/>
          <w:kern w:val="0"/>
          <w:szCs w:val="21"/>
          <w:highlight w:val="none"/>
          <w14:textFill>
            <w14:solidFill>
              <w14:schemeClr w14:val="tx1"/>
            </w14:solidFill>
          </w14:textFill>
        </w:rPr>
        <w:t>供应商未按规定加密的投标文件，“政府采购云平台”将予以拒收。</w:t>
      </w:r>
    </w:p>
    <w:p>
      <w:pPr>
        <w:pStyle w:val="11"/>
        <w:wordWrap w:val="0"/>
        <w:adjustRightInd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eastAsia="zh-CN"/>
          <w14:textFill>
            <w14:solidFill>
              <w14:schemeClr w14:val="tx1"/>
            </w14:solidFill>
          </w14:textFill>
        </w:rPr>
        <w:t>政采云电子投标客户端</w:t>
      </w:r>
      <w:r>
        <w:rPr>
          <w:rFonts w:hint="eastAsia" w:ascii="宋体" w:hAnsi="宋体" w:eastAsia="宋体" w:cs="宋体"/>
          <w:b/>
          <w:bCs/>
          <w:color w:val="000000" w:themeColor="text1"/>
          <w:kern w:val="0"/>
          <w:szCs w:val="21"/>
          <w:highlight w:val="none"/>
          <w14:textFill>
            <w14:solidFill>
              <w14:schemeClr w14:val="tx1"/>
            </w14:solidFill>
          </w14:textFill>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95763</w:t>
      </w:r>
      <w:r>
        <w:rPr>
          <w:rFonts w:hint="eastAsia" w:ascii="宋体" w:hAnsi="宋体" w:eastAsia="宋体" w:cs="宋体"/>
          <w:b/>
          <w:bCs/>
          <w:color w:val="000000" w:themeColor="text1"/>
          <w:kern w:val="0"/>
          <w:szCs w:val="21"/>
          <w:highlight w:val="none"/>
          <w14:textFill>
            <w14:solidFill>
              <w14:schemeClr w14:val="tx1"/>
            </w14:solidFill>
          </w14:textFill>
        </w:rPr>
        <w:t>。</w:t>
      </w:r>
    </w:p>
    <w:p>
      <w:pPr>
        <w:pStyle w:val="53"/>
        <w:snapToGrid w:val="0"/>
        <w:spacing w:line="360" w:lineRule="auto"/>
        <w:ind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w:t>
      </w:r>
      <w:r>
        <w:rPr>
          <w:rFonts w:hint="eastAsia" w:ascii="宋体" w:hAnsi="宋体" w:eastAsia="宋体" w:cs="宋体"/>
          <w:b/>
          <w:bCs/>
          <w:color w:val="000000" w:themeColor="text1"/>
          <w:highlight w:val="none"/>
          <w:lang w:eastAsia="zh-CN"/>
          <w14:textFill>
            <w14:solidFill>
              <w14:schemeClr w14:val="tx1"/>
            </w14:solidFill>
          </w14:textFill>
        </w:rPr>
        <w:t>政采云电子投标客户端</w:t>
      </w:r>
      <w:r>
        <w:rPr>
          <w:rFonts w:hint="eastAsia" w:ascii="宋体" w:hAnsi="宋体" w:eastAsia="宋体" w:cs="宋体"/>
          <w:b/>
          <w:bCs/>
          <w:color w:val="000000" w:themeColor="text1"/>
          <w:highlight w:val="none"/>
          <w14:textFill>
            <w14:solidFill>
              <w14:schemeClr w14:val="tx1"/>
            </w14:solidFill>
          </w14:textFill>
        </w:rPr>
        <w:t>”需要提前申领CA数字证书，申领流程请自行前往“浙江政府采购网-下载专区-电子交易客户端-</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"http://zfcg.czt.zj.gov.cn/bidClientTemplate/2019-05-27/12945.html" \o "CA驱动和申领流程"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highlight w:val="none"/>
          <w14:textFill>
            <w14:solidFill>
              <w14:schemeClr w14:val="tx1"/>
            </w14:solidFill>
          </w14:textFill>
        </w:rPr>
        <w:t>CA驱动和申领流程</w:t>
      </w:r>
      <w:r>
        <w:rPr>
          <w:rFonts w:hint="eastAsia" w:ascii="宋体" w:hAnsi="宋体" w:eastAsia="宋体" w:cs="宋体"/>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highlight w:val="none"/>
          <w14:textFill>
            <w14:solidFill>
              <w14:schemeClr w14:val="tx1"/>
            </w14:solidFill>
          </w14:textFill>
        </w:rPr>
        <w:t>”进行查阅；</w:t>
      </w:r>
    </w:p>
    <w:p>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000000" w:themeColor="text1"/>
          <w:kern w:val="0"/>
          <w:szCs w:val="21"/>
          <w:highlight w:val="none"/>
          <w14:textFill>
            <w14:solidFill>
              <w14:schemeClr w14:val="tx1"/>
            </w14:solidFill>
          </w14:textFill>
        </w:rPr>
        <w:t>3、投标人通过政府采购云平台电子投标工具制作投标文件，电子投标工具请供应商自行前往浙江政府采购网下载并安装，（</w:t>
      </w:r>
      <w:r>
        <w:rPr>
          <w:rFonts w:hint="eastAsia" w:ascii="宋体" w:hAnsi="宋体" w:eastAsia="宋体" w:cs="宋体"/>
          <w:b/>
          <w:bCs/>
          <w:color w:val="auto"/>
          <w:kern w:val="0"/>
          <w:sz w:val="21"/>
          <w:szCs w:val="21"/>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pPr>
        <w:pStyle w:val="11"/>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lNdQ8Na?keyword=%E6%8A%95%E6%A0%87。</w:t>
      </w:r>
    </w:p>
    <w:p>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投标供应商仅递交备份投标文件的，投标无效。</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八、投标人信用信息查询渠道及截止时点、信用信息查询记录和证据留存的具体方式、信用信息的使用规则：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t>
      </w:r>
      <w:r>
        <w:rPr>
          <w:rFonts w:hint="eastAsia" w:ascii="宋体" w:hAnsi="宋体" w:eastAsia="宋体" w:cs="宋体"/>
          <w:color w:val="auto"/>
          <w:kern w:val="0"/>
          <w:szCs w:val="21"/>
          <w:highlight w:val="none"/>
        </w:rPr>
        <w:t>http://zfcg.czt.zj.gov.cn</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、相关注意事项：</w:t>
      </w:r>
    </w:p>
    <w:p>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个工作日。供应商认为采购文件使自己的权益受到损害的，可以自收到采购文件之日或采购文件公告期限届满之日起</w:t>
      </w:r>
      <w:r>
        <w:rPr>
          <w:rFonts w:hint="eastAsia" w:ascii="宋体" w:hAnsi="宋体" w:eastAsia="宋体" w:cs="宋体"/>
          <w:color w:val="auto"/>
          <w:szCs w:val="21"/>
          <w:highlight w:val="none"/>
        </w:rPr>
        <w:t>（公告期限届满后获取采购文件的，以公告期限届满之日为准）</w:t>
      </w:r>
      <w:r>
        <w:rPr>
          <w:rFonts w:hint="eastAsia" w:ascii="宋体" w:hAnsi="宋体" w:eastAsia="宋体" w:cs="宋体"/>
          <w:color w:val="auto"/>
          <w:sz w:val="21"/>
          <w:szCs w:val="21"/>
          <w:highlight w:val="none"/>
        </w:rPr>
        <w:t>7个工作日内，以书面形式一次性向采购人和采购代理机构提出同一环节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w:t>
      </w:r>
      <w:r>
        <w:rPr>
          <w:rFonts w:hint="eastAsia" w:ascii="宋体" w:hAnsi="宋体" w:eastAsia="宋体" w:cs="宋体"/>
          <w:color w:val="auto"/>
          <w:sz w:val="21"/>
          <w:szCs w:val="21"/>
        </w:rPr>
        <w:t>规定的时间内作出答复的，可以在答复期满后十五个工作日内向同级政府采购监督管理部门投诉。</w:t>
      </w:r>
      <w:r>
        <w:rPr>
          <w:rFonts w:hint="eastAsia" w:ascii="宋体" w:hAnsi="宋体" w:eastAsia="宋体" w:cs="宋体"/>
          <w:color w:val="auto"/>
          <w:sz w:val="21"/>
          <w:szCs w:val="21"/>
          <w:highlight w:val="none"/>
        </w:rPr>
        <w:t>质疑函范本、投诉书范本请到浙江政府采购网下载专区下载。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、请各投标供应商及时办理浙江政府采购网“政府采</w:t>
      </w:r>
      <w:r>
        <w:rPr>
          <w:rFonts w:hint="eastAsia" w:ascii="宋体" w:hAnsi="宋体" w:eastAsia="宋体" w:cs="宋体"/>
          <w:sz w:val="21"/>
          <w:szCs w:val="21"/>
        </w:rPr>
        <w:t>购供应商注册”手续。</w:t>
      </w:r>
    </w:p>
    <w:p>
      <w:pPr>
        <w:pStyle w:val="7"/>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kern w:val="0"/>
          <w:sz w:val="21"/>
          <w:szCs w:val="21"/>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本项目所有公告发布网站：“</w:t>
      </w:r>
      <w:r>
        <w:rPr>
          <w:rFonts w:hint="eastAsia" w:ascii="宋体" w:hAnsi="宋体" w:eastAsia="宋体" w:cs="宋体"/>
          <w:sz w:val="21"/>
          <w:szCs w:val="21"/>
          <w:lang w:eastAsia="zh-CN"/>
        </w:rPr>
        <w:t>浙江政府采购网</w:t>
      </w:r>
      <w:r>
        <w:rPr>
          <w:rFonts w:hint="eastAsia" w:ascii="宋体" w:hAnsi="宋体" w:eastAsia="宋体" w:cs="宋体"/>
          <w:sz w:val="21"/>
          <w:szCs w:val="21"/>
        </w:rPr>
        <w:t xml:space="preserve">”（http://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 </w:instrText>
      </w:r>
      <w:r>
        <w:rPr>
          <w:rFonts w:hint="eastAsia" w:ascii="宋体" w:hAnsi="宋体" w:eastAsia="宋体" w:cs="宋体"/>
          <w:sz w:val="21"/>
          <w:szCs w:val="21"/>
        </w:rPr>
        <w:fldChar w:fldCharType="separate"/>
      </w:r>
      <w:r>
        <w:rPr>
          <w:rStyle w:val="27"/>
          <w:rFonts w:hint="eastAsia" w:ascii="宋体" w:hAnsi="宋体" w:eastAsia="宋体" w:cs="宋体"/>
          <w:color w:val="auto"/>
          <w:sz w:val="21"/>
          <w:szCs w:val="21"/>
        </w:rPr>
        <w:t>www.zjzfcg.gov.cn）。</w:t>
      </w:r>
      <w:r>
        <w:rPr>
          <w:rStyle w:val="27"/>
          <w:rFonts w:hint="eastAsia" w:ascii="宋体" w:hAnsi="宋体" w:eastAsia="宋体" w:cs="宋体"/>
          <w:color w:val="auto"/>
          <w:sz w:val="21"/>
          <w:szCs w:val="21"/>
        </w:rPr>
        <w:fldChar w:fldCharType="end"/>
      </w:r>
    </w:p>
    <w:p>
      <w:pPr>
        <w:pStyle w:val="7"/>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 w:val="21"/>
          <w:szCs w:val="21"/>
          <w:lang w:val="en-US" w:eastAsia="zh-CN"/>
        </w:rPr>
        <w:t>8</w:t>
      </w:r>
      <w:r>
        <w:rPr>
          <w:rFonts w:hint="eastAsia" w:ascii="宋体" w:hAnsi="宋体" w:eastAsia="宋体" w:cs="宋体"/>
          <w:sz w:val="21"/>
          <w:szCs w:val="21"/>
        </w:rPr>
        <w:t>、采购文件发售截止时间之后有潜在供应商提出要求获取采购文件的允许其报名获取，但对采购文件有异议应按规定的时间提出，逾期提出的，采购组织机构可不予受理、答复。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十</w:t>
      </w:r>
      <w:r>
        <w:rPr>
          <w:rFonts w:hint="eastAsia" w:ascii="宋体" w:hAnsi="宋体" w:eastAsia="宋体" w:cs="宋体"/>
          <w:b/>
          <w:bCs/>
          <w:color w:val="000000" w:themeColor="text1"/>
          <w:kern w:val="0"/>
          <w:szCs w:val="21"/>
          <w:highlight w:val="none"/>
          <w14:textFill>
            <w14:solidFill>
              <w14:schemeClr w14:val="tx1"/>
            </w14:solidFill>
          </w14:textFill>
        </w:rPr>
        <w:t>、联系方式：</w:t>
      </w:r>
    </w:p>
    <w:p>
      <w:pPr>
        <w:spacing w:line="360" w:lineRule="auto"/>
        <w:ind w:firstLine="422" w:firstLineChars="200"/>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采购代理机构</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采购代理机构名称：</w:t>
      </w:r>
      <w:r>
        <w:rPr>
          <w:rFonts w:hint="eastAsia" w:ascii="宋体" w:hAnsi="宋体" w:eastAsia="宋体" w:cs="宋体"/>
          <w:sz w:val="21"/>
          <w:szCs w:val="21"/>
          <w:lang w:eastAsia="zh-CN"/>
        </w:rPr>
        <w:t>浙江汇永工程咨询有限公司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地点：</w:t>
      </w:r>
      <w:r>
        <w:rPr>
          <w:rFonts w:hint="eastAsia" w:ascii="宋体" w:hAnsi="宋体" w:eastAsia="宋体" w:cs="宋体"/>
          <w:color w:val="auto"/>
          <w:sz w:val="21"/>
          <w:szCs w:val="21"/>
          <w:highlight w:val="none"/>
          <w:lang w:eastAsia="zh-CN"/>
        </w:rPr>
        <w:t>台州市椒江区中环世纪中心6幢8楼</w:t>
      </w:r>
    </w:p>
    <w:p>
      <w:pPr>
        <w:spacing w:line="360" w:lineRule="auto"/>
        <w:ind w:firstLine="422" w:firstLineChars="200"/>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 xml:space="preserve">采购人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采购人名称：台州市路桥中学</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联系人：曾老师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联系电话：0576-89282022</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采购人地址：台州市路桥区银安街99号</w:t>
      </w:r>
    </w:p>
    <w:p>
      <w:pPr>
        <w:spacing w:line="360" w:lineRule="auto"/>
        <w:ind w:firstLine="422" w:firstLineChars="200"/>
        <w:outlineLvl w:val="9"/>
        <w:rPr>
          <w:rFonts w:hint="eastAsia" w:ascii="宋体" w:hAnsi="宋体" w:eastAsia="宋体" w:cs="宋体"/>
          <w:color w:val="FF0000"/>
          <w:sz w:val="21"/>
          <w:szCs w:val="21"/>
          <w:highlight w:val="none"/>
        </w:rPr>
      </w:pPr>
      <w:r>
        <w:rPr>
          <w:rFonts w:hint="eastAsia" w:ascii="宋体" w:hAnsi="宋体" w:eastAsia="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同级政府采购监督管理部门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pPr>
        <w:pStyle w:val="8"/>
        <w:numPr>
          <w:ilvl w:val="0"/>
          <w:numId w:val="0"/>
        </w:numPr>
        <w:spacing w:line="360" w:lineRule="auto"/>
        <w:outlineLvl w:val="9"/>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4、其余事项</w:t>
      </w:r>
    </w:p>
    <w:p>
      <w:pPr>
        <w:jc w:val="both"/>
        <w:rPr>
          <w:rFonts w:hint="eastAsia" w:ascii="宋体" w:hAnsi="宋体" w:eastAsia="宋体" w:cs="宋体"/>
          <w:b w:val="0"/>
          <w:bCs w:val="0"/>
          <w:sz w:val="32"/>
          <w:szCs w:val="32"/>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合同履约</w:t>
      </w:r>
      <w:r>
        <w:rPr>
          <w:rFonts w:hint="eastAsia" w:ascii="宋体" w:hAnsi="宋体" w:eastAsia="宋体" w:cs="宋体"/>
          <w:b w:val="0"/>
          <w:bCs w:val="0"/>
          <w:sz w:val="21"/>
          <w:szCs w:val="21"/>
        </w:rPr>
        <w:t>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保险公司名称</w:t>
            </w:r>
          </w:p>
        </w:tc>
        <w:tc>
          <w:tcPr>
            <w:tcW w:w="2288"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保费率</w:t>
            </w:r>
          </w:p>
        </w:tc>
        <w:tc>
          <w:tcPr>
            <w:tcW w:w="1276"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联系人</w:t>
            </w:r>
          </w:p>
        </w:tc>
        <w:tc>
          <w:tcPr>
            <w:tcW w:w="1624"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中国人寿财产保险股份有限公司台州中心支公司</w:t>
            </w:r>
          </w:p>
        </w:tc>
        <w:tc>
          <w:tcPr>
            <w:tcW w:w="2288"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年费率1%，最低保费500元</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徐凌</w:t>
            </w:r>
          </w:p>
        </w:tc>
        <w:tc>
          <w:tcPr>
            <w:tcW w:w="162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永诚财产保险股份有限公司台州分公司</w:t>
            </w:r>
          </w:p>
        </w:tc>
        <w:tc>
          <w:tcPr>
            <w:tcW w:w="2288"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年费率1%，最低保费1000元</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尹刚强</w:t>
            </w:r>
          </w:p>
        </w:tc>
        <w:tc>
          <w:tcPr>
            <w:tcW w:w="162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华泰财产保险有限公司台州中心支公司</w:t>
            </w:r>
          </w:p>
        </w:tc>
        <w:tc>
          <w:tcPr>
            <w:tcW w:w="2288"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年费率0.5%，最低保费1000元</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王灵芳</w:t>
            </w:r>
          </w:p>
        </w:tc>
        <w:tc>
          <w:tcPr>
            <w:tcW w:w="162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中国大地财产保险股份有限公司台州中心支公司</w:t>
            </w:r>
          </w:p>
        </w:tc>
        <w:tc>
          <w:tcPr>
            <w:tcW w:w="2288"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年费率1.5%，最低保费1000元</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徐小明</w:t>
            </w:r>
          </w:p>
        </w:tc>
        <w:tc>
          <w:tcPr>
            <w:tcW w:w="162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阳光保险台州中心支公司</w:t>
            </w:r>
          </w:p>
        </w:tc>
        <w:tc>
          <w:tcPr>
            <w:tcW w:w="2288"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年费率1%，最低保费500元</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林高明</w:t>
            </w:r>
          </w:p>
        </w:tc>
        <w:tc>
          <w:tcPr>
            <w:tcW w:w="162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中华联合财产保险股份有限公司台州中心支公司</w:t>
            </w:r>
          </w:p>
        </w:tc>
        <w:tc>
          <w:tcPr>
            <w:tcW w:w="2288"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年费率2%，最低保费500元</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王仙高</w:t>
            </w:r>
          </w:p>
        </w:tc>
        <w:tc>
          <w:tcPr>
            <w:tcW w:w="162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中国人民财产保险股份有限公司台州中心支公司</w:t>
            </w:r>
          </w:p>
        </w:tc>
        <w:tc>
          <w:tcPr>
            <w:tcW w:w="2288"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年费率0.3%，最低保费1000元</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王仙春</w:t>
            </w:r>
          </w:p>
        </w:tc>
        <w:tc>
          <w:tcPr>
            <w:tcW w:w="162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永安财产保险股份有限公司台州中心支公司</w:t>
            </w:r>
          </w:p>
        </w:tc>
        <w:tc>
          <w:tcPr>
            <w:tcW w:w="2288"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rPr>
              <w:t>年费率0.3%，最低保费1000</w:t>
            </w:r>
            <w:r>
              <w:rPr>
                <w:rFonts w:hint="eastAsia" w:ascii="宋体" w:hAnsi="宋体" w:eastAsia="宋体" w:cs="宋体"/>
                <w:sz w:val="21"/>
                <w:szCs w:val="21"/>
                <w:lang w:val="en-US" w:eastAsia="zh-CN"/>
              </w:rPr>
              <w:t>元</w:t>
            </w:r>
          </w:p>
        </w:tc>
        <w:tc>
          <w:tcPr>
            <w:tcW w:w="127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王春宇</w:t>
            </w:r>
          </w:p>
        </w:tc>
        <w:tc>
          <w:tcPr>
            <w:tcW w:w="162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13676675331</w:t>
            </w:r>
          </w:p>
        </w:tc>
      </w:tr>
    </w:tbl>
    <w:p>
      <w:pPr>
        <w:jc w:val="both"/>
        <w:rPr>
          <w:rFonts w:hint="eastAsia" w:ascii="宋体" w:hAnsi="宋体" w:eastAsia="宋体" w:cs="宋体"/>
          <w:b/>
          <w:bCs/>
          <w:sz w:val="21"/>
          <w:szCs w:val="21"/>
        </w:rPr>
      </w:pPr>
    </w:p>
    <w:p>
      <w:pPr>
        <w:jc w:val="both"/>
        <w:rPr>
          <w:rFonts w:hint="eastAsia" w:ascii="宋体" w:hAnsi="宋体" w:eastAsia="宋体" w:cs="宋体"/>
          <w:b w:val="0"/>
          <w:bCs w:val="0"/>
          <w:sz w:val="21"/>
          <w:szCs w:val="21"/>
        </w:rPr>
      </w:pPr>
      <w:r>
        <w:rPr>
          <w:rFonts w:hint="eastAsia" w:ascii="宋体" w:hAnsi="宋体" w:eastAsia="宋体" w:cs="宋体"/>
          <w:color w:val="000000" w:themeColor="text1"/>
          <w:szCs w:val="21"/>
          <w:highlight w:val="none"/>
          <w:lang w:val="en-US" w:eastAsia="zh-CN"/>
          <w14:textFill>
            <w14:solidFill>
              <w14:schemeClr w14:val="tx1"/>
            </w14:solidFill>
          </w14:textFill>
        </w:rPr>
        <w:t>（2）预付款保函</w:t>
      </w:r>
      <w:r>
        <w:rPr>
          <w:rFonts w:hint="eastAsia" w:ascii="宋体" w:hAnsi="宋体" w:eastAsia="宋体" w:cs="宋体"/>
          <w:b w:val="0"/>
          <w:bCs w:val="0"/>
          <w:sz w:val="21"/>
          <w:szCs w:val="21"/>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保险公司名称</w:t>
            </w:r>
          </w:p>
        </w:tc>
        <w:tc>
          <w:tcPr>
            <w:tcW w:w="2288"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保费率</w:t>
            </w:r>
          </w:p>
        </w:tc>
        <w:tc>
          <w:tcPr>
            <w:tcW w:w="128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联系人</w:t>
            </w:r>
          </w:p>
        </w:tc>
        <w:tc>
          <w:tcPr>
            <w:tcW w:w="160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中国人寿财产保险股份有限公司台州中心支公司</w:t>
            </w:r>
          </w:p>
        </w:tc>
        <w:tc>
          <w:tcPr>
            <w:tcW w:w="2288" w:type="dxa"/>
          </w:tcPr>
          <w:p>
            <w:pPr>
              <w:jc w:val="left"/>
              <w:rPr>
                <w:rFonts w:hint="eastAsia" w:ascii="宋体" w:hAnsi="宋体" w:eastAsia="宋体" w:cs="宋体"/>
                <w:sz w:val="21"/>
                <w:szCs w:val="21"/>
              </w:rPr>
            </w:pPr>
            <w:r>
              <w:rPr>
                <w:rFonts w:hint="eastAsia" w:ascii="宋体" w:hAnsi="宋体" w:eastAsia="宋体" w:cs="宋体"/>
                <w:sz w:val="21"/>
                <w:szCs w:val="21"/>
              </w:rPr>
              <w:t>年费率3%，最低保费500元</w:t>
            </w:r>
          </w:p>
        </w:tc>
        <w:tc>
          <w:tcPr>
            <w:tcW w:w="12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徐凌</w:t>
            </w:r>
          </w:p>
        </w:tc>
        <w:tc>
          <w:tcPr>
            <w:tcW w:w="16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阳光保险台州中心支公司</w:t>
            </w:r>
          </w:p>
        </w:tc>
        <w:tc>
          <w:tcPr>
            <w:tcW w:w="2288" w:type="dxa"/>
          </w:tcPr>
          <w:p>
            <w:pPr>
              <w:jc w:val="left"/>
              <w:rPr>
                <w:rFonts w:hint="eastAsia" w:ascii="宋体" w:hAnsi="宋体" w:eastAsia="宋体" w:cs="宋体"/>
                <w:sz w:val="21"/>
                <w:szCs w:val="21"/>
              </w:rPr>
            </w:pPr>
            <w:r>
              <w:rPr>
                <w:rFonts w:hint="eastAsia" w:ascii="宋体" w:hAnsi="宋体" w:eastAsia="宋体" w:cs="宋体"/>
                <w:sz w:val="21"/>
                <w:szCs w:val="21"/>
              </w:rPr>
              <w:t>年费率1%，最低保费500元</w:t>
            </w:r>
          </w:p>
        </w:tc>
        <w:tc>
          <w:tcPr>
            <w:tcW w:w="12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林高明</w:t>
            </w:r>
          </w:p>
        </w:tc>
        <w:tc>
          <w:tcPr>
            <w:tcW w:w="16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天安财产保险股份有限公司台州中心支公司</w:t>
            </w:r>
          </w:p>
        </w:tc>
        <w:tc>
          <w:tcPr>
            <w:tcW w:w="2288" w:type="dxa"/>
          </w:tcPr>
          <w:p>
            <w:pPr>
              <w:jc w:val="left"/>
              <w:rPr>
                <w:rFonts w:hint="eastAsia" w:ascii="宋体" w:hAnsi="宋体" w:eastAsia="宋体" w:cs="宋体"/>
                <w:sz w:val="21"/>
                <w:szCs w:val="21"/>
              </w:rPr>
            </w:pPr>
            <w:r>
              <w:rPr>
                <w:rFonts w:hint="eastAsia" w:ascii="宋体" w:hAnsi="宋体" w:eastAsia="宋体" w:cs="宋体"/>
                <w:sz w:val="21"/>
                <w:szCs w:val="21"/>
              </w:rPr>
              <w:t>年费率1%-2%，最低保费500元</w:t>
            </w:r>
          </w:p>
        </w:tc>
        <w:tc>
          <w:tcPr>
            <w:tcW w:w="12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罗赛</w:t>
            </w:r>
          </w:p>
        </w:tc>
        <w:tc>
          <w:tcPr>
            <w:tcW w:w="16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13736605643</w:t>
            </w:r>
          </w:p>
        </w:tc>
      </w:tr>
    </w:tbl>
    <w:p>
      <w:pPr>
        <w:spacing w:line="360" w:lineRule="auto"/>
        <w:rPr>
          <w:rFonts w:hint="eastAsia" w:ascii="宋体" w:hAnsi="宋体" w:eastAsia="宋体" w:cs="宋体"/>
          <w:color w:val="FF0000"/>
          <w:szCs w:val="21"/>
          <w:highlight w:val="yellow"/>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银行</w:t>
            </w:r>
          </w:p>
        </w:tc>
        <w:tc>
          <w:tcPr>
            <w:tcW w:w="1334"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贷款年利率</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联系人</w:t>
            </w:r>
          </w:p>
        </w:tc>
        <w:tc>
          <w:tcPr>
            <w:tcW w:w="213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中国工商银行</w:t>
            </w:r>
          </w:p>
        </w:tc>
        <w:tc>
          <w:tcPr>
            <w:tcW w:w="1334"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3.8%起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中国农业银行</w:t>
            </w:r>
          </w:p>
        </w:tc>
        <w:tc>
          <w:tcPr>
            <w:tcW w:w="1334"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3.8%起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龚盛</w:t>
            </w:r>
          </w:p>
        </w:tc>
        <w:tc>
          <w:tcPr>
            <w:tcW w:w="213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中国建设银行</w:t>
            </w:r>
          </w:p>
        </w:tc>
        <w:tc>
          <w:tcPr>
            <w:tcW w:w="1334"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3.8%起</w:t>
            </w:r>
          </w:p>
        </w:tc>
        <w:tc>
          <w:tcPr>
            <w:tcW w:w="168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梅晶晶</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88</w:t>
            </w:r>
            <w:r>
              <w:rPr>
                <w:rFonts w:hint="eastAsia" w:ascii="宋体" w:hAnsi="宋体" w:eastAsia="宋体" w:cs="宋体"/>
                <w:sz w:val="21"/>
                <w:szCs w:val="21"/>
                <w:vertAlign w:val="baseline"/>
                <w:lang w:val="en-US" w:eastAsia="zh-CN"/>
              </w:rPr>
              <w:t>525339</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13</w:t>
            </w:r>
            <w:r>
              <w:rPr>
                <w:rFonts w:hint="eastAsia" w:ascii="宋体" w:hAnsi="宋体" w:eastAsia="宋体" w:cs="宋体"/>
                <w:sz w:val="21"/>
                <w:szCs w:val="21"/>
                <w:vertAlign w:val="baseli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中国银行</w:t>
            </w:r>
          </w:p>
        </w:tc>
        <w:tc>
          <w:tcPr>
            <w:tcW w:w="1334"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3.75%起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王海</w:t>
            </w:r>
          </w:p>
        </w:tc>
        <w:tc>
          <w:tcPr>
            <w:tcW w:w="213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浦发银行台州分行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4.05%起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王渊</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浦发银行椒江分行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4.05%起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孙瑞华</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交通银行台州分行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3.75%起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周翔宇</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招商银行台州分行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4.32%起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王海玲</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浙商银行台州分行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5.01%起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章涉漪</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81880185</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中信银行台州分行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4.15%起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陈金园</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华夏银行台州分行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邱明达</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81871518</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泰隆银行开发区支行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5.6%起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梁宛莉</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民泰银行椒江支行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5.8%起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陈慧珠</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绍兴银行台州分行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5.1%起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郭庭斌</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温州银行台州分行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4.55%起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王晓波</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平安银行台州分行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6.53%起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李俊丽</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宁波银行台州分行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4.35%起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戴莉丽</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金华银行台州分行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4.05%起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金雪婷</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81886670</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台州银行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5.6%起</w:t>
            </w:r>
          </w:p>
        </w:tc>
        <w:tc>
          <w:tcPr>
            <w:tcW w:w="168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洪婷</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邮储银行台州分行</w:t>
            </w:r>
          </w:p>
        </w:tc>
        <w:tc>
          <w:tcPr>
            <w:tcW w:w="133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3.85%起</w:t>
            </w:r>
          </w:p>
        </w:tc>
        <w:tc>
          <w:tcPr>
            <w:tcW w:w="168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董庆</w:t>
            </w:r>
          </w:p>
        </w:tc>
        <w:tc>
          <w:tcPr>
            <w:tcW w:w="213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81888982</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18957683735</w:t>
            </w:r>
          </w:p>
        </w:tc>
      </w:tr>
    </w:tbl>
    <w:p>
      <w:pPr>
        <w:pStyle w:val="29"/>
        <w:rPr>
          <w:rFonts w:hint="eastAsia" w:ascii="宋体" w:hAnsi="宋体" w:eastAsia="宋体" w:cs="宋体"/>
        </w:rPr>
      </w:pPr>
    </w:p>
    <w:p>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000000" w:themeColor="text1"/>
          <w:szCs w:val="21"/>
          <w:highlight w:val="none"/>
          <w14:textFill>
            <w14:solidFill>
              <w14:schemeClr w14:val="tx1"/>
            </w14:solidFill>
          </w14:textFill>
        </w:rPr>
        <w:t>十</w:t>
      </w:r>
      <w:r>
        <w:rPr>
          <w:rFonts w:hint="eastAsia" w:ascii="宋体" w:hAnsi="宋体" w:eastAsia="宋体" w:cs="宋体"/>
          <w:b/>
          <w:color w:val="000000" w:themeColor="text1"/>
          <w:szCs w:val="21"/>
          <w:highlight w:val="none"/>
          <w:lang w:val="en-US" w:eastAsia="zh-CN"/>
          <w14:textFill>
            <w14:solidFill>
              <w14:schemeClr w14:val="tx1"/>
            </w14:solidFill>
          </w14:textFill>
        </w:rPr>
        <w:t>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spacing w:line="360" w:lineRule="auto"/>
        <w:ind w:right="-252" w:rightChars="-120"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r>
        <w:rPr>
          <w:rFonts w:hint="eastAsia" w:ascii="宋体" w:hAnsi="宋体" w:eastAsia="宋体" w:cs="宋体"/>
          <w:b/>
          <w:color w:val="000000" w:themeColor="text1"/>
          <w:szCs w:val="21"/>
          <w:highlight w:val="none"/>
          <w14:textFill>
            <w14:solidFill>
              <w14:schemeClr w14:val="tx1"/>
            </w14:solidFill>
          </w14:textFill>
        </w:rPr>
        <w:t>。</w:t>
      </w:r>
    </w:p>
    <w:p>
      <w:pPr>
        <w:jc w:val="right"/>
        <w:rPr>
          <w:rFonts w:hint="eastAsia" w:ascii="宋体" w:hAnsi="宋体" w:eastAsia="宋体" w:cs="宋体"/>
          <w:color w:val="000000" w:themeColor="text1"/>
          <w:szCs w:val="21"/>
          <w:highlight w:val="none"/>
          <w14:textFill>
            <w14:solidFill>
              <w14:schemeClr w14:val="tx1"/>
            </w14:solidFill>
          </w14:textFill>
        </w:rPr>
      </w:pPr>
    </w:p>
    <w:p>
      <w:pPr>
        <w:jc w:val="righ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浙江汇永工程咨询有限公司</w:t>
      </w:r>
    </w:p>
    <w:p>
      <w:pPr>
        <w:pStyle w:val="7"/>
        <w:jc w:val="righ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二○二四年五月</w:t>
      </w:r>
    </w:p>
    <w:p>
      <w:pPr>
        <w:pStyle w:val="7"/>
        <w:jc w:val="right"/>
        <w:rPr>
          <w:rFonts w:hint="eastAsia" w:ascii="宋体" w:hAnsi="宋体" w:eastAsia="宋体" w:cs="宋体"/>
          <w:color w:val="000000" w:themeColor="text1"/>
          <w:szCs w:val="21"/>
          <w:highlight w:val="none"/>
          <w14:textFill>
            <w14:solidFill>
              <w14:schemeClr w14:val="tx1"/>
            </w14:solidFill>
          </w14:textFill>
        </w:rPr>
      </w:pPr>
    </w:p>
    <w:p>
      <w:pPr>
        <w:pStyle w:val="7"/>
        <w:jc w:val="right"/>
        <w:rPr>
          <w:rFonts w:hint="eastAsia" w:ascii="宋体" w:hAnsi="宋体" w:eastAsia="宋体" w:cs="宋体"/>
          <w:color w:val="000000" w:themeColor="text1"/>
          <w:sz w:val="24"/>
          <w:highlight w:val="none"/>
          <w14:textFill>
            <w14:solidFill>
              <w14:schemeClr w14:val="tx1"/>
            </w14:solidFill>
          </w14:textFill>
        </w:rPr>
      </w:pPr>
    </w:p>
    <w:p>
      <w:pPr>
        <w:pStyle w:val="8"/>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rPr>
      </w:pPr>
    </w:p>
    <w:p>
      <w:pPr>
        <w:numPr>
          <w:ilvl w:val="0"/>
          <w:numId w:val="3"/>
        </w:num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pPr>
        <w:numPr>
          <w:ilvl w:val="0"/>
          <w:numId w:val="0"/>
        </w:num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第二章 </w:t>
      </w:r>
      <w:r>
        <w:rPr>
          <w:rFonts w:hint="eastAsia" w:ascii="宋体" w:hAnsi="宋体" w:eastAsia="宋体" w:cs="宋体"/>
          <w:b/>
          <w:color w:val="000000" w:themeColor="text1"/>
          <w:sz w:val="36"/>
          <w:szCs w:val="36"/>
          <w:highlight w:val="none"/>
          <w14:textFill>
            <w14:solidFill>
              <w14:schemeClr w14:val="tx1"/>
            </w14:solidFill>
          </w14:textFill>
        </w:rPr>
        <w:t>投标人须知</w:t>
      </w:r>
    </w:p>
    <w:p>
      <w:pPr>
        <w:spacing w:line="360" w:lineRule="auto"/>
        <w:jc w:val="center"/>
        <w:outlineLvl w:val="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前  附 表</w:t>
      </w:r>
    </w:p>
    <w:tbl>
      <w:tblPr>
        <w:tblStyle w:val="2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120"/>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7" w:type="dxa"/>
            <w:vAlign w:val="center"/>
          </w:tcPr>
          <w:p>
            <w:pPr>
              <w:spacing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2120" w:type="dxa"/>
            <w:vAlign w:val="center"/>
          </w:tcPr>
          <w:p>
            <w:pPr>
              <w:spacing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w:t>
            </w:r>
          </w:p>
        </w:tc>
        <w:tc>
          <w:tcPr>
            <w:tcW w:w="6682" w:type="dxa"/>
            <w:vAlign w:val="center"/>
          </w:tcPr>
          <w:p>
            <w:pPr>
              <w:spacing w:line="24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717" w:type="dxa"/>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w:t>
            </w:r>
          </w:p>
        </w:tc>
        <w:tc>
          <w:tcPr>
            <w:tcW w:w="2120" w:type="dxa"/>
            <w:vAlign w:val="center"/>
          </w:tcPr>
          <w:p>
            <w:p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项目说明</w:t>
            </w:r>
          </w:p>
        </w:tc>
        <w:tc>
          <w:tcPr>
            <w:tcW w:w="6682" w:type="dxa"/>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项目类别：</w:t>
            </w:r>
            <w:r>
              <w:rPr>
                <w:rFonts w:hint="eastAsia" w:ascii="宋体" w:hAnsi="宋体" w:eastAsia="宋体" w:cs="宋体"/>
                <w:color w:val="auto"/>
                <w:sz w:val="21"/>
                <w:szCs w:val="21"/>
                <w:lang w:val="en-US" w:eastAsia="zh-CN"/>
              </w:rPr>
              <w:t>货物类</w:t>
            </w:r>
          </w:p>
          <w:p>
            <w:pPr>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lang w:eastAsia="zh-CN"/>
              </w:rPr>
              <w:t>（二）工业</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68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68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682"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668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p>
        </w:tc>
        <w:tc>
          <w:tcPr>
            <w:tcW w:w="2120" w:type="dxa"/>
            <w:vAlign w:val="center"/>
          </w:tcPr>
          <w:p>
            <w:pPr>
              <w:pStyle w:val="7"/>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电子投标文件的传输递交</w:t>
            </w:r>
          </w:p>
        </w:tc>
        <w:tc>
          <w:tcPr>
            <w:tcW w:w="6682" w:type="dxa"/>
            <w:vAlign w:val="center"/>
          </w:tcPr>
          <w:p>
            <w:pPr>
              <w:spacing w:line="24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2024年6月17日上午9:00</w:t>
            </w:r>
            <w:r>
              <w:rPr>
                <w:rFonts w:hint="eastAsia" w:ascii="宋体" w:hAnsi="宋体" w:eastAsia="宋体" w:cs="宋体"/>
                <w:b/>
                <w:bCs/>
                <w:color w:val="auto"/>
                <w:szCs w:val="21"/>
                <w:highlight w:val="none"/>
                <w:u w:val="single"/>
                <w:lang w:eastAsia="zh-CN"/>
              </w:rPr>
              <w:t>整</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备份投标文件的递交</w:t>
            </w:r>
          </w:p>
        </w:tc>
        <w:tc>
          <w:tcPr>
            <w:tcW w:w="6682" w:type="dxa"/>
            <w:vAlign w:val="center"/>
          </w:tcPr>
          <w:p>
            <w:pPr>
              <w:pStyle w:val="53"/>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逾期寄达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2024年6月17日上午9:00</w:t>
            </w:r>
            <w:r>
              <w:rPr>
                <w:rFonts w:hint="eastAsia" w:ascii="宋体" w:hAnsi="宋体" w:eastAsia="宋体" w:cs="宋体"/>
                <w:b/>
                <w:bCs/>
                <w:color w:val="auto"/>
                <w:szCs w:val="21"/>
                <w:highlight w:val="none"/>
                <w:u w:val="single"/>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2120"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682" w:type="dxa"/>
            <w:vAlign w:val="center"/>
          </w:tcPr>
          <w:p>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，采购代理机构对投标文件的误投和提前启封不负责任。</w:t>
            </w:r>
          </w:p>
          <w:p>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电子投标文件解密时间及地点</w:t>
            </w:r>
          </w:p>
        </w:tc>
        <w:tc>
          <w:tcPr>
            <w:tcW w:w="668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 w:val="21"/>
                <w:szCs w:val="21"/>
                <w:highlight w:val="none"/>
                <w:lang w:eastAsia="zh-CN"/>
              </w:rPr>
              <w:t>2024年6月17日上午9:00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（北京时间）</w:t>
            </w:r>
          </w:p>
          <w:p>
            <w:pPr>
              <w:pStyle w:val="5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2120" w:type="dxa"/>
            <w:vAlign w:val="center"/>
          </w:tcPr>
          <w:p>
            <w:pPr>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682" w:type="dxa"/>
            <w:vAlign w:val="center"/>
          </w:tcPr>
          <w:p>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2120"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682" w:type="dxa"/>
            <w:vAlign w:val="center"/>
          </w:tcPr>
          <w:p>
            <w:pPr>
              <w:numPr>
                <w:ilvl w:val="0"/>
                <w:numId w:val="4"/>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pPr>
              <w:numPr>
                <w:ilvl w:val="0"/>
                <w:numId w:val="4"/>
              </w:numPr>
              <w:spacing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pPr>
              <w:numPr>
                <w:ilvl w:val="0"/>
                <w:numId w:val="4"/>
              </w:numPr>
              <w:spacing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要求；</w:t>
            </w:r>
          </w:p>
          <w:p>
            <w:pPr>
              <w:numPr>
                <w:ilvl w:val="0"/>
                <w:numId w:val="0"/>
              </w:numPr>
              <w:spacing w:line="240" w:lineRule="auto"/>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4、现场演示：无要求。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w:t>
            </w:r>
          </w:p>
        </w:tc>
        <w:tc>
          <w:tcPr>
            <w:tcW w:w="2120"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sz w:val="21"/>
                <w:szCs w:val="21"/>
                <w:highlight w:val="none"/>
              </w:rPr>
              <w:t>中小企业扶持政策</w:t>
            </w:r>
          </w:p>
        </w:tc>
        <w:tc>
          <w:tcPr>
            <w:tcW w:w="6682" w:type="dxa"/>
            <w:vAlign w:val="center"/>
          </w:tcPr>
          <w:p>
            <w:pPr>
              <w:pStyle w:val="52"/>
              <w:spacing w:line="24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7" w:type="dxa"/>
            <w:vAlign w:val="center"/>
          </w:tcPr>
          <w:p>
            <w:pPr>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2120" w:type="dxa"/>
            <w:vAlign w:val="center"/>
          </w:tcPr>
          <w:p>
            <w:pPr>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解释权</w:t>
            </w:r>
          </w:p>
        </w:tc>
        <w:tc>
          <w:tcPr>
            <w:tcW w:w="6682" w:type="dxa"/>
            <w:vAlign w:val="center"/>
          </w:tcPr>
          <w:p>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本招标文件的解释权属于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一、总则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 适用范围</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（二）定义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“采购组织机构”指采购人委托组织招标的采购代理机构。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2、采购人：是指委托</w:t>
      </w:r>
      <w:r>
        <w:rPr>
          <w:rFonts w:hint="eastAsia" w:ascii="宋体" w:hAnsi="宋体" w:eastAsia="宋体" w:cs="宋体"/>
          <w:color w:val="000000" w:themeColor="text1"/>
          <w:szCs w:val="21"/>
          <w:highlight w:val="none"/>
          <w:lang w:val="zh-CN"/>
          <w14:textFill>
            <w14:solidFill>
              <w14:schemeClr w14:val="tx1"/>
            </w14:solidFill>
          </w14:textFill>
        </w:rPr>
        <w:t>采购代理机构</w:t>
      </w:r>
      <w:r>
        <w:rPr>
          <w:rFonts w:hint="eastAsia" w:ascii="宋体" w:hAnsi="宋体" w:eastAsia="宋体" w:cs="宋体"/>
          <w:color w:val="000000" w:themeColor="text1"/>
          <w:szCs w:val="21"/>
          <w:highlight w:val="none"/>
          <w14:textFill>
            <w14:solidFill>
              <w14:schemeClr w14:val="tx1"/>
            </w14:solidFill>
          </w14:textFill>
        </w:rPr>
        <w:t>采购本次项目的国家机关、事业单位和团体组织。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3、投标人：是指向采购</w:t>
      </w:r>
      <w:r>
        <w:rPr>
          <w:rFonts w:hint="eastAsia" w:ascii="宋体" w:hAnsi="宋体" w:eastAsia="宋体" w:cs="宋体"/>
          <w:color w:val="000000" w:themeColor="text1"/>
          <w:szCs w:val="21"/>
          <w:highlight w:val="none"/>
          <w:lang w:val="zh-CN"/>
          <w14:textFill>
            <w14:solidFill>
              <w14:schemeClr w14:val="tx1"/>
            </w14:solidFill>
          </w14:textFill>
        </w:rPr>
        <w:t>组织</w:t>
      </w:r>
      <w:r>
        <w:rPr>
          <w:rFonts w:hint="eastAsia" w:ascii="宋体" w:hAnsi="宋体" w:eastAsia="宋体" w:cs="宋体"/>
          <w:color w:val="000000" w:themeColor="text1"/>
          <w:szCs w:val="21"/>
          <w:highlight w:val="none"/>
          <w14:textFill>
            <w14:solidFill>
              <w14:schemeClr w14:val="tx1"/>
            </w14:solidFill>
          </w14:textFill>
        </w:rPr>
        <w:t>机构提交投标文件的单位或个人。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4、货物：是指各种形态和种类的物品，包括原材料、燃料、设备、产品等。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6、“书面形式”包括信函、传真等。</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7、“▲”系指实质性要求条款。</w:t>
      </w:r>
    </w:p>
    <w:p>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（三）投标费用</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不论投标结果如何，投标人均应自行承担所有与投标有关的全部费用（招标文件有相关规定除外）。</w:t>
      </w:r>
    </w:p>
    <w:p>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（四）特别说明</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1、投标人投标所使用的资格、信誉、荣誉、业绩与企业认证必须为本法人所拥有。投标人投标所使用的采购项目实施人员必须为本法人员工。▲其中涉及资格条件的如非本法人所拥有，则投标无效。</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000000" w:themeColor="text1"/>
          <w:szCs w:val="21"/>
          <w:highlight w:val="none"/>
          <w14:textFill>
            <w14:solidFill>
              <w14:schemeClr w14:val="tx1"/>
            </w14:solidFill>
          </w14:textFill>
        </w:rPr>
        <w:tab/>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6、投标文件格式中的表格式样可以根据项目差别做适当调整,但应当保持表格样式基本形态不变。</w:t>
      </w:r>
    </w:p>
    <w:p>
      <w:pPr>
        <w:tabs>
          <w:tab w:val="left" w:pos="851"/>
        </w:tabs>
        <w:autoSpaceDE w:val="0"/>
        <w:autoSpaceDN w:val="0"/>
        <w:adjustRightInd w:val="0"/>
        <w:snapToGrid w:val="0"/>
        <w:spacing w:line="360" w:lineRule="auto"/>
        <w:ind w:firstLine="480"/>
        <w:rPr>
          <w:rFonts w:hint="eastAsia" w:ascii="宋体" w:hAnsi="宋体" w:eastAsia="宋体" w:cs="宋体"/>
          <w:szCs w:val="21"/>
        </w:rPr>
      </w:pPr>
      <w:r>
        <w:rPr>
          <w:rFonts w:hint="eastAsia" w:ascii="宋体" w:hAnsi="宋体" w:eastAsia="宋体" w:cs="宋体"/>
          <w:color w:val="000000" w:themeColor="text1"/>
          <w:szCs w:val="21"/>
          <w:highlight w:val="none"/>
          <w14:textFill>
            <w14:solidFill>
              <w14:schemeClr w14:val="tx1"/>
            </w14:solidFill>
          </w14:textFill>
        </w:rPr>
        <w:t>▲7、单位负责人为同一人或者存在直接控股、管理关系的不同供应商，不得参加同一合同项下的政府采购活动。</w:t>
      </w:r>
      <w:r>
        <w:rPr>
          <w:rFonts w:hint="eastAsia" w:ascii="宋体" w:hAnsi="宋体" w:eastAsia="宋体" w:cs="宋体"/>
          <w:szCs w:val="21"/>
        </w:rPr>
        <w:t>电子交易平台运营机构，以及与该机构有直接控股或者管理关系可能影响采购公正性的任何单位和个人，不得在该平台进行的政府采购项目电子交易中投标、响应和代理政府采购项目。</w:t>
      </w:r>
    </w:p>
    <w:p>
      <w:pPr>
        <w:tabs>
          <w:tab w:val="left" w:pos="851"/>
        </w:tabs>
        <w:autoSpaceDE w:val="0"/>
        <w:autoSpaceDN w:val="0"/>
        <w:adjustRightInd w:val="0"/>
        <w:snapToGrid w:val="0"/>
        <w:spacing w:line="360" w:lineRule="auto"/>
        <w:ind w:firstLine="480"/>
        <w:rPr>
          <w:rFonts w:hint="eastAsia" w:ascii="宋体" w:hAnsi="宋体" w:eastAsia="宋体" w:cs="宋体"/>
          <w:szCs w:val="21"/>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9、</w:t>
      </w:r>
      <w:r>
        <w:rPr>
          <w:rFonts w:hint="eastAsia" w:ascii="宋体" w:hAnsi="宋体" w:eastAsia="宋体" w:cs="宋体"/>
          <w:color w:val="000000" w:themeColor="text1"/>
          <w:szCs w:val="21"/>
          <w:highlight w:val="none"/>
          <w14:textFill>
            <w14:solidFill>
              <w14:schemeClr w14:val="tx1"/>
            </w14:solidFill>
          </w14:textFill>
        </w:rPr>
        <w:t>本项目不允许</w:t>
      </w:r>
      <w:r>
        <w:rPr>
          <w:rFonts w:hint="eastAsia" w:ascii="宋体" w:hAnsi="宋体" w:eastAsia="宋体" w:cs="宋体"/>
          <w:color w:val="000000" w:themeColor="text1"/>
          <w:szCs w:val="21"/>
          <w:highlight w:val="none"/>
          <w:lang w:val="en-US" w:eastAsia="zh-CN"/>
          <w14:textFill>
            <w14:solidFill>
              <w14:schemeClr w14:val="tx1"/>
            </w14:solidFill>
          </w14:textFill>
        </w:rPr>
        <w:t>转包、</w:t>
      </w:r>
      <w:r>
        <w:rPr>
          <w:rFonts w:hint="eastAsia" w:ascii="宋体" w:hAnsi="宋体" w:eastAsia="宋体" w:cs="宋体"/>
          <w:color w:val="000000" w:themeColor="text1"/>
          <w:szCs w:val="21"/>
          <w:highlight w:val="none"/>
          <w14:textFill>
            <w14:solidFill>
              <w14:schemeClr w14:val="tx1"/>
            </w14:solidFill>
          </w14:textFill>
        </w:rPr>
        <w:t>分包。</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二、招标文件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（一）招标文件由招标文件总目录所列内容组成。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（二）招标文件的澄清或修改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三、投标文件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000000" w:themeColor="text1"/>
          <w:szCs w:val="21"/>
          <w:highlight w:val="none"/>
          <w14:textFill>
            <w14:solidFill>
              <w14:schemeClr w14:val="tx1"/>
            </w14:solidFill>
          </w14:textFill>
        </w:rPr>
        <w:t>本项目实行电子投标，供</w:t>
      </w:r>
      <w:r>
        <w:rPr>
          <w:rFonts w:hint="eastAsia" w:ascii="宋体" w:hAnsi="宋体" w:eastAsia="宋体" w:cs="宋体"/>
          <w:bCs/>
          <w:color w:val="auto"/>
          <w:szCs w:val="21"/>
          <w:highlight w:val="none"/>
        </w:rPr>
        <w:t>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电子投标文件按</w:t>
      </w:r>
      <w:r>
        <w:rPr>
          <w:rFonts w:hint="eastAsia" w:ascii="宋体" w:hAnsi="宋体" w:eastAsia="宋体" w:cs="宋体"/>
          <w:bCs/>
          <w:color w:val="auto"/>
          <w:szCs w:val="21"/>
          <w:highlight w:val="none"/>
        </w:rPr>
        <w:t>政府采购</w:t>
      </w:r>
      <w:r>
        <w:rPr>
          <w:rFonts w:hint="eastAsia" w:ascii="宋体" w:hAnsi="宋体" w:eastAsia="宋体" w:cs="宋体"/>
          <w:bCs/>
          <w:color w:val="auto"/>
          <w:szCs w:val="21"/>
          <w:highlight w:val="none"/>
          <w:lang w:val="zh-CN"/>
        </w:rPr>
        <w:t>云平台供应商项目采购</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电子招投标操作指南</w:t>
      </w:r>
      <w:r>
        <w:rPr>
          <w:rFonts w:hint="eastAsia" w:ascii="宋体" w:hAnsi="宋体" w:eastAsia="宋体" w:cs="宋体"/>
          <w:bCs/>
          <w:color w:val="auto"/>
          <w:szCs w:val="21"/>
          <w:highlight w:val="none"/>
        </w:rPr>
        <w:t>（网址：https://helpcenter.zcygov.cn/document/#/document/detail?siteCode=beijing&amp;manualId=359&amp;topicId=1447）</w:t>
      </w:r>
      <w:r>
        <w:rPr>
          <w:rFonts w:hint="eastAsia" w:ascii="宋体" w:hAnsi="宋体" w:eastAsia="宋体" w:cs="宋体"/>
          <w:bCs/>
          <w:color w:val="auto"/>
          <w:szCs w:val="21"/>
          <w:highlight w:val="none"/>
          <w:lang w:val="zh-CN"/>
        </w:rPr>
        <w:t>及本招标文件要求制作、加密并</w:t>
      </w:r>
      <w:r>
        <w:rPr>
          <w:rFonts w:hint="eastAsia" w:ascii="宋体" w:hAnsi="宋体" w:eastAsia="宋体" w:cs="宋体"/>
          <w:bCs/>
          <w:color w:val="auto"/>
          <w:szCs w:val="21"/>
          <w:highlight w:val="none"/>
        </w:rPr>
        <w:t>传输</w:t>
      </w:r>
      <w:r>
        <w:rPr>
          <w:rFonts w:hint="eastAsia" w:ascii="宋体" w:hAnsi="宋体" w:eastAsia="宋体" w:cs="宋体"/>
          <w:bCs/>
          <w:color w:val="auto"/>
          <w:szCs w:val="21"/>
          <w:highlight w:val="none"/>
          <w:lang w:val="zh-CN"/>
        </w:rPr>
        <w:t>递交。</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▲未传输递交电子投标文件及未按规定提供相应的备份投标文件的，投标无效。</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w:t>
      </w:r>
      <w:r>
        <w:rPr>
          <w:rFonts w:hint="eastAsia" w:ascii="宋体" w:hAnsi="宋体" w:eastAsia="宋体" w:cs="宋体"/>
          <w:b/>
          <w:bCs/>
          <w:color w:val="auto"/>
          <w:szCs w:val="21"/>
          <w:highlight w:val="none"/>
        </w:rPr>
        <w:t>投标文件的组成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投标人接到招标文件后，按照招标文件的要求提供投标文件（包含电子投标文件和备份投标文件）：由资格证明文件、商务与技术文件和报价文件三部分组成。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1、资格证明文件的组成：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2、商务与技术文件的组成：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（1）投标人</w:t>
      </w:r>
      <w:r>
        <w:rPr>
          <w:rFonts w:hint="eastAsia" w:ascii="宋体" w:hAnsi="宋体" w:eastAsia="宋体" w:cs="宋体"/>
          <w:sz w:val="21"/>
          <w:szCs w:val="21"/>
          <w:highlight w:val="none"/>
          <w:lang w:val="en-US" w:eastAsia="zh-CN"/>
        </w:rPr>
        <w:t>企业</w:t>
      </w:r>
      <w:r>
        <w:rPr>
          <w:rFonts w:hint="eastAsia" w:ascii="宋体" w:hAnsi="宋体" w:eastAsia="宋体" w:cs="宋体"/>
          <w:sz w:val="21"/>
          <w:szCs w:val="21"/>
          <w:highlight w:val="none"/>
        </w:rPr>
        <w:t>情况介绍</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（2）投标方案描述：</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A.项目需求的理解与分析(投标人对项目现状及需求的理解情况，对项目现状和需求描述的全面性、准确性、针对性，对项目重点、难点的把握，解决方案及合理化建议)。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B.项目组织实施方案</w:t>
      </w:r>
      <w:r>
        <w:rPr>
          <w:rFonts w:hint="eastAsia" w:ascii="宋体" w:hAnsi="宋体" w:eastAsia="宋体" w:cs="宋体"/>
          <w:color w:val="auto"/>
          <w:sz w:val="21"/>
          <w:szCs w:val="21"/>
          <w:highlight w:val="none"/>
        </w:rPr>
        <w:t>（包括项目工期、确保项目供货的措施或方案、项目实施进度安排、项目实施人员及项目负责人的资质、类似经验及社保证明等）。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（6）投标人认为需要提供的其他资料（包括可能影响投标人商务与技术文件评分的各类证明材料）。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pPr>
        <w:keepNext w:val="0"/>
        <w:keepLines w:val="0"/>
        <w:pageBreakBefore w:val="0"/>
        <w:kinsoku/>
        <w:wordWrap/>
        <w:overflowPunct/>
        <w:topLinePunct w:val="0"/>
        <w:bidi w:val="0"/>
        <w:spacing w:line="41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pPr>
        <w:keepNext w:val="0"/>
        <w:keepLines w:val="0"/>
        <w:pageBreakBefore w:val="0"/>
        <w:kinsoku/>
        <w:wordWrap/>
        <w:overflowPunct/>
        <w:topLinePunct w:val="0"/>
        <w:bidi w:val="0"/>
        <w:spacing w:line="410" w:lineRule="exact"/>
        <w:ind w:firstLine="422"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w:t>
      </w:r>
      <w:r>
        <w:rPr>
          <w:rFonts w:hint="eastAsia" w:ascii="宋体" w:hAnsi="宋体" w:eastAsia="宋体" w:cs="宋体"/>
          <w:b/>
          <w:szCs w:val="21"/>
          <w:u w:val="single"/>
        </w:rPr>
        <w:t>进行响应或者在投标文件其它内容进行描述，造成电子评审不能查询的责任由投标人自行承担。</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（1）报价文件</w:t>
      </w:r>
      <w:r>
        <w:rPr>
          <w:rFonts w:hint="eastAsia" w:ascii="宋体" w:hAnsi="宋体" w:eastAsia="宋体" w:cs="宋体"/>
          <w:color w:val="auto"/>
          <w:sz w:val="21"/>
          <w:szCs w:val="21"/>
          <w:highlight w:val="none"/>
        </w:rPr>
        <w:t>由开标一览表、报价明细表、中小企业声明函，以及投标人认为其他需要说明的内容组成。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（3）投标总报价包括项目的供货、运输、安装、总体调试、技术培训、税金、验收、售后服务等为完成本次项且涉及的一切费用。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（4）政府采购优惠政策相关资料。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▲（5）相关报价单需打印或用不</w:t>
      </w:r>
      <w:r>
        <w:rPr>
          <w:rFonts w:hint="eastAsia" w:ascii="宋体" w:hAnsi="宋体" w:cs="宋体"/>
          <w:color w:val="auto"/>
          <w:szCs w:val="21"/>
          <w:highlight w:val="none"/>
          <w:lang w:val="en-US" w:eastAsia="zh-CN"/>
        </w:rPr>
        <w:t>褪色</w:t>
      </w:r>
      <w:r>
        <w:rPr>
          <w:rFonts w:hint="eastAsia" w:ascii="宋体" w:hAnsi="宋体" w:eastAsia="宋体" w:cs="宋体"/>
          <w:color w:val="auto"/>
          <w:szCs w:val="21"/>
          <w:highlight w:val="none"/>
        </w:rPr>
        <w:t>的墨水填写， 投标报价单不得涂改和增删，如有错漏必须修改，修改处须由同一签署人</w:t>
      </w:r>
      <w:r>
        <w:rPr>
          <w:rFonts w:hint="eastAsia" w:ascii="宋体" w:hAnsi="宋体" w:eastAsia="宋体" w:cs="宋体"/>
          <w:color w:val="000000" w:themeColor="text1"/>
          <w:szCs w:val="21"/>
          <w:highlight w:val="none"/>
          <w14:textFill>
            <w14:solidFill>
              <w14:schemeClr w14:val="tx1"/>
            </w14:solidFill>
          </w14:textFill>
        </w:rPr>
        <w:t>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000000" w:themeColor="text1"/>
          <w:szCs w:val="21"/>
          <w:highlight w:val="none"/>
          <w14:textFill>
            <w14:solidFill>
              <w14:schemeClr w14:val="tx1"/>
            </w14:solidFill>
          </w14:textFill>
        </w:rPr>
        <w:t>。由于字迹模糊或表达不清引起的后果由投标人负责。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（6）投标报价应按招标文件中相关附表格式填写。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（二）投标文件的制作、封装及递交要求</w:t>
      </w:r>
    </w:p>
    <w:p>
      <w:pPr>
        <w:snapToGrid w:val="0"/>
        <w:spacing w:before="120" w:beforeLines="50" w:line="360" w:lineRule="auto"/>
        <w:ind w:firstLine="413" w:firstLineChars="196"/>
        <w:jc w:val="left"/>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投标文件的签署</w:t>
      </w:r>
    </w:p>
    <w:p>
      <w:pPr>
        <w:snapToGrid w:val="0"/>
        <w:spacing w:line="360" w:lineRule="auto"/>
        <w:ind w:firstLine="411" w:firstLineChars="196"/>
        <w:jc w:val="left"/>
        <w:rPr>
          <w:rFonts w:hint="eastAsia" w:ascii="宋体" w:hAnsi="宋体" w:eastAsia="宋体" w:cs="宋体"/>
          <w:bCs/>
          <w:color w:val="auto"/>
          <w:sz w:val="21"/>
          <w:szCs w:val="21"/>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bCs/>
          <w:color w:val="auto"/>
          <w:sz w:val="21"/>
          <w:szCs w:val="21"/>
        </w:rPr>
        <w:t>电子投标文件中须加盖</w:t>
      </w:r>
      <w:r>
        <w:rPr>
          <w:rFonts w:hint="eastAsia" w:ascii="宋体" w:hAnsi="宋体" w:eastAsia="宋体" w:cs="宋体"/>
          <w:bCs/>
          <w:color w:val="auto"/>
          <w:sz w:val="21"/>
          <w:szCs w:val="21"/>
          <w:lang w:val="en-US" w:eastAsia="zh-CN"/>
        </w:rPr>
        <w:t>投标人</w:t>
      </w:r>
      <w:r>
        <w:rPr>
          <w:rFonts w:hint="eastAsia" w:ascii="宋体" w:hAnsi="宋体" w:eastAsia="宋体" w:cs="宋体"/>
          <w:bCs/>
          <w:color w:val="auto"/>
          <w:sz w:val="21"/>
          <w:szCs w:val="21"/>
        </w:rPr>
        <w:t>公章部分均采用CA签章，并根据“</w:t>
      </w:r>
      <w:r>
        <w:rPr>
          <w:rFonts w:hint="eastAsia" w:ascii="宋体" w:hAnsi="宋体" w:eastAsia="宋体" w:cs="宋体"/>
          <w:bCs/>
          <w:color w:val="auto"/>
          <w:sz w:val="21"/>
          <w:szCs w:val="21"/>
          <w:lang w:val="en-US" w:eastAsia="zh-CN"/>
        </w:rPr>
        <w:t>政府采购云平台</w:t>
      </w:r>
      <w:r>
        <w:rPr>
          <w:rFonts w:hint="eastAsia" w:ascii="宋体" w:hAnsi="宋体" w:eastAsia="宋体" w:cs="宋体"/>
          <w:bCs/>
          <w:color w:val="auto"/>
          <w:sz w:val="21"/>
          <w:szCs w:val="21"/>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color w:val="auto"/>
          <w:sz w:val="21"/>
          <w:szCs w:val="21"/>
        </w:rPr>
        <w:t>温馨提醒：</w:t>
      </w:r>
      <w:r>
        <w:rPr>
          <w:rFonts w:hint="eastAsia" w:ascii="宋体" w:hAnsi="宋体" w:eastAsia="宋体" w:cs="宋体"/>
          <w:color w:val="auto"/>
          <w:sz w:val="21"/>
          <w:szCs w:val="21"/>
          <w:u w:val="single"/>
        </w:rPr>
        <w:t>CA签章上目前没有</w:t>
      </w:r>
      <w:r>
        <w:rPr>
          <w:rFonts w:hint="eastAsia" w:ascii="宋体" w:hAnsi="宋体" w:eastAsia="宋体" w:cs="宋体"/>
          <w:color w:val="auto"/>
          <w:sz w:val="21"/>
          <w:szCs w:val="21"/>
          <w:u w:val="single"/>
          <w:lang w:eastAsia="zh-CN"/>
        </w:rPr>
        <w:t>法定代表人</w:t>
      </w:r>
      <w:r>
        <w:rPr>
          <w:rFonts w:hint="eastAsia" w:ascii="宋体" w:hAnsi="宋体" w:eastAsia="宋体" w:cs="宋体"/>
          <w:color w:val="auto"/>
          <w:sz w:val="21"/>
          <w:szCs w:val="21"/>
          <w:u w:val="single"/>
        </w:rPr>
        <w:t>或授权代表签字信息，需要投标人联系浙江杭州汇信科技有限公司等相应公司进行办理，或在投标文件中涉及到签字的位置线下签好字然后扫描或者拍照做成PDF的格式亦可。</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 w:val="21"/>
          <w:szCs w:val="21"/>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2、投标文件的制作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（1）投标人应按照投标文件组成内容及项目招标需求制作投标文件，不按招标文件要求制作投标文件由此产生的责任由投标人自行承担。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（2）▲投标人应对所提供的全部资料的真实性承担法律责任，投标文件内容中有要求盖章或签字的地方，必须加盖投标人的公章以及法定代表人或授权委托代理人盖章或签字。</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szCs w:val="21"/>
        </w:rPr>
        <w:t>，如该文件未提供将影响投标有效性的，则视为投标无效</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（5）若投标人不按招标文件的要求提供资格审查材料，其风险由投标人自行承担。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3、投标文件的封装要求</w:t>
      </w:r>
    </w:p>
    <w:p>
      <w:pPr>
        <w:pStyle w:val="5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，采购代理机构对投标文件的误投和提前启封不负责任。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w:t>
      </w:r>
      <w:r>
        <w:rPr>
          <w:rFonts w:hint="eastAsia" w:ascii="宋体" w:hAnsi="宋体" w:eastAsia="宋体" w:cs="宋体"/>
          <w:color w:val="auto"/>
          <w:sz w:val="21"/>
          <w:szCs w:val="21"/>
          <w:lang w:val="zh-CN"/>
        </w:rPr>
        <w:t>过早启封等情况，采购代理机构概不负责。</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4、投标文件的递交要求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 w:val="21"/>
          <w:szCs w:val="21"/>
          <w:lang w:val="en-US" w:eastAsia="zh-CN"/>
        </w:rPr>
        <w:t>（1）</w:t>
      </w:r>
      <w:r>
        <w:rPr>
          <w:rFonts w:hint="eastAsia" w:ascii="宋体" w:hAnsi="宋体" w:eastAsia="宋体" w:cs="宋体"/>
          <w:sz w:val="21"/>
          <w:szCs w:val="21"/>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w:t>
      </w:r>
      <w:r>
        <w:rPr>
          <w:rFonts w:hint="eastAsia" w:ascii="宋体" w:hAnsi="宋体" w:eastAsia="宋体" w:cs="宋体"/>
          <w:sz w:val="21"/>
          <w:szCs w:val="21"/>
        </w:rPr>
        <w:t>。</w:t>
      </w:r>
      <w:r>
        <w:rPr>
          <w:rFonts w:hint="eastAsia" w:ascii="宋体" w:hAnsi="宋体" w:eastAsia="宋体" w:cs="宋体"/>
          <w:color w:val="000000" w:themeColor="text1"/>
          <w:szCs w:val="21"/>
          <w:highlight w:val="none"/>
          <w14:textFill>
            <w14:solidFill>
              <w14:schemeClr w14:val="tx1"/>
            </w14:solidFill>
          </w14:textFill>
        </w:rPr>
        <w:t>投标文件在截止时间后提交</w:t>
      </w:r>
      <w:r>
        <w:rPr>
          <w:rFonts w:hint="eastAsia" w:ascii="宋体" w:hAnsi="宋体" w:eastAsia="宋体" w:cs="宋体"/>
          <w:szCs w:val="21"/>
        </w:rPr>
        <w:t>、</w:t>
      </w:r>
      <w:r>
        <w:rPr>
          <w:rFonts w:hint="eastAsia" w:ascii="宋体" w:hAnsi="宋体" w:eastAsia="宋体" w:cs="宋体"/>
        </w:rPr>
        <w:t>到付或未按要求密封</w:t>
      </w:r>
      <w:r>
        <w:rPr>
          <w:rFonts w:hint="eastAsia" w:ascii="宋体" w:hAnsi="宋体" w:eastAsia="宋体" w:cs="宋体"/>
          <w:lang w:eastAsia="zh-Hans"/>
        </w:rPr>
        <w:t>的</w:t>
      </w:r>
      <w:r>
        <w:rPr>
          <w:rFonts w:hint="eastAsia" w:ascii="宋体" w:hAnsi="宋体" w:eastAsia="宋体" w:cs="宋体"/>
          <w:color w:val="000000" w:themeColor="text1"/>
          <w:szCs w:val="21"/>
          <w:highlight w:val="none"/>
          <w14:textFill>
            <w14:solidFill>
              <w14:schemeClr w14:val="tx1"/>
            </w14:solidFill>
          </w14:textFill>
        </w:rPr>
        <w:t>，采购代理机构将拒绝接收。▲</w:t>
      </w:r>
      <w:r>
        <w:rPr>
          <w:rFonts w:hint="eastAsia" w:ascii="宋体" w:hAnsi="宋体" w:eastAsia="宋体" w:cs="宋体"/>
          <w:szCs w:val="21"/>
        </w:rPr>
        <w:t>如供应商未在</w:t>
      </w:r>
      <w:r>
        <w:rPr>
          <w:rFonts w:hint="eastAsia" w:ascii="宋体" w:hAnsi="宋体" w:eastAsia="宋体" w:cs="宋体"/>
          <w:szCs w:val="21"/>
          <w:lang w:val="en-US" w:eastAsia="zh-CN"/>
        </w:rPr>
        <w:t>投标</w:t>
      </w:r>
      <w:r>
        <w:rPr>
          <w:rFonts w:hint="eastAsia" w:ascii="宋体" w:hAnsi="宋体" w:eastAsia="宋体" w:cs="宋体"/>
          <w:szCs w:val="21"/>
        </w:rPr>
        <w:t>截止时间前完成电子</w:t>
      </w:r>
      <w:r>
        <w:rPr>
          <w:rFonts w:hint="eastAsia" w:ascii="宋体" w:hAnsi="宋体" w:eastAsia="宋体" w:cs="宋体"/>
          <w:szCs w:val="21"/>
          <w:lang w:val="en-US" w:eastAsia="zh-CN"/>
        </w:rPr>
        <w:t>投标</w:t>
      </w:r>
      <w:r>
        <w:rPr>
          <w:rFonts w:hint="eastAsia" w:ascii="宋体" w:hAnsi="宋体" w:eastAsia="宋体" w:cs="宋体"/>
          <w:szCs w:val="21"/>
        </w:rPr>
        <w:t>文件的传输递交，其备份</w:t>
      </w:r>
      <w:r>
        <w:rPr>
          <w:rFonts w:hint="eastAsia" w:ascii="宋体" w:hAnsi="宋体" w:eastAsia="宋体" w:cs="宋体"/>
          <w:szCs w:val="21"/>
          <w:lang w:val="en-US" w:eastAsia="zh-CN"/>
        </w:rPr>
        <w:t>投标</w:t>
      </w:r>
      <w:r>
        <w:rPr>
          <w:rFonts w:hint="eastAsia" w:ascii="宋体" w:hAnsi="宋体" w:eastAsia="宋体" w:cs="宋体"/>
          <w:szCs w:val="21"/>
        </w:rPr>
        <w:t>文件也将为无效</w:t>
      </w:r>
      <w:r>
        <w:rPr>
          <w:rFonts w:hint="eastAsia" w:ascii="宋体" w:hAnsi="宋体" w:cs="宋体"/>
          <w:szCs w:val="21"/>
          <w:lang w:val="en-US" w:eastAsia="zh-CN"/>
        </w:rPr>
        <w:t>备份</w:t>
      </w:r>
      <w:r>
        <w:rPr>
          <w:rFonts w:hint="eastAsia" w:ascii="宋体" w:hAnsi="宋体" w:eastAsia="宋体" w:cs="宋体"/>
          <w:szCs w:val="21"/>
          <w:lang w:val="en-US" w:eastAsia="zh-CN"/>
        </w:rPr>
        <w:t>投标</w:t>
      </w:r>
      <w:r>
        <w:rPr>
          <w:rFonts w:hint="eastAsia" w:ascii="宋体" w:hAnsi="宋体" w:eastAsia="宋体" w:cs="宋体"/>
          <w:szCs w:val="21"/>
        </w:rPr>
        <w:t>文件。</w:t>
      </w:r>
    </w:p>
    <w:p>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sz w:val="21"/>
          <w:szCs w:val="21"/>
          <w:highlight w:val="none"/>
        </w:rPr>
        <w:t>（2）</w:t>
      </w:r>
      <w:r>
        <w:rPr>
          <w:rFonts w:hint="eastAsia" w:ascii="宋体" w:hAnsi="宋体" w:eastAsia="宋体" w:cs="宋体"/>
          <w:b/>
          <w:bCs/>
          <w:color w:val="auto"/>
          <w:kern w:val="2"/>
          <w:sz w:val="21"/>
          <w:szCs w:val="21"/>
          <w:lang w:val="en-US" w:eastAsia="zh-CN" w:bidi="ar-SA"/>
        </w:rPr>
        <w:t>电子投标文件的相关说明</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供应商进行电子投标应安装客户端软件，并按照采购文件和电子交易平台的要求编制并加密投标文件。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val="0"/>
          <w:bCs w:val="0"/>
          <w:color w:val="auto"/>
          <w:kern w:val="2"/>
          <w:sz w:val="21"/>
          <w:szCs w:val="21"/>
          <w:lang w:val="en-US" w:eastAsia="zh-CN" w:bidi="ar-SA"/>
        </w:rPr>
        <w:t>供应商未按规定加密的投标文件，电子交易平台将拒收。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val="0"/>
          <w:bCs w:val="0"/>
          <w:color w:val="auto"/>
          <w:kern w:val="2"/>
          <w:sz w:val="21"/>
          <w:szCs w:val="21"/>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val="0"/>
          <w:bCs w:val="0"/>
          <w:color w:val="auto"/>
          <w:kern w:val="2"/>
          <w:sz w:val="21"/>
          <w:szCs w:val="21"/>
          <w:lang w:val="en-US" w:eastAsia="zh-CN" w:bidi="ar-SA"/>
        </w:rPr>
        <w:t>投标截止时间后递交的投标文件，电子交易平台将拒收。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lang w:val="en-US" w:eastAsia="zh-CN" w:bidi="ar-SA"/>
        </w:rPr>
        <w:t>供应商在电子</w:t>
      </w:r>
      <w:r>
        <w:rPr>
          <w:rFonts w:hint="eastAsia" w:ascii="宋体" w:hAnsi="宋体" w:eastAsia="宋体" w:cs="宋体"/>
          <w:b w:val="0"/>
          <w:bCs w:val="0"/>
          <w:color w:val="auto"/>
          <w:kern w:val="2"/>
          <w:sz w:val="21"/>
          <w:szCs w:val="21"/>
          <w:highlight w:val="none"/>
          <w:lang w:val="en-US" w:eastAsia="zh-CN" w:bidi="ar-SA"/>
        </w:rPr>
        <w:t>交易平台传输递交投标文件后，还可以在投标截止时间前提交备份投标文件，若供应商未提交备份投标文件，其后果由供应商自行承担。</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pPr>
        <w:pStyle w:val="66"/>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pPr>
        <w:pStyle w:val="66"/>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（三）投标文件的有效期</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自投标截止日起90天投标文件应保持有效。有效期不足的投标文件将被拒绝。</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GB"/>
        </w:rPr>
        <w:t>采购人可与投标人协商延长投标文件的有效期，这种要求和答复均以书面形式进行。</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▲3、中标人的投标文件自开标之日起至合同履行完毕均应保持有效。</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采购组织机构按照采购文件规定的时间通过电子交易平台组织开标、开启投标文件，所有供应商均应当准时在线参加。</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开标时，电子交易平台自动提取所有投标文件，提示采购组织机构和供应商按采购文件规定的方式和时间在线解密。</w:t>
      </w:r>
      <w:r>
        <w:rPr>
          <w:rFonts w:hint="eastAsia" w:ascii="宋体" w:hAnsi="宋体" w:eastAsia="宋体" w:cs="宋体"/>
          <w:b/>
          <w:bCs/>
          <w:color w:val="auto"/>
          <w:szCs w:val="21"/>
          <w:highlight w:val="none"/>
        </w:rPr>
        <w:t>给予供应商在线解密的时间为截止投标后30分钟。</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（一）组建评标委员会</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评标委员会由采购人代表和评审专家组成，成员人数为5人以上单数，其中评审专家不得少于成员总数的三分之二。</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2、符合性审查</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（3）评标时，评标委员会各成员应当独立对每个投标人的投标文件进行评价，并汇总每个投标人的得分。</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4、得分确认及评审报告编写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（1）评标委员会对报价文件进行复核，对于系统计算出的价格分及总得分进行确认；</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（3）评标委员会按评标原则及得分情况编写评审报告。</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采购组织机构对评标委员会评审专家进行评价。</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（三）澄清问题的形式</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投标人的澄清、说明或者补正应当采用书面形式，并加盖公章或者由</w:t>
      </w: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Cs w:val="21"/>
          <w:highlight w:val="none"/>
        </w:rPr>
        <w:t>签字，并不得超出投标文件的范围或者改变投标文件的实质性内容。</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（四）错误修正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投标文件报价出现前后不一致的，除招标文件另有规定外，按照下列规定修正：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r>
        <w:rPr>
          <w:rFonts w:hint="eastAsia" w:ascii="宋体" w:hAnsi="宋体" w:eastAsia="宋体" w:cs="宋体"/>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Cs w:val="21"/>
          <w:highlight w:val="none"/>
        </w:rPr>
        <w:t>的，其投标无效。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（五）投标人存在下列情况之一的，投标无效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1、资格证明文件或商务与技术文件跟报价文件出现混装或在资格证明文件或商务与技术文件中出现投标报价的，或者报价文件中报价的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跟商务与技术文件中的投标</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出现重大偏差的；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2、不具备招标文件中规定的资格要求的。</w:t>
      </w:r>
      <w:r>
        <w:rPr>
          <w:rFonts w:hint="eastAsia" w:ascii="宋体" w:hAnsi="宋体" w:eastAsia="宋体" w:cs="宋体"/>
          <w:color w:val="auto"/>
          <w:szCs w:val="21"/>
          <w:highlight w:val="none"/>
        </w:rPr>
        <w:tab/>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3、投标文件含有采购人不能接受的附加条件的。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4、投标人的授权委托代理人未能出具身份证明或与法定代表人授权委托人身份不符的（受疫情影响，投标人的授权委托代理人无须现场参加开标）；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5、投标人的电子投标文件无法按时解密的。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6、电子投标文件解密失败的，且未在规定时间内提交备份投标文件的；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7、电子投标文件未按规定要求提供电子签章的；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9、报价超过招标文件中规定的预算价/最高限(单)价。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10、投标参数未如实填写，完全复制粘贴招标参数的。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11、投标文件提供虚假材料的。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、不符合法律、法规和招标文件中规定的其他实质性要求的（招标文件中打“▲”内容及被拒绝的条款）。</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（六）有下列情况之一的，本次招标作为废标处理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2、评标委员会发现招标文件存在歧义、重大缺陷导致评标工作无法进行，或者招标文件内容违反国家有关强制性规定的；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3、因重大变故，采购任务取消的；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4、法律、法规和招标文件规定的其他导致评标结果无效的。</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（七）评标原则和评标办法</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2、评标办法。具体评标内容及评分标准等详见《第三章：评标</w:t>
      </w:r>
      <w:r>
        <w:rPr>
          <w:rFonts w:hint="eastAsia" w:ascii="宋体" w:hAnsi="宋体" w:cs="宋体"/>
          <w:color w:val="auto"/>
          <w:szCs w:val="21"/>
          <w:highlight w:val="none"/>
          <w:lang w:val="en-US" w:eastAsia="zh-CN"/>
        </w:rPr>
        <w:t>办法</w:t>
      </w:r>
      <w:r>
        <w:rPr>
          <w:rFonts w:hint="eastAsia" w:ascii="宋体" w:hAnsi="宋体" w:eastAsia="宋体" w:cs="宋体"/>
          <w:color w:val="auto"/>
          <w:szCs w:val="21"/>
          <w:highlight w:val="none"/>
        </w:rPr>
        <w:t>及评分标准》。</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（八）评标过程的监控</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六、定标</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3、发出中标通知书。采购组织机构在发布中标结果的同时，向中标人发出中标通知书。</w:t>
      </w:r>
    </w:p>
    <w:p>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sz w:val="21"/>
          <w:szCs w:val="21"/>
          <w:lang w:val="en-US" w:eastAsia="zh-CN"/>
        </w:rPr>
        <w:t>陆仟元</w:t>
      </w:r>
      <w:r>
        <w:rPr>
          <w:rFonts w:hint="eastAsia" w:ascii="宋体" w:hAnsi="宋体" w:eastAsia="宋体" w:cs="宋体"/>
          <w:sz w:val="21"/>
          <w:szCs w:val="21"/>
        </w:rPr>
        <w:t>的，按定额</w:t>
      </w:r>
      <w:r>
        <w:rPr>
          <w:rFonts w:hint="eastAsia" w:ascii="宋体" w:hAnsi="宋体" w:eastAsia="宋体" w:cs="宋体"/>
          <w:sz w:val="21"/>
          <w:szCs w:val="21"/>
          <w:lang w:val="en-US" w:eastAsia="zh-CN"/>
        </w:rPr>
        <w:t>陆仟元</w:t>
      </w:r>
      <w:r>
        <w:rPr>
          <w:rFonts w:hint="eastAsia" w:ascii="宋体" w:hAnsi="宋体" w:eastAsia="宋体" w:cs="宋体"/>
          <w:sz w:val="21"/>
          <w:szCs w:val="21"/>
        </w:rPr>
        <w:t>收取。该费用中标方须在领取中标通知书时一次性付清。</w:t>
      </w: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keepNext w:val="0"/>
              <w:keepLines w:val="0"/>
              <w:pageBreakBefore w:val="0"/>
              <w:kinsoku/>
              <w:wordWrap/>
              <w:overflowPunct/>
              <w:topLinePunct w:val="0"/>
              <w:bidi w:val="0"/>
              <w:ind w:firstLine="1470" w:firstLineChars="700"/>
              <w:textAlignment w:val="auto"/>
              <w:outlineLvl w:val="9"/>
              <w:rPr>
                <w:rFonts w:hint="eastAsia" w:ascii="宋体" w:hAnsi="宋体" w:eastAsia="宋体" w:cs="宋体"/>
                <w:b/>
                <w:color w:val="auto"/>
                <w:szCs w:val="21"/>
              </w:rPr>
            </w:pPr>
            <w:r>
              <w:rPr>
                <w:rFonts w:hint="eastAsia" w:ascii="宋体" w:hAnsi="宋体" w:eastAsia="宋体" w:cs="宋体"/>
                <w:color w:val="auto"/>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rPr>
              <w:t>服务</w:t>
            </w:r>
          </w:p>
          <w:p>
            <w:pPr>
              <w:keepNext w:val="0"/>
              <w:keepLines w:val="0"/>
              <w:pageBreakBefore w:val="0"/>
              <w:kinsoku/>
              <w:wordWrap/>
              <w:overflowPunct/>
              <w:topLinePunct w:val="0"/>
              <w:bidi w:val="0"/>
              <w:ind w:firstLine="1054" w:firstLineChars="500"/>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费　　类型</w:t>
            </w:r>
          </w:p>
          <w:p>
            <w:pPr>
              <w:keepNext w:val="0"/>
              <w:keepLines w:val="0"/>
              <w:pageBreakBefore w:val="0"/>
              <w:kinsoku/>
              <w:wordWrap/>
              <w:overflowPunct/>
              <w:topLinePunct w:val="0"/>
              <w:bidi w:val="0"/>
              <w:ind w:firstLine="1476" w:firstLineChars="700"/>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率</w:t>
            </w:r>
          </w:p>
          <w:p>
            <w:pPr>
              <w:keepNext w:val="0"/>
              <w:keepLines w:val="0"/>
              <w:pageBreakBefore w:val="0"/>
              <w:kinsoku/>
              <w:wordWrap/>
              <w:overflowPunct/>
              <w:topLinePunct w:val="0"/>
              <w:bidi w:val="0"/>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中标金额（万元）</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货物招标</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服务招标</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rPr>
            </w:pPr>
            <w:r>
              <w:rPr>
                <w:rFonts w:hint="eastAsia" w:ascii="宋体" w:hAnsi="宋体" w:eastAsia="宋体" w:cs="宋体"/>
                <w:b/>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100以下</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100-500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0.8%</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500-1000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0.8%</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0.45%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1000-5000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0.25%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5000-10000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0.25%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10000-100000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0.05%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0.05%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100000以上</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0.01%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0.01%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rPr>
            </w:pPr>
            <w:r>
              <w:rPr>
                <w:rFonts w:hint="eastAsia" w:ascii="宋体" w:hAnsi="宋体" w:eastAsia="宋体" w:cs="宋体"/>
                <w:color w:val="auto"/>
                <w:szCs w:val="21"/>
              </w:rPr>
              <w:t>0.01%</w:t>
            </w:r>
          </w:p>
        </w:tc>
      </w:tr>
    </w:tbl>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七、合同签订及公告</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（一）签订合同</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1、采购人应当自中标通知书发出之日起</w:t>
      </w:r>
      <w:r>
        <w:rPr>
          <w:rFonts w:hint="eastAsia" w:ascii="宋体" w:hAnsi="宋体" w:eastAsia="宋体" w:cs="宋体"/>
          <w:color w:val="000000" w:themeColor="text1"/>
          <w:szCs w:val="21"/>
          <w:highlight w:val="none"/>
          <w:lang w:val="en-US" w:eastAsia="zh-CN"/>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2、采购人不得向中标人提出任何不合理的要求作为签订合同的条件。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3、中标供应商无故拖延、拒签合同的,取消中标资格。</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（二）合同公告及备案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1、采购人应当自政府采购合同签订之日起2个工作日内，在省级以上财政部门指定的政府采购信息发布媒体及相关网站上公告。</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pacing w:line="360" w:lineRule="auto"/>
        <w:rPr>
          <w:rFonts w:hint="eastAsia" w:ascii="宋体" w:hAnsi="宋体" w:eastAsia="宋体" w:cs="宋体"/>
          <w:b/>
          <w:color w:val="000000" w:themeColor="text1"/>
          <w:sz w:val="36"/>
          <w:szCs w:val="36"/>
          <w:highlight w:val="none"/>
          <w14:textFill>
            <w14:solidFill>
              <w14:schemeClr w14:val="tx1"/>
            </w14:solidFill>
          </w14:textFill>
        </w:rPr>
      </w:pPr>
    </w:p>
    <w:p>
      <w:pPr>
        <w:pStyle w:val="52"/>
        <w:rPr>
          <w:rFonts w:hint="eastAsia" w:ascii="宋体" w:hAnsi="宋体" w:eastAsia="宋体" w:cs="宋体"/>
          <w:b/>
          <w:color w:val="000000" w:themeColor="text1"/>
          <w:sz w:val="36"/>
          <w:szCs w:val="36"/>
          <w:highlight w:val="none"/>
          <w14:textFill>
            <w14:solidFill>
              <w14:schemeClr w14:val="tx1"/>
            </w14:solidFill>
          </w14:textFill>
        </w:rPr>
      </w:pPr>
    </w:p>
    <w:p>
      <w:pPr>
        <w:pStyle w:val="8"/>
        <w:ind w:left="0" w:leftChars="0" w:firstLine="0" w:firstLineChars="0"/>
        <w:rPr>
          <w:rFonts w:hint="eastAsia" w:ascii="宋体" w:hAnsi="宋体" w:eastAsia="宋体" w:cs="宋体"/>
          <w:b/>
          <w:color w:val="000000" w:themeColor="text1"/>
          <w:sz w:val="36"/>
          <w:szCs w:val="36"/>
          <w:highlight w:val="none"/>
          <w14:textFill>
            <w14:solidFill>
              <w14:schemeClr w14:val="tx1"/>
            </w14:solidFill>
          </w14:textFill>
        </w:rPr>
      </w:pPr>
    </w:p>
    <w:p>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第三章 评标办法及评分标准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一、采购组织机构将组织评标委员会，对投标人提供的投标文件进行综合评审。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二、本次招标项目的评标方法为综合评分法，总计100分，其中</w:t>
      </w:r>
      <w:r>
        <w:rPr>
          <w:rFonts w:hint="eastAsia" w:ascii="宋体" w:hAnsi="宋体" w:eastAsia="宋体" w:cs="宋体"/>
          <w:color w:val="000000" w:themeColor="text1"/>
          <w:szCs w:val="21"/>
          <w:highlight w:val="none"/>
          <w:lang w:val="zh-CN"/>
          <w14:textFill>
            <w14:solidFill>
              <w14:schemeClr w14:val="tx1"/>
            </w14:solidFill>
          </w14:textFill>
        </w:rPr>
        <w:t>商务技术文件分值</w:t>
      </w:r>
      <w:r>
        <w:rPr>
          <w:rFonts w:hint="eastAsia" w:ascii="宋体" w:hAnsi="宋体" w:cs="宋体"/>
          <w:color w:val="000000" w:themeColor="text1"/>
          <w:szCs w:val="21"/>
          <w:highlight w:val="none"/>
          <w:lang w:val="en-US" w:eastAsia="zh-CN"/>
          <w14:textFill>
            <w14:solidFill>
              <w14:schemeClr w14:val="tx1"/>
            </w14:solidFill>
          </w14:textFill>
        </w:rPr>
        <w:t>70</w:t>
      </w:r>
      <w:r>
        <w:rPr>
          <w:rFonts w:hint="eastAsia" w:ascii="宋体" w:hAnsi="宋体" w:eastAsia="宋体" w:cs="宋体"/>
          <w:color w:val="000000" w:themeColor="text1"/>
          <w:szCs w:val="21"/>
          <w:highlight w:val="none"/>
          <w:lang w:val="zh-CN"/>
          <w14:textFill>
            <w14:solidFill>
              <w14:schemeClr w14:val="tx1"/>
            </w14:solidFill>
          </w14:textFill>
        </w:rPr>
        <w:t>分，投标报价分值</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w:t>
      </w:r>
      <w:r>
        <w:rPr>
          <w:rFonts w:hint="eastAsia" w:ascii="宋体" w:hAnsi="宋体" w:eastAsia="宋体" w:cs="宋体"/>
          <w:color w:val="000000" w:themeColor="text1"/>
          <w:szCs w:val="21"/>
          <w:highlight w:val="none"/>
          <w:lang w:val="zh-CN"/>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auto"/>
          <w:szCs w:val="21"/>
          <w:highlight w:val="none"/>
        </w:rPr>
        <w:t>标标准按评分细化条款及分值进行评审。</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Cs w:val="21"/>
          <w:highlight w:val="none"/>
          <w:lang w:val="zh-CN"/>
        </w:rPr>
        <w:t>；客观分不一致时，由评审委员会复核或书面说明理由，其余在规定的分值内单独评定打分</w:t>
      </w:r>
      <w:r>
        <w:rPr>
          <w:rFonts w:hint="eastAsia" w:ascii="宋体" w:hAnsi="宋体" w:eastAsia="宋体" w:cs="宋体"/>
          <w:color w:val="auto"/>
          <w:szCs w:val="21"/>
          <w:highlight w:val="none"/>
        </w:rPr>
        <w:t>（小数点后保留1位）</w:t>
      </w:r>
      <w:r>
        <w:rPr>
          <w:rFonts w:hint="eastAsia" w:ascii="宋体" w:hAnsi="宋体" w:eastAsia="宋体" w:cs="宋体"/>
          <w:color w:val="auto"/>
          <w:szCs w:val="21"/>
          <w:highlight w:val="none"/>
          <w:lang w:val="zh-CN"/>
        </w:rPr>
        <w:t>。</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，计算公式为：</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商务技术文件</w:t>
      </w:r>
      <w:r>
        <w:rPr>
          <w:rFonts w:hint="eastAsia" w:ascii="宋体" w:hAnsi="宋体" w:eastAsia="宋体" w:cs="宋体"/>
          <w:color w:val="auto"/>
          <w:szCs w:val="21"/>
          <w:highlight w:val="none"/>
        </w:rPr>
        <w:t>得分</w:t>
      </w:r>
      <w:r>
        <w:rPr>
          <w:rFonts w:hint="eastAsia" w:ascii="宋体" w:hAnsi="宋体" w:eastAsia="宋体" w:cs="宋体"/>
          <w:color w:val="auto"/>
          <w:szCs w:val="21"/>
          <w:highlight w:val="none"/>
          <w:lang w:val="zh-CN"/>
        </w:rPr>
        <w:t>=评标委员会所有成员评分合计数/评标委员会组成人员数。</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投标报价得分=(评标基准价／投标报价)×</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zh-CN"/>
        </w:rPr>
        <w:t>0%×100 。</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（四）投标人综合得分＝商务技术文件得分＋投标报价得分。</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（五）政府采购政策及优惠：</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关于小型、微型企业（简称小微企业）投标：①根据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pPr>
        <w:pStyle w:val="7"/>
        <w:spacing w:line="360" w:lineRule="auto"/>
        <w:ind w:firstLine="562" w:firstLineChars="200"/>
        <w:jc w:val="left"/>
        <w:rPr>
          <w:rFonts w:hint="eastAsia" w:ascii="宋体" w:hAnsi="宋体" w:eastAsia="宋体" w:cs="宋体"/>
          <w:color w:val="auto"/>
          <w:szCs w:val="21"/>
          <w:highlight w:val="none"/>
          <w:lang w:val="zh-CN"/>
        </w:rPr>
      </w:pP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zCs w:val="21"/>
          <w:highlight w:val="none"/>
          <w:u w:val="single"/>
          <w:lang w:val="zh-CN"/>
        </w:rPr>
        <w:t>以上证明材料不提供或提供不全的视为自动放弃优惠政策。</w:t>
      </w:r>
    </w:p>
    <w:p>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文件实质性要求前提下，</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文件中规定的各项因素进行综合评审后，以评审总得分最高的投标人为第一中标候选人，评审总得分次高的投标人为第二中标候选人。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pPr>
        <w:spacing w:line="360" w:lineRule="auto"/>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评标打分标准表</w:t>
      </w:r>
      <w:r>
        <w:rPr>
          <w:rFonts w:hint="eastAsia" w:ascii="宋体" w:hAnsi="宋体" w:eastAsia="宋体" w:cs="宋体"/>
          <w:color w:val="000000" w:themeColor="text1"/>
          <w:szCs w:val="21"/>
          <w:highlight w:val="none"/>
          <w:lang w:val="zh-CN"/>
          <w14:textFill>
            <w14:solidFill>
              <w14:schemeClr w14:val="tx1"/>
            </w14:solidFill>
          </w14:textFill>
        </w:rPr>
        <w:t xml:space="preserve"> </w:t>
      </w:r>
    </w:p>
    <w:tbl>
      <w:tblPr>
        <w:tblStyle w:val="2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13"/>
        <w:gridCol w:w="7033"/>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96" w:type="dxa"/>
            <w:gridSpan w:val="2"/>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cstheme="minorEastAsia"/>
                <w:b/>
                <w:bCs/>
                <w:color w:val="000000" w:themeColor="text1"/>
                <w:szCs w:val="21"/>
                <w:highlight w:val="none"/>
                <w14:textFill>
                  <w14:solidFill>
                    <w14:schemeClr w14:val="tx1"/>
                  </w14:solidFill>
                </w14:textFill>
              </w:rPr>
              <w:t>评标因素</w:t>
            </w:r>
          </w:p>
        </w:tc>
        <w:tc>
          <w:tcPr>
            <w:tcW w:w="7033"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cstheme="minorEastAsia"/>
                <w:b/>
                <w:bCs/>
                <w:color w:val="000000" w:themeColor="text1"/>
                <w:szCs w:val="21"/>
                <w:highlight w:val="none"/>
                <w14:textFill>
                  <w14:solidFill>
                    <w14:schemeClr w14:val="tx1"/>
                  </w14:solidFill>
                </w14:textFill>
              </w:rPr>
              <w:t>评分标准</w:t>
            </w:r>
          </w:p>
        </w:tc>
        <w:tc>
          <w:tcPr>
            <w:tcW w:w="659"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cstheme="minorEastAsia"/>
                <w:b/>
                <w:bCs/>
                <w:color w:val="000000" w:themeColor="text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3" w:type="dxa"/>
            <w:vMerge w:val="restart"/>
            <w:vAlign w:val="center"/>
          </w:tcPr>
          <w:p>
            <w:pPr>
              <w:keepNext w:val="0"/>
              <w:keepLines w:val="0"/>
              <w:pageBreakBefore w:val="0"/>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商务分（7分）</w:t>
            </w:r>
          </w:p>
        </w:tc>
        <w:tc>
          <w:tcPr>
            <w:tcW w:w="1113"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企业综合实力</w:t>
            </w:r>
          </w:p>
        </w:tc>
        <w:tc>
          <w:tcPr>
            <w:tcW w:w="7033" w:type="dxa"/>
          </w:tcPr>
          <w:p>
            <w:pPr>
              <w:keepNext w:val="0"/>
              <w:keepLines w:val="0"/>
              <w:pageBreakBefore w:val="0"/>
              <w:kinsoku/>
              <w:wordWrap/>
              <w:overflowPunct/>
              <w:topLinePunct w:val="0"/>
              <w:autoSpaceDE w:val="0"/>
              <w:autoSpaceDN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1、投标人具有有效的中国环境标志产品认证证书的得2分（认证单元：钢木家具，产品名称：实验桌）；</w:t>
            </w:r>
          </w:p>
          <w:p>
            <w:pPr>
              <w:keepNext w:val="0"/>
              <w:keepLines w:val="0"/>
              <w:pageBreakBefore w:val="0"/>
              <w:kinsoku/>
              <w:wordWrap/>
              <w:overflowPunct/>
              <w:topLinePunct w:val="0"/>
              <w:autoSpaceDE w:val="0"/>
              <w:autoSpaceDN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2、投标人具有有效的中国环保产品认证证书的得2分（产品名称：实验室家具、实验桌）；</w:t>
            </w:r>
          </w:p>
          <w:p>
            <w:pPr>
              <w:keepNext w:val="0"/>
              <w:keepLines w:val="0"/>
              <w:pageBreakBefore w:val="0"/>
              <w:kinsoku/>
              <w:wordWrap/>
              <w:overflowPunct/>
              <w:topLinePunct w:val="0"/>
              <w:autoSpaceDE w:val="0"/>
              <w:autoSpaceDN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3、投标人具有有效的质量管理体系认证证书的得1分。</w:t>
            </w:r>
          </w:p>
          <w:p>
            <w:pPr>
              <w:keepNext w:val="0"/>
              <w:keepLines w:val="0"/>
              <w:pageBreakBefore w:val="0"/>
              <w:kinsoku/>
              <w:wordWrap/>
              <w:overflowPunct/>
              <w:topLinePunct w:val="0"/>
              <w:autoSpaceDE w:val="0"/>
              <w:autoSpaceDN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本项最高得5分。</w:t>
            </w:r>
            <w:r>
              <w:rPr>
                <w:rFonts w:hint="eastAsia"/>
                <w:b/>
                <w:bCs/>
                <w:color w:val="000000" w:themeColor="text1"/>
                <w:kern w:val="21"/>
                <w:sz w:val="21"/>
                <w:highlight w:val="none"/>
                <w14:textFill>
                  <w14:solidFill>
                    <w14:schemeClr w14:val="tx1"/>
                  </w14:solidFill>
                </w14:textFill>
              </w:rPr>
              <w:t>（须提供相关证书的扫描件和中国国家认证认可监督管理委员会网站</w:t>
            </w:r>
            <w:r>
              <w:rPr>
                <w:rFonts w:hint="eastAsia" w:ascii="宋体" w:hAnsi="宋体" w:eastAsia="宋体" w:cs="新宋体"/>
                <w:b/>
                <w:bCs/>
                <w:color w:val="000000" w:themeColor="text1"/>
                <w:kern w:val="21"/>
                <w:sz w:val="21"/>
                <w:szCs w:val="21"/>
                <w:highlight w:val="none"/>
                <w14:textFill>
                  <w14:solidFill>
                    <w14:schemeClr w14:val="tx1"/>
                  </w14:solidFill>
                </w14:textFill>
              </w:rPr>
              <w:t>（www.cnca.gov.cn)</w:t>
            </w:r>
            <w:r>
              <w:rPr>
                <w:rFonts w:hint="eastAsia"/>
                <w:b/>
                <w:bCs/>
                <w:color w:val="000000" w:themeColor="text1"/>
                <w:kern w:val="21"/>
                <w:sz w:val="21"/>
                <w:highlight w:val="none"/>
                <w14:textFill>
                  <w14:solidFill>
                    <w14:schemeClr w14:val="tx1"/>
                  </w14:solidFill>
                </w14:textFill>
              </w:rPr>
              <w:t>查询截图加盖投标人公章编入投标文件中，未提供或提供不全的不得分）</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83" w:type="dxa"/>
            <w:vMerge w:val="continue"/>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bidi w:val="0"/>
              <w:adjustRightInd/>
              <w:snapToGrid/>
              <w:jc w:val="center"/>
              <w:textAlignment w:val="auto"/>
              <w:rPr>
                <w:rStyle w:val="57"/>
                <w:rFonts w:asciiTheme="minorEastAsia" w:hAnsiTheme="minorEastAsia" w:cstheme="minorEastAsia"/>
                <w:color w:val="000000" w:themeColor="text1"/>
                <w:kern w:val="21"/>
                <w:sz w:val="21"/>
                <w:szCs w:val="21"/>
                <w:highlight w:val="none"/>
                <w14:textFill>
                  <w14:solidFill>
                    <w14:schemeClr w14:val="tx1"/>
                  </w14:solidFill>
                </w14:textFill>
              </w:rPr>
            </w:pPr>
            <w:r>
              <w:rPr>
                <w:rStyle w:val="57"/>
                <w:rFonts w:hint="eastAsia" w:asciiTheme="minorEastAsia" w:hAnsiTheme="minorEastAsia" w:cstheme="minorEastAsia"/>
                <w:color w:val="000000" w:themeColor="text1"/>
                <w:kern w:val="21"/>
                <w:sz w:val="21"/>
                <w:szCs w:val="21"/>
                <w:highlight w:val="none"/>
                <w14:textFill>
                  <w14:solidFill>
                    <w14:schemeClr w14:val="tx1"/>
                  </w14:solidFill>
                </w14:textFill>
              </w:rPr>
              <w:t>承接经验</w:t>
            </w:r>
          </w:p>
        </w:tc>
        <w:tc>
          <w:tcPr>
            <w:tcW w:w="7033" w:type="dxa"/>
            <w:vAlign w:val="center"/>
          </w:tcPr>
          <w:p>
            <w:pPr>
              <w:keepNext w:val="0"/>
              <w:keepLines w:val="0"/>
              <w:pageBreakBefore w:val="0"/>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投标人自2020年1月1日以来</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（以合同签订时间为准），</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承接过类似项目业绩，一个合同得1分，</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本项</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最高</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得</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2分。</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w:t>
            </w:r>
            <w:r>
              <w:rPr>
                <w:rFonts w:hint="eastAsia" w:ascii="Times New Roman" w:hAnsi="Times New Roman" w:cs="Times New Roman"/>
                <w:b/>
                <w:bCs/>
                <w:color w:val="000000" w:themeColor="text1"/>
                <w:kern w:val="21"/>
                <w:sz w:val="21"/>
                <w:highlight w:val="none"/>
                <w14:textFill>
                  <w14:solidFill>
                    <w14:schemeClr w14:val="tx1"/>
                  </w14:solidFill>
                </w14:textFill>
              </w:rPr>
              <w:t>须</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提供合同</w:t>
            </w:r>
            <w:r>
              <w:rPr>
                <w:rFonts w:hint="eastAsia" w:ascii="Times New Roman" w:hAnsi="Times New Roman" w:cs="Times New Roman"/>
                <w:b/>
                <w:bCs/>
                <w:color w:val="000000" w:themeColor="text1"/>
                <w:kern w:val="21"/>
                <w:sz w:val="21"/>
                <w:highlight w:val="none"/>
                <w14:textFill>
                  <w14:solidFill>
                    <w14:schemeClr w14:val="tx1"/>
                  </w14:solidFill>
                </w14:textFill>
              </w:rPr>
              <w:t>扫描件并</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加盖</w:t>
            </w:r>
            <w:r>
              <w:rPr>
                <w:rFonts w:hint="eastAsia" w:ascii="Times New Roman" w:hAnsi="Times New Roman" w:cs="Times New Roman"/>
                <w:b/>
                <w:bCs/>
                <w:color w:val="000000" w:themeColor="text1"/>
                <w:kern w:val="21"/>
                <w:sz w:val="21"/>
                <w:highlight w:val="none"/>
                <w14:textFill>
                  <w14:solidFill>
                    <w14:schemeClr w14:val="tx1"/>
                  </w14:solidFill>
                </w14:textFill>
              </w:rPr>
              <w:t>投标人</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公章</w:t>
            </w:r>
            <w:r>
              <w:rPr>
                <w:rFonts w:hint="eastAsia" w:ascii="Times New Roman" w:hAnsi="Times New Roman" w:cs="Times New Roman"/>
                <w:b/>
                <w:bCs/>
                <w:color w:val="000000" w:themeColor="text1"/>
                <w:kern w:val="21"/>
                <w:sz w:val="21"/>
                <w:highlight w:val="none"/>
                <w14:textFill>
                  <w14:solidFill>
                    <w14:schemeClr w14:val="tx1"/>
                  </w14:solidFill>
                </w14:textFill>
              </w:rPr>
              <w:t>编入投标文件中，未提供的不得分</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w:t>
            </w:r>
          </w:p>
        </w:tc>
        <w:tc>
          <w:tcPr>
            <w:tcW w:w="659" w:type="dxa"/>
            <w:vAlign w:val="center"/>
          </w:tcPr>
          <w:p>
            <w:pPr>
              <w:pStyle w:val="11"/>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pStyle w:val="7"/>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技术分（63分）</w:t>
            </w:r>
          </w:p>
          <w:p>
            <w:pPr>
              <w:pStyle w:val="8"/>
              <w:keepNext w:val="0"/>
              <w:keepLines w:val="0"/>
              <w:pageBreakBefore w:val="0"/>
              <w:kinsoku/>
              <w:wordWrap/>
              <w:overflowPunct/>
              <w:topLinePunct w:val="0"/>
              <w:bidi w:val="0"/>
              <w:adjustRightInd/>
              <w:snapToGrid/>
              <w:ind w:left="5250" w:firstLine="0" w:firstLineChars="0"/>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kern w:val="21"/>
                <w:sz w:val="21"/>
                <w:szCs w:val="21"/>
                <w:highlight w:val="none"/>
                <w14:textFill>
                  <w14:solidFill>
                    <w14:schemeClr w14:val="tx1"/>
                  </w14:solidFill>
                </w14:textFill>
              </w:rPr>
            </w:pPr>
            <w:r>
              <w:rPr>
                <w:rStyle w:val="57"/>
                <w:rFonts w:hint="eastAsia" w:asciiTheme="minorEastAsia" w:hAnsiTheme="minorEastAsia" w:cstheme="minorEastAsia"/>
                <w:color w:val="000000" w:themeColor="text1"/>
                <w:kern w:val="21"/>
                <w:sz w:val="21"/>
                <w:szCs w:val="21"/>
                <w:highlight w:val="none"/>
                <w14:textFill>
                  <w14:solidFill>
                    <w14:schemeClr w14:val="tx1"/>
                  </w14:solidFill>
                </w14:textFill>
              </w:rPr>
              <w:t>设备性能指标</w:t>
            </w: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hint="eastAsia" w:ascii="宋体" w:hAnsi="宋体" w:eastAsia="宋体" w:cs="新宋体"/>
                <w:color w:val="000000" w:themeColor="text1"/>
                <w:kern w:val="21"/>
                <w:sz w:val="21"/>
                <w:szCs w:val="21"/>
                <w:highlight w:val="none"/>
                <w:lang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根据所投产品</w:t>
            </w:r>
            <w:r>
              <w:rPr>
                <w:rFonts w:hint="eastAsia" w:ascii="宋体" w:hAnsi="宋体" w:eastAsia="宋体" w:cs="新宋体"/>
                <w:color w:val="000000" w:themeColor="text1"/>
                <w:kern w:val="21"/>
                <w:sz w:val="21"/>
                <w:szCs w:val="21"/>
                <w:highlight w:val="none"/>
                <w14:textFill>
                  <w14:solidFill>
                    <w14:schemeClr w14:val="tx1"/>
                  </w14:solidFill>
                </w14:textFill>
              </w:rPr>
              <w:t>所有技术指标均响应招标文</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件要求的得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30</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分，带★项为重要技术参数指标项，一项</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未响应或</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不满足</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扣</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1.3</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分，其他技术指标一项</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未响应或</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不满足</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扣</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0.1</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分，扣完</w:t>
            </w:r>
            <w:r>
              <w:rPr>
                <w:rFonts w:hint="eastAsia" w:ascii="宋体" w:hAnsi="宋体" w:eastAsia="宋体" w:cs="新宋体"/>
                <w:color w:val="000000" w:themeColor="text1"/>
                <w:kern w:val="21"/>
                <w:sz w:val="21"/>
                <w:szCs w:val="21"/>
                <w:highlight w:val="none"/>
                <w14:textFill>
                  <w14:solidFill>
                    <w14:schemeClr w14:val="tx1"/>
                  </w14:solidFill>
                </w14:textFill>
              </w:rPr>
              <w:t>为止。</w:t>
            </w:r>
            <w:r>
              <w:rPr>
                <w:rFonts w:hint="eastAsia" w:ascii="宋体" w:hAnsi="宋体" w:eastAsia="宋体" w:cs="新宋体"/>
                <w:b/>
                <w:bCs/>
                <w:color w:val="000000" w:themeColor="text1"/>
                <w:kern w:val="21"/>
                <w:sz w:val="21"/>
                <w:szCs w:val="21"/>
                <w:highlight w:val="none"/>
                <w14:textFill>
                  <w14:solidFill>
                    <w14:schemeClr w14:val="tx1"/>
                  </w14:solidFill>
                </w14:textFill>
              </w:rPr>
              <w:t>（注：投标人必须如实地对招标文件技术参数中各条款作出明确的逐项响应承诺，并对其真实性负责</w:t>
            </w:r>
            <w:r>
              <w:rPr>
                <w:rFonts w:hint="eastAsia" w:ascii="宋体" w:hAnsi="宋体" w:eastAsia="宋体" w:cs="新宋体"/>
                <w:b/>
                <w:bCs/>
                <w:color w:val="000000" w:themeColor="text1"/>
                <w:kern w:val="21"/>
                <w:sz w:val="21"/>
                <w:szCs w:val="21"/>
                <w:highlight w:val="none"/>
                <w:lang w:eastAsia="zh-CN"/>
                <w14:textFill>
                  <w14:solidFill>
                    <w14:schemeClr w14:val="tx1"/>
                  </w14:solidFill>
                </w14:textFill>
              </w:rPr>
              <w:t>。</w:t>
            </w:r>
            <w:r>
              <w:rPr>
                <w:rFonts w:hint="eastAsia" w:ascii="宋体" w:hAnsi="宋体" w:eastAsia="宋体" w:cs="新宋体"/>
                <w:b/>
                <w:bCs/>
                <w:color w:val="000000" w:themeColor="text1"/>
                <w:kern w:val="21"/>
                <w:sz w:val="21"/>
                <w:szCs w:val="21"/>
                <w:highlight w:val="none"/>
                <w14:textFill>
                  <w14:solidFill>
                    <w14:schemeClr w14:val="tx1"/>
                  </w14:solidFill>
                </w14:textFill>
              </w:rPr>
              <w:t>）</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firstLine="0" w:firstLineChars="0"/>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kern w:val="21"/>
                <w:sz w:val="21"/>
                <w:szCs w:val="21"/>
                <w:highlight w:val="none"/>
                <w14:textFill>
                  <w14:solidFill>
                    <w14:schemeClr w14:val="tx1"/>
                  </w14:solidFill>
                </w14:textFill>
              </w:rPr>
            </w:pPr>
            <w:r>
              <w:rPr>
                <w:rFonts w:hint="eastAsia" w:ascii="宋体" w:hAnsi="宋体" w:cs="新宋体"/>
                <w:color w:val="000000" w:themeColor="text1"/>
                <w:kern w:val="21"/>
                <w:sz w:val="21"/>
                <w:szCs w:val="21"/>
                <w:highlight w:val="none"/>
                <w14:textFill>
                  <w14:solidFill>
                    <w14:schemeClr w14:val="tx1"/>
                  </w14:solidFill>
                </w14:textFill>
              </w:rPr>
              <w:t>生产设备</w:t>
            </w:r>
          </w:p>
        </w:tc>
        <w:tc>
          <w:tcPr>
            <w:tcW w:w="7033" w:type="dxa"/>
            <w:vAlign w:val="center"/>
          </w:tcPr>
          <w:p>
            <w:pPr>
              <w:keepNext w:val="0"/>
              <w:keepLines w:val="0"/>
              <w:pageBreakBefore w:val="0"/>
              <w:widowControl/>
              <w:kinsoku/>
              <w:wordWrap/>
              <w:overflowPunct/>
              <w:topLinePunct w:val="0"/>
              <w:bidi w:val="0"/>
              <w:adjustRightInd/>
              <w:snapToGrid/>
              <w:textAlignment w:val="auto"/>
              <w:rPr>
                <w:rFonts w:ascii="宋体" w:hAnsi="宋体" w:eastAsia="宋体" w:cs="新宋体"/>
                <w:color w:val="000000" w:themeColor="text1"/>
                <w:kern w:val="21"/>
                <w:sz w:val="21"/>
                <w:szCs w:val="21"/>
                <w:highlight w:val="none"/>
                <w14:textFill>
                  <w14:solidFill>
                    <w14:schemeClr w14:val="tx1"/>
                  </w14:solidFill>
                </w14:textFill>
              </w:rPr>
            </w:pPr>
            <w:r>
              <w:rPr>
                <w:rFonts w:hint="eastAsia" w:ascii="宋体" w:hAnsi="宋体" w:eastAsia="宋体" w:cs="新宋体"/>
                <w:color w:val="000000" w:themeColor="text1"/>
                <w:kern w:val="21"/>
                <w:sz w:val="21"/>
                <w:szCs w:val="21"/>
                <w:highlight w:val="none"/>
                <w14:textFill>
                  <w14:solidFill>
                    <w14:schemeClr w14:val="tx1"/>
                  </w14:solidFill>
                </w14:textFill>
              </w:rPr>
              <w:t>实</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验室设备产品生产厂家具有：液压闸式剪板机、8磨头玻璃直线磨边机、双面涂胶机、压力机、流水线喷漆设备（含大旋风换色粉房、喷枪系统、自动喷枪、气体压缩机、储气罐、冷干机）、光纤激光切割机、机器人焊接工作站、冷压机、电脑裁板锯、注塑机、铣床、压力机，全部有得6分，缺一项扣0.5分，扣完为止。</w:t>
            </w:r>
          </w:p>
          <w:p>
            <w:pPr>
              <w:keepNext w:val="0"/>
              <w:keepLines w:val="0"/>
              <w:pageBreakBefore w:val="0"/>
              <w:widowControl/>
              <w:kinsoku/>
              <w:wordWrap/>
              <w:overflowPunct/>
              <w:topLinePunct w:val="0"/>
              <w:bidi w:val="0"/>
              <w:adjustRightInd/>
              <w:snapToGrid/>
              <w:textAlignment w:val="auto"/>
              <w:rPr>
                <w:rFonts w:ascii="宋体" w:hAnsi="宋体" w:eastAsia="宋体" w:cs="新宋体"/>
                <w:color w:val="000000" w:themeColor="text1"/>
                <w:kern w:val="21"/>
                <w:sz w:val="21"/>
                <w:szCs w:val="21"/>
                <w:highlight w:val="none"/>
                <w14:textFill>
                  <w14:solidFill>
                    <w14:schemeClr w14:val="tx1"/>
                  </w14:solidFill>
                </w14:textFill>
              </w:rPr>
            </w:pPr>
            <w:r>
              <w:rPr>
                <w:rFonts w:hint="eastAsia" w:ascii="宋体" w:hAnsi="宋体" w:cs="新宋体"/>
                <w:b/>
                <w:bCs/>
                <w:color w:val="000000" w:themeColor="text1"/>
                <w:kern w:val="21"/>
                <w:sz w:val="21"/>
                <w:szCs w:val="21"/>
                <w:highlight w:val="none"/>
                <w14:textFill>
                  <w14:solidFill>
                    <w14:schemeClr w14:val="tx1"/>
                  </w14:solidFill>
                </w14:textFill>
              </w:rPr>
              <w:t>（须</w:t>
            </w:r>
            <w:r>
              <w:rPr>
                <w:rFonts w:hint="eastAsia" w:ascii="宋体" w:hAnsi="宋体" w:eastAsia="宋体" w:cs="新宋体"/>
                <w:b/>
                <w:bCs/>
                <w:color w:val="000000" w:themeColor="text1"/>
                <w:kern w:val="21"/>
                <w:sz w:val="21"/>
                <w:szCs w:val="21"/>
                <w:highlight w:val="none"/>
                <w14:textFill>
                  <w14:solidFill>
                    <w14:schemeClr w14:val="tx1"/>
                  </w14:solidFill>
                </w14:textFill>
              </w:rPr>
              <w:t>提供以上生产设备购置专用发票扫描件和生产车间现场实景照片并加盖投标人公章编入投标文件中，且发票抬头单位名称必须与产品生产单位名称相一致，未提供或提供不全的不得分</w:t>
            </w:r>
            <w:r>
              <w:rPr>
                <w:rFonts w:hint="eastAsia" w:ascii="宋体" w:hAnsi="宋体" w:cs="新宋体"/>
                <w:b/>
                <w:bCs/>
                <w:color w:val="000000" w:themeColor="text1"/>
                <w:kern w:val="21"/>
                <w:sz w:val="21"/>
                <w:szCs w:val="21"/>
                <w:highlight w:val="none"/>
                <w14:textFill>
                  <w14:solidFill>
                    <w14:schemeClr w14:val="tx1"/>
                  </w14:solidFill>
                </w14:textFill>
              </w:rPr>
              <w:t>）</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firstLine="0" w:firstLineChars="0"/>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kern w:val="21"/>
                <w:sz w:val="21"/>
                <w:szCs w:val="21"/>
                <w:highlight w:val="none"/>
                <w14:textFill>
                  <w14:solidFill>
                    <w14:schemeClr w14:val="tx1"/>
                  </w14:solidFill>
                </w14:textFill>
              </w:rPr>
            </w:pPr>
            <w:r>
              <w:rPr>
                <w:rFonts w:hint="eastAsia" w:ascii="宋体" w:hAnsi="宋体" w:cs="新宋体"/>
                <w:color w:val="000000" w:themeColor="text1"/>
                <w:kern w:val="21"/>
                <w:sz w:val="21"/>
                <w:szCs w:val="21"/>
                <w:highlight w:val="none"/>
                <w:lang w:val="en-US" w:eastAsia="zh-CN"/>
                <w14:textFill>
                  <w14:solidFill>
                    <w14:schemeClr w14:val="tx1"/>
                  </w14:solidFill>
                </w14:textFill>
              </w:rPr>
              <w:t>供货安装</w:t>
            </w:r>
            <w:r>
              <w:rPr>
                <w:rFonts w:hint="eastAsia" w:ascii="宋体" w:hAnsi="宋体" w:cs="新宋体"/>
                <w:color w:val="000000" w:themeColor="text1"/>
                <w:kern w:val="21"/>
                <w:sz w:val="21"/>
                <w:szCs w:val="21"/>
                <w:highlight w:val="none"/>
                <w14:textFill>
                  <w14:solidFill>
                    <w14:schemeClr w14:val="tx1"/>
                  </w14:solidFill>
                </w14:textFill>
              </w:rPr>
              <w:t>方案</w:t>
            </w: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要求根据招标文件的要求编写相应的</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方案，根据投标人</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方案的完整性、先进性、合理性以及交货计划、人员安排、验收流程等方面进行打分。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方案合理、可行、先进的得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5</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方案</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较为</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合理、可行的得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3</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w:t>
            </w:r>
            <w:r>
              <w:rPr>
                <w:rFonts w:hint="eastAsia" w:asciiTheme="minorEastAsia" w:hAnsiTheme="minorEastAsia" w:cstheme="minorEastAsia"/>
                <w:color w:val="000000" w:themeColor="text1"/>
                <w:kern w:val="21"/>
                <w:sz w:val="21"/>
                <w:szCs w:val="21"/>
                <w:highlight w:val="none"/>
                <w:lang w:eastAsia="zh-CN"/>
                <w14:textFill>
                  <w14:solidFill>
                    <w14:schemeClr w14:val="tx1"/>
                  </w14:solidFill>
                </w14:textFill>
              </w:rPr>
              <w:t>；</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供货安装方案简单，存在不足的得1分；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未提及此项不得分。</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eastAsia="宋体" w:cs="新宋体"/>
                <w:color w:val="000000" w:themeColor="text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firstLine="0" w:firstLineChars="0"/>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tc>
        <w:tc>
          <w:tcPr>
            <w:tcW w:w="1113" w:type="dxa"/>
            <w:vMerge w:val="restart"/>
            <w:vAlign w:val="center"/>
          </w:tcPr>
          <w:p>
            <w:pPr>
              <w:keepNext w:val="0"/>
              <w:keepLines w:val="0"/>
              <w:pageBreakBefore w:val="0"/>
              <w:kinsoku/>
              <w:wordWrap/>
              <w:overflowPunct/>
              <w:topLinePunct w:val="0"/>
              <w:bidi w:val="0"/>
              <w:adjustRightInd/>
              <w:snapToGrid/>
              <w:jc w:val="center"/>
              <w:textAlignment w:val="auto"/>
              <w:rPr>
                <w:rFonts w:ascii="宋体" w:hAnsi="宋体" w:eastAsia="宋体" w:cs="新宋体"/>
                <w:color w:val="000000" w:themeColor="text1"/>
                <w:kern w:val="21"/>
                <w:sz w:val="21"/>
                <w:szCs w:val="21"/>
                <w:highlight w:val="none"/>
                <w14:textFill>
                  <w14:solidFill>
                    <w14:schemeClr w14:val="tx1"/>
                  </w14:solidFill>
                </w14:textFill>
              </w:rPr>
            </w:pPr>
            <w:r>
              <w:rPr>
                <w:rFonts w:hint="eastAsia" w:ascii="宋体" w:hAnsi="宋体" w:eastAsia="宋体" w:cs="新宋体"/>
                <w:color w:val="000000" w:themeColor="text1"/>
                <w:kern w:val="21"/>
                <w:sz w:val="21"/>
                <w:szCs w:val="21"/>
                <w:highlight w:val="none"/>
                <w14:textFill>
                  <w14:solidFill>
                    <w14:schemeClr w14:val="tx1"/>
                  </w14:solidFill>
                </w14:textFill>
              </w:rPr>
              <w:t>售后服务</w:t>
            </w: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根据投标人的售后服务方案，包括是否有详细完整的“三包”、免费保修及售后服务措施和方案（包括服务措施、产品质量保证、回访、技术培训等）进行打分。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售后服务方案和服务承诺落实的保障措施全面科学、合理可行的得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4</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售后服务方案和服务承诺落实的保障措施</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比较</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全面、</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基本</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可行的得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售后服务方案和服务承诺落实的保障措施一般，不甚全面的得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1</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未提及此项不得分。</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firstLine="0" w:firstLineChars="0"/>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tc>
        <w:tc>
          <w:tcPr>
            <w:tcW w:w="1113" w:type="dxa"/>
            <w:vMerge w:val="continue"/>
            <w:vAlign w:val="center"/>
          </w:tcPr>
          <w:p>
            <w:pPr>
              <w:keepNext w:val="0"/>
              <w:keepLines w:val="0"/>
              <w:pageBreakBefore w:val="0"/>
              <w:kinsoku/>
              <w:wordWrap/>
              <w:overflowPunct/>
              <w:topLinePunct w:val="0"/>
              <w:bidi w:val="0"/>
              <w:adjustRightInd/>
              <w:snapToGrid/>
              <w:jc w:val="center"/>
              <w:textAlignment w:val="auto"/>
              <w:rPr>
                <w:rFonts w:ascii="宋体" w:hAnsi="宋体" w:eastAsia="宋体" w:cs="新宋体"/>
                <w:color w:val="000000" w:themeColor="text1"/>
                <w:kern w:val="21"/>
                <w:sz w:val="21"/>
                <w:szCs w:val="21"/>
                <w:highlight w:val="none"/>
                <w14:textFill>
                  <w14:solidFill>
                    <w14:schemeClr w14:val="tx1"/>
                  </w14:solidFill>
                </w14:textFill>
              </w:rPr>
            </w:pP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根据投标人售后服务响应时间进行打分。</w:t>
            </w:r>
          </w:p>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响应时间在</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30</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分钟以内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得</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3</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响应时间在</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30</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49</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分钟</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得</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2</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响应时间在</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50-60</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分钟得</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1</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响应时间超过60分钟或未提及此项的不得分。</w:t>
            </w:r>
            <w:r>
              <w:rPr>
                <w:rFonts w:hint="eastAsia" w:asciiTheme="minorEastAsia" w:hAnsiTheme="minorEastAsia" w:cstheme="minorEastAsia"/>
                <w:b/>
                <w:bCs/>
                <w:color w:val="000000" w:themeColor="text1"/>
                <w:kern w:val="21"/>
                <w:sz w:val="21"/>
                <w:szCs w:val="21"/>
                <w:highlight w:val="none"/>
                <w14:textFill>
                  <w14:solidFill>
                    <w14:schemeClr w14:val="tx1"/>
                  </w14:solidFill>
                </w14:textFill>
              </w:rPr>
              <w:t>（投标人须提供承诺函原件加盖投标人公章编入投标文件中，未提供的不得分）</w:t>
            </w:r>
          </w:p>
        </w:tc>
        <w:tc>
          <w:tcPr>
            <w:tcW w:w="659" w:type="dxa"/>
            <w:vAlign w:val="center"/>
          </w:tcPr>
          <w:p>
            <w:pPr>
              <w:keepNext w:val="0"/>
              <w:keepLines w:val="0"/>
              <w:pageBreakBefore w:val="0"/>
              <w:tabs>
                <w:tab w:val="left" w:pos="780"/>
              </w:tabs>
              <w:kinsoku/>
              <w:wordWrap/>
              <w:overflowPunct/>
              <w:topLinePunct w:val="0"/>
              <w:autoSpaceDE w:val="0"/>
              <w:autoSpaceDN w:val="0"/>
              <w:bidi w:val="0"/>
              <w:adjustRightInd/>
              <w:snapToGrid/>
              <w:jc w:val="center"/>
              <w:textAlignment w:val="auto"/>
              <w:rPr>
                <w:rFonts w:ascii="宋体" w:hAnsi="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firstLine="0" w:firstLineChars="0"/>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tc>
        <w:tc>
          <w:tcPr>
            <w:tcW w:w="1113" w:type="dxa"/>
            <w:vMerge w:val="continue"/>
            <w:vAlign w:val="center"/>
          </w:tcPr>
          <w:p>
            <w:pPr>
              <w:keepNext w:val="0"/>
              <w:keepLines w:val="0"/>
              <w:pageBreakBefore w:val="0"/>
              <w:kinsoku/>
              <w:wordWrap/>
              <w:overflowPunct/>
              <w:topLinePunct w:val="0"/>
              <w:bidi w:val="0"/>
              <w:adjustRightInd/>
              <w:snapToGrid/>
              <w:jc w:val="center"/>
              <w:textAlignment w:val="auto"/>
              <w:rPr>
                <w:rFonts w:ascii="宋体" w:hAnsi="宋体" w:eastAsia="宋体" w:cs="新宋体"/>
                <w:color w:val="000000" w:themeColor="text1"/>
                <w:kern w:val="21"/>
                <w:sz w:val="21"/>
                <w:szCs w:val="21"/>
                <w:highlight w:val="none"/>
                <w14:textFill>
                  <w14:solidFill>
                    <w14:schemeClr w14:val="tx1"/>
                  </w14:solidFill>
                </w14:textFill>
              </w:rPr>
            </w:pP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ascii="Times New Roman" w:hAnsi="Times New Roman" w:cs="Times New Roman"/>
                <w:color w:val="000000" w:themeColor="text1"/>
                <w:kern w:val="21"/>
                <w:sz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投标人有</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明确的定期巡检计划</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得2分，</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未提及此项不得分。</w:t>
            </w:r>
          </w:p>
        </w:tc>
        <w:tc>
          <w:tcPr>
            <w:tcW w:w="659" w:type="dxa"/>
            <w:vAlign w:val="center"/>
          </w:tcPr>
          <w:p>
            <w:pPr>
              <w:keepNext w:val="0"/>
              <w:keepLines w:val="0"/>
              <w:pageBreakBefore w:val="0"/>
              <w:tabs>
                <w:tab w:val="left" w:pos="780"/>
              </w:tabs>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83" w:type="dxa"/>
            <w:vMerge w:val="continue"/>
            <w:vAlign w:val="center"/>
          </w:tcPr>
          <w:p>
            <w:pPr>
              <w:keepNext w:val="0"/>
              <w:keepLines w:val="0"/>
              <w:pageBreakBefore w:val="0"/>
              <w:kinsoku/>
              <w:wordWrap/>
              <w:overflowPunct/>
              <w:topLinePunct w:val="0"/>
              <w:bidi w:val="0"/>
              <w:adjustRightInd/>
              <w:snapToGrid/>
              <w:jc w:val="center"/>
              <w:textAlignment w:val="auto"/>
              <w:rPr>
                <w:rStyle w:val="57"/>
                <w:rFonts w:asciiTheme="minorEastAsia" w:hAnsiTheme="minorEastAsia" w:cstheme="minorEastAsia"/>
                <w:color w:val="000000" w:themeColor="text1"/>
                <w:kern w:val="21"/>
                <w:sz w:val="2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宋体" w:hAnsi="宋体" w:cs="宋体"/>
                <w:color w:val="000000" w:themeColor="text1"/>
                <w:spacing w:val="-4"/>
                <w:kern w:val="21"/>
                <w:sz w:val="21"/>
                <w:szCs w:val="21"/>
                <w:highlight w:val="none"/>
                <w14:textFill>
                  <w14:solidFill>
                    <w14:schemeClr w14:val="tx1"/>
                  </w14:solidFill>
                </w14:textFill>
              </w:rPr>
              <w:t>实物样品</w:t>
            </w:r>
          </w:p>
        </w:tc>
        <w:tc>
          <w:tcPr>
            <w:tcW w:w="7033" w:type="dxa"/>
            <w:vAlign w:val="center"/>
          </w:tcPr>
          <w:p>
            <w:pPr>
              <w:keepNext w:val="0"/>
              <w:keepLines w:val="0"/>
              <w:pageBreakBefore w:val="0"/>
              <w:kinsoku/>
              <w:wordWrap/>
              <w:overflowPunct/>
              <w:topLinePunct w:val="0"/>
              <w:bidi w:val="0"/>
              <w:adjustRightInd/>
              <w:snapToGrid/>
              <w:textAlignment w:val="auto"/>
              <w:rPr>
                <w:rFonts w:ascii="宋体" w:hAnsi="宋体" w:cs="宋体"/>
                <w:color w:val="000000" w:themeColor="text1"/>
                <w:spacing w:val="-4"/>
                <w:kern w:val="21"/>
                <w:sz w:val="21"/>
                <w:szCs w:val="21"/>
                <w:highlight w:val="none"/>
                <w14:textFill>
                  <w14:solidFill>
                    <w14:schemeClr w14:val="tx1"/>
                  </w14:solidFill>
                </w14:textFill>
              </w:rPr>
            </w:pPr>
            <w:r>
              <w:rPr>
                <w:rFonts w:hint="eastAsia" w:ascii="宋体" w:hAnsi="宋体" w:cs="宋体"/>
                <w:color w:val="000000" w:themeColor="text1"/>
                <w:spacing w:val="-4"/>
                <w:kern w:val="21"/>
                <w:sz w:val="21"/>
                <w:szCs w:val="21"/>
                <w:highlight w:val="none"/>
                <w14:textFill>
                  <w14:solidFill>
                    <w14:schemeClr w14:val="tx1"/>
                  </w14:solidFill>
                </w14:textFill>
              </w:rPr>
              <w:t>根据</w:t>
            </w:r>
            <w:r>
              <w:rPr>
                <w:rFonts w:hint="eastAsia" w:ascii="宋体" w:hAnsi="宋体" w:cs="宋体"/>
                <w:color w:val="000000" w:themeColor="text1"/>
                <w:spacing w:val="-4"/>
                <w:kern w:val="21"/>
                <w:sz w:val="21"/>
                <w:szCs w:val="21"/>
                <w:highlight w:val="none"/>
                <w:lang w:val="en-US" w:eastAsia="zh-CN"/>
                <w14:textFill>
                  <w14:solidFill>
                    <w14:schemeClr w14:val="tx1"/>
                  </w14:solidFill>
                </w14:textFill>
              </w:rPr>
              <w:t>投标人提供</w:t>
            </w:r>
            <w:r>
              <w:rPr>
                <w:rFonts w:hint="eastAsia" w:ascii="宋体" w:hAnsi="宋体" w:cs="宋体"/>
                <w:color w:val="000000" w:themeColor="text1"/>
                <w:spacing w:val="-4"/>
                <w:kern w:val="21"/>
                <w:sz w:val="21"/>
                <w:szCs w:val="21"/>
                <w:highlight w:val="none"/>
                <w14:textFill>
                  <w14:solidFill>
                    <w14:schemeClr w14:val="tx1"/>
                  </w14:solidFill>
                </w14:textFill>
              </w:rPr>
              <w:t>样品</w:t>
            </w:r>
            <w:r>
              <w:rPr>
                <w:rFonts w:hint="eastAsia" w:ascii="宋体" w:hAnsi="宋体" w:cs="宋体"/>
                <w:color w:val="000000" w:themeColor="text1"/>
                <w:spacing w:val="-4"/>
                <w:kern w:val="21"/>
                <w:sz w:val="21"/>
                <w:szCs w:val="21"/>
                <w:highlight w:val="none"/>
                <w:lang w:val="en-US" w:eastAsia="zh-CN"/>
                <w14:textFill>
                  <w14:solidFill>
                    <w14:schemeClr w14:val="tx1"/>
                  </w14:solidFill>
                </w14:textFill>
              </w:rPr>
              <w:t>的</w:t>
            </w:r>
            <w:r>
              <w:rPr>
                <w:rFonts w:hint="eastAsia" w:ascii="宋体" w:hAnsi="宋体" w:cs="宋体"/>
                <w:color w:val="000000" w:themeColor="text1"/>
                <w:spacing w:val="-4"/>
                <w:kern w:val="21"/>
                <w:sz w:val="21"/>
                <w:szCs w:val="21"/>
                <w:highlight w:val="none"/>
                <w14:textFill>
                  <w14:solidFill>
                    <w14:schemeClr w14:val="tx1"/>
                  </w14:solidFill>
                </w14:textFill>
              </w:rPr>
              <w:t>工艺、质量、材质、尺寸、规格、外观的整体效果是否响应招标文件要求，根据样品实样进行打分。</w:t>
            </w:r>
          </w:p>
          <w:p>
            <w:pPr>
              <w:keepNext w:val="0"/>
              <w:keepLines w:val="0"/>
              <w:pageBreakBefore w:val="0"/>
              <w:numPr>
                <w:ilvl w:val="0"/>
                <w:numId w:val="0"/>
              </w:numPr>
              <w:kinsoku/>
              <w:wordWrap/>
              <w:overflowPunct/>
              <w:topLinePunct w:val="0"/>
              <w:bidi w:val="0"/>
              <w:adjustRightInd/>
              <w:snapToGrid/>
              <w:textAlignment w:val="auto"/>
              <w:rPr>
                <w:rFonts w:hint="eastAsia" w:ascii="宋体" w:hAnsi="宋体" w:cs="宋体"/>
                <w:color w:val="000000" w:themeColor="text1"/>
                <w:spacing w:val="-4"/>
                <w:kern w:val="21"/>
                <w:sz w:val="21"/>
                <w:szCs w:val="21"/>
                <w:highlight w:val="none"/>
                <w14:textFill>
                  <w14:solidFill>
                    <w14:schemeClr w14:val="tx1"/>
                  </w14:solidFill>
                </w14:textFill>
              </w:rPr>
            </w:pPr>
            <w:r>
              <w:rPr>
                <w:rFonts w:hint="eastAsia" w:ascii="宋体" w:hAnsi="宋体" w:eastAsia="宋体" w:cs="宋体"/>
                <w:b/>
                <w:bCs/>
                <w:color w:val="000000" w:themeColor="text1"/>
                <w:spacing w:val="-4"/>
                <w:kern w:val="21"/>
                <w:sz w:val="21"/>
                <w:szCs w:val="21"/>
                <w:highlight w:val="none"/>
                <w:lang w:val="en-US" w:eastAsia="zh-CN" w:bidi="ar-SA"/>
                <w14:textFill>
                  <w14:solidFill>
                    <w14:schemeClr w14:val="tx1"/>
                  </w14:solidFill>
                </w14:textFill>
              </w:rPr>
              <w:t>一、</w:t>
            </w:r>
            <w:r>
              <w:rPr>
                <w:rFonts w:hint="eastAsia" w:ascii="宋体" w:hAnsi="宋体" w:cs="宋体"/>
                <w:b/>
                <w:bCs/>
                <w:color w:val="000000" w:themeColor="text1"/>
                <w:spacing w:val="-4"/>
                <w:kern w:val="21"/>
                <w:sz w:val="21"/>
                <w:szCs w:val="21"/>
                <w:highlight w:val="none"/>
                <w14:textFill>
                  <w14:solidFill>
                    <w14:schemeClr w14:val="tx1"/>
                  </w14:solidFill>
                </w14:textFill>
              </w:rPr>
              <w:t>物理实验桌（C型结构）、实验椅一套</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1、实验桌规格尺寸：1200*600*780mm，采用C字型镂空结构,实验椅规格尺寸：315*330*440mm。实验桌台面：采用≥13mm瓷土黄实芯优抗板，经机械打磨，表面光滑平整，无缝隙，整体美观大方，后部根据桌架形状铣边镶入框架中，防止台面起翘、变形、脱落。</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2、实验桌后挡板：采用86*12mm壁厚1.2mm的铝型材整体拉伸成型，与左右支撑架组成半包形围栏，预留与面板匹配的卡槽，顶端高出台面≥70mm，可有效防止台面仪器向后滚落。</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3、实验椅规格尺寸：315*330*440mm。实验椅下支撑脚：下端五星脚采用PP塑料成型，直径460mm，配网状加强筋，承重，耐腐蚀。</w:t>
            </w:r>
          </w:p>
          <w:p>
            <w:pPr>
              <w:keepNext w:val="0"/>
              <w:keepLines w:val="0"/>
              <w:pageBreakBefore w:val="0"/>
              <w:tabs>
                <w:tab w:val="left" w:pos="2061"/>
              </w:tabs>
              <w:kinsoku/>
              <w:wordWrap/>
              <w:overflowPunct/>
              <w:topLinePunct w:val="0"/>
              <w:bidi w:val="0"/>
              <w:adjustRightInd/>
              <w:snapToGrid/>
              <w:textAlignment w:val="auto"/>
              <w:rPr>
                <w:rFonts w:hint="default"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物理实验桌（C型结构）、实验椅一套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样品完全满足项目要求的得3分；样品质量、材质满足项目要求，尺寸、外观有所偏差的得2分；样品质量、材质有所偏差，不能保证实物质量的得1分，未提供样品的此项不得分。</w:t>
            </w:r>
          </w:p>
          <w:p>
            <w:pPr>
              <w:keepNext w:val="0"/>
              <w:keepLines w:val="0"/>
              <w:pageBreakBefore w:val="0"/>
              <w:kinsoku/>
              <w:wordWrap/>
              <w:overflowPunct/>
              <w:topLinePunct w:val="0"/>
              <w:bidi w:val="0"/>
              <w:adjustRightInd/>
              <w:snapToGrid/>
              <w:textAlignment w:val="auto"/>
              <w:rPr>
                <w:rFonts w:ascii="宋体" w:hAnsi="宋体" w:cs="宋体"/>
                <w:color w:val="000000" w:themeColor="text1"/>
                <w:spacing w:val="-4"/>
                <w:kern w:val="21"/>
                <w:sz w:val="21"/>
                <w:szCs w:val="21"/>
                <w:highlight w:val="none"/>
                <w14:textFill>
                  <w14:solidFill>
                    <w14:schemeClr w14:val="tx1"/>
                  </w14:solidFill>
                </w14:textFill>
              </w:rPr>
            </w:pPr>
            <w:r>
              <w:rPr>
                <w:rFonts w:hint="eastAsia" w:ascii="宋体" w:hAnsi="宋体" w:cs="宋体"/>
                <w:b/>
                <w:bCs/>
                <w:color w:val="000000" w:themeColor="text1"/>
                <w:spacing w:val="-4"/>
                <w:kern w:val="21"/>
                <w:sz w:val="21"/>
                <w:szCs w:val="21"/>
                <w:highlight w:val="none"/>
                <w14:textFill>
                  <w14:solidFill>
                    <w14:schemeClr w14:val="tx1"/>
                  </w14:solidFill>
                </w14:textFill>
              </w:rPr>
              <w:t>二、物理桌面学生电源一套</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1、规格尺寸：160*80*50mm,单独安装在桌面上方，盒体为工程PC塑料模具注塑一次成型，面板与台面呈150°夹角，既便于读取参数又便于操作；</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2、面板采用耐磨、耐腐蚀的PVC薄膜面板。微电脑控制，数码实时显示电压电流值；电压表精度1%，电流表精度1.5%±5字。</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物理桌面学生电源一套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样品完全满足项目要求的得2分；样品质量、材质满足项目要求，尺寸、外观有所偏差的得1分；样品质量、材质有所偏差，不能保证实物质量的得0.5分，未提供样品的此项不得分。</w:t>
            </w:r>
          </w:p>
          <w:p>
            <w:pPr>
              <w:keepNext w:val="0"/>
              <w:keepLines w:val="0"/>
              <w:pageBreakBefore w:val="0"/>
              <w:kinsoku/>
              <w:wordWrap/>
              <w:overflowPunct/>
              <w:topLinePunct w:val="0"/>
              <w:bidi w:val="0"/>
              <w:adjustRightInd/>
              <w:snapToGrid/>
              <w:textAlignment w:val="auto"/>
              <w:rPr>
                <w:rFonts w:ascii="宋体" w:hAnsi="宋体" w:cs="宋体"/>
                <w:color w:val="000000" w:themeColor="text1"/>
                <w:spacing w:val="-4"/>
                <w:kern w:val="21"/>
                <w:sz w:val="21"/>
                <w:szCs w:val="21"/>
                <w:highlight w:val="none"/>
                <w14:textFill>
                  <w14:solidFill>
                    <w14:schemeClr w14:val="tx1"/>
                  </w14:solidFill>
                </w14:textFill>
              </w:rPr>
            </w:pPr>
            <w:r>
              <w:rPr>
                <w:rFonts w:hint="eastAsia" w:ascii="宋体" w:hAnsi="宋体" w:cs="宋体"/>
                <w:b/>
                <w:bCs/>
                <w:color w:val="000000" w:themeColor="text1"/>
                <w:spacing w:val="-4"/>
                <w:kern w:val="21"/>
                <w:sz w:val="21"/>
                <w:szCs w:val="21"/>
                <w:highlight w:val="none"/>
                <w14:textFill>
                  <w14:solidFill>
                    <w14:schemeClr w14:val="tx1"/>
                  </w14:solidFill>
                </w14:textFill>
              </w:rPr>
              <w:t>三、后墙仪器柜1.2米一张</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1、规格尺寸：1200*450*2200mm。前横梁：60*56mm壁厚1.2mm带圆弧造型铝合金型材。后横梁：60*40mm壁厚1.2mm长方体铝合金型材。</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左右支撑架：450*120*86mm壁厚2.5mmABS工程材料。前立柱：35*24mm壁厚1.2mm铝合金型材。后立柱：37*37mm壁厚1.2mm后端R25圆角的铝合金型材。</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3、上柜门内嵌4mm厚钢化玻璃，下柜门内嵌9mm中密度三聚氰胺饰面板，配以pp材料注塑一次成型的四分之一环形拉手；上下柜门的四个环形拉手组成一圆环造型，并在中间前横梁上加装专用锁具，可以一锁锁四门。</w:t>
            </w:r>
          </w:p>
          <w:p>
            <w:pPr>
              <w:keepNext w:val="0"/>
              <w:keepLines w:val="0"/>
              <w:pageBreakBefore w:val="0"/>
              <w:tabs>
                <w:tab w:val="left" w:pos="2061"/>
              </w:tabs>
              <w:kinsoku/>
              <w:wordWrap/>
              <w:overflowPunct/>
              <w:topLinePunct w:val="0"/>
              <w:bidi w:val="0"/>
              <w:adjustRightInd/>
              <w:snapToGrid/>
              <w:textAlignment w:val="auto"/>
              <w:rPr>
                <w:rFonts w:ascii="宋体" w:hAnsi="宋体" w:eastAsia="宋体" w:cs="宋体"/>
                <w:color w:val="000000" w:themeColor="text1"/>
                <w:spacing w:val="-4"/>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后墙仪器柜1.2米一张</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样品完全满足项目要求的得3分；样品质量、材质满足项目要求，尺寸、外观有所偏差的得2分；样品质量、材质有所偏差，不能保证实物质量的得1分，未提供样品的此项不得分。</w:t>
            </w:r>
          </w:p>
        </w:tc>
        <w:tc>
          <w:tcPr>
            <w:tcW w:w="659" w:type="dxa"/>
            <w:vAlign w:val="center"/>
          </w:tcPr>
          <w:p>
            <w:pPr>
              <w:keepNext w:val="0"/>
              <w:keepLines w:val="0"/>
              <w:pageBreakBefore w:val="0"/>
              <w:kinsoku/>
              <w:wordWrap/>
              <w:overflowPunct/>
              <w:topLinePunct w:val="0"/>
              <w:bidi w:val="0"/>
              <w:adjustRightInd/>
              <w:snapToGrid/>
              <w:spacing w:before="100" w:beforeAutospacing="1" w:after="100" w:afterAutospacing="1"/>
              <w:jc w:val="center"/>
              <w:textAlignment w:val="auto"/>
              <w:rPr>
                <w:rFonts w:ascii="宋体" w:hAnsi="宋体" w:eastAsia="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983" w:type="dxa"/>
            <w:vMerge w:val="continue"/>
            <w:vAlign w:val="center"/>
          </w:tcPr>
          <w:p>
            <w:pPr>
              <w:keepNext w:val="0"/>
              <w:keepLines w:val="0"/>
              <w:pageBreakBefore w:val="0"/>
              <w:kinsoku/>
              <w:wordWrap/>
              <w:overflowPunct/>
              <w:topLinePunct w:val="0"/>
              <w:bidi w:val="0"/>
              <w:adjustRightInd/>
              <w:snapToGrid/>
              <w:jc w:val="center"/>
              <w:textAlignment w:val="auto"/>
              <w:rPr>
                <w:rStyle w:val="57"/>
                <w:rFonts w:asciiTheme="minorEastAsia" w:hAnsiTheme="minorEastAsia" w:cstheme="minorEastAsia"/>
                <w:color w:val="000000" w:themeColor="text1"/>
                <w:kern w:val="21"/>
                <w:sz w:val="2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bidi w:val="0"/>
              <w:adjustRightInd/>
              <w:snapToGrid/>
              <w:jc w:val="center"/>
              <w:textAlignment w:val="auto"/>
              <w:rPr>
                <w:rStyle w:val="57"/>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宋体" w:hAnsi="宋体" w:cs="宋体"/>
                <w:color w:val="000000" w:themeColor="text1"/>
                <w:spacing w:val="-4"/>
                <w:kern w:val="21"/>
                <w:sz w:val="21"/>
                <w:szCs w:val="21"/>
                <w:highlight w:val="none"/>
                <w14:textFill>
                  <w14:solidFill>
                    <w14:schemeClr w14:val="tx1"/>
                  </w14:solidFill>
                </w14:textFill>
              </w:rPr>
              <w:t>产品功能演示</w:t>
            </w:r>
          </w:p>
        </w:tc>
        <w:tc>
          <w:tcPr>
            <w:tcW w:w="703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投标人演示需求条款当中的“</w:t>
            </w:r>
            <w:r>
              <w:rPr>
                <w:rFonts w:hint="eastAsia" w:ascii="宋体" w:hAnsi="宋体" w:eastAsia="宋体" w:cs="宋体"/>
                <w:color w:val="000000" w:themeColor="text1"/>
                <w:kern w:val="21"/>
                <w:sz w:val="21"/>
                <w:szCs w:val="21"/>
                <w:highlight w:val="none"/>
                <w:lang w:bidi="ar"/>
                <w14:textFill>
                  <w14:solidFill>
                    <w14:schemeClr w14:val="tx1"/>
                  </w14:solidFill>
                </w14:textFill>
              </w:rPr>
              <w:t>86寸教学一体机</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”产品：</w:t>
            </w:r>
          </w:p>
          <w:p>
            <w:pPr>
              <w:pStyle w:val="68"/>
              <w:keepNext w:val="0"/>
              <w:keepLines w:val="0"/>
              <w:pageBreakBefore w:val="0"/>
              <w:numPr>
                <w:ilvl w:val="0"/>
                <w:numId w:val="0"/>
              </w:numPr>
              <w:kinsoku/>
              <w:wordWrap/>
              <w:overflowPunct/>
              <w:topLinePunct w:val="0"/>
              <w:bidi w:val="0"/>
              <w:adjustRightInd/>
              <w:snapToGrid/>
              <w:spacing w:before="0" w:after="0" w:line="276" w:lineRule="auto"/>
              <w:textAlignment w:val="auto"/>
              <w:rPr>
                <w:rFonts w:hint="eastAsia" w:ascii="宋体" w:hAnsi="宋体" w:eastAsia="宋体" w:cs="宋体"/>
                <w:b/>
                <w:bCs/>
                <w:color w:val="000000" w:themeColor="text1"/>
                <w:kern w:val="21"/>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21"/>
                <w:sz w:val="21"/>
                <w:szCs w:val="21"/>
                <w:lang w:val="en-US" w:eastAsia="zh-CN" w:bidi="ar"/>
                <w14:textFill>
                  <w14:solidFill>
                    <w14:schemeClr w14:val="tx1"/>
                  </w14:solidFill>
                </w14:textFill>
              </w:rPr>
              <w:t>1、</w:t>
            </w:r>
            <w:r>
              <w:rPr>
                <w:rFonts w:hint="eastAsia" w:ascii="宋体" w:hAnsi="宋体" w:eastAsia="宋体" w:cs="宋体"/>
                <w:b/>
                <w:bCs/>
                <w:color w:val="000000" w:themeColor="text1"/>
                <w:kern w:val="21"/>
                <w:sz w:val="21"/>
                <w:szCs w:val="21"/>
                <w:highlight w:val="none"/>
                <w:lang w:bidi="ar"/>
                <w14:textFill>
                  <w14:solidFill>
                    <w14:schemeClr w14:val="tx1"/>
                  </w14:solidFill>
                </w14:textFill>
              </w:rPr>
              <w:t>开关机、联网、连接蓝牙、连接外置摄像头、连接蓝牙遥控笔、连接实物视频展台</w:t>
            </w:r>
            <w:r>
              <w:rPr>
                <w:rFonts w:hint="eastAsia" w:ascii="宋体" w:hAnsi="宋体" w:eastAsia="宋体" w:cs="宋体"/>
                <w:b/>
                <w:bCs/>
                <w:color w:val="000000" w:themeColor="text1"/>
                <w:kern w:val="21"/>
                <w:sz w:val="21"/>
                <w:szCs w:val="21"/>
                <w:highlight w:val="none"/>
                <w:lang w:val="en-US" w:eastAsia="zh-CN" w:bidi="ar"/>
                <w14:textFill>
                  <w14:solidFill>
                    <w14:schemeClr w14:val="tx1"/>
                  </w14:solidFill>
                </w14:textFill>
              </w:rPr>
              <w:t>演示。</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演示</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内容符合采购需求的得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分；</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演示</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内容有欠缺的得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1分；</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未</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提供演示该项</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不得分。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b/>
                <w:bCs/>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b/>
                <w:bCs/>
                <w:color w:val="000000" w:themeColor="text1"/>
                <w:kern w:val="21"/>
                <w:sz w:val="21"/>
                <w:szCs w:val="21"/>
                <w:highlight w:val="none"/>
                <w:lang w:val="en-US" w:eastAsia="zh-CN"/>
                <w14:textFill>
                  <w14:solidFill>
                    <w14:schemeClr w14:val="tx1"/>
                  </w14:solidFill>
                </w14:textFill>
              </w:rPr>
              <w:t>2、软件功能展示</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（1）投影功能：将电脑或其他设备上的教学内容投影到屏幕上，使得学生可以更加清晰地看到教学内容。教师可以通过投影功能来展示自己的教学思路和方法，更好地引导学生进行学习。</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（2）电脑控制功能：可以通过电脑控制功能来对电脑进行远程控制。教师可以通过这个功能来控制电脑上的教学内容，更加便利地进行教学。</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（3）互动白板功能：可以将屏幕变成一个大型的白板，教师可以在屏幕上进行书写、画图等操作，更加生动地展示教学内容。学生也可以在屏幕上进行互动操作，更好地参与到教学活动中。</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（4）多媒体播放功能：播放各种教学资源，例如视频、音频、图片等。这些教学资源可以丰富教学内容，</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（5）网络连接功能：连接互联网，可以浏览各种教学资源，例如网络课程、电子书籍等。教师也可以通过网络连接功能来进行教学交流和互动。</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（6）实物展台拍摄讲台上的实验仪器，并同步到一体机屏幕上，图像可以放大缩小。</w:t>
            </w:r>
          </w:p>
          <w:p>
            <w:pPr>
              <w:keepNext w:val="0"/>
              <w:keepLines w:val="0"/>
              <w:pageBreakBefore w:val="0"/>
              <w:tabs>
                <w:tab w:val="left" w:pos="2061"/>
              </w:tabs>
              <w:kinsoku/>
              <w:wordWrap/>
              <w:overflowPunct/>
              <w:topLinePunct w:val="0"/>
              <w:bidi w:val="0"/>
              <w:adjustRightInd/>
              <w:snapToGrid/>
              <w:textAlignment w:val="auto"/>
              <w:rPr>
                <w:rFonts w:hint="eastAsia" w:eastAsia="宋体"/>
                <w:color w:val="000000" w:themeColor="text1"/>
                <w:kern w:val="21"/>
                <w:sz w:val="21"/>
                <w:highlight w:val="none"/>
                <w:lang w:val="zh-CN"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演示内容完全符合采购需求的得3分；演示内容基本符合采购需求的得2分；演示内容有欠缺的得1分，未提供演示该项不得分。</w:t>
            </w:r>
          </w:p>
        </w:tc>
        <w:tc>
          <w:tcPr>
            <w:tcW w:w="659"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6" w:type="dxa"/>
            <w:gridSpan w:val="2"/>
            <w:vAlign w:val="center"/>
          </w:tcPr>
          <w:p>
            <w:pPr>
              <w:keepNext w:val="0"/>
              <w:keepLines w:val="0"/>
              <w:pageBreakBefore w:val="0"/>
              <w:kinsoku/>
              <w:wordWrap/>
              <w:overflowPunct/>
              <w:topLinePunct w:val="0"/>
              <w:bidi w:val="0"/>
              <w:adjustRightInd/>
              <w:snapToGrid/>
              <w:jc w:val="center"/>
              <w:textAlignment w:val="auto"/>
              <w:rPr>
                <w:rStyle w:val="57"/>
                <w:rFonts w:asciiTheme="minorEastAsia" w:hAnsiTheme="minorEastAsia" w:cstheme="minorEastAsia"/>
                <w:color w:val="000000" w:themeColor="text1"/>
                <w:kern w:val="0"/>
                <w:szCs w:val="21"/>
                <w:highlight w:val="none"/>
                <w14:textFill>
                  <w14:solidFill>
                    <w14:schemeClr w14:val="tx1"/>
                  </w14:solidFill>
                </w14:textFill>
              </w:rPr>
            </w:pPr>
            <w:r>
              <w:rPr>
                <w:rStyle w:val="57"/>
                <w:rFonts w:hint="eastAsia" w:asciiTheme="minorEastAsia" w:hAnsiTheme="minorEastAsia" w:cstheme="minorEastAsia"/>
                <w:color w:val="000000" w:themeColor="text1"/>
                <w:kern w:val="0"/>
                <w:szCs w:val="21"/>
                <w:highlight w:val="none"/>
                <w14:textFill>
                  <w14:solidFill>
                    <w14:schemeClr w14:val="tx1"/>
                  </w14:solidFill>
                </w14:textFill>
              </w:rPr>
              <w:t>价格</w:t>
            </w: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0"/>
                <w:szCs w:val="21"/>
                <w:highlight w:val="none"/>
                <w14:textFill>
                  <w14:solidFill>
                    <w14:schemeClr w14:val="tx1"/>
                  </w14:solidFill>
                </w14:textFill>
              </w:rPr>
            </w:pPr>
            <w:r>
              <w:rPr>
                <w:rStyle w:val="57"/>
                <w:rFonts w:hint="eastAsia" w:asciiTheme="minorEastAsia" w:hAnsiTheme="minorEastAsia" w:cstheme="minorEastAsia"/>
                <w:color w:val="000000" w:themeColor="text1"/>
                <w:kern w:val="0"/>
                <w:szCs w:val="21"/>
                <w:highlight w:val="none"/>
                <w14:textFill>
                  <w14:solidFill>
                    <w14:schemeClr w14:val="tx1"/>
                  </w14:solidFill>
                </w14:textFill>
              </w:rPr>
              <w:t>（30分）</w:t>
            </w:r>
          </w:p>
        </w:tc>
        <w:tc>
          <w:tcPr>
            <w:tcW w:w="7033" w:type="dxa"/>
            <w:vAlign w:val="center"/>
          </w:tcPr>
          <w:p>
            <w:pPr>
              <w:keepNext w:val="0"/>
              <w:keepLines w:val="0"/>
              <w:pageBreakBefore w:val="0"/>
              <w:kinsoku/>
              <w:wordWrap/>
              <w:overflowPunct/>
              <w:topLinePunct w:val="0"/>
              <w:bidi w:val="0"/>
              <w:adjustRightInd/>
              <w:snapToGrid/>
              <w:textAlignment w:val="auto"/>
              <w:rPr>
                <w:rFonts w:asciiTheme="minorEastAsia" w:hAnsi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取投标合格供应商的投标最终报价最低价</w:t>
            </w:r>
            <w:r>
              <w:rPr>
                <w:rFonts w:hint="eastAsia" w:asciiTheme="minorEastAsia" w:hAnsiTheme="minorEastAsia" w:cstheme="minorEastAsia"/>
                <w:color w:val="000000" w:themeColor="text1"/>
                <w:szCs w:val="21"/>
                <w:highlight w:val="none"/>
                <w:lang w:val="zh-CN"/>
                <w14:textFill>
                  <w14:solidFill>
                    <w14:schemeClr w14:val="tx1"/>
                  </w14:solidFill>
                </w14:textFill>
              </w:rPr>
              <w:t>为评标基准价，</w:t>
            </w:r>
            <w:r>
              <w:rPr>
                <w:rFonts w:hint="eastAsia" w:asciiTheme="minorEastAsia" w:hAnsiTheme="minorEastAsia" w:cstheme="minorEastAsia"/>
                <w:color w:val="000000" w:themeColor="text1"/>
                <w:szCs w:val="21"/>
                <w:highlight w:val="none"/>
                <w14:textFill>
                  <w14:solidFill>
                    <w14:schemeClr w14:val="tx1"/>
                  </w14:solidFill>
                </w14:textFill>
              </w:rPr>
              <w:t>基准价为30分</w:t>
            </w:r>
            <w:r>
              <w:rPr>
                <w:rFonts w:hint="eastAsia" w:asciiTheme="minorEastAsia" w:hAnsiTheme="minorEastAsia" w:cstheme="minorEastAsia"/>
                <w:color w:val="000000" w:themeColor="text1"/>
                <w:szCs w:val="21"/>
                <w:highlight w:val="none"/>
                <w:lang w:val="zh-CN"/>
                <w14:textFill>
                  <w14:solidFill>
                    <w14:schemeClr w14:val="tx1"/>
                  </w14:solidFill>
                </w14:textFill>
              </w:rPr>
              <w:t>。</w:t>
            </w:r>
          </w:p>
          <w:p>
            <w:pPr>
              <w:keepNext w:val="0"/>
              <w:keepLines w:val="0"/>
              <w:pageBreakBefore w:val="0"/>
              <w:kinsoku/>
              <w:wordWrap/>
              <w:overflowPunct/>
              <w:topLinePunct w:val="0"/>
              <w:bidi w:val="0"/>
              <w:adjustRightInd/>
              <w:snapToGrid/>
              <w:textAlignment w:val="auto"/>
              <w:rPr>
                <w:rFonts w:asciiTheme="minorEastAsia" w:hAnsiTheme="minorEastAsia" w:cstheme="minorEastAsia"/>
                <w:color w:val="000000" w:themeColor="text1"/>
                <w:spacing w:val="-4"/>
                <w:kern w:val="0"/>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lang w:val="zh-CN"/>
                <w14:textFill>
                  <w14:solidFill>
                    <w14:schemeClr w14:val="tx1"/>
                  </w14:solidFill>
                </w14:textFill>
              </w:rPr>
              <w:t>投标报价得分=(评标基准价／投标报价)×</w:t>
            </w:r>
            <w:r>
              <w:rPr>
                <w:rFonts w:hint="eastAsia" w:asciiTheme="minorEastAsia" w:hAnsiTheme="minorEastAsia" w:cstheme="minorEastAsia"/>
                <w:color w:val="000000" w:themeColor="text1"/>
                <w:szCs w:val="21"/>
                <w:highlight w:val="none"/>
                <w14:textFill>
                  <w14:solidFill>
                    <w14:schemeClr w14:val="tx1"/>
                  </w14:solidFill>
                </w14:textFill>
              </w:rPr>
              <w:t>30</w:t>
            </w:r>
            <w:r>
              <w:rPr>
                <w:rFonts w:hint="eastAsia" w:asciiTheme="minorEastAsia" w:hAnsiTheme="minorEastAsia" w:cstheme="minorEastAsia"/>
                <w:color w:val="000000" w:themeColor="text1"/>
                <w:szCs w:val="21"/>
                <w:highlight w:val="none"/>
                <w:lang w:val="zh-CN"/>
                <w14:textFill>
                  <w14:solidFill>
                    <w14:schemeClr w14:val="tx1"/>
                  </w14:solidFill>
                </w14:textFill>
              </w:rPr>
              <w:t>%×100。（</w:t>
            </w:r>
            <w:r>
              <w:rPr>
                <w:rFonts w:hint="eastAsia" w:asciiTheme="minorEastAsia" w:hAnsiTheme="minorEastAsia" w:cstheme="minorEastAsia"/>
                <w:color w:val="000000" w:themeColor="text1"/>
                <w:szCs w:val="21"/>
                <w:highlight w:val="none"/>
                <w14:textFill>
                  <w14:solidFill>
                    <w14:schemeClr w14:val="tx1"/>
                  </w14:solidFill>
                </w14:textFill>
              </w:rPr>
              <w:t>小数点后保留2位小数</w:t>
            </w:r>
            <w:r>
              <w:rPr>
                <w:rFonts w:hint="eastAsia" w:asciiTheme="minorEastAsia" w:hAnsiTheme="minorEastAsia" w:cstheme="minorEastAsia"/>
                <w:color w:val="000000" w:themeColor="text1"/>
                <w:szCs w:val="21"/>
                <w:highlight w:val="none"/>
                <w:lang w:val="zh-CN"/>
                <w14:textFill>
                  <w14:solidFill>
                    <w14:schemeClr w14:val="tx1"/>
                  </w14:solidFill>
                </w14:textFill>
              </w:rPr>
              <w:t>）。</w:t>
            </w:r>
          </w:p>
        </w:tc>
        <w:tc>
          <w:tcPr>
            <w:tcW w:w="659"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30</w:t>
            </w:r>
          </w:p>
        </w:tc>
      </w:tr>
    </w:tbl>
    <w:p>
      <w:pPr>
        <w:pStyle w:val="8"/>
        <w:ind w:firstLine="0" w:firstLineChars="0"/>
        <w:rPr>
          <w:rFonts w:hint="eastAsia" w:ascii="宋体" w:hAnsi="宋体" w:eastAsia="宋体" w:cs="宋体"/>
          <w:color w:val="000000" w:themeColor="text1"/>
          <w:highlight w:val="none"/>
          <w14:textFill>
            <w14:solidFill>
              <w14:schemeClr w14:val="tx1"/>
            </w14:solidFill>
          </w14:textFill>
        </w:rPr>
        <w:sectPr>
          <w:pgSz w:w="11906" w:h="16838"/>
          <w:pgMar w:top="1440" w:right="1440" w:bottom="1440" w:left="1803" w:header="851" w:footer="992" w:gutter="0"/>
          <w:pgNumType w:fmt="decimal"/>
          <w:cols w:space="0" w:num="1"/>
          <w:docGrid w:type="lines" w:linePitch="325" w:charSpace="0"/>
        </w:sectPr>
      </w:pPr>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投标人通过录制视频方式进行展示,时间不超过10分钟，</w:t>
      </w: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超时部分不予演示，</w:t>
      </w:r>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无演示的此项不得分。</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提供视频演示的各投标人将需演示的部分自行演示并录制成视频制作在 U 盘中，录制视频时长</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 xml:space="preserve"> 1</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0 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演示、图片原型或方案等）演示，此项不得分。评委观看演示视频按招标文件评分项进行评分。</w:t>
      </w:r>
    </w:p>
    <w:p>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第四章 公开招标需求</w:t>
      </w:r>
    </w:p>
    <w:p>
      <w:pPr>
        <w:tabs>
          <w:tab w:val="left" w:pos="8280"/>
        </w:tabs>
        <w:autoSpaceDE w:val="0"/>
        <w:autoSpaceDN w:val="0"/>
        <w:adjustRightInd w:val="0"/>
        <w:spacing w:line="360" w:lineRule="auto"/>
        <w:ind w:right="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本次招标共</w:t>
      </w: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 xml:space="preserve"> 1</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个标段，具体内容如下表：</w:t>
      </w:r>
    </w:p>
    <w:tbl>
      <w:tblPr>
        <w:tblStyle w:val="2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559"/>
        <w:gridCol w:w="1590"/>
        <w:gridCol w:w="675"/>
        <w:gridCol w:w="750"/>
        <w:gridCol w:w="1215"/>
        <w:gridCol w:w="114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1" w:type="dxa"/>
            <w:vAlign w:val="center"/>
          </w:tcPr>
          <w:p>
            <w:pPr>
              <w:tabs>
                <w:tab w:val="left" w:pos="8280"/>
              </w:tabs>
              <w:autoSpaceDE w:val="0"/>
              <w:autoSpaceDN w:val="0"/>
              <w:adjustRightInd w:val="0"/>
              <w:spacing w:line="240" w:lineRule="auto"/>
              <w:ind w:right="25"/>
              <w:jc w:val="center"/>
              <w:rPr>
                <w:rFonts w:hint="eastAsia" w:ascii="宋体" w:hAnsi="宋体" w:eastAsia="宋体" w:cs="宋体"/>
                <w:b/>
                <w:color w:val="000000" w:themeColor="text1"/>
                <w:sz w:val="21"/>
                <w:szCs w:val="21"/>
                <w:highlight w:val="none"/>
                <w:lang w:val="en-US"/>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标段号</w:t>
            </w:r>
          </w:p>
        </w:tc>
        <w:tc>
          <w:tcPr>
            <w:tcW w:w="2559" w:type="dxa"/>
            <w:vAlign w:val="center"/>
          </w:tcPr>
          <w:p>
            <w:pPr>
              <w:tabs>
                <w:tab w:val="left" w:pos="8280"/>
              </w:tabs>
              <w:autoSpaceDE w:val="0"/>
              <w:autoSpaceDN w:val="0"/>
              <w:adjustRightInd w:val="0"/>
              <w:spacing w:line="240" w:lineRule="auto"/>
              <w:ind w:right="2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项目名称</w:t>
            </w:r>
          </w:p>
        </w:tc>
        <w:tc>
          <w:tcPr>
            <w:tcW w:w="1590" w:type="dxa"/>
            <w:vAlign w:val="center"/>
          </w:tcPr>
          <w:p>
            <w:pPr>
              <w:tabs>
                <w:tab w:val="left" w:pos="8280"/>
              </w:tabs>
              <w:autoSpaceDE w:val="0"/>
              <w:autoSpaceDN w:val="0"/>
              <w:adjustRightInd w:val="0"/>
              <w:spacing w:line="240" w:lineRule="auto"/>
              <w:ind w:right="2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简要技术要求</w:t>
            </w:r>
          </w:p>
        </w:tc>
        <w:tc>
          <w:tcPr>
            <w:tcW w:w="675" w:type="dxa"/>
            <w:vAlign w:val="center"/>
          </w:tcPr>
          <w:p>
            <w:pPr>
              <w:tabs>
                <w:tab w:val="left" w:pos="8280"/>
              </w:tabs>
              <w:autoSpaceDE w:val="0"/>
              <w:autoSpaceDN w:val="0"/>
              <w:adjustRightInd w:val="0"/>
              <w:spacing w:line="240" w:lineRule="auto"/>
              <w:ind w:right="2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750" w:type="dxa"/>
            <w:vAlign w:val="center"/>
          </w:tcPr>
          <w:p>
            <w:pPr>
              <w:tabs>
                <w:tab w:val="left" w:pos="8280"/>
              </w:tabs>
              <w:autoSpaceDE w:val="0"/>
              <w:autoSpaceDN w:val="0"/>
              <w:adjustRightInd w:val="0"/>
              <w:spacing w:line="240" w:lineRule="auto"/>
              <w:ind w:right="2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单位</w:t>
            </w:r>
          </w:p>
        </w:tc>
        <w:tc>
          <w:tcPr>
            <w:tcW w:w="1215" w:type="dxa"/>
            <w:vAlign w:val="center"/>
          </w:tcPr>
          <w:p>
            <w:pPr>
              <w:tabs>
                <w:tab w:val="left" w:pos="8280"/>
              </w:tabs>
              <w:autoSpaceDE w:val="0"/>
              <w:autoSpaceDN w:val="0"/>
              <w:adjustRightInd w:val="0"/>
              <w:spacing w:line="240" w:lineRule="auto"/>
              <w:ind w:right="2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预算</w:t>
            </w:r>
          </w:p>
          <w:p>
            <w:pPr>
              <w:tabs>
                <w:tab w:val="left" w:pos="8280"/>
              </w:tabs>
              <w:autoSpaceDE w:val="0"/>
              <w:autoSpaceDN w:val="0"/>
              <w:adjustRightInd w:val="0"/>
              <w:spacing w:line="240" w:lineRule="auto"/>
              <w:ind w:right="2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（万元）</w:t>
            </w:r>
          </w:p>
        </w:tc>
        <w:tc>
          <w:tcPr>
            <w:tcW w:w="1144" w:type="dxa"/>
            <w:vAlign w:val="center"/>
          </w:tcPr>
          <w:p>
            <w:pPr>
              <w:tabs>
                <w:tab w:val="left" w:pos="8280"/>
              </w:tabs>
              <w:autoSpaceDE w:val="0"/>
              <w:autoSpaceDN w:val="0"/>
              <w:adjustRightInd w:val="0"/>
              <w:spacing w:line="240" w:lineRule="auto"/>
              <w:ind w:right="25"/>
              <w:jc w:val="center"/>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最高限价（万元）</w:t>
            </w:r>
          </w:p>
        </w:tc>
        <w:tc>
          <w:tcPr>
            <w:tcW w:w="672" w:type="dxa"/>
            <w:vAlign w:val="center"/>
          </w:tcPr>
          <w:p>
            <w:pPr>
              <w:tabs>
                <w:tab w:val="left" w:pos="8280"/>
              </w:tabs>
              <w:autoSpaceDE w:val="0"/>
              <w:autoSpaceDN w:val="0"/>
              <w:adjustRightInd w:val="0"/>
              <w:spacing w:line="240" w:lineRule="auto"/>
              <w:ind w:right="25"/>
              <w:jc w:val="center"/>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vAlign w:val="center"/>
          </w:tcPr>
          <w:p>
            <w:pPr>
              <w:tabs>
                <w:tab w:val="left" w:pos="8280"/>
              </w:tabs>
              <w:autoSpaceDE w:val="0"/>
              <w:autoSpaceDN w:val="0"/>
              <w:adjustRightInd w:val="0"/>
              <w:spacing w:line="240" w:lineRule="auto"/>
              <w:ind w:right="2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p>
        </w:tc>
        <w:tc>
          <w:tcPr>
            <w:tcW w:w="2559" w:type="dxa"/>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物理实验室、准备室、教室多媒体设备采购项目</w:t>
            </w:r>
          </w:p>
        </w:tc>
        <w:tc>
          <w:tcPr>
            <w:tcW w:w="1590" w:type="dxa"/>
            <w:vAlign w:val="center"/>
          </w:tcPr>
          <w:p>
            <w:pPr>
              <w:tabs>
                <w:tab w:val="left" w:pos="8280"/>
              </w:tabs>
              <w:autoSpaceDE w:val="0"/>
              <w:autoSpaceDN w:val="0"/>
              <w:adjustRightInd w:val="0"/>
              <w:spacing w:line="240" w:lineRule="auto"/>
              <w:ind w:right="2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详见招标文件</w:t>
            </w:r>
          </w:p>
        </w:tc>
        <w:tc>
          <w:tcPr>
            <w:tcW w:w="675" w:type="dxa"/>
            <w:vAlign w:val="center"/>
          </w:tcPr>
          <w:p>
            <w:pPr>
              <w:tabs>
                <w:tab w:val="left" w:pos="8280"/>
              </w:tabs>
              <w:autoSpaceDE w:val="0"/>
              <w:autoSpaceDN w:val="0"/>
              <w:adjustRightInd w:val="0"/>
              <w:spacing w:line="240" w:lineRule="auto"/>
              <w:ind w:right="2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750" w:type="dxa"/>
            <w:vAlign w:val="center"/>
          </w:tcPr>
          <w:p>
            <w:pPr>
              <w:tabs>
                <w:tab w:val="left" w:pos="8280"/>
              </w:tabs>
              <w:autoSpaceDE w:val="0"/>
              <w:autoSpaceDN w:val="0"/>
              <w:adjustRightInd w:val="0"/>
              <w:spacing w:line="240" w:lineRule="auto"/>
              <w:ind w:right="2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p>
        </w:tc>
        <w:tc>
          <w:tcPr>
            <w:tcW w:w="1215" w:type="dxa"/>
            <w:vAlign w:val="center"/>
          </w:tcPr>
          <w:p>
            <w:pPr>
              <w:tabs>
                <w:tab w:val="left" w:pos="8280"/>
              </w:tabs>
              <w:autoSpaceDE w:val="0"/>
              <w:autoSpaceDN w:val="0"/>
              <w:adjustRightInd w:val="0"/>
              <w:spacing w:line="240" w:lineRule="auto"/>
              <w:ind w:right="2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60.2586</w:t>
            </w:r>
          </w:p>
        </w:tc>
        <w:tc>
          <w:tcPr>
            <w:tcW w:w="1144" w:type="dxa"/>
            <w:vAlign w:val="center"/>
          </w:tcPr>
          <w:p>
            <w:pPr>
              <w:tabs>
                <w:tab w:val="left" w:pos="8280"/>
              </w:tabs>
              <w:autoSpaceDE w:val="0"/>
              <w:autoSpaceDN w:val="0"/>
              <w:adjustRightInd w:val="0"/>
              <w:spacing w:line="240" w:lineRule="auto"/>
              <w:ind w:right="25"/>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60.23</w:t>
            </w:r>
          </w:p>
        </w:tc>
        <w:tc>
          <w:tcPr>
            <w:tcW w:w="672" w:type="dxa"/>
            <w:vAlign w:val="center"/>
          </w:tcPr>
          <w:p>
            <w:pPr>
              <w:tabs>
                <w:tab w:val="left" w:pos="8280"/>
              </w:tabs>
              <w:autoSpaceDE w:val="0"/>
              <w:autoSpaceDN w:val="0"/>
              <w:adjustRightInd w:val="0"/>
              <w:spacing w:line="360" w:lineRule="auto"/>
              <w:ind w:right="25"/>
              <w:jc w:val="both"/>
              <w:rPr>
                <w:rFonts w:hint="eastAsia" w:ascii="宋体" w:hAnsi="宋体" w:eastAsia="宋体" w:cs="宋体"/>
                <w:color w:val="000000" w:themeColor="text1"/>
                <w:sz w:val="21"/>
                <w:szCs w:val="21"/>
                <w:highlight w:val="none"/>
                <w14:textFill>
                  <w14:solidFill>
                    <w14:schemeClr w14:val="tx1"/>
                  </w14:solidFill>
                </w14:textFill>
              </w:rPr>
            </w:pPr>
          </w:p>
        </w:tc>
      </w:tr>
    </w:tbl>
    <w:p>
      <w:pPr>
        <w:tabs>
          <w:tab w:val="left" w:pos="8280"/>
        </w:tabs>
        <w:autoSpaceDE w:val="0"/>
        <w:autoSpaceDN w:val="0"/>
        <w:adjustRightInd w:val="0"/>
        <w:spacing w:line="360" w:lineRule="auto"/>
        <w:ind w:right="25"/>
        <w:rPr>
          <w:rFonts w:hint="eastAsia" w:ascii="宋体" w:hAnsi="宋体" w:eastAsia="宋体" w:cs="宋体"/>
          <w:b/>
          <w:color w:val="000000" w:themeColor="text1"/>
          <w:sz w:val="24"/>
          <w:szCs w:val="24"/>
          <w:highlight w:val="none"/>
          <w14:textFill>
            <w14:solidFill>
              <w14:schemeClr w14:val="tx1"/>
            </w14:solidFill>
          </w14:textFill>
        </w:rPr>
      </w:pPr>
    </w:p>
    <w:p>
      <w:pPr>
        <w:pStyle w:val="52"/>
        <w:numPr>
          <w:ilvl w:val="0"/>
          <w:numId w:val="0"/>
        </w:numPr>
        <w:spacing w:line="360" w:lineRule="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二、设备采购汇总表</w:t>
      </w:r>
    </w:p>
    <w:tbl>
      <w:tblPr>
        <w:tblStyle w:val="22"/>
        <w:tblW w:w="8286" w:type="dxa"/>
        <w:tblInd w:w="93" w:type="dxa"/>
        <w:tblLayout w:type="fixed"/>
        <w:tblCellMar>
          <w:top w:w="0" w:type="dxa"/>
          <w:left w:w="108" w:type="dxa"/>
          <w:bottom w:w="0" w:type="dxa"/>
          <w:right w:w="108" w:type="dxa"/>
        </w:tblCellMar>
      </w:tblPr>
      <w:tblGrid>
        <w:gridCol w:w="1200"/>
        <w:gridCol w:w="3180"/>
        <w:gridCol w:w="1155"/>
        <w:gridCol w:w="1200"/>
        <w:gridCol w:w="1551"/>
      </w:tblGrid>
      <w:tr>
        <w:tblPrEx>
          <w:tblCellMar>
            <w:top w:w="0" w:type="dxa"/>
            <w:left w:w="108" w:type="dxa"/>
            <w:bottom w:w="0" w:type="dxa"/>
            <w:right w:w="108"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序号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教室名称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单位</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备注</w:t>
            </w:r>
          </w:p>
        </w:tc>
      </w:tr>
      <w:tr>
        <w:tblPrEx>
          <w:tblCellMar>
            <w:top w:w="0" w:type="dxa"/>
            <w:left w:w="108" w:type="dxa"/>
            <w:bottom w:w="0" w:type="dxa"/>
            <w:right w:w="108" w:type="dxa"/>
          </w:tblCellMar>
        </w:tblPrEx>
        <w:trPr>
          <w:trHeight w:val="7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物理热学实验室</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室</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物理实验桌椅</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批</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10间物理实验室后排仪器柜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批</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物理准备室</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室</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8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物理基础实验室</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室</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7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6间教室多媒体</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套</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p>
        </w:tc>
      </w:tr>
    </w:tbl>
    <w:p>
      <w:pPr>
        <w:pStyle w:val="52"/>
        <w:numPr>
          <w:ilvl w:val="0"/>
          <w:numId w:val="0"/>
        </w:num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p>
    <w:p>
      <w:pPr>
        <w:spacing w:line="360" w:lineRule="auto"/>
        <w:rPr>
          <w:rFonts w:hint="eastAsia" w:ascii="宋体" w:hAnsi="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cs="宋体"/>
          <w:b/>
          <w:color w:val="000000" w:themeColor="text1"/>
          <w:sz w:val="21"/>
          <w:szCs w:val="21"/>
          <w:highlight w:val="none"/>
          <w:lang w:val="en-US" w:eastAsia="zh-CN"/>
          <w14:textFill>
            <w14:solidFill>
              <w14:schemeClr w14:val="tx1"/>
            </w14:solidFill>
          </w14:textFill>
        </w:rPr>
        <w:t>详细清单</w:t>
      </w:r>
    </w:p>
    <w:tbl>
      <w:tblPr>
        <w:tblStyle w:val="22"/>
        <w:tblW w:w="5234" w:type="pct"/>
        <w:tblInd w:w="-399" w:type="dxa"/>
        <w:tblLayout w:type="fixed"/>
        <w:tblCellMar>
          <w:top w:w="0" w:type="dxa"/>
          <w:left w:w="108" w:type="dxa"/>
          <w:bottom w:w="0" w:type="dxa"/>
          <w:right w:w="108" w:type="dxa"/>
        </w:tblCellMar>
      </w:tblPr>
      <w:tblGrid>
        <w:gridCol w:w="471"/>
        <w:gridCol w:w="1179"/>
        <w:gridCol w:w="4499"/>
        <w:gridCol w:w="446"/>
        <w:gridCol w:w="455"/>
        <w:gridCol w:w="1871"/>
      </w:tblGrid>
      <w:tr>
        <w:tblPrEx>
          <w:tblCellMar>
            <w:top w:w="0" w:type="dxa"/>
            <w:left w:w="108" w:type="dxa"/>
            <w:bottom w:w="0" w:type="dxa"/>
            <w:right w:w="108" w:type="dxa"/>
          </w:tblCellMar>
        </w:tblPrEx>
        <w:trPr>
          <w:trHeight w:val="32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路桥中学物理热学实验室设备</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产品名称</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型号规格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图片</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升降教师演示台</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尺寸：2400*700*850(直流电机、升降范围850-1250)㎜ </w:t>
            </w:r>
          </w:p>
          <w:p>
            <w:pPr>
              <w:widowControl/>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台面：采用≥13mm瓷土黄实芯优抗板，圆周加厚处理，总厚度为25.4mm,四角圆角,四边磨边。</w:t>
            </w:r>
          </w:p>
          <w:p>
            <w:pPr>
              <w:widowControl/>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箱体：采用16mm厚中密度三聚氰胺双饰面板，断面以优质2mmPVC封边条配合</w:t>
            </w:r>
            <w:r>
              <w:rPr>
                <w:rFonts w:hint="eastAsia" w:ascii="宋体" w:hAnsi="宋体" w:eastAsia="宋体" w:cs="宋体"/>
                <w:color w:val="000000" w:themeColor="text1"/>
                <w:sz w:val="21"/>
                <w:szCs w:val="21"/>
                <w:highlight w:val="none"/>
                <w:lang w:val="en-US" w:eastAsia="zh-CN"/>
                <w14:textFill>
                  <w14:solidFill>
                    <w14:schemeClr w14:val="tx1"/>
                  </w14:solidFill>
                </w14:textFill>
              </w:rPr>
              <w:t>优质</w:t>
            </w:r>
            <w:r>
              <w:rPr>
                <w:rFonts w:hint="eastAsia" w:ascii="宋体" w:hAnsi="宋体" w:eastAsia="宋体" w:cs="宋体"/>
                <w:color w:val="000000" w:themeColor="text1"/>
                <w:sz w:val="21"/>
                <w:szCs w:val="21"/>
                <w:highlight w:val="none"/>
                <w:lang w:eastAsia="zh-CN"/>
                <w14:textFill>
                  <w14:solidFill>
                    <w14:schemeClr w14:val="tx1"/>
                  </w14:solidFill>
                </w14:textFill>
              </w:rPr>
              <w:t>胶王热熔封边防水处理，专用连接件连接组合紧固。</w:t>
            </w:r>
          </w:p>
          <w:p>
            <w:pPr>
              <w:widowControl/>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四角包边：采用PP改性材料，塑料注塑模一次性成型，曲面弧形造型，可以有效避免碰撞对人体产生的伤害。实验台整体封闭性设计，升降器密封于桌内，具有升降器防护罩，</w:t>
            </w:r>
          </w:p>
          <w:p>
            <w:pPr>
              <w:widowControl/>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层板：采用16mm以上厚的E1级中密度三聚氰胺饰面板，周边及断面采用厚2mm以上PVC热熔封边并作防水处理；每个箱体配四个优质的实验室仪器专用地脚，具有防腐防锈减震等特点。 </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柜门，抽屉：采用厚16mm的中密度三聚氰胺饰面板，柜门和抽屉面板四周注塑模注塑包边成型，拉手与注塑包边一次性成型注塑。讲台配有键盘和中控抽屉，侧边配视频展示台抽屉。                                                           </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lang w:eastAsia="zh-CN"/>
                <w14:textFill>
                  <w14:solidFill>
                    <w14:schemeClr w14:val="tx1"/>
                  </w14:solidFill>
                </w14:textFill>
              </w:rPr>
              <w:t>台面材料质量以及从环保角度保障师生健康，台面材料必须符合以下技术参数及要求：</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化学性能:台面板材正反两面需经过不少于71项化学试剂及有机溶液检测，其中包含：硫酸（98%）、氢氟酸（48%）王水、铬酸、高锰酸钾（10%）、二甲基甲酰胺、冰醋酸（90%）等检验结果均为无明显变化，分级结果为“5级”。</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环保性能：甲醛释放量检测结果为未检出甲醛含量</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物理性能：进行不少于15项检测，其中检测密度≥1.39g/㎝³，24h吸水率≤0.1%，静曲强度大于135MPa，弹性模量≥10320MPa,顺纹抗压强度大于206MPa，表面耐水蒸气性能 5级 无变化，漆膜硬度：＞9H；总挥发性有机化合物TVOC按照HJ571-2010的标准及相关的检测方法检检测结果为未检出。</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耐燃性能：参照GB/T 2408-2021《塑料燃烧性能的测定 水平法种垂直法》和依据GB 8624-2012《建筑材料及制品燃烧性能分级》作为检测和判定依据进行检测，结果达B1级，烟气毒性项目符合t1级要求；水平燃烧符合HB级，垂直燃烧符合V-0级。</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防霉性能：霉菌生长情况0级，抗菌性：不少于11种的菌种检测结果抗菌率≥99.9%；</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邻苯二甲酸脂：参照US EPA3540C：1996方法，采用GC-MS设备对不少于39项邻苯二甲酸脂进行检测，结果为未检出；</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具有甲醛及三聚氰胺迁移检测报告，结果为未检出；</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多环芳香烃：参照AfPS GS 2019:01PAK方法，采用GC-MS设备对不少于15项多环芳香烃（PAHs15)进行检测，结果为未检出；</w:t>
            </w:r>
          </w:p>
          <w:p>
            <w:pPr>
              <w:widowControl/>
              <w:jc w:val="left"/>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抗病毒活性：对H1N1、H3N2进行抗病毒活性试验，抗病毒活性率结果≥99.9%。</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台面板原材料厂家通过中国环保产品认证证书、中国环境标志产品认证证书、售后服务五星级认证证书。投标人应针对以上台面技术参数要求，提供符合参数的检测报告，供货时提供原厂家质保服务承诺函。</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70528" behindDoc="0" locked="0" layoutInCell="1" allowOverlap="1">
                  <wp:simplePos x="0" y="0"/>
                  <wp:positionH relativeFrom="column">
                    <wp:posOffset>-21590</wp:posOffset>
                  </wp:positionH>
                  <wp:positionV relativeFrom="paragraph">
                    <wp:posOffset>137795</wp:posOffset>
                  </wp:positionV>
                  <wp:extent cx="1087755" cy="800735"/>
                  <wp:effectExtent l="0" t="0" r="17145" b="18415"/>
                  <wp:wrapNone/>
                  <wp:docPr id="30" name="图片_2"/>
                  <wp:cNvGraphicFramePr/>
                  <a:graphic xmlns:a="http://schemas.openxmlformats.org/drawingml/2006/main">
                    <a:graphicData uri="http://schemas.openxmlformats.org/drawingml/2006/picture">
                      <pic:pic xmlns:pic="http://schemas.openxmlformats.org/drawingml/2006/picture">
                        <pic:nvPicPr>
                          <pic:cNvPr id="30" name="图片_2"/>
                          <pic:cNvPicPr/>
                        </pic:nvPicPr>
                        <pic:blipFill>
                          <a:blip r:embed="rId11"/>
                          <a:stretch>
                            <a:fillRect/>
                          </a:stretch>
                        </pic:blipFill>
                        <pic:spPr>
                          <a:xfrm>
                            <a:off x="0" y="0"/>
                            <a:ext cx="1087755" cy="8007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教师总电源</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尺寸：405*405*90mm，装置在主控台组合柜内，采用耐磨、耐腐蚀的PVC薄膜面板，优质元器件，轻触按钮开关。</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输入电压：220v±10%；</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内装有教师演示电源及主控电源装置，教师能对实验室进行总体及分组控制：</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220V电源输出，电源总开关、漏电保护开关、工作指示灯、220V交流输出多用豪华插座，数码实时显示电压电流值；电压表精度1%，电流表精度1.5%±5字；</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bidi="ar"/>
                <w14:textFill>
                  <w14:solidFill>
                    <w14:schemeClr w14:val="tx1"/>
                  </w14:solidFill>
                </w14:textFill>
              </w:rPr>
              <w:t>带老师、学生220V过载漏电保护。</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bidi="ar"/>
                <w14:textFill>
                  <w14:solidFill>
                    <w14:schemeClr w14:val="tx1"/>
                  </w14:solidFill>
                </w14:textFill>
              </w:rPr>
              <w:t>使用环境：温度0-40℃，湿度&lt;90%。产品符合GB21748-2008、GB28481-2012、GB6675.4-2014、GB/T22048-2015及委托单位技术条件下检测项目绝缘性能、抗电强度、保护接地电阻、控制和调节件、结构、直流输出电压、重金属</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mg/kg</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、邻苯二甲酸脂</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等8项，要求提供市级及以上质量技术监督部门出具的检测报告复印件加盖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drawing>
                <wp:anchor distT="0" distB="0" distL="114300" distR="114300" simplePos="0" relativeHeight="251675648" behindDoc="0" locked="0" layoutInCell="1" allowOverlap="1">
                  <wp:simplePos x="0" y="0"/>
                  <wp:positionH relativeFrom="column">
                    <wp:posOffset>-40640</wp:posOffset>
                  </wp:positionH>
                  <wp:positionV relativeFrom="paragraph">
                    <wp:posOffset>694055</wp:posOffset>
                  </wp:positionV>
                  <wp:extent cx="1094105" cy="789305"/>
                  <wp:effectExtent l="0" t="0" r="10795" b="10795"/>
                  <wp:wrapNone/>
                  <wp:docPr id="36" name="图片_53"/>
                  <wp:cNvGraphicFramePr/>
                  <a:graphic xmlns:a="http://schemas.openxmlformats.org/drawingml/2006/main">
                    <a:graphicData uri="http://schemas.openxmlformats.org/drawingml/2006/picture">
                      <pic:pic xmlns:pic="http://schemas.openxmlformats.org/drawingml/2006/picture">
                        <pic:nvPicPr>
                          <pic:cNvPr id="36" name="图片_53"/>
                          <pic:cNvPicPr/>
                        </pic:nvPicPr>
                        <pic:blipFill>
                          <a:blip r:embed="rId12"/>
                          <a:stretch>
                            <a:fillRect/>
                          </a:stretch>
                        </pic:blipFill>
                        <pic:spPr>
                          <a:xfrm>
                            <a:off x="0" y="0"/>
                            <a:ext cx="1094105" cy="78930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物理实验桌</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核心产品</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p>
          <w:p>
            <w:pPr>
              <w:widowControl/>
              <w:jc w:val="center"/>
              <w:textAlignment w:val="center"/>
              <w:rPr>
                <w:rFonts w:hint="eastAsia"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（含</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学生</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电源）</w:t>
            </w:r>
          </w:p>
          <w:p>
            <w:pPr>
              <w:widowControl/>
              <w:jc w:val="both"/>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1、尺寸及结构：1200*600*780mm，采用C字型镂空结构</w:t>
            </w:r>
            <w:r>
              <w:rPr>
                <w:rStyle w:val="69"/>
                <w:rFonts w:hint="eastAsia" w:ascii="宋体" w:hAnsi="宋体" w:eastAsia="宋体" w:cs="宋体"/>
                <w:color w:val="000000" w:themeColor="text1"/>
                <w:sz w:val="21"/>
                <w:szCs w:val="21"/>
                <w:highlight w:val="none"/>
                <w:lang w:eastAsia="zh-CN" w:bidi="ar"/>
                <w14:textFill>
                  <w14:solidFill>
                    <w14:schemeClr w14:val="tx1"/>
                  </w14:solidFill>
                </w14:textFill>
              </w:rPr>
              <w:t>；</w:t>
            </w:r>
            <w:r>
              <w:rPr>
                <w:rStyle w:val="69"/>
                <w:rFonts w:hint="eastAsia" w:ascii="宋体" w:hAnsi="宋体" w:eastAsia="宋体" w:cs="宋体"/>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color w:val="000000" w:themeColor="text1"/>
                <w:sz w:val="21"/>
                <w:szCs w:val="21"/>
                <w:highlight w:val="none"/>
                <w:lang w:bidi="ar"/>
                <w14:textFill>
                  <w14:solidFill>
                    <w14:schemeClr w14:val="tx1"/>
                  </w14:solidFill>
                </w14:textFill>
              </w:rPr>
              <w:t>2、台面：采用≥13mm瓷土黄实芯优抗板，经机械打磨，表面光滑平整，无缝隙，整体美观大方，后部根据桌架形状铣边镶入框架中，防止台面起翘、变形、脱落；</w:t>
            </w:r>
            <w:r>
              <w:rPr>
                <w:rStyle w:val="69"/>
                <w:rFonts w:hint="eastAsia" w:ascii="宋体" w:hAnsi="宋体" w:eastAsia="宋体" w:cs="宋体"/>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color w:val="000000" w:themeColor="text1"/>
                <w:sz w:val="21"/>
                <w:szCs w:val="21"/>
                <w:highlight w:val="none"/>
                <w:lang w:bidi="ar"/>
                <w14:textFill>
                  <w14:solidFill>
                    <w14:schemeClr w14:val="tx1"/>
                  </w14:solidFill>
                </w14:textFill>
              </w:rPr>
              <w:t>3、前横梁：采用60*38mm 壁厚1.2mm的铝型材拉伸成型，正前方下端口向上倾斜，预留与上支撑架锁紧螺丝口；</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4、中横梁：采用20*20mm 壁厚 1.2mm的钢质抗弯加固条；</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5、后横梁：采用110*30mm壁厚1.2 mm的铝型材拉伸成型，预留有与上支撑架锁紧螺丝口；</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w:t>
            </w:r>
            <w:r>
              <w:rPr>
                <w:rStyle w:val="70"/>
                <w:rFonts w:hint="eastAsia" w:ascii="宋体" w:hAnsi="宋体" w:eastAsia="宋体" w:cs="宋体"/>
                <w:color w:val="000000" w:themeColor="text1"/>
                <w:sz w:val="21"/>
                <w:szCs w:val="21"/>
                <w:highlight w:val="none"/>
                <w:lang w:bidi="ar"/>
                <w14:textFill>
                  <w14:solidFill>
                    <w14:schemeClr w14:val="tx1"/>
                  </w14:solidFill>
                </w14:textFill>
              </w:rPr>
              <w:t>6、后挡板：采用86*12mm壁厚1.2mm的铝型材整体拉伸成型，与左右支撑架组成半包形围栏，预留与面板匹配的卡槽，顶端高出台面</w:t>
            </w:r>
            <w:r>
              <w:rPr>
                <w:rStyle w:val="69"/>
                <w:rFonts w:hint="eastAsia" w:ascii="宋体" w:hAnsi="宋体" w:eastAsia="宋体" w:cs="宋体"/>
                <w:color w:val="000000" w:themeColor="text1"/>
                <w:sz w:val="21"/>
                <w:szCs w:val="21"/>
                <w:highlight w:val="none"/>
                <w:lang w:bidi="ar"/>
                <w14:textFill>
                  <w14:solidFill>
                    <w14:schemeClr w14:val="tx1"/>
                  </w14:solidFill>
                </w14:textFill>
              </w:rPr>
              <w:t>≥</w:t>
            </w:r>
            <w:r>
              <w:rPr>
                <w:rStyle w:val="70"/>
                <w:rFonts w:hint="eastAsia" w:ascii="宋体" w:hAnsi="宋体" w:eastAsia="宋体" w:cs="宋体"/>
                <w:color w:val="000000" w:themeColor="text1"/>
                <w:sz w:val="21"/>
                <w:szCs w:val="21"/>
                <w:highlight w:val="none"/>
                <w:lang w:bidi="ar"/>
                <w14:textFill>
                  <w14:solidFill>
                    <w14:schemeClr w14:val="tx1"/>
                  </w14:solidFill>
                </w14:textFill>
              </w:rPr>
              <w:t>70mm，可有效防止台面仪器向后滚落</w:t>
            </w:r>
            <w:r>
              <w:rPr>
                <w:rStyle w:val="69"/>
                <w:rFonts w:hint="eastAsia" w:ascii="宋体" w:hAnsi="宋体" w:eastAsia="宋体" w:cs="宋体"/>
                <w:color w:val="000000" w:themeColor="text1"/>
                <w:sz w:val="21"/>
                <w:szCs w:val="21"/>
                <w:highlight w:val="none"/>
                <w:lang w:bidi="ar"/>
                <w14:textFill>
                  <w14:solidFill>
                    <w14:schemeClr w14:val="tx1"/>
                  </w14:solidFill>
                </w14:textFill>
              </w:rPr>
              <w:t>。</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7、桌腿由上支撑架、支撑立柱、下支撑脚和可调地脚组成C字形；</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7.1上支撑架：采用 585*195*50mm壁厚3mm厚的铝材压铸一次性成型，配有255*70mm倾斜式半包形围栏，内侧镶嵌有工程塑料装饰盖，两侧弧形圆角，弧度和立柱的弧度吻合，</w:t>
            </w:r>
            <w:r>
              <w:rPr>
                <w:rStyle w:val="69"/>
                <w:rFonts w:hint="eastAsia" w:ascii="宋体" w:hAnsi="宋体" w:cs="宋体"/>
                <w:color w:val="000000" w:themeColor="text1"/>
                <w:sz w:val="21"/>
                <w:szCs w:val="21"/>
                <w:highlight w:val="none"/>
                <w:lang w:eastAsia="zh-CN" w:bidi="ar"/>
                <w14:textFill>
                  <w14:solidFill>
                    <w14:schemeClr w14:val="tx1"/>
                  </w14:solidFill>
                </w14:textFill>
              </w:rPr>
              <w:t>左两侧安装220V多功能学生电源</w:t>
            </w:r>
            <w:r>
              <w:rPr>
                <w:rStyle w:val="69"/>
                <w:rFonts w:hint="eastAsia" w:ascii="宋体" w:hAnsi="宋体" w:eastAsia="宋体" w:cs="宋体"/>
                <w:color w:val="000000" w:themeColor="text1"/>
                <w:sz w:val="21"/>
                <w:szCs w:val="21"/>
                <w:highlight w:val="none"/>
                <w:lang w:bidi="ar"/>
                <w14:textFill>
                  <w14:solidFill>
                    <w14:schemeClr w14:val="tx1"/>
                  </w14:solidFill>
                </w14:textFill>
              </w:rPr>
              <w:t>，内置防触电防尘罩，不影响实验操作；设置2路多功能220V五孔交流插座，操作简单，安全可靠。</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7.2支撑立柱：采用150x50mm壁厚1.5mm的优质铝材，外侧带有弧形圆角，有郊避免意外发生</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7.3下支撑脚：采用 570*130*50mm壁厚4mm厚的铝材压铸一次性成型，外侧与前端弧形圆角，弧度和立柱的弧度吻合，前后带有与地面固定的螺丝孔，带塑料装饰盖。</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7.4多功能可调地脚：高度螺旋调节，采用高强度的尼龙材料，塑料注塑成型，内置脚轮固定孔。以上所有铝型材料表面经过防腐氧化处理和纯环氧树脂塑粉高温固化处理，具有较强的耐蚀性及承重性。</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 xml:space="preserve">8、书包斗：规格460*315*154mm,厚度6mm，采用ABS材料，塑料注塑模一次性成型，正面设有可悬挂凳子的圆形孔，周边加厚加强，斗内有10根宽度为30mm的沙面处理的加强体块，两侧和后侧均设有固定耳。                           </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w:t>
            </w:r>
            <w:r>
              <w:rPr>
                <w:rStyle w:val="69"/>
                <w:rFonts w:hint="eastAsia" w:ascii="宋体" w:hAnsi="宋体" w:eastAsia="宋体" w:cs="宋体"/>
                <w:b/>
                <w:bCs/>
                <w:color w:val="000000" w:themeColor="text1"/>
                <w:sz w:val="21"/>
                <w:szCs w:val="21"/>
                <w:highlight w:val="none"/>
                <w:lang w:val="en-US" w:eastAsia="zh-CN" w:bidi="ar"/>
                <w14:textFill>
                  <w14:solidFill>
                    <w14:schemeClr w14:val="tx1"/>
                  </w14:solidFill>
                </w14:textFill>
              </w:rPr>
              <w:t>9、</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台面材料质量以及从环保角度保障师生健康，台面材料必须符合以下技术参数及要求：</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化学性能:台面板材正反两面需经过不少于71项化学试剂及有机溶液检测，其中包含：硫酸（98%）、氢氟酸（48%）王水、铬酸、高锰酸钾（10%）、二甲基甲酰胺、冰醋酸（90%）等检验结果均为无明显变化，分级结果为“5级”。</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环保性能：甲醛释放量检测结果为未检出甲醛含量</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物理性能：进行不少于15项检测，其中检测密度≥1.39g/㎝³，24h吸水率≤0.1%，静曲强度大于135MPa，弹性模量≥10320MPa,顺纹抗压强度大于206MPa，表面耐水蒸气性能 5级 无变化，漆膜硬度：＞9H；总挥发性有机化合物TVOC按照HJ571-2010的标准及相关的检测方法检检测结果为未检出。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耐燃性能：参照GB/T 2408-2021《塑料燃烧性能的测定 水平法种垂直法》和依据GB 8624-2012《建筑材料及制品燃烧性能分级》作为检测和判定依据进行检测，结果达B1级，烟气毒性项目符合t1级要求；水平燃烧符合HB级，垂直燃烧符合V-0级。</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防霉性能：霉菌生长情况0级，抗菌性：不少于11种的菌种检测结果抗菌率≥99.9%；</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邻苯二甲酸脂：参照US EPA3540C：1996方法，采用GC-MS设备对不少于39项邻苯二甲酸脂进行检测，结果为未检出；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具有甲醛及三聚氰胺迁移检测报告，结果为未检出；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多环芳香烃：参照AfPS GS 2019:01PAK方法，采用GC-MS设备对不少于15项多环芳香烃（PAHs15)进行检测，结果为未检出；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抗病毒活性：对H1N1、H3N2进行抗病毒活性试验，抗病毒活性率结果≥99.9%。</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台面板原材料厂家通过中国环保产品认证证书、中国环境标志产品认证证书、售后服务五星级认证证书。投标人应针对以上台面技术参数要求，提供符合参数的检测报告，供货时提供原厂家质保服务承诺函。</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24</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73600" behindDoc="0" locked="0" layoutInCell="1" allowOverlap="1">
                  <wp:simplePos x="0" y="0"/>
                  <wp:positionH relativeFrom="column">
                    <wp:posOffset>-31115</wp:posOffset>
                  </wp:positionH>
                  <wp:positionV relativeFrom="paragraph">
                    <wp:posOffset>608330</wp:posOffset>
                  </wp:positionV>
                  <wp:extent cx="1071245" cy="867410"/>
                  <wp:effectExtent l="0" t="0" r="14605" b="8890"/>
                  <wp:wrapNone/>
                  <wp:docPr id="33" name="图片_7"/>
                  <wp:cNvGraphicFramePr/>
                  <a:graphic xmlns:a="http://schemas.openxmlformats.org/drawingml/2006/main">
                    <a:graphicData uri="http://schemas.openxmlformats.org/drawingml/2006/picture">
                      <pic:pic xmlns:pic="http://schemas.openxmlformats.org/drawingml/2006/picture">
                        <pic:nvPicPr>
                          <pic:cNvPr id="33" name="图片_7"/>
                          <pic:cNvPicPr/>
                        </pic:nvPicPr>
                        <pic:blipFill>
                          <a:blip r:embed="rId13"/>
                          <a:stretch>
                            <a:fillRect/>
                          </a:stretch>
                        </pic:blipFill>
                        <pic:spPr>
                          <a:xfrm>
                            <a:off x="0" y="0"/>
                            <a:ext cx="1071245" cy="8674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线路保护箱</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规格400*240*730mm，分为桶体和底座两部份，底座为与桌面同色（瓷土黄）的壁厚3mmPP改性材质注塑成型；桶体分为两块，壁厚3mm,采用PP改性材料，塑料注塑模一次性成型,表面沙面和光面相结合处理，以齿合槽配以螺丝连接，拆分组合方便，方便检修桶体内的风管或电线</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24</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1925"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实验椅</w:t>
            </w:r>
          </w:p>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核心产品</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1、尺寸：315*330*440mm</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2、椅面:315×330mm,采用5mm厚白色PP工程塑料注塑成型，三面加厚至10mm，带小靠背和拉手；</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3、支撑柱采用直径56mm圆钢管；</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4、托盘:采用直径120*2mm钢板内凹成型，采用全周满焊焊接，用四颗直径10mm的六角螺丝连接凳面，结构牢固，长期使用也不会出现摇晃松散现象；</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5、支撑脚：下端五星脚采用PP塑料成型，直径460mm，配网状加强筋，承重，耐腐蚀。</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48</w:t>
            </w:r>
          </w:p>
        </w:tc>
        <w:tc>
          <w:tcPr>
            <w:tcW w:w="1048" w:type="pct"/>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drawing>
                <wp:anchor distT="0" distB="0" distL="114300" distR="114300" simplePos="0" relativeHeight="251671552" behindDoc="0" locked="0" layoutInCell="1" allowOverlap="1">
                  <wp:simplePos x="0" y="0"/>
                  <wp:positionH relativeFrom="column">
                    <wp:posOffset>3810</wp:posOffset>
                  </wp:positionH>
                  <wp:positionV relativeFrom="paragraph">
                    <wp:posOffset>433070</wp:posOffset>
                  </wp:positionV>
                  <wp:extent cx="989330" cy="1076325"/>
                  <wp:effectExtent l="0" t="0" r="1270" b="9525"/>
                  <wp:wrapNone/>
                  <wp:docPr id="31" name="图片_8"/>
                  <wp:cNvGraphicFramePr/>
                  <a:graphic xmlns:a="http://schemas.openxmlformats.org/drawingml/2006/main">
                    <a:graphicData uri="http://schemas.openxmlformats.org/drawingml/2006/picture">
                      <pic:pic xmlns:pic="http://schemas.openxmlformats.org/drawingml/2006/picture">
                        <pic:nvPicPr>
                          <pic:cNvPr id="31" name="图片_8"/>
                          <pic:cNvPicPr/>
                        </pic:nvPicPr>
                        <pic:blipFill>
                          <a:blip r:embed="rId14"/>
                          <a:stretch>
                            <a:fillRect/>
                          </a:stretch>
                        </pic:blipFill>
                        <pic:spPr>
                          <a:xfrm>
                            <a:off x="0" y="0"/>
                            <a:ext cx="989330" cy="10763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全钢水槽边台</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尺寸：8000*600*800mm</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台面：采用12.7mm实芯理化板，四周加厚处理，总厚度为25.4mm,四角圆角,四边磨边。</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结构：采用全钢结构。柜体：采用≥1.0mm厚镀锌钢板裁剪折弯后满焊点焊接，表面经环氧树脂喷涂处理。防水</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耐潮</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耐腐蚀。整体结构承重：台面承重不少于600kg不变形。</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背板：采用≥1.0mm厚镀锌钢板裁剪折弯后满焊点焊接，表面经环氧树脂喷涂处理。拆卸方便，并有利于管道及电线的安装和维护。防水.耐潮，耐腐蚀。</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层板/柜门/抽屉：采用≥1.0mm厚镀锌钢板裁剪折弯后满焊点焊接，表面经环氧树脂喷涂处理。</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拉手：SUS304不锈钢一次性成型拉手。</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导轨：三节静音导轨。</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铰链：采用定位铰链或2mm不锈钢合页。</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调整脚：采用ABS新料模具一体成型的承重型可调节地脚，螺丝SUS304不锈钢材质。</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三联水嘴</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采用实验室专用三联水嘴90度瓷质阀芯，出水嘴为铜质尖嘴，可方便连接循环等特殊用水，水管管体部分为黄铜合金制品，铜质表面经过烤漆喷涂处理，增强耐酸碱防腐蚀以及防锈性能，可360度旋转。</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化验水槽及下水系统</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水槽：采用PP改性材料，塑料注塑模一次性成型，其规格450*350*270㎜，壁厚4mm，耐强酸强碱耐＜80℃有机溶剂并耐150℃以下高温。</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下水系统：采用国际公认的共聚PP材质专用连接管，配有防虹吸，防阻塞装置。</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72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吊顶</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轻钢龙骨，600*600石膏板吊顶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96</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92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（LED）灯具</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集成LED灯600**600，功率35W，含安装符合GB 7000.1、GB 7000.10、GB 17743的有关规定，有CCC证书；灯具效率：66.7%；壳体采用优质冷轧薄板，厚度为0.5mm，壳体材料经过除油剂除油，并进行防锈、磷化处理后静电喷塑；遮光角：＞30°优质高反射率铝反光板，厚度＞0.4mm，反射率＞85%，喷涂防静电膜；</w:t>
            </w:r>
          </w:p>
          <w:p>
            <w:pPr>
              <w:widowControl/>
              <w:spacing w:line="240" w:lineRule="auto"/>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镇流器：符合GB 19510.1、GB 19510.4、GB 17625.1、GB/T  15144-2009、EN 50294的要求，有CCC证书；功率因素≥0.98；总谐波失真≤6.4%；灯电流波峰比≤1.38；能效等级A2级；使用寿命≥5年；</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灯管：符合GB/T 10682的规定；能效等级1级（GB19043）；Ra≥85；光效≥84lm/w；色温4000K；2000小时光通维持率≥94.9%；光通维持率下降至70%的有效使用寿命≥13000小时；汞含量≤2mg；格栅：优质合成材料的镜面格栅，具有深度散射性能，ABS真空镀膜，光洁明亮；灯具外导线：导线截面1mm</w:t>
            </w: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²</w:t>
            </w:r>
            <w:r>
              <w:rPr>
                <w:rFonts w:hint="eastAsia" w:ascii="宋体" w:hAnsi="宋体" w:eastAsia="宋体" w:cs="宋体"/>
                <w:color w:val="000000" w:themeColor="text1"/>
                <w:kern w:val="0"/>
                <w:sz w:val="21"/>
                <w:szCs w:val="21"/>
                <w:highlight w:val="none"/>
                <w:lang w:bidi="ar"/>
                <w14:textFill>
                  <w14:solidFill>
                    <w14:schemeClr w14:val="tx1"/>
                  </w14:solidFill>
                </w14:textFill>
              </w:rPr>
              <w:t>，有CCC证书</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18</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实验室学科窗帘</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用窗帘的形式表现描述与学科教学内容相关或科学普及方面，选题适当，主题明确，无科学性错误，以图为主辅以文字。图片清晰美观，文字准确精炼，语句通顺易读，标点使用正确</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25</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70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墙体油漆</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原墙体剥落墙体粉刷铲除，水泥砂浆抹底，环保乳胶漆三底两面</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150</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70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踢脚线</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黑色瓷砖踢脚线，高度120</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mm</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40</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实验室地面</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优质</w:t>
            </w:r>
            <w:r>
              <w:rPr>
                <w:rFonts w:hint="eastAsia" w:ascii="宋体" w:hAnsi="宋体" w:eastAsia="宋体" w:cs="宋体"/>
                <w:color w:val="000000" w:themeColor="text1"/>
                <w:kern w:val="0"/>
                <w:sz w:val="21"/>
                <w:szCs w:val="21"/>
                <w:highlight w:val="none"/>
                <w:lang w:bidi="ar"/>
                <w14:textFill>
                  <w14:solidFill>
                    <w14:schemeClr w14:val="tx1"/>
                  </w14:solidFill>
                </w14:textFill>
              </w:rPr>
              <w:t>2.0mm厚度塑胶地板，耐磨、耐腐蚀，水泥自流平打底，专用胶粘接，焊接封口，铲平，不得有气泡，含安装</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98</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75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包水管</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室内给排水立管石膏板包饰，粉刷油漆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吸顶空调</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3匹吸顶空调，额定制冷量：7250W，制冷功率：2340W；制热功率：2350W+2100W；室内机噪音：31-43dB；室内机尺寸（宽*高*深）：830*204*830；室外机尺寸（宽*高*深）：890（940）*673*342；单元机三级能耗，（</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推荐品牌:</w:t>
            </w:r>
            <w:r>
              <w:rPr>
                <w:rFonts w:hint="eastAsia" w:ascii="宋体" w:hAnsi="宋体" w:eastAsia="宋体" w:cs="宋体"/>
                <w:color w:val="000000" w:themeColor="text1"/>
                <w:kern w:val="0"/>
                <w:sz w:val="21"/>
                <w:szCs w:val="21"/>
                <w:highlight w:val="none"/>
                <w:lang w:bidi="ar"/>
                <w14:textFill>
                  <w14:solidFill>
                    <w14:schemeClr w14:val="tx1"/>
                  </w14:solidFill>
                </w14:textFill>
              </w:rPr>
              <w:t>美的</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海尔</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格力</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或相当于</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17</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空调配件及安装</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3匹吸顶空调，12米铜管、含安装，布线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04"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布线</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含教学电源国标2.5㎜*3电线与铺设人工费,含地面开槽</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室</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全室给排水系统改造</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PP-R，φ20、Φ25给排水管，φ50、110、φ75UPVC管</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室</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物理实验桌椅设备</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产品名称</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型号规格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备注</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物理实验桌（含学生电源）</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val="en-US" w:eastAsia="zh-CN" w:bidi="ar"/>
                <w14:textFill>
                  <w14:solidFill>
                    <w14:schemeClr w14:val="tx1"/>
                  </w14:solidFill>
                </w14:textFill>
              </w:rPr>
              <w:t>1</w:t>
            </w:r>
            <w:r>
              <w:rPr>
                <w:rStyle w:val="69"/>
                <w:rFonts w:hint="eastAsia" w:ascii="宋体" w:hAnsi="宋体" w:eastAsia="宋体" w:cs="宋体"/>
                <w:color w:val="000000" w:themeColor="text1"/>
                <w:sz w:val="21"/>
                <w:szCs w:val="21"/>
                <w:highlight w:val="none"/>
                <w:lang w:bidi="ar"/>
                <w14:textFill>
                  <w14:solidFill>
                    <w14:schemeClr w14:val="tx1"/>
                  </w14:solidFill>
                </w14:textFill>
              </w:rPr>
              <w:t>、尺寸及结构：1200*600*780mm，采用C字型镂空结构</w:t>
            </w:r>
            <w:r>
              <w:rPr>
                <w:rStyle w:val="69"/>
                <w:rFonts w:hint="eastAsia" w:ascii="宋体" w:hAnsi="宋体" w:eastAsia="宋体" w:cs="宋体"/>
                <w:color w:val="000000" w:themeColor="text1"/>
                <w:sz w:val="21"/>
                <w:szCs w:val="21"/>
                <w:highlight w:val="none"/>
                <w:lang w:eastAsia="zh-CN" w:bidi="ar"/>
                <w14:textFill>
                  <w14:solidFill>
                    <w14:schemeClr w14:val="tx1"/>
                  </w14:solidFill>
                </w14:textFill>
              </w:rPr>
              <w:t>；</w:t>
            </w:r>
            <w:r>
              <w:rPr>
                <w:rStyle w:val="69"/>
                <w:rFonts w:hint="eastAsia" w:ascii="宋体" w:hAnsi="宋体" w:eastAsia="宋体" w:cs="宋体"/>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color w:val="000000" w:themeColor="text1"/>
                <w:sz w:val="21"/>
                <w:szCs w:val="21"/>
                <w:highlight w:val="none"/>
                <w:lang w:bidi="ar"/>
                <w14:textFill>
                  <w14:solidFill>
                    <w14:schemeClr w14:val="tx1"/>
                  </w14:solidFill>
                </w14:textFill>
              </w:rPr>
              <w:t>2、台面：采用≥13mm瓷土黄实芯优抗板，经机械打磨，表面光滑平整，无缝隙，整体美观大方，后部根据桌架形状铣边镶入框架中，防止台面起翘、变形、脱落；</w:t>
            </w:r>
            <w:r>
              <w:rPr>
                <w:rStyle w:val="69"/>
                <w:rFonts w:hint="eastAsia" w:ascii="宋体" w:hAnsi="宋体" w:eastAsia="宋体" w:cs="宋体"/>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color w:val="000000" w:themeColor="text1"/>
                <w:sz w:val="21"/>
                <w:szCs w:val="21"/>
                <w:highlight w:val="none"/>
                <w:lang w:bidi="ar"/>
                <w14:textFill>
                  <w14:solidFill>
                    <w14:schemeClr w14:val="tx1"/>
                  </w14:solidFill>
                </w14:textFill>
              </w:rPr>
              <w:t>3、前横梁：采用60*38mm 壁厚1.2mm的铝型材拉伸成型，正前方下端口向上倾斜，预留与上支撑架锁紧螺丝口；</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4、中横梁：采用20*20mm 壁厚 1.2mm的钢质抗弯加固条；</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5、后横梁：采用110*30mm壁厚1.2 mm的铝型材拉伸成型，预留有与上支撑架锁紧螺丝口；</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w:t>
            </w:r>
            <w:r>
              <w:rPr>
                <w:rStyle w:val="70"/>
                <w:rFonts w:hint="eastAsia" w:ascii="宋体" w:hAnsi="宋体" w:eastAsia="宋体" w:cs="宋体"/>
                <w:color w:val="000000" w:themeColor="text1"/>
                <w:sz w:val="21"/>
                <w:szCs w:val="21"/>
                <w:highlight w:val="none"/>
                <w:lang w:bidi="ar"/>
                <w14:textFill>
                  <w14:solidFill>
                    <w14:schemeClr w14:val="tx1"/>
                  </w14:solidFill>
                </w14:textFill>
              </w:rPr>
              <w:t>6、后挡板：采用86*12mm壁厚1.2mm的铝型材整体拉伸成型，与左右支撑架组成半包形围栏，预留与面板匹配的卡槽，顶端高出台面</w:t>
            </w:r>
            <w:r>
              <w:rPr>
                <w:rStyle w:val="69"/>
                <w:rFonts w:hint="eastAsia" w:ascii="宋体" w:hAnsi="宋体" w:eastAsia="宋体" w:cs="宋体"/>
                <w:color w:val="000000" w:themeColor="text1"/>
                <w:sz w:val="21"/>
                <w:szCs w:val="21"/>
                <w:highlight w:val="none"/>
                <w:lang w:bidi="ar"/>
                <w14:textFill>
                  <w14:solidFill>
                    <w14:schemeClr w14:val="tx1"/>
                  </w14:solidFill>
                </w14:textFill>
              </w:rPr>
              <w:t>≥70</w:t>
            </w:r>
            <w:r>
              <w:rPr>
                <w:rStyle w:val="70"/>
                <w:rFonts w:hint="eastAsia" w:ascii="宋体" w:hAnsi="宋体" w:eastAsia="宋体" w:cs="宋体"/>
                <w:color w:val="000000" w:themeColor="text1"/>
                <w:sz w:val="21"/>
                <w:szCs w:val="21"/>
                <w:highlight w:val="none"/>
                <w:lang w:bidi="ar"/>
                <w14:textFill>
                  <w14:solidFill>
                    <w14:schemeClr w14:val="tx1"/>
                  </w14:solidFill>
                </w14:textFill>
              </w:rPr>
              <w:t>mm，可有效防止台面仪器向后滚落</w:t>
            </w:r>
            <w:r>
              <w:rPr>
                <w:rStyle w:val="69"/>
                <w:rFonts w:hint="eastAsia" w:ascii="宋体" w:hAnsi="宋体" w:eastAsia="宋体" w:cs="宋体"/>
                <w:color w:val="000000" w:themeColor="text1"/>
                <w:sz w:val="21"/>
                <w:szCs w:val="21"/>
                <w:highlight w:val="none"/>
                <w:lang w:bidi="ar"/>
                <w14:textFill>
                  <w14:solidFill>
                    <w14:schemeClr w14:val="tx1"/>
                  </w14:solidFill>
                </w14:textFill>
              </w:rPr>
              <w:t>。</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7、桌腿由上支撑架、支撑立柱、下支撑脚和可调地脚组成C字形；</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7.1上支撑架：采用 585*195*50mm壁厚3mm厚的铝材压铸一次性成型，配有255*70mm倾斜式半包形围栏，内侧镶嵌有工程塑料装饰盖，两侧弧形圆角，弧度和立柱的弧度吻合，</w:t>
            </w:r>
            <w:r>
              <w:rPr>
                <w:rStyle w:val="69"/>
                <w:rFonts w:hint="eastAsia" w:ascii="宋体" w:hAnsi="宋体" w:cs="宋体"/>
                <w:color w:val="000000" w:themeColor="text1"/>
                <w:sz w:val="21"/>
                <w:szCs w:val="21"/>
                <w:highlight w:val="none"/>
                <w:lang w:eastAsia="zh-CN" w:bidi="ar"/>
                <w14:textFill>
                  <w14:solidFill>
                    <w14:schemeClr w14:val="tx1"/>
                  </w14:solidFill>
                </w14:textFill>
              </w:rPr>
              <w:t>左侧安装220V多功能学生电源</w:t>
            </w:r>
            <w:r>
              <w:rPr>
                <w:rStyle w:val="69"/>
                <w:rFonts w:hint="eastAsia" w:ascii="宋体" w:hAnsi="宋体" w:eastAsia="宋体" w:cs="宋体"/>
                <w:color w:val="000000" w:themeColor="text1"/>
                <w:sz w:val="21"/>
                <w:szCs w:val="21"/>
                <w:highlight w:val="none"/>
                <w:lang w:bidi="ar"/>
                <w14:textFill>
                  <w14:solidFill>
                    <w14:schemeClr w14:val="tx1"/>
                  </w14:solidFill>
                </w14:textFill>
              </w:rPr>
              <w:t>，内置防触电防尘罩，不影响实验操作；设置2路多功能220V五孔交流插座，操作简单，安全可靠。</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7.2支撑立柱：采用150x50mm壁厚1.5mm的优质铝材，外侧带有弧形圆角，有郊避免意外发生</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7.3下支撑脚：采用 570*130*50mm壁厚4mm厚的铝材压铸一次性成型，外侧与前端弧形圆角，弧度和立柱的弧度吻合，前后带有与地面固定的螺丝孔，带塑料装饰盖。</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7.4多功能可调地脚：高度螺旋调节，采用高强度的尼龙材料，塑料注塑成型，内置脚轮固定孔。以上所有铝型材料表面经过防腐氧化处理和纯环氧树脂塑粉高温固化处理，具有较强的耐蚀性及承重性。</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 xml:space="preserve">8、书包斗：规格460*315*154mm,厚度6mm，采用ABS材料，塑料注塑模一次性成型，正面设有可悬挂凳子的圆形孔，周边加厚加强，斗内有10根宽度为30mm的沙面处理的加强体块，两侧和后侧均设有固定耳。                           </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w:t>
            </w:r>
            <w:r>
              <w:rPr>
                <w:rStyle w:val="69"/>
                <w:rFonts w:hint="eastAsia" w:ascii="宋体" w:hAnsi="宋体" w:eastAsia="宋体" w:cs="宋体"/>
                <w:b/>
                <w:bCs/>
                <w:color w:val="000000" w:themeColor="text1"/>
                <w:sz w:val="21"/>
                <w:szCs w:val="21"/>
                <w:highlight w:val="none"/>
                <w:lang w:val="en-US" w:eastAsia="zh-CN" w:bidi="ar"/>
                <w14:textFill>
                  <w14:solidFill>
                    <w14:schemeClr w14:val="tx1"/>
                  </w14:solidFill>
                </w14:textFill>
              </w:rPr>
              <w:t>9、</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台面材料质量以及从环保角度保障师生健康，台面材料必须符合以下技术参数及要求：</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化学性能:台面板材正反两面需经过不少于71项化学试剂及有机溶液检测，其中包含：硫酸（98%）、氢氟酸（48%）王水、铬酸、高锰酸钾（10%）、二甲基甲酰胺、冰醋酸（90%）等检验结果均为无明显变化，分级结果为“5级”。</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环保性能：甲醛释放量检测结果为未检出甲醛含量</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物理性能：进行不少于15项检测，其中检测密度≥1.39g/㎝³，24h吸水率≤0.1%，静曲强度大于135MPa，弹性模量≥10320MPa,顺纹抗压强度大于206MPa，表面耐水蒸气性能 5级 无变化，漆膜硬度：＞9H；总挥发性有机化合物TVOC按照HJ571-2010的标准及相关的检测方法检检测结果为未检出。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耐燃性能：参照GB/T 2408-2021《塑料燃烧性能的测定 水平法种垂直法》和依据GB 8624-2012《建筑材料及制品燃烧性能分级》作为检测和判定依据进行检测，结果达B1级，烟气毒性项目符合t1级要求；水平燃烧符合HB级，垂直燃烧符合V-0级。</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防霉性能：霉菌生长情况0级，抗菌性：不少于11种的菌种检测结果抗菌率≥99.9%；</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邻苯二甲酸脂：参照US EPA3540C：1996方法，采用GC-MS设备对不少于39项邻苯二甲酸脂进行检测，结果为未检出；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具有甲醛及三聚氰胺迁移检测报告，结果为未检出；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多环芳香烃：参照AfPS GS 2019:01PAK方法，采用GC-MS设备对不少于15项多环芳香烃（PAHs15)进行检测，结果为未检出；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抗病毒活性：对H1N1、H3N2进行抗病毒活性试验，抗病毒活性率结果≥99.9%。</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台面板原材料厂家通过中国环保产品认证证书、中国环境标志产品认证证书、售后服务五星级认证证书。投标人应针对以上台面技术参数要求，提供符合参数的检测报告，供货时提供原厂家质保服务承诺函</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56</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1211"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线路保护箱</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规格400*240*730mm，分为桶体和底座两部份，底座为与桌面同色的壁厚3mmPP改性材质注塑成型；桶体分为两块，壁厚3mm,采用PP改性材料，塑料注塑模一次性成型,表面沙面和光面相结合处理，以齿合槽配以螺丝连接，拆分组合方便，方便检修桶体内的风管或电线</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56</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30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24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bdr w:val="single" w:color="000000" w:sz="4" w:space="0"/>
                <w:shd w:val="clear" w:color="auto" w:fill="D9D9D9"/>
                <w:lang w:bidi="ar"/>
                <w14:textFill>
                  <w14:solidFill>
                    <w14:schemeClr w14:val="tx1"/>
                  </w14:solidFill>
                </w14:textFill>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1825" cy="2540"/>
                  <wp:effectExtent l="0" t="0" r="0" b="0"/>
                  <wp:wrapNone/>
                  <wp:docPr id="32" name="图片_4"/>
                  <wp:cNvGraphicFramePr/>
                  <a:graphic xmlns:a="http://schemas.openxmlformats.org/drawingml/2006/main">
                    <a:graphicData uri="http://schemas.openxmlformats.org/drawingml/2006/picture">
                      <pic:pic xmlns:pic="http://schemas.openxmlformats.org/drawingml/2006/picture">
                        <pic:nvPicPr>
                          <pic:cNvPr id="32" name="图片_4"/>
                          <pic:cNvPicPr/>
                        </pic:nvPicPr>
                        <pic:blipFill>
                          <a:blip r:embed="rId15"/>
                          <a:stretch>
                            <a:fillRect/>
                          </a:stretch>
                        </pic:blipFill>
                        <pic:spPr>
                          <a:xfrm>
                            <a:off x="0" y="0"/>
                            <a:ext cx="631825" cy="2540"/>
                          </a:xfrm>
                          <a:prstGeom prst="rect">
                            <a:avLst/>
                          </a:prstGeom>
                          <a:noFill/>
                          <a:ln>
                            <a:noFill/>
                          </a:ln>
                        </pic:spPr>
                      </pic:pic>
                    </a:graphicData>
                  </a:graphic>
                </wp:anchor>
              </w:drawing>
            </w:r>
            <w:r>
              <w:rPr>
                <w:rFonts w:hint="eastAsia" w:ascii="宋体" w:hAnsi="宋体" w:eastAsia="宋体" w:cs="宋体"/>
                <w:b/>
                <w:bCs/>
                <w:color w:val="000000" w:themeColor="text1"/>
                <w:kern w:val="0"/>
                <w:sz w:val="21"/>
                <w:szCs w:val="21"/>
                <w:highlight w:val="none"/>
                <w:bdr w:val="single" w:color="000000" w:sz="4" w:space="0"/>
                <w:shd w:val="clear" w:color="auto" w:fill="D9D9D9"/>
                <w:lang w:bidi="ar"/>
                <w14:textFill>
                  <w14:solidFill>
                    <w14:schemeClr w14:val="tx1"/>
                  </w14:solidFill>
                </w14:textFill>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09600" cy="1270"/>
                  <wp:effectExtent l="0" t="0" r="0" b="0"/>
                  <wp:wrapNone/>
                  <wp:docPr id="28" name="图片_3"/>
                  <wp:cNvGraphicFramePr/>
                  <a:graphic xmlns:a="http://schemas.openxmlformats.org/drawingml/2006/main">
                    <a:graphicData uri="http://schemas.openxmlformats.org/drawingml/2006/picture">
                      <pic:pic xmlns:pic="http://schemas.openxmlformats.org/drawingml/2006/picture">
                        <pic:nvPicPr>
                          <pic:cNvPr id="28" name="图片_3"/>
                          <pic:cNvPicPr/>
                        </pic:nvPicPr>
                        <pic:blipFill>
                          <a:blip r:embed="rId16"/>
                          <a:stretch>
                            <a:fillRect/>
                          </a:stretch>
                        </pic:blipFill>
                        <pic:spPr>
                          <a:xfrm>
                            <a:off x="0" y="0"/>
                            <a:ext cx="609600" cy="1270"/>
                          </a:xfrm>
                          <a:prstGeom prst="rect">
                            <a:avLst/>
                          </a:prstGeom>
                          <a:noFill/>
                          <a:ln>
                            <a:noFill/>
                          </a:ln>
                        </pic:spPr>
                      </pic:pic>
                    </a:graphicData>
                  </a:graphic>
                </wp:anchor>
              </w:drawing>
            </w:r>
            <w:r>
              <w:rPr>
                <w:rFonts w:hint="eastAsia" w:ascii="宋体" w:hAnsi="宋体" w:eastAsia="宋体" w:cs="宋体"/>
                <w:b/>
                <w:bCs/>
                <w:color w:val="000000" w:themeColor="text1"/>
                <w:kern w:val="0"/>
                <w:sz w:val="21"/>
                <w:szCs w:val="21"/>
                <w:highlight w:val="none"/>
                <w:bdr w:val="single" w:color="000000" w:sz="4" w:space="0"/>
                <w:shd w:val="clear" w:color="auto" w:fill="D9D9D9"/>
                <w:lang w:bidi="ar"/>
                <w14:textFill>
                  <w14:solidFill>
                    <w14:schemeClr w14:val="tx1"/>
                  </w14:solidFill>
                </w14:textFill>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1825" cy="2540"/>
                  <wp:effectExtent l="0" t="0" r="0" b="0"/>
                  <wp:wrapNone/>
                  <wp:docPr id="24" name="图片_9"/>
                  <wp:cNvGraphicFramePr/>
                  <a:graphic xmlns:a="http://schemas.openxmlformats.org/drawingml/2006/main">
                    <a:graphicData uri="http://schemas.openxmlformats.org/drawingml/2006/picture">
                      <pic:pic xmlns:pic="http://schemas.openxmlformats.org/drawingml/2006/picture">
                        <pic:nvPicPr>
                          <pic:cNvPr id="24" name="图片_9"/>
                          <pic:cNvPicPr/>
                        </pic:nvPicPr>
                        <pic:blipFill>
                          <a:blip r:embed="rId15"/>
                          <a:stretch>
                            <a:fillRect/>
                          </a:stretch>
                        </pic:blipFill>
                        <pic:spPr>
                          <a:xfrm>
                            <a:off x="0" y="0"/>
                            <a:ext cx="631825" cy="2540"/>
                          </a:xfrm>
                          <a:prstGeom prst="rect">
                            <a:avLst/>
                          </a:prstGeom>
                          <a:noFill/>
                          <a:ln>
                            <a:noFill/>
                          </a:ln>
                        </pic:spPr>
                      </pic:pic>
                    </a:graphicData>
                  </a:graphic>
                </wp:anchor>
              </w:drawing>
            </w:r>
            <w:r>
              <w:rPr>
                <w:rFonts w:hint="eastAsia" w:ascii="宋体" w:hAnsi="宋体" w:eastAsia="宋体" w:cs="宋体"/>
                <w:b/>
                <w:bCs/>
                <w:color w:val="000000" w:themeColor="text1"/>
                <w:kern w:val="0"/>
                <w:sz w:val="21"/>
                <w:szCs w:val="21"/>
                <w:highlight w:val="none"/>
                <w:bdr w:val="single" w:color="000000" w:sz="4" w:space="0"/>
                <w:shd w:val="clear" w:color="auto" w:fill="D9D9D9"/>
                <w:lang w:bidi="ar"/>
                <w14:textFill>
                  <w14:solidFill>
                    <w14:schemeClr w14:val="tx1"/>
                  </w14:solidFill>
                </w14:textFill>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09600" cy="1270"/>
                  <wp:effectExtent l="0" t="0" r="0" b="0"/>
                  <wp:wrapNone/>
                  <wp:docPr id="34" name="图片_5"/>
                  <wp:cNvGraphicFramePr/>
                  <a:graphic xmlns:a="http://schemas.openxmlformats.org/drawingml/2006/main">
                    <a:graphicData uri="http://schemas.openxmlformats.org/drawingml/2006/picture">
                      <pic:pic xmlns:pic="http://schemas.openxmlformats.org/drawingml/2006/picture">
                        <pic:nvPicPr>
                          <pic:cNvPr id="34" name="图片_5"/>
                          <pic:cNvPicPr/>
                        </pic:nvPicPr>
                        <pic:blipFill>
                          <a:blip r:embed="rId16"/>
                          <a:stretch>
                            <a:fillRect/>
                          </a:stretch>
                        </pic:blipFill>
                        <pic:spPr>
                          <a:xfrm>
                            <a:off x="0" y="0"/>
                            <a:ext cx="609600" cy="1270"/>
                          </a:xfrm>
                          <a:prstGeom prst="rect">
                            <a:avLst/>
                          </a:prstGeom>
                          <a:noFill/>
                          <a:ln>
                            <a:noFill/>
                          </a:ln>
                        </pic:spPr>
                      </pic:pic>
                    </a:graphicData>
                  </a:graphic>
                </wp:anchor>
              </w:draw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10间物理实验室后排仪器柜设备</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设备名称</w:t>
            </w:r>
          </w:p>
        </w:tc>
        <w:tc>
          <w:tcPr>
            <w:tcW w:w="2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规格及技术参数</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备注</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后墙仪器柜1.2米</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核心产品</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尺寸：1200*450*2200mm</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主框架：采用ABS工程塑料注塑成型的侧横梁、铝合金型材前横梁、铝合金型材后横梁与铝合金型材立柱组成的箱体式复合框架结构，分上下两层。</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前中横梁上配专用特种锁具，可以一锁锁四门（方便实验室内仪器管理及存取）。</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前横梁：60*56mm壁厚1.2mm带圆弧造型铝合金型材。</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bidi="ar"/>
                <w14:textFill>
                  <w14:solidFill>
                    <w14:schemeClr w14:val="tx1"/>
                  </w14:solidFill>
                </w14:textFill>
              </w:rPr>
              <w:t>后横梁：60*40mm壁厚1.2mm长方体铝合金型材。</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bidi="ar"/>
                <w14:textFill>
                  <w14:solidFill>
                    <w14:schemeClr w14:val="tx1"/>
                  </w14:solidFill>
                </w14:textFill>
              </w:rPr>
              <w:t>左右支撑架：450*120*86mm壁厚2.5mmABS工程材料。</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bidi="ar"/>
                <w14:textFill>
                  <w14:solidFill>
                    <w14:schemeClr w14:val="tx1"/>
                  </w14:solidFill>
                </w14:textFill>
              </w:rPr>
              <w:t>前立柱：35*24mm壁厚1.2mm铝合金型材。</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bidi="ar"/>
                <w14:textFill>
                  <w14:solidFill>
                    <w14:schemeClr w14:val="tx1"/>
                  </w14:solidFill>
                </w14:textFill>
              </w:rPr>
              <w:t>后立柱：37*37mm壁厚1.2mm后端R25圆角的铝合金型材。所有型材表面均经纯环氧树脂塑粉高温固化处理达到耐腐耐磨。</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1"/>
                <w:szCs w:val="21"/>
                <w:highlight w:val="none"/>
                <w:lang w:bidi="ar"/>
                <w14:textFill>
                  <w14:solidFill>
                    <w14:schemeClr w14:val="tx1"/>
                  </w14:solidFill>
                </w14:textFill>
              </w:rPr>
              <w:t>柜体（侧板、顶板、背板）和柜门：柜体侧板、顶板、背板采用16mm中密度三聚氰胺双饰面板，以优质2mmPVC封边条配合</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优质</w:t>
            </w:r>
            <w:r>
              <w:rPr>
                <w:rFonts w:hint="eastAsia" w:ascii="宋体" w:hAnsi="宋体" w:eastAsia="宋体" w:cs="宋体"/>
                <w:color w:val="000000" w:themeColor="text1"/>
                <w:kern w:val="0"/>
                <w:sz w:val="21"/>
                <w:szCs w:val="21"/>
                <w:highlight w:val="none"/>
                <w:lang w:bidi="ar"/>
                <w14:textFill>
                  <w14:solidFill>
                    <w14:schemeClr w14:val="tx1"/>
                  </w14:solidFill>
                </w14:textFill>
              </w:rPr>
              <w:t>胶王热熔封边作防水处理；上下柜门框架均采用32*18mm壁厚1.2mm厚的铝合金型材横料、26*18mm壁厚1.2mm厚的铝合金型材立柱，用 ABS转接头进行连接，型材表面均经纯环氧树脂塑粉高温固化处理；上柜门内嵌4mm厚钢化玻璃，下柜门内嵌9mm中密度三聚氰胺饰面板，配以pp材料注塑一次成型的四分之一环形拉手；上下柜门的四个环形拉手组成一圆环造型，并在中间前横梁上加装专用锁具，可以一锁锁四门。</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highlight w:val="none"/>
                <w:lang w:bidi="ar"/>
                <w14:textFill>
                  <w14:solidFill>
                    <w14:schemeClr w14:val="tx1"/>
                  </w14:solidFill>
                </w14:textFill>
              </w:rPr>
              <w:t>层板：上下柜体共带4块层板（上三下一），采用16mm中密度三聚氰胺双饰面板，专用铝型材加固条加固，铝型材表面经纯环氧树脂塑粉高温固化处理。活动式层板可自由拆卸或调整高度。</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w:t>
            </w:r>
            <w:r>
              <w:rPr>
                <w:rFonts w:hint="eastAsia" w:ascii="宋体" w:hAnsi="宋体" w:eastAsia="宋体" w:cs="宋体"/>
                <w:color w:val="000000" w:themeColor="text1"/>
                <w:kern w:val="0"/>
                <w:sz w:val="21"/>
                <w:szCs w:val="21"/>
                <w:highlight w:val="none"/>
                <w:lang w:bidi="ar"/>
                <w14:textFill>
                  <w14:solidFill>
                    <w14:schemeClr w14:val="tx1"/>
                  </w14:solidFill>
                </w14:textFill>
              </w:rPr>
              <w:t>可调脚：采用PS塑料注塑制作，具有高度可调、耐磨、防潮、防腐蚀等特点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27</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9间教室后排各3张柜</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仪器柜</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尺寸：1000*450*2200mm</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主框架：采用ABS工程塑料注塑成型的侧横梁、铝合金型材前横梁、铝合金型材后横梁与铝合金型材立柱组成的箱体式复合框架结构，分上下两层。</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前中横梁上配专用特种锁具，可以一锁锁四门。</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前横梁：60*56mm壁厚1.2mm带圆弧造型铝合金型材。</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bidi="ar"/>
                <w14:textFill>
                  <w14:solidFill>
                    <w14:schemeClr w14:val="tx1"/>
                  </w14:solidFill>
                </w14:textFill>
              </w:rPr>
              <w:t>后横梁：60*40mm壁厚1.2mm长方体铝合金型材。</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bidi="ar"/>
                <w14:textFill>
                  <w14:solidFill>
                    <w14:schemeClr w14:val="tx1"/>
                  </w14:solidFill>
                </w14:textFill>
              </w:rPr>
              <w:t>左右支撑架：450*120*86mm壁厚2.5mmABS工程材料。</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bidi="ar"/>
                <w14:textFill>
                  <w14:solidFill>
                    <w14:schemeClr w14:val="tx1"/>
                  </w14:solidFill>
                </w14:textFill>
              </w:rPr>
              <w:t>前立柱：35*24mm壁厚1.2mm铝合金型材。</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bidi="ar"/>
                <w14:textFill>
                  <w14:solidFill>
                    <w14:schemeClr w14:val="tx1"/>
                  </w14:solidFill>
                </w14:textFill>
              </w:rPr>
              <w:t>后立柱： 37*37mm壁厚1.2mm后端R25圆角的铝合金型材。所有型材表面均经纯环氧树脂塑粉高温固化处理达到耐腐耐磨。</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1"/>
                <w:szCs w:val="21"/>
                <w:highlight w:val="none"/>
                <w:lang w:bidi="ar"/>
                <w14:textFill>
                  <w14:solidFill>
                    <w14:schemeClr w14:val="tx1"/>
                  </w14:solidFill>
                </w14:textFill>
              </w:rPr>
              <w:t>柜体（侧板、顶板、背板）和柜门：柜体侧板、顶板、背板采用16mm中密度三聚氰胺双饰面板，以优质2mmPVC封边条配合</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优质</w:t>
            </w:r>
            <w:r>
              <w:rPr>
                <w:rFonts w:hint="eastAsia" w:ascii="宋体" w:hAnsi="宋体" w:eastAsia="宋体" w:cs="宋体"/>
                <w:color w:val="000000" w:themeColor="text1"/>
                <w:kern w:val="0"/>
                <w:sz w:val="21"/>
                <w:szCs w:val="21"/>
                <w:highlight w:val="none"/>
                <w:lang w:bidi="ar"/>
                <w14:textFill>
                  <w14:solidFill>
                    <w14:schemeClr w14:val="tx1"/>
                  </w14:solidFill>
                </w14:textFill>
              </w:rPr>
              <w:t>胶王热熔封边作防水处理；上下柜门框架均采用32*18mm壁厚1.2mm厚的铝合金型材横料、26*18mm壁厚1.2mm厚的铝合金型材立柱，用 ABS转接头进行连接，型材表面均经纯环氧树脂塑粉高温固化处理；上柜门内嵌4mm厚钢化玻璃，下柜门内嵌9mm中密度三聚氰胺饰面板，配以pp材料注塑一次成型的四分之一环形拉手；上下柜门的四个环形拉手组成一圆环造型，并在中间前横梁上加装专用锁具，可以一锁锁四门。</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highlight w:val="none"/>
                <w:lang w:bidi="ar"/>
                <w14:textFill>
                  <w14:solidFill>
                    <w14:schemeClr w14:val="tx1"/>
                  </w14:solidFill>
                </w14:textFill>
              </w:rPr>
              <w:t>层板：上下柜体共带5块层板（上三下二），采用16mm中密度三聚氰胺双饰面板，专用铝型材加固条加固，铝型材表面经纯环氧树脂塑粉高温固化处理。活动式层板可自由拆卸或调整高度。</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w:t>
            </w:r>
            <w:r>
              <w:rPr>
                <w:rFonts w:hint="eastAsia" w:ascii="宋体" w:hAnsi="宋体" w:eastAsia="宋体" w:cs="宋体"/>
                <w:color w:val="000000" w:themeColor="text1"/>
                <w:kern w:val="0"/>
                <w:sz w:val="21"/>
                <w:szCs w:val="21"/>
                <w:highlight w:val="none"/>
                <w:lang w:bidi="ar"/>
                <w14:textFill>
                  <w14:solidFill>
                    <w14:schemeClr w14:val="tx1"/>
                  </w14:solidFill>
                </w14:textFill>
              </w:rPr>
              <w:t>可调脚：采用PS塑料注塑制作，具有高度可调、耐磨、防潮、防腐蚀等特点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1间教室定制柜</w:t>
            </w:r>
          </w:p>
        </w:tc>
      </w:tr>
      <w:tr>
        <w:tblPrEx>
          <w:tblCellMar>
            <w:top w:w="0" w:type="dxa"/>
            <w:left w:w="108" w:type="dxa"/>
            <w:bottom w:w="0" w:type="dxa"/>
            <w:right w:w="108" w:type="dxa"/>
          </w:tblCellMar>
        </w:tblPrEx>
        <w:trPr>
          <w:trHeight w:val="24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1825" cy="2540"/>
                  <wp:effectExtent l="0" t="0" r="0" b="0"/>
                  <wp:wrapNone/>
                  <wp:docPr id="25" name="图片_13"/>
                  <wp:cNvGraphicFramePr/>
                  <a:graphic xmlns:a="http://schemas.openxmlformats.org/drawingml/2006/main">
                    <a:graphicData uri="http://schemas.openxmlformats.org/drawingml/2006/picture">
                      <pic:pic xmlns:pic="http://schemas.openxmlformats.org/drawingml/2006/picture">
                        <pic:nvPicPr>
                          <pic:cNvPr id="25" name="图片_13"/>
                          <pic:cNvPicPr/>
                        </pic:nvPicPr>
                        <pic:blipFill>
                          <a:blip r:embed="rId15"/>
                          <a:stretch>
                            <a:fillRect/>
                          </a:stretch>
                        </pic:blipFill>
                        <pic:spPr>
                          <a:xfrm>
                            <a:off x="0" y="0"/>
                            <a:ext cx="631825" cy="2540"/>
                          </a:xfrm>
                          <a:prstGeom prst="rect">
                            <a:avLst/>
                          </a:prstGeom>
                          <a:noFill/>
                          <a:ln>
                            <a:noFill/>
                          </a:ln>
                        </pic:spPr>
                      </pic:pic>
                    </a:graphicData>
                  </a:graphic>
                </wp:anchor>
              </w:drawing>
            </w:r>
            <w:r>
              <w:rPr>
                <w:rFonts w:hint="eastAsia" w:ascii="宋体" w:hAnsi="宋体" w:eastAsia="宋体" w:cs="宋体"/>
                <w:b/>
                <w:bCs/>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09600" cy="1270"/>
                  <wp:effectExtent l="0" t="0" r="0" b="0"/>
                  <wp:wrapNone/>
                  <wp:docPr id="35" name="图片_12"/>
                  <wp:cNvGraphicFramePr/>
                  <a:graphic xmlns:a="http://schemas.openxmlformats.org/drawingml/2006/main">
                    <a:graphicData uri="http://schemas.openxmlformats.org/drawingml/2006/picture">
                      <pic:pic xmlns:pic="http://schemas.openxmlformats.org/drawingml/2006/picture">
                        <pic:nvPicPr>
                          <pic:cNvPr id="35" name="图片_12"/>
                          <pic:cNvPicPr/>
                        </pic:nvPicPr>
                        <pic:blipFill>
                          <a:blip r:embed="rId16"/>
                          <a:stretch>
                            <a:fillRect/>
                          </a:stretch>
                        </pic:blipFill>
                        <pic:spPr>
                          <a:xfrm>
                            <a:off x="0" y="0"/>
                            <a:ext cx="609600" cy="1270"/>
                          </a:xfrm>
                          <a:prstGeom prst="rect">
                            <a:avLst/>
                          </a:prstGeom>
                          <a:noFill/>
                          <a:ln>
                            <a:noFill/>
                          </a:ln>
                        </pic:spPr>
                      </pic:pic>
                    </a:graphicData>
                  </a:graphic>
                </wp:anchor>
              </w:drawing>
            </w:r>
            <w:r>
              <w:rPr>
                <w:rFonts w:hint="eastAsia" w:ascii="宋体" w:hAnsi="宋体" w:eastAsia="宋体" w:cs="宋体"/>
                <w:b/>
                <w:bCs/>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1825" cy="2540"/>
                  <wp:effectExtent l="0" t="0" r="0" b="0"/>
                  <wp:wrapNone/>
                  <wp:docPr id="23" name="图片_11"/>
                  <wp:cNvGraphicFramePr/>
                  <a:graphic xmlns:a="http://schemas.openxmlformats.org/drawingml/2006/main">
                    <a:graphicData uri="http://schemas.openxmlformats.org/drawingml/2006/picture">
                      <pic:pic xmlns:pic="http://schemas.openxmlformats.org/drawingml/2006/picture">
                        <pic:nvPicPr>
                          <pic:cNvPr id="23" name="图片_11"/>
                          <pic:cNvPicPr/>
                        </pic:nvPicPr>
                        <pic:blipFill>
                          <a:blip r:embed="rId15"/>
                          <a:stretch>
                            <a:fillRect/>
                          </a:stretch>
                        </pic:blipFill>
                        <pic:spPr>
                          <a:xfrm>
                            <a:off x="0" y="0"/>
                            <a:ext cx="631825" cy="2540"/>
                          </a:xfrm>
                          <a:prstGeom prst="rect">
                            <a:avLst/>
                          </a:prstGeom>
                          <a:noFill/>
                          <a:ln>
                            <a:noFill/>
                          </a:ln>
                        </pic:spPr>
                      </pic:pic>
                    </a:graphicData>
                  </a:graphic>
                </wp:anchor>
              </w:drawing>
            </w:r>
            <w:r>
              <w:rPr>
                <w:rFonts w:hint="eastAsia" w:ascii="宋体" w:hAnsi="宋体" w:eastAsia="宋体" w:cs="宋体"/>
                <w:b/>
                <w:bCs/>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09600" cy="1270"/>
                  <wp:effectExtent l="0" t="0" r="0" b="0"/>
                  <wp:wrapNone/>
                  <wp:docPr id="26" name="图片_10"/>
                  <wp:cNvGraphicFramePr/>
                  <a:graphic xmlns:a="http://schemas.openxmlformats.org/drawingml/2006/main">
                    <a:graphicData uri="http://schemas.openxmlformats.org/drawingml/2006/picture">
                      <pic:pic xmlns:pic="http://schemas.openxmlformats.org/drawingml/2006/picture">
                        <pic:nvPicPr>
                          <pic:cNvPr id="26" name="图片_10"/>
                          <pic:cNvPicPr/>
                        </pic:nvPicPr>
                        <pic:blipFill>
                          <a:blip r:embed="rId16"/>
                          <a:stretch>
                            <a:fillRect/>
                          </a:stretch>
                        </pic:blipFill>
                        <pic:spPr>
                          <a:xfrm>
                            <a:off x="0" y="0"/>
                            <a:ext cx="609600" cy="1270"/>
                          </a:xfrm>
                          <a:prstGeom prst="rect">
                            <a:avLst/>
                          </a:prstGeom>
                          <a:noFill/>
                          <a:ln>
                            <a:noFill/>
                          </a:ln>
                        </pic:spPr>
                      </pic:pic>
                    </a:graphicData>
                  </a:graphic>
                </wp:anchor>
              </w:draw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物理准备室设备</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设备名称</w:t>
            </w:r>
          </w:p>
        </w:tc>
        <w:tc>
          <w:tcPr>
            <w:tcW w:w="2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规格及技术参数</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备注</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全钢仪器柜1.2米</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尺寸：1200*500*2200mm全钢结构。</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框架：采用≥0.8mm厚镀锌钢板裁剪折弯后满焊点焊接，表面经环氧树脂喷涂处理，连接件采用不锈钢连接件。</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柜体：侧板、背板采用采用≥0.8mm厚镀锌钢板裁剪折弯后满焊点焊接，表面经环氧树脂喷涂处理，连接件采用不锈钢连接件。</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柜门：采用≥0.8mm厚镀锌钢板裁剪折弯后满焊点焊接，表面经环氧树脂喷涂处理，对开门式设计。</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拉手：采用SUS304不锈钢C型拉手。</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铰链：采用定位铰链或2mm不锈钢合页。</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调整脚：采用ABS新料模具一体成型的承重型可调节地脚，螺丝SUS304不锈钢材质。层板：上部2块层板，下部2块层板，层板间距可调。</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全钢仪器柜1.5米</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尺寸：1500*500*2200mm全钢结构。</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框架：采用≥0.8mm厚镀锌钢板裁剪折弯后满焊点焊接，表面经环氧树脂喷涂处理，连接件采用不锈钢连接件。</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柜体：侧板、背板采用采用≥0.8mm厚镀锌钢板裁剪折弯后满焊点焊接，表面经环氧树脂喷涂处理，连接件采用不锈钢连接件。</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柜门：采用≥0.8mm厚镀锌钢板裁剪折弯后满焊点焊接，表面经环氧树脂喷涂处理，对开门式设计。</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拉手：采用SUS304不锈钢C型拉手。</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铰链：采用定位铰链或2mm不锈钢合页。</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调整脚：采用ABS新料模具一体成型的承重型可调节地脚，螺丝SUS304不锈钢材质。层板：上部2块层板，下部2块层板，层板间距可调。</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全钢中央准备台</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尺寸：2400*1200mm*800mm</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1、一体化台面：采用12.7mm厚实芯理化板，四边加厚可视面为25mm并倒圆边，经机械打磨，表面光滑平整，无缝隙，整体美观大方；颜色：学校自选</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2、采用1.0㎜厚镀锌钢板裁剪折弯后满焊点焊接，表面经EPOXY喷涂处理。防水、耐潮，耐腐蚀。整体结构承重：台面承重不低于600kg不变形。</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背板：采用1.2㎜厚镀锌钢板裁剪折弯后满焊点焊接，表面经EPOXY喷涂处理。拆卸方便，并有利于管道及电线的安装和维护。防水、耐潮，耐腐蚀。</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层板/柜门/抽屉：采用1.0㎜厚钢板裁剪折弯后满焊点焊接，表面经EPOXY喷涂处理。</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拉手：一次性成型拉手。</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导轨：三节静音导轨。</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铰链：采用定位铰链或2mm不锈钢合页。</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桌面电源220V</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尺寸：160*80*50mm,单独安装在桌面上方，盒体为工程PC塑料模具注塑一次成型，面板与台面呈150°夹角，既便于读取参数又便于操作；</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面板采用耐磨、耐腐蚀的PVC薄膜面板。微电脑，数码实时显示电压电流值；电压表精度1%，电流表精度1.5%±5字；</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设置2路多功能220V五孔交流插座，操作简单，安全可靠。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使用环境：温度0-40℃，湿度&lt;90%。产品符合GB21748-2008、GB28481-2012、GB6675.4-2014、GB/T22048-2015及委托单位技术条件下检测项目绝缘性能、抗电强度、保护接地电阻、控制和调节件、结构、直流输出电压、重金属</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mg/kg</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、邻苯二甲酸脂</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等8项，要求提供市级及以上质量技术监督部门出具的检测报告复印件加盖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68480" behindDoc="0" locked="0" layoutInCell="1" allowOverlap="1">
                  <wp:simplePos x="0" y="0"/>
                  <wp:positionH relativeFrom="column">
                    <wp:posOffset>-45720</wp:posOffset>
                  </wp:positionH>
                  <wp:positionV relativeFrom="paragraph">
                    <wp:posOffset>796925</wp:posOffset>
                  </wp:positionV>
                  <wp:extent cx="1092200" cy="790575"/>
                  <wp:effectExtent l="0" t="0" r="12700" b="9525"/>
                  <wp:wrapNone/>
                  <wp:docPr id="27" name="Picture_1024_SpCnt_1"/>
                  <wp:cNvGraphicFramePr/>
                  <a:graphic xmlns:a="http://schemas.openxmlformats.org/drawingml/2006/main">
                    <a:graphicData uri="http://schemas.openxmlformats.org/drawingml/2006/picture">
                      <pic:pic xmlns:pic="http://schemas.openxmlformats.org/drawingml/2006/picture">
                        <pic:nvPicPr>
                          <pic:cNvPr id="27" name="Picture_1024_SpCnt_1"/>
                          <pic:cNvPicPr/>
                        </pic:nvPicPr>
                        <pic:blipFill>
                          <a:blip r:embed="rId17"/>
                          <a:stretch>
                            <a:fillRect/>
                          </a:stretch>
                        </pic:blipFill>
                        <pic:spPr>
                          <a:xfrm>
                            <a:off x="0" y="0"/>
                            <a:ext cx="1092200" cy="7905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桌面电源低压</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尺寸：160*80*50mm,单独安装在桌面上方，盒体为工程PC塑料模具注塑一次成型，面板与台面呈150°夹角，既便于读取参数又便于操作；</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面板采用耐磨、耐腐蚀的PVC薄膜面板，轻触按钮开关。微电脑控制，数码显示电压电流值；</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输入电压：220v±10%；</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交流输出：2-24V，2V一档共12档，额定电流2-12V，3A，14-24V，2A,数字电压电流表实时显示，精度1%，具有智能过载保护功能，当电流高于1.05倍额定电流时，自动断开，按开关键复位。</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bidi="ar"/>
                <w14:textFill>
                  <w14:solidFill>
                    <w14:schemeClr w14:val="tx1"/>
                  </w14:solidFill>
                </w14:textFill>
              </w:rPr>
              <w:t>直流输出：1.5-24V（极限0-24V），0.1V一档，额定电流1.5-12V，2A，12.1-24V，1.5A，数字电压电流表实时显示，精度0.5%。具有智能过载保护功能，当电流高于1.05倍额定电流时，自动断开，按开关键复位。</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bidi="ar"/>
                <w14:textFill>
                  <w14:solidFill>
                    <w14:schemeClr w14:val="tx1"/>
                  </w14:solidFill>
                </w14:textFill>
              </w:rPr>
              <w:t>使用环境：温度0-40℃，湿度&lt;90%。产品符合GB21748-2008、GB28481-2012、GB6675.4-2014、GB/T22048-2015及委托单位技术条件下检测项目绝缘性能、抗电强度、保护接地电阻、控制和调节件、结构、直流输出电压、重金属</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mg/kg</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、邻苯二甲酸脂</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等8项，要求提供市级及以上质量技术监督部门出具的检测报告复印件加盖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76672" behindDoc="0" locked="0" layoutInCell="1" allowOverlap="1">
                  <wp:simplePos x="0" y="0"/>
                  <wp:positionH relativeFrom="column">
                    <wp:posOffset>-41910</wp:posOffset>
                  </wp:positionH>
                  <wp:positionV relativeFrom="paragraph">
                    <wp:posOffset>1874520</wp:posOffset>
                  </wp:positionV>
                  <wp:extent cx="1108710" cy="810260"/>
                  <wp:effectExtent l="0" t="0" r="15240" b="8890"/>
                  <wp:wrapNone/>
                  <wp:docPr id="37" name="图片_17"/>
                  <wp:cNvGraphicFramePr/>
                  <a:graphic xmlns:a="http://schemas.openxmlformats.org/drawingml/2006/main">
                    <a:graphicData uri="http://schemas.openxmlformats.org/drawingml/2006/picture">
                      <pic:pic xmlns:pic="http://schemas.openxmlformats.org/drawingml/2006/picture">
                        <pic:nvPicPr>
                          <pic:cNvPr id="37" name="图片_17"/>
                          <pic:cNvPicPr/>
                        </pic:nvPicPr>
                        <pic:blipFill>
                          <a:blip r:embed="rId18"/>
                          <a:stretch>
                            <a:fillRect/>
                          </a:stretch>
                        </pic:blipFill>
                        <pic:spPr>
                          <a:xfrm>
                            <a:off x="0" y="0"/>
                            <a:ext cx="1108710" cy="8102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全钢边台</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尺寸：5600*600mm*850mm</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1、一体化台面：采用12.7mm厚实芯理化板，四边加厚可视面为25mm并倒圆边，经机械打磨，表面光滑平整，无缝隙，整体美观大方；颜色：学校自选</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2、采用1.0㎜厚镀锌钢板裁剪折弯后满焊点焊接，表面经EPOXY喷涂处理。防水、耐潮，耐腐蚀。整体结构承重：台面承重不低于600kg不变形。</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背板：采用1.2㎜厚镀锌钢板裁剪折弯后满焊点焊接，表面经EPOXY喷涂处理。拆卸方便，并有利于管道及电线的安装和维护。防水、耐潮，耐腐蚀。</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层板/柜门/抽屉：采用1.0㎜厚钢板裁剪折弯后满焊点焊接，表面经EPOXY喷涂处理。</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拉手：一次性成型拉手。</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导轨：三节静音导轨。</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铰链：采用定位铰链或2mm不锈钢合页。</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80768" behindDoc="0" locked="0" layoutInCell="1" allowOverlap="1">
                  <wp:simplePos x="0" y="0"/>
                  <wp:positionH relativeFrom="column">
                    <wp:posOffset>57150</wp:posOffset>
                  </wp:positionH>
                  <wp:positionV relativeFrom="paragraph">
                    <wp:posOffset>0</wp:posOffset>
                  </wp:positionV>
                  <wp:extent cx="631825" cy="2540"/>
                  <wp:effectExtent l="0" t="0" r="0" b="0"/>
                  <wp:wrapNone/>
                  <wp:docPr id="42" name="图片_15"/>
                  <wp:cNvGraphicFramePr/>
                  <a:graphic xmlns:a="http://schemas.openxmlformats.org/drawingml/2006/main">
                    <a:graphicData uri="http://schemas.openxmlformats.org/drawingml/2006/picture">
                      <pic:pic xmlns:pic="http://schemas.openxmlformats.org/drawingml/2006/picture">
                        <pic:nvPicPr>
                          <pic:cNvPr id="42" name="图片_15"/>
                          <pic:cNvPicPr/>
                        </pic:nvPicPr>
                        <pic:blipFill>
                          <a:blip r:embed="rId15"/>
                          <a:stretch>
                            <a:fillRect/>
                          </a:stretch>
                        </pic:blipFill>
                        <pic:spPr>
                          <a:xfrm>
                            <a:off x="0" y="0"/>
                            <a:ext cx="631825" cy="2540"/>
                          </a:xfrm>
                          <a:prstGeom prst="rect">
                            <a:avLst/>
                          </a:prstGeom>
                          <a:noFill/>
                          <a:ln>
                            <a:noFill/>
                          </a:ln>
                        </pic:spPr>
                      </pic:pic>
                    </a:graphicData>
                  </a:graphic>
                </wp:anchor>
              </w:drawing>
            </w:r>
            <w:r>
              <w:rPr>
                <w:rFonts w:hint="eastAsia" w:ascii="宋体" w:hAnsi="宋体" w:eastAsia="宋体" w:cs="宋体"/>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77696" behindDoc="0" locked="0" layoutInCell="1" allowOverlap="1">
                  <wp:simplePos x="0" y="0"/>
                  <wp:positionH relativeFrom="column">
                    <wp:posOffset>76200</wp:posOffset>
                  </wp:positionH>
                  <wp:positionV relativeFrom="paragraph">
                    <wp:posOffset>0</wp:posOffset>
                  </wp:positionV>
                  <wp:extent cx="609600" cy="1270"/>
                  <wp:effectExtent l="0" t="0" r="0" b="0"/>
                  <wp:wrapNone/>
                  <wp:docPr id="38" name="图片_14"/>
                  <wp:cNvGraphicFramePr/>
                  <a:graphic xmlns:a="http://schemas.openxmlformats.org/drawingml/2006/main">
                    <a:graphicData uri="http://schemas.openxmlformats.org/drawingml/2006/picture">
                      <pic:pic xmlns:pic="http://schemas.openxmlformats.org/drawingml/2006/picture">
                        <pic:nvPicPr>
                          <pic:cNvPr id="38" name="图片_14"/>
                          <pic:cNvPicPr/>
                        </pic:nvPicPr>
                        <pic:blipFill>
                          <a:blip r:embed="rId16"/>
                          <a:stretch>
                            <a:fillRect/>
                          </a:stretch>
                        </pic:blipFill>
                        <pic:spPr>
                          <a:xfrm>
                            <a:off x="0" y="0"/>
                            <a:ext cx="609600" cy="127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吸顶空调</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3匹吸顶空调，额定制冷量：7250W，制冷功率：2340W；制热功率：2350W+2100W；室内机噪音：31-43dB；室内机尺寸（宽*高*深）：830*204*830；室外机尺寸（宽*高*深）：890（940）*673*342；单元机三级能耗，（</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推荐品牌：</w:t>
            </w:r>
            <w:r>
              <w:rPr>
                <w:rFonts w:hint="eastAsia" w:ascii="宋体" w:hAnsi="宋体" w:eastAsia="宋体" w:cs="宋体"/>
                <w:color w:val="000000" w:themeColor="text1"/>
                <w:kern w:val="0"/>
                <w:sz w:val="21"/>
                <w:szCs w:val="21"/>
                <w:highlight w:val="none"/>
                <w:lang w:bidi="ar"/>
                <w14:textFill>
                  <w14:solidFill>
                    <w14:schemeClr w14:val="tx1"/>
                  </w14:solidFill>
                </w14:textFill>
              </w:rPr>
              <w:t>美的</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海尔</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格力</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或相当于</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824"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空调配件及安装</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3匹吸顶空调，12米铜管、含安装，布线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66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布线</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含教学电源国标2.5㎜*3电线与铺设人工费</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实验室地面</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优质</w:t>
            </w:r>
            <w:r>
              <w:rPr>
                <w:rFonts w:hint="eastAsia" w:ascii="宋体" w:hAnsi="宋体" w:eastAsia="宋体" w:cs="宋体"/>
                <w:color w:val="000000" w:themeColor="text1"/>
                <w:kern w:val="0"/>
                <w:sz w:val="21"/>
                <w:szCs w:val="21"/>
                <w:highlight w:val="none"/>
                <w:lang w:bidi="ar"/>
                <w14:textFill>
                  <w14:solidFill>
                    <w14:schemeClr w14:val="tx1"/>
                  </w14:solidFill>
                </w14:textFill>
              </w:rPr>
              <w:t>2.0mm厚度塑胶地板，耐磨、耐腐蚀，水，水泥自流平打底，专用胶粘接，焊接封口，铲平，不得有气泡，含安装</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45</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75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电路改造</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电源控制箱；插座、灯具电源线；开关；多孔插座；大功率独立设备控制箱；优质PVC阻燃管，含安装。</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室</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61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墙面粉刷</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立邦漆粉刷，墙面补洞、粉平等</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90</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墙体防水</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防水砂浆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实验室学科窗帘</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用窗帘的形式表现描述与学科教学内容相关或科学普及方面，选题适当，主题明确，无科学性错误，以图为主辅以文字。图片清晰美观，文字准确精炼，语句通顺易读，标点使用正确</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路桥中学物理基础实验室设备</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产品名称</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型号规格</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备注</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升降教师演示台</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 xml:space="preserve">尺寸：2400*700*850(直流电机、升降范围850-1250)㎜ </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台面：采用≥13mm瓷土黄实芯优抗板，圆周加厚处理，总厚度为25.4mm,四角圆角,四边磨边。</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箱体：采用16mm厚中密度三聚氰胺双饰面板，断面以优质2mmPVC封边条配合</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优质</w:t>
            </w:r>
            <w:r>
              <w:rPr>
                <w:rFonts w:hint="eastAsia" w:ascii="宋体" w:hAnsi="宋体" w:eastAsia="宋体" w:cs="宋体"/>
                <w:color w:val="000000" w:themeColor="text1"/>
                <w:kern w:val="0"/>
                <w:sz w:val="21"/>
                <w:szCs w:val="21"/>
                <w:highlight w:val="none"/>
                <w:lang w:bidi="ar"/>
                <w14:textFill>
                  <w14:solidFill>
                    <w14:schemeClr w14:val="tx1"/>
                  </w14:solidFill>
                </w14:textFill>
              </w:rPr>
              <w:t>胶王热熔封边防水处理，专用连接件连接组合紧固。四角包边：采用PP改性材料，塑料注塑模一次性成型，曲面弧形造型，可以有效避免碰撞对人体产生的伤害。实验台整体封闭性设计，升降器密封于桌内，具有升降器防护罩，</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层板：采用16mm以上厚的E1级中密度三聚氰胺饰面板，周边及断面采用厚2mm以上PVC热熔封边并作防水处理；</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 xml:space="preserve">每个箱体配四个优质的实验室仪器专用地脚，具有防腐防锈减震等特点。 </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1"/>
                <w:szCs w:val="21"/>
                <w:highlight w:val="none"/>
                <w:lang w:bidi="ar"/>
                <w14:textFill>
                  <w14:solidFill>
                    <w14:schemeClr w14:val="tx1"/>
                  </w14:solidFill>
                </w14:textFill>
              </w:rPr>
              <w:t>柜门，抽屉：采用厚16mm的中密度三聚氰胺饰面板，柜门和抽屉面板四周注塑模注塑包边成型，拉手与注塑包边一次性成型注塑。</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 xml:space="preserve">讲台配有键盘和中控抽屉，侧边配视频展示台抽屉。                                  </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为保证台面材料质量以及从环保角度保障师生健康，台面材料必须符合以下技术参数及要求：</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化学性能:台面板材正反两面需经过不少于71项化学试剂及有机溶液检测，其中包含：硫酸（98%）、氢氟酸（48%）王水、铬酸、高锰酸钾（10%）、二甲基甲酰胺、冰醋酸（90%）等检验结果均为无明显变化，分级结果为“5级”。</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环保性能：甲醛释放量检测结果为未检出甲醛含量</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物理性能：进行不少于15项检测，其中检测密度≥1.39g/㎝³，24h吸水率≤0.1%，静曲强度大于135MPa，弹性模量≥10320MPa,顺纹抗压强度大于206MPa，表面耐水蒸气性能 5级 无变化，漆膜硬度：＞9H；总挥发性有机化合物TVOC按照HJ571-2010的标准及相关的检测方法检检测结果为未检出。</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耐燃性能：参照GB/T 2408-2021《塑料燃烧性能的测定 水平法种垂直法》和依据GB 8624-2012《建筑材料及制品燃烧性能分级》作为检测和判定依据进行检测，结果达B1级，烟气毒性项目符合t1级要求；水平燃烧符合HB级，垂直燃烧符合V-0级。</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防霉性能：霉菌生长情况0级，抗菌性：不少于11种的菌种检测结果抗菌率≥99.9%；</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邻苯二甲酸脂：参照US EPA3540C：1996方法，采用GC-MS设备对不少于39项邻苯二甲酸脂进行检测，结果为未检出；</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具有甲醛及三聚氰胺迁移检测报告，结果为未检出；</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多环芳香烃：参照AfPS GS 2019:01PAK方法，采用GC-MS设备对不少于15项多环芳香烃（PAHs15)进行检测，结果为未检出；</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抗病毒活性：对H1N1、H3N2进行抗病毒活性试验，抗病毒活性率结果≥99.9%。</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台面板原材料厂家通过中国环保产品认证证书、中国环境标志产品认证证书、售后服务五星级认证证书。投标人应针对以上台面技术参数要求，提供符合参数的检测报告，供货时提供原厂家质保服务承诺函。</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bdr w:val="single" w:color="000000" w:sz="4" w:space="0"/>
                <w:lang w:bidi="ar"/>
                <w14:textFill>
                  <w14:solidFill>
                    <w14:schemeClr w14:val="tx1"/>
                  </w14:solidFill>
                </w14:textFill>
              </w:rPr>
              <w:drawing>
                <wp:anchor distT="0" distB="0" distL="114300" distR="114300" simplePos="0" relativeHeight="251678720" behindDoc="0" locked="0" layoutInCell="1" allowOverlap="1">
                  <wp:simplePos x="0" y="0"/>
                  <wp:positionH relativeFrom="column">
                    <wp:posOffset>-57150</wp:posOffset>
                  </wp:positionH>
                  <wp:positionV relativeFrom="paragraph">
                    <wp:posOffset>1622425</wp:posOffset>
                  </wp:positionV>
                  <wp:extent cx="1116330" cy="868045"/>
                  <wp:effectExtent l="0" t="0" r="7620" b="8255"/>
                  <wp:wrapNone/>
                  <wp:docPr id="39" name="图片_19"/>
                  <wp:cNvGraphicFramePr/>
                  <a:graphic xmlns:a="http://schemas.openxmlformats.org/drawingml/2006/main">
                    <a:graphicData uri="http://schemas.openxmlformats.org/drawingml/2006/picture">
                      <pic:pic xmlns:pic="http://schemas.openxmlformats.org/drawingml/2006/picture">
                        <pic:nvPicPr>
                          <pic:cNvPr id="39" name="图片_19"/>
                          <pic:cNvPicPr/>
                        </pic:nvPicPr>
                        <pic:blipFill>
                          <a:blip r:embed="rId19"/>
                          <a:stretch>
                            <a:fillRect/>
                          </a:stretch>
                        </pic:blipFill>
                        <pic:spPr>
                          <a:xfrm>
                            <a:off x="0" y="0"/>
                            <a:ext cx="1116330" cy="8680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教师总电源</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尺寸：405*405*90mm，装置在主控台组合柜内，采用耐磨、耐腐蚀的PVC薄膜面板，优质元器件，轻触按钮开关。输入电压：220v±10%；</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1、内装有教师演示电源及主控电源装置，教师能对实验室进行总体及分组控制：</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2、220V电源输出，电源总开关、漏电保护开关、工作指示灯、220V交流输出多用豪华插座，数码实时显示电压电流值；电压表精度1%，电流表精度1.5%±5字；</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3、带老师、学生220V过载漏电保护。</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使用环境：温度0-40℃，湿度&lt;90%。产品符合GB21748-2008、GB28481-2012、GB6675.4-2014、GB/T22048-2015及委托单位技术条件下检测项目绝缘性能、抗电强度、保护接地电阻、控制和调节件、结构、直流输出电压、重金属</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mg/kg</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、邻苯二甲酸脂</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等8项，要求提供市级及以上质量技术监督部门出具的检测报告复印件加盖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drawing>
                <wp:anchor distT="0" distB="0" distL="114300" distR="114300" simplePos="0" relativeHeight="251679744" behindDoc="0" locked="0" layoutInCell="1" allowOverlap="1">
                  <wp:simplePos x="0" y="0"/>
                  <wp:positionH relativeFrom="column">
                    <wp:posOffset>-29210</wp:posOffset>
                  </wp:positionH>
                  <wp:positionV relativeFrom="paragraph">
                    <wp:posOffset>652780</wp:posOffset>
                  </wp:positionV>
                  <wp:extent cx="1096645" cy="675640"/>
                  <wp:effectExtent l="0" t="0" r="8255" b="10160"/>
                  <wp:wrapNone/>
                  <wp:docPr id="40" name="图片_53_SpCnt_1"/>
                  <wp:cNvGraphicFramePr/>
                  <a:graphic xmlns:a="http://schemas.openxmlformats.org/drawingml/2006/main">
                    <a:graphicData uri="http://schemas.openxmlformats.org/drawingml/2006/picture">
                      <pic:pic xmlns:pic="http://schemas.openxmlformats.org/drawingml/2006/picture">
                        <pic:nvPicPr>
                          <pic:cNvPr id="40" name="图片_53_SpCnt_1"/>
                          <pic:cNvPicPr/>
                        </pic:nvPicPr>
                        <pic:blipFill>
                          <a:blip r:embed="rId12"/>
                          <a:stretch>
                            <a:fillRect/>
                          </a:stretch>
                        </pic:blipFill>
                        <pic:spPr>
                          <a:xfrm>
                            <a:off x="0" y="0"/>
                            <a:ext cx="1096645" cy="6756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物理实验桌（含学生电源）</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val="en-US" w:eastAsia="zh-CN" w:bidi="ar"/>
                <w14:textFill>
                  <w14:solidFill>
                    <w14:schemeClr w14:val="tx1"/>
                  </w14:solidFill>
                </w14:textFill>
              </w:rPr>
              <w:t>1</w:t>
            </w:r>
            <w:r>
              <w:rPr>
                <w:rStyle w:val="69"/>
                <w:rFonts w:hint="eastAsia" w:ascii="宋体" w:hAnsi="宋体" w:eastAsia="宋体" w:cs="宋体"/>
                <w:color w:val="000000" w:themeColor="text1"/>
                <w:sz w:val="21"/>
                <w:szCs w:val="21"/>
                <w:highlight w:val="none"/>
                <w:lang w:bidi="ar"/>
                <w14:textFill>
                  <w14:solidFill>
                    <w14:schemeClr w14:val="tx1"/>
                  </w14:solidFill>
                </w14:textFill>
              </w:rPr>
              <w:t>、尺寸及结构：1200*600*780mm，采用C字型镂空结构</w:t>
            </w:r>
            <w:r>
              <w:rPr>
                <w:rStyle w:val="69"/>
                <w:rFonts w:hint="eastAsia" w:ascii="宋体" w:hAnsi="宋体" w:eastAsia="宋体" w:cs="宋体"/>
                <w:color w:val="000000" w:themeColor="text1"/>
                <w:sz w:val="21"/>
                <w:szCs w:val="21"/>
                <w:highlight w:val="none"/>
                <w:lang w:eastAsia="zh-CN" w:bidi="ar"/>
                <w14:textFill>
                  <w14:solidFill>
                    <w14:schemeClr w14:val="tx1"/>
                  </w14:solidFill>
                </w14:textFill>
              </w:rPr>
              <w:t>；</w:t>
            </w:r>
            <w:r>
              <w:rPr>
                <w:rStyle w:val="69"/>
                <w:rFonts w:hint="eastAsia" w:ascii="宋体" w:hAnsi="宋体" w:eastAsia="宋体" w:cs="宋体"/>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color w:val="000000" w:themeColor="text1"/>
                <w:sz w:val="21"/>
                <w:szCs w:val="21"/>
                <w:highlight w:val="none"/>
                <w:lang w:bidi="ar"/>
                <w14:textFill>
                  <w14:solidFill>
                    <w14:schemeClr w14:val="tx1"/>
                  </w14:solidFill>
                </w14:textFill>
              </w:rPr>
              <w:t>2、台面：采用≥13mm瓷土黄实芯优抗板，经机械打磨，表面光滑平整，无缝隙，整体美观大方，后部根据桌架形状铣边镶入框架中，防止台面起翘、变形、脱落；</w:t>
            </w:r>
            <w:r>
              <w:rPr>
                <w:rStyle w:val="69"/>
                <w:rFonts w:hint="eastAsia" w:ascii="宋体" w:hAnsi="宋体" w:eastAsia="宋体" w:cs="宋体"/>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color w:val="000000" w:themeColor="text1"/>
                <w:sz w:val="21"/>
                <w:szCs w:val="21"/>
                <w:highlight w:val="none"/>
                <w:lang w:bidi="ar"/>
                <w14:textFill>
                  <w14:solidFill>
                    <w14:schemeClr w14:val="tx1"/>
                  </w14:solidFill>
                </w14:textFill>
              </w:rPr>
              <w:t>3、前横梁：采用60*38mm 壁厚1.2mm的铝型材拉伸成型，正前方下端口向上倾斜，预留与上支撑架锁紧螺丝口；</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4、中横梁：采用20*20mm 壁厚 1.2mm的钢质抗弯加固条 ；</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5、后横梁：采用110*30mm壁厚1.2 mm的铝型材拉伸成型，预留有与上支撑架锁紧螺丝口；</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w:t>
            </w:r>
            <w:r>
              <w:rPr>
                <w:rStyle w:val="70"/>
                <w:rFonts w:hint="eastAsia" w:ascii="宋体" w:hAnsi="宋体" w:eastAsia="宋体" w:cs="宋体"/>
                <w:color w:val="000000" w:themeColor="text1"/>
                <w:sz w:val="21"/>
                <w:szCs w:val="21"/>
                <w:highlight w:val="none"/>
                <w:lang w:bidi="ar"/>
                <w14:textFill>
                  <w14:solidFill>
                    <w14:schemeClr w14:val="tx1"/>
                  </w14:solidFill>
                </w14:textFill>
              </w:rPr>
              <w:t>6、后挡板：采用86*12mm壁厚1.2mm的铝型材整体拉伸成型，与左右支撑架组成半包形围栏，预留与面板匹配的卡槽，顶端高出台面</w:t>
            </w:r>
            <w:r>
              <w:rPr>
                <w:rStyle w:val="69"/>
                <w:rFonts w:hint="eastAsia" w:ascii="宋体" w:hAnsi="宋体" w:eastAsia="宋体" w:cs="宋体"/>
                <w:color w:val="000000" w:themeColor="text1"/>
                <w:sz w:val="21"/>
                <w:szCs w:val="21"/>
                <w:highlight w:val="none"/>
                <w:lang w:bidi="ar"/>
                <w14:textFill>
                  <w14:solidFill>
                    <w14:schemeClr w14:val="tx1"/>
                  </w14:solidFill>
                </w14:textFill>
              </w:rPr>
              <w:t>≥</w:t>
            </w:r>
            <w:r>
              <w:rPr>
                <w:rStyle w:val="70"/>
                <w:rFonts w:hint="eastAsia" w:ascii="宋体" w:hAnsi="宋体" w:eastAsia="宋体" w:cs="宋体"/>
                <w:color w:val="000000" w:themeColor="text1"/>
                <w:sz w:val="21"/>
                <w:szCs w:val="21"/>
                <w:highlight w:val="none"/>
                <w:lang w:bidi="ar"/>
                <w14:textFill>
                  <w14:solidFill>
                    <w14:schemeClr w14:val="tx1"/>
                  </w14:solidFill>
                </w14:textFill>
              </w:rPr>
              <w:t>70mm，可有效防止台面仪器向后滚落</w:t>
            </w:r>
            <w:r>
              <w:rPr>
                <w:rStyle w:val="69"/>
                <w:rFonts w:hint="eastAsia" w:ascii="宋体" w:hAnsi="宋体" w:eastAsia="宋体" w:cs="宋体"/>
                <w:color w:val="000000" w:themeColor="text1"/>
                <w:sz w:val="21"/>
                <w:szCs w:val="21"/>
                <w:highlight w:val="none"/>
                <w:lang w:bidi="ar"/>
                <w14:textFill>
                  <w14:solidFill>
                    <w14:schemeClr w14:val="tx1"/>
                  </w14:solidFill>
                </w14:textFill>
              </w:rPr>
              <w:t>。</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7、桌腿由上支撑架、支撑立柱、下支撑脚和可调地脚组成C字形；</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7.1上支撑架：采用 585*195*50mm壁厚3mm厚的铝材压铸一次性成型，配有255*70mm倾斜式半包形围栏，内侧镶嵌有工程塑料装饰盖，两侧弧形圆角，弧度和立柱的弧度吻合，</w:t>
            </w:r>
            <w:r>
              <w:rPr>
                <w:rStyle w:val="69"/>
                <w:rFonts w:hint="eastAsia" w:ascii="宋体" w:hAnsi="宋体" w:cs="宋体"/>
                <w:color w:val="000000" w:themeColor="text1"/>
                <w:sz w:val="21"/>
                <w:szCs w:val="21"/>
                <w:highlight w:val="none"/>
                <w:lang w:eastAsia="zh-CN" w:bidi="ar"/>
                <w14:textFill>
                  <w14:solidFill>
                    <w14:schemeClr w14:val="tx1"/>
                  </w14:solidFill>
                </w14:textFill>
              </w:rPr>
              <w:t>左两侧安装220V多功能学生电源</w:t>
            </w:r>
            <w:r>
              <w:rPr>
                <w:rStyle w:val="69"/>
                <w:rFonts w:hint="eastAsia" w:ascii="宋体" w:hAnsi="宋体" w:eastAsia="宋体" w:cs="宋体"/>
                <w:color w:val="000000" w:themeColor="text1"/>
                <w:sz w:val="21"/>
                <w:szCs w:val="21"/>
                <w:highlight w:val="none"/>
                <w:lang w:bidi="ar"/>
                <w14:textFill>
                  <w14:solidFill>
                    <w14:schemeClr w14:val="tx1"/>
                  </w14:solidFill>
                </w14:textFill>
              </w:rPr>
              <w:t>，内置防触电防尘罩，不影响实验操作；设置2路多功能220V五孔交流插座，操作简单，安全可靠。</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7.2支撑立柱：采用150x50mm壁厚1.5mm的优质铝材，外侧带有弧形圆角，有郊避免意外发生</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7.3下支撑脚：采用 570*130*50mm壁厚4mm厚的铝材压铸一次性成型，外侧与前端弧形圆角，弧度和立柱的弧度吻合，前后带有与地面固定的螺丝孔，带塑料装饰盖。</w:t>
            </w:r>
          </w:p>
          <w:p>
            <w:pPr>
              <w:widowControl/>
              <w:ind w:firstLine="420" w:firstLineChars="200"/>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7.4多功能可调地脚：高度螺旋调节，采用高强度的尼龙材料，塑料注塑成型，内置脚轮固定孔。以上所有铝型材料表面经过防腐氧化处理和纯环氧树脂塑粉高温固化处理，具有较强的耐蚀性及承重性。</w:t>
            </w:r>
          </w:p>
          <w:p>
            <w:pPr>
              <w:widowControl/>
              <w:jc w:val="left"/>
              <w:textAlignment w:val="center"/>
              <w:rPr>
                <w:rStyle w:val="69"/>
                <w:rFonts w:hint="eastAsia" w:ascii="宋体" w:hAnsi="宋体" w:eastAsia="宋体" w:cs="宋体"/>
                <w:color w:val="000000" w:themeColor="text1"/>
                <w:sz w:val="21"/>
                <w:szCs w:val="21"/>
                <w:highlight w:val="none"/>
                <w:lang w:bidi="ar"/>
                <w14:textFill>
                  <w14:solidFill>
                    <w14:schemeClr w14:val="tx1"/>
                  </w14:solidFill>
                </w14:textFill>
              </w:rPr>
            </w:pPr>
            <w:r>
              <w:rPr>
                <w:rStyle w:val="69"/>
                <w:rFonts w:hint="eastAsia" w:ascii="宋体" w:hAnsi="宋体" w:eastAsia="宋体" w:cs="宋体"/>
                <w:color w:val="000000" w:themeColor="text1"/>
                <w:sz w:val="21"/>
                <w:szCs w:val="21"/>
                <w:highlight w:val="none"/>
                <w:lang w:bidi="ar"/>
                <w14:textFill>
                  <w14:solidFill>
                    <w14:schemeClr w14:val="tx1"/>
                  </w14:solidFill>
                </w14:textFill>
              </w:rPr>
              <w:t xml:space="preserve">8、书包斗：规格460*315*154mm,厚度6mm，采用ABS材料，塑料注塑模一次性成型，正面设有可悬挂凳子的圆形孔，周边加厚加强，斗内有10根宽度为30mm的沙面处理的加强体块，两侧和后侧均设有固定耳。                           </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w:t>
            </w:r>
            <w:r>
              <w:rPr>
                <w:rStyle w:val="69"/>
                <w:rFonts w:hint="eastAsia" w:ascii="宋体" w:hAnsi="宋体" w:eastAsia="宋体" w:cs="宋体"/>
                <w:b/>
                <w:bCs/>
                <w:color w:val="000000" w:themeColor="text1"/>
                <w:sz w:val="21"/>
                <w:szCs w:val="21"/>
                <w:highlight w:val="none"/>
                <w:lang w:val="en-US" w:eastAsia="zh-CN" w:bidi="ar"/>
                <w14:textFill>
                  <w14:solidFill>
                    <w14:schemeClr w14:val="tx1"/>
                  </w14:solidFill>
                </w14:textFill>
              </w:rPr>
              <w:t>9、</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台面材料质量以及从环保角度保障师生健康，台面材料必须符合以下技术参数及要求：</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化学性能:台面板材正反两面需经过不少于71项化学试剂及有机溶液检测，其中包含：硫酸（98%）、氢氟酸（48%）王水、铬酸、高锰酸钾（10%）、二甲基甲酰胺、冰醋酸（90%）等检验结果均为无明显变化，分级结果为“5级”。</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环保性能：甲醛释放量检测结果为未检出甲醛含量</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物理性能：进行不少于15项检测，其中检测密度≥1.39g/㎝³，24h吸水率≤0.1%，静曲强度大于135MPa，弹性模量≥10320MPa,顺纹抗压强度大于206MPa，表面耐水蒸气性能 5级 无变化，漆膜硬度：＞9H；总挥发性有机化合物TVOC按照HJ571-2010的标准及相关的检测方法检检测结果为未检出。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耐燃性能：参照GB/T 2408-2021《塑料燃烧性能的测定 水平法种垂直法》和依据GB 8624-2012《建筑材料及制品燃烧性能分级》作为检测和判定依据进行检测，结果达B1级，烟气毒性项目符合t1级要求；水平燃烧符合HB级，垂直燃烧符合V-0级。</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防霉性能：霉菌生长情况0级，抗菌性：不少于11种的菌种检测结果抗菌率≥99.9%；</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邻苯二甲酸脂：参照US EPA3540C：1996方法，采用GC-MS设备对不少于39项邻苯二甲酸脂进行检测，结果为未检出；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具有甲醛及三聚氰胺迁移检测报告，结果为未检出；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多环芳香烃：参照AfPS GS 2019:01PAK方法，采用GC-MS设备对不少于15项多环芳香烃（PAHs15)进行检测，结果为未检出；</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抗病毒活性：对H1N1、H3N2进行抗病毒活性试验，抗病毒活性率结果≥99.9%。</w:t>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br w:type="textWrapping"/>
            </w:r>
            <w:r>
              <w:rPr>
                <w:rStyle w:val="69"/>
                <w:rFonts w:hint="eastAsia" w:ascii="宋体" w:hAnsi="宋体" w:eastAsia="宋体" w:cs="宋体"/>
                <w:b/>
                <w:bCs/>
                <w:color w:val="000000" w:themeColor="text1"/>
                <w:sz w:val="21"/>
                <w:szCs w:val="21"/>
                <w:highlight w:val="none"/>
                <w:lang w:bidi="ar"/>
                <w14:textFill>
                  <w14:solidFill>
                    <w14:schemeClr w14:val="tx1"/>
                  </w14:solidFill>
                </w14:textFill>
              </w:rPr>
              <w:t>台面板原材料厂家通过中国环保产品认证证书、中国环境标志产品认证证书、售后服务五星级认证证书。投标人应针对以上台面技术参数要求，提供符合参数的检测报告，供货时提供原厂家质保服务承诺函</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24</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线路保护箱</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规格400*240*730mm，分为桶体和底座两部份，底座为与桌面同色的壁厚3mmPP改性材质注塑成型；桶体分为两块，壁厚3mm,采用PP改性材料，塑料注塑模一次性成型,表面沙面和光面相结合处理，以齿合槽配以螺丝连接，拆分组合方便，方便检修桶体内的风管或电线</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24</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pacing w:val="-4"/>
                <w:szCs w:val="21"/>
                <w:highlight w:val="none"/>
                <w14:textFill>
                  <w14:solidFill>
                    <w14:schemeClr w14:val="tx1"/>
                  </w14:solidFill>
                </w14:textFill>
              </w:rPr>
              <w:t>物理桌面</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学生电源</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尺寸：160*80*50mm,单独安装在桌面上方，盒体为工程PC塑料模具注塑一次成型，面板与台面呈150°夹角，既便于读取参数又便于操作；</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面板采用耐磨、耐腐蚀的PVC薄膜面板。微电脑，数码实时显示电压电流值；电压表精度1%，电流表精度1.5%±5字；</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设置2路多功能220V五孔交流插座，操作简单，安全可靠。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使用环境：温度0-40℃，湿度&lt;90%。产品符合GB21748-2008、GB28481-2012、GB6675.4-2014、GB/T22048-2015及委托单位技术条件下检测项目绝缘性能、抗电强度、保护接地电阻、控制和调节件、结构、直流输出电压、重金属</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mg/kg</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、邻苯二甲酸脂</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等8项，要求提供市级及以上质量技术监督部门出具的检测报告复印件加盖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24</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实验椅</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1、尺寸：315*330*440mm</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2、椅面:315×330mm,采用5mm厚PP工程塑料注塑成型，三面加厚至10mm，带小靠背和拉手；</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3、支撑柱采用直径56mm圆钢管；</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4、托盘:采用直径120*2mm钢板内凹成型，采用全周满焊焊接，用四颗直径10mm的六角螺丝连接凳面，结构牢固，长期使用也不会出现摇晃松散现象；</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5、支撑脚：下端五星脚采用PP塑料成型，直径460mm，配网状加强筋，承重，耐腐蚀。</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48</w:t>
            </w:r>
          </w:p>
        </w:tc>
        <w:tc>
          <w:tcPr>
            <w:tcW w:w="1048" w:type="pct"/>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drawing>
                <wp:anchor distT="0" distB="0" distL="114300" distR="114300" simplePos="0" relativeHeight="251681792" behindDoc="0" locked="0" layoutInCell="1" allowOverlap="1">
                  <wp:simplePos x="0" y="0"/>
                  <wp:positionH relativeFrom="column">
                    <wp:posOffset>-12700</wp:posOffset>
                  </wp:positionH>
                  <wp:positionV relativeFrom="paragraph">
                    <wp:posOffset>299085</wp:posOffset>
                  </wp:positionV>
                  <wp:extent cx="1011555" cy="658495"/>
                  <wp:effectExtent l="0" t="0" r="17145" b="8255"/>
                  <wp:wrapNone/>
                  <wp:docPr id="44" name="图片_22"/>
                  <wp:cNvGraphicFramePr/>
                  <a:graphic xmlns:a="http://schemas.openxmlformats.org/drawingml/2006/main">
                    <a:graphicData uri="http://schemas.openxmlformats.org/drawingml/2006/picture">
                      <pic:pic xmlns:pic="http://schemas.openxmlformats.org/drawingml/2006/picture">
                        <pic:nvPicPr>
                          <pic:cNvPr id="44" name="图片_22"/>
                          <pic:cNvPicPr/>
                        </pic:nvPicPr>
                        <pic:blipFill>
                          <a:blip r:embed="rId14"/>
                          <a:stretch>
                            <a:fillRect/>
                          </a:stretch>
                        </pic:blipFill>
                        <pic:spPr>
                          <a:xfrm>
                            <a:off x="0" y="0"/>
                            <a:ext cx="1011555" cy="6584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72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吊顶</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轻钢龙骨，600*600石膏板吊顶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96</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（LED）灯具</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集成LED灯600**600，功率35W，含安装</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符合GB 7000.1、GB 7000.10、GB 17743的有关规定，有CCC证书；灯具效率：66.7%；壳体采用优质冷轧薄板，厚度为0.5mm，壳体材料经过除油剂除油，并进行防锈、磷化处理后静电喷塑；遮光角：＞30°优质高反射率铝反光板，厚度＞0.4mm，反射率＞85%，喷涂防静电膜；</w:t>
            </w:r>
          </w:p>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镇流器：符合GB 19510.1、GB 19510.4、GB 17625.1、GB/T  15144-2009、EN 50294的要求，有CCC证书；功率因素≥0.98；总谐波失真≤6.4%；灯电流波峰比≤1.38；能效等级A2级；使用寿命≥5年；</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灯管：符合GB/T 10682的规定；能效等级1级（GB19043）；Ra≥85；光效≥84lm/w；色温4000K；2000小时光通维持率≥94.9%；光通维持率下降至70%的有效使用寿命≥13000小时；汞含量≤2mg；格栅：优质合成材料的镜面格栅，具有深度散射性能，ABS真空镀膜，光洁明亮；灯具外导线：导线截面1mm</w:t>
            </w: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²</w:t>
            </w:r>
            <w:r>
              <w:rPr>
                <w:rFonts w:hint="eastAsia" w:ascii="宋体" w:hAnsi="宋体" w:eastAsia="宋体" w:cs="宋体"/>
                <w:color w:val="000000" w:themeColor="text1"/>
                <w:kern w:val="0"/>
                <w:sz w:val="21"/>
                <w:szCs w:val="21"/>
                <w:highlight w:val="none"/>
                <w:lang w:bidi="ar"/>
                <w14:textFill>
                  <w14:solidFill>
                    <w14:schemeClr w14:val="tx1"/>
                  </w14:solidFill>
                </w14:textFill>
              </w:rPr>
              <w:t>，有CCC证书</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18</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1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实验室学科窗帘</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用窗帘的形式表现描述与学科教学内容相关或科学普及方面，选题适当，主题明确，无科学性错误，以图为主辅以文字。图片清晰美观，文字准确精炼，语句通顺易读，标点使用正确,</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25</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49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墙体油漆</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原墙体剥落墙体粉刷铲除，水泥砂浆抹底，环保乳胶漆三底两面</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150</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43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踢脚线</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黑色瓷砖踢脚线，高度120</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mm</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40</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实验室地面</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优质</w:t>
            </w:r>
            <w:r>
              <w:rPr>
                <w:rFonts w:hint="eastAsia" w:ascii="宋体" w:hAnsi="宋体" w:eastAsia="宋体" w:cs="宋体"/>
                <w:color w:val="000000" w:themeColor="text1"/>
                <w:kern w:val="0"/>
                <w:sz w:val="21"/>
                <w:szCs w:val="21"/>
                <w:highlight w:val="none"/>
                <w:lang w:bidi="ar"/>
                <w14:textFill>
                  <w14:solidFill>
                    <w14:schemeClr w14:val="tx1"/>
                  </w14:solidFill>
                </w14:textFill>
              </w:rPr>
              <w:t>2.0mm厚度塑胶地板，耐磨、耐腐蚀，水泥自流平打底，专用胶粘接，焊接封口，铲平，不得有气泡，含安装</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98</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包水管</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室内给排水立管石膏板包饰，粉刷油漆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平方</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吸顶空调</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3匹吸顶空调，额定制冷量：7250W，制冷功率：2340W；制热功率：2350W+2100W；室内机噪音：31-43dB；室内机尺寸（宽*高*深）：830*204*830；室外机尺寸（宽*高*深）：890（940）*673*342；单元机三级能耗，（</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推荐品牌：</w:t>
            </w:r>
            <w:r>
              <w:rPr>
                <w:rFonts w:hint="eastAsia" w:ascii="宋体" w:hAnsi="宋体" w:eastAsia="宋体" w:cs="宋体"/>
                <w:color w:val="000000" w:themeColor="text1"/>
                <w:kern w:val="0"/>
                <w:sz w:val="21"/>
                <w:szCs w:val="21"/>
                <w:highlight w:val="none"/>
                <w:lang w:bidi="ar"/>
                <w14:textFill>
                  <w14:solidFill>
                    <w14:schemeClr w14:val="tx1"/>
                  </w14:solidFill>
                </w14:textFill>
              </w:rPr>
              <w:t>美的</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海尔</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格力</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或相当于</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空调配件及安装</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3匹吸顶空调，12米铜管、含安装，布线</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布线</w:t>
            </w:r>
          </w:p>
        </w:tc>
        <w:tc>
          <w:tcPr>
            <w:tcW w:w="25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含教学电源国标2.5㎜*3电线与铺设人工费,含地面开槽</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室</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基础设施</w:t>
            </w:r>
          </w:p>
        </w:tc>
      </w:tr>
      <w:tr>
        <w:tblPrEx>
          <w:tblCellMar>
            <w:top w:w="0" w:type="dxa"/>
            <w:left w:w="108" w:type="dxa"/>
            <w:bottom w:w="0" w:type="dxa"/>
            <w:right w:w="108" w:type="dxa"/>
          </w:tblCellMar>
        </w:tblPrEx>
        <w:trPr>
          <w:trHeight w:val="5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6间教室多媒体</w:t>
            </w:r>
          </w:p>
        </w:tc>
      </w:tr>
      <w:tr>
        <w:tblPrEx>
          <w:tblCellMar>
            <w:top w:w="0" w:type="dxa"/>
            <w:left w:w="108" w:type="dxa"/>
            <w:bottom w:w="0" w:type="dxa"/>
            <w:right w:w="108" w:type="dxa"/>
          </w:tblCellMar>
        </w:tblPrEx>
        <w:trPr>
          <w:trHeight w:val="57"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设备名称</w:t>
            </w:r>
          </w:p>
        </w:tc>
        <w:tc>
          <w:tcPr>
            <w:tcW w:w="2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规格及技术参数</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单位</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数量</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备注</w:t>
            </w:r>
          </w:p>
        </w:tc>
      </w:tr>
      <w:tr>
        <w:tblPrEx>
          <w:tblCellMar>
            <w:top w:w="0" w:type="dxa"/>
            <w:left w:w="108" w:type="dxa"/>
            <w:bottom w:w="0" w:type="dxa"/>
            <w:right w:w="108" w:type="dxa"/>
          </w:tblCellMar>
        </w:tblPrEx>
        <w:trPr>
          <w:trHeight w:val="312" w:hRule="atLeast"/>
        </w:trPr>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教学一体机</w:t>
            </w:r>
          </w:p>
        </w:tc>
        <w:tc>
          <w:tcPr>
            <w:tcW w:w="2521" w:type="pct"/>
            <w:vMerge w:val="restart"/>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86寸教学一体机</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一、整机要求</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★1、整机采用一体设计，外部无任何可见内部功能模块连接线，整机采用86英寸超高清LED液晶屏，</w:t>
            </w:r>
            <w:r>
              <w:rPr>
                <w:rFonts w:hint="eastAsia" w:ascii="宋体" w:hAnsi="宋体" w:eastAsia="宋体" w:cs="宋体"/>
                <w:b/>
                <w:bCs/>
                <w:color w:val="000000" w:themeColor="text1"/>
                <w:sz w:val="21"/>
                <w:szCs w:val="21"/>
                <w:highlight w:val="none"/>
                <w14:textFill>
                  <w14:solidFill>
                    <w14:schemeClr w14:val="tx1"/>
                  </w14:solidFill>
                </w14:textFill>
              </w:rPr>
              <w:t>显示比例16:9，分辨率3840×2160。</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采用全物理钢化玻璃，钢化玻璃表面硬度≥9H。</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★2、整机采用DC调光方式提升显示对比度，采用硬件低蓝光技术达到蓝光占比＜50%。（提供国家认可的具备CMA认证的检测机构所出具的检测报告复印件并加盖</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3、为防止声音传播收到障碍物阻挡，整机扬声器采用顶置发声设计，位于设备上边框，总功率≥60W，声道≥2.2。（提供国家认可的具备CMA认证的检测机构所出具的检测报告复印件并加盖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整机内置2.2声道扬声器，位于设备上边框，顶置朝前发声，前朝向不低于10W高音扬声器2个，上朝向不低于20W中低音扬声器2个，额定总功率不低于60W。（提供检验检测中心所出具的权威检测报告复印件并加盖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公章）</w:t>
            </w:r>
          </w:p>
          <w:p>
            <w:pPr>
              <w:rPr>
                <w:rFonts w:hint="eastAsia" w:ascii="宋体" w:hAnsi="宋体" w:eastAsia="宋体" w:cs="宋体"/>
                <w:b/>
                <w:bCs/>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整机内置非独立外扩展的8阵列麦克风，拾音角度≥180°，可用于对教室环境音频进行采集，拾音距离≥12m。（提供检验检测中心所出具的权威检测报告复印件并加盖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整机上边框内置非独立式摄像头，视场角≥141度且水平视场角≥139度，可拍摄≥1600万像素的照片，支持输出8192×2048分辨率的照片和视频，支持画面畸变矫正功能 。（提供检验检测中心所出具的权威检测报告复印件并加盖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★7、为确保日常无线使用稳定，整机内置双WiFi6无线网卡（不接受外接），Wi-Fi制式支持IEEE 802.11 a/b/g/n/ac/ax；支持版本Wi-Fi6或以上。（提供国家认可的具备CMA认证的检测机构所出具的检测报告复印件并加盖</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8、整机支持蓝牙Bluetooth 5.4或以上标准。（提供国家认可的具备CMA认证的检测机构所出具的检测报告复印件并加盖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★9、嵌入式系统版本不低于Android 13，（提供国家认可的具备CMA认证的检测机构所出具的检测报告复印件并加盖公章）和整机的连接采用万兆级接口，传输速率≥10Gbps</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★10、采用红外触控方式， Windows系统及Android系统中均支持进行40点或以上触控，书写延迟≤26ms。（提供国家认可的具备CMA认证的检测机构所出具的检测报告复印件并加盖</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★11、CPU不低于第13代i5标准电压版本；内存≥16GB，存储空间≥512GB，需为固态硬盘。</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★12、配备高清视频展台，摄像头可以移动到讲台拍摄讲台上实验器材并同步到一体机屏幕上播放。</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二、功能要求</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三合一电源按键，同一电源物理按键完成Android系统和Windows系统的开机、节能熄屏</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★14、</w:t>
            </w:r>
            <w:r>
              <w:rPr>
                <w:rFonts w:hint="eastAsia" w:ascii="宋体" w:hAnsi="宋体" w:eastAsia="宋体" w:cs="宋体"/>
                <w:b/>
                <w:bCs/>
                <w:color w:val="000000" w:themeColor="text1"/>
                <w:sz w:val="21"/>
                <w:szCs w:val="21"/>
                <w:highlight w:val="none"/>
                <w14:textFill>
                  <w14:solidFill>
                    <w14:schemeClr w14:val="tx1"/>
                  </w14:solidFill>
                </w14:textFill>
              </w:rPr>
              <w:t>整机支持屏幕和边框全部堆积满粉笔灰可以正常进行屏幕电子化书写、擦除同步显示、触控，不受影响。（提供检验检测中心所出具的权威检测报告复印件并加盖</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15、整机内置中控菜单及侧边栏菜单，方便教师进行应用切换、信号源通道切换、教学工具调用、整机调节等操作。</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16、整机系统支持人工智能画质调节模式，启用后当屏幕出现人物、建筑、夜景等元素时，自动调整画质参数；支持人工智能空间感知音效模式，通过内置麦克风采集环境声音自动生成符合当前环境的音量、音效。（提供国家认可的具备CMA认证的检测机构所出具的检测报告复印件并加盖</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17、整机触控书写功能集成预测算法，在书写速度≥40cm/s时笔迹距离笔的距离小于20mm。（提供国家认可的具备CMA认证的检测机构所出具的检测报告复印件并加盖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18、优化书写体验，整机支持提笔书写及手笔分离功能，例如当检测到触控笔笔尖接触屏幕时，自动进入书写模式，使用笔可正常书写，而使用手指可以点击操作。</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19、整机触摸支持动态压力感应，支持普通书写笔（无任何电子功能）在整机上书写或点压时，笔迹呈现不同粗细。（提供国家认可的具备CMA认证的检测机构所出具的检测报告复印件并加盖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20、整机内置传屏接收模块，整机不需要连接任何附加设备，可实现外部电脑、手机等设备的音视频信号实时传输到整机上。</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21、整机Windows通道支持文件传输功能，连接方式支持超声及WiFi 直连方式，传输方式支持公网传输及WiFi 直连传输。（提供国家认可的具备CMA认证的检测机构所出具的检测报告复印件并加盖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22、整机设备开机启动后，自动进入教学桌面，支持账号登录、退出，自动获取个人云端教学课件列表，并可进入全部课件列表。（提供国家认可的具备CMA认证的检测机构所出具的检测报告复印件并加盖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★23、为提升校园灾害预警能力，整机设备支持地震预警，支持校方在地震预警页面中获取位置、选择提醒阈值。（提供国家认可的具备CMA认证的检测机构所出具的检测报告复印件并加盖</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24、整机内置专业硬件自检维护工具（非第三方工具），支持对整机内部的板卡及部件模块进行故障检测、系统还原功能。</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台</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0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7479"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521" w:type="pct"/>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color w:val="000000" w:themeColor="text1"/>
                <w:sz w:val="21"/>
                <w:szCs w:val="21"/>
                <w:highlight w:val="none"/>
                <w14:textFill>
                  <w14:solidFill>
                    <w14:schemeClr w14:val="tx1"/>
                  </w14:solidFill>
                </w14:textFill>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358"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实物展台</w:t>
            </w:r>
          </w:p>
        </w:tc>
        <w:tc>
          <w:tcPr>
            <w:tcW w:w="2521"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可固定在三脚架上，可放置在讲台、课桌上。</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摄像头臂上下可在0-90°任意位置弯折悬停、前后可180°旋转、主机和支架可分离机构设计，能俯拍作业，水平拍摄，手持拍摄。</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俯拍情况下，拍摄角度可覆盖A3画幅。</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★4</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主机具备显示屏幕，可实时预览拍摄的范围和画面。（提供具有CMA或CNAS认证资质的第三方检测认证机构出具的权威检测报告复印件）</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支持5G wifi无线传输。</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支持最多四台无线展台画面实时显示，可对比显示画面。</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★7</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支持拍摄1300万像素照片，支持3840*2160@20Hz超高清实时视频流传输（提供具有CMA或CNAS认证资质的第三方检测认证机构出具的权威检测报告复印件）</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8</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采用PDAF相位对焦技术，自动对焦速度低于300ms，减少对焦过程时间，提高教学效率。</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9</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支持通过双击大屏画面任意位置，即时改变对焦位置，可对立体物体的局部进行精确对焦。</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10</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采用type C充电接口，充电额定电压5VDC，充电额定电流2A，自带的可充电电池，充满电可是产品工作至少4小时。</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11</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支持二维码扫描快速加入网络、绑定无线网络。</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b/>
                <w:bCs/>
                <w:color w:val="000000" w:themeColor="text1"/>
                <w:kern w:val="0"/>
                <w:sz w:val="21"/>
                <w:szCs w:val="21"/>
                <w:highlight w:val="none"/>
                <w:lang w:bidi="ar"/>
                <w14:textFill>
                  <w14:solidFill>
                    <w14:schemeClr w14:val="tx1"/>
                  </w14:solidFill>
                </w14:textFill>
              </w:rPr>
              <w:t>★12</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展台机身上有四个按键，实现开关机、模式切换、画面旋转、启动功能，可实现一键启动展台画面、画面旋转、拍照、录像等功能；展台软件支持扫一扫、移动、批注、橡皮、撤销、拍照、延时拍照、英文批注、画面调节（旋转、缩放、亮度、情景模式、画面锁定）及对比教学功能。（提供具有CMA或CNAS认证资质的第三方检测认证机构出具的权威检测报告复印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智能笔</w:t>
            </w:r>
          </w:p>
        </w:tc>
        <w:tc>
          <w:tcPr>
            <w:tcW w:w="2521"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外观：笔身造型采用圆润一体化笔型设计，表面采用手感漆工艺便于握持；笔身长度≤17cm,笔身直径≤13mm，笔身重量≤18g；（提供国家级检测机构所出具的权威检测报告复印件并加盖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笔身配置不少于五个按键，具备上下翻页，智能语音，远程聚光灯/放大，书写颜色切换，兼顾触摸书写以及远程操控的握持姿态；（提供国家级检测机构所出具的权威检测报告复印件并加盖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笔头：采用锥型笔尖设计，直径≤3mm；同时支持电容，红外触控设备书写，书写最小精度2mm；（提供国家级检测机构所出具的权威检测报告复印件并加盖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笔头：连续书写距离不小于7km；（提供国家级检测机构所出具的权威检测报告复印件并加盖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翻页按键：短按上下翻页按键，可实现白板软件/ppt/pdf等文档上下翻页；长按上下翻页按键3s，可实现ppt播放/退出；（提供国家级检测机构所出具的权威检测报告复印件并加盖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多功能按键：a.短按多功能按键，可实现播放/暂停音视频或flash；b.双击此按键，可实现空鼠/放大镜/聚光灯等功能切换，切换顺序空鼠&gt;放大镜&gt;聚光灯；c.长按此按键即可实现对应功能(空鼠/放大镜/聚光灯)；（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语音：内置麦克风，支持按键唤醒语音识别功能，避免杂音造成误唤醒；（提供国家级检测机构所出具的权威检测报告复印件并加盖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8</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语音：支持唤醒语音识别时，可直接通过语音打开已安装的应用，可直接通过语音调用网络搜索引擎搜索查询相应资料，可进行语音转写输入，支持语音控制屏幕黑屏、亮屏，音量大小调整，返回桌面，截屏，关机等操作（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9</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语音：支持白板软件内，通过语音控制：切换书写、擦除、选择模式，最小化返回桌面，打开板中板，清空书写批注等操作；（提供国家级检测机构所出具的权威检测报告复印件并加盖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10</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批注：支持按键调起批注功能，可通过按键实现批注颜色切换，长按按键可实现橡皮擦功能（提供国家级检测机构所出具的权威检测报告复印件并加盖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11</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无线：为保障用户在不同场景使用智能笔，支持无线dongle及蓝牙两种连接方式，支持蓝牙5.1协议；（提供国家级检测机构所出具的权威检测报告复印件并加盖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12</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无线：无线蓝牙连接距离≥12m，上下翻页/语音控制/远程批注实现距离≥12m，覆盖标准教室；（提供国家级检测机构所出具的权威检测报告复印件并加盖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bidi="ar"/>
                <w14:textFill>
                  <w14:solidFill>
                    <w14:schemeClr w14:val="tx1"/>
                  </w14:solidFill>
                </w14:textFill>
              </w:rPr>
              <w:t>13</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充电：内置锂电池，支持type-c充电，待机时间≥60h,连续书写时间≥8h，从无电到满电的充电时长≤1小时；（提供国家级检测机构所出具的权威检测报告复印件并加盖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14、</w:t>
            </w:r>
            <w:r>
              <w:rPr>
                <w:rFonts w:hint="eastAsia" w:ascii="宋体" w:hAnsi="宋体" w:eastAsia="宋体" w:cs="宋体"/>
                <w:color w:val="000000" w:themeColor="text1"/>
                <w:kern w:val="0"/>
                <w:sz w:val="21"/>
                <w:szCs w:val="21"/>
                <w:highlight w:val="none"/>
                <w:lang w:bidi="ar"/>
                <w14:textFill>
                  <w14:solidFill>
                    <w14:schemeClr w14:val="tx1"/>
                  </w14:solidFill>
                </w14:textFill>
              </w:rPr>
              <w:t>自动休眠：支持智能休眠节电，当设备&gt;5min无人操作时，设备自动进入休眠节电模式；（提供国家级检测机构所出具的权威检测报告复印件并加盖</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投标人</w:t>
            </w:r>
            <w:r>
              <w:rPr>
                <w:rFonts w:hint="eastAsia" w:ascii="宋体" w:hAnsi="宋体" w:eastAsia="宋体" w:cs="宋体"/>
                <w:color w:val="000000" w:themeColor="text1"/>
                <w:kern w:val="0"/>
                <w:sz w:val="21"/>
                <w:szCs w:val="21"/>
                <w:highlight w:val="none"/>
                <w:lang w:bidi="ar"/>
                <w14:textFill>
                  <w14:solidFill>
                    <w14:schemeClr w14:val="tx1"/>
                  </w14:solidFill>
                </w14:textFill>
              </w:rPr>
              <w:t>公章）</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推拉绿板</w:t>
            </w:r>
          </w:p>
        </w:tc>
        <w:tc>
          <w:tcPr>
            <w:tcW w:w="2521" w:type="pct"/>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1、结构：推拉板由四块书写板及铝合金边框组装而成，书写板分内外双层结构，内层为两块固定书写板与86寸一体机正面平齐，外层为两块滑动书写板。</w:t>
            </w:r>
          </w:p>
          <w:p>
            <w:pPr>
              <w:widowControl/>
              <w:jc w:val="left"/>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2、基本尺寸：4000mm×1356mm。</w:t>
            </w:r>
          </w:p>
          <w:p>
            <w:pPr>
              <w:widowControl/>
              <w:jc w:val="left"/>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3、书写板面：采用优质烤漆钢板，厚度≥0.32mm，表面覆透明保护膜。板面为亚光墨绿色、漆膜硬度为6H，粗糙度为Ral.6-3.2um，板面书写流畅字迹清晰、易擦拭。</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pacing w:line="360" w:lineRule="auto"/>
        <w:rPr>
          <w:rFonts w:hint="eastAsia" w:ascii="宋体" w:hAnsi="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注：除招标文件推荐的品牌外，欢迎其他能满足本项目技术需求且性能与所明确品牌相当的产品参加。</w:t>
      </w:r>
    </w:p>
    <w:p>
      <w:pPr>
        <w:spacing w:line="360" w:lineRule="auto"/>
        <w:rPr>
          <w:rFonts w:hint="eastAsia" w:ascii="宋体" w:hAnsi="宋体" w:cs="宋体"/>
          <w:b/>
          <w:color w:val="000000" w:themeColor="text1"/>
          <w:sz w:val="21"/>
          <w:szCs w:val="21"/>
          <w:highlight w:val="none"/>
          <w:lang w:val="en-US" w:eastAsia="zh-CN"/>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四、样品要求</w:t>
      </w:r>
    </w:p>
    <w:tbl>
      <w:tblPr>
        <w:tblStyle w:val="22"/>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57" w:type="dxa"/>
            <w:vAlign w:val="center"/>
          </w:tcPr>
          <w:p>
            <w:pPr>
              <w:spacing w:line="240" w:lineRule="auto"/>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pacing w:val="-4"/>
                <w:szCs w:val="21"/>
                <w:highlight w:val="none"/>
                <w:lang w:val="en-US" w:eastAsia="zh-CN"/>
                <w14:textFill>
                  <w14:solidFill>
                    <w14:schemeClr w14:val="tx1"/>
                  </w14:solidFill>
                </w14:textFill>
              </w:rPr>
              <w:t>实物样品</w:t>
            </w:r>
          </w:p>
        </w:tc>
        <w:tc>
          <w:tcPr>
            <w:tcW w:w="7586" w:type="dxa"/>
            <w:vAlign w:val="center"/>
          </w:tcPr>
          <w:p>
            <w:pPr>
              <w:numPr>
                <w:ilvl w:val="0"/>
                <w:numId w:val="0"/>
              </w:numPr>
              <w:rPr>
                <w:rFonts w:hint="eastAsia" w:ascii="宋体" w:hAnsi="宋体" w:cs="宋体"/>
                <w:b/>
                <w:bCs/>
                <w:color w:val="000000" w:themeColor="text1"/>
                <w:spacing w:val="-4"/>
                <w:szCs w:val="21"/>
                <w:highlight w:val="none"/>
                <w:lang w:eastAsia="zh-CN"/>
                <w14:textFill>
                  <w14:solidFill>
                    <w14:schemeClr w14:val="tx1"/>
                  </w14:solidFill>
                </w14:textFill>
              </w:rPr>
            </w:pPr>
            <w:r>
              <w:rPr>
                <w:rFonts w:hint="eastAsia" w:ascii="宋体" w:hAnsi="宋体" w:cs="宋体" w:eastAsiaTheme="minorEastAsia"/>
                <w:b/>
                <w:bCs/>
                <w:color w:val="000000" w:themeColor="text1"/>
                <w:spacing w:val="-4"/>
                <w:kern w:val="2"/>
                <w:sz w:val="21"/>
                <w:szCs w:val="21"/>
                <w:highlight w:val="none"/>
                <w:lang w:val="en-US" w:eastAsia="zh-CN" w:bidi="ar-SA"/>
                <w14:textFill>
                  <w14:solidFill>
                    <w14:schemeClr w14:val="tx1"/>
                  </w14:solidFill>
                </w14:textFill>
              </w:rPr>
              <w:t>一、</w:t>
            </w:r>
            <w:r>
              <w:rPr>
                <w:rFonts w:hint="eastAsia" w:ascii="宋体" w:hAnsi="宋体" w:cs="宋体"/>
                <w:b/>
                <w:bCs/>
                <w:color w:val="000000" w:themeColor="text1"/>
                <w:spacing w:val="-4"/>
                <w:szCs w:val="21"/>
                <w:highlight w:val="none"/>
                <w14:textFill>
                  <w14:solidFill>
                    <w14:schemeClr w14:val="tx1"/>
                  </w14:solidFill>
                </w14:textFill>
              </w:rPr>
              <w:t>物理实验桌（C型结构）、实验椅一套</w:t>
            </w:r>
            <w:r>
              <w:rPr>
                <w:rFonts w:hint="eastAsia" w:ascii="宋体" w:hAnsi="宋体" w:cs="宋体"/>
                <w:b/>
                <w:bCs/>
                <w:color w:val="000000" w:themeColor="text1"/>
                <w:spacing w:val="-4"/>
                <w:szCs w:val="21"/>
                <w:highlight w:val="none"/>
                <w:lang w:eastAsia="zh-CN"/>
                <w14:textFill>
                  <w14:solidFill>
                    <w14:schemeClr w14:val="tx1"/>
                  </w14:solidFill>
                </w14:textFill>
              </w:rPr>
              <w:t>。</w:t>
            </w:r>
          </w:p>
          <w:p>
            <w:pPr>
              <w:numPr>
                <w:ilvl w:val="0"/>
                <w:numId w:val="0"/>
              </w:numPr>
              <w:rPr>
                <w:rFonts w:hint="eastAsia"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1、实验桌规格尺寸：1200*600*780mm，采用C字型镂空结构,实验椅规格尺寸：315*330*440mm。实验桌台面：采用≥13mm瓷土黄实芯优抗板，经机械打磨，表面光滑平整，无缝隙，整体美观大方，后部根据桌架形状铣边镶入框架中，防止台面起翘、变形、脱落。</w:t>
            </w:r>
          </w:p>
          <w:p>
            <w:pPr>
              <w:numPr>
                <w:ilvl w:val="0"/>
                <w:numId w:val="0"/>
              </w:numPr>
              <w:rPr>
                <w:rFonts w:hint="eastAsia" w:ascii="宋体" w:hAnsi="宋体" w:eastAsia="宋体" w:cs="宋体"/>
                <w:color w:val="000000" w:themeColor="text1"/>
                <w:spacing w:val="-4"/>
                <w:szCs w:val="21"/>
                <w:highlight w:val="none"/>
                <w:lang w:eastAsia="zh-CN"/>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2、实验桌后挡板：采用86*12mm壁厚1.2mm的铝型材整体拉伸成型，与左右支撑架组成半包形围栏，预留与面板匹配的卡槽，顶端高出台面≥70mm，可有效防止台面仪器向后滚落。</w:t>
            </w:r>
          </w:p>
          <w:p>
            <w:pPr>
              <w:numPr>
                <w:ilvl w:val="0"/>
                <w:numId w:val="0"/>
              </w:numPr>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3、实验椅规格尺寸：315*330*440mm。实验椅下支撑脚：下端五星脚采用PP塑料成型，直径460mm，配网状加强筋，承重，耐腐蚀。</w:t>
            </w:r>
          </w:p>
          <w:p>
            <w:pPr>
              <w:rPr>
                <w:rFonts w:hint="eastAsia" w:ascii="宋体" w:hAnsi="宋体" w:cs="宋体"/>
                <w:color w:val="000000" w:themeColor="text1"/>
                <w:spacing w:val="-4"/>
                <w:szCs w:val="21"/>
                <w:highlight w:val="none"/>
                <w14:textFill>
                  <w14:solidFill>
                    <w14:schemeClr w14:val="tx1"/>
                  </w14:solidFill>
                </w14:textFill>
              </w:rPr>
            </w:pPr>
          </w:p>
          <w:p>
            <w:pPr>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b/>
                <w:bCs/>
                <w:color w:val="000000" w:themeColor="text1"/>
                <w:spacing w:val="-4"/>
                <w:szCs w:val="21"/>
                <w:highlight w:val="none"/>
                <w14:textFill>
                  <w14:solidFill>
                    <w14:schemeClr w14:val="tx1"/>
                  </w14:solidFill>
                </w14:textFill>
              </w:rPr>
              <w:t>二、物理桌面学生电源一套</w:t>
            </w:r>
          </w:p>
          <w:p>
            <w:pPr>
              <w:rPr>
                <w:rFonts w:hint="eastAsia"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1、规格尺寸：160*80*50mm,单独安装在桌面上方，盒体为工程PC塑料模具注塑一次成型，面板与台面呈150°夹角，既便于读取参数又便于操作；</w:t>
            </w:r>
          </w:p>
          <w:p>
            <w:pPr>
              <w:rPr>
                <w:rFonts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2、面板采用耐磨、耐腐蚀的PVC薄膜面板。微电脑控制，数码实时显示电压电流值；电压表精度1%，电流表精度1.5%±5字。</w:t>
            </w:r>
          </w:p>
          <w:p>
            <w:pPr>
              <w:rPr>
                <w:rFonts w:hint="eastAsia" w:ascii="宋体" w:hAnsi="宋体" w:cs="宋体"/>
                <w:b/>
                <w:bCs/>
                <w:color w:val="000000" w:themeColor="text1"/>
                <w:spacing w:val="-4"/>
                <w:szCs w:val="21"/>
                <w:highlight w:val="none"/>
                <w14:textFill>
                  <w14:solidFill>
                    <w14:schemeClr w14:val="tx1"/>
                  </w14:solidFill>
                </w14:textFill>
              </w:rPr>
            </w:pPr>
          </w:p>
          <w:p>
            <w:pPr>
              <w:rPr>
                <w:rFonts w:hint="eastAsia" w:ascii="宋体" w:hAnsi="宋体" w:cs="宋体"/>
                <w:b/>
                <w:bCs/>
                <w:color w:val="000000" w:themeColor="text1"/>
                <w:spacing w:val="-4"/>
                <w:szCs w:val="21"/>
                <w:highlight w:val="none"/>
                <w14:textFill>
                  <w14:solidFill>
                    <w14:schemeClr w14:val="tx1"/>
                  </w14:solidFill>
                </w14:textFill>
              </w:rPr>
            </w:pPr>
            <w:r>
              <w:rPr>
                <w:rFonts w:hint="eastAsia" w:ascii="宋体" w:hAnsi="宋体" w:cs="宋体"/>
                <w:b/>
                <w:bCs/>
                <w:color w:val="000000" w:themeColor="text1"/>
                <w:spacing w:val="-4"/>
                <w:szCs w:val="21"/>
                <w:highlight w:val="none"/>
                <w14:textFill>
                  <w14:solidFill>
                    <w14:schemeClr w14:val="tx1"/>
                  </w14:solidFill>
                </w14:textFill>
              </w:rPr>
              <w:t>三、后墙仪器柜1.2米一张</w:t>
            </w:r>
          </w:p>
          <w:p>
            <w:pPr>
              <w:rPr>
                <w:rFonts w:hint="eastAsia" w:ascii="宋体" w:hAnsi="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1、规格尺寸：1200*450*2200mm。前横梁：60*56mm壁厚1.2mm带圆弧造型铝合金型材。后横梁：60*40mm壁厚1.2mm长方体铝合金型材。</w:t>
            </w:r>
          </w:p>
          <w:p>
            <w:pPr>
              <w:widowControl/>
              <w:jc w:val="left"/>
              <w:textAlignment w:val="center"/>
              <w:rPr>
                <w:rFonts w:ascii="宋体" w:hAnsi="宋体" w:cs="宋体"/>
                <w:color w:val="000000" w:themeColor="text1"/>
                <w:spacing w:val="-4"/>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左右支撑架：450*120*86mm壁厚2.5mmABS工程材料。前立柱：35*24mm壁厚1.2mm铝合金型材。后立柱：37*37mm壁厚1.2mm后端R25圆角的铝合金型材。</w:t>
            </w:r>
          </w:p>
          <w:p>
            <w:pPr>
              <w:spacing w:line="240" w:lineRule="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3、上柜门内嵌4mm厚钢化玻璃，下柜门内嵌9mm中密度三聚氰胺饰面板，配以pp材料注塑一次成型的四分之一环形拉手；上下柜门的四个环形拉手组成一圆环造型，并在中间前横梁上加装专用锁具，可以一锁锁四门。</w:t>
            </w:r>
          </w:p>
        </w:tc>
      </w:tr>
    </w:tbl>
    <w:p>
      <w:pPr>
        <w:pStyle w:val="7"/>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b/>
          <w:bCs/>
          <w:color w:val="000000" w:themeColor="text1"/>
          <w:szCs w:val="28"/>
          <w:highlight w:val="none"/>
          <w:lang w:val="en-US" w:eastAsia="zh-CN"/>
          <w14:textFill>
            <w14:solidFill>
              <w14:schemeClr w14:val="tx1"/>
            </w14:solidFill>
          </w14:textFill>
        </w:rPr>
      </w:pPr>
      <w:r>
        <w:rPr>
          <w:rFonts w:hint="eastAsia" w:ascii="宋体" w:hAnsi="宋体" w:cs="宋体"/>
          <w:b/>
          <w:bCs/>
          <w:color w:val="000000" w:themeColor="text1"/>
          <w:szCs w:val="28"/>
          <w:highlight w:val="none"/>
          <w:lang w:val="en-US" w:eastAsia="zh-CN"/>
          <w14:textFill>
            <w14:solidFill>
              <w14:schemeClr w14:val="tx1"/>
            </w14:solidFill>
          </w14:textFill>
        </w:rPr>
        <w:t>注：</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1）所提供的样品不得出现投标人名称或与投标人有关的商标和标记，如有发现以上情况，样品分按零分处理。样品未提供的，样品分按零分处理。样品提供不齐全的供应商，可能会导致样品其他评审部分相应扣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bCs/>
          <w:color w:val="000000" w:themeColor="text1"/>
          <w:sz w:val="21"/>
          <w:szCs w:val="21"/>
          <w:highlight w:val="none"/>
          <w:lang w:eastAsia="zh-CN"/>
          <w14:textFill>
            <w14:solidFill>
              <w14:schemeClr w14:val="tx1"/>
            </w14:solidFill>
          </w14:textFill>
        </w:rPr>
        <w:t>样品在开标日9:00前送达台州市公共资源交易中心1楼西大厅，样品由投标单位自行保管，发生损失、损坏等产生的后果由投标人自行承担。</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投标人请在指定区域自行组装完成样品。运送和组装样品一切费用，由投标人自行承担。</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（4）样品组装及展示地点：台州市公共资源交易中心1楼西大厅。样品在开标日9：00前送达并完成组装。</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（5）样品不回收，评标结束以后，未中标单位样品自行领回，未及时领回造成样品丢失，责任自负；中标单位的样品，由采购单位封存作为今后验收依据。</w:t>
      </w:r>
    </w:p>
    <w:p>
      <w:pPr>
        <w:keepNext w:val="0"/>
        <w:keepLines w:val="0"/>
        <w:pageBreakBefore w:val="0"/>
        <w:widowControl w:val="0"/>
        <w:kinsoku/>
        <w:wordWrap/>
        <w:overflowPunct/>
        <w:topLinePunct w:val="0"/>
        <w:autoSpaceDE/>
        <w:autoSpaceDN/>
        <w:bidi w:val="0"/>
        <w:spacing w:line="360" w:lineRule="auto"/>
        <w:textAlignment w:val="baseline"/>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textAlignment w:val="baseline"/>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五、演示要求：</w:t>
      </w:r>
    </w:p>
    <w:tbl>
      <w:tblPr>
        <w:tblStyle w:val="22"/>
        <w:tblW w:w="8019" w:type="dxa"/>
        <w:jc w:val="center"/>
        <w:tblLayout w:type="fixed"/>
        <w:tblCellMar>
          <w:top w:w="15" w:type="dxa"/>
          <w:left w:w="15" w:type="dxa"/>
          <w:bottom w:w="15" w:type="dxa"/>
          <w:right w:w="15" w:type="dxa"/>
        </w:tblCellMar>
      </w:tblPr>
      <w:tblGrid>
        <w:gridCol w:w="1378"/>
        <w:gridCol w:w="6641"/>
      </w:tblGrid>
      <w:tr>
        <w:tblPrEx>
          <w:tblCellMar>
            <w:top w:w="15" w:type="dxa"/>
            <w:left w:w="15" w:type="dxa"/>
            <w:bottom w:w="15" w:type="dxa"/>
            <w:right w:w="15" w:type="dxa"/>
          </w:tblCellMar>
        </w:tblPrEx>
        <w:trPr>
          <w:trHeight w:val="1436"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演示</w:t>
            </w:r>
          </w:p>
        </w:tc>
        <w:tc>
          <w:tcPr>
            <w:tcW w:w="664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textAlignment w:val="auto"/>
              <w:rPr>
                <w:rFonts w:asciiTheme="minorEastAsia" w:hAnsi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cstheme="minorEastAsia"/>
                <w:color w:val="000000" w:themeColor="text1"/>
                <w:szCs w:val="21"/>
                <w:highlight w:val="none"/>
                <w:lang w:val="zh-CN"/>
                <w14:textFill>
                  <w14:solidFill>
                    <w14:schemeClr w14:val="tx1"/>
                  </w14:solidFill>
                </w14:textFill>
              </w:rPr>
              <w:t>投标人演示需求条款当中的“</w:t>
            </w:r>
            <w:r>
              <w:rPr>
                <w:rFonts w:hint="eastAsia" w:ascii="宋体" w:hAnsi="宋体" w:eastAsia="宋体" w:cs="宋体"/>
                <w:color w:val="000000" w:themeColor="text1"/>
                <w:kern w:val="0"/>
                <w:szCs w:val="21"/>
                <w:highlight w:val="none"/>
                <w:lang w:bidi="ar"/>
                <w14:textFill>
                  <w14:solidFill>
                    <w14:schemeClr w14:val="tx1"/>
                  </w14:solidFill>
                </w14:textFill>
              </w:rPr>
              <w:t>86寸教学一体机</w:t>
            </w:r>
            <w:r>
              <w:rPr>
                <w:rFonts w:hint="eastAsia" w:asciiTheme="minorEastAsia" w:hAnsiTheme="minorEastAsia" w:cstheme="minorEastAsia"/>
                <w:color w:val="000000" w:themeColor="text1"/>
                <w:szCs w:val="21"/>
                <w:highlight w:val="none"/>
                <w:lang w:val="zh-CN"/>
                <w14:textFill>
                  <w14:solidFill>
                    <w14:schemeClr w14:val="tx1"/>
                  </w14:solidFill>
                </w14:textFill>
              </w:rPr>
              <w:t>”产品：</w:t>
            </w:r>
          </w:p>
          <w:p>
            <w:pPr>
              <w:pStyle w:val="68"/>
              <w:numPr>
                <w:ilvl w:val="0"/>
                <w:numId w:val="0"/>
              </w:numPr>
              <w:spacing w:before="0" w:after="0" w:line="276" w:lineRule="auto"/>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1、</w:t>
            </w:r>
            <w:r>
              <w:rPr>
                <w:rFonts w:hint="eastAsia" w:ascii="宋体" w:hAnsi="宋体" w:eastAsia="宋体" w:cs="宋体"/>
                <w:b/>
                <w:bCs/>
                <w:color w:val="000000" w:themeColor="text1"/>
                <w:kern w:val="0"/>
                <w:szCs w:val="21"/>
                <w:highlight w:val="none"/>
                <w:lang w:bidi="ar"/>
                <w14:textFill>
                  <w14:solidFill>
                    <w14:schemeClr w14:val="tx1"/>
                  </w14:solidFill>
                </w14:textFill>
              </w:rPr>
              <w:t>开关机、联网、连接蓝牙、连接外置摄像头、连接蓝牙遥控笔、连接实物视频展台</w:t>
            </w: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演示。</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2、软件功能展示</w:t>
            </w:r>
          </w:p>
          <w:p>
            <w:pPr>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（1）投影功能：将电脑或其他设备上的教学内容投影到屏幕上，使得学生可以更加清晰地看到教学内容。教师可以通过投影功能来展示自己的教学思路和方法，更好地引导学生进行学习。</w:t>
            </w:r>
          </w:p>
          <w:p>
            <w:pPr>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（2）电脑控制功能：可以通过电脑控制功能来对电脑进行远程控制。教师可以通过这个功能来控制电脑上的教学内容，更加便利地进行教学。</w:t>
            </w:r>
          </w:p>
          <w:p>
            <w:pPr>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（3）互动白板功能：可以将屏幕变成一个大型的白板，教师可以在屏幕上进行书写、画图等操作，更加生动地展示教学内容。学生也可以在屏幕上进行互动操作，更好地参与到教学活动中。</w:t>
            </w:r>
          </w:p>
          <w:p>
            <w:pPr>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（4）多媒体播放功能：播放各种教学资源，例如视频、音频、图片等。这些教学资源可以丰富教学内容，</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（5）网络连接功能：连接互联网，可以浏览各种教学资源，例如网络课程、电子书籍等。教师也可以通过网络连接功能来进行教学交流和互动。</w:t>
            </w:r>
          </w:p>
          <w:p>
            <w:pPr>
              <w:pStyle w:val="68"/>
              <w:spacing w:before="0" w:after="0" w:line="276" w:lineRule="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（6）实物展台拍摄讲台上的实验仪器，并同步到一体机屏幕上，图像可以放大缩小。</w:t>
            </w:r>
          </w:p>
        </w:tc>
      </w:tr>
    </w:tbl>
    <w:p>
      <w:pPr>
        <w:pStyle w:val="7"/>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投标人通过录制视频方式进行展示,时间不超过10分钟，</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超时部分不予演示，</w:t>
      </w:r>
      <w:r>
        <w:rPr>
          <w:rFonts w:hint="eastAsia" w:ascii="宋体" w:hAnsi="宋体" w:eastAsia="宋体" w:cs="宋体"/>
          <w:b/>
          <w:bCs/>
          <w:color w:val="000000" w:themeColor="text1"/>
          <w:sz w:val="21"/>
          <w:szCs w:val="21"/>
          <w:highlight w:val="none"/>
          <w:lang w:eastAsia="zh-CN"/>
          <w14:textFill>
            <w14:solidFill>
              <w14:schemeClr w14:val="tx1"/>
            </w14:solidFill>
          </w14:textFill>
        </w:rPr>
        <w:t>无演示的此项不得分。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提供视频演示的各投标人将需演示的部分自行演示并录制成视频制作在 U 盘中，录制视频时长</w:t>
      </w:r>
      <w:r>
        <w:rPr>
          <w:rFonts w:hint="eastAsia" w:ascii="宋体" w:hAnsi="宋体" w:eastAsia="宋体" w:cs="宋体"/>
          <w:b/>
          <w:bCs/>
          <w:color w:val="000000" w:themeColor="text1"/>
          <w:sz w:val="21"/>
          <w:szCs w:val="21"/>
          <w:highlight w:val="none"/>
          <w:lang w:eastAsia="zh-CN"/>
          <w14:textFill>
            <w14:solidFill>
              <w14:schemeClr w14:val="tx1"/>
            </w14:solidFill>
          </w14:textFill>
        </w:rPr>
        <w:t xml:space="preserve"> 1</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0 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演示、图片原型或方案等）演示，此项不得分。评委观看演示视频按招标文件评分项进行评分。</w:t>
      </w:r>
    </w:p>
    <w:p>
      <w:pPr>
        <w:pStyle w:val="8"/>
        <w:ind w:firstLine="0" w:firstLineChars="0"/>
        <w:rPr>
          <w:rFonts w:hint="eastAsia" w:ascii="宋体" w:hAnsi="宋体" w:cs="宋体"/>
          <w:b/>
          <w:color w:val="000000" w:themeColor="text1"/>
          <w:sz w:val="21"/>
          <w:szCs w:val="21"/>
          <w:highlight w:val="none"/>
          <w:lang w:val="en-US" w:eastAsia="zh-CN"/>
          <w14:textFill>
            <w14:solidFill>
              <w14:schemeClr w14:val="tx1"/>
            </w14:solidFill>
          </w14:textFill>
        </w:rPr>
      </w:pPr>
    </w:p>
    <w:p>
      <w:pPr>
        <w:pStyle w:val="8"/>
        <w:ind w:firstLine="0" w:firstLineChars="0"/>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六、商务要求</w:t>
      </w:r>
    </w:p>
    <w:p>
      <w:pPr>
        <w:pageBreakBefore w:val="0"/>
        <w:widowControl w:val="0"/>
        <w:kinsoku/>
        <w:wordWrap/>
        <w:overflowPunct/>
        <w:topLinePunct w:val="0"/>
        <w:autoSpaceDE/>
        <w:bidi w:val="0"/>
        <w:spacing w:line="360" w:lineRule="auto"/>
        <w:textAlignment w:val="auto"/>
        <w:outlineLvl w:val="9"/>
        <w:rPr>
          <w:rFonts w:hint="eastAsia"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1、质保期：不少于</w:t>
      </w:r>
      <w:r>
        <w:rPr>
          <w:rFonts w:hint="eastAsia" w:ascii="宋体" w:hAnsi="宋体" w:cs="宋体"/>
          <w:color w:val="000000" w:themeColor="text1"/>
          <w:szCs w:val="28"/>
          <w:highlight w:val="none"/>
          <w:lang w:val="en-US" w:eastAsia="zh-CN"/>
          <w14:textFill>
            <w14:solidFill>
              <w14:schemeClr w14:val="tx1"/>
            </w14:solidFill>
          </w14:textFill>
        </w:rPr>
        <w:t>三</w:t>
      </w:r>
      <w:r>
        <w:rPr>
          <w:rFonts w:hint="eastAsia" w:ascii="宋体" w:hAnsi="宋体" w:cs="宋体"/>
          <w:color w:val="000000" w:themeColor="text1"/>
          <w:szCs w:val="28"/>
          <w:highlight w:val="none"/>
          <w14:textFill>
            <w14:solidFill>
              <w14:schemeClr w14:val="tx1"/>
            </w14:solidFill>
          </w14:textFill>
        </w:rPr>
        <w:t>年（全部货物安装调试完毕且验收合格之日开始计算）。</w:t>
      </w:r>
    </w:p>
    <w:p>
      <w:pPr>
        <w:pageBreakBefore w:val="0"/>
        <w:widowControl w:val="0"/>
        <w:kinsoku/>
        <w:wordWrap/>
        <w:overflowPunct/>
        <w:topLinePunct w:val="0"/>
        <w:autoSpaceDE/>
        <w:bidi w:val="0"/>
        <w:spacing w:line="360" w:lineRule="auto"/>
        <w:textAlignment w:val="auto"/>
        <w:outlineLvl w:val="9"/>
        <w:rPr>
          <w:rFonts w:hint="eastAsia"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2、交货时间：进场施工以</w:t>
      </w:r>
      <w:r>
        <w:rPr>
          <w:rFonts w:hint="eastAsia" w:ascii="宋体" w:hAnsi="宋体" w:cs="宋体"/>
          <w:color w:val="000000" w:themeColor="text1"/>
          <w:szCs w:val="28"/>
          <w:highlight w:val="none"/>
          <w:lang w:val="en-US" w:eastAsia="zh-CN"/>
          <w14:textFill>
            <w14:solidFill>
              <w14:schemeClr w14:val="tx1"/>
            </w14:solidFill>
          </w14:textFill>
        </w:rPr>
        <w:t>采购人</w:t>
      </w:r>
      <w:r>
        <w:rPr>
          <w:rFonts w:hint="eastAsia" w:ascii="宋体" w:hAnsi="宋体" w:cs="宋体"/>
          <w:color w:val="000000" w:themeColor="text1"/>
          <w:szCs w:val="28"/>
          <w:highlight w:val="none"/>
          <w14:textFill>
            <w14:solidFill>
              <w14:schemeClr w14:val="tx1"/>
            </w14:solidFill>
          </w14:textFill>
        </w:rPr>
        <w:t>通知为准</w:t>
      </w:r>
      <w:r>
        <w:rPr>
          <w:rFonts w:hint="eastAsia" w:ascii="宋体" w:hAnsi="宋体" w:cs="宋体"/>
          <w:color w:val="000000" w:themeColor="text1"/>
          <w:szCs w:val="28"/>
          <w:highlight w:val="none"/>
          <w:lang w:eastAsia="zh-CN"/>
          <w14:textFill>
            <w14:solidFill>
              <w14:schemeClr w14:val="tx1"/>
            </w14:solidFill>
          </w14:textFill>
        </w:rPr>
        <w:t>，</w:t>
      </w:r>
      <w:r>
        <w:rPr>
          <w:rFonts w:hint="eastAsia" w:ascii="宋体" w:hAnsi="宋体" w:cs="宋体"/>
          <w:color w:val="000000" w:themeColor="text1"/>
          <w:szCs w:val="28"/>
          <w:highlight w:val="none"/>
          <w14:textFill>
            <w14:solidFill>
              <w14:schemeClr w14:val="tx1"/>
            </w14:solidFill>
          </w14:textFill>
        </w:rPr>
        <w:t>接到采购人通知</w:t>
      </w:r>
      <w:r>
        <w:rPr>
          <w:rFonts w:hint="eastAsia" w:ascii="宋体" w:hAnsi="宋体" w:cs="宋体"/>
          <w:color w:val="000000" w:themeColor="text1"/>
          <w:szCs w:val="28"/>
          <w:highlight w:val="none"/>
          <w:lang w:val="en-US" w:eastAsia="zh-CN"/>
          <w14:textFill>
            <w14:solidFill>
              <w14:schemeClr w14:val="tx1"/>
            </w14:solidFill>
          </w14:textFill>
        </w:rPr>
        <w:t>进场</w:t>
      </w:r>
      <w:r>
        <w:rPr>
          <w:rFonts w:hint="eastAsia" w:ascii="宋体" w:hAnsi="宋体" w:cs="宋体"/>
          <w:color w:val="000000" w:themeColor="text1"/>
          <w:szCs w:val="28"/>
          <w:highlight w:val="none"/>
          <w14:textFill>
            <w14:solidFill>
              <w14:schemeClr w14:val="tx1"/>
            </w14:solidFill>
          </w14:textFill>
        </w:rPr>
        <w:t>施工后</w:t>
      </w:r>
      <w:r>
        <w:rPr>
          <w:rFonts w:hint="eastAsia" w:ascii="宋体" w:hAnsi="宋体" w:cs="宋体"/>
          <w:color w:val="000000" w:themeColor="text1"/>
          <w:szCs w:val="28"/>
          <w:highlight w:val="none"/>
          <w:lang w:val="en-US" w:eastAsia="zh-CN"/>
          <w14:textFill>
            <w14:solidFill>
              <w14:schemeClr w14:val="tx1"/>
            </w14:solidFill>
          </w14:textFill>
        </w:rPr>
        <w:t>30</w:t>
      </w:r>
      <w:r>
        <w:rPr>
          <w:rFonts w:hint="eastAsia" w:ascii="宋体" w:hAnsi="宋体" w:cs="宋体"/>
          <w:color w:val="000000" w:themeColor="text1"/>
          <w:szCs w:val="28"/>
          <w:highlight w:val="none"/>
          <w14:textFill>
            <w14:solidFill>
              <w14:schemeClr w14:val="tx1"/>
            </w14:solidFill>
          </w14:textFill>
        </w:rPr>
        <w:t>天内完成供货及安装调试。</w:t>
      </w:r>
    </w:p>
    <w:p>
      <w:pPr>
        <w:keepNext w:val="0"/>
        <w:keepLines w:val="0"/>
        <w:pageBreakBefore w:val="0"/>
        <w:widowControl w:val="0"/>
        <w:kinsoku/>
        <w:wordWrap/>
        <w:overflowPunct/>
        <w:topLinePunct w:val="0"/>
        <w:bidi w:val="0"/>
        <w:adjustRightInd/>
        <w:spacing w:line="360" w:lineRule="auto"/>
        <w:outlineLvl w:val="9"/>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8"/>
          <w:highlight w:val="none"/>
          <w:lang w:val="en-US" w:eastAsia="zh-CN"/>
          <w14:textFill>
            <w14:solidFill>
              <w14:schemeClr w14:val="tx1"/>
            </w14:solidFill>
          </w14:textFill>
        </w:rPr>
        <w:t>3</w:t>
      </w:r>
      <w:r>
        <w:rPr>
          <w:rFonts w:hint="eastAsia" w:ascii="宋体" w:hAnsi="宋体" w:cs="宋体"/>
          <w:color w:val="000000" w:themeColor="text1"/>
          <w:szCs w:val="28"/>
          <w:highlight w:val="none"/>
          <w14:textFill>
            <w14:solidFill>
              <w14:schemeClr w14:val="tx1"/>
            </w14:solidFill>
          </w14:textFill>
        </w:rPr>
        <w:t>、付款条件：签订合同后支付合同金额的</w:t>
      </w:r>
      <w:r>
        <w:rPr>
          <w:rFonts w:hint="eastAsia" w:ascii="宋体" w:hAnsi="宋体" w:cs="宋体"/>
          <w:color w:val="000000" w:themeColor="text1"/>
          <w:szCs w:val="28"/>
          <w:highlight w:val="none"/>
          <w:lang w:val="en-US" w:eastAsia="zh-CN"/>
          <w14:textFill>
            <w14:solidFill>
              <w14:schemeClr w14:val="tx1"/>
            </w14:solidFill>
          </w14:textFill>
        </w:rPr>
        <w:t>4</w:t>
      </w:r>
      <w:r>
        <w:rPr>
          <w:rFonts w:hint="eastAsia" w:ascii="宋体" w:hAnsi="宋体" w:cs="宋体"/>
          <w:color w:val="000000" w:themeColor="text1"/>
          <w:szCs w:val="28"/>
          <w:highlight w:val="none"/>
          <w14:textFill>
            <w14:solidFill>
              <w14:schemeClr w14:val="tx1"/>
            </w14:solidFill>
          </w14:textFill>
        </w:rPr>
        <w:t>0%作为预付款，验收合格后支付剩余全部金额。</w:t>
      </w:r>
    </w:p>
    <w:p>
      <w:pPr>
        <w:autoSpaceDN w:val="0"/>
        <w:spacing w:line="360" w:lineRule="auto"/>
        <w:rPr>
          <w:rFonts w:hint="eastAsia" w:ascii="宋体" w:hAnsi="宋体" w:cs="宋体"/>
          <w:b/>
          <w:color w:val="000000" w:themeColor="text1"/>
          <w:szCs w:val="21"/>
          <w:highlight w:val="none"/>
          <w:lang w:val="en-US" w:eastAsia="zh-CN"/>
          <w14:textFill>
            <w14:solidFill>
              <w14:schemeClr w14:val="tx1"/>
            </w14:solidFill>
          </w14:textFill>
        </w:rPr>
      </w:pPr>
    </w:p>
    <w:p>
      <w:pPr>
        <w:autoSpaceDN w:val="0"/>
        <w:spacing w:line="360" w:lineRule="auto"/>
        <w:rPr>
          <w:rFonts w:hint="eastAsia" w:ascii="宋体" w:hAnsi="宋体" w:eastAsia="宋体" w:cs="宋体"/>
          <w:b/>
          <w:color w:val="000000" w:themeColor="text1"/>
          <w:szCs w:val="21"/>
          <w:highlight w:val="none"/>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b/>
          <w:color w:val="000000" w:themeColor="text1"/>
          <w:szCs w:val="21"/>
          <w:highlight w:val="none"/>
          <w:lang w:val="en-US" w:eastAsia="zh-CN"/>
          <w14:textFill>
            <w14:solidFill>
              <w14:schemeClr w14:val="tx1"/>
            </w14:solidFill>
          </w14:textFill>
        </w:rPr>
        <w:t>七</w:t>
      </w:r>
      <w:r>
        <w:rPr>
          <w:rFonts w:hint="eastAsia" w:ascii="宋体" w:hAnsi="宋体" w:eastAsia="宋体" w:cs="宋体"/>
          <w:b/>
          <w:color w:val="000000" w:themeColor="text1"/>
          <w:szCs w:val="21"/>
          <w:highlight w:val="none"/>
          <w14:textFill>
            <w14:solidFill>
              <w14:schemeClr w14:val="tx1"/>
            </w14:solidFill>
          </w14:textFill>
        </w:rPr>
        <w:t>、本项目中标（成交）供应商应在</w:t>
      </w:r>
      <w:r>
        <w:rPr>
          <w:rFonts w:hint="eastAsia" w:ascii="宋体" w:hAnsi="宋体" w:eastAsia="宋体" w:cs="宋体"/>
          <w:b/>
          <w:color w:val="000000" w:themeColor="text1"/>
          <w:szCs w:val="21"/>
          <w:highlight w:val="none"/>
          <w:lang w:eastAsia="zh-CN"/>
          <w14:textFill>
            <w14:solidFill>
              <w14:schemeClr w14:val="tx1"/>
            </w14:solidFill>
          </w14:textFill>
        </w:rPr>
        <w:t>浙江政府采购网</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eastAsia="zh-CN"/>
          <w14:textFill>
            <w14:solidFill>
              <w14:schemeClr w14:val="tx1"/>
            </w14:solidFill>
          </w14:textFill>
        </w:rPr>
        <w:t>http://zfcg.czt.zj.gov.cn</w:t>
      </w:r>
      <w:r>
        <w:rPr>
          <w:rFonts w:hint="eastAsia" w:ascii="宋体" w:hAnsi="宋体" w:eastAsia="宋体" w:cs="宋体"/>
          <w:b/>
          <w:color w:val="000000" w:themeColor="text1"/>
          <w:szCs w:val="21"/>
          <w:highlight w:val="none"/>
          <w14:textFill>
            <w14:solidFill>
              <w14:schemeClr w14:val="tx1"/>
            </w14:solidFill>
          </w14:textFill>
        </w:rPr>
        <w:t>）上注册成为“政府采购供应商”，如不按要求注册的，采购方有权延期发布中标（成交）通知书和中标（成交）公告，后果由供应商自行承担</w:t>
      </w:r>
      <w:r>
        <w:rPr>
          <w:rFonts w:hint="eastAsia" w:ascii="宋体" w:hAnsi="宋体" w:eastAsia="宋体" w:cs="宋体"/>
          <w:b/>
          <w:color w:val="000000" w:themeColor="text1"/>
          <w:szCs w:val="21"/>
          <w:highlight w:val="none"/>
          <w:lang w:eastAsia="zh-CN"/>
          <w14:textFill>
            <w14:solidFill>
              <w14:schemeClr w14:val="tx1"/>
            </w14:solidFill>
          </w14:textFill>
        </w:rPr>
        <w:t>。</w:t>
      </w:r>
    </w:p>
    <w:p>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pPr>
        <w:adjustRightInd w:val="0"/>
        <w:snapToGrid w:val="0"/>
        <w:spacing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（此稿为合同样本，最终定稿待双方协商后定，但不得背离实质性内容）</w:t>
      </w:r>
    </w:p>
    <w:p>
      <w:pPr>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合同将由</w:t>
      </w:r>
      <w:r>
        <w:rPr>
          <w:rFonts w:hint="eastAsia" w:ascii="宋体" w:hAnsi="宋体" w:cs="宋体"/>
          <w:color w:val="000000" w:themeColor="text1"/>
          <w:sz w:val="21"/>
          <w:szCs w:val="21"/>
          <w:highlight w:val="none"/>
          <w:lang w:eastAsia="zh-CN"/>
          <w14:textFill>
            <w14:solidFill>
              <w14:schemeClr w14:val="tx1"/>
            </w14:solidFill>
          </w14:textFill>
        </w:rPr>
        <w:t>台州市路桥中学</w:t>
      </w:r>
      <w:r>
        <w:rPr>
          <w:rFonts w:hint="eastAsia" w:ascii="宋体" w:hAnsi="宋体" w:eastAsia="宋体" w:cs="宋体"/>
          <w:color w:val="000000" w:themeColor="text1"/>
          <w:sz w:val="21"/>
          <w:szCs w:val="21"/>
          <w:highlight w:val="none"/>
          <w14:textFill>
            <w14:solidFill>
              <w14:schemeClr w14:val="tx1"/>
            </w14:solidFill>
          </w14:textFill>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1"/>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eastAsia="宋体" w:cs="宋体"/>
          <w:color w:val="000000" w:themeColor="text1"/>
          <w:sz w:val="21"/>
          <w:szCs w:val="21"/>
          <w:highlight w:val="none"/>
          <w14:textFill>
            <w14:solidFill>
              <w14:schemeClr w14:val="tx1"/>
            </w14:solidFill>
          </w14:textFill>
        </w:rPr>
        <w:t>：</w:t>
      </w:r>
    </w:p>
    <w:p>
      <w:pPr>
        <w:pStyle w:val="11"/>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（采购方）</w:t>
      </w:r>
    </w:p>
    <w:p>
      <w:pPr>
        <w:pStyle w:val="11"/>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b/>
          <w:color w:val="000000" w:themeColor="text1"/>
          <w:sz w:val="21"/>
          <w:szCs w:val="21"/>
          <w:highlight w:val="none"/>
          <w14:textFill>
            <w14:solidFill>
              <w14:schemeClr w14:val="tx1"/>
            </w14:solidFill>
          </w14:textFill>
        </w:rPr>
        <w:t xml:space="preserve"> </w:t>
      </w:r>
    </w:p>
    <w:p>
      <w:pPr>
        <w:pStyle w:val="11"/>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甲、乙双方根据</w:t>
      </w:r>
      <w:r>
        <w:rPr>
          <w:rFonts w:hint="eastAsia" w:hAnsi="宋体" w:cs="宋体"/>
          <w:color w:val="000000" w:themeColor="text1"/>
          <w:sz w:val="21"/>
          <w:szCs w:val="21"/>
          <w:highlight w:val="none"/>
          <w:u w:val="single"/>
          <w:lang w:eastAsia="zh-CN"/>
          <w14:textFill>
            <w14:solidFill>
              <w14:schemeClr w14:val="tx1"/>
            </w14:solidFill>
          </w14:textFill>
        </w:rPr>
        <w:t>物理实验室、准备室、教室多媒体设备采购项目</w:t>
      </w:r>
      <w:r>
        <w:rPr>
          <w:rFonts w:hint="eastAsia" w:ascii="宋体" w:hAnsi="宋体" w:eastAsia="宋体" w:cs="宋体"/>
          <w:color w:val="000000" w:themeColor="text1"/>
          <w:sz w:val="21"/>
          <w:szCs w:val="21"/>
          <w:highlight w:val="none"/>
          <w:u w:val="single"/>
          <w14:textFill>
            <w14:solidFill>
              <w14:schemeClr w14:val="tx1"/>
            </w14:solidFill>
          </w14:textFill>
        </w:rPr>
        <w:t>公开招标</w:t>
      </w:r>
      <w:r>
        <w:rPr>
          <w:rFonts w:hint="eastAsia" w:ascii="宋体" w:hAnsi="宋体" w:eastAsia="宋体" w:cs="宋体"/>
          <w:color w:val="000000" w:themeColor="text1"/>
          <w:sz w:val="21"/>
          <w:szCs w:val="21"/>
          <w:highlight w:val="none"/>
          <w14:textFill>
            <w14:solidFill>
              <w14:schemeClr w14:val="tx1"/>
            </w14:solidFill>
          </w14:textFill>
        </w:rPr>
        <w:t>的结果，签署本合同。</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第一条：承包内容</w:t>
      </w:r>
    </w:p>
    <w:p>
      <w:pPr>
        <w:keepNext w:val="0"/>
        <w:keepLines w:val="0"/>
        <w:pageBreakBefore w:val="0"/>
        <w:widowControl w:val="0"/>
        <w:kinsoku/>
        <w:wordWrap/>
        <w:overflowPunct/>
        <w:topLinePunct w:val="0"/>
        <w:bidi w:val="0"/>
        <w:adjustRightInd/>
        <w:snapToGrid/>
        <w:spacing w:line="360" w:lineRule="auto"/>
        <w:ind w:left="0"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物理实验室、准备室、教室多媒体设备采购项目</w:t>
      </w:r>
      <w:r>
        <w:rPr>
          <w:rFonts w:hint="eastAsia" w:ascii="宋体" w:hAnsi="宋体" w:eastAsia="宋体" w:cs="宋体"/>
          <w:color w:val="000000" w:themeColor="text1"/>
          <w:szCs w:val="21"/>
          <w:highlight w:val="none"/>
          <w14:textFill>
            <w14:solidFill>
              <w14:schemeClr w14:val="tx1"/>
            </w14:solidFill>
          </w14:textFill>
        </w:rPr>
        <w:t>，包括上述项目的供货、运输、安装、总体调试、技术培训、直至验收合格及售后服务等。</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第二条：合同金额</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本合同金额为(大写):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 人民币。</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第三条：交货期、验收方式及地点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工期：</w:t>
      </w:r>
      <w:r>
        <w:rPr>
          <w:rFonts w:hint="eastAsia" w:ascii="宋体" w:hAnsi="宋体" w:eastAsia="宋体" w:cs="宋体"/>
          <w:color w:val="000000" w:themeColor="text1"/>
          <w:szCs w:val="21"/>
          <w:highlight w:val="none"/>
          <w:u w:val="single"/>
          <w:lang w:val="en-US" w:eastAsia="zh-CN"/>
          <w14:textFill>
            <w14:solidFill>
              <w14:schemeClr w14:val="tx1"/>
            </w14:solidFill>
          </w14:textFill>
        </w:rPr>
        <w:t>进场施工以</w:t>
      </w:r>
      <w:r>
        <w:rPr>
          <w:rFonts w:hint="eastAsia" w:ascii="宋体" w:hAnsi="宋体" w:cs="宋体"/>
          <w:color w:val="000000" w:themeColor="text1"/>
          <w:szCs w:val="21"/>
          <w:highlight w:val="none"/>
          <w:u w:val="single"/>
          <w:lang w:val="en-US" w:eastAsia="zh-CN"/>
          <w14:textFill>
            <w14:solidFill>
              <w14:schemeClr w14:val="tx1"/>
            </w14:solidFill>
          </w14:textFill>
        </w:rPr>
        <w:t>甲方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通知为准，接到</w:t>
      </w:r>
      <w:r>
        <w:rPr>
          <w:rFonts w:hint="eastAsia" w:ascii="宋体" w:hAnsi="宋体" w:cs="宋体"/>
          <w:color w:val="000000" w:themeColor="text1"/>
          <w:szCs w:val="21"/>
          <w:highlight w:val="none"/>
          <w:u w:val="single"/>
          <w:lang w:val="en-US" w:eastAsia="zh-CN"/>
          <w14:textFill>
            <w14:solidFill>
              <w14:schemeClr w14:val="tx1"/>
            </w14:solidFill>
          </w14:textFill>
        </w:rPr>
        <w:t>甲方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通知进场施工后30天内完成供货及安装调试。</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2、验收方式及地点：</w:t>
      </w:r>
      <w:r>
        <w:rPr>
          <w:rFonts w:hint="eastAsia" w:ascii="宋体" w:hAnsi="宋体" w:eastAsia="宋体" w:cs="宋体"/>
          <w:color w:val="000000" w:themeColor="text1"/>
          <w:szCs w:val="21"/>
          <w:highlight w:val="none"/>
          <w:u w:val="single"/>
          <w14:textFill>
            <w14:solidFill>
              <w14:schemeClr w14:val="tx1"/>
            </w14:solidFill>
          </w14:textFill>
        </w:rPr>
        <w:t>按</w:t>
      </w:r>
      <w:r>
        <w:rPr>
          <w:rFonts w:hint="eastAsia" w:ascii="宋体" w:hAnsi="宋体" w:cs="宋体"/>
          <w:color w:val="000000" w:themeColor="text1"/>
          <w:szCs w:val="21"/>
          <w:highlight w:val="none"/>
          <w:u w:val="single"/>
          <w:lang w:val="en-US" w:eastAsia="zh-CN"/>
          <w14:textFill>
            <w14:solidFill>
              <w14:schemeClr w14:val="tx1"/>
            </w14:solidFill>
          </w14:textFill>
        </w:rPr>
        <w:t>甲方</w:t>
      </w:r>
      <w:r>
        <w:rPr>
          <w:rFonts w:hint="eastAsia" w:ascii="宋体" w:hAnsi="宋体" w:eastAsia="宋体" w:cs="宋体"/>
          <w:color w:val="000000" w:themeColor="text1"/>
          <w:szCs w:val="21"/>
          <w:highlight w:val="none"/>
          <w:u w:val="single"/>
          <w14:textFill>
            <w14:solidFill>
              <w14:schemeClr w14:val="tx1"/>
            </w14:solidFill>
          </w14:textFill>
        </w:rPr>
        <w:t>的方式、地点验收。</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3、供货要求：</w:t>
      </w:r>
      <w:r>
        <w:rPr>
          <w:rFonts w:hint="eastAsia" w:ascii="宋体" w:hAnsi="宋体" w:eastAsia="宋体" w:cs="宋体"/>
          <w:color w:val="000000" w:themeColor="text1"/>
          <w:szCs w:val="21"/>
          <w:highlight w:val="none"/>
          <w:u w:val="single"/>
          <w14:textFill>
            <w14:solidFill>
              <w14:schemeClr w14:val="tx1"/>
            </w14:solidFill>
          </w14:textFill>
        </w:rPr>
        <w:t>货物应由乙方直供，不得转包或分包</w:t>
      </w:r>
      <w:r>
        <w:rPr>
          <w:rFonts w:hint="eastAsia" w:ascii="宋体" w:hAnsi="宋体" w:eastAsia="宋体" w:cs="宋体"/>
          <w:color w:val="000000" w:themeColor="text1"/>
          <w:szCs w:val="21"/>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第四条：质保期</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质保期</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年。（全部货物安装调试完毕且验收合格之日开始计算）</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第五条：货物包装、发运及运输</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1、乙方在货物发运前对其进行满足运输距离、防潮、防震、防锈和防破损装卸等要求包装，以保证货物安全运达甲方指定地点。</w:t>
      </w:r>
      <w:r>
        <w:rPr>
          <w:rFonts w:hint="eastAsia" w:ascii="宋体" w:hAnsi="宋体" w:eastAsia="宋体" w:cs="宋体"/>
          <w:color w:val="000000" w:themeColor="text1"/>
          <w:szCs w:val="21"/>
          <w:highlight w:val="none"/>
          <w:lang w:val="en-US" w:eastAsia="zh-CN"/>
          <w14:textFill>
            <w14:solidFill>
              <w14:schemeClr w14:val="tx1"/>
            </w14:solidFill>
          </w14:textFill>
        </w:rPr>
        <w:t>包装费由乙方承担。</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2、使用说明书、质量检验证明书、随配附件和工具以及清单一并附于货物内。</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3、货物在交付采购方前发生的风险由乙方承担，交付前的运输费用均由乙方</w:t>
      </w:r>
      <w:r>
        <w:rPr>
          <w:rFonts w:hint="eastAsia" w:ascii="宋体" w:hAnsi="宋体" w:eastAsia="宋体" w:cs="宋体"/>
          <w:color w:val="000000" w:themeColor="text1"/>
          <w:szCs w:val="21"/>
          <w:highlight w:val="none"/>
          <w:lang w:val="en-US" w:eastAsia="zh-CN"/>
          <w14:textFill>
            <w14:solidFill>
              <w14:schemeClr w14:val="tx1"/>
            </w14:solidFill>
          </w14:textFill>
        </w:rPr>
        <w:t>承担</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left="0" w:firstLine="401" w:firstLineChars="19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4、货物在规定的交付期限内由乙方送达甲方指定的地点且经开箱检验合格视为交付。</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第六条：调试和验收</w:t>
      </w:r>
    </w:p>
    <w:p>
      <w:pPr>
        <w:keepNext w:val="0"/>
        <w:keepLines w:val="0"/>
        <w:pageBreakBefore w:val="0"/>
        <w:widowControl w:val="0"/>
        <w:kinsoku/>
        <w:wordWrap/>
        <w:overflowPunct/>
        <w:topLinePunct w:val="0"/>
        <w:bidi w:val="0"/>
        <w:adjustRightInd/>
        <w:snapToGrid/>
        <w:spacing w:line="360" w:lineRule="auto"/>
        <w:ind w:left="0" w:firstLine="411"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1、甲方认为有必要在设备制造过程中派人到生产厂家进行监制，并在设备发货前赴生产厂进行预验收，乙方应予以积极配合并对监制或预验收工作提供方便。</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2、设备到达现场后，乙方应派人参与甲方组织的开箱检验工作。</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4、设备安装、调试结束后，经过一个月的试运转考核无故障，并经有关部门的检验合格后，买卖双方共同签署验收合格证书。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第七条：付款方式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签订合同后支付合同金额的</w:t>
      </w:r>
      <w:r>
        <w:rPr>
          <w:rFonts w:hint="eastAsia" w:ascii="宋体" w:hAnsi="宋体" w:cs="宋体"/>
          <w:color w:val="000000" w:themeColor="text1"/>
          <w:szCs w:val="28"/>
          <w:highlight w:val="none"/>
          <w:lang w:val="en-US" w:eastAsia="zh-CN"/>
          <w14:textFill>
            <w14:solidFill>
              <w14:schemeClr w14:val="tx1"/>
            </w14:solidFill>
          </w14:textFill>
        </w:rPr>
        <w:t>4</w:t>
      </w:r>
      <w:r>
        <w:rPr>
          <w:rFonts w:hint="eastAsia" w:ascii="宋体" w:hAnsi="宋体" w:cs="宋体"/>
          <w:color w:val="000000" w:themeColor="text1"/>
          <w:szCs w:val="28"/>
          <w:highlight w:val="none"/>
          <w14:textFill>
            <w14:solidFill>
              <w14:schemeClr w14:val="tx1"/>
            </w14:solidFill>
          </w14:textFill>
        </w:rPr>
        <w:t>0%作为预付款，验收合格后支付剩余全部金额</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cs="宋体"/>
          <w:b/>
          <w:color w:val="000000" w:themeColor="text1"/>
          <w:szCs w:val="21"/>
          <w:highlight w:val="none"/>
          <w:lang w:val="en-US" w:eastAsia="zh-CN"/>
          <w14:textFill>
            <w14:solidFill>
              <w14:schemeClr w14:val="tx1"/>
            </w14:solidFill>
          </w14:textFill>
        </w:rPr>
        <w:t>八</w:t>
      </w:r>
      <w:r>
        <w:rPr>
          <w:rFonts w:hint="eastAsia" w:ascii="宋体" w:hAnsi="宋体" w:eastAsia="宋体" w:cs="宋体"/>
          <w:b/>
          <w:color w:val="000000" w:themeColor="text1"/>
          <w:szCs w:val="21"/>
          <w:highlight w:val="none"/>
          <w14:textFill>
            <w14:solidFill>
              <w14:schemeClr w14:val="tx1"/>
            </w14:solidFill>
          </w14:textFill>
        </w:rPr>
        <w:t>条：违约责任</w:t>
      </w:r>
    </w:p>
    <w:p>
      <w:pPr>
        <w:keepNext w:val="0"/>
        <w:keepLines w:val="0"/>
        <w:pageBreakBefore w:val="0"/>
        <w:widowControl w:val="0"/>
        <w:kinsoku/>
        <w:wordWrap/>
        <w:overflowPunct/>
        <w:topLinePunct w:val="0"/>
        <w:bidi w:val="0"/>
        <w:adjustRightInd/>
        <w:snapToGrid/>
        <w:spacing w:line="360" w:lineRule="auto"/>
        <w:ind w:left="0"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1、乙方应按合同约定时间和地点准时供货、完成安装等，逾期履约的，每迟延一日乙方应向甲方支付违约金 5000元。逾期超过30日的，甲方有权单方面解除合同，乙方应赔偿损失至全额覆盖。</w:t>
      </w:r>
    </w:p>
    <w:p>
      <w:pPr>
        <w:keepNext w:val="0"/>
        <w:keepLines w:val="0"/>
        <w:pageBreakBefore w:val="0"/>
        <w:widowControl w:val="0"/>
        <w:kinsoku/>
        <w:wordWrap/>
        <w:overflowPunct/>
        <w:topLinePunct w:val="0"/>
        <w:bidi w:val="0"/>
        <w:adjustRightInd/>
        <w:snapToGrid/>
        <w:spacing w:line="360" w:lineRule="auto"/>
        <w:ind w:left="0"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甲方有权从未付款中扣除违约金或要求乙方另行支付该违约金。</w:t>
      </w:r>
    </w:p>
    <w:p>
      <w:pPr>
        <w:keepNext w:val="0"/>
        <w:keepLines w:val="0"/>
        <w:pageBreakBefore w:val="0"/>
        <w:widowControl w:val="0"/>
        <w:kinsoku/>
        <w:wordWrap/>
        <w:overflowPunct/>
        <w:topLinePunct w:val="0"/>
        <w:bidi w:val="0"/>
        <w:adjustRightInd/>
        <w:snapToGrid/>
        <w:spacing w:line="360" w:lineRule="auto"/>
        <w:ind w:left="0"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因乙方提供的货物不符合检验要求而逾期供货的属于乙方责任，按上述约定支付违约金。</w:t>
      </w:r>
    </w:p>
    <w:p>
      <w:pPr>
        <w:keepNext w:val="0"/>
        <w:keepLines w:val="0"/>
        <w:pageBreakBefore w:val="0"/>
        <w:widowControl w:val="0"/>
        <w:kinsoku/>
        <w:wordWrap/>
        <w:overflowPunct/>
        <w:topLinePunct w:val="0"/>
        <w:bidi w:val="0"/>
        <w:adjustRightInd/>
        <w:snapToGrid/>
        <w:spacing w:line="360" w:lineRule="auto"/>
        <w:ind w:left="0" w:firstLine="411" w:firstLineChars="196"/>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000000" w:themeColor="text1"/>
          <w:szCs w:val="21"/>
          <w:highlight w:val="none"/>
          <w:lang w:eastAsia="zh-CN"/>
          <w14:textFill>
            <w14:solidFill>
              <w14:schemeClr w14:val="tx1"/>
            </w14:solidFill>
          </w14:textFill>
        </w:rPr>
        <w:t>，同时承担全额质检/检验费用：</w:t>
      </w:r>
    </w:p>
    <w:p>
      <w:pPr>
        <w:keepNext w:val="0"/>
        <w:keepLines w:val="0"/>
        <w:pageBreakBefore w:val="0"/>
        <w:widowControl w:val="0"/>
        <w:kinsoku/>
        <w:wordWrap/>
        <w:overflowPunct/>
        <w:topLinePunct w:val="0"/>
        <w:bidi w:val="0"/>
        <w:adjustRightInd/>
        <w:snapToGrid/>
        <w:spacing w:line="360" w:lineRule="auto"/>
        <w:ind w:left="0"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1）退货：乙方按合同规定的同种货币将货款退还给甲方，并承担由此发生的一切损失和费用，包括利息、银行手续费、运费、保险费、检验费、仓储费、装卸费以及为保护退回货物所需的其它必要费用。</w:t>
      </w:r>
    </w:p>
    <w:p>
      <w:pPr>
        <w:keepNext w:val="0"/>
        <w:keepLines w:val="0"/>
        <w:pageBreakBefore w:val="0"/>
        <w:widowControl w:val="0"/>
        <w:kinsoku/>
        <w:wordWrap/>
        <w:overflowPunct/>
        <w:topLinePunct w:val="0"/>
        <w:bidi w:val="0"/>
        <w:adjustRightInd/>
        <w:snapToGrid/>
        <w:spacing w:line="360" w:lineRule="auto"/>
        <w:ind w:left="0"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2）根据货物低劣程度、损坏程度以及甲方所遭受损失的数额，经买卖双方商定降低货物的价格。</w:t>
      </w:r>
    </w:p>
    <w:p>
      <w:pPr>
        <w:keepNext w:val="0"/>
        <w:keepLines w:val="0"/>
        <w:pageBreakBefore w:val="0"/>
        <w:widowControl w:val="0"/>
        <w:kinsoku/>
        <w:wordWrap/>
        <w:overflowPunct/>
        <w:topLinePunct w:val="0"/>
        <w:bidi w:val="0"/>
        <w:adjustRightInd/>
        <w:snapToGrid/>
        <w:spacing w:line="360" w:lineRule="auto"/>
        <w:ind w:left="0"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3）用符合规格、质量和性能要求的新零件、部件或货物来更换有缺陷的部分或修补缺陷部分，乙方应承担一切费用和风险，并负担甲方所发生的一切直接费用</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果在甲方发出索赔通知后30天内，乙方未作答复，上述索赔应视已被乙方接受。乙方未能在甲方提出索赔通知后30天内或甲方同意的更长时间内，按照本合同第九条2规定的方法解决索赔事宜，甲方将从未付款中扣回索赔金额。如果这些金额不足以补偿索赔金额，甲方有权向乙方提出不足部分的补偿。</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4、因乙方不履行约定导致甲方需通过诉讼方式追偿的，甲方因此发生的所有费用，包括但不限于诉讼费、律师费、保全费、公证费、鉴定费、执行费、相关人员差旅费等，均应由乙方承担。</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w:t>
      </w:r>
      <w:r>
        <w:rPr>
          <w:rFonts w:hint="eastAsia" w:ascii="宋体" w:hAnsi="宋体" w:cs="宋体"/>
          <w:b/>
          <w:color w:val="000000" w:themeColor="text1"/>
          <w:szCs w:val="21"/>
          <w:highlight w:val="none"/>
          <w:lang w:val="en-US" w:eastAsia="zh-CN"/>
          <w14:textFill>
            <w14:solidFill>
              <w14:schemeClr w14:val="tx1"/>
            </w14:solidFill>
          </w14:textFill>
        </w:rPr>
        <w:t>九</w:t>
      </w:r>
      <w:r>
        <w:rPr>
          <w:rFonts w:hint="eastAsia" w:ascii="宋体" w:hAnsi="宋体" w:eastAsia="宋体" w:cs="宋体"/>
          <w:b/>
          <w:color w:val="000000" w:themeColor="text1"/>
          <w:szCs w:val="21"/>
          <w:highlight w:val="none"/>
          <w14:textFill>
            <w14:solidFill>
              <w14:schemeClr w14:val="tx1"/>
            </w14:solidFill>
          </w14:textFill>
        </w:rPr>
        <w:t>条：质量保证及售后服务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1、乙方应按招标文件规定的货物性能、技术要求、质量标准向甲方提供未经使用的全新产品。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2、乙方应在甲方现场对采购方的操作人员和维修人员进行技术培训，使之能够独立操作。甲方有权要求更换乙方指派的不合格的技术人员，由此产生的费用由乙方承担。</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3、在质量保证期内因货物本身的质量问题发生故障，乙方应负责免费更换。对达不到技术要求者，根据实际情况，经双方协商，可以按以下办法处理：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1）、更换：由乙方承担所发生的全部费用。</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2）、贬值处理：由甲乙双方合议定价。</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3）、退货处理: 乙方应退还甲方支付的合同款，同时应承担该货物的直接费用（运输、保险、检验等）。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4、质保期内，乙方应定期派出专业人员对系统设备进行检查、调整。保证系统正常工作。在使用产品过程中遇到技术或故障问题，乙方响应时间为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小时，维修人员应在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小时内到达现场进行维修，并解决问题。</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6、上述的货物免费保修期为设备验收合格之日起不少于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年，因人为因素出现的故障不在免费保修范围内。超过保修期的维修,维修时只收部件成本费。</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第十条：</w:t>
      </w:r>
      <w:r>
        <w:rPr>
          <w:rFonts w:hint="eastAsia" w:ascii="宋体" w:hAnsi="宋体" w:eastAsia="宋体" w:cs="宋体"/>
          <w:b/>
          <w:color w:val="000000" w:themeColor="text1"/>
          <w:szCs w:val="21"/>
          <w:highlight w:val="none"/>
          <w:lang w:val="en-US" w:eastAsia="zh-CN"/>
          <w14:textFill>
            <w14:solidFill>
              <w14:schemeClr w14:val="tx1"/>
            </w14:solidFill>
          </w14:textFill>
        </w:rPr>
        <w:t>其他</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诉讼管辖及诉讼费用承担</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1）凡有关本合同或执行本合同中发生的争端，应通过友好协商，妥善解决。如通过协商仍不能解决时，应向甲方所在地有权管辖的人民法院提起诉讼；</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2）诉讼期间，除正在进行诉讼的部分外，本合同其它部分应继续执行。</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2、适用法律</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本合同按照中华人民共和国的法律进行解释。</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、组成本合同文件及优先解释顺序如下：</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1）本合同协议书；</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2）中标通知书；</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3）招标文件以及更正通知；</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4）投标文件及评标过程中有关澄清文件；</w:t>
      </w:r>
    </w:p>
    <w:p>
      <w:pPr>
        <w:keepNext w:val="0"/>
        <w:keepLines w:val="0"/>
        <w:pageBreakBefore w:val="0"/>
        <w:widowControl w:val="0"/>
        <w:kinsoku/>
        <w:wordWrap/>
        <w:overflowPunct/>
        <w:topLinePunct w:val="0"/>
        <w:bidi w:val="0"/>
        <w:adjustRightInd/>
        <w:snapToGrid/>
        <w:spacing w:line="360" w:lineRule="auto"/>
        <w:ind w:left="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5）国家有关标准、规范及有关技术文件；</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4、本合同生效及其他</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1）合同在双方签字盖章后生效；</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2）本合同正本一式陆份（</w:t>
      </w:r>
      <w:r>
        <w:rPr>
          <w:rFonts w:hint="eastAsia" w:ascii="宋体" w:hAnsi="宋体" w:eastAsia="宋体" w:cs="宋体"/>
          <w:color w:val="000000" w:themeColor="text1"/>
          <w:highlight w:val="none"/>
          <w14:textFill>
            <w14:solidFill>
              <w14:schemeClr w14:val="tx1"/>
            </w14:solidFill>
          </w14:textFill>
        </w:rPr>
        <w:t>采购人执贰份、供应商执贰份、采购代理机构及备案机构各执一份</w:t>
      </w:r>
      <w:r>
        <w:rPr>
          <w:rFonts w:hint="eastAsia" w:ascii="宋体" w:hAnsi="宋体" w:eastAsia="宋体" w:cs="宋体"/>
          <w:color w:val="000000" w:themeColor="text1"/>
          <w:szCs w:val="21"/>
          <w:highlight w:val="none"/>
          <w14:textFill>
            <w14:solidFill>
              <w14:schemeClr w14:val="tx1"/>
            </w14:solidFill>
          </w14:textFill>
        </w:rPr>
        <w:t>），具有同等法律效力；</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3）如需修改或补充合同内容，经协商，双方应签署书面修改或补充协议，作为本合同的一个组成部分；</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4）本合同中如有未尽事宜，由双方协商另行解决</w:t>
      </w:r>
      <w:r>
        <w:rPr>
          <w:rFonts w:hint="eastAsia" w:ascii="宋体" w:hAnsi="宋体" w:cs="宋体"/>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left="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5）合同附件</w:t>
      </w:r>
      <w:r>
        <w:rPr>
          <w:rFonts w:hint="eastAsia" w:ascii="宋体" w:hAnsi="宋体" w:cs="宋体"/>
          <w:color w:val="000000" w:themeColor="text1"/>
          <w:szCs w:val="21"/>
          <w:highlight w:val="none"/>
          <w:lang w:eastAsia="zh-CN"/>
          <w14:textFill>
            <w14:solidFill>
              <w14:schemeClr w14:val="tx1"/>
            </w14:solidFill>
          </w14:textFill>
        </w:rPr>
        <w:t>。</w:t>
      </w:r>
    </w:p>
    <w:p>
      <w:pPr>
        <w:tabs>
          <w:tab w:val="left" w:pos="4140"/>
        </w:tabs>
        <w:spacing w:line="360" w:lineRule="auto"/>
        <w:rPr>
          <w:rFonts w:hint="eastAsia" w:ascii="宋体" w:hAnsi="宋体" w:eastAsia="宋体" w:cs="宋体"/>
          <w:color w:val="000000" w:themeColor="text1"/>
          <w:szCs w:val="21"/>
          <w:highlight w:val="none"/>
          <w14:textFill>
            <w14:solidFill>
              <w14:schemeClr w14:val="tx1"/>
            </w14:solidFill>
          </w14:textFill>
        </w:rPr>
      </w:pPr>
    </w:p>
    <w:p>
      <w:pPr>
        <w:tabs>
          <w:tab w:val="left" w:pos="41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     方（公章）：　　               乙     方（公章）：</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法定代表人（签章）：　                法定代表人（签章）：</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委托代理人（签章）：　　              委托代理人（签章）：</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                          电　  　话：</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8"/>
          <w:szCs w:val="21"/>
          <w:highlight w:val="none"/>
          <w14:textFill>
            <w14:solidFill>
              <w14:schemeClr w14:val="tx1"/>
            </w14:solidFill>
          </w14:textFill>
        </w:rPr>
        <w:t>开 户 银 行</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pacing w:val="-8"/>
          <w:szCs w:val="21"/>
          <w:highlight w:val="none"/>
          <w14:textFill>
            <w14:solidFill>
              <w14:schemeClr w14:val="tx1"/>
            </w14:solidFill>
          </w14:textFill>
        </w:rPr>
        <w:t>开 户 银 行</w:t>
      </w:r>
      <w:r>
        <w:rPr>
          <w:rFonts w:hint="eastAsia" w:ascii="宋体" w:hAnsi="宋体" w:eastAsia="宋体" w:cs="宋体"/>
          <w:color w:val="000000" w:themeColor="text1"/>
          <w:szCs w:val="21"/>
          <w:highlight w:val="none"/>
          <w14:textFill>
            <w14:solidFill>
              <w14:schemeClr w14:val="tx1"/>
            </w14:solidFill>
          </w14:textFill>
        </w:rPr>
        <w:t xml:space="preserve">： </w:t>
      </w:r>
    </w:p>
    <w:p>
      <w:pPr>
        <w:tabs>
          <w:tab w:val="left" w:pos="4140"/>
          <w:tab w:val="left" w:pos="432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　  　号：                          账　  　号：</w:t>
      </w:r>
    </w:p>
    <w:p>
      <w:pPr>
        <w:keepNext w:val="0"/>
        <w:keepLines w:val="0"/>
        <w:pageBreakBefore w:val="0"/>
        <w:kinsoku/>
        <w:wordWrap/>
        <w:overflowPunct/>
        <w:topLinePunct w:val="0"/>
        <w:bidi w:val="0"/>
        <w:spacing w:line="500" w:lineRule="exact"/>
        <w:textAlignment w:val="baseline"/>
        <w:outlineLvl w:val="9"/>
        <w:rPr>
          <w:rFonts w:hint="eastAsia" w:ascii="宋体" w:hAnsi="宋体" w:eastAsia="宋体" w:cs="宋体"/>
          <w:snapToGrid w:val="0"/>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500" w:lineRule="exact"/>
        <w:textAlignment w:val="baseline"/>
        <w:outlineLvl w:val="9"/>
        <w:rPr>
          <w:rFonts w:hint="eastAsia" w:ascii="宋体" w:hAnsi="宋体" w:eastAsia="宋体" w:cs="宋体"/>
          <w:snapToGrid w:val="0"/>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zCs w:val="21"/>
          <w:highlight w:val="none"/>
          <w14:textFill>
            <w14:solidFill>
              <w14:schemeClr w14:val="tx1"/>
            </w14:solidFill>
          </w14:textFill>
        </w:rPr>
        <w:t xml:space="preserve"> 合同</w:t>
      </w:r>
      <w:r>
        <w:rPr>
          <w:rFonts w:hint="eastAsia" w:ascii="宋体" w:hAnsi="宋体" w:cs="宋体"/>
          <w:snapToGrid w:val="0"/>
          <w:color w:val="000000" w:themeColor="text1"/>
          <w:szCs w:val="21"/>
          <w:highlight w:val="none"/>
          <w:lang w:val="en-US" w:eastAsia="zh-CN"/>
          <w14:textFill>
            <w14:solidFill>
              <w14:schemeClr w14:val="tx1"/>
            </w14:solidFill>
          </w14:textFill>
        </w:rPr>
        <w:t>见证</w:t>
      </w:r>
      <w:r>
        <w:rPr>
          <w:rFonts w:hint="eastAsia" w:ascii="宋体" w:hAnsi="宋体" w:eastAsia="宋体" w:cs="宋体"/>
          <w:snapToGrid w:val="0"/>
          <w:color w:val="000000" w:themeColor="text1"/>
          <w:szCs w:val="21"/>
          <w:highlight w:val="none"/>
          <w14:textFill>
            <w14:solidFill>
              <w14:schemeClr w14:val="tx1"/>
            </w14:solidFill>
          </w14:textFill>
        </w:rPr>
        <w:t>方：</w:t>
      </w:r>
    </w:p>
    <w:p>
      <w:pPr>
        <w:keepNext w:val="0"/>
        <w:keepLines w:val="0"/>
        <w:pageBreakBefore w:val="0"/>
        <w:kinsoku/>
        <w:wordWrap/>
        <w:overflowPunct/>
        <w:topLinePunct w:val="0"/>
        <w:bidi w:val="0"/>
        <w:spacing w:line="500" w:lineRule="exact"/>
        <w:ind w:firstLine="4200" w:firstLineChars="2000"/>
        <w:textAlignment w:val="baseline"/>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签订日期：       年     月     日</w:t>
      </w:r>
    </w:p>
    <w:p>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pPr>
        <w:pStyle w:val="7"/>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第六章 投标文件格式附件</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附件1</w:t>
      </w:r>
      <w:r>
        <w:rPr>
          <w:rFonts w:hint="eastAsia" w:ascii="宋体" w:hAnsi="宋体" w:eastAsia="宋体" w:cs="宋体"/>
          <w:color w:val="000000" w:themeColor="text1"/>
          <w:sz w:val="30"/>
          <w:szCs w:val="30"/>
          <w:highlight w:val="none"/>
          <w14:textFill>
            <w14:solidFill>
              <w14:schemeClr w14:val="tx1"/>
            </w14:solidFill>
          </w14:textFill>
        </w:rPr>
        <w:t xml:space="preserve">　　                                      </w:t>
      </w:r>
      <w:r>
        <w:rPr>
          <w:rFonts w:hint="eastAsia" w:ascii="宋体" w:hAnsi="宋体" w:eastAsia="宋体" w:cs="宋体"/>
          <w:b/>
          <w:color w:val="000000" w:themeColor="text1"/>
          <w:sz w:val="28"/>
          <w:highlight w:val="none"/>
          <w14:textFill>
            <w14:solidFill>
              <w14:schemeClr w14:val="tx1"/>
            </w14:solidFill>
          </w14:textFill>
        </w:rPr>
        <w:t xml:space="preserve"> </w:t>
      </w:r>
      <w:r>
        <w:rPr>
          <w:rFonts w:hint="eastAsia" w:ascii="宋体" w:hAnsi="宋体" w:eastAsia="宋体" w:cs="宋体"/>
          <w:b/>
          <w:color w:val="000000" w:themeColor="text1"/>
          <w:sz w:val="28"/>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r>
        <w:rPr>
          <w:rFonts w:hint="eastAsia" w:ascii="宋体" w:hAnsi="宋体" w:eastAsia="宋体" w:cs="宋体"/>
          <w:color w:val="000000" w:themeColor="text1"/>
          <w:sz w:val="30"/>
          <w:szCs w:val="30"/>
          <w:highlight w:val="none"/>
          <w14:textFill>
            <w14:solidFill>
              <w14:schemeClr w14:val="tx1"/>
            </w14:solidFill>
          </w14:textFill>
        </w:rPr>
        <w:t xml:space="preserve">                       　</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84"/>
          <w:szCs w:val="84"/>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
          <w:color w:val="000000" w:themeColor="text1"/>
          <w:spacing w:val="40"/>
          <w:sz w:val="28"/>
          <w:szCs w:val="28"/>
          <w:highlight w:val="none"/>
          <w14:textFill>
            <w14:solidFill>
              <w14:schemeClr w14:val="tx1"/>
            </w14:solidFill>
          </w14:textFill>
        </w:rPr>
        <w:t>资格证明文件）</w:t>
      </w:r>
    </w:p>
    <w:p>
      <w:pPr>
        <w:pStyle w:val="52"/>
        <w:keepNext w:val="0"/>
        <w:keepLines w:val="0"/>
        <w:pageBreakBefore w:val="0"/>
        <w:kinsoku/>
        <w:wordWrap/>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资格证明文件目录</w:t>
      </w:r>
    </w:p>
    <w:p>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1、投标声明书</w:t>
      </w:r>
      <w:r>
        <w:rPr>
          <w:rFonts w:hint="eastAsia" w:ascii="宋体" w:hAnsi="宋体" w:eastAsia="宋体" w:cs="宋体"/>
          <w:color w:val="000000" w:themeColor="text1"/>
          <w:sz w:val="24"/>
          <w:highlight w:val="none"/>
          <w14:textFill>
            <w14:solidFill>
              <w14:schemeClr w14:val="tx1"/>
            </w14:solidFill>
          </w14:textFill>
        </w:rPr>
        <w:t>（附件2）</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2、授权委托书（附件3）</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3、法人或者其他组织的营业执照等证明文件，法定代表人和授权代表的身份证明</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4、本项目要求的特定资质证书</w:t>
      </w:r>
    </w:p>
    <w:p>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hint="eastAsia" w:ascii="宋体" w:hAnsi="宋体" w:eastAsia="宋体" w:cs="宋体"/>
          <w:b/>
          <w:bCs/>
          <w:color w:val="000000" w:themeColor="text1"/>
          <w:sz w:val="36"/>
          <w:szCs w:val="32"/>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000000" w:themeColor="text1"/>
          <w:sz w:val="28"/>
          <w:highlight w:val="none"/>
          <w14:textFill>
            <w14:solidFill>
              <w14:schemeClr w14:val="tx1"/>
            </w14:solidFill>
          </w14:textFill>
        </w:rPr>
      </w:pPr>
    </w:p>
    <w:p>
      <w:pPr>
        <w:pStyle w:val="7"/>
        <w:keepNext w:val="0"/>
        <w:keepLines w:val="0"/>
        <w:pageBreakBefore w:val="0"/>
        <w:kinsoku/>
        <w:wordWrap/>
        <w:overflowPunct/>
        <w:topLinePunct w:val="0"/>
        <w:bidi w:val="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pStyle w:val="7"/>
        <w:rPr>
          <w:rFonts w:hint="eastAsia" w:ascii="宋体" w:hAnsi="宋体" w:eastAsia="宋体" w:cs="宋体"/>
          <w:b/>
          <w:color w:val="000000" w:themeColor="text1"/>
          <w:sz w:val="28"/>
          <w:highlight w:val="none"/>
          <w14:textFill>
            <w14:solidFill>
              <w14:schemeClr w14:val="tx1"/>
            </w14:solidFill>
          </w14:textFill>
        </w:rPr>
      </w:pPr>
    </w:p>
    <w:p>
      <w:pPr>
        <w:rPr>
          <w:rFonts w:hint="eastAsia" w:ascii="宋体" w:hAnsi="宋体" w:eastAsia="宋体" w:cs="宋体"/>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附件2</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投标声明书</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台州市路桥中学</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u w:val="single"/>
          <w:lang w:eastAsia="zh-CN"/>
          <w14:textFill>
            <w14:solidFill>
              <w14:schemeClr w14:val="tx1"/>
            </w14:solidFill>
          </w14:textFill>
        </w:rPr>
        <w:t>浙江汇永工程咨询有限公司</w:t>
      </w:r>
      <w:r>
        <w:rPr>
          <w:rFonts w:hint="eastAsia" w:ascii="宋体" w:hAnsi="宋体" w:eastAsia="宋体" w:cs="宋体"/>
          <w:color w:val="000000" w:themeColor="text1"/>
          <w:szCs w:val="21"/>
          <w:highlight w:val="none"/>
          <w:u w:val="single"/>
          <w14:textFill>
            <w14:solidFill>
              <w14:schemeClr w14:val="tx1"/>
            </w14:solidFill>
          </w14:textFill>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投标人名称 </w:t>
      </w:r>
      <w:r>
        <w:rPr>
          <w:rFonts w:hint="eastAsia" w:ascii="宋体" w:hAnsi="宋体" w:eastAsia="宋体" w:cs="宋体"/>
          <w:color w:val="000000" w:themeColor="text1"/>
          <w:szCs w:val="21"/>
          <w:highlight w:val="none"/>
          <w14:textFill>
            <w14:solidFill>
              <w14:schemeClr w14:val="tx1"/>
            </w14:solidFill>
          </w14:textFill>
        </w:rPr>
        <w:t>）系中华人民共和国合法企业，经营地址。</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u w:val="single"/>
          <w14:textFill>
            <w14:solidFill>
              <w14:schemeClr w14:val="tx1"/>
            </w14:solidFill>
          </w14:textFill>
        </w:rPr>
        <w:t xml:space="preserve"> 姓名 </w:t>
      </w: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投标人名称 </w:t>
      </w:r>
      <w:r>
        <w:rPr>
          <w:rFonts w:hint="eastAsia" w:ascii="宋体" w:hAnsi="宋体" w:eastAsia="宋体" w:cs="宋体"/>
          <w:color w:val="000000" w:themeColor="text1"/>
          <w:szCs w:val="21"/>
          <w:highlight w:val="none"/>
          <w14:textFill>
            <w14:solidFill>
              <w14:schemeClr w14:val="tx1"/>
            </w14:solidFill>
          </w14:textFill>
        </w:rPr>
        <w:t>）的法定代表人，我公司自愿参加贵方组织的</w:t>
      </w:r>
      <w:r>
        <w:rPr>
          <w:rFonts w:hint="eastAsia" w:ascii="宋体" w:hAnsi="宋体" w:cs="宋体"/>
          <w:color w:val="000000" w:themeColor="text1"/>
          <w:szCs w:val="21"/>
          <w:highlight w:val="none"/>
          <w:u w:val="single"/>
          <w:lang w:eastAsia="zh-CN"/>
          <w14:textFill>
            <w14:solidFill>
              <w14:schemeClr w14:val="tx1"/>
            </w14:solidFill>
          </w14:textFill>
        </w:rPr>
        <w:t>物理实验室、准备室、教室多媒体设备采购项目</w:t>
      </w:r>
      <w:r>
        <w:rPr>
          <w:rFonts w:hint="eastAsia" w:ascii="宋体" w:hAnsi="宋体" w:eastAsia="宋体" w:cs="宋体"/>
          <w:color w:val="000000" w:themeColor="text1"/>
          <w:szCs w:val="21"/>
          <w:highlight w:val="none"/>
          <w14:textFill>
            <w14:solidFill>
              <w14:schemeClr w14:val="tx1"/>
            </w14:solidFill>
          </w14:textFill>
        </w:rPr>
        <w:t>（编号为</w:t>
      </w:r>
      <w:r>
        <w:rPr>
          <w:rFonts w:hint="eastAsia" w:ascii="宋体" w:hAnsi="宋体" w:cs="宋体"/>
          <w:color w:val="000000" w:themeColor="text1"/>
          <w:szCs w:val="21"/>
          <w:highlight w:val="none"/>
          <w:u w:val="single"/>
          <w:lang w:eastAsia="zh-CN"/>
          <w14:textFill>
            <w14:solidFill>
              <w14:schemeClr w14:val="tx1"/>
            </w14:solidFill>
          </w14:textFill>
        </w:rPr>
        <w:t>zjhy2024-tz04</w:t>
      </w:r>
      <w:r>
        <w:rPr>
          <w:rFonts w:hint="eastAsia" w:ascii="宋体" w:hAnsi="宋体" w:eastAsia="宋体" w:cs="宋体"/>
          <w:color w:val="000000" w:themeColor="text1"/>
          <w:szCs w:val="21"/>
          <w:highlight w:val="none"/>
          <w14:textFill>
            <w14:solidFill>
              <w14:schemeClr w14:val="tx1"/>
            </w14:solidFill>
          </w14:textFill>
        </w:rPr>
        <w:t>）的投标，为此，我公司就本次投标有关事项郑重声明如下：</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一</w:t>
      </w:r>
      <w:r>
        <w:rPr>
          <w:rFonts w:hint="eastAsia" w:ascii="宋体" w:hAnsi="宋体" w:eastAsia="宋体" w:cs="宋体"/>
          <w:color w:val="000000" w:themeColor="text1"/>
          <w:szCs w:val="21"/>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三</w:t>
      </w: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lang w:val="zh-CN"/>
          <w14:textFill>
            <w14:solidFill>
              <w14:schemeClr w14:val="tx1"/>
            </w14:solidFill>
          </w14:textFill>
        </w:rPr>
        <w:t>公司</w:t>
      </w:r>
      <w:r>
        <w:rPr>
          <w:rFonts w:hint="eastAsia" w:ascii="宋体" w:hAnsi="宋体" w:eastAsia="宋体" w:cs="宋体"/>
          <w:color w:val="000000" w:themeColor="text1"/>
          <w:szCs w:val="21"/>
          <w:highlight w:val="none"/>
          <w14:textFill>
            <w14:solidFill>
              <w14:schemeClr w14:val="tx1"/>
            </w14:solidFill>
          </w14:textFill>
        </w:rPr>
        <w:t>不是采购人的附属机构；在获知本项目采购信息后，与采购人聘请的为此项目提供咨询服务的公司及其附属机构没有任何联系。</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af-ZA"/>
        </w:rPr>
      </w:pPr>
      <w:r>
        <w:rPr>
          <w:rFonts w:hint="eastAsia" w:ascii="宋体" w:hAnsi="宋体" w:eastAsia="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lang w:val="zh-CN"/>
          <w14:textFill>
            <w14:solidFill>
              <w14:schemeClr w14:val="tx1"/>
            </w14:solidFill>
          </w14:textFill>
        </w:rPr>
        <w:t>公司</w:t>
      </w:r>
      <w:r>
        <w:rPr>
          <w:rFonts w:hint="eastAsia" w:ascii="宋体" w:hAnsi="宋体" w:eastAsia="宋体" w:cs="宋体"/>
          <w:color w:val="000000" w:themeColor="text1"/>
          <w:szCs w:val="21"/>
          <w:highlight w:val="none"/>
          <w14:textFill>
            <w14:solidFill>
              <w14:schemeClr w14:val="tx1"/>
            </w14:solidFill>
          </w14:textFill>
        </w:rPr>
        <w:t>保证，</w:t>
      </w:r>
      <w:r>
        <w:rPr>
          <w:rFonts w:hint="eastAsia" w:ascii="宋体" w:hAnsi="宋体" w:eastAsia="宋体" w:cs="宋体"/>
          <w:color w:val="000000" w:themeColor="text1"/>
          <w:szCs w:val="21"/>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lang w:val="zh-CN"/>
          <w14:textFill>
            <w14:solidFill>
              <w14:schemeClr w14:val="tx1"/>
            </w14:solidFill>
          </w14:textFill>
        </w:rPr>
        <w:t>公司</w:t>
      </w:r>
      <w:r>
        <w:rPr>
          <w:rFonts w:hint="eastAsia" w:ascii="宋体" w:hAnsi="宋体" w:eastAsia="宋体" w:cs="宋体"/>
          <w:color w:val="000000" w:themeColor="text1"/>
          <w:szCs w:val="21"/>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w:t>
      </w:r>
      <w:r>
        <w:rPr>
          <w:rFonts w:hint="eastAsia" w:ascii="宋体" w:hAnsi="宋体" w:eastAsia="宋体" w:cs="宋体"/>
          <w:color w:val="auto"/>
          <w:szCs w:val="21"/>
          <w:highlight w:val="none"/>
          <w:lang w:val="af-ZA"/>
        </w:rPr>
        <w:t>标权或其它知识产权的一切相关费用。</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af-ZA"/>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Cs w:val="21"/>
          <w:highlight w:val="none"/>
          <w:lang w:val="af-ZA"/>
        </w:rPr>
        <w:t>不降低合同约定的产品质量和服务，不擅自变更、中止、终止合同，或拒绝履行合同义务；</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、以上事项如有虚假或隐瞒，我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愿意承担一切后果，并不再寻求任何旨在减轻或免除法律责任的辩解。</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本单位若违反以上承诺，将无条件接受项目主管部门和有关监督管理部门的调查，并愿意承担取消中标资格、没收履约保证金及限制在本地区参与</w:t>
      </w:r>
      <w:r>
        <w:rPr>
          <w:rFonts w:hint="eastAsia" w:ascii="宋体" w:hAnsi="宋体" w:eastAsia="宋体" w:cs="宋体"/>
          <w:color w:val="000000" w:themeColor="text1"/>
          <w:szCs w:val="21"/>
          <w:highlight w:val="none"/>
          <w14:textFill>
            <w14:solidFill>
              <w14:schemeClr w14:val="tx1"/>
            </w14:solidFill>
          </w14:textFill>
        </w:rPr>
        <w:t>投标等一切法律责任。</w:t>
      </w:r>
    </w:p>
    <w:p>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投标人名称(公章)：</w:t>
      </w:r>
    </w:p>
    <w:p>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法定代表人或授权委托代理人（签字）：</w:t>
      </w:r>
    </w:p>
    <w:p>
      <w:pPr>
        <w:keepNext w:val="0"/>
        <w:keepLines w:val="0"/>
        <w:pageBreakBefore w:val="0"/>
        <w:kinsoku/>
        <w:wordWrap/>
        <w:overflowPunct/>
        <w:topLinePunct w:val="0"/>
        <w:bidi w:val="0"/>
        <w:spacing w:line="360" w:lineRule="auto"/>
        <w:ind w:firstLine="420" w:firstLineChars="200"/>
        <w:jc w:val="center"/>
        <w:outlineLvl w:val="9"/>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日期：</w:t>
      </w:r>
      <w:r>
        <w:rPr>
          <w:rFonts w:hint="eastAsia" w:ascii="宋体" w:hAnsi="宋体" w:eastAsia="宋体" w:cs="宋体"/>
          <w:color w:val="000000" w:themeColor="text1"/>
          <w:szCs w:val="21"/>
          <w:highlight w:val="none"/>
          <w14:textFill>
            <w14:solidFill>
              <w14:schemeClr w14:val="tx1"/>
            </w14:solidFill>
          </w14:textFill>
        </w:rPr>
        <w:t>年  月  日</w:t>
      </w:r>
    </w:p>
    <w:p>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附件3</w:t>
      </w:r>
    </w:p>
    <w:p>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授权委托书</w:t>
      </w:r>
    </w:p>
    <w:p>
      <w:pPr>
        <w:pStyle w:val="11"/>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u w:val="single"/>
          <w:lang w:eastAsia="zh-CN"/>
          <w14:textFill>
            <w14:solidFill>
              <w14:schemeClr w14:val="tx1"/>
            </w14:solidFill>
          </w14:textFill>
        </w:rPr>
        <w:t>台州市路桥中学</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u w:val="single"/>
          <w:lang w:eastAsia="zh-CN"/>
          <w14:textFill>
            <w14:solidFill>
              <w14:schemeClr w14:val="tx1"/>
            </w14:solidFill>
          </w14:textFill>
        </w:rPr>
        <w:t>浙江汇永工程咨询有限公司</w:t>
      </w:r>
      <w:r>
        <w:rPr>
          <w:rFonts w:hint="eastAsia" w:ascii="宋体" w:hAnsi="宋体" w:eastAsia="宋体" w:cs="宋体"/>
          <w:color w:val="000000" w:themeColor="text1"/>
          <w:kern w:val="0"/>
          <w:szCs w:val="21"/>
          <w:highlight w:val="none"/>
          <w14:textFill>
            <w14:solidFill>
              <w14:schemeClr w14:val="tx1"/>
            </w14:solidFill>
          </w14:textFill>
        </w:rPr>
        <w:t>：</w:t>
      </w:r>
    </w:p>
    <w:p>
      <w:pPr>
        <w:pStyle w:val="11"/>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（投标人全称）</w:t>
      </w:r>
      <w:r>
        <w:rPr>
          <w:rFonts w:hint="eastAsia" w:ascii="宋体" w:hAnsi="宋体" w:eastAsia="宋体" w:cs="宋体"/>
          <w:color w:val="000000" w:themeColor="text1"/>
          <w:szCs w:val="21"/>
          <w:highlight w:val="none"/>
          <w14:textFill>
            <w14:solidFill>
              <w14:schemeClr w14:val="tx1"/>
            </w14:solidFill>
          </w14:textFill>
        </w:rPr>
        <w:t>法定代表人（或营业执照中单位负责人）</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（法定代表人或营业执照中单位负责人姓名）</w:t>
      </w:r>
      <w:r>
        <w:rPr>
          <w:rFonts w:hint="eastAsia" w:ascii="宋体" w:hAnsi="宋体" w:eastAsia="宋体" w:cs="宋体"/>
          <w:color w:val="000000" w:themeColor="text1"/>
          <w:szCs w:val="21"/>
          <w:highlight w:val="none"/>
          <w14:textFill>
            <w14:solidFill>
              <w14:schemeClr w14:val="tx1"/>
            </w14:solidFill>
          </w14:textFill>
        </w:rPr>
        <w:t>授权</w:t>
      </w:r>
      <w:r>
        <w:rPr>
          <w:rFonts w:hint="eastAsia" w:ascii="宋体" w:hAnsi="宋体" w:eastAsia="宋体" w:cs="宋体"/>
          <w:color w:val="000000" w:themeColor="text1"/>
          <w:szCs w:val="21"/>
          <w:highlight w:val="none"/>
          <w:u w:val="single"/>
          <w14:textFill>
            <w14:solidFill>
              <w14:schemeClr w14:val="tx1"/>
            </w14:solidFill>
          </w14:textFill>
        </w:rPr>
        <w:t>（授权委托代理人姓名）</w:t>
      </w:r>
      <w:r>
        <w:rPr>
          <w:rFonts w:hint="eastAsia" w:ascii="宋体" w:hAnsi="宋体" w:eastAsia="宋体" w:cs="宋体"/>
          <w:color w:val="000000" w:themeColor="text1"/>
          <w:szCs w:val="21"/>
          <w:highlight w:val="none"/>
          <w14:textFill>
            <w14:solidFill>
              <w14:schemeClr w14:val="tx1"/>
            </w14:solidFill>
          </w14:textFill>
        </w:rPr>
        <w:t>为授权委托代理人，参加贵单位组织的</w:t>
      </w:r>
      <w:r>
        <w:rPr>
          <w:rFonts w:hint="eastAsia" w:hAnsi="宋体" w:cs="宋体"/>
          <w:color w:val="000000" w:themeColor="text1"/>
          <w:kern w:val="0"/>
          <w:szCs w:val="21"/>
          <w:highlight w:val="none"/>
          <w:u w:val="single"/>
          <w:lang w:eastAsia="zh-CN"/>
          <w14:textFill>
            <w14:solidFill>
              <w14:schemeClr w14:val="tx1"/>
            </w14:solidFill>
          </w14:textFill>
        </w:rPr>
        <w:t>物理实验室、准备室、教室多媒体设备采购项目</w:t>
      </w:r>
      <w:r>
        <w:rPr>
          <w:rFonts w:hint="eastAsia" w:ascii="宋体" w:hAnsi="宋体" w:eastAsia="宋体" w:cs="宋体"/>
          <w:color w:val="000000" w:themeColor="text1"/>
          <w:szCs w:val="21"/>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授权委托代理人无转委托权，特此委托。</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投标人全称（公章）：日期：</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361" w:firstLineChars="150"/>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法定代表人姓名：</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详细通讯地址：</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授权委托代理人身份证复印件粘帖处</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授权委托代理人姓名：</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详细通讯地址：</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pPr>
        <w:pStyle w:val="65"/>
        <w:widowControl w:val="0"/>
        <w:snapToGrid w:val="0"/>
        <w:spacing w:line="360" w:lineRule="auto"/>
        <w:jc w:val="cente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政府采购活动现场确认声明书</w:t>
      </w:r>
    </w:p>
    <w:p>
      <w:pPr>
        <w:pStyle w:val="65"/>
        <w:widowControl w:val="0"/>
        <w:snapToGrid w:val="0"/>
        <w:spacing w:line="360" w:lineRule="auto"/>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lang w:eastAsia="zh-CN"/>
          <w14:textFill>
            <w14:solidFill>
              <w14:schemeClr w14:val="tx1"/>
            </w14:solidFill>
          </w14:textFill>
        </w:rPr>
        <w:t>浙江汇永工程咨询有限公司</w:t>
      </w:r>
      <w:r>
        <w:rPr>
          <w:rFonts w:hint="eastAsia" w:ascii="宋体" w:hAnsi="宋体" w:eastAsia="宋体" w:cs="宋体"/>
          <w:color w:val="000000" w:themeColor="text1"/>
          <w:kern w:val="0"/>
          <w:sz w:val="21"/>
          <w:szCs w:val="21"/>
          <w:highlight w:val="none"/>
          <w14:textFill>
            <w14:solidFill>
              <w14:schemeClr w14:val="tx1"/>
            </w14:solidFill>
          </w14:textFill>
        </w:rPr>
        <w:t>：</w:t>
      </w:r>
    </w:p>
    <w:p>
      <w:pPr>
        <w:pStyle w:val="65"/>
        <w:widowControl w:val="0"/>
        <w:snapToGrid w:val="0"/>
        <w:spacing w:line="360" w:lineRule="auto"/>
        <w:ind w:firstLine="444" w:firstLineChars="200"/>
        <w:jc w:val="lef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本人经由</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（供应商全称）</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负责人</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姓名）</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合</w:t>
      </w:r>
      <w:r>
        <w:rPr>
          <w:rFonts w:hint="eastAsia" w:ascii="宋体" w:hAnsi="宋体" w:eastAsia="宋体" w:cs="宋体"/>
          <w:color w:val="000000" w:themeColor="text1"/>
          <w:spacing w:val="6"/>
          <w:sz w:val="21"/>
          <w:szCs w:val="21"/>
          <w:highlight w:val="none"/>
          <w14:textFill>
            <w14:solidFill>
              <w14:schemeClr w14:val="tx1"/>
            </w14:solidFill>
          </w14:textFill>
        </w:rPr>
        <w:t>法授权参加</w:t>
      </w:r>
      <w:r>
        <w:rPr>
          <w:rFonts w:hint="eastAsia" w:hAnsi="宋体" w:cs="宋体"/>
          <w:color w:val="000000" w:themeColor="text1"/>
          <w:kern w:val="0"/>
          <w:sz w:val="21"/>
          <w:szCs w:val="21"/>
          <w:highlight w:val="none"/>
          <w:u w:val="single"/>
          <w:lang w:eastAsia="zh-CN"/>
          <w14:textFill>
            <w14:solidFill>
              <w14:schemeClr w14:val="tx1"/>
            </w14:solidFill>
          </w14:textFill>
        </w:rPr>
        <w:t>物理实验室、准备室、教室多媒体设备采购项目</w:t>
      </w:r>
      <w:r>
        <w:rPr>
          <w:rFonts w:hint="eastAsia" w:ascii="宋体" w:hAnsi="宋体" w:eastAsia="宋体" w:cs="宋体"/>
          <w:color w:val="000000" w:themeColor="text1"/>
          <w:spacing w:val="6"/>
          <w:sz w:val="21"/>
          <w:szCs w:val="21"/>
          <w:highlight w:val="none"/>
          <w14:textFill>
            <w14:solidFill>
              <w14:schemeClr w14:val="tx1"/>
            </w14:solidFill>
          </w14:textFill>
        </w:rPr>
        <w:t>（编号：</w:t>
      </w:r>
      <w:r>
        <w:rPr>
          <w:rFonts w:hint="eastAsia" w:hAnsi="宋体" w:cs="宋体"/>
          <w:color w:val="000000" w:themeColor="text1"/>
          <w:sz w:val="21"/>
          <w:szCs w:val="21"/>
          <w:highlight w:val="none"/>
          <w:u w:val="single"/>
          <w:lang w:val="en-US" w:eastAsia="zh-CN"/>
          <w14:textFill>
            <w14:solidFill>
              <w14:schemeClr w14:val="tx1"/>
            </w14:solidFill>
          </w14:textFill>
        </w:rPr>
        <w:t>zjhy2024-tz04</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）政府采购活动，经与本单位法人代表（负责人）联系确认，现就有关公平竞争事项郑重声明如下： </w:t>
      </w:r>
    </w:p>
    <w:p>
      <w:pPr>
        <w:pStyle w:val="52"/>
        <w:widowControl/>
        <w:tabs>
          <w:tab w:val="left" w:pos="630"/>
        </w:tabs>
        <w:snapToGrid w:val="0"/>
        <w:spacing w:line="360" w:lineRule="auto"/>
        <w:ind w:left="21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一、本单位与采购人之间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kern w:val="0"/>
          <w:sz w:val="21"/>
          <w:szCs w:val="21"/>
          <w:highlight w:val="none"/>
          <w14:textFill>
            <w14:solidFill>
              <w14:schemeClr w14:val="tx1"/>
            </w14:solidFill>
          </w14:textFill>
        </w:rPr>
        <w:t>不存在利害关系 □存在下列利害关系</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pPr>
        <w:pStyle w:val="52"/>
        <w:widowControl/>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A.投资关系    B.行政隶属关系    C.业务指导关系</w:t>
      </w:r>
    </w:p>
    <w:p>
      <w:pPr>
        <w:pStyle w:val="52"/>
        <w:widowControl/>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D.其他可能</w:t>
      </w:r>
      <w:r>
        <w:rPr>
          <w:rFonts w:hint="eastAsia" w:ascii="宋体" w:hAnsi="宋体" w:eastAsia="宋体" w:cs="宋体"/>
          <w:color w:val="000000" w:themeColor="text1"/>
          <w:sz w:val="21"/>
          <w:szCs w:val="21"/>
          <w:highlight w:val="none"/>
          <w14:textFill>
            <w14:solidFill>
              <w14:schemeClr w14:val="tx1"/>
            </w14:solidFill>
          </w14:textFill>
        </w:rPr>
        <w:t>影响采购公正的</w:t>
      </w:r>
      <w:r>
        <w:rPr>
          <w:rFonts w:hint="eastAsia" w:ascii="宋体" w:hAnsi="宋体" w:eastAsia="宋体" w:cs="宋体"/>
          <w:color w:val="000000" w:themeColor="text1"/>
          <w:kern w:val="0"/>
          <w:sz w:val="21"/>
          <w:szCs w:val="21"/>
          <w:highlight w:val="none"/>
          <w14:textFill>
            <w14:solidFill>
              <w14:schemeClr w14:val="tx1"/>
            </w14:solidFill>
          </w14:textFill>
        </w:rPr>
        <w:t>利害关系</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（如有，请如实说明）                 </w:t>
      </w:r>
      <w:r>
        <w:rPr>
          <w:rFonts w:hint="eastAsia" w:ascii="宋体" w:hAnsi="宋体" w:eastAsia="宋体" w:cs="宋体"/>
          <w:color w:val="000000" w:themeColor="text1"/>
          <w:kern w:val="0"/>
          <w:sz w:val="21"/>
          <w:szCs w:val="21"/>
          <w:highlight w:val="none"/>
          <w14:textFill>
            <w14:solidFill>
              <w14:schemeClr w14:val="tx1"/>
            </w14:solidFill>
          </w14:textFill>
        </w:rPr>
        <w:t>。</w:t>
      </w:r>
    </w:p>
    <w:p>
      <w:pPr>
        <w:pStyle w:val="52"/>
        <w:widowControl/>
        <w:snapToGrid w:val="0"/>
        <w:spacing w:line="360" w:lineRule="auto"/>
        <w:ind w:firstLine="222"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二、</w:t>
      </w:r>
      <w:r>
        <w:rPr>
          <w:rFonts w:hint="eastAsia" w:ascii="宋体" w:hAnsi="宋体" w:eastAsia="宋体" w:cs="宋体"/>
          <w:color w:val="000000" w:themeColor="text1"/>
          <w:kern w:val="0"/>
          <w:sz w:val="21"/>
          <w:szCs w:val="21"/>
          <w:highlight w:val="none"/>
          <w14:textFill>
            <w14:solidFill>
              <w14:schemeClr w14:val="tx1"/>
            </w14:solidFill>
          </w14:textFill>
        </w:rPr>
        <w:t>现已清楚知道参加本项目采购活动的其他所有供应商名称，本单位</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kern w:val="0"/>
          <w:sz w:val="21"/>
          <w:szCs w:val="21"/>
          <w:highlight w:val="none"/>
          <w14:textFill>
            <w14:solidFill>
              <w14:schemeClr w14:val="tx1"/>
            </w14:solidFill>
          </w14:textFill>
        </w:rPr>
        <w:t>与其他所有供应商之间均不存在利害关系 □与</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（供应商名称）</w:t>
      </w:r>
      <w:r>
        <w:rPr>
          <w:rFonts w:hint="eastAsia" w:ascii="宋体" w:hAnsi="宋体" w:eastAsia="宋体" w:cs="宋体"/>
          <w:color w:val="000000" w:themeColor="text1"/>
          <w:kern w:val="0"/>
          <w:sz w:val="21"/>
          <w:szCs w:val="21"/>
          <w:highlight w:val="none"/>
          <w14:textFill>
            <w14:solidFill>
              <w14:schemeClr w14:val="tx1"/>
            </w14:solidFill>
          </w14:textFill>
        </w:rPr>
        <w:t>之间存在下列利害关系</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pPr>
        <w:pStyle w:val="65"/>
        <w:widowControl w:val="0"/>
        <w:snapToGrid w:val="0"/>
        <w:spacing w:line="360" w:lineRule="auto"/>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A.法定代表人或负责人或实际控制人是同一人</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B.法定代表人或负责人或实际控制人是夫妻关系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C.法定代表人或负责人或实际控制人是直系血亲关系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D.法定代表人或负责人或实际控制人存在三代以内旁系血亲关系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E.法定代表人或负责人或实际控制人存在近姻亲关系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F.法定代表人或负责人或实际控制人存在股份控制或实际控制关系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G.存在共同直接或间接投资设立子公司、联营企业和合营企业情况</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H.存在分级代理或代销关系、同一生产制造商关系、</w:t>
      </w:r>
      <w:r>
        <w:rPr>
          <w:rFonts w:hint="eastAsia" w:ascii="宋体" w:hAnsi="宋体" w:eastAsia="宋体" w:cs="宋体"/>
          <w:color w:val="000000" w:themeColor="text1"/>
          <w:sz w:val="21"/>
          <w:szCs w:val="21"/>
          <w:highlight w:val="none"/>
          <w14:textFill>
            <w14:solidFill>
              <w14:schemeClr w14:val="tx1"/>
            </w14:solidFill>
          </w14:textFill>
        </w:rPr>
        <w:t>管理关系、重要业务（占主营业务收入50%以上）或重要财务往来关系（如融资）等其他实质性控制关系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I</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其他利害关系情况</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三、现已清楚知道并</w:t>
      </w:r>
      <w:r>
        <w:rPr>
          <w:rFonts w:hint="eastAsia" w:ascii="宋体" w:hAnsi="宋体" w:eastAsia="宋体" w:cs="宋体"/>
          <w:color w:val="000000" w:themeColor="text1"/>
          <w:kern w:val="0"/>
          <w:sz w:val="21"/>
          <w:szCs w:val="21"/>
          <w:highlight w:val="none"/>
          <w14:textFill>
            <w14:solidFill>
              <w14:schemeClr w14:val="tx1"/>
            </w14:solidFill>
          </w14:textFill>
        </w:rPr>
        <w:t>严格遵守政府采购法律法规和现场纪律。</w:t>
      </w:r>
    </w:p>
    <w:p>
      <w:pPr>
        <w:pStyle w:val="52"/>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四、我发现</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供应商之间存在或可能存在上述第二条第</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项利害关系。</w:t>
      </w:r>
    </w:p>
    <w:p>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pStyle w:val="6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（供应商代表签名）</w:t>
      </w:r>
    </w:p>
    <w:p>
      <w:pPr>
        <w:pStyle w:val="65"/>
        <w:widowControl w:val="0"/>
        <w:snapToGrid w:val="0"/>
        <w:spacing w:line="360" w:lineRule="auto"/>
        <w:ind w:firstLine="420" w:firstLineChars="2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日</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 xml:space="preserve">附件4                                              </w:t>
      </w:r>
      <w:r>
        <w:rPr>
          <w:rFonts w:hint="eastAsia" w:ascii="宋体" w:hAnsi="宋体" w:eastAsia="宋体" w:cs="宋体"/>
          <w:b/>
          <w:color w:val="000000" w:themeColor="text1"/>
          <w:sz w:val="28"/>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84"/>
          <w:szCs w:val="84"/>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Cs/>
          <w:color w:val="000000" w:themeColor="text1"/>
          <w:sz w:val="24"/>
          <w:highlight w:val="none"/>
          <w:lang w:val="zh-CN"/>
          <w14:textFill>
            <w14:solidFill>
              <w14:schemeClr w14:val="tx1"/>
            </w14:solidFill>
          </w14:textFill>
        </w:rPr>
        <w:t>商务与技术文件）</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    址：</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    间：</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000000" w:themeColor="text1"/>
          <w:sz w:val="36"/>
          <w:szCs w:val="36"/>
          <w:highlight w:val="none"/>
          <w14:textFill>
            <w14:solidFill>
              <w14:schemeClr w14:val="tx1"/>
            </w14:solidFill>
          </w14:textFill>
        </w:rPr>
      </w:pPr>
    </w:p>
    <w:p>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000000" w:themeColor="text1"/>
          <w:sz w:val="32"/>
          <w:szCs w:val="32"/>
          <w:highlight w:val="none"/>
          <w:lang w:val="zh-CN"/>
          <w14:textFill>
            <w14:solidFill>
              <w14:schemeClr w14:val="tx1"/>
            </w14:solidFill>
          </w14:textFill>
        </w:rPr>
      </w:pP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bCs/>
          <w:color w:val="000000" w:themeColor="text1"/>
          <w:sz w:val="32"/>
          <w:szCs w:val="32"/>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sz w:val="24"/>
        </w:rPr>
      </w:pPr>
      <w:r>
        <w:rPr>
          <w:rFonts w:hint="eastAsia" w:ascii="宋体" w:hAnsi="宋体" w:eastAsia="宋体" w:cs="宋体"/>
          <w:b/>
          <w:bCs/>
          <w:sz w:val="32"/>
          <w:szCs w:val="32"/>
          <w:lang w:val="zh-CN"/>
        </w:rPr>
        <w:t>商务与技术文件</w:t>
      </w:r>
      <w:r>
        <w:rPr>
          <w:rFonts w:hint="eastAsia" w:ascii="宋体" w:hAnsi="宋体" w:eastAsia="宋体" w:cs="宋体"/>
          <w:b/>
          <w:bCs/>
          <w:sz w:val="32"/>
          <w:szCs w:val="32"/>
        </w:rPr>
        <w:t>目录</w:t>
      </w:r>
    </w:p>
    <w:p>
      <w:pPr>
        <w:numPr>
          <w:ilvl w:val="0"/>
          <w:numId w:val="0"/>
        </w:numPr>
        <w:snapToGrid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一、评标索引</w:t>
      </w:r>
    </w:p>
    <w:p>
      <w:pPr>
        <w:pStyle w:val="7"/>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      评标索引：自评表（附件5）；</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 xml:space="preserve"> 技术方案描述部分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1、投标人情况介绍（附件</w:t>
      </w:r>
      <w:r>
        <w:rPr>
          <w:rFonts w:hint="eastAsia" w:ascii="宋体" w:hAnsi="宋体" w:eastAsia="宋体" w:cs="宋体"/>
          <w:sz w:val="21"/>
          <w:szCs w:val="21"/>
          <w:lang w:val="en-US" w:eastAsia="zh-CN"/>
        </w:rPr>
        <w:t>6</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000000" w:themeColor="text1"/>
          <w:sz w:val="21"/>
          <w:szCs w:val="21"/>
          <w14:textFill>
            <w14:solidFill>
              <w14:schemeClr w14:val="tx1"/>
            </w14:solidFill>
          </w14:textFill>
        </w:rPr>
        <w:t>项目需求的理解与分析</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000000" w:themeColor="text1"/>
          <w:sz w:val="21"/>
          <w:szCs w:val="21"/>
          <w14:textFill>
            <w14:solidFill>
              <w14:schemeClr w14:val="tx1"/>
            </w14:solidFill>
          </w14:textFill>
        </w:rPr>
        <w:t>项目组织实施方案</w:t>
      </w:r>
      <w:r>
        <w:rPr>
          <w:rFonts w:hint="eastAsia" w:ascii="宋体" w:hAnsi="宋体" w:eastAsia="宋体" w:cs="宋体"/>
          <w:sz w:val="21"/>
          <w:szCs w:val="21"/>
        </w:rPr>
        <w:t xml:space="preserve">； </w:t>
      </w:r>
    </w:p>
    <w:p>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4、项目实施人员一览表（附件</w:t>
      </w:r>
      <w:r>
        <w:rPr>
          <w:rFonts w:hint="eastAsia" w:ascii="宋体" w:hAnsi="宋体" w:eastAsia="宋体" w:cs="宋体"/>
          <w:sz w:val="21"/>
          <w:szCs w:val="21"/>
          <w:lang w:val="en-US" w:eastAsia="zh-CN"/>
        </w:rPr>
        <w:t>7</w:t>
      </w:r>
      <w:r>
        <w:rPr>
          <w:rFonts w:hint="eastAsia" w:ascii="宋体" w:hAnsi="宋体" w:eastAsia="宋体" w:cs="宋体"/>
          <w:sz w:val="21"/>
          <w:szCs w:val="21"/>
        </w:rPr>
        <w:t>）；</w:t>
      </w:r>
    </w:p>
    <w:p>
      <w:pPr>
        <w:snapToGrid w:val="0"/>
        <w:spacing w:line="360" w:lineRule="auto"/>
        <w:ind w:firstLine="411" w:firstLineChars="196"/>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所投产品的规格、品牌、详细性能介绍及主要配置清单（不含报价）；</w:t>
      </w:r>
    </w:p>
    <w:p>
      <w:pPr>
        <w:snapToGrid w:val="0"/>
        <w:spacing w:line="360" w:lineRule="auto"/>
        <w:ind w:firstLine="411" w:firstLineChars="19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6、投标人提供的产品供货清单及原产地（附件8）</w:t>
      </w:r>
    </w:p>
    <w:p>
      <w:pPr>
        <w:snapToGrid w:val="0"/>
        <w:spacing w:line="360" w:lineRule="auto"/>
        <w:ind w:firstLine="411" w:firstLineChars="19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7、产品制造、安装、验收标准；</w:t>
      </w:r>
    </w:p>
    <w:p>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投标描述部分</w:t>
      </w:r>
    </w:p>
    <w:p>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1、投标描述及相关资料；</w:t>
      </w:r>
    </w:p>
    <w:p>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2、技术需求响应表（附件</w:t>
      </w:r>
      <w:r>
        <w:rPr>
          <w:rFonts w:hint="eastAsia" w:ascii="宋体" w:hAnsi="宋体" w:eastAsia="宋体" w:cs="宋体"/>
          <w:sz w:val="21"/>
          <w:szCs w:val="21"/>
          <w:lang w:val="en-US" w:eastAsia="zh-CN"/>
        </w:rPr>
        <w:t>9</w:t>
      </w:r>
      <w:r>
        <w:rPr>
          <w:rFonts w:hint="eastAsia" w:ascii="宋体" w:hAnsi="宋体" w:eastAsia="宋体" w:cs="宋体"/>
          <w:sz w:val="21"/>
          <w:szCs w:val="21"/>
        </w:rPr>
        <w:t>）；</w:t>
      </w:r>
    </w:p>
    <w:p>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3、投标人需要说明的其他内容；（包括可能影响投标人技术性能评分项的各类证明材料）</w:t>
      </w:r>
    </w:p>
    <w:p>
      <w:pPr>
        <w:snapToGrid w:val="0"/>
        <w:spacing w:line="360" w:lineRule="auto"/>
        <w:ind w:firstLine="413" w:firstLineChars="196"/>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、商务响应部分</w:t>
      </w:r>
    </w:p>
    <w:p>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投标人的企业</w:t>
      </w:r>
      <w:r>
        <w:rPr>
          <w:rFonts w:hint="eastAsia" w:ascii="宋体" w:hAnsi="宋体" w:eastAsia="宋体" w:cs="宋体"/>
          <w:sz w:val="21"/>
          <w:szCs w:val="21"/>
        </w:rPr>
        <w:t>证书一览表（附件</w:t>
      </w:r>
      <w:r>
        <w:rPr>
          <w:rFonts w:hint="eastAsia" w:ascii="宋体" w:hAnsi="宋体" w:eastAsia="宋体" w:cs="宋体"/>
          <w:sz w:val="21"/>
          <w:szCs w:val="21"/>
          <w:lang w:val="en-US" w:eastAsia="zh-CN"/>
        </w:rPr>
        <w:t>10</w:t>
      </w:r>
      <w:r>
        <w:rPr>
          <w:rFonts w:hint="eastAsia" w:ascii="宋体" w:hAnsi="宋体" w:eastAsia="宋体" w:cs="宋体"/>
          <w:sz w:val="21"/>
          <w:szCs w:val="21"/>
        </w:rPr>
        <w:t>）；</w:t>
      </w:r>
    </w:p>
    <w:p>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2、类似项目的成功案例（附件1</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3、资信及商务需求响应表（附件1</w:t>
      </w:r>
      <w:r>
        <w:rPr>
          <w:rFonts w:hint="eastAsia" w:ascii="宋体" w:hAnsi="宋体" w:eastAsia="宋体" w:cs="宋体"/>
          <w:sz w:val="21"/>
          <w:szCs w:val="21"/>
          <w:lang w:val="en-US" w:eastAsia="zh-CN"/>
        </w:rPr>
        <w:t>2</w:t>
      </w:r>
      <w:r>
        <w:rPr>
          <w:rFonts w:hint="eastAsia" w:ascii="宋体" w:hAnsi="宋体" w:eastAsia="宋体" w:cs="宋体"/>
          <w:sz w:val="21"/>
          <w:szCs w:val="21"/>
        </w:rPr>
        <w:t>）；</w:t>
      </w:r>
    </w:p>
    <w:p>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4、售后服务情况表（附件1</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可视情况选填</w:t>
      </w:r>
      <w:r>
        <w:rPr>
          <w:rFonts w:hint="eastAsia" w:ascii="宋体" w:hAnsi="宋体" w:eastAsia="宋体" w:cs="宋体"/>
          <w:sz w:val="21"/>
          <w:szCs w:val="21"/>
          <w:lang w:eastAsia="zh-CN"/>
        </w:rPr>
        <w:t>）</w:t>
      </w:r>
      <w:r>
        <w:rPr>
          <w:rFonts w:hint="eastAsia" w:ascii="宋体" w:hAnsi="宋体" w:eastAsia="宋体" w:cs="宋体"/>
          <w:sz w:val="21"/>
          <w:szCs w:val="21"/>
        </w:rPr>
        <w:t>；</w:t>
      </w:r>
    </w:p>
    <w:p>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5、投标人需要说明的其他内容。（包括可能影响投标人企业实力及信誉评分项以及售后服务评分项的各类证明材料）</w:t>
      </w:r>
    </w:p>
    <w:p>
      <w:pPr>
        <w:pStyle w:val="40"/>
        <w:shd w:val="clear" w:color="auto" w:fill="FFFFFF"/>
        <w:spacing w:before="0" w:beforeAutospacing="0" w:after="0" w:afterAutospacing="0" w:line="240" w:lineRule="auto"/>
        <w:outlineLvl w:val="9"/>
        <w:rPr>
          <w:rFonts w:hint="eastAsia" w:ascii="宋体" w:hAnsi="宋体" w:eastAsia="宋体" w:cs="宋体"/>
          <w:b/>
          <w:sz w:val="28"/>
        </w:rPr>
        <w:sectPr>
          <w:pgSz w:w="11906" w:h="16838"/>
          <w:pgMar w:top="1440" w:right="1800" w:bottom="1440" w:left="1800" w:header="851" w:footer="992" w:gutter="0"/>
          <w:pgNumType w:fmt="decimal"/>
          <w:cols w:space="425" w:num="1"/>
          <w:docGrid w:type="lines" w:linePitch="312" w:charSpace="0"/>
        </w:sectPr>
      </w:pPr>
    </w:p>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5</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评标索引：自评表</w:t>
      </w:r>
    </w:p>
    <w:tbl>
      <w:tblPr>
        <w:tblStyle w:val="22"/>
        <w:tblW w:w="11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13"/>
        <w:gridCol w:w="7033"/>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96" w:type="dxa"/>
            <w:gridSpan w:val="2"/>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cstheme="minorEastAsia"/>
                <w:b/>
                <w:bCs/>
                <w:color w:val="000000" w:themeColor="text1"/>
                <w:szCs w:val="21"/>
                <w:highlight w:val="none"/>
                <w14:textFill>
                  <w14:solidFill>
                    <w14:schemeClr w14:val="tx1"/>
                  </w14:solidFill>
                </w14:textFill>
              </w:rPr>
              <w:t>评标因素</w:t>
            </w:r>
          </w:p>
        </w:tc>
        <w:tc>
          <w:tcPr>
            <w:tcW w:w="7033"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cstheme="minorEastAsia"/>
                <w:b/>
                <w:bCs/>
                <w:color w:val="000000" w:themeColor="text1"/>
                <w:szCs w:val="21"/>
                <w:highlight w:val="none"/>
                <w14:textFill>
                  <w14:solidFill>
                    <w14:schemeClr w14:val="tx1"/>
                  </w14:solidFill>
                </w14:textFill>
              </w:rPr>
              <w:t>评分标准</w:t>
            </w:r>
          </w:p>
        </w:tc>
        <w:tc>
          <w:tcPr>
            <w:tcW w:w="659"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cstheme="minorEastAsia"/>
                <w:b/>
                <w:bCs/>
                <w:color w:val="000000" w:themeColor="text1"/>
                <w:szCs w:val="21"/>
                <w:highlight w:val="none"/>
                <w14:textFill>
                  <w14:solidFill>
                    <w14:schemeClr w14:val="tx1"/>
                  </w14:solidFill>
                </w14:textFill>
              </w:rPr>
              <w:t>分值</w:t>
            </w:r>
          </w:p>
        </w:tc>
        <w:tc>
          <w:tcPr>
            <w:tcW w:w="659" w:type="dxa"/>
            <w:vAlign w:val="center"/>
          </w:tcPr>
          <w:p>
            <w:pPr>
              <w:adjustRightInd w:val="0"/>
              <w:snapToGrid w:val="0"/>
              <w:jc w:val="center"/>
              <w:rPr>
                <w:rFonts w:hint="eastAsia" w:eastAsia="宋体" w:asciiTheme="minorEastAsia" w:hAnsiTheme="minorEastAsia" w:cstheme="minorEastAsia"/>
                <w:b/>
                <w:bCs/>
                <w:color w:val="000000" w:themeColor="text1"/>
                <w:szCs w:val="21"/>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Cs w:val="21"/>
                <w:highlight w:val="none"/>
                <w:lang w:val="en-US" w:eastAsia="zh-CN"/>
                <w14:textFill>
                  <w14:solidFill>
                    <w14:schemeClr w14:val="tx1"/>
                  </w14:solidFill>
                </w14:textFill>
              </w:rPr>
              <w:t>对应页码</w:t>
            </w:r>
          </w:p>
        </w:tc>
        <w:tc>
          <w:tcPr>
            <w:tcW w:w="659" w:type="dxa"/>
            <w:vAlign w:val="center"/>
          </w:tcPr>
          <w:p>
            <w:pPr>
              <w:adjustRightInd w:val="0"/>
              <w:snapToGrid w:val="0"/>
              <w:jc w:val="center"/>
              <w:rPr>
                <w:rFonts w:hint="default" w:eastAsia="宋体" w:asciiTheme="minorEastAsia" w:hAnsiTheme="minorEastAsia" w:cstheme="minorEastAsia"/>
                <w:b/>
                <w:bCs/>
                <w:color w:val="000000" w:themeColor="text1"/>
                <w:szCs w:val="21"/>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Cs w:val="21"/>
                <w:highlight w:val="none"/>
                <w:lang w:val="en-US" w:eastAsia="zh-CN"/>
                <w14:textFill>
                  <w14:solidFill>
                    <w14:schemeClr w14:val="tx1"/>
                  </w14:solidFill>
                </w14:textFill>
              </w:rPr>
              <w:t xml:space="preserve">自评分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3" w:type="dxa"/>
            <w:vMerge w:val="restart"/>
            <w:vAlign w:val="center"/>
          </w:tcPr>
          <w:p>
            <w:pPr>
              <w:keepNext w:val="0"/>
              <w:keepLines w:val="0"/>
              <w:pageBreakBefore w:val="0"/>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商务分（7分）</w:t>
            </w:r>
          </w:p>
        </w:tc>
        <w:tc>
          <w:tcPr>
            <w:tcW w:w="1113"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企业综合实力</w:t>
            </w:r>
          </w:p>
        </w:tc>
        <w:tc>
          <w:tcPr>
            <w:tcW w:w="7033" w:type="dxa"/>
            <w:vAlign w:val="top"/>
          </w:tcPr>
          <w:p>
            <w:pPr>
              <w:keepNext w:val="0"/>
              <w:keepLines w:val="0"/>
              <w:pageBreakBefore w:val="0"/>
              <w:kinsoku/>
              <w:wordWrap/>
              <w:overflowPunct/>
              <w:topLinePunct w:val="0"/>
              <w:autoSpaceDE w:val="0"/>
              <w:autoSpaceDN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1、投标人具有有效的中国环境标志产品认证证书的得2分（认证单元：钢木家具，产品名称：实验桌）；</w:t>
            </w:r>
          </w:p>
          <w:p>
            <w:pPr>
              <w:keepNext w:val="0"/>
              <w:keepLines w:val="0"/>
              <w:pageBreakBefore w:val="0"/>
              <w:kinsoku/>
              <w:wordWrap/>
              <w:overflowPunct/>
              <w:topLinePunct w:val="0"/>
              <w:autoSpaceDE w:val="0"/>
              <w:autoSpaceDN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2、投标人具有有效的中国环保产品认证证书的得2分（产品名称：实验室家具、实验桌）；</w:t>
            </w:r>
          </w:p>
          <w:p>
            <w:pPr>
              <w:keepNext w:val="0"/>
              <w:keepLines w:val="0"/>
              <w:pageBreakBefore w:val="0"/>
              <w:kinsoku/>
              <w:wordWrap/>
              <w:overflowPunct/>
              <w:topLinePunct w:val="0"/>
              <w:autoSpaceDE w:val="0"/>
              <w:autoSpaceDN w:val="0"/>
              <w:bidi w:val="0"/>
              <w:adjustRightInd/>
              <w:snapToGrid/>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3、投标人具有有效的质量管理体系认证证书的得1分。</w:t>
            </w:r>
          </w:p>
          <w:p>
            <w:pPr>
              <w:keepNext w:val="0"/>
              <w:keepLines w:val="0"/>
              <w:pageBreakBefore w:val="0"/>
              <w:kinsoku/>
              <w:wordWrap/>
              <w:overflowPunct/>
              <w:topLinePunct w:val="0"/>
              <w:autoSpaceDE w:val="0"/>
              <w:autoSpaceDN w:val="0"/>
              <w:bidi w:val="0"/>
              <w:adjustRightInd/>
              <w:snapToGrid/>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本项最高得5分。</w:t>
            </w:r>
            <w:r>
              <w:rPr>
                <w:rFonts w:hint="eastAsia"/>
                <w:b/>
                <w:bCs/>
                <w:color w:val="000000" w:themeColor="text1"/>
                <w:kern w:val="21"/>
                <w:sz w:val="21"/>
                <w:highlight w:val="none"/>
                <w14:textFill>
                  <w14:solidFill>
                    <w14:schemeClr w14:val="tx1"/>
                  </w14:solidFill>
                </w14:textFill>
              </w:rPr>
              <w:t>（须提供相关证书的扫描件和中国国家认证认可监督管理委员会网站</w:t>
            </w:r>
            <w:r>
              <w:rPr>
                <w:rFonts w:hint="eastAsia" w:ascii="宋体" w:hAnsi="宋体" w:eastAsia="宋体" w:cs="新宋体"/>
                <w:b/>
                <w:bCs/>
                <w:color w:val="000000" w:themeColor="text1"/>
                <w:kern w:val="21"/>
                <w:sz w:val="21"/>
                <w:szCs w:val="21"/>
                <w:highlight w:val="none"/>
                <w14:textFill>
                  <w14:solidFill>
                    <w14:schemeClr w14:val="tx1"/>
                  </w14:solidFill>
                </w14:textFill>
              </w:rPr>
              <w:t>（www.cnca.gov.cn)</w:t>
            </w:r>
            <w:r>
              <w:rPr>
                <w:rFonts w:hint="eastAsia"/>
                <w:b/>
                <w:bCs/>
                <w:color w:val="000000" w:themeColor="text1"/>
                <w:kern w:val="21"/>
                <w:sz w:val="21"/>
                <w:highlight w:val="none"/>
                <w14:textFill>
                  <w14:solidFill>
                    <w14:schemeClr w14:val="tx1"/>
                  </w14:solidFill>
                </w14:textFill>
              </w:rPr>
              <w:t>查询截图加盖投标人公章编入投标文件中，未提供或提供不全的不得分）</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59" w:type="dxa"/>
            <w:vAlign w:val="center"/>
          </w:tcPr>
          <w:p>
            <w:pPr>
              <w:autoSpaceDE w:val="0"/>
              <w:autoSpaceDN w:val="0"/>
              <w:adjustRightInd w:val="0"/>
              <w:jc w:val="center"/>
              <w:rPr>
                <w:rFonts w:hint="eastAsia" w:ascii="宋体" w:hAnsi="宋体" w:cs="宋体"/>
                <w:color w:val="000000" w:themeColor="text1"/>
                <w:szCs w:val="21"/>
                <w:highlight w:val="none"/>
                <w14:textFill>
                  <w14:solidFill>
                    <w14:schemeClr w14:val="tx1"/>
                  </w14:solidFill>
                </w14:textFill>
              </w:rPr>
            </w:pPr>
          </w:p>
        </w:tc>
        <w:tc>
          <w:tcPr>
            <w:tcW w:w="659" w:type="dxa"/>
            <w:vAlign w:val="center"/>
          </w:tcPr>
          <w:p>
            <w:pPr>
              <w:autoSpaceDE w:val="0"/>
              <w:autoSpaceDN w:val="0"/>
              <w:adjustRightInd w:val="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83" w:type="dxa"/>
            <w:vMerge w:val="continue"/>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bidi w:val="0"/>
              <w:adjustRightInd/>
              <w:snapToGrid/>
              <w:jc w:val="center"/>
              <w:textAlignment w:val="auto"/>
              <w:rPr>
                <w:rStyle w:val="57"/>
                <w:rFonts w:asciiTheme="minorEastAsia" w:hAnsiTheme="minorEastAsia" w:cstheme="minorEastAsia"/>
                <w:color w:val="000000" w:themeColor="text1"/>
                <w:szCs w:val="21"/>
                <w:highlight w:val="none"/>
                <w14:textFill>
                  <w14:solidFill>
                    <w14:schemeClr w14:val="tx1"/>
                  </w14:solidFill>
                </w14:textFill>
              </w:rPr>
            </w:pPr>
            <w:r>
              <w:rPr>
                <w:rStyle w:val="57"/>
                <w:rFonts w:hint="eastAsia" w:asciiTheme="minorEastAsia" w:hAnsiTheme="minorEastAsia" w:cstheme="minorEastAsia"/>
                <w:color w:val="000000" w:themeColor="text1"/>
                <w:kern w:val="21"/>
                <w:sz w:val="21"/>
                <w:szCs w:val="21"/>
                <w:highlight w:val="none"/>
                <w14:textFill>
                  <w14:solidFill>
                    <w14:schemeClr w14:val="tx1"/>
                  </w14:solidFill>
                </w14:textFill>
              </w:rPr>
              <w:t>承接经验</w:t>
            </w:r>
          </w:p>
        </w:tc>
        <w:tc>
          <w:tcPr>
            <w:tcW w:w="7033" w:type="dxa"/>
            <w:vAlign w:val="center"/>
          </w:tcPr>
          <w:p>
            <w:pPr>
              <w:keepNext w:val="0"/>
              <w:keepLines w:val="0"/>
              <w:pageBreakBefore w:val="0"/>
              <w:kinsoku/>
              <w:wordWrap/>
              <w:overflowPunct/>
              <w:topLinePunct w:val="0"/>
              <w:bidi w:val="0"/>
              <w:adjustRightInd/>
              <w:snapToGrid/>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投标人自2020年1月1日以来</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（以合同签订时间为准），</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承接过类似项目业绩，一个合同得1分，</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本项</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最高</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得</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2分。</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w:t>
            </w:r>
            <w:r>
              <w:rPr>
                <w:rFonts w:hint="eastAsia" w:ascii="Times New Roman" w:hAnsi="Times New Roman" w:cs="Times New Roman"/>
                <w:b/>
                <w:bCs/>
                <w:color w:val="000000" w:themeColor="text1"/>
                <w:kern w:val="21"/>
                <w:sz w:val="21"/>
                <w:highlight w:val="none"/>
                <w14:textFill>
                  <w14:solidFill>
                    <w14:schemeClr w14:val="tx1"/>
                  </w14:solidFill>
                </w14:textFill>
              </w:rPr>
              <w:t>须</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提供合同</w:t>
            </w:r>
            <w:r>
              <w:rPr>
                <w:rFonts w:hint="eastAsia" w:ascii="Times New Roman" w:hAnsi="Times New Roman" w:cs="Times New Roman"/>
                <w:b/>
                <w:bCs/>
                <w:color w:val="000000" w:themeColor="text1"/>
                <w:kern w:val="21"/>
                <w:sz w:val="21"/>
                <w:highlight w:val="none"/>
                <w14:textFill>
                  <w14:solidFill>
                    <w14:schemeClr w14:val="tx1"/>
                  </w14:solidFill>
                </w14:textFill>
              </w:rPr>
              <w:t>扫描件并</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加盖</w:t>
            </w:r>
            <w:r>
              <w:rPr>
                <w:rFonts w:hint="eastAsia" w:ascii="Times New Roman" w:hAnsi="Times New Roman" w:cs="Times New Roman"/>
                <w:b/>
                <w:bCs/>
                <w:color w:val="000000" w:themeColor="text1"/>
                <w:kern w:val="21"/>
                <w:sz w:val="21"/>
                <w:highlight w:val="none"/>
                <w14:textFill>
                  <w14:solidFill>
                    <w14:schemeClr w14:val="tx1"/>
                  </w14:solidFill>
                </w14:textFill>
              </w:rPr>
              <w:t>投标人</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公章</w:t>
            </w:r>
            <w:r>
              <w:rPr>
                <w:rFonts w:hint="eastAsia" w:ascii="Times New Roman" w:hAnsi="Times New Roman" w:cs="Times New Roman"/>
                <w:b/>
                <w:bCs/>
                <w:color w:val="000000" w:themeColor="text1"/>
                <w:kern w:val="21"/>
                <w:sz w:val="21"/>
                <w:highlight w:val="none"/>
                <w14:textFill>
                  <w14:solidFill>
                    <w14:schemeClr w14:val="tx1"/>
                  </w14:solidFill>
                </w14:textFill>
              </w:rPr>
              <w:t>编入投标文件中，未提供的不得分</w:t>
            </w:r>
            <w:r>
              <w:rPr>
                <w:rFonts w:hint="eastAsia" w:ascii="Times New Roman" w:hAnsi="Times New Roman" w:cs="Times New Roman"/>
                <w:b/>
                <w:bCs/>
                <w:color w:val="000000" w:themeColor="text1"/>
                <w:kern w:val="21"/>
                <w:sz w:val="21"/>
                <w:highlight w:val="none"/>
                <w:lang w:val="zh-CN"/>
                <w14:textFill>
                  <w14:solidFill>
                    <w14:schemeClr w14:val="tx1"/>
                  </w14:solidFill>
                </w14:textFill>
              </w:rPr>
              <w:t>）</w:t>
            </w:r>
          </w:p>
        </w:tc>
        <w:tc>
          <w:tcPr>
            <w:tcW w:w="659" w:type="dxa"/>
            <w:vAlign w:val="center"/>
          </w:tcPr>
          <w:p>
            <w:pPr>
              <w:pStyle w:val="11"/>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w:t>
            </w:r>
          </w:p>
        </w:tc>
        <w:tc>
          <w:tcPr>
            <w:tcW w:w="659" w:type="dxa"/>
            <w:vAlign w:val="center"/>
          </w:tcPr>
          <w:p>
            <w:pPr>
              <w:pStyle w:val="11"/>
              <w:snapToGrid w:val="0"/>
              <w:jc w:val="center"/>
              <w:rPr>
                <w:rFonts w:hint="eastAsia" w:asciiTheme="minorEastAsia" w:hAnsiTheme="minorEastAsia" w:cstheme="minorEastAsia"/>
                <w:color w:val="000000" w:themeColor="text1"/>
                <w:szCs w:val="21"/>
                <w:highlight w:val="none"/>
                <w14:textFill>
                  <w14:solidFill>
                    <w14:schemeClr w14:val="tx1"/>
                  </w14:solidFill>
                </w14:textFill>
              </w:rPr>
            </w:pPr>
          </w:p>
        </w:tc>
        <w:tc>
          <w:tcPr>
            <w:tcW w:w="659" w:type="dxa"/>
            <w:vAlign w:val="center"/>
          </w:tcPr>
          <w:p>
            <w:pPr>
              <w:pStyle w:val="11"/>
              <w:snapToGrid w:val="0"/>
              <w:jc w:val="center"/>
              <w:rPr>
                <w:rFonts w:hint="eastAsia" w:asciiTheme="minorEastAsia" w:hAnsi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p>
          <w:p>
            <w:pPr>
              <w:pStyle w:val="7"/>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技术分（63分）</w:t>
            </w:r>
          </w:p>
          <w:p>
            <w:pPr>
              <w:pStyle w:val="8"/>
              <w:keepNext w:val="0"/>
              <w:keepLines w:val="0"/>
              <w:pageBreakBefore w:val="0"/>
              <w:kinsoku/>
              <w:wordWrap/>
              <w:overflowPunct/>
              <w:topLinePunct w:val="0"/>
              <w:bidi w:val="0"/>
              <w:adjustRightInd/>
              <w:snapToGrid/>
              <w:ind w:left="5250" w:leftChars="0" w:firstLine="0" w:firstLineChars="0"/>
              <w:jc w:val="center"/>
              <w:textAlignment w:val="auto"/>
              <w:rPr>
                <w:rFonts w:asciiTheme="minorEastAsia" w:hAnsiTheme="minorEastAsia" w:cstheme="minorEastAsia"/>
                <w:color w:val="000000" w:themeColor="text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Style w:val="57"/>
                <w:rFonts w:hint="eastAsia" w:asciiTheme="minorEastAsia" w:hAnsiTheme="minorEastAsia" w:cstheme="minorEastAsia"/>
                <w:color w:val="000000" w:themeColor="text1"/>
                <w:kern w:val="21"/>
                <w:sz w:val="21"/>
                <w:szCs w:val="21"/>
                <w:highlight w:val="none"/>
                <w14:textFill>
                  <w14:solidFill>
                    <w14:schemeClr w14:val="tx1"/>
                  </w14:solidFill>
                </w14:textFill>
              </w:rPr>
              <w:t>设备性能指标</w:t>
            </w: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hint="eastAsia" w:ascii="宋体" w:hAnsi="宋体" w:eastAsia="宋体" w:cs="新宋体"/>
                <w:color w:val="000000" w:themeColor="text1"/>
                <w:szCs w:val="21"/>
                <w:highlight w:val="none"/>
                <w:lang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根据所投产品</w:t>
            </w:r>
            <w:r>
              <w:rPr>
                <w:rFonts w:hint="eastAsia" w:ascii="宋体" w:hAnsi="宋体" w:eastAsia="宋体" w:cs="新宋体"/>
                <w:color w:val="000000" w:themeColor="text1"/>
                <w:kern w:val="21"/>
                <w:sz w:val="21"/>
                <w:szCs w:val="21"/>
                <w:highlight w:val="none"/>
                <w14:textFill>
                  <w14:solidFill>
                    <w14:schemeClr w14:val="tx1"/>
                  </w14:solidFill>
                </w14:textFill>
              </w:rPr>
              <w:t>所有技术指标均响应招标文</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件要求的得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30</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分，带★项为重要技术参数指标项，一项</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未响应或</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不满足</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扣</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1.3</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分，其他技术指标一项</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未响应或</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不满足</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扣</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0.1</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分，扣完</w:t>
            </w:r>
            <w:r>
              <w:rPr>
                <w:rFonts w:hint="eastAsia" w:ascii="宋体" w:hAnsi="宋体" w:eastAsia="宋体" w:cs="新宋体"/>
                <w:color w:val="000000" w:themeColor="text1"/>
                <w:kern w:val="21"/>
                <w:sz w:val="21"/>
                <w:szCs w:val="21"/>
                <w:highlight w:val="none"/>
                <w14:textFill>
                  <w14:solidFill>
                    <w14:schemeClr w14:val="tx1"/>
                  </w14:solidFill>
                </w14:textFill>
              </w:rPr>
              <w:t>为止。</w:t>
            </w:r>
            <w:r>
              <w:rPr>
                <w:rFonts w:hint="eastAsia" w:ascii="宋体" w:hAnsi="宋体" w:eastAsia="宋体" w:cs="新宋体"/>
                <w:b/>
                <w:bCs/>
                <w:color w:val="000000" w:themeColor="text1"/>
                <w:kern w:val="21"/>
                <w:sz w:val="21"/>
                <w:szCs w:val="21"/>
                <w:highlight w:val="none"/>
                <w14:textFill>
                  <w14:solidFill>
                    <w14:schemeClr w14:val="tx1"/>
                  </w14:solidFill>
                </w14:textFill>
              </w:rPr>
              <w:t>（注：投标人必须如实地对招标文件技术参数中各条款作出明确的逐项响应承诺，并对其真实性负责</w:t>
            </w:r>
            <w:r>
              <w:rPr>
                <w:rFonts w:hint="eastAsia" w:ascii="宋体" w:hAnsi="宋体" w:eastAsia="宋体" w:cs="新宋体"/>
                <w:b/>
                <w:bCs/>
                <w:color w:val="000000" w:themeColor="text1"/>
                <w:kern w:val="21"/>
                <w:sz w:val="21"/>
                <w:szCs w:val="21"/>
                <w:highlight w:val="none"/>
                <w:lang w:eastAsia="zh-CN"/>
                <w14:textFill>
                  <w14:solidFill>
                    <w14:schemeClr w14:val="tx1"/>
                  </w14:solidFill>
                </w14:textFill>
              </w:rPr>
              <w:t>。</w:t>
            </w:r>
            <w:r>
              <w:rPr>
                <w:rFonts w:hint="eastAsia" w:ascii="宋体" w:hAnsi="宋体" w:eastAsia="宋体" w:cs="新宋体"/>
                <w:b/>
                <w:bCs/>
                <w:color w:val="000000" w:themeColor="text1"/>
                <w:kern w:val="21"/>
                <w:sz w:val="21"/>
                <w:szCs w:val="21"/>
                <w:highlight w:val="none"/>
                <w14:textFill>
                  <w14:solidFill>
                    <w14:schemeClr w14:val="tx1"/>
                  </w14:solidFill>
                </w14:textFill>
              </w:rPr>
              <w:t>）</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30</w:t>
            </w:r>
          </w:p>
        </w:tc>
        <w:tc>
          <w:tcPr>
            <w:tcW w:w="659" w:type="dxa"/>
            <w:vAlign w:val="center"/>
          </w:tcPr>
          <w:p>
            <w:pPr>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c>
          <w:tcPr>
            <w:tcW w:w="659" w:type="dxa"/>
            <w:vAlign w:val="center"/>
          </w:tcPr>
          <w:p>
            <w:pPr>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leftChars="0" w:firstLine="0" w:firstLineChars="0"/>
              <w:jc w:val="center"/>
              <w:textAlignment w:val="auto"/>
              <w:rPr>
                <w:rFonts w:asciiTheme="minorEastAsia" w:hAnsiTheme="minorEastAsia" w:cstheme="minorEastAsia"/>
                <w:color w:val="000000" w:themeColor="text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kern w:val="21"/>
                <w:sz w:val="21"/>
                <w:szCs w:val="21"/>
                <w:highlight w:val="none"/>
                <w14:textFill>
                  <w14:solidFill>
                    <w14:schemeClr w14:val="tx1"/>
                  </w14:solidFill>
                </w14:textFill>
              </w:rPr>
              <w:t>生产设备</w:t>
            </w:r>
          </w:p>
        </w:tc>
        <w:tc>
          <w:tcPr>
            <w:tcW w:w="7033" w:type="dxa"/>
            <w:vAlign w:val="center"/>
          </w:tcPr>
          <w:p>
            <w:pPr>
              <w:keepNext w:val="0"/>
              <w:keepLines w:val="0"/>
              <w:pageBreakBefore w:val="0"/>
              <w:widowControl/>
              <w:kinsoku/>
              <w:wordWrap/>
              <w:overflowPunct/>
              <w:topLinePunct w:val="0"/>
              <w:bidi w:val="0"/>
              <w:adjustRightInd/>
              <w:snapToGrid/>
              <w:textAlignment w:val="auto"/>
              <w:rPr>
                <w:rFonts w:ascii="宋体" w:hAnsi="宋体" w:eastAsia="宋体" w:cs="新宋体"/>
                <w:color w:val="000000" w:themeColor="text1"/>
                <w:kern w:val="21"/>
                <w:sz w:val="21"/>
                <w:szCs w:val="21"/>
                <w:highlight w:val="none"/>
                <w14:textFill>
                  <w14:solidFill>
                    <w14:schemeClr w14:val="tx1"/>
                  </w14:solidFill>
                </w14:textFill>
              </w:rPr>
            </w:pPr>
            <w:r>
              <w:rPr>
                <w:rFonts w:hint="eastAsia" w:ascii="宋体" w:hAnsi="宋体" w:eastAsia="宋体" w:cs="新宋体"/>
                <w:color w:val="000000" w:themeColor="text1"/>
                <w:kern w:val="21"/>
                <w:sz w:val="21"/>
                <w:szCs w:val="21"/>
                <w:highlight w:val="none"/>
                <w14:textFill>
                  <w14:solidFill>
                    <w14:schemeClr w14:val="tx1"/>
                  </w14:solidFill>
                </w14:textFill>
              </w:rPr>
              <w:t>实</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验室设备产品生产厂家具有：液压闸式剪板机、8磨头玻璃直线磨边机、双面涂胶机、压力机、流水线喷漆设备（含大旋风换色粉房、喷枪系统、自动喷枪、气体压缩机、储气罐、冷干机）、光纤激光切割机、机器人焊接工作站、冷压机、电脑裁板锯、注塑机、铣床、压力机，全部有得6分，缺一项扣0.5分，扣完为止。</w:t>
            </w:r>
          </w:p>
          <w:p>
            <w:pPr>
              <w:keepNext w:val="0"/>
              <w:keepLines w:val="0"/>
              <w:pageBreakBefore w:val="0"/>
              <w:widowControl/>
              <w:kinsoku/>
              <w:wordWrap/>
              <w:overflowPunct/>
              <w:topLinePunct w:val="0"/>
              <w:bidi w:val="0"/>
              <w:adjustRightInd/>
              <w:snapToGrid/>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b/>
                <w:bCs/>
                <w:color w:val="000000" w:themeColor="text1"/>
                <w:kern w:val="21"/>
                <w:sz w:val="21"/>
                <w:szCs w:val="21"/>
                <w:highlight w:val="none"/>
                <w14:textFill>
                  <w14:solidFill>
                    <w14:schemeClr w14:val="tx1"/>
                  </w14:solidFill>
                </w14:textFill>
              </w:rPr>
              <w:t>（须</w:t>
            </w:r>
            <w:r>
              <w:rPr>
                <w:rFonts w:hint="eastAsia" w:ascii="宋体" w:hAnsi="宋体" w:eastAsia="宋体" w:cs="新宋体"/>
                <w:b/>
                <w:bCs/>
                <w:color w:val="000000" w:themeColor="text1"/>
                <w:kern w:val="21"/>
                <w:sz w:val="21"/>
                <w:szCs w:val="21"/>
                <w:highlight w:val="none"/>
                <w14:textFill>
                  <w14:solidFill>
                    <w14:schemeClr w14:val="tx1"/>
                  </w14:solidFill>
                </w14:textFill>
              </w:rPr>
              <w:t>提供以上生产设备购置专用发票扫描件和生产车间现场实景照片并加盖投标人公章编入投标文件中，且发票抬头单位名称必须与产品生产单位名称相一致，未提供或提供不全的不得分</w:t>
            </w:r>
            <w:r>
              <w:rPr>
                <w:rFonts w:hint="eastAsia" w:ascii="宋体" w:hAnsi="宋体" w:cs="新宋体"/>
                <w:b/>
                <w:bCs/>
                <w:color w:val="000000" w:themeColor="text1"/>
                <w:kern w:val="21"/>
                <w:sz w:val="21"/>
                <w:szCs w:val="21"/>
                <w:highlight w:val="none"/>
                <w14:textFill>
                  <w14:solidFill>
                    <w14:schemeClr w14:val="tx1"/>
                  </w14:solidFill>
                </w14:textFill>
              </w:rPr>
              <w:t>）</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6</w:t>
            </w:r>
          </w:p>
        </w:tc>
        <w:tc>
          <w:tcPr>
            <w:tcW w:w="659" w:type="dxa"/>
            <w:vAlign w:val="center"/>
          </w:tcPr>
          <w:p>
            <w:pPr>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c>
          <w:tcPr>
            <w:tcW w:w="659" w:type="dxa"/>
            <w:vAlign w:val="center"/>
          </w:tcPr>
          <w:p>
            <w:pPr>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leftChars="0" w:firstLine="0" w:firstLineChars="0"/>
              <w:jc w:val="center"/>
              <w:textAlignment w:val="auto"/>
              <w:rPr>
                <w:rFonts w:asciiTheme="minorEastAsia" w:hAnsiTheme="minorEastAsia" w:cstheme="minorEastAsia"/>
                <w:color w:val="000000" w:themeColor="text1"/>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kern w:val="21"/>
                <w:sz w:val="21"/>
                <w:szCs w:val="21"/>
                <w:highlight w:val="none"/>
                <w:lang w:val="en-US" w:eastAsia="zh-CN"/>
                <w14:textFill>
                  <w14:solidFill>
                    <w14:schemeClr w14:val="tx1"/>
                  </w14:solidFill>
                </w14:textFill>
              </w:rPr>
              <w:t>供货安装</w:t>
            </w:r>
            <w:r>
              <w:rPr>
                <w:rFonts w:hint="eastAsia" w:ascii="宋体" w:hAnsi="宋体" w:cs="新宋体"/>
                <w:color w:val="000000" w:themeColor="text1"/>
                <w:kern w:val="21"/>
                <w:sz w:val="21"/>
                <w:szCs w:val="21"/>
                <w:highlight w:val="none"/>
                <w14:textFill>
                  <w14:solidFill>
                    <w14:schemeClr w14:val="tx1"/>
                  </w14:solidFill>
                </w14:textFill>
              </w:rPr>
              <w:t>方案</w:t>
            </w: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要求根据招标文件的要求编写相应的</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方案，根据投标人</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方案的完整性、先进性、合理性以及交货计划、人员安排、验收流程等方面进行打分。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方案合理、可行、先进的得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5</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方案</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较为</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合理、可行的得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3</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分</w:t>
            </w:r>
            <w:r>
              <w:rPr>
                <w:rFonts w:hint="eastAsia" w:asciiTheme="minorEastAsia" w:hAnsiTheme="minorEastAsia" w:cstheme="minorEastAsia"/>
                <w:color w:val="000000" w:themeColor="text1"/>
                <w:kern w:val="21"/>
                <w:sz w:val="21"/>
                <w:szCs w:val="21"/>
                <w:highlight w:val="none"/>
                <w:lang w:eastAsia="zh-CN"/>
                <w14:textFill>
                  <w14:solidFill>
                    <w14:schemeClr w14:val="tx1"/>
                  </w14:solidFill>
                </w14:textFill>
              </w:rPr>
              <w:t>；</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供货安装方案简单，存在不足的得1分；</w:t>
            </w:r>
          </w:p>
          <w:p>
            <w:pPr>
              <w:keepNext w:val="0"/>
              <w:keepLines w:val="0"/>
              <w:pageBreakBefore w:val="0"/>
              <w:tabs>
                <w:tab w:val="left" w:pos="2061"/>
              </w:tabs>
              <w:kinsoku/>
              <w:wordWrap/>
              <w:overflowPunct/>
              <w:topLinePunct w:val="0"/>
              <w:bidi w:val="0"/>
              <w:adjustRightInd/>
              <w:snapToGrid/>
              <w:textAlignment w:val="auto"/>
              <w:rPr>
                <w:rFonts w:ascii="Times New Roman" w:hAnsi="Times New Roman" w:eastAsia="宋体" w:cs="Times New Roman"/>
                <w:color w:val="000000" w:themeColor="text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未提及此项不得分。</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eastAsia="宋体" w:cs="新宋体"/>
                <w:color w:val="000000" w:themeColor="text1"/>
                <w:szCs w:val="21"/>
                <w:highlight w:val="none"/>
                <w14:textFill>
                  <w14:solidFill>
                    <w14:schemeClr w14:val="tx1"/>
                  </w14:solidFill>
                </w14:textFill>
              </w:rPr>
              <w:t>5</w:t>
            </w:r>
          </w:p>
        </w:tc>
        <w:tc>
          <w:tcPr>
            <w:tcW w:w="659" w:type="dxa"/>
            <w:vAlign w:val="center"/>
          </w:tcPr>
          <w:p>
            <w:pPr>
              <w:autoSpaceDE w:val="0"/>
              <w:autoSpaceDN w:val="0"/>
              <w:adjustRightInd w:val="0"/>
              <w:jc w:val="center"/>
              <w:rPr>
                <w:rFonts w:hint="eastAsia" w:ascii="宋体" w:hAnsi="宋体" w:eastAsia="宋体" w:cs="新宋体"/>
                <w:color w:val="000000" w:themeColor="text1"/>
                <w:szCs w:val="21"/>
                <w:highlight w:val="none"/>
                <w14:textFill>
                  <w14:solidFill>
                    <w14:schemeClr w14:val="tx1"/>
                  </w14:solidFill>
                </w14:textFill>
              </w:rPr>
            </w:pPr>
          </w:p>
        </w:tc>
        <w:tc>
          <w:tcPr>
            <w:tcW w:w="659" w:type="dxa"/>
            <w:vAlign w:val="center"/>
          </w:tcPr>
          <w:p>
            <w:pPr>
              <w:autoSpaceDE w:val="0"/>
              <w:autoSpaceDN w:val="0"/>
              <w:adjustRightInd w:val="0"/>
              <w:jc w:val="center"/>
              <w:rPr>
                <w:rFonts w:hint="eastAsia" w:ascii="宋体" w:hAnsi="宋体" w:eastAsia="宋体" w:cs="新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leftChars="0" w:firstLine="0" w:firstLineChars="0"/>
              <w:jc w:val="center"/>
              <w:textAlignment w:val="auto"/>
              <w:rPr>
                <w:rFonts w:asciiTheme="minorEastAsia" w:hAnsiTheme="minorEastAsia" w:cstheme="minorEastAsia"/>
                <w:color w:val="000000" w:themeColor="text1"/>
                <w:szCs w:val="21"/>
                <w:highlight w:val="none"/>
                <w14:textFill>
                  <w14:solidFill>
                    <w14:schemeClr w14:val="tx1"/>
                  </w14:solidFill>
                </w14:textFill>
              </w:rPr>
            </w:pPr>
          </w:p>
        </w:tc>
        <w:tc>
          <w:tcPr>
            <w:tcW w:w="1113" w:type="dxa"/>
            <w:vMerge w:val="restart"/>
            <w:vAlign w:val="center"/>
          </w:tcPr>
          <w:p>
            <w:pPr>
              <w:keepNext w:val="0"/>
              <w:keepLines w:val="0"/>
              <w:pageBreakBefore w:val="0"/>
              <w:kinsoku/>
              <w:wordWrap/>
              <w:overflowPunct/>
              <w:topLinePunct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eastAsia="宋体" w:cs="新宋体"/>
                <w:color w:val="000000" w:themeColor="text1"/>
                <w:kern w:val="21"/>
                <w:sz w:val="21"/>
                <w:szCs w:val="21"/>
                <w:highlight w:val="none"/>
                <w14:textFill>
                  <w14:solidFill>
                    <w14:schemeClr w14:val="tx1"/>
                  </w14:solidFill>
                </w14:textFill>
              </w:rPr>
              <w:t>售后服务</w:t>
            </w: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根据投标人的售后服务方案，包括是否有详细完整的“三包”、免费保修及售后服务措施和方案（包括服务措施、产品质量保证、回访、技术培训等）进行打分。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售后服务方案和服务承诺落实的保障措施全面科学、合理可行的得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4</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售后服务方案和服务承诺落实的保障措施</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比较</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全面、</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基本</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可行的得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售后服务方案和服务承诺落实的保障措施一般，不甚全面的得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1</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ascii="Times New Roman" w:hAnsi="Times New Roman" w:eastAsia="宋体" w:cs="Times New Roman"/>
                <w:color w:val="000000" w:themeColor="text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未提及此项不得分。</w:t>
            </w:r>
          </w:p>
        </w:tc>
        <w:tc>
          <w:tcPr>
            <w:tcW w:w="659" w:type="dxa"/>
            <w:vAlign w:val="center"/>
          </w:tcPr>
          <w:p>
            <w:pPr>
              <w:keepNext w:val="0"/>
              <w:keepLines w:val="0"/>
              <w:pageBreakBefore w:val="0"/>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4</w:t>
            </w:r>
          </w:p>
        </w:tc>
        <w:tc>
          <w:tcPr>
            <w:tcW w:w="659" w:type="dxa"/>
            <w:vAlign w:val="center"/>
          </w:tcPr>
          <w:p>
            <w:pPr>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c>
          <w:tcPr>
            <w:tcW w:w="659" w:type="dxa"/>
            <w:vAlign w:val="center"/>
          </w:tcPr>
          <w:p>
            <w:pPr>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leftChars="0" w:firstLine="0" w:firstLineChars="0"/>
              <w:textAlignment w:val="auto"/>
              <w:rPr>
                <w:rFonts w:asciiTheme="minorEastAsia" w:hAnsiTheme="minorEastAsia" w:cstheme="minorEastAsia"/>
                <w:color w:val="000000" w:themeColor="text1"/>
                <w:szCs w:val="21"/>
                <w:highlight w:val="none"/>
                <w14:textFill>
                  <w14:solidFill>
                    <w14:schemeClr w14:val="tx1"/>
                  </w14:solidFill>
                </w14:textFill>
              </w:rPr>
            </w:pPr>
          </w:p>
        </w:tc>
        <w:tc>
          <w:tcPr>
            <w:tcW w:w="1113" w:type="dxa"/>
            <w:vMerge w:val="continue"/>
            <w:vAlign w:val="center"/>
          </w:tcPr>
          <w:p>
            <w:pPr>
              <w:keepNext w:val="0"/>
              <w:keepLines w:val="0"/>
              <w:pageBreakBefore w:val="0"/>
              <w:kinsoku/>
              <w:wordWrap/>
              <w:overflowPunct/>
              <w:topLinePunct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根据投标人售后服务响应时间进行打分。</w:t>
            </w:r>
          </w:p>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响应时间在</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30</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分钟以内</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得</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3</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响应时间在</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30</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49</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分钟</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得</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2</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响应时间在</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50-60</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分钟得</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1</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分；</w:t>
            </w:r>
          </w:p>
          <w:p>
            <w:pPr>
              <w:keepNext w:val="0"/>
              <w:keepLines w:val="0"/>
              <w:pageBreakBefore w:val="0"/>
              <w:tabs>
                <w:tab w:val="left" w:pos="2061"/>
              </w:tabs>
              <w:kinsoku/>
              <w:wordWrap/>
              <w:overflowPunct/>
              <w:topLinePunct w:val="0"/>
              <w:bidi w:val="0"/>
              <w:adjustRightInd/>
              <w:snapToGrid/>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响应时间超过60分钟或未提及此项的不得分。</w:t>
            </w:r>
            <w:r>
              <w:rPr>
                <w:rFonts w:hint="eastAsia" w:asciiTheme="minorEastAsia" w:hAnsiTheme="minorEastAsia" w:cstheme="minorEastAsia"/>
                <w:b/>
                <w:bCs/>
                <w:color w:val="000000" w:themeColor="text1"/>
                <w:kern w:val="21"/>
                <w:sz w:val="21"/>
                <w:szCs w:val="21"/>
                <w:highlight w:val="none"/>
                <w14:textFill>
                  <w14:solidFill>
                    <w14:schemeClr w14:val="tx1"/>
                  </w14:solidFill>
                </w14:textFill>
              </w:rPr>
              <w:t>（投标人须提供承诺函原件加盖投标人公章编入投标文件中，未提供的不得分）</w:t>
            </w:r>
          </w:p>
        </w:tc>
        <w:tc>
          <w:tcPr>
            <w:tcW w:w="659" w:type="dxa"/>
            <w:vAlign w:val="center"/>
          </w:tcPr>
          <w:p>
            <w:pPr>
              <w:keepNext w:val="0"/>
              <w:keepLines w:val="0"/>
              <w:pageBreakBefore w:val="0"/>
              <w:tabs>
                <w:tab w:val="left" w:pos="780"/>
              </w:tabs>
              <w:kinsoku/>
              <w:wordWrap/>
              <w:overflowPunct/>
              <w:topLinePunct w:val="0"/>
              <w:autoSpaceDE w:val="0"/>
              <w:autoSpaceDN w:val="0"/>
              <w:bidi w:val="0"/>
              <w:adjustRightInd/>
              <w:snapToGrid/>
              <w:jc w:val="center"/>
              <w:textAlignment w:val="auto"/>
              <w:rPr>
                <w:rFonts w:ascii="宋体" w:hAnsi="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3</w:t>
            </w:r>
          </w:p>
        </w:tc>
        <w:tc>
          <w:tcPr>
            <w:tcW w:w="659" w:type="dxa"/>
            <w:vAlign w:val="center"/>
          </w:tcPr>
          <w:p>
            <w:pPr>
              <w:tabs>
                <w:tab w:val="left" w:pos="780"/>
              </w:tabs>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c>
          <w:tcPr>
            <w:tcW w:w="659" w:type="dxa"/>
            <w:vAlign w:val="center"/>
          </w:tcPr>
          <w:p>
            <w:pPr>
              <w:tabs>
                <w:tab w:val="left" w:pos="780"/>
              </w:tabs>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3" w:type="dxa"/>
            <w:vMerge w:val="continue"/>
            <w:vAlign w:val="center"/>
          </w:tcPr>
          <w:p>
            <w:pPr>
              <w:pStyle w:val="8"/>
              <w:keepNext w:val="0"/>
              <w:keepLines w:val="0"/>
              <w:pageBreakBefore w:val="0"/>
              <w:kinsoku/>
              <w:wordWrap/>
              <w:overflowPunct/>
              <w:topLinePunct w:val="0"/>
              <w:bidi w:val="0"/>
              <w:adjustRightInd/>
              <w:snapToGrid/>
              <w:ind w:left="5250" w:leftChars="0" w:firstLine="0" w:firstLineChars="0"/>
              <w:textAlignment w:val="auto"/>
              <w:rPr>
                <w:rFonts w:asciiTheme="minorEastAsia" w:hAnsiTheme="minorEastAsia" w:cstheme="minorEastAsia"/>
                <w:color w:val="000000" w:themeColor="text1"/>
                <w:szCs w:val="21"/>
                <w:highlight w:val="none"/>
                <w14:textFill>
                  <w14:solidFill>
                    <w14:schemeClr w14:val="tx1"/>
                  </w14:solidFill>
                </w14:textFill>
              </w:rPr>
            </w:pPr>
          </w:p>
        </w:tc>
        <w:tc>
          <w:tcPr>
            <w:tcW w:w="1113" w:type="dxa"/>
            <w:vMerge w:val="continue"/>
            <w:vAlign w:val="center"/>
          </w:tcPr>
          <w:p>
            <w:pPr>
              <w:keepNext w:val="0"/>
              <w:keepLines w:val="0"/>
              <w:pageBreakBefore w:val="0"/>
              <w:kinsoku/>
              <w:wordWrap/>
              <w:overflowPunct/>
              <w:topLinePunct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p>
        </w:tc>
        <w:tc>
          <w:tcPr>
            <w:tcW w:w="7033" w:type="dxa"/>
            <w:vAlign w:val="center"/>
          </w:tcPr>
          <w:p>
            <w:pPr>
              <w:keepNext w:val="0"/>
              <w:keepLines w:val="0"/>
              <w:pageBreakBefore w:val="0"/>
              <w:tabs>
                <w:tab w:val="left" w:pos="2061"/>
              </w:tabs>
              <w:kinsoku/>
              <w:wordWrap/>
              <w:overflowPunct/>
              <w:topLinePunct w:val="0"/>
              <w:bidi w:val="0"/>
              <w:adjustRightInd/>
              <w:snapToGrid/>
              <w:textAlignment w:val="auto"/>
              <w:rPr>
                <w:rFonts w:ascii="Times New Roman" w:hAnsi="Times New Roman" w:cs="Times New Roman"/>
                <w:color w:val="000000" w:themeColor="text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14:textFill>
                  <w14:solidFill>
                    <w14:schemeClr w14:val="tx1"/>
                  </w14:solidFill>
                </w14:textFill>
              </w:rPr>
              <w:t>投标人有</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明确的定期巡检计划</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的</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得2分，</w:t>
            </w:r>
            <w:r>
              <w:rPr>
                <w:rFonts w:hint="eastAsia" w:asciiTheme="minorEastAsia" w:hAnsiTheme="minorEastAsia" w:cstheme="minorEastAsia"/>
                <w:color w:val="000000" w:themeColor="text1"/>
                <w:kern w:val="21"/>
                <w:sz w:val="21"/>
                <w:szCs w:val="21"/>
                <w:highlight w:val="none"/>
                <w14:textFill>
                  <w14:solidFill>
                    <w14:schemeClr w14:val="tx1"/>
                  </w14:solidFill>
                </w14:textFill>
              </w:rPr>
              <w:t>未提及此项不得分。</w:t>
            </w:r>
          </w:p>
        </w:tc>
        <w:tc>
          <w:tcPr>
            <w:tcW w:w="659" w:type="dxa"/>
            <w:vAlign w:val="center"/>
          </w:tcPr>
          <w:p>
            <w:pPr>
              <w:keepNext w:val="0"/>
              <w:keepLines w:val="0"/>
              <w:pageBreakBefore w:val="0"/>
              <w:tabs>
                <w:tab w:val="left" w:pos="780"/>
              </w:tabs>
              <w:kinsoku/>
              <w:wordWrap/>
              <w:overflowPunct/>
              <w:topLinePunct w:val="0"/>
              <w:autoSpaceDE w:val="0"/>
              <w:autoSpaceDN w:val="0"/>
              <w:bidi w:val="0"/>
              <w:adjustRightInd/>
              <w:snapToGrid/>
              <w:jc w:val="center"/>
              <w:textAlignment w:val="auto"/>
              <w:rPr>
                <w:rFonts w:ascii="宋体" w:hAnsi="宋体" w:eastAsia="宋体" w:cs="新宋体"/>
                <w:color w:val="000000" w:themeColor="text1"/>
                <w:szCs w:val="21"/>
                <w:highlight w:val="none"/>
                <w14:textFill>
                  <w14:solidFill>
                    <w14:schemeClr w14:val="tx1"/>
                  </w14:solidFill>
                </w14:textFill>
              </w:rPr>
            </w:pPr>
            <w:r>
              <w:rPr>
                <w:rFonts w:hint="eastAsia" w:ascii="宋体" w:hAnsi="宋体" w:cs="新宋体"/>
                <w:color w:val="000000" w:themeColor="text1"/>
                <w:szCs w:val="21"/>
                <w:highlight w:val="none"/>
                <w14:textFill>
                  <w14:solidFill>
                    <w14:schemeClr w14:val="tx1"/>
                  </w14:solidFill>
                </w14:textFill>
              </w:rPr>
              <w:t>2</w:t>
            </w:r>
          </w:p>
        </w:tc>
        <w:tc>
          <w:tcPr>
            <w:tcW w:w="659" w:type="dxa"/>
            <w:vAlign w:val="center"/>
          </w:tcPr>
          <w:p>
            <w:pPr>
              <w:tabs>
                <w:tab w:val="left" w:pos="780"/>
              </w:tabs>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c>
          <w:tcPr>
            <w:tcW w:w="659" w:type="dxa"/>
            <w:vAlign w:val="center"/>
          </w:tcPr>
          <w:p>
            <w:pPr>
              <w:tabs>
                <w:tab w:val="left" w:pos="780"/>
              </w:tabs>
              <w:autoSpaceDE w:val="0"/>
              <w:autoSpaceDN w:val="0"/>
              <w:adjustRightInd w:val="0"/>
              <w:jc w:val="center"/>
              <w:rPr>
                <w:rFonts w:hint="eastAsia" w:ascii="宋体" w:hAnsi="宋体" w:cs="新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83" w:type="dxa"/>
            <w:vMerge w:val="continue"/>
            <w:vAlign w:val="center"/>
          </w:tcPr>
          <w:p>
            <w:pPr>
              <w:keepNext w:val="0"/>
              <w:keepLines w:val="0"/>
              <w:pageBreakBefore w:val="0"/>
              <w:kinsoku/>
              <w:wordWrap/>
              <w:overflowPunct/>
              <w:topLinePunct w:val="0"/>
              <w:bidi w:val="0"/>
              <w:adjustRightInd/>
              <w:snapToGrid/>
              <w:jc w:val="center"/>
              <w:textAlignment w:val="auto"/>
              <w:rPr>
                <w:rStyle w:val="57"/>
                <w:rFonts w:asciiTheme="minorEastAsia" w:hAnsiTheme="minorEastAsia" w:cstheme="minorEastAsia"/>
                <w:color w:val="000000" w:themeColor="text1"/>
                <w:kern w:val="0"/>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spacing w:val="-4"/>
                <w:kern w:val="21"/>
                <w:sz w:val="21"/>
                <w:szCs w:val="21"/>
                <w:highlight w:val="none"/>
                <w14:textFill>
                  <w14:solidFill>
                    <w14:schemeClr w14:val="tx1"/>
                  </w14:solidFill>
                </w14:textFill>
              </w:rPr>
              <w:t>实物样品</w:t>
            </w:r>
          </w:p>
        </w:tc>
        <w:tc>
          <w:tcPr>
            <w:tcW w:w="7033" w:type="dxa"/>
            <w:vAlign w:val="center"/>
          </w:tcPr>
          <w:p>
            <w:pPr>
              <w:keepNext w:val="0"/>
              <w:keepLines w:val="0"/>
              <w:pageBreakBefore w:val="0"/>
              <w:kinsoku/>
              <w:wordWrap/>
              <w:overflowPunct/>
              <w:topLinePunct w:val="0"/>
              <w:bidi w:val="0"/>
              <w:adjustRightInd/>
              <w:snapToGrid/>
              <w:textAlignment w:val="auto"/>
              <w:rPr>
                <w:rFonts w:ascii="宋体" w:hAnsi="宋体" w:cs="宋体"/>
                <w:color w:val="000000" w:themeColor="text1"/>
                <w:spacing w:val="-4"/>
                <w:kern w:val="21"/>
                <w:sz w:val="21"/>
                <w:szCs w:val="21"/>
                <w:highlight w:val="none"/>
                <w14:textFill>
                  <w14:solidFill>
                    <w14:schemeClr w14:val="tx1"/>
                  </w14:solidFill>
                </w14:textFill>
              </w:rPr>
            </w:pPr>
            <w:r>
              <w:rPr>
                <w:rFonts w:hint="eastAsia" w:ascii="宋体" w:hAnsi="宋体" w:cs="宋体"/>
                <w:color w:val="000000" w:themeColor="text1"/>
                <w:spacing w:val="-4"/>
                <w:kern w:val="21"/>
                <w:sz w:val="21"/>
                <w:szCs w:val="21"/>
                <w:highlight w:val="none"/>
                <w14:textFill>
                  <w14:solidFill>
                    <w14:schemeClr w14:val="tx1"/>
                  </w14:solidFill>
                </w14:textFill>
              </w:rPr>
              <w:t>根据</w:t>
            </w:r>
            <w:r>
              <w:rPr>
                <w:rFonts w:hint="eastAsia" w:ascii="宋体" w:hAnsi="宋体" w:cs="宋体"/>
                <w:color w:val="000000" w:themeColor="text1"/>
                <w:spacing w:val="-4"/>
                <w:kern w:val="21"/>
                <w:sz w:val="21"/>
                <w:szCs w:val="21"/>
                <w:highlight w:val="none"/>
                <w:lang w:val="en-US" w:eastAsia="zh-CN"/>
                <w14:textFill>
                  <w14:solidFill>
                    <w14:schemeClr w14:val="tx1"/>
                  </w14:solidFill>
                </w14:textFill>
              </w:rPr>
              <w:t>投标人提供</w:t>
            </w:r>
            <w:r>
              <w:rPr>
                <w:rFonts w:hint="eastAsia" w:ascii="宋体" w:hAnsi="宋体" w:cs="宋体"/>
                <w:color w:val="000000" w:themeColor="text1"/>
                <w:spacing w:val="-4"/>
                <w:kern w:val="21"/>
                <w:sz w:val="21"/>
                <w:szCs w:val="21"/>
                <w:highlight w:val="none"/>
                <w14:textFill>
                  <w14:solidFill>
                    <w14:schemeClr w14:val="tx1"/>
                  </w14:solidFill>
                </w14:textFill>
              </w:rPr>
              <w:t>样品</w:t>
            </w:r>
            <w:r>
              <w:rPr>
                <w:rFonts w:hint="eastAsia" w:ascii="宋体" w:hAnsi="宋体" w:cs="宋体"/>
                <w:color w:val="000000" w:themeColor="text1"/>
                <w:spacing w:val="-4"/>
                <w:kern w:val="21"/>
                <w:sz w:val="21"/>
                <w:szCs w:val="21"/>
                <w:highlight w:val="none"/>
                <w:lang w:val="en-US" w:eastAsia="zh-CN"/>
                <w14:textFill>
                  <w14:solidFill>
                    <w14:schemeClr w14:val="tx1"/>
                  </w14:solidFill>
                </w14:textFill>
              </w:rPr>
              <w:t>的</w:t>
            </w:r>
            <w:r>
              <w:rPr>
                <w:rFonts w:hint="eastAsia" w:ascii="宋体" w:hAnsi="宋体" w:cs="宋体"/>
                <w:color w:val="000000" w:themeColor="text1"/>
                <w:spacing w:val="-4"/>
                <w:kern w:val="21"/>
                <w:sz w:val="21"/>
                <w:szCs w:val="21"/>
                <w:highlight w:val="none"/>
                <w14:textFill>
                  <w14:solidFill>
                    <w14:schemeClr w14:val="tx1"/>
                  </w14:solidFill>
                </w14:textFill>
              </w:rPr>
              <w:t>工艺、质量、材质、尺寸、规格、外观的整体效果是否响应招标文件要求，根据样品实样进行打分。</w:t>
            </w:r>
          </w:p>
          <w:p>
            <w:pPr>
              <w:keepNext w:val="0"/>
              <w:keepLines w:val="0"/>
              <w:pageBreakBefore w:val="0"/>
              <w:numPr>
                <w:ilvl w:val="0"/>
                <w:numId w:val="0"/>
              </w:numPr>
              <w:kinsoku/>
              <w:wordWrap/>
              <w:overflowPunct/>
              <w:topLinePunct w:val="0"/>
              <w:bidi w:val="0"/>
              <w:adjustRightInd/>
              <w:snapToGrid/>
              <w:textAlignment w:val="auto"/>
              <w:rPr>
                <w:rFonts w:hint="eastAsia" w:ascii="宋体" w:hAnsi="宋体" w:cs="宋体"/>
                <w:color w:val="000000" w:themeColor="text1"/>
                <w:spacing w:val="-4"/>
                <w:kern w:val="21"/>
                <w:sz w:val="21"/>
                <w:szCs w:val="21"/>
                <w:highlight w:val="none"/>
                <w14:textFill>
                  <w14:solidFill>
                    <w14:schemeClr w14:val="tx1"/>
                  </w14:solidFill>
                </w14:textFill>
              </w:rPr>
            </w:pPr>
            <w:r>
              <w:rPr>
                <w:rFonts w:hint="eastAsia" w:ascii="宋体" w:hAnsi="宋体" w:eastAsia="宋体" w:cs="宋体"/>
                <w:b/>
                <w:bCs/>
                <w:color w:val="000000" w:themeColor="text1"/>
                <w:spacing w:val="-4"/>
                <w:kern w:val="21"/>
                <w:sz w:val="21"/>
                <w:szCs w:val="21"/>
                <w:highlight w:val="none"/>
                <w:lang w:val="en-US" w:eastAsia="zh-CN" w:bidi="ar-SA"/>
                <w14:textFill>
                  <w14:solidFill>
                    <w14:schemeClr w14:val="tx1"/>
                  </w14:solidFill>
                </w14:textFill>
              </w:rPr>
              <w:t>一、</w:t>
            </w:r>
            <w:r>
              <w:rPr>
                <w:rFonts w:hint="eastAsia" w:ascii="宋体" w:hAnsi="宋体" w:cs="宋体"/>
                <w:b/>
                <w:bCs/>
                <w:color w:val="000000" w:themeColor="text1"/>
                <w:spacing w:val="-4"/>
                <w:kern w:val="21"/>
                <w:sz w:val="21"/>
                <w:szCs w:val="21"/>
                <w:highlight w:val="none"/>
                <w14:textFill>
                  <w14:solidFill>
                    <w14:schemeClr w14:val="tx1"/>
                  </w14:solidFill>
                </w14:textFill>
              </w:rPr>
              <w:t>物理实验桌（C型结构）、实验椅一套</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1、实验桌规格尺寸：1200*600*780mm，采用C字型镂空结构,实验椅规格尺寸：315*330*440mm。实验桌台面：采用≥13mm瓷土黄实芯优抗板，经机械打磨，表面光滑平整，无缝隙，整体美观大方，后部根据桌架形状铣边镶入框架中，防止台面起翘、变形、脱落。</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2、实验桌后挡板：采用86*12mm壁厚1.2mm的铝型材整体拉伸成型，与左右支撑架组成半包形围栏，预留与面板匹配的卡槽，顶端高出台面≥70mm，可有效防止台面仪器向后滚落。</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3、实验椅规格尺寸：315*330*440mm。实验椅下支撑脚：下端五星脚采用PP塑料成型，直径460mm，配网状加强筋，承重，耐腐蚀。</w:t>
            </w:r>
          </w:p>
          <w:p>
            <w:pPr>
              <w:keepNext w:val="0"/>
              <w:keepLines w:val="0"/>
              <w:pageBreakBefore w:val="0"/>
              <w:tabs>
                <w:tab w:val="left" w:pos="2061"/>
              </w:tabs>
              <w:kinsoku/>
              <w:wordWrap/>
              <w:overflowPunct/>
              <w:topLinePunct w:val="0"/>
              <w:bidi w:val="0"/>
              <w:adjustRightInd/>
              <w:snapToGrid/>
              <w:textAlignment w:val="auto"/>
              <w:rPr>
                <w:rFonts w:hint="default"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物理实验桌（C型结构）、实验椅一套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样品完全满足项目要求的得3分；样品质量、材质满足项目要求，尺寸、外观有所偏差的得2分；样品质量、材质有所偏差，不能保证实物质量的得1分，未提供样品的此项不得分。</w:t>
            </w:r>
          </w:p>
          <w:p>
            <w:pPr>
              <w:keepNext w:val="0"/>
              <w:keepLines w:val="0"/>
              <w:pageBreakBefore w:val="0"/>
              <w:kinsoku/>
              <w:wordWrap/>
              <w:overflowPunct/>
              <w:topLinePunct w:val="0"/>
              <w:bidi w:val="0"/>
              <w:adjustRightInd/>
              <w:snapToGrid/>
              <w:textAlignment w:val="auto"/>
              <w:rPr>
                <w:rFonts w:ascii="宋体" w:hAnsi="宋体" w:cs="宋体"/>
                <w:color w:val="000000" w:themeColor="text1"/>
                <w:spacing w:val="-4"/>
                <w:kern w:val="21"/>
                <w:sz w:val="21"/>
                <w:szCs w:val="21"/>
                <w:highlight w:val="none"/>
                <w14:textFill>
                  <w14:solidFill>
                    <w14:schemeClr w14:val="tx1"/>
                  </w14:solidFill>
                </w14:textFill>
              </w:rPr>
            </w:pPr>
            <w:r>
              <w:rPr>
                <w:rFonts w:hint="eastAsia" w:ascii="宋体" w:hAnsi="宋体" w:cs="宋体"/>
                <w:b/>
                <w:bCs/>
                <w:color w:val="000000" w:themeColor="text1"/>
                <w:spacing w:val="-4"/>
                <w:kern w:val="21"/>
                <w:sz w:val="21"/>
                <w:szCs w:val="21"/>
                <w:highlight w:val="none"/>
                <w14:textFill>
                  <w14:solidFill>
                    <w14:schemeClr w14:val="tx1"/>
                  </w14:solidFill>
                </w14:textFill>
              </w:rPr>
              <w:t>二、物理桌面学生电源一套</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1、规格尺寸：160*80*50mm,单独安装在桌面上方，盒体为工程PC塑料模具注塑一次成型，面板与台面呈150°夹角，既便于读取参数又便于操作；</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2、面板采用耐磨、耐腐蚀的PVC薄膜面板。微电脑控制，数码实时显示电压电流值；电压表精度1%，电流表精度1.5%±5字。</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物理桌面学生电源一套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样品完全满足项目要求的得2分；样品质量、材质满足项目要求，尺寸、外观有所偏差的得1分；样品质量、材质有所偏差，不能保证实物质量的得0.5分，未提供样品的此项不得分。</w:t>
            </w:r>
          </w:p>
          <w:p>
            <w:pPr>
              <w:keepNext w:val="0"/>
              <w:keepLines w:val="0"/>
              <w:pageBreakBefore w:val="0"/>
              <w:kinsoku/>
              <w:wordWrap/>
              <w:overflowPunct/>
              <w:topLinePunct w:val="0"/>
              <w:bidi w:val="0"/>
              <w:adjustRightInd/>
              <w:snapToGrid/>
              <w:textAlignment w:val="auto"/>
              <w:rPr>
                <w:rFonts w:ascii="宋体" w:hAnsi="宋体" w:cs="宋体"/>
                <w:color w:val="000000" w:themeColor="text1"/>
                <w:spacing w:val="-4"/>
                <w:kern w:val="21"/>
                <w:sz w:val="21"/>
                <w:szCs w:val="21"/>
                <w:highlight w:val="none"/>
                <w14:textFill>
                  <w14:solidFill>
                    <w14:schemeClr w14:val="tx1"/>
                  </w14:solidFill>
                </w14:textFill>
              </w:rPr>
            </w:pPr>
            <w:r>
              <w:rPr>
                <w:rFonts w:hint="eastAsia" w:ascii="宋体" w:hAnsi="宋体" w:cs="宋体"/>
                <w:b/>
                <w:bCs/>
                <w:color w:val="000000" w:themeColor="text1"/>
                <w:spacing w:val="-4"/>
                <w:kern w:val="21"/>
                <w:sz w:val="21"/>
                <w:szCs w:val="21"/>
                <w:highlight w:val="none"/>
                <w14:textFill>
                  <w14:solidFill>
                    <w14:schemeClr w14:val="tx1"/>
                  </w14:solidFill>
                </w14:textFill>
              </w:rPr>
              <w:t>三、后墙仪器柜1.2米一张</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1、规格尺寸：1200*450*2200mm。前横梁：60*56mm壁厚1.2mm带圆弧造型铝合金型材。后横梁：60*40mm壁厚1.2mm长方体铝合金型材。</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左右支撑架：450*120*86mm壁厚2.5mmABS工程材料。前立柱：35*24mm壁厚1.2mm铝合金型材。后立柱：37*37mm壁厚1.2mm后端R25圆角的铝合金型材。</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3、上柜门内嵌4mm厚钢化玻璃，下柜门内嵌9mm中密度三聚氰胺饰面板，配以pp材料注塑一次成型的四分之一环形拉手；上下柜门的四个环形拉手组成一圆环造型，并在中间前横梁上加装专用锁具，可以一锁锁四门。</w:t>
            </w:r>
          </w:p>
          <w:p>
            <w:pPr>
              <w:keepNext w:val="0"/>
              <w:keepLines w:val="0"/>
              <w:pageBreakBefore w:val="0"/>
              <w:tabs>
                <w:tab w:val="left" w:pos="2061"/>
              </w:tabs>
              <w:kinsoku/>
              <w:wordWrap/>
              <w:overflowPunct/>
              <w:topLinePunct w:val="0"/>
              <w:bidi w:val="0"/>
              <w:adjustRightInd/>
              <w:snapToGrid/>
              <w:textAlignment w:val="auto"/>
              <w:rPr>
                <w:rFonts w:ascii="宋体" w:hAnsi="宋体" w:eastAsia="宋体" w:cs="宋体"/>
                <w:color w:val="000000" w:themeColor="text1"/>
                <w:spacing w:val="-4"/>
                <w:szCs w:val="21"/>
                <w:highlight w:val="none"/>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后墙仪器柜1.2米一张</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样品完全满足项目要求的得3分；样品质量、材质满足项目要求，尺寸、外观有所偏差的得2分；样品质量、材质有所偏差，不能保证实物质量的得1分，未提供样品的此项不得分。</w:t>
            </w:r>
          </w:p>
        </w:tc>
        <w:tc>
          <w:tcPr>
            <w:tcW w:w="659" w:type="dxa"/>
            <w:vAlign w:val="center"/>
          </w:tcPr>
          <w:p>
            <w:pPr>
              <w:keepNext w:val="0"/>
              <w:keepLines w:val="0"/>
              <w:pageBreakBefore w:val="0"/>
              <w:kinsoku/>
              <w:wordWrap/>
              <w:overflowPunct/>
              <w:topLinePunct w:val="0"/>
              <w:bidi w:val="0"/>
              <w:adjustRightInd/>
              <w:snapToGrid/>
              <w:spacing w:before="100" w:beforeAutospacing="1" w:after="100" w:afterAutospacing="1"/>
              <w:jc w:val="center"/>
              <w:textAlignment w:val="auto"/>
              <w:rPr>
                <w:rFonts w:ascii="宋体" w:hAnsi="宋体" w:eastAsia="宋体" w:cs="宋体"/>
                <w:color w:val="000000" w:themeColor="text1"/>
                <w:spacing w:val="-4"/>
                <w:szCs w:val="21"/>
                <w:highlight w:val="none"/>
                <w14:textFill>
                  <w14:solidFill>
                    <w14:schemeClr w14:val="tx1"/>
                  </w14:solidFill>
                </w14:textFill>
              </w:rPr>
            </w:pPr>
            <w:r>
              <w:rPr>
                <w:rFonts w:hint="eastAsia" w:ascii="宋体" w:hAnsi="宋体" w:cs="宋体"/>
                <w:color w:val="000000" w:themeColor="text1"/>
                <w:spacing w:val="-4"/>
                <w:szCs w:val="21"/>
                <w:highlight w:val="none"/>
                <w14:textFill>
                  <w14:solidFill>
                    <w14:schemeClr w14:val="tx1"/>
                  </w14:solidFill>
                </w14:textFill>
              </w:rPr>
              <w:t>8</w:t>
            </w:r>
          </w:p>
        </w:tc>
        <w:tc>
          <w:tcPr>
            <w:tcW w:w="659" w:type="dxa"/>
            <w:vAlign w:val="center"/>
          </w:tcPr>
          <w:p>
            <w:pPr>
              <w:spacing w:before="100" w:beforeAutospacing="1" w:after="100" w:afterAutospacing="1"/>
              <w:jc w:val="center"/>
              <w:rPr>
                <w:rFonts w:hint="eastAsia" w:ascii="宋体" w:hAnsi="宋体" w:cs="宋体"/>
                <w:color w:val="000000" w:themeColor="text1"/>
                <w:spacing w:val="-4"/>
                <w:szCs w:val="21"/>
                <w:highlight w:val="none"/>
                <w14:textFill>
                  <w14:solidFill>
                    <w14:schemeClr w14:val="tx1"/>
                  </w14:solidFill>
                </w14:textFill>
              </w:rPr>
            </w:pPr>
          </w:p>
        </w:tc>
        <w:tc>
          <w:tcPr>
            <w:tcW w:w="659" w:type="dxa"/>
            <w:vAlign w:val="center"/>
          </w:tcPr>
          <w:p>
            <w:pPr>
              <w:spacing w:before="100" w:beforeAutospacing="1" w:after="100" w:afterAutospacing="1"/>
              <w:jc w:val="center"/>
              <w:rPr>
                <w:rFonts w:hint="eastAsia" w:ascii="宋体" w:hAnsi="宋体" w:cs="宋体"/>
                <w:color w:val="000000" w:themeColor="text1"/>
                <w:spacing w:val="-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983" w:type="dxa"/>
            <w:vMerge w:val="continue"/>
            <w:vAlign w:val="center"/>
          </w:tcPr>
          <w:p>
            <w:pPr>
              <w:keepNext w:val="0"/>
              <w:keepLines w:val="0"/>
              <w:pageBreakBefore w:val="0"/>
              <w:kinsoku/>
              <w:wordWrap/>
              <w:overflowPunct/>
              <w:topLinePunct w:val="0"/>
              <w:bidi w:val="0"/>
              <w:adjustRightInd/>
              <w:snapToGrid/>
              <w:jc w:val="center"/>
              <w:textAlignment w:val="auto"/>
              <w:rPr>
                <w:rStyle w:val="57"/>
                <w:rFonts w:asciiTheme="minorEastAsia" w:hAnsiTheme="minorEastAsia" w:cstheme="minorEastAsia"/>
                <w:color w:val="000000" w:themeColor="text1"/>
                <w:kern w:val="0"/>
                <w:szCs w:val="21"/>
                <w:highlight w:val="none"/>
                <w14:textFill>
                  <w14:solidFill>
                    <w14:schemeClr w14:val="tx1"/>
                  </w14:solidFill>
                </w14:textFill>
              </w:rPr>
            </w:pPr>
          </w:p>
        </w:tc>
        <w:tc>
          <w:tcPr>
            <w:tcW w:w="1113" w:type="dxa"/>
            <w:vAlign w:val="center"/>
          </w:tcPr>
          <w:p>
            <w:pPr>
              <w:keepNext w:val="0"/>
              <w:keepLines w:val="0"/>
              <w:pageBreakBefore w:val="0"/>
              <w:kinsoku/>
              <w:wordWrap/>
              <w:overflowPunct/>
              <w:topLinePunct w:val="0"/>
              <w:bidi w:val="0"/>
              <w:adjustRightInd/>
              <w:snapToGrid/>
              <w:jc w:val="center"/>
              <w:textAlignment w:val="auto"/>
              <w:rPr>
                <w:rStyle w:val="57"/>
                <w:rFonts w:asciiTheme="minorEastAsia" w:hAnsiTheme="minorEastAsia" w:cstheme="minorEastAsia"/>
                <w:color w:val="000000" w:themeColor="text1"/>
                <w:kern w:val="0"/>
                <w:szCs w:val="21"/>
                <w:highlight w:val="none"/>
                <w14:textFill>
                  <w14:solidFill>
                    <w14:schemeClr w14:val="tx1"/>
                  </w14:solidFill>
                </w14:textFill>
              </w:rPr>
            </w:pPr>
            <w:r>
              <w:rPr>
                <w:rFonts w:hint="eastAsia" w:ascii="宋体" w:hAnsi="宋体" w:cs="宋体"/>
                <w:color w:val="000000" w:themeColor="text1"/>
                <w:spacing w:val="-4"/>
                <w:kern w:val="21"/>
                <w:sz w:val="21"/>
                <w:szCs w:val="21"/>
                <w:highlight w:val="none"/>
                <w14:textFill>
                  <w14:solidFill>
                    <w14:schemeClr w14:val="tx1"/>
                  </w14:solidFill>
                </w14:textFill>
              </w:rPr>
              <w:t>产品功能演示</w:t>
            </w:r>
          </w:p>
        </w:tc>
        <w:tc>
          <w:tcPr>
            <w:tcW w:w="703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投标人演示需求条款当中的“</w:t>
            </w:r>
            <w:r>
              <w:rPr>
                <w:rFonts w:hint="eastAsia" w:ascii="宋体" w:hAnsi="宋体" w:eastAsia="宋体" w:cs="宋体"/>
                <w:color w:val="000000" w:themeColor="text1"/>
                <w:kern w:val="21"/>
                <w:sz w:val="21"/>
                <w:szCs w:val="21"/>
                <w:highlight w:val="none"/>
                <w:lang w:bidi="ar"/>
                <w14:textFill>
                  <w14:solidFill>
                    <w14:schemeClr w14:val="tx1"/>
                  </w14:solidFill>
                </w14:textFill>
              </w:rPr>
              <w:t>86寸教学一体机</w:t>
            </w:r>
            <w:r>
              <w:rPr>
                <w:rFonts w:hint="eastAsia" w:asciiTheme="minorEastAsia" w:hAnsiTheme="minorEastAsia" w:cstheme="minorEastAsia"/>
                <w:color w:val="000000" w:themeColor="text1"/>
                <w:kern w:val="21"/>
                <w:sz w:val="21"/>
                <w:szCs w:val="21"/>
                <w:highlight w:val="none"/>
                <w:lang w:val="zh-CN"/>
                <w14:textFill>
                  <w14:solidFill>
                    <w14:schemeClr w14:val="tx1"/>
                  </w14:solidFill>
                </w14:textFill>
              </w:rPr>
              <w:t>”产品：</w:t>
            </w:r>
          </w:p>
          <w:p>
            <w:pPr>
              <w:pStyle w:val="68"/>
              <w:keepNext w:val="0"/>
              <w:keepLines w:val="0"/>
              <w:pageBreakBefore w:val="0"/>
              <w:numPr>
                <w:ilvl w:val="0"/>
                <w:numId w:val="0"/>
              </w:numPr>
              <w:kinsoku/>
              <w:wordWrap/>
              <w:overflowPunct/>
              <w:topLinePunct w:val="0"/>
              <w:bidi w:val="0"/>
              <w:adjustRightInd/>
              <w:snapToGrid/>
              <w:spacing w:before="0" w:after="0" w:line="276" w:lineRule="auto"/>
              <w:textAlignment w:val="auto"/>
              <w:rPr>
                <w:rFonts w:hint="eastAsia" w:ascii="宋体" w:hAnsi="宋体" w:eastAsia="宋体" w:cs="宋体"/>
                <w:b/>
                <w:bCs/>
                <w:color w:val="000000" w:themeColor="text1"/>
                <w:kern w:val="21"/>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21"/>
                <w:sz w:val="21"/>
                <w:szCs w:val="21"/>
                <w:lang w:val="en-US" w:eastAsia="zh-CN" w:bidi="ar"/>
                <w14:textFill>
                  <w14:solidFill>
                    <w14:schemeClr w14:val="tx1"/>
                  </w14:solidFill>
                </w14:textFill>
              </w:rPr>
              <w:t>1、</w:t>
            </w:r>
            <w:r>
              <w:rPr>
                <w:rFonts w:hint="eastAsia" w:ascii="宋体" w:hAnsi="宋体" w:eastAsia="宋体" w:cs="宋体"/>
                <w:b/>
                <w:bCs/>
                <w:color w:val="000000" w:themeColor="text1"/>
                <w:kern w:val="21"/>
                <w:sz w:val="21"/>
                <w:szCs w:val="21"/>
                <w:highlight w:val="none"/>
                <w:lang w:bidi="ar"/>
                <w14:textFill>
                  <w14:solidFill>
                    <w14:schemeClr w14:val="tx1"/>
                  </w14:solidFill>
                </w14:textFill>
              </w:rPr>
              <w:t>开关机、联网、连接蓝牙、连接外置摄像头、连接蓝牙遥控笔、连接实物视频展台</w:t>
            </w:r>
            <w:r>
              <w:rPr>
                <w:rFonts w:hint="eastAsia" w:ascii="宋体" w:hAnsi="宋体" w:eastAsia="宋体" w:cs="宋体"/>
                <w:b/>
                <w:bCs/>
                <w:color w:val="000000" w:themeColor="text1"/>
                <w:kern w:val="21"/>
                <w:sz w:val="21"/>
                <w:szCs w:val="21"/>
                <w:highlight w:val="none"/>
                <w:lang w:val="en-US" w:eastAsia="zh-CN" w:bidi="ar"/>
                <w14:textFill>
                  <w14:solidFill>
                    <w14:schemeClr w14:val="tx1"/>
                  </w14:solidFill>
                </w14:textFill>
              </w:rPr>
              <w:t>演示。</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演示</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内容符合采购需求的得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分；</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演示</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内容有欠缺的得</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1分；</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未</w:t>
            </w: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提供演示该项</w:t>
            </w:r>
            <w:r>
              <w:rPr>
                <w:rFonts w:hint="eastAsia" w:asciiTheme="minorEastAsia" w:hAnsiTheme="minorEastAsia" w:cstheme="minorEastAsia"/>
                <w:color w:val="000000" w:themeColor="text1"/>
                <w:kern w:val="21"/>
                <w:sz w:val="21"/>
                <w:szCs w:val="21"/>
                <w:highlight w:val="none"/>
                <w:lang w:val="zh-CN" w:eastAsia="zh-CN"/>
                <w14:textFill>
                  <w14:solidFill>
                    <w14:schemeClr w14:val="tx1"/>
                  </w14:solidFill>
                </w14:textFill>
              </w:rPr>
              <w:t>不得分。</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b/>
                <w:bCs/>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b/>
                <w:bCs/>
                <w:color w:val="000000" w:themeColor="text1"/>
                <w:kern w:val="21"/>
                <w:sz w:val="21"/>
                <w:szCs w:val="21"/>
                <w:highlight w:val="none"/>
                <w:lang w:val="en-US" w:eastAsia="zh-CN"/>
                <w14:textFill>
                  <w14:solidFill>
                    <w14:schemeClr w14:val="tx1"/>
                  </w14:solidFill>
                </w14:textFill>
              </w:rPr>
              <w:t>2、软件功能展示</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（1）投影功能：将电脑或其他设备上的教学内容投影到屏幕上，使得学生可以更加清晰地看到教学内容。教师可以通过投影功能来展示自己的教学思路和方法，更好地引导学生进行学习。</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（2）电脑控制功能：可以通过电脑控制功能来对电脑进行远程控制。教师可以通过这个功能来控制电脑上的教学内容，更加便利地进行教学。</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（3）互动白板功能：可以将屏幕变成一个大型的白板，教师可以在屏幕上进行书写、画图等操作，更加生动地展示教学内容。学生也可以在屏幕上进行互动操作，更好地参与到教学活动中。</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（4）多媒体播放功能：播放各种教学资源，例如视频、音频、图片等。这些教学资源可以丰富教学内容，</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（5）网络连接功能：连接互联网，可以浏览各种教学资源，例如网络课程、电子书籍等。教师也可以通过网络连接功能来进行教学交流和互动。</w:t>
            </w:r>
          </w:p>
          <w:p>
            <w:pPr>
              <w:keepNext w:val="0"/>
              <w:keepLines w:val="0"/>
              <w:pageBreakBefore w:val="0"/>
              <w:tabs>
                <w:tab w:val="left" w:pos="2061"/>
              </w:tabs>
              <w:kinsoku/>
              <w:wordWrap/>
              <w:overflowPunct/>
              <w:topLinePunct w:val="0"/>
              <w:bidi w:val="0"/>
              <w:adjustRightInd/>
              <w:snapToGrid/>
              <w:textAlignment w:val="auto"/>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（6）实物展台拍摄讲台上的实验仪器，并同步到一体机屏幕上，图像可以放大缩小。</w:t>
            </w:r>
          </w:p>
          <w:p>
            <w:pPr>
              <w:keepNext w:val="0"/>
              <w:keepLines w:val="0"/>
              <w:pageBreakBefore w:val="0"/>
              <w:tabs>
                <w:tab w:val="left" w:pos="2061"/>
              </w:tabs>
              <w:kinsoku/>
              <w:wordWrap/>
              <w:overflowPunct/>
              <w:topLinePunct w:val="0"/>
              <w:bidi w:val="0"/>
              <w:adjustRightInd/>
              <w:snapToGrid/>
              <w:textAlignment w:val="auto"/>
              <w:rPr>
                <w:rFonts w:hint="eastAsia" w:eastAsia="宋体"/>
                <w:color w:val="000000" w:themeColor="text1"/>
                <w:highlight w:val="none"/>
                <w:lang w:val="zh-CN" w:eastAsia="zh-CN"/>
                <w14:textFill>
                  <w14:solidFill>
                    <w14:schemeClr w14:val="tx1"/>
                  </w14:solidFill>
                </w14:textFill>
              </w:rPr>
            </w:pPr>
            <w:r>
              <w:rPr>
                <w:rFonts w:hint="eastAsia" w:asciiTheme="minorEastAsia" w:hAnsiTheme="minorEastAsia" w:cstheme="minorEastAsia"/>
                <w:color w:val="000000" w:themeColor="text1"/>
                <w:kern w:val="21"/>
                <w:sz w:val="21"/>
                <w:szCs w:val="21"/>
                <w:highlight w:val="none"/>
                <w:lang w:val="en-US" w:eastAsia="zh-CN"/>
                <w14:textFill>
                  <w14:solidFill>
                    <w14:schemeClr w14:val="tx1"/>
                  </w14:solidFill>
                </w14:textFill>
              </w:rPr>
              <w:t>演示内容完全符合采购需求的得3分；演示内容基本符合采购需求的得2分；演示内容有欠缺的得1分，未提供演示该项不得分。</w:t>
            </w:r>
          </w:p>
        </w:tc>
        <w:tc>
          <w:tcPr>
            <w:tcW w:w="659" w:type="dxa"/>
            <w:vAlign w:val="center"/>
          </w:tcPr>
          <w:p>
            <w:pPr>
              <w:keepNext w:val="0"/>
              <w:keepLines w:val="0"/>
              <w:pageBreakBefore w:val="0"/>
              <w:kinsoku/>
              <w:wordWrap/>
              <w:overflowPunct/>
              <w:topLinePunct w:val="0"/>
              <w:bidi w:val="0"/>
              <w:adjustRightInd/>
              <w:snapToGrid/>
              <w:jc w:val="center"/>
              <w:textAlignment w:val="auto"/>
              <w:rPr>
                <w:rFonts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5</w:t>
            </w:r>
          </w:p>
        </w:tc>
        <w:tc>
          <w:tcPr>
            <w:tcW w:w="659" w:type="dxa"/>
            <w:vAlign w:val="center"/>
          </w:tcPr>
          <w:p>
            <w:pPr>
              <w:adjustRightInd w:val="0"/>
              <w:snapToGrid w:val="0"/>
              <w:jc w:val="center"/>
              <w:rPr>
                <w:rFonts w:hint="eastAsia" w:asciiTheme="minorEastAsia" w:hAnsiTheme="minorEastAsia" w:cstheme="minorEastAsia"/>
                <w:color w:val="000000" w:themeColor="text1"/>
                <w:szCs w:val="21"/>
                <w:highlight w:val="none"/>
                <w14:textFill>
                  <w14:solidFill>
                    <w14:schemeClr w14:val="tx1"/>
                  </w14:solidFill>
                </w14:textFill>
              </w:rPr>
            </w:pPr>
          </w:p>
        </w:tc>
        <w:tc>
          <w:tcPr>
            <w:tcW w:w="659" w:type="dxa"/>
            <w:vAlign w:val="center"/>
          </w:tcPr>
          <w:p>
            <w:pPr>
              <w:adjustRightInd w:val="0"/>
              <w:snapToGrid w:val="0"/>
              <w:jc w:val="center"/>
              <w:rPr>
                <w:rFonts w:hint="eastAsia" w:asciiTheme="minorEastAsia" w:hAnsiTheme="minorEastAsia" w:cstheme="minorEastAsia"/>
                <w:color w:val="000000" w:themeColor="text1"/>
                <w:szCs w:val="21"/>
                <w:highlight w:val="none"/>
                <w14:textFill>
                  <w14:solidFill>
                    <w14:schemeClr w14:val="tx1"/>
                  </w14:solidFill>
                </w14:textFill>
              </w:rPr>
            </w:pPr>
          </w:p>
        </w:tc>
      </w:tr>
    </w:tbl>
    <w:p>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000000" w:themeColor="text1"/>
          <w:sz w:val="32"/>
          <w:szCs w:val="32"/>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r>
        <w:rPr>
          <w:rFonts w:hint="eastAsia" w:ascii="宋体" w:hAnsi="宋体" w:eastAsia="宋体" w:cs="宋体"/>
          <w:b/>
          <w:color w:val="000000" w:themeColor="text1"/>
          <w:sz w:val="32"/>
          <w:szCs w:val="32"/>
          <w:highlight w:val="none"/>
          <w:lang w:val="en-US" w:eastAsia="zh-CN"/>
          <w14:textFill>
            <w14:solidFill>
              <w14:schemeClr w14:val="tx1"/>
            </w14:solidFill>
          </w14:textFill>
        </w:rPr>
        <w:t>6</w:t>
      </w:r>
      <w:r>
        <w:rPr>
          <w:rFonts w:hint="eastAsia" w:ascii="宋体" w:hAnsi="宋体" w:eastAsia="宋体" w:cs="宋体"/>
          <w:b/>
          <w:color w:val="000000" w:themeColor="text1"/>
          <w:sz w:val="32"/>
          <w:szCs w:val="32"/>
          <w:highlight w:val="none"/>
          <w14:textFill>
            <w14:solidFill>
              <w14:schemeClr w14:val="tx1"/>
            </w14:solidFill>
          </w14:textFill>
        </w:rPr>
        <w:t>：</w:t>
      </w:r>
    </w:p>
    <w:p>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w:t>
      </w:r>
      <w:r>
        <w:rPr>
          <w:rFonts w:hint="eastAsia" w:ascii="宋体" w:hAnsi="宋体" w:eastAsia="宋体" w:cs="宋体"/>
          <w:b/>
          <w:bCs/>
          <w:color w:val="000000" w:themeColor="text1"/>
          <w:spacing w:val="21"/>
          <w:sz w:val="32"/>
          <w:szCs w:val="32"/>
          <w:highlight w:val="none"/>
          <w14:textFill>
            <w14:solidFill>
              <w14:schemeClr w14:val="tx1"/>
            </w14:solidFill>
          </w14:textFill>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企业名称</w:t>
            </w:r>
          </w:p>
        </w:tc>
        <w:tc>
          <w:tcPr>
            <w:tcW w:w="3911" w:type="dxa"/>
            <w:gridSpan w:val="6"/>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法定代表人</w:t>
            </w:r>
          </w:p>
        </w:tc>
        <w:tc>
          <w:tcPr>
            <w:tcW w:w="2151"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地址</w:t>
            </w:r>
          </w:p>
        </w:tc>
        <w:tc>
          <w:tcPr>
            <w:tcW w:w="3911" w:type="dxa"/>
            <w:gridSpan w:val="6"/>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企业性质</w:t>
            </w:r>
          </w:p>
        </w:tc>
        <w:tc>
          <w:tcPr>
            <w:tcW w:w="2151"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股东姓名</w:t>
            </w:r>
          </w:p>
        </w:tc>
        <w:tc>
          <w:tcPr>
            <w:tcW w:w="633" w:type="dxa"/>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910"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股权结构（%）</w:t>
            </w:r>
          </w:p>
        </w:tc>
        <w:tc>
          <w:tcPr>
            <w:tcW w:w="2368" w:type="dxa"/>
            <w:gridSpan w:val="4"/>
          </w:tcPr>
          <w:p>
            <w:pPr>
              <w:keepNext w:val="0"/>
              <w:keepLines w:val="0"/>
              <w:pageBreakBefore w:val="0"/>
              <w:widowControl/>
              <w:kinsoku/>
              <w:wordWrap/>
              <w:overflowPunct/>
              <w:topLinePunct w:val="0"/>
              <w:bidi w:val="0"/>
              <w:jc w:val="left"/>
              <w:outlineLvl w:val="9"/>
              <w:rPr>
                <w:rFonts w:hint="eastAsia" w:ascii="宋体" w:hAnsi="宋体" w:eastAsia="宋体" w:cs="宋体"/>
                <w:bCs/>
                <w:color w:val="000000" w:themeColor="text1"/>
                <w:spacing w:val="16"/>
                <w:kern w:val="0"/>
                <w:szCs w:val="21"/>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股东关系</w:t>
            </w:r>
          </w:p>
        </w:tc>
        <w:tc>
          <w:tcPr>
            <w:tcW w:w="2151" w:type="dxa"/>
            <w:gridSpan w:val="2"/>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2"/>
                <w:sz w:val="21"/>
                <w:szCs w:val="21"/>
                <w:highlight w:val="none"/>
                <w14:textFill>
                  <w14:solidFill>
                    <w14:schemeClr w14:val="tx1"/>
                  </w14:solidFill>
                </w14:textFill>
              </w:rPr>
              <w:t>联系人</w:t>
            </w:r>
            <w:r>
              <w:rPr>
                <w:rFonts w:hint="eastAsia" w:ascii="宋体" w:hAnsi="宋体" w:eastAsia="宋体" w:cs="宋体"/>
                <w:bCs/>
                <w:color w:val="000000" w:themeColor="text1"/>
                <w:spacing w:val="27"/>
                <w:sz w:val="21"/>
                <w:szCs w:val="21"/>
                <w:highlight w:val="none"/>
                <w14:textFill>
                  <w14:solidFill>
                    <w14:schemeClr w14:val="tx1"/>
                  </w14:solidFill>
                </w14:textFill>
              </w:rPr>
              <w:t>姓名</w:t>
            </w:r>
          </w:p>
        </w:tc>
        <w:tc>
          <w:tcPr>
            <w:tcW w:w="633" w:type="dxa"/>
            <w:vMerge w:val="restart"/>
            <w:tcBorders>
              <w:top w:val="nil"/>
            </w:tcBorders>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910" w:type="dxa"/>
            <w:tcBorders>
              <w:top w:val="nil"/>
            </w:tcBorders>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固定电话</w:t>
            </w:r>
          </w:p>
        </w:tc>
        <w:tc>
          <w:tcPr>
            <w:tcW w:w="2368" w:type="dxa"/>
            <w:gridSpan w:val="4"/>
            <w:tcBorders>
              <w:top w:val="nil"/>
            </w:tcBorders>
          </w:tcPr>
          <w:p>
            <w:pPr>
              <w:keepNext w:val="0"/>
              <w:keepLines w:val="0"/>
              <w:pageBreakBefore w:val="0"/>
              <w:widowControl/>
              <w:kinsoku/>
              <w:wordWrap/>
              <w:overflowPunct/>
              <w:topLinePunct w:val="0"/>
              <w:bidi w:val="0"/>
              <w:jc w:val="left"/>
              <w:outlineLvl w:val="9"/>
              <w:rPr>
                <w:rFonts w:hint="eastAsia" w:ascii="宋体" w:hAnsi="宋体" w:eastAsia="宋体" w:cs="宋体"/>
                <w:bCs/>
                <w:color w:val="000000" w:themeColor="text1"/>
                <w:spacing w:val="16"/>
                <w:kern w:val="0"/>
                <w:szCs w:val="21"/>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vMerge w:val="restart"/>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传真</w:t>
            </w:r>
          </w:p>
        </w:tc>
        <w:tc>
          <w:tcPr>
            <w:tcW w:w="2151" w:type="dxa"/>
            <w:gridSpan w:val="2"/>
            <w:vMerge w:val="restart"/>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633" w:type="dxa"/>
            <w:vMerge w:val="continue"/>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910"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手机</w:t>
            </w:r>
          </w:p>
        </w:tc>
        <w:tc>
          <w:tcPr>
            <w:tcW w:w="2368" w:type="dxa"/>
            <w:gridSpan w:val="4"/>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vMerge w:val="continue"/>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151" w:type="dxa"/>
            <w:gridSpan w:val="2"/>
            <w:vMerge w:val="continue"/>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一、</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企</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业</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pacing w:val="27"/>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概</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况</w:t>
            </w:r>
          </w:p>
        </w:tc>
        <w:tc>
          <w:tcPr>
            <w:tcW w:w="633" w:type="dxa"/>
            <w:tcBorders>
              <w:top w:val="nil"/>
            </w:tcBorders>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职工人数</w:t>
            </w:r>
          </w:p>
        </w:tc>
        <w:tc>
          <w:tcPr>
            <w:tcW w:w="910" w:type="dxa"/>
            <w:tcBorders>
              <w:top w:val="nil"/>
            </w:tcBorders>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1163" w:type="dxa"/>
            <w:gridSpan w:val="2"/>
            <w:tcBorders>
              <w:top w:val="nil"/>
            </w:tcBorders>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8"/>
                <w:sz w:val="21"/>
                <w:szCs w:val="21"/>
                <w:highlight w:val="none"/>
                <w14:textFill>
                  <w14:solidFill>
                    <w14:schemeClr w14:val="tx1"/>
                  </w14:solidFill>
                </w14:textFill>
              </w:rPr>
              <w:t>具备大专以</w:t>
            </w:r>
            <w:r>
              <w:rPr>
                <w:rFonts w:hint="eastAsia" w:ascii="宋体" w:hAnsi="宋体" w:eastAsia="宋体" w:cs="宋体"/>
                <w:bCs/>
                <w:color w:val="000000" w:themeColor="text1"/>
                <w:spacing w:val="12"/>
                <w:sz w:val="21"/>
                <w:szCs w:val="21"/>
                <w:highlight w:val="none"/>
                <w14:textFill>
                  <w14:solidFill>
                    <w14:schemeClr w14:val="tx1"/>
                  </w14:solidFill>
                </w14:textFill>
              </w:rPr>
              <w:t>上学历人数</w:t>
            </w:r>
          </w:p>
        </w:tc>
        <w:tc>
          <w:tcPr>
            <w:tcW w:w="1205" w:type="dxa"/>
            <w:gridSpan w:val="2"/>
            <w:tcBorders>
              <w:top w:val="nil"/>
            </w:tcBorders>
          </w:tcPr>
          <w:p>
            <w:pPr>
              <w:keepNext w:val="0"/>
              <w:keepLines w:val="0"/>
              <w:pageBreakBefore w:val="0"/>
              <w:widowControl/>
              <w:kinsoku/>
              <w:wordWrap/>
              <w:overflowPunct/>
              <w:topLinePunct w:val="0"/>
              <w:bidi w:val="0"/>
              <w:jc w:val="left"/>
              <w:outlineLvl w:val="9"/>
              <w:rPr>
                <w:rFonts w:hint="eastAsia" w:ascii="宋体" w:hAnsi="宋体" w:eastAsia="宋体" w:cs="宋体"/>
                <w:bCs/>
                <w:color w:val="000000" w:themeColor="text1"/>
                <w:spacing w:val="16"/>
                <w:kern w:val="0"/>
                <w:szCs w:val="21"/>
                <w:highlight w:val="none"/>
                <w14:textFill>
                  <w14:solidFill>
                    <w14:schemeClr w14:val="tx1"/>
                  </w14:solidFill>
                </w14:textFill>
              </w:rPr>
            </w:pPr>
          </w:p>
          <w:p>
            <w:pPr>
              <w:keepNext w:val="0"/>
              <w:keepLines w:val="0"/>
              <w:pageBreakBefore w:val="0"/>
              <w:widowControl/>
              <w:kinsoku/>
              <w:wordWrap/>
              <w:overflowPunct/>
              <w:topLinePunct w:val="0"/>
              <w:bidi w:val="0"/>
              <w:jc w:val="left"/>
              <w:outlineLvl w:val="9"/>
              <w:rPr>
                <w:rFonts w:hint="eastAsia" w:ascii="宋体" w:hAnsi="宋体" w:eastAsia="宋体" w:cs="宋体"/>
                <w:bCs/>
                <w:color w:val="000000" w:themeColor="text1"/>
                <w:spacing w:val="16"/>
                <w:kern w:val="0"/>
                <w:szCs w:val="21"/>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65"/>
                <w:sz w:val="21"/>
                <w:szCs w:val="21"/>
                <w:highlight w:val="none"/>
                <w14:textFill>
                  <w14:solidFill>
                    <w14:schemeClr w14:val="tx1"/>
                  </w14:solidFill>
                </w14:textFill>
              </w:rPr>
              <w:t>国家授予技</w:t>
            </w:r>
            <w:r>
              <w:rPr>
                <w:rFonts w:hint="eastAsia" w:ascii="宋体" w:hAnsi="宋体" w:eastAsia="宋体" w:cs="宋体"/>
                <w:bCs/>
                <w:color w:val="000000" w:themeColor="text1"/>
                <w:spacing w:val="12"/>
                <w:sz w:val="21"/>
                <w:szCs w:val="21"/>
                <w:highlight w:val="none"/>
                <w14:textFill>
                  <w14:solidFill>
                    <w14:schemeClr w14:val="tx1"/>
                  </w14:solidFill>
                </w14:textFill>
              </w:rPr>
              <w:t>术职称人数</w:t>
            </w:r>
          </w:p>
        </w:tc>
        <w:tc>
          <w:tcPr>
            <w:tcW w:w="2151" w:type="dxa"/>
            <w:gridSpan w:val="2"/>
          </w:tcPr>
          <w:p>
            <w:pPr>
              <w:keepNext w:val="0"/>
              <w:keepLines w:val="0"/>
              <w:pageBreakBefore w:val="0"/>
              <w:widowControl/>
              <w:kinsoku/>
              <w:wordWrap/>
              <w:overflowPunct/>
              <w:topLinePunct w:val="0"/>
              <w:bidi w:val="0"/>
              <w:jc w:val="left"/>
              <w:outlineLvl w:val="9"/>
              <w:rPr>
                <w:rFonts w:hint="eastAsia" w:ascii="宋体" w:hAnsi="宋体" w:eastAsia="宋体" w:cs="宋体"/>
                <w:bCs/>
                <w:color w:val="000000" w:themeColor="text1"/>
                <w:spacing w:val="16"/>
                <w:kern w:val="0"/>
                <w:szCs w:val="21"/>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633"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占地面积</w:t>
            </w:r>
          </w:p>
        </w:tc>
        <w:tc>
          <w:tcPr>
            <w:tcW w:w="910"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163"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建筑面积</w:t>
            </w:r>
          </w:p>
        </w:tc>
        <w:tc>
          <w:tcPr>
            <w:tcW w:w="1205"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平方米</w:t>
            </w: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□自有□租賃</w:t>
            </w: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生产经营场所及场所的设施与设备</w:t>
            </w:r>
          </w:p>
        </w:tc>
        <w:tc>
          <w:tcPr>
            <w:tcW w:w="2151" w:type="dxa"/>
            <w:gridSpan w:val="2"/>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633" w:type="dxa"/>
          </w:tcPr>
          <w:p>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注册资金</w:t>
            </w:r>
          </w:p>
        </w:tc>
        <w:tc>
          <w:tcPr>
            <w:tcW w:w="910" w:type="dxa"/>
          </w:tcPr>
          <w:p>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163" w:type="dxa"/>
            <w:gridSpan w:val="2"/>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注册发证</w:t>
            </w:r>
            <w:r>
              <w:rPr>
                <w:rFonts w:hint="eastAsia" w:ascii="宋体" w:hAnsi="宋体" w:eastAsia="宋体" w:cs="宋体"/>
                <w:bCs/>
                <w:color w:val="000000" w:themeColor="text1"/>
                <w:spacing w:val="27"/>
                <w:sz w:val="21"/>
                <w:szCs w:val="21"/>
                <w:highlight w:val="none"/>
                <w14:textFill>
                  <w14:solidFill>
                    <w14:schemeClr w14:val="tx1"/>
                  </w14:solidFill>
                </w14:textFill>
              </w:rPr>
              <w:t>机关</w:t>
            </w:r>
          </w:p>
        </w:tc>
        <w:tc>
          <w:tcPr>
            <w:tcW w:w="3206" w:type="dxa"/>
            <w:gridSpan w:val="5"/>
          </w:tcPr>
          <w:p>
            <w:pPr>
              <w:keepNext w:val="0"/>
              <w:keepLines w:val="0"/>
              <w:pageBreakBefore w:val="0"/>
              <w:widowControl/>
              <w:kinsoku/>
              <w:wordWrap/>
              <w:overflowPunct/>
              <w:topLinePunct w:val="0"/>
              <w:bidi w:val="0"/>
              <w:jc w:val="left"/>
              <w:outlineLvl w:val="9"/>
              <w:rPr>
                <w:rFonts w:hint="eastAsia" w:ascii="宋体" w:hAnsi="宋体" w:eastAsia="宋体" w:cs="宋体"/>
                <w:bCs/>
                <w:color w:val="000000" w:themeColor="text1"/>
                <w:kern w:val="0"/>
                <w:szCs w:val="21"/>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218" w:type="dxa"/>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公司成</w:t>
            </w:r>
            <w:r>
              <w:rPr>
                <w:rFonts w:hint="eastAsia" w:ascii="宋体" w:hAnsi="宋体" w:eastAsia="宋体" w:cs="宋体"/>
                <w:bCs/>
                <w:color w:val="000000" w:themeColor="text1"/>
                <w:spacing w:val="12"/>
                <w:sz w:val="21"/>
                <w:szCs w:val="21"/>
                <w:highlight w:val="none"/>
                <w14:textFill>
                  <w14:solidFill>
                    <w14:schemeClr w14:val="tx1"/>
                  </w14:solidFill>
                </w14:textFill>
              </w:rPr>
              <w:t>立时间</w:t>
            </w:r>
          </w:p>
        </w:tc>
        <w:tc>
          <w:tcPr>
            <w:tcW w:w="933" w:type="dxa"/>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633" w:type="dxa"/>
          </w:tcPr>
          <w:p>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核准经营范围</w:t>
            </w:r>
          </w:p>
        </w:tc>
        <w:tc>
          <w:tcPr>
            <w:tcW w:w="7430" w:type="dxa"/>
            <w:gridSpan w:val="10"/>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8063" w:type="dxa"/>
            <w:gridSpan w:val="11"/>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3"/>
                <w:sz w:val="21"/>
                <w:szCs w:val="21"/>
                <w:highlight w:val="none"/>
                <w14:textFill>
                  <w14:solidFill>
                    <w14:schemeClr w14:val="tx1"/>
                  </w14:solidFill>
                </w14:textFill>
              </w:rPr>
            </w:pPr>
            <w:r>
              <w:rPr>
                <w:rFonts w:hint="eastAsia" w:ascii="宋体" w:hAnsi="宋体" w:eastAsia="宋体" w:cs="宋体"/>
                <w:bCs/>
                <w:color w:val="000000" w:themeColor="text1"/>
                <w:spacing w:val="13"/>
                <w:sz w:val="21"/>
                <w:szCs w:val="21"/>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二、</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企</w:t>
            </w:r>
            <w:r>
              <w:rPr>
                <w:rFonts w:hint="eastAsia" w:ascii="宋体" w:hAnsi="宋体" w:eastAsia="宋体" w:cs="宋体"/>
                <w:bCs/>
                <w:color w:val="000000" w:themeColor="text1"/>
                <w:spacing w:val="12"/>
                <w:sz w:val="21"/>
                <w:szCs w:val="21"/>
                <w:highlight w:val="none"/>
                <w14:textFill>
                  <w14:solidFill>
                    <w14:schemeClr w14:val="tx1"/>
                  </w14:solidFill>
                </w14:textFill>
              </w:rPr>
              <w:t>业有关资质获证情况</w:t>
            </w:r>
          </w:p>
        </w:tc>
        <w:tc>
          <w:tcPr>
            <w:tcW w:w="1854" w:type="dxa"/>
            <w:gridSpan w:val="3"/>
            <w:vMerge w:val="restart"/>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2"/>
                <w:sz w:val="21"/>
                <w:szCs w:val="21"/>
                <w:highlight w:val="none"/>
                <w14:textFill>
                  <w14:solidFill>
                    <w14:schemeClr w14:val="tx1"/>
                  </w14:solidFill>
                </w14:textFill>
              </w:rPr>
              <w:t>产品生产许可证情况</w:t>
            </w:r>
            <w:r>
              <w:rPr>
                <w:rFonts w:hint="eastAsia" w:ascii="宋体" w:hAnsi="宋体" w:eastAsia="宋体" w:cs="宋体"/>
                <w:bCs/>
                <w:color w:val="000000" w:themeColor="text1"/>
                <w:spacing w:val="41"/>
                <w:sz w:val="21"/>
                <w:szCs w:val="21"/>
                <w:highlight w:val="none"/>
                <w14:textFill>
                  <w14:solidFill>
                    <w14:schemeClr w14:val="tx1"/>
                  </w14:solidFill>
                </w14:textFill>
              </w:rPr>
              <w:t>（对需获得生产许可证的</w:t>
            </w:r>
            <w:r>
              <w:rPr>
                <w:rFonts w:hint="eastAsia" w:ascii="宋体" w:hAnsi="宋体" w:eastAsia="宋体" w:cs="宋体"/>
                <w:bCs/>
                <w:color w:val="000000" w:themeColor="text1"/>
                <w:spacing w:val="11"/>
                <w:sz w:val="21"/>
                <w:szCs w:val="21"/>
                <w:highlight w:val="none"/>
                <w14:textFill>
                  <w14:solidFill>
                    <w14:schemeClr w14:val="tx1"/>
                  </w14:solidFill>
                </w14:textFill>
              </w:rPr>
              <w:t>产品要填写此栏）</w:t>
            </w:r>
          </w:p>
        </w:tc>
        <w:tc>
          <w:tcPr>
            <w:tcW w:w="964" w:type="dxa"/>
            <w:gridSpan w:val="2"/>
          </w:tcPr>
          <w:p>
            <w:pPr>
              <w:pStyle w:val="40"/>
              <w:keepNext w:val="0"/>
              <w:keepLines w:val="0"/>
              <w:pageBreakBefore w:val="0"/>
              <w:shd w:val="clear" w:color="auto" w:fill="FFFFFF"/>
              <w:kinsoku/>
              <w:wordWrap/>
              <w:overflowPunct/>
              <w:topLinePunct w:val="0"/>
              <w:bidi w:val="0"/>
              <w:ind w:right="-78" w:rightChars="-3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产品名称</w:t>
            </w:r>
          </w:p>
        </w:tc>
        <w:tc>
          <w:tcPr>
            <w:tcW w:w="1418" w:type="dxa"/>
            <w:gridSpan w:val="2"/>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发证机关</w:t>
            </w:r>
          </w:p>
        </w:tc>
        <w:tc>
          <w:tcPr>
            <w:tcW w:w="1276" w:type="dxa"/>
          </w:tcPr>
          <w:p>
            <w:pPr>
              <w:pStyle w:val="40"/>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编号</w:t>
            </w:r>
          </w:p>
        </w:tc>
        <w:tc>
          <w:tcPr>
            <w:tcW w:w="1618" w:type="dxa"/>
            <w:gridSpan w:val="2"/>
          </w:tcPr>
          <w:p>
            <w:pPr>
              <w:pStyle w:val="40"/>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16"/>
                <w:sz w:val="21"/>
                <w:szCs w:val="21"/>
                <w:highlight w:val="none"/>
                <w14:textFill>
                  <w14:solidFill>
                    <w14:schemeClr w14:val="tx1"/>
                  </w14:solidFill>
                </w14:textFill>
              </w:rPr>
              <w:t>发证时间</w:t>
            </w:r>
          </w:p>
        </w:tc>
        <w:tc>
          <w:tcPr>
            <w:tcW w:w="933" w:type="dxa"/>
          </w:tcPr>
          <w:p>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pacing w:val="27"/>
                <w:sz w:val="21"/>
                <w:szCs w:val="21"/>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854" w:type="dxa"/>
            <w:gridSpan w:val="3"/>
            <w:vMerge w:val="continue"/>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964"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418"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276"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255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c>
          <w:tcPr>
            <w:tcW w:w="1854" w:type="dxa"/>
            <w:gridSpan w:val="3"/>
          </w:tcPr>
          <w:p>
            <w:pPr>
              <w:pStyle w:val="40"/>
              <w:keepNext w:val="0"/>
              <w:keepLines w:val="0"/>
              <w:pageBreakBefore w:val="0"/>
              <w:shd w:val="clear" w:color="auto" w:fill="FFFFFF"/>
              <w:kinsoku/>
              <w:wordWrap/>
              <w:overflowPunct/>
              <w:topLinePunct w:val="0"/>
              <w:bidi w:val="0"/>
              <w:spacing w:before="0" w:beforeAutospacing="0" w:after="0" w:afterAutospacing="0"/>
              <w:ind w:right="-107" w:rightChars="-51"/>
              <w:outlineLvl w:val="9"/>
              <w:rPr>
                <w:rFonts w:hint="eastAsia" w:ascii="宋体" w:hAnsi="宋体" w:eastAsia="宋体" w:cs="宋体"/>
                <w:bCs/>
                <w:color w:val="000000" w:themeColor="text1"/>
                <w:spacing w:val="41"/>
                <w:sz w:val="21"/>
                <w:szCs w:val="21"/>
                <w:highlight w:val="none"/>
                <w14:textFill>
                  <w14:solidFill>
                    <w14:schemeClr w14:val="tx1"/>
                  </w14:solidFill>
                </w14:textFill>
              </w:rPr>
            </w:pPr>
            <w:r>
              <w:rPr>
                <w:rFonts w:hint="eastAsia" w:ascii="宋体" w:hAnsi="宋体" w:eastAsia="宋体" w:cs="宋体"/>
                <w:bCs/>
                <w:color w:val="000000" w:themeColor="text1"/>
                <w:spacing w:val="41"/>
                <w:sz w:val="21"/>
                <w:szCs w:val="21"/>
                <w:highlight w:val="none"/>
                <w14:textFill>
                  <w14:solidFill>
                    <w14:schemeClr w14:val="tx1"/>
                  </w14:solidFill>
                </w14:textFill>
              </w:rPr>
              <w:t>企业通过质量体系、环保</w:t>
            </w:r>
            <w:r>
              <w:rPr>
                <w:rFonts w:hint="eastAsia" w:ascii="宋体" w:hAnsi="宋体" w:eastAsia="宋体" w:cs="宋体"/>
                <w:bCs/>
                <w:color w:val="000000" w:themeColor="text1"/>
                <w:spacing w:val="11"/>
                <w:sz w:val="21"/>
                <w:szCs w:val="21"/>
                <w:highlight w:val="none"/>
                <w14:textFill>
                  <w14:solidFill>
                    <w14:schemeClr w14:val="tx1"/>
                  </w14:solidFill>
                </w14:textFill>
              </w:rPr>
              <w:t>体系、计量等认证情况</w:t>
            </w:r>
          </w:p>
        </w:tc>
        <w:tc>
          <w:tcPr>
            <w:tcW w:w="6209" w:type="dxa"/>
            <w:gridSpan w:val="8"/>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000000" w:themeColor="text1"/>
                <w:spacing w:val="27"/>
                <w:sz w:val="21"/>
                <w:szCs w:val="21"/>
                <w:highlight w:val="none"/>
                <w14:textFill>
                  <w14:solidFill>
                    <w14:schemeClr w14:val="tx1"/>
                  </w14:solidFill>
                </w14:textFill>
              </w:rPr>
            </w:pPr>
          </w:p>
        </w:tc>
        <w:tc>
          <w:tcPr>
            <w:tcW w:w="1854"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r>
              <w:rPr>
                <w:rFonts w:hint="eastAsia" w:ascii="宋体" w:hAnsi="宋体" w:eastAsia="宋体" w:cs="宋体"/>
                <w:bCs/>
                <w:color w:val="000000" w:themeColor="text1"/>
                <w:spacing w:val="10"/>
                <w:sz w:val="21"/>
                <w:szCs w:val="21"/>
                <w:highlight w:val="none"/>
                <w14:textFill>
                  <w14:solidFill>
                    <w14:schemeClr w14:val="tx1"/>
                  </w14:solidFill>
                </w14:textFill>
              </w:rPr>
              <w:t>企业获得专利情况</w:t>
            </w:r>
          </w:p>
        </w:tc>
        <w:tc>
          <w:tcPr>
            <w:tcW w:w="6209" w:type="dxa"/>
            <w:gridSpan w:val="8"/>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000000" w:themeColor="text1"/>
                <w:spacing w:val="16"/>
                <w:sz w:val="21"/>
                <w:szCs w:val="21"/>
                <w:highlight w:val="none"/>
                <w14:textFill>
                  <w14:solidFill>
                    <w14:schemeClr w14:val="tx1"/>
                  </w14:solidFill>
                </w14:textFill>
              </w:rPr>
            </w:pPr>
          </w:p>
        </w:tc>
      </w:tr>
    </w:tbl>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000000" w:themeColor="text1"/>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1.姓名栏必须将所有股东都统计在内，若非股份公司此行（第三行）无需填写；</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000000" w:themeColor="text1"/>
          <w:sz w:val="28"/>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000000" w:themeColor="text1"/>
          <w:sz w:val="28"/>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7</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项目实施人员一览表</w:t>
      </w:r>
    </w:p>
    <w:p>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sz w:val="24"/>
        </w:rPr>
      </w:pPr>
      <w:r>
        <w:rPr>
          <w:rFonts w:hint="eastAsia" w:ascii="宋体" w:hAnsi="宋体" w:eastAsia="宋体" w:cs="宋体"/>
          <w:sz w:val="24"/>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814"/>
        <w:gridCol w:w="750"/>
        <w:gridCol w:w="879"/>
        <w:gridCol w:w="1521"/>
        <w:gridCol w:w="1275"/>
        <w:gridCol w:w="1372"/>
        <w:gridCol w:w="1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姓名</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职务</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职责</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证书编号</w:t>
            </w: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sz w:val="21"/>
                <w:szCs w:val="21"/>
              </w:rPr>
            </w:pPr>
            <w:r>
              <w:rPr>
                <w:rFonts w:hint="eastAsia" w:ascii="宋体" w:hAnsi="宋体" w:eastAsia="宋体" w:cs="宋体"/>
                <w:b/>
                <w:bCs/>
                <w:sz w:val="21"/>
                <w:szCs w:val="21"/>
              </w:rPr>
              <w:t>参加本单位工作时间</w:t>
            </w:r>
          </w:p>
        </w:tc>
        <w:tc>
          <w:tcPr>
            <w:tcW w:w="1553"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sz w:val="21"/>
                <w:szCs w:val="21"/>
              </w:rPr>
            </w:pPr>
            <w:r>
              <w:rPr>
                <w:rFonts w:hint="eastAsia" w:ascii="宋体" w:hAnsi="宋体" w:eastAsia="宋体" w:cs="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sz w:val="21"/>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sz w:val="21"/>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sz w:val="21"/>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879"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kern w:val="44"/>
                <w:sz w:val="21"/>
                <w:szCs w:val="21"/>
              </w:rPr>
            </w:pPr>
          </w:p>
        </w:tc>
        <w:tc>
          <w:tcPr>
            <w:tcW w:w="1521"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kinsoku/>
              <w:overflowPunct/>
              <w:topLinePunct w:val="0"/>
              <w:bidi w:val="0"/>
              <w:spacing w:line="360" w:lineRule="auto"/>
              <w:ind w:left="5250"/>
              <w:outlineLvl w:val="9"/>
              <w:rPr>
                <w:rFonts w:hint="eastAsia" w:ascii="宋体" w:hAnsi="宋体" w:eastAsia="宋体" w:cs="宋体"/>
                <w:sz w:val="21"/>
                <w:szCs w:val="21"/>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sz w:val="21"/>
                <w:szCs w:val="21"/>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sz w:val="21"/>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sz w:val="21"/>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sz w:val="21"/>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sz w:val="21"/>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sz w:val="21"/>
                <w:szCs w:val="21"/>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kern w:val="44"/>
                <w:sz w:val="21"/>
                <w:szCs w:val="21"/>
              </w:rPr>
            </w:pPr>
          </w:p>
        </w:tc>
      </w:tr>
    </w:tbl>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41"/>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附人员证书复印件；</w:t>
      </w:r>
    </w:p>
    <w:p>
      <w:pPr>
        <w:pStyle w:val="41"/>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出具上述人员在本单位服务的外部证明，如：投标截止日之前六个月以内的代缴个税税单、参加社会保险的《投保单》或《社会保险参保人员证明》等。</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投标人名称（盖章）：</w:t>
      </w:r>
    </w:p>
    <w:p>
      <w:pPr>
        <w:spacing w:line="360" w:lineRule="auto"/>
        <w:ind w:left="420"/>
        <w:rPr>
          <w:rFonts w:hint="eastAsia" w:ascii="宋体" w:hAnsi="宋体" w:eastAsia="宋体" w:cs="宋体"/>
          <w:sz w:val="21"/>
          <w:szCs w:val="21"/>
        </w:rPr>
      </w:pPr>
    </w:p>
    <w:p>
      <w:pPr>
        <w:spacing w:line="360" w:lineRule="auto"/>
        <w:ind w:firstLine="435"/>
        <w:rPr>
          <w:rFonts w:hint="eastAsia" w:ascii="宋体" w:hAnsi="宋体" w:eastAsia="宋体" w:cs="宋体"/>
          <w:sz w:val="21"/>
          <w:szCs w:val="21"/>
        </w:rPr>
      </w:pPr>
      <w:r>
        <w:rPr>
          <w:rFonts w:hint="eastAsia" w:ascii="宋体" w:hAnsi="宋体" w:eastAsia="宋体" w:cs="宋体"/>
          <w:sz w:val="21"/>
          <w:szCs w:val="21"/>
          <w:lang w:eastAsia="zh-CN"/>
        </w:rPr>
        <w:t>法定代表人或授权委托代理人（签字或盖章）</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p>
    <w:p>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8</w:t>
      </w:r>
    </w:p>
    <w:p>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投标人提供的产品供货清单及原产地</w:t>
      </w:r>
    </w:p>
    <w:p>
      <w:pPr>
        <w:keepNext w:val="0"/>
        <w:keepLines w:val="0"/>
        <w:pageBreakBefore w:val="0"/>
        <w:kinsoku/>
        <w:overflowPunct/>
        <w:topLinePunct w:val="0"/>
        <w:bidi w:val="0"/>
        <w:spacing w:line="360" w:lineRule="auto"/>
        <w:outlineLvl w:val="9"/>
        <w:rPr>
          <w:rFonts w:hint="eastAsia" w:ascii="宋体" w:hAnsi="宋体" w:eastAsia="宋体" w:cs="宋体"/>
          <w:b/>
          <w:sz w:val="21"/>
          <w:szCs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序 号</w:t>
            </w:r>
          </w:p>
        </w:tc>
        <w:tc>
          <w:tcPr>
            <w:tcW w:w="1316"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名  称</w:t>
            </w:r>
          </w:p>
        </w:tc>
        <w:tc>
          <w:tcPr>
            <w:tcW w:w="1138"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型号</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制造商/原产地</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品牌</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单 位</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数 量</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备 注</w:t>
            </w:r>
          </w:p>
          <w:p>
            <w:pPr>
              <w:keepNext w:val="0"/>
              <w:keepLines w:val="0"/>
              <w:pageBreakBefore w:val="0"/>
              <w:kinsoku/>
              <w:overflowPunct/>
              <w:topLinePunct w:val="0"/>
              <w:bidi w:val="0"/>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1</w:t>
            </w:r>
          </w:p>
        </w:tc>
        <w:tc>
          <w:tcPr>
            <w:tcW w:w="1316"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8"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2</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3</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5</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6</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随产品备品备件</w:t>
            </w: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sz w:val="21"/>
                <w:szCs w:val="21"/>
              </w:rPr>
            </w:pPr>
          </w:p>
        </w:tc>
      </w:tr>
    </w:tbl>
    <w:p>
      <w:pPr>
        <w:keepNext w:val="0"/>
        <w:keepLines w:val="0"/>
        <w:pageBreakBefore w:val="0"/>
        <w:kinsoku/>
        <w:overflowPunct/>
        <w:topLinePunct w:val="0"/>
        <w:bidi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注：1</w:t>
      </w:r>
      <w:r>
        <w:rPr>
          <w:rFonts w:hint="eastAsia" w:ascii="宋体" w:hAnsi="宋体" w:eastAsia="宋体" w:cs="宋体"/>
          <w:sz w:val="21"/>
          <w:szCs w:val="21"/>
          <w:lang w:eastAsia="zh-CN"/>
        </w:rPr>
        <w:t>、</w:t>
      </w:r>
      <w:r>
        <w:rPr>
          <w:rFonts w:hint="eastAsia" w:ascii="宋体" w:hAnsi="宋体" w:eastAsia="宋体" w:cs="宋体"/>
          <w:sz w:val="21"/>
          <w:szCs w:val="21"/>
        </w:rPr>
        <w:t>本表所列项目应全部计入投标总价。</w:t>
      </w:r>
    </w:p>
    <w:p>
      <w:pPr>
        <w:keepNext w:val="0"/>
        <w:keepLines w:val="0"/>
        <w:pageBreakBefore w:val="0"/>
        <w:kinsoku/>
        <w:overflowPunct/>
        <w:topLinePunct w:val="0"/>
        <w:bidi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 xml:space="preserve">    2</w:t>
      </w:r>
      <w:r>
        <w:rPr>
          <w:rFonts w:hint="eastAsia" w:ascii="宋体" w:hAnsi="宋体" w:eastAsia="宋体" w:cs="宋体"/>
          <w:sz w:val="21"/>
          <w:szCs w:val="21"/>
          <w:lang w:eastAsia="zh-CN"/>
        </w:rPr>
        <w:t>、</w:t>
      </w:r>
      <w:r>
        <w:rPr>
          <w:rFonts w:hint="eastAsia" w:ascii="宋体" w:hAnsi="宋体" w:eastAsia="宋体" w:cs="宋体"/>
          <w:sz w:val="21"/>
          <w:szCs w:val="21"/>
        </w:rPr>
        <w:t>投标人在投标时，应对所供产品的包装方式给于具体说明。</w:t>
      </w:r>
    </w:p>
    <w:p>
      <w:pPr>
        <w:pStyle w:val="11"/>
        <w:keepNext w:val="0"/>
        <w:keepLines w:val="0"/>
        <w:pageBreakBefore w:val="0"/>
        <w:kinsoku/>
        <w:overflowPunct/>
        <w:topLinePunct w:val="0"/>
        <w:bidi w:val="0"/>
        <w:spacing w:line="360" w:lineRule="auto"/>
        <w:ind w:firstLine="420"/>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此表仅提供了表格形式，投标人应根据需要准备足够数量的表格来填写本表。</w:t>
      </w:r>
    </w:p>
    <w:p>
      <w:pPr>
        <w:spacing w:line="360" w:lineRule="auto"/>
        <w:ind w:left="42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投标人名称（盖章）：</w:t>
      </w:r>
    </w:p>
    <w:p>
      <w:pPr>
        <w:spacing w:line="360" w:lineRule="auto"/>
        <w:ind w:left="420"/>
        <w:rPr>
          <w:rFonts w:hint="eastAsia" w:ascii="宋体" w:hAnsi="宋体" w:eastAsia="宋体" w:cs="宋体"/>
          <w:sz w:val="21"/>
          <w:szCs w:val="21"/>
        </w:rPr>
      </w:pPr>
    </w:p>
    <w:p>
      <w:pPr>
        <w:spacing w:line="360" w:lineRule="auto"/>
        <w:ind w:firstLine="435"/>
        <w:rPr>
          <w:rFonts w:hint="eastAsia" w:ascii="宋体" w:hAnsi="宋体" w:eastAsia="宋体" w:cs="宋体"/>
          <w:sz w:val="21"/>
          <w:szCs w:val="21"/>
        </w:rPr>
      </w:pPr>
      <w:r>
        <w:rPr>
          <w:rFonts w:hint="eastAsia" w:ascii="宋体" w:hAnsi="宋体" w:eastAsia="宋体" w:cs="宋体"/>
          <w:sz w:val="21"/>
          <w:szCs w:val="21"/>
          <w:lang w:eastAsia="zh-CN"/>
        </w:rPr>
        <w:t>法定代表人或授权委托代理人（签字或盖章）</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p>
    <w:p>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日期：</w:t>
      </w: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9</w:t>
      </w:r>
    </w:p>
    <w:p>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技术需求响应表</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785" w:type="dxa"/>
            <w:vAlign w:val="center"/>
          </w:tcPr>
          <w:p>
            <w:pPr>
              <w:keepNext w:val="0"/>
              <w:keepLines w:val="0"/>
              <w:pageBreakBefore w:val="0"/>
              <w:kinsoku/>
              <w:wordWrap/>
              <w:overflowPunct/>
              <w:topLinePunct w:val="0"/>
              <w:bidi w:val="0"/>
              <w:spacing w:line="360" w:lineRule="auto"/>
              <w:ind w:left="13" w:leftChars="6" w:firstLine="422" w:firstLineChars="200"/>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名称</w:t>
            </w:r>
          </w:p>
        </w:tc>
        <w:tc>
          <w:tcPr>
            <w:tcW w:w="1449" w:type="dxa"/>
            <w:vAlign w:val="center"/>
          </w:tcPr>
          <w:p>
            <w:pPr>
              <w:keepNext w:val="0"/>
              <w:keepLines w:val="0"/>
              <w:pageBreakBefore w:val="0"/>
              <w:kinsoku/>
              <w:wordWrap/>
              <w:overflowPunct/>
              <w:topLinePunct w:val="0"/>
              <w:bidi w:val="0"/>
              <w:spacing w:line="360" w:lineRule="auto"/>
              <w:ind w:left="52"/>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规格型号</w:t>
            </w:r>
          </w:p>
        </w:tc>
        <w:tc>
          <w:tcPr>
            <w:tcW w:w="1560" w:type="dxa"/>
            <w:vAlign w:val="center"/>
          </w:tcPr>
          <w:p>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招标参数</w:t>
            </w: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投标参数</w:t>
            </w: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bl>
    <w:p>
      <w:pPr>
        <w:pStyle w:val="42"/>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本表参照本招标文件第</w:t>
      </w:r>
      <w:r>
        <w:rPr>
          <w:rFonts w:hint="eastAsia" w:ascii="宋体" w:hAnsi="宋体" w:eastAsia="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部分“招标需求”内“具体技术需求”填制，投标人应根据投标设备的性能指标、服务指标，对照招标文件要求在“偏离情况”栏注明“正偏离”、“负偏离”或“无偏离”。</w:t>
      </w:r>
    </w:p>
    <w:p>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p>
    <w:p>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000000" w:themeColor="text1"/>
          <w:sz w:val="28"/>
          <w:highlight w:val="none"/>
          <w14:textFill>
            <w14:solidFill>
              <w14:schemeClr w14:val="tx1"/>
            </w14:solidFill>
          </w14:textFill>
        </w:rPr>
      </w:pPr>
    </w:p>
    <w:p>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000000" w:themeColor="text1"/>
          <w:sz w:val="28"/>
          <w:highlight w:val="none"/>
          <w14:textFill>
            <w14:solidFill>
              <w14:schemeClr w14:val="tx1"/>
            </w14:solidFill>
          </w14:textFill>
        </w:rPr>
      </w:pPr>
    </w:p>
    <w:p>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0</w:t>
      </w:r>
    </w:p>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企业证书一览表</w:t>
      </w:r>
    </w:p>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 w:val="24"/>
          <w:highlight w:val="none"/>
          <w14:textFill>
            <w14:solidFill>
              <w14:schemeClr w14:val="tx1"/>
            </w14:solidFill>
          </w14:textFill>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证书名称</w:t>
            </w:r>
          </w:p>
        </w:tc>
        <w:tc>
          <w:tcPr>
            <w:tcW w:w="2258" w:type="dxa"/>
            <w:tcBorders>
              <w:top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发证单位</w:t>
            </w:r>
          </w:p>
        </w:tc>
        <w:tc>
          <w:tcPr>
            <w:tcW w:w="2260" w:type="dxa"/>
            <w:tcBorders>
              <w:top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p>
        </w:tc>
      </w:tr>
    </w:tbl>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填写投标人获得资质、认证或企业信誉证书；</w:t>
      </w:r>
    </w:p>
    <w:p>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附所列证书复印件或其他证明材料。</w:t>
      </w:r>
    </w:p>
    <w:p>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000000" w:themeColor="text1"/>
          <w:szCs w:val="21"/>
          <w:highlight w:val="none"/>
          <w14:textFill>
            <w14:solidFill>
              <w14:schemeClr w14:val="tx1"/>
            </w14:solidFill>
          </w14:textFill>
        </w:rPr>
      </w:pPr>
    </w:p>
    <w:p>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000000" w:themeColor="text1"/>
          <w:szCs w:val="21"/>
          <w:highlight w:val="none"/>
          <w14:textFill>
            <w14:solidFill>
              <w14:schemeClr w14:val="tx1"/>
            </w14:solidFill>
          </w14:textFill>
        </w:rPr>
      </w:pPr>
    </w:p>
    <w:p>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000000" w:themeColor="text1"/>
          <w:spacing w:val="1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pStyle w:val="7"/>
        <w:keepNext w:val="0"/>
        <w:keepLines w:val="0"/>
        <w:pageBreakBefore w:val="0"/>
        <w:kinsoku/>
        <w:wordWrap/>
        <w:overflowPunct/>
        <w:topLinePunct w:val="0"/>
        <w:bidi w:val="0"/>
        <w:outlineLvl w:val="9"/>
        <w:rPr>
          <w:rFonts w:hint="eastAsia" w:ascii="宋体" w:hAnsi="宋体" w:eastAsia="宋体" w:cs="宋体"/>
          <w:b/>
          <w:color w:val="000000" w:themeColor="text1"/>
          <w:sz w:val="28"/>
          <w:highlight w:val="none"/>
          <w14:textFill>
            <w14:solidFill>
              <w14:schemeClr w14:val="tx1"/>
            </w14:solidFill>
          </w14:textFill>
        </w:rPr>
      </w:pPr>
    </w:p>
    <w:p>
      <w:pPr>
        <w:pStyle w:val="7"/>
        <w:keepNext w:val="0"/>
        <w:keepLines w:val="0"/>
        <w:pageBreakBefore w:val="0"/>
        <w:kinsoku/>
        <w:wordWrap/>
        <w:overflowPunct/>
        <w:topLinePunct w:val="0"/>
        <w:bidi w:val="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1</w:t>
      </w:r>
    </w:p>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投标人类似项目实施情况一览表</w:t>
      </w:r>
    </w:p>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 w:val="24"/>
          <w:highlight w:val="none"/>
          <w14:textFill>
            <w14:solidFill>
              <w14:schemeClr w14:val="tx1"/>
            </w14:solidFill>
          </w14:textFill>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bl>
    <w:p>
      <w:pPr>
        <w:keepNext w:val="0"/>
        <w:keepLines w:val="0"/>
        <w:pageBreakBefore w:val="0"/>
        <w:kinsoku/>
        <w:wordWrap/>
        <w:overflowPunct/>
        <w:topLinePunct w:val="0"/>
        <w:autoSpaceDE w:val="0"/>
        <w:autoSpaceDN w:val="0"/>
        <w:bidi w:val="0"/>
        <w:adjustRightInd w:val="0"/>
        <w:spacing w:before="156" w:beforeLines="50" w:line="360" w:lineRule="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keepNext w:val="0"/>
        <w:keepLines w:val="0"/>
        <w:pageBreakBefore w:val="0"/>
        <w:kinsoku/>
        <w:wordWrap/>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业绩证明应提供证明材料（合同复印件可只提供首页、含金额页、盖章页并加盖投标人公章）；</w:t>
      </w:r>
    </w:p>
    <w:p>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报价供应商可按此表格式复制。</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000000" w:themeColor="text1"/>
          <w:kern w:val="0"/>
          <w:szCs w:val="21"/>
          <w:highlight w:val="none"/>
          <w14:textFill>
            <w14:solidFill>
              <w14:schemeClr w14:val="tx1"/>
            </w14:solidFill>
          </w14:textFill>
        </w:rPr>
      </w:pPr>
    </w:p>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2</w:t>
      </w:r>
    </w:p>
    <w:p>
      <w:pPr>
        <w:snapToGrid w:val="0"/>
        <w:spacing w:beforeLines="50" w:after="50" w:line="360" w:lineRule="auto"/>
        <w:jc w:val="center"/>
        <w:rPr>
          <w:rFonts w:hint="eastAsia" w:ascii="宋体" w:hAnsi="宋体" w:eastAsia="宋体" w:cs="宋体"/>
          <w:b/>
          <w:sz w:val="32"/>
          <w:szCs w:val="32"/>
        </w:rPr>
      </w:pPr>
      <w:r>
        <w:rPr>
          <w:rFonts w:hint="eastAsia" w:ascii="宋体" w:hAnsi="宋体" w:eastAsia="宋体" w:cs="宋体"/>
          <w:b/>
          <w:sz w:val="32"/>
          <w:szCs w:val="32"/>
        </w:rPr>
        <w:t>资信及商务需求响应表</w:t>
      </w:r>
    </w:p>
    <w:p>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000000" w:themeColor="text1"/>
          <w:szCs w:val="21"/>
          <w:highlight w:val="none"/>
          <w14:textFill>
            <w14:solidFill>
              <w14:schemeClr w14:val="tx1"/>
            </w14:solidFill>
          </w14:textFill>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029"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内容</w:t>
            </w:r>
          </w:p>
        </w:tc>
        <w:tc>
          <w:tcPr>
            <w:tcW w:w="1541" w:type="dxa"/>
            <w:vAlign w:val="center"/>
          </w:tcPr>
          <w:p>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招标需求</w:t>
            </w:r>
          </w:p>
        </w:tc>
        <w:tc>
          <w:tcPr>
            <w:tcW w:w="1365" w:type="dxa"/>
            <w:vAlign w:val="center"/>
          </w:tcPr>
          <w:p>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是否响应</w:t>
            </w:r>
          </w:p>
        </w:tc>
        <w:tc>
          <w:tcPr>
            <w:tcW w:w="262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工期</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质保期</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付款方式</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29" w:type="dxa"/>
          </w:tcPr>
          <w:p>
            <w:pPr>
              <w:keepNext w:val="0"/>
              <w:keepLines w:val="0"/>
              <w:pageBreakBefore w:val="0"/>
              <w:kinsoku/>
              <w:wordWrap/>
              <w:overflowPunct/>
              <w:topLinePunct w:val="0"/>
              <w:bidi w:val="0"/>
              <w:snapToGrid w:val="0"/>
              <w:outlineLvl w:val="9"/>
              <w:rPr>
                <w:rFonts w:hint="eastAsia" w:ascii="宋体" w:hAnsi="宋体" w:eastAsia="宋体" w:cs="宋体"/>
                <w:color w:val="000000" w:themeColor="text1"/>
                <w:szCs w:val="21"/>
                <w:highlight w:val="none"/>
                <w14:textFill>
                  <w14:solidFill>
                    <w14:schemeClr w14:val="tx1"/>
                  </w14:solidFill>
                </w14:textFill>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029" w:type="dxa"/>
          </w:tcPr>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法定代表人或授权委托代理人（签字或盖章）：</w:t>
      </w: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p>
    <w:p>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000000" w:themeColor="text1"/>
          <w:sz w:val="28"/>
          <w:highlight w:val="none"/>
          <w14:textFill>
            <w14:solidFill>
              <w14:schemeClr w14:val="tx1"/>
            </w14:solidFill>
          </w14:textFill>
        </w:rPr>
      </w:pPr>
    </w:p>
    <w:p>
      <w:pPr>
        <w:pStyle w:val="7"/>
        <w:keepNext w:val="0"/>
        <w:keepLines w:val="0"/>
        <w:pageBreakBefore w:val="0"/>
        <w:kinsoku/>
        <w:wordWrap/>
        <w:overflowPunct/>
        <w:topLinePunct w:val="0"/>
        <w:bidi w:val="0"/>
        <w:outlineLvl w:val="9"/>
        <w:rPr>
          <w:rFonts w:hint="eastAsia" w:ascii="宋体" w:hAnsi="宋体" w:eastAsia="宋体" w:cs="宋体"/>
          <w:b/>
          <w:color w:val="000000" w:themeColor="text1"/>
          <w:sz w:val="28"/>
          <w:highlight w:val="none"/>
          <w14:textFill>
            <w14:solidFill>
              <w14:schemeClr w14:val="tx1"/>
            </w14:solidFill>
          </w14:textFill>
        </w:rPr>
      </w:pPr>
    </w:p>
    <w:p>
      <w:pPr>
        <w:pStyle w:val="7"/>
        <w:keepNext w:val="0"/>
        <w:keepLines w:val="0"/>
        <w:pageBreakBefore w:val="0"/>
        <w:kinsoku/>
        <w:wordWrap/>
        <w:overflowPunct/>
        <w:topLinePunct w:val="0"/>
        <w:bidi w:val="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pStyle w:val="52"/>
        <w:keepNext w:val="0"/>
        <w:keepLines w:val="0"/>
        <w:pageBreakBefore w:val="0"/>
        <w:kinsoku/>
        <w:wordWrap/>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3</w:t>
      </w:r>
      <w:r>
        <w:rPr>
          <w:rFonts w:hint="eastAsia" w:ascii="宋体" w:hAnsi="宋体" w:eastAsia="宋体" w:cs="宋体"/>
          <w:b/>
          <w:color w:val="000000" w:themeColor="text1"/>
          <w:sz w:val="28"/>
          <w:highlight w:val="none"/>
          <w14:textFill>
            <w14:solidFill>
              <w14:schemeClr w14:val="tx1"/>
            </w14:solidFill>
          </w14:textFill>
        </w:rPr>
        <w:tab/>
      </w:r>
    </w:p>
    <w:p>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售后服务情况表</w:t>
      </w:r>
    </w:p>
    <w:p>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000000" w:themeColor="text1"/>
          <w:sz w:val="36"/>
          <w:szCs w:val="36"/>
          <w:highlight w:val="none"/>
          <w14:textFill>
            <w14:solidFill>
              <w14:schemeClr w14:val="tx1"/>
            </w14:solidFill>
          </w14:textFill>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355"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w:t>
            </w:r>
          </w:p>
        </w:tc>
        <w:tc>
          <w:tcPr>
            <w:tcW w:w="4061"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投标人情况</w:t>
            </w:r>
          </w:p>
        </w:tc>
        <w:tc>
          <w:tcPr>
            <w:tcW w:w="1373"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p>
        </w:tc>
        <w:tc>
          <w:tcPr>
            <w:tcW w:w="2355" w:type="dxa"/>
            <w:vAlign w:val="center"/>
          </w:tcPr>
          <w:p>
            <w:pPr>
              <w:pStyle w:val="45"/>
              <w:widowControl/>
              <w:spacing w:line="360" w:lineRule="auto"/>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质保期</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内</w:t>
            </w:r>
            <w:r>
              <w:rPr>
                <w:rFonts w:hint="eastAsia" w:ascii="宋体" w:hAnsi="宋体" w:eastAsia="宋体" w:cs="宋体"/>
                <w:bCs/>
                <w:color w:val="000000" w:themeColor="text1"/>
                <w:sz w:val="21"/>
                <w:szCs w:val="21"/>
                <w:highlight w:val="none"/>
                <w14:textFill>
                  <w14:solidFill>
                    <w14:schemeClr w14:val="tx1"/>
                  </w14:solidFill>
                </w14:textFill>
              </w:rPr>
              <w:t>售后服务情况(服务方式、服务网点、售后服务的内容和措施等等，可用附页和宣传材料)</w:t>
            </w:r>
          </w:p>
        </w:tc>
        <w:tc>
          <w:tcPr>
            <w:tcW w:w="4061" w:type="dxa"/>
          </w:tcPr>
          <w:p>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73" w:type="dxa"/>
          </w:tcPr>
          <w:p>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57" w:hRule="exact"/>
          <w:jc w:val="center"/>
        </w:trPr>
        <w:tc>
          <w:tcPr>
            <w:tcW w:w="739" w:type="dxa"/>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p>
        </w:tc>
        <w:tc>
          <w:tcPr>
            <w:tcW w:w="2355" w:type="dxa"/>
            <w:vAlign w:val="center"/>
          </w:tcPr>
          <w:p>
            <w:pPr>
              <w:pStyle w:val="45"/>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质保期后售后服务</w:t>
            </w:r>
          </w:p>
        </w:tc>
        <w:tc>
          <w:tcPr>
            <w:tcW w:w="4061" w:type="dxa"/>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p>
          <w:p>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73" w:type="dxa"/>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p>
          <w:p>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 3</w:t>
            </w:r>
          </w:p>
        </w:tc>
        <w:tc>
          <w:tcPr>
            <w:tcW w:w="2355" w:type="dxa"/>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培训方案（可用附页）</w:t>
            </w:r>
          </w:p>
        </w:tc>
        <w:tc>
          <w:tcPr>
            <w:tcW w:w="4061" w:type="dxa"/>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000000" w:themeColor="text1"/>
                <w:szCs w:val="21"/>
                <w:highlight w:val="none"/>
                <w14:textFill>
                  <w14:solidFill>
                    <w14:schemeClr w14:val="tx1"/>
                  </w14:solidFill>
                </w14:textFill>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000000" w:themeColor="text1"/>
                <w:szCs w:val="21"/>
                <w:highlight w:val="none"/>
                <w14:textFill>
                  <w14:solidFill>
                    <w14:schemeClr w14:val="tx1"/>
                  </w14:solidFill>
                </w14:textFill>
              </w:rPr>
            </w:pPr>
          </w:p>
        </w:tc>
        <w:tc>
          <w:tcPr>
            <w:tcW w:w="1373" w:type="dxa"/>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000000" w:themeColor="text1"/>
                <w:szCs w:val="21"/>
                <w:highlight w:val="none"/>
                <w14:textFill>
                  <w14:solidFill>
                    <w14:schemeClr w14:val="tx1"/>
                  </w14:solidFill>
                </w14:textFill>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000000" w:themeColor="text1"/>
                <w:szCs w:val="21"/>
                <w:highlight w:val="none"/>
                <w14:textFill>
                  <w14:solidFill>
                    <w14:schemeClr w14:val="tx1"/>
                  </w14:solidFill>
                </w14:textFill>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p>
        </w:tc>
        <w:tc>
          <w:tcPr>
            <w:tcW w:w="2355" w:type="dxa"/>
            <w:tcBorders>
              <w:bottom w:val="single" w:color="auto" w:sz="4" w:space="0"/>
            </w:tcBorders>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p>
        </w:tc>
        <w:tc>
          <w:tcPr>
            <w:tcW w:w="4061" w:type="dxa"/>
            <w:tcBorders>
              <w:bottom w:val="single" w:color="auto" w:sz="4" w:space="0"/>
            </w:tcBorders>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p>
        </w:tc>
        <w:tc>
          <w:tcPr>
            <w:tcW w:w="1373" w:type="dxa"/>
            <w:tcBorders>
              <w:bottom w:val="single" w:color="auto" w:sz="4" w:space="0"/>
            </w:tcBorders>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000000" w:themeColor="text1"/>
                <w:szCs w:val="21"/>
                <w:highlight w:val="none"/>
                <w14:textFill>
                  <w14:solidFill>
                    <w14:schemeClr w14:val="tx1"/>
                  </w14:solidFill>
                </w14:textFill>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 w:val="24"/>
          <w:highlight w:val="none"/>
          <w:u w:val="single"/>
          <w14:textFill>
            <w14:solidFill>
              <w14:schemeClr w14:val="tx1"/>
            </w14:solidFill>
          </w14:textFill>
        </w:rPr>
      </w:pPr>
    </w:p>
    <w:p>
      <w:pPr>
        <w:pStyle w:val="46"/>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000000" w:themeColor="text1"/>
          <w:sz w:val="28"/>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4</w:t>
      </w:r>
      <w:r>
        <w:rPr>
          <w:rFonts w:hint="eastAsia" w:ascii="宋体" w:hAnsi="宋体" w:eastAsia="宋体" w:cs="宋体"/>
          <w:b/>
          <w:color w:val="000000" w:themeColor="text1"/>
          <w:sz w:val="28"/>
          <w:highlight w:val="none"/>
          <w14:textFill>
            <w14:solidFill>
              <w14:schemeClr w14:val="tx1"/>
            </w14:solidFill>
          </w14:textFill>
        </w:rPr>
        <w:t xml:space="preserve">                                        </w:t>
      </w:r>
      <w:r>
        <w:rPr>
          <w:rFonts w:hint="eastAsia" w:ascii="宋体" w:hAnsi="宋体" w:eastAsia="宋体" w:cs="宋体"/>
          <w:b/>
          <w:color w:val="000000" w:themeColor="text1"/>
          <w:sz w:val="28"/>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本</w:t>
      </w:r>
    </w:p>
    <w:p>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000000" w:themeColor="text1"/>
          <w:spacing w:val="40"/>
          <w:sz w:val="84"/>
          <w:szCs w:val="84"/>
          <w:highlight w:val="none"/>
          <w14:textFill>
            <w14:solidFill>
              <w14:schemeClr w14:val="tx1"/>
            </w14:solidFill>
          </w14:textFill>
        </w:rPr>
      </w:pP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报</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价</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件</w:t>
      </w:r>
    </w:p>
    <w:p>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000000" w:themeColor="text1"/>
          <w:sz w:val="36"/>
          <w:szCs w:val="36"/>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000000" w:themeColor="text1"/>
          <w:sz w:val="36"/>
          <w:szCs w:val="36"/>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供应商全称（公章）：</w:t>
      </w:r>
    </w:p>
    <w:p>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000000" w:themeColor="text1"/>
          <w:sz w:val="36"/>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000000" w:themeColor="text1"/>
          <w:sz w:val="36"/>
          <w:szCs w:val="32"/>
          <w:highlight w:val="none"/>
          <w14:textFill>
            <w14:solidFill>
              <w14:schemeClr w14:val="tx1"/>
            </w14:solidFill>
          </w14:textFill>
        </w:rPr>
      </w:pPr>
      <w:r>
        <w:rPr>
          <w:rFonts w:hint="eastAsia" w:ascii="宋体" w:hAnsi="宋体" w:eastAsia="宋体" w:cs="宋体"/>
          <w:b/>
          <w:color w:val="000000" w:themeColor="text1"/>
          <w:sz w:val="36"/>
          <w:szCs w:val="32"/>
          <w:highlight w:val="none"/>
          <w14:textFill>
            <w14:solidFill>
              <w14:schemeClr w14:val="tx1"/>
            </w14:solidFill>
          </w14:textFill>
        </w:rPr>
        <w:t>报价文件目录</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1、开标一览表（附件1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2、报价明细表（附件16）</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3、针对报价投标人认为其他需要说明的；</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4、中小企业等声明函（附件17）；（如有需提供）</w:t>
      </w: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pStyle w:val="7"/>
        <w:keepNext w:val="0"/>
        <w:keepLines w:val="0"/>
        <w:pageBreakBefore w:val="0"/>
        <w:kinsoku/>
        <w:wordWrap/>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000000" w:themeColor="text1"/>
          <w:sz w:val="28"/>
          <w:highlight w:val="none"/>
          <w14:textFill>
            <w14:solidFill>
              <w14:schemeClr w14:val="tx1"/>
            </w14:solidFill>
          </w14:textFill>
        </w:rPr>
      </w:pPr>
    </w:p>
    <w:p>
      <w:pPr>
        <w:pStyle w:val="7"/>
        <w:keepNext w:val="0"/>
        <w:keepLines w:val="0"/>
        <w:pageBreakBefore w:val="0"/>
        <w:kinsoku/>
        <w:wordWrap/>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5</w:t>
      </w:r>
    </w:p>
    <w:p>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开标一览表</w:t>
      </w:r>
    </w:p>
    <w:p>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pPr>
        <w:pStyle w:val="11"/>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项目编号：</w:t>
      </w:r>
    </w:p>
    <w:p>
      <w:pPr>
        <w:pStyle w:val="49"/>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14:textFill>
            <w14:solidFill>
              <w14:schemeClr w14:val="tx1"/>
            </w14:solidFill>
          </w14:textFill>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000000" w:themeColor="text1"/>
                <w:szCs w:val="21"/>
                <w:highlight w:val="none"/>
                <w14:textFill>
                  <w14:solidFill>
                    <w14:schemeClr w14:val="tx1"/>
                  </w14:solidFill>
                </w14:textFill>
              </w:rPr>
            </w:pP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填报要求：</w:t>
      </w:r>
    </w:p>
    <w:p>
      <w:pPr>
        <w:pStyle w:val="5"/>
        <w:spacing w:line="360" w:lineRule="auto"/>
        <w:ind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投标总报价包括项目的供货、运输、安装、总体调试、技术培训、税金、验收、售后服务等为完成本次</w:t>
      </w: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涉及的一切费用。</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keepNext w:val="0"/>
        <w:keepLines w:val="0"/>
        <w:pageBreakBefore w:val="0"/>
        <w:kinsoku/>
        <w:wordWrap/>
        <w:overflowPunct/>
        <w:topLinePunct w:val="0"/>
        <w:bidi w:val="0"/>
        <w:spacing w:line="400" w:lineRule="exact"/>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000000" w:themeColor="text1"/>
          <w:sz w:val="28"/>
          <w:highlight w:val="none"/>
          <w14:textFill>
            <w14:solidFill>
              <w14:schemeClr w14:val="tx1"/>
            </w14:solidFill>
          </w14:textFill>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000000" w:themeColor="text1"/>
          <w:sz w:val="28"/>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400" w:lineRule="exact"/>
        <w:outlineLvl w:val="9"/>
        <w:rPr>
          <w:rFonts w:hint="eastAsia" w:ascii="宋体" w:hAnsi="宋体" w:eastAsia="宋体" w:cs="宋体"/>
          <w:bCs/>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6</w:t>
      </w:r>
    </w:p>
    <w:p>
      <w:pPr>
        <w:snapToGrid w:val="0"/>
        <w:spacing w:beforeLines="50" w:after="50"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报价明细表</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11"/>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项目编号：</w:t>
      </w:r>
    </w:p>
    <w:p>
      <w:pPr>
        <w:pStyle w:val="49"/>
        <w:spacing w:line="360" w:lineRule="auto"/>
        <w:ind w:right="480"/>
        <w:jc w:val="left"/>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14:textFill>
            <w14:solidFill>
              <w14:schemeClr w14:val="tx1"/>
            </w14:solidFill>
          </w14:textFill>
        </w:rPr>
        <w:t xml:space="preserve">                                     [货币单位：人民币元]</w:t>
      </w:r>
      <w:r>
        <w:rPr>
          <w:rFonts w:hint="eastAsia" w:ascii="宋体" w:hAnsi="宋体" w:eastAsia="宋体" w:cs="宋体"/>
          <w:color w:val="000000" w:themeColor="text1"/>
          <w:sz w:val="24"/>
          <w:highlight w:val="none"/>
          <w14:textFill>
            <w14:solidFill>
              <w14:schemeClr w14:val="tx1"/>
            </w14:solidFill>
          </w14:textFill>
        </w:rPr>
        <w:t xml:space="preserve">                             </w:t>
      </w:r>
    </w:p>
    <w:tbl>
      <w:tblPr>
        <w:tblStyle w:val="2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18"/>
        <w:gridCol w:w="1397"/>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29"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18"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产品名称</w:t>
            </w:r>
          </w:p>
        </w:tc>
        <w:tc>
          <w:tcPr>
            <w:tcW w:w="1397"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品牌、产地</w:t>
            </w:r>
          </w:p>
        </w:tc>
        <w:tc>
          <w:tcPr>
            <w:tcW w:w="1559" w:type="dxa"/>
            <w:vAlign w:val="center"/>
          </w:tcPr>
          <w:p>
            <w:pPr>
              <w:spacing w:line="360" w:lineRule="auto"/>
              <w:ind w:left="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型号规格</w:t>
            </w:r>
          </w:p>
        </w:tc>
        <w:tc>
          <w:tcPr>
            <w:tcW w:w="851" w:type="dxa"/>
            <w:vAlign w:val="center"/>
          </w:tcPr>
          <w:p>
            <w:pPr>
              <w:spacing w:line="360" w:lineRule="auto"/>
              <w:ind w:left="1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992"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992"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小计</w:t>
            </w:r>
          </w:p>
        </w:tc>
        <w:tc>
          <w:tcPr>
            <w:tcW w:w="709" w:type="dxa"/>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18"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97"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2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18"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97"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2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18"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97"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2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18"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97"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2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18"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97"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合计人民币：大写                               小写</w:t>
            </w:r>
          </w:p>
        </w:tc>
      </w:tr>
    </w:tbl>
    <w:p>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 本表为《开标一览表》的报价明细表，如有缺项、漏项，视为投标</w:t>
      </w:r>
      <w:r>
        <w:rPr>
          <w:rFonts w:hint="eastAsia" w:ascii="宋体" w:hAnsi="宋体" w:eastAsia="宋体" w:cs="宋体"/>
          <w:color w:val="000000" w:themeColor="text1"/>
          <w:szCs w:val="21"/>
          <w:highlight w:val="none"/>
          <w:lang w:val="zh-CN"/>
          <w14:textFill>
            <w14:solidFill>
              <w14:schemeClr w14:val="tx1"/>
            </w14:solidFill>
          </w14:textFill>
        </w:rPr>
        <w:t>总</w:t>
      </w:r>
      <w:bookmarkStart w:id="0" w:name="_GoBack"/>
      <w:bookmarkEnd w:id="0"/>
      <w:r>
        <w:rPr>
          <w:rFonts w:hint="eastAsia" w:ascii="宋体" w:hAnsi="宋体" w:eastAsia="宋体" w:cs="宋体"/>
          <w:color w:val="000000" w:themeColor="text1"/>
          <w:szCs w:val="21"/>
          <w:highlight w:val="none"/>
          <w14:textFill>
            <w14:solidFill>
              <w14:schemeClr w14:val="tx1"/>
            </w14:solidFill>
          </w14:textFill>
        </w:rPr>
        <w:t>报价中已包含相关费用，采购人无需另外支付任何费用。</w:t>
      </w:r>
    </w:p>
    <w:p>
      <w:pPr>
        <w:spacing w:line="360" w:lineRule="auto"/>
        <w:ind w:left="4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60" w:lineRule="auto"/>
        <w:ind w:left="4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pStyle w:val="12"/>
        <w:ind w:left="0" w:leftChars="0" w:firstLine="0" w:firstLineChars="0"/>
        <w:rPr>
          <w:rFonts w:hint="eastAsia" w:ascii="宋体" w:hAnsi="宋体" w:eastAsia="宋体" w:cs="宋体"/>
          <w:color w:val="000000" w:themeColor="text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投标人名称（盖章）：</w:t>
      </w:r>
    </w:p>
    <w:p>
      <w:pPr>
        <w:spacing w:line="360" w:lineRule="auto"/>
        <w:ind w:firstLine="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法定代表人或授权委托代理人（签字或盖章）</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3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p>
    <w:p>
      <w:pPr>
        <w:spacing w:line="400" w:lineRule="exact"/>
        <w:rPr>
          <w:rFonts w:hint="eastAsia" w:ascii="宋体" w:hAnsi="宋体" w:eastAsia="宋体" w:cs="宋体"/>
          <w:b/>
          <w:color w:val="000000" w:themeColor="text1"/>
          <w:sz w:val="28"/>
          <w:highlight w:val="none"/>
          <w14:textFill>
            <w14:solidFill>
              <w14:schemeClr w14:val="tx1"/>
            </w14:solidFill>
          </w14:textFill>
        </w:rPr>
      </w:pPr>
    </w:p>
    <w:p>
      <w:pPr>
        <w:spacing w:line="400" w:lineRule="exact"/>
        <w:outlineLvl w:val="9"/>
        <w:rPr>
          <w:rFonts w:hint="eastAsia" w:ascii="宋体" w:hAnsi="宋体" w:eastAsia="宋体" w:cs="宋体"/>
          <w:b/>
          <w:color w:val="000000" w:themeColor="text1"/>
          <w:sz w:val="28"/>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400" w:lineRule="exact"/>
        <w:outlineLvl w:val="9"/>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eastAsia="宋体" w:cs="宋体"/>
          <w:b/>
          <w:color w:val="000000" w:themeColor="text1"/>
          <w:sz w:val="28"/>
          <w:highlight w:val="none"/>
          <w:lang w:val="en-US" w:eastAsia="zh-CN"/>
          <w14:textFill>
            <w14:solidFill>
              <w14:schemeClr w14:val="tx1"/>
            </w14:solidFill>
          </w14:textFill>
        </w:rPr>
        <w:t>7</w:t>
      </w:r>
    </w:p>
    <w:p>
      <w:pPr>
        <w:snapToGrid w:val="0"/>
        <w:spacing w:beforeLines="50" w:after="50" w:line="360"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w:t>
      </w:r>
    </w:p>
    <w:p>
      <w:pPr>
        <w:pStyle w:val="7"/>
        <w:spacing w:before="5"/>
        <w:rPr>
          <w:rFonts w:hint="eastAsia" w:ascii="宋体" w:hAnsi="宋体" w:eastAsia="宋体" w:cs="宋体"/>
          <w:b/>
          <w:color w:val="000000" w:themeColor="text1"/>
          <w:sz w:val="18"/>
          <w:szCs w:val="18"/>
          <w:highlight w:val="none"/>
          <w14:textFill>
            <w14:solidFill>
              <w14:schemeClr w14:val="tx1"/>
            </w14:solidFill>
          </w14:textFill>
        </w:rPr>
      </w:pP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val="0"/>
          <w:iCs/>
          <w:color w:val="000000" w:themeColor="text1"/>
          <w:sz w:val="21"/>
          <w:szCs w:val="21"/>
          <w:highlight w:val="none"/>
          <w:u w:val="single"/>
          <w14:textFill>
            <w14:solidFill>
              <w14:schemeClr w14:val="tx1"/>
            </w14:solidFill>
          </w14:textFill>
        </w:rPr>
        <w:t>（单位名称）</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i w:val="0"/>
          <w:iCs/>
          <w:color w:val="000000" w:themeColor="text1"/>
          <w:sz w:val="21"/>
          <w:szCs w:val="21"/>
          <w:highlight w:val="none"/>
          <w:u w:val="single"/>
          <w14:textFill>
            <w14:solidFill>
              <w14:schemeClr w14:val="tx1"/>
            </w14:solidFill>
          </w14:textFill>
        </w:rPr>
        <w:t>（项目名称）</w:t>
      </w:r>
      <w:r>
        <w:rPr>
          <w:rFonts w:hint="eastAsia" w:ascii="宋体" w:hAnsi="宋体" w:eastAsia="宋体" w:cs="宋体"/>
          <w:color w:val="000000" w:themeColor="text1"/>
          <w:sz w:val="21"/>
          <w:szCs w:val="21"/>
          <w:highlight w:val="none"/>
          <w14:textFill>
            <w14:solidFill>
              <w14:schemeClr w14:val="tx1"/>
            </w14:solidFill>
          </w14:textFill>
        </w:rPr>
        <w:t>采购活动，</w:t>
      </w:r>
      <w:r>
        <w:rPr>
          <w:rFonts w:hint="eastAsia" w:ascii="宋体" w:hAnsi="宋体" w:eastAsia="宋体" w:cs="宋体"/>
          <w:bCs/>
          <w:color w:val="000000" w:themeColor="text1"/>
          <w:szCs w:val="21"/>
          <w:highlight w:val="none"/>
          <w14:textFill>
            <w14:solidFill>
              <w14:schemeClr w14:val="tx1"/>
            </w14:solidFill>
          </w14:textFill>
        </w:rPr>
        <w:t>提供的货物全部由符合政策要求的中小企业制造</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。相关企业（含联合体中的中小企业、签订分包意向协议的中小企业）的具体情况如下：</w:t>
      </w:r>
    </w:p>
    <w:p>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000000" w:themeColor="text1"/>
          <w:w w:val="99"/>
          <w:sz w:val="21"/>
          <w:szCs w:val="21"/>
          <w:highlight w:val="none"/>
          <w14:textFill>
            <w14:solidFill>
              <w14:schemeClr w14:val="tx1"/>
            </w14:solidFill>
          </w14:textFill>
        </w:rPr>
      </w:pPr>
      <w:r>
        <w:rPr>
          <w:rFonts w:hint="eastAsia" w:ascii="宋体" w:hAnsi="宋体" w:eastAsia="宋体" w:cs="宋体"/>
          <w:iCs/>
          <w:color w:val="000000" w:themeColor="text1"/>
          <w:w w:val="96"/>
          <w:sz w:val="21"/>
          <w:szCs w:val="21"/>
          <w:highlight w:val="none"/>
          <w:lang w:val="en-US" w:eastAsia="zh-CN"/>
          <w14:textFill>
            <w14:solidFill>
              <w14:schemeClr w14:val="tx1"/>
            </w14:solidFill>
          </w14:textFill>
        </w:rPr>
        <w:t>一</w:t>
      </w:r>
      <w:r>
        <w:rPr>
          <w:rFonts w:hint="eastAsia" w:ascii="宋体" w:hAnsi="宋体" w:eastAsia="宋体" w:cs="宋体"/>
          <w:iCs/>
          <w:color w:val="000000" w:themeColor="text1"/>
          <w:w w:val="96"/>
          <w:sz w:val="21"/>
          <w:szCs w:val="21"/>
          <w:highlight w:val="none"/>
          <w:lang w:eastAsia="zh-CN"/>
          <w14:textFill>
            <w14:solidFill>
              <w14:schemeClr w14:val="tx1"/>
            </w14:solidFill>
          </w14:textFill>
        </w:rPr>
        <w:t>、</w:t>
      </w:r>
      <w:r>
        <w:rPr>
          <w:rFonts w:hint="eastAsia" w:ascii="宋体" w:hAnsi="宋体" w:eastAsia="宋体" w:cs="宋体"/>
          <w:i w:val="0"/>
          <w:iCs/>
          <w:color w:val="000000" w:themeColor="text1"/>
          <w:w w:val="96"/>
          <w:sz w:val="21"/>
          <w:szCs w:val="21"/>
          <w:highlight w:val="none"/>
          <w:u w:val="single"/>
          <w14:textFill>
            <w14:solidFill>
              <w14:schemeClr w14:val="tx1"/>
            </w14:solidFill>
          </w14:textFill>
        </w:rPr>
        <w:t>（标的名称）</w:t>
      </w:r>
      <w:r>
        <w:rPr>
          <w:rFonts w:hint="eastAsia" w:ascii="宋体" w:hAnsi="宋体" w:eastAsia="宋体" w:cs="宋体"/>
          <w:color w:val="000000" w:themeColor="text1"/>
          <w:w w:val="99"/>
          <w:sz w:val="21"/>
          <w:szCs w:val="21"/>
          <w:highlight w:val="none"/>
          <w14:textFill>
            <w14:solidFill>
              <w14:schemeClr w14:val="tx1"/>
            </w14:solidFill>
          </w14:textFill>
        </w:rPr>
        <w:t>，属于</w:t>
      </w:r>
      <w:r>
        <w:rPr>
          <w:rFonts w:hint="eastAsia" w:ascii="宋体" w:hAnsi="宋体" w:eastAsia="宋体" w:cs="宋体"/>
          <w:i w:val="0"/>
          <w:iCs/>
          <w:color w:val="000000" w:themeColor="text1"/>
          <w:w w:val="96"/>
          <w:sz w:val="21"/>
          <w:szCs w:val="21"/>
          <w:highlight w:val="none"/>
          <w14:textFill>
            <w14:solidFill>
              <w14:schemeClr w14:val="tx1"/>
            </w14:solidFill>
          </w14:textFill>
        </w:rPr>
        <w:t>（</w:t>
      </w:r>
      <w:r>
        <w:rPr>
          <w:rFonts w:hint="eastAsia" w:ascii="宋体" w:hAnsi="宋体" w:eastAsia="宋体" w:cs="宋体"/>
          <w:i w:val="0"/>
          <w:iCs/>
          <w:color w:val="000000" w:themeColor="text1"/>
          <w:w w:val="96"/>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w w:val="99"/>
          <w:sz w:val="21"/>
          <w:szCs w:val="21"/>
          <w:highlight w:val="none"/>
          <w14:textFill>
            <w14:solidFill>
              <w14:schemeClr w14:val="tx1"/>
            </w14:solidFill>
          </w14:textFill>
        </w:rPr>
        <w:t>；制造商为</w:t>
      </w:r>
      <w:r>
        <w:rPr>
          <w:rFonts w:hint="eastAsia" w:ascii="宋体" w:hAnsi="宋体" w:eastAsia="宋体" w:cs="宋体"/>
          <w:i w:val="0"/>
          <w:iCs/>
          <w:color w:val="000000" w:themeColor="text1"/>
          <w:w w:val="96"/>
          <w:sz w:val="21"/>
          <w:szCs w:val="21"/>
          <w:highlight w:val="none"/>
          <w:u w:val="single"/>
          <w14:textFill>
            <w14:solidFill>
              <w14:schemeClr w14:val="tx1"/>
            </w14:solidFill>
          </w14:textFill>
        </w:rPr>
        <w:t>（企业名称）</w:t>
      </w:r>
      <w:r>
        <w:rPr>
          <w:rFonts w:hint="eastAsia" w:ascii="宋体" w:hAnsi="宋体" w:eastAsia="宋体" w:cs="宋体"/>
          <w:color w:val="000000" w:themeColor="text1"/>
          <w:w w:val="99"/>
          <w:sz w:val="21"/>
          <w:szCs w:val="21"/>
          <w:highlight w:val="none"/>
          <w14:textFill>
            <w14:solidFill>
              <w14:schemeClr w14:val="tx1"/>
            </w14:solidFill>
          </w14:textFill>
        </w:rPr>
        <w:t>，从业人员</w:t>
      </w:r>
      <w:r>
        <w:rPr>
          <w:rFonts w:hint="eastAsia" w:ascii="宋体" w:hAnsi="宋体" w:eastAsia="宋体" w:cs="宋体"/>
          <w:color w:val="000000" w:themeColor="text1"/>
          <w:w w:val="99"/>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w w:val="99"/>
          <w:sz w:val="21"/>
          <w:szCs w:val="21"/>
          <w:highlight w:val="none"/>
          <w14:textFill>
            <w14:solidFill>
              <w14:schemeClr w14:val="tx1"/>
            </w14:solidFill>
          </w14:textFill>
        </w:rPr>
        <w:t>人，营业</w:t>
      </w:r>
      <w:r>
        <w:rPr>
          <w:rFonts w:hint="eastAsia" w:ascii="宋体" w:hAnsi="宋体" w:eastAsia="宋体" w:cs="宋体"/>
          <w:color w:val="000000" w:themeColor="text1"/>
          <w:sz w:val="21"/>
          <w:szCs w:val="21"/>
          <w:highlight w:val="none"/>
          <w14:textFill>
            <w14:solidFill>
              <w14:schemeClr w14:val="tx1"/>
            </w14:solidFill>
          </w14:textFill>
        </w:rPr>
        <w:t>收入为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vertAlign w:val="superscript"/>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i w:val="0"/>
          <w:iCs/>
          <w:color w:val="000000" w:themeColor="text1"/>
          <w:sz w:val="21"/>
          <w:szCs w:val="21"/>
          <w:highlight w:val="none"/>
          <w:u w:val="single"/>
          <w14:textFill>
            <w14:solidFill>
              <w14:schemeClr w14:val="tx1"/>
            </w14:solidFill>
          </w14:textFill>
        </w:rPr>
        <w:t>（中型企业、</w:t>
      </w:r>
      <w:r>
        <w:rPr>
          <w:rFonts w:hint="eastAsia" w:ascii="宋体" w:hAnsi="宋体" w:eastAsia="宋体" w:cs="宋体"/>
          <w:i w:val="0"/>
          <w:iCs/>
          <w:color w:val="000000" w:themeColor="text1"/>
          <w:w w:val="96"/>
          <w:sz w:val="21"/>
          <w:szCs w:val="21"/>
          <w:highlight w:val="none"/>
          <w:u w:val="single"/>
          <w14:textFill>
            <w14:solidFill>
              <w14:schemeClr w14:val="tx1"/>
            </w14:solidFill>
          </w14:textFill>
        </w:rPr>
        <w:t>小型企业、微型企业）</w:t>
      </w:r>
      <w:r>
        <w:rPr>
          <w:rFonts w:hint="eastAsia" w:ascii="宋体" w:hAnsi="宋体" w:eastAsia="宋体" w:cs="宋体"/>
          <w:i w:val="0"/>
          <w:iCs/>
          <w:color w:val="000000" w:themeColor="text1"/>
          <w:w w:val="99"/>
          <w:sz w:val="21"/>
          <w:szCs w:val="21"/>
          <w:highlight w:val="none"/>
          <w14:textFill>
            <w14:solidFill>
              <w14:schemeClr w14:val="tx1"/>
            </w14:solidFill>
          </w14:textFill>
        </w:rPr>
        <w:t>；</w:t>
      </w:r>
    </w:p>
    <w:p>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000000" w:themeColor="text1"/>
          <w:w w:val="99"/>
          <w:sz w:val="21"/>
          <w:szCs w:val="21"/>
          <w:highlight w:val="none"/>
          <w14:textFill>
            <w14:solidFill>
              <w14:schemeClr w14:val="tx1"/>
            </w14:solidFill>
          </w14:textFill>
        </w:rPr>
      </w:pPr>
      <w:r>
        <w:rPr>
          <w:rFonts w:hint="eastAsia" w:ascii="宋体" w:hAnsi="宋体" w:eastAsia="宋体" w:cs="宋体"/>
          <w:iCs/>
          <w:color w:val="000000" w:themeColor="text1"/>
          <w:w w:val="96"/>
          <w:sz w:val="21"/>
          <w:szCs w:val="21"/>
          <w:highlight w:val="none"/>
          <w:lang w:val="en-US" w:eastAsia="zh-CN"/>
          <w14:textFill>
            <w14:solidFill>
              <w14:schemeClr w14:val="tx1"/>
            </w14:solidFill>
          </w14:textFill>
        </w:rPr>
        <w:t>二</w:t>
      </w:r>
      <w:r>
        <w:rPr>
          <w:rFonts w:hint="eastAsia" w:ascii="宋体" w:hAnsi="宋体" w:eastAsia="宋体" w:cs="宋体"/>
          <w:iCs/>
          <w:color w:val="000000" w:themeColor="text1"/>
          <w:w w:val="96"/>
          <w:sz w:val="21"/>
          <w:szCs w:val="21"/>
          <w:highlight w:val="none"/>
          <w:lang w:eastAsia="zh-CN"/>
          <w14:textFill>
            <w14:solidFill>
              <w14:schemeClr w14:val="tx1"/>
            </w14:solidFill>
          </w14:textFill>
        </w:rPr>
        <w:t>、</w:t>
      </w:r>
      <w:r>
        <w:rPr>
          <w:rFonts w:hint="eastAsia" w:ascii="宋体" w:hAnsi="宋体" w:eastAsia="宋体" w:cs="宋体"/>
          <w:i w:val="0"/>
          <w:iCs/>
          <w:color w:val="000000" w:themeColor="text1"/>
          <w:w w:val="96"/>
          <w:sz w:val="21"/>
          <w:szCs w:val="21"/>
          <w:highlight w:val="none"/>
          <w:u w:val="single"/>
          <w14:textFill>
            <w14:solidFill>
              <w14:schemeClr w14:val="tx1"/>
            </w14:solidFill>
          </w14:textFill>
        </w:rPr>
        <w:t>（标的名称）</w:t>
      </w:r>
      <w:r>
        <w:rPr>
          <w:rFonts w:hint="eastAsia" w:ascii="宋体" w:hAnsi="宋体" w:eastAsia="宋体" w:cs="宋体"/>
          <w:color w:val="000000" w:themeColor="text1"/>
          <w:w w:val="99"/>
          <w:sz w:val="21"/>
          <w:szCs w:val="21"/>
          <w:highlight w:val="none"/>
          <w14:textFill>
            <w14:solidFill>
              <w14:schemeClr w14:val="tx1"/>
            </w14:solidFill>
          </w14:textFill>
        </w:rPr>
        <w:t>，属于</w:t>
      </w:r>
      <w:r>
        <w:rPr>
          <w:rFonts w:hint="eastAsia" w:ascii="宋体" w:hAnsi="宋体" w:eastAsia="宋体" w:cs="宋体"/>
          <w:i w:val="0"/>
          <w:iCs/>
          <w:color w:val="000000" w:themeColor="text1"/>
          <w:w w:val="96"/>
          <w:sz w:val="21"/>
          <w:szCs w:val="21"/>
          <w:highlight w:val="none"/>
          <w14:textFill>
            <w14:solidFill>
              <w14:schemeClr w14:val="tx1"/>
            </w14:solidFill>
          </w14:textFill>
        </w:rPr>
        <w:t>（</w:t>
      </w:r>
      <w:r>
        <w:rPr>
          <w:rFonts w:hint="eastAsia" w:ascii="宋体" w:hAnsi="宋体" w:eastAsia="宋体" w:cs="宋体"/>
          <w:i w:val="0"/>
          <w:iCs/>
          <w:color w:val="000000" w:themeColor="text1"/>
          <w:w w:val="96"/>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w w:val="99"/>
          <w:sz w:val="21"/>
          <w:szCs w:val="21"/>
          <w:highlight w:val="none"/>
          <w14:textFill>
            <w14:solidFill>
              <w14:schemeClr w14:val="tx1"/>
            </w14:solidFill>
          </w14:textFill>
        </w:rPr>
        <w:t>；制造商为</w:t>
      </w:r>
      <w:r>
        <w:rPr>
          <w:rFonts w:hint="eastAsia" w:ascii="宋体" w:hAnsi="宋体" w:eastAsia="宋体" w:cs="宋体"/>
          <w:i w:val="0"/>
          <w:iCs/>
          <w:color w:val="000000" w:themeColor="text1"/>
          <w:w w:val="96"/>
          <w:sz w:val="21"/>
          <w:szCs w:val="21"/>
          <w:highlight w:val="none"/>
          <w:u w:val="single"/>
          <w14:textFill>
            <w14:solidFill>
              <w14:schemeClr w14:val="tx1"/>
            </w14:solidFill>
          </w14:textFill>
        </w:rPr>
        <w:t>（企业名称）</w:t>
      </w:r>
      <w:r>
        <w:rPr>
          <w:rFonts w:hint="eastAsia" w:ascii="宋体" w:hAnsi="宋体" w:eastAsia="宋体" w:cs="宋体"/>
          <w:color w:val="000000" w:themeColor="text1"/>
          <w:w w:val="99"/>
          <w:sz w:val="21"/>
          <w:szCs w:val="21"/>
          <w:highlight w:val="none"/>
          <w14:textFill>
            <w14:solidFill>
              <w14:schemeClr w14:val="tx1"/>
            </w14:solidFill>
          </w14:textFill>
        </w:rPr>
        <w:t>，从业人员</w:t>
      </w:r>
      <w:r>
        <w:rPr>
          <w:rFonts w:hint="eastAsia" w:ascii="宋体" w:hAnsi="宋体" w:eastAsia="宋体" w:cs="宋体"/>
          <w:color w:val="000000" w:themeColor="text1"/>
          <w:w w:val="99"/>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w w:val="99"/>
          <w:sz w:val="21"/>
          <w:szCs w:val="21"/>
          <w:highlight w:val="none"/>
          <w14:textFill>
            <w14:solidFill>
              <w14:schemeClr w14:val="tx1"/>
            </w14:solidFill>
          </w14:textFill>
        </w:rPr>
        <w:t>人，营业</w:t>
      </w:r>
      <w:r>
        <w:rPr>
          <w:rFonts w:hint="eastAsia" w:ascii="宋体" w:hAnsi="宋体" w:eastAsia="宋体" w:cs="宋体"/>
          <w:color w:val="000000" w:themeColor="text1"/>
          <w:sz w:val="21"/>
          <w:szCs w:val="21"/>
          <w:highlight w:val="none"/>
          <w14:textFill>
            <w14:solidFill>
              <w14:schemeClr w14:val="tx1"/>
            </w14:solidFill>
          </w14:textFill>
        </w:rPr>
        <w:t>收入为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万元，属于</w:t>
      </w:r>
      <w:r>
        <w:rPr>
          <w:rFonts w:hint="eastAsia" w:ascii="宋体" w:hAnsi="宋体" w:eastAsia="宋体" w:cs="宋体"/>
          <w:i w:val="0"/>
          <w:iCs/>
          <w:color w:val="000000" w:themeColor="text1"/>
          <w:sz w:val="21"/>
          <w:szCs w:val="21"/>
          <w:highlight w:val="none"/>
          <w:u w:val="single"/>
          <w14:textFill>
            <w14:solidFill>
              <w14:schemeClr w14:val="tx1"/>
            </w14:solidFill>
          </w14:textFill>
        </w:rPr>
        <w:t>（中型企业、</w:t>
      </w:r>
      <w:r>
        <w:rPr>
          <w:rFonts w:hint="eastAsia" w:ascii="宋体" w:hAnsi="宋体" w:eastAsia="宋体" w:cs="宋体"/>
          <w:i w:val="0"/>
          <w:iCs/>
          <w:color w:val="000000" w:themeColor="text1"/>
          <w:w w:val="96"/>
          <w:sz w:val="21"/>
          <w:szCs w:val="21"/>
          <w:highlight w:val="none"/>
          <w:u w:val="single"/>
          <w14:textFill>
            <w14:solidFill>
              <w14:schemeClr w14:val="tx1"/>
            </w14:solidFill>
          </w14:textFill>
        </w:rPr>
        <w:t>小型企业、微型企业）</w:t>
      </w:r>
      <w:r>
        <w:rPr>
          <w:rFonts w:hint="eastAsia" w:ascii="宋体" w:hAnsi="宋体" w:eastAsia="宋体" w:cs="宋体"/>
          <w:i w:val="0"/>
          <w:iCs/>
          <w:color w:val="000000" w:themeColor="text1"/>
          <w:w w:val="99"/>
          <w:sz w:val="21"/>
          <w:szCs w:val="21"/>
          <w:highlight w:val="none"/>
          <w14:textFill>
            <w14:solidFill>
              <w14:schemeClr w14:val="tx1"/>
            </w14:solidFill>
          </w14:textFill>
        </w:rPr>
        <w:t>；</w:t>
      </w: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本企业对上述声明内容的真实性负责。如有虚假，将依法承担相应责任。</w:t>
      </w:r>
    </w:p>
    <w:p>
      <w:pPr>
        <w:pStyle w:val="7"/>
        <w:autoSpaceDE w:val="0"/>
        <w:autoSpaceDN w:val="0"/>
        <w:adjustRightInd/>
        <w:spacing w:before="29" w:line="360" w:lineRule="auto"/>
        <w:ind w:left="4060" w:right="-54"/>
        <w:textAlignment w:val="auto"/>
        <w:rPr>
          <w:rFonts w:hint="eastAsia" w:ascii="宋体" w:hAnsi="宋体" w:eastAsia="宋体" w:cs="宋体"/>
          <w:color w:val="000000" w:themeColor="text1"/>
          <w:w w:val="99"/>
          <w:sz w:val="21"/>
          <w:szCs w:val="21"/>
          <w:highlight w:val="none"/>
          <w14:textFill>
            <w14:solidFill>
              <w14:schemeClr w14:val="tx1"/>
            </w14:solidFill>
          </w14:textFill>
        </w:rPr>
      </w:pPr>
    </w:p>
    <w:p>
      <w:pPr>
        <w:pStyle w:val="7"/>
        <w:autoSpaceDE w:val="0"/>
        <w:autoSpaceDN w:val="0"/>
        <w:adjustRightInd/>
        <w:spacing w:before="29" w:line="360" w:lineRule="auto"/>
        <w:ind w:left="4060" w:right="-54"/>
        <w:textAlignment w:val="auto"/>
        <w:rPr>
          <w:rFonts w:hint="eastAsia" w:ascii="宋体" w:hAnsi="宋体" w:eastAsia="宋体" w:cs="宋体"/>
          <w:color w:val="000000" w:themeColor="text1"/>
          <w:w w:val="99"/>
          <w:sz w:val="21"/>
          <w:szCs w:val="21"/>
          <w:highlight w:val="none"/>
          <w14:textFill>
            <w14:solidFill>
              <w14:schemeClr w14:val="tx1"/>
            </w14:solidFill>
          </w14:textFill>
        </w:rPr>
      </w:pPr>
    </w:p>
    <w:p>
      <w:pPr>
        <w:pStyle w:val="7"/>
        <w:autoSpaceDE w:val="0"/>
        <w:autoSpaceDN w:val="0"/>
        <w:adjustRightInd/>
        <w:spacing w:before="29" w:line="360" w:lineRule="auto"/>
        <w:ind w:right="-54" w:firstLine="3990" w:firstLineChars="19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企业名称（盖章）：</w:t>
      </w:r>
    </w:p>
    <w:p>
      <w:pPr>
        <w:pStyle w:val="7"/>
        <w:autoSpaceDE w:val="0"/>
        <w:autoSpaceDN w:val="0"/>
        <w:adjustRightInd/>
        <w:spacing w:before="29" w:line="360" w:lineRule="auto"/>
        <w:ind w:right="-54" w:firstLine="3990" w:firstLineChars="19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p>
    <w:p>
      <w:pPr>
        <w:pStyle w:val="11"/>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从业人员、营业收入、资产总额填报上一年度数据，无上一年度数据的新成立企业可不填报。</w:t>
      </w:r>
    </w:p>
    <w:p>
      <w:pPr>
        <w:pStyle w:val="50"/>
        <w:numPr>
          <w:ilvl w:val="0"/>
          <w:numId w:val="0"/>
        </w:numPr>
        <w:spacing w:line="360" w:lineRule="auto"/>
        <w:ind w:left="403" w:leftChars="0"/>
        <w:jc w:val="both"/>
        <w:rPr>
          <w:rFonts w:hint="eastAsia" w:ascii="宋体" w:hAnsi="宋体" w:eastAsia="宋体" w:cs="宋体"/>
          <w:color w:val="auto"/>
          <w:spacing w:val="20"/>
          <w:kern w:val="0"/>
          <w:szCs w:val="21"/>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20"/>
          <w:kern w:val="0"/>
          <w:szCs w:val="21"/>
          <w:highlight w:val="none"/>
          <w14:textFill>
            <w14:solidFill>
              <w14:schemeClr w14:val="tx1"/>
            </w14:solidFill>
          </w14:textFill>
        </w:rPr>
        <w:t>投标人按各自参加投标的对应标包分别编制、分别成册、分别提</w:t>
      </w:r>
      <w:r>
        <w:rPr>
          <w:rFonts w:hint="eastAsia" w:ascii="宋体" w:hAnsi="宋体" w:eastAsia="宋体" w:cs="宋体"/>
          <w:color w:val="auto"/>
          <w:spacing w:val="20"/>
          <w:kern w:val="0"/>
          <w:szCs w:val="21"/>
        </w:rPr>
        <w:t>交。</w:t>
      </w:r>
    </w:p>
    <w:p>
      <w:pPr>
        <w:pStyle w:val="11"/>
        <w:spacing w:line="360" w:lineRule="auto"/>
        <w:jc w:val="center"/>
        <w:outlineLvl w:val="9"/>
        <w:rPr>
          <w:rFonts w:hint="eastAsia" w:ascii="宋体" w:hAnsi="宋体" w:eastAsia="宋体" w:cs="宋体"/>
          <w:b/>
          <w:sz w:val="32"/>
          <w:szCs w:val="32"/>
          <w:lang w:val="en-GB"/>
        </w:rPr>
      </w:pPr>
    </w:p>
    <w:p>
      <w:pPr>
        <w:pStyle w:val="11"/>
        <w:spacing w:line="360" w:lineRule="auto"/>
        <w:jc w:val="center"/>
        <w:outlineLvl w:val="9"/>
        <w:rPr>
          <w:rFonts w:hint="eastAsia" w:ascii="宋体" w:hAnsi="宋体" w:eastAsia="宋体" w:cs="宋体"/>
          <w:b/>
          <w:sz w:val="32"/>
          <w:szCs w:val="32"/>
          <w:lang w:val="en-GB"/>
        </w:rPr>
      </w:pPr>
    </w:p>
    <w:p>
      <w:pPr>
        <w:pStyle w:val="11"/>
        <w:spacing w:line="360" w:lineRule="auto"/>
        <w:jc w:val="center"/>
        <w:outlineLvl w:val="9"/>
        <w:rPr>
          <w:rFonts w:hint="eastAsia" w:ascii="宋体" w:hAnsi="宋体" w:eastAsia="宋体" w:cs="宋体"/>
          <w:b/>
          <w:sz w:val="32"/>
          <w:szCs w:val="32"/>
          <w:lang w:val="en-GB"/>
        </w:rPr>
        <w:sectPr>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本单位对上述声明的真实性负责。如有虚假，将依法承担相应责任。</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000000" w:themeColor="text1"/>
          <w:spacing w:val="6"/>
          <w:szCs w:val="21"/>
          <w:highlight w:val="none"/>
          <w14:textFill>
            <w14:solidFill>
              <w14:schemeClr w14:val="tx1"/>
            </w14:solidFill>
          </w14:textFill>
        </w:rPr>
      </w:pP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单位名称（盖章）：</w:t>
      </w:r>
    </w:p>
    <w:p>
      <w:pPr>
        <w:keepNext w:val="0"/>
        <w:keepLines w:val="0"/>
        <w:pageBreakBefore w:val="0"/>
        <w:tabs>
          <w:tab w:val="left" w:pos="4860"/>
        </w:tabs>
        <w:kinsoku/>
        <w:wordWrap/>
        <w:overflowPunct/>
        <w:topLinePunct w:val="0"/>
        <w:bidi w:val="0"/>
        <w:spacing w:line="360" w:lineRule="auto"/>
        <w:ind w:right="1560" w:firstLine="420" w:firstLineChars="20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法定代表人（签章）：</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日期：</w:t>
      </w: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pPr>
        <w:pStyle w:val="7"/>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wBL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peR3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HAEtDICAABjBAAADgAAAAAAAAABACAAAAAfAQAAZHJzL2Uyb0RvYy54bWxQSwUG&#10;AAAAAAYABgBZAQAAwwUAAAAA&#10;">
              <v:fill on="f" focussize="0,0"/>
              <v:stroke on="f" weight="0.5pt"/>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物理实验室、准备室、教室多媒体设备采购项目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58CA50F0"/>
    <w:multiLevelType w:val="multilevel"/>
    <w:tmpl w:val="58CA50F0"/>
    <w:lvl w:ilvl="0" w:tentative="0">
      <w:start w:val="1"/>
      <w:numFmt w:val="chineseCounting"/>
      <w:pStyle w:val="3"/>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3">
    <w:nsid w:val="629B37BC"/>
    <w:multiLevelType w:val="singleLevel"/>
    <w:tmpl w:val="629B37BC"/>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NzkxZjU2NDhkZjliZGU5NGE0ZjAyMzhiYzU1MGQifQ=="/>
  </w:docVars>
  <w:rsids>
    <w:rsidRoot w:val="00BE3149"/>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D27694"/>
    <w:rsid w:val="00DD40BE"/>
    <w:rsid w:val="00E04ED8"/>
    <w:rsid w:val="00E873B3"/>
    <w:rsid w:val="00EB0E14"/>
    <w:rsid w:val="00F05701"/>
    <w:rsid w:val="00F3299C"/>
    <w:rsid w:val="00FF74E6"/>
    <w:rsid w:val="014D4625"/>
    <w:rsid w:val="01DC112F"/>
    <w:rsid w:val="01F86678"/>
    <w:rsid w:val="02380D19"/>
    <w:rsid w:val="043F7FC4"/>
    <w:rsid w:val="051F6421"/>
    <w:rsid w:val="065735EF"/>
    <w:rsid w:val="07B44CAA"/>
    <w:rsid w:val="08390248"/>
    <w:rsid w:val="084A3762"/>
    <w:rsid w:val="087F5981"/>
    <w:rsid w:val="09107AD0"/>
    <w:rsid w:val="091240AB"/>
    <w:rsid w:val="094B2DCA"/>
    <w:rsid w:val="09E03F7D"/>
    <w:rsid w:val="09F33DD0"/>
    <w:rsid w:val="0A5541B7"/>
    <w:rsid w:val="0AF64F0D"/>
    <w:rsid w:val="0B5610D9"/>
    <w:rsid w:val="0C3C0FA7"/>
    <w:rsid w:val="0C47494B"/>
    <w:rsid w:val="0D1F4CD0"/>
    <w:rsid w:val="0D9A128E"/>
    <w:rsid w:val="0DD32101"/>
    <w:rsid w:val="0E3E237D"/>
    <w:rsid w:val="0E876F3F"/>
    <w:rsid w:val="0EED4D1A"/>
    <w:rsid w:val="0F7812F7"/>
    <w:rsid w:val="0F7E6199"/>
    <w:rsid w:val="0FE74D1C"/>
    <w:rsid w:val="102A177E"/>
    <w:rsid w:val="10452B67"/>
    <w:rsid w:val="10860B6D"/>
    <w:rsid w:val="10B90D80"/>
    <w:rsid w:val="10FE3F07"/>
    <w:rsid w:val="121665CB"/>
    <w:rsid w:val="12EC03CE"/>
    <w:rsid w:val="13030379"/>
    <w:rsid w:val="13F45D5A"/>
    <w:rsid w:val="14121E8F"/>
    <w:rsid w:val="15D17152"/>
    <w:rsid w:val="168339D9"/>
    <w:rsid w:val="171D6CDD"/>
    <w:rsid w:val="17461D47"/>
    <w:rsid w:val="17536644"/>
    <w:rsid w:val="176F1112"/>
    <w:rsid w:val="177873A9"/>
    <w:rsid w:val="17B91B1C"/>
    <w:rsid w:val="17D2330C"/>
    <w:rsid w:val="18C150E9"/>
    <w:rsid w:val="18F86036"/>
    <w:rsid w:val="18FD0DAA"/>
    <w:rsid w:val="199855EB"/>
    <w:rsid w:val="19CE3838"/>
    <w:rsid w:val="1A076244"/>
    <w:rsid w:val="1A9F353B"/>
    <w:rsid w:val="1AE87493"/>
    <w:rsid w:val="1C6D212E"/>
    <w:rsid w:val="1C7E5C21"/>
    <w:rsid w:val="1CC61F19"/>
    <w:rsid w:val="1D1B615D"/>
    <w:rsid w:val="1D465475"/>
    <w:rsid w:val="1D9F0F48"/>
    <w:rsid w:val="1DB05BC4"/>
    <w:rsid w:val="1EE2639F"/>
    <w:rsid w:val="1F162724"/>
    <w:rsid w:val="1F710EEF"/>
    <w:rsid w:val="201C7B31"/>
    <w:rsid w:val="20CA13E8"/>
    <w:rsid w:val="20ED3C16"/>
    <w:rsid w:val="224700DF"/>
    <w:rsid w:val="22F6774D"/>
    <w:rsid w:val="25C5310A"/>
    <w:rsid w:val="26353EFB"/>
    <w:rsid w:val="264E6CBF"/>
    <w:rsid w:val="268A11D4"/>
    <w:rsid w:val="28FA6455"/>
    <w:rsid w:val="29367CF7"/>
    <w:rsid w:val="29861651"/>
    <w:rsid w:val="2A1E1287"/>
    <w:rsid w:val="2A906C13"/>
    <w:rsid w:val="2C3E0BB8"/>
    <w:rsid w:val="2D9D0807"/>
    <w:rsid w:val="2E1924DD"/>
    <w:rsid w:val="2EDB6BDD"/>
    <w:rsid w:val="2F7B1BB4"/>
    <w:rsid w:val="2F8D29B1"/>
    <w:rsid w:val="30EB3632"/>
    <w:rsid w:val="31AC7EA8"/>
    <w:rsid w:val="31D71BF0"/>
    <w:rsid w:val="323740AF"/>
    <w:rsid w:val="32A94534"/>
    <w:rsid w:val="33413EC8"/>
    <w:rsid w:val="33554436"/>
    <w:rsid w:val="339E2128"/>
    <w:rsid w:val="34772ADD"/>
    <w:rsid w:val="34855134"/>
    <w:rsid w:val="355B2A13"/>
    <w:rsid w:val="355D5C9E"/>
    <w:rsid w:val="362E4F22"/>
    <w:rsid w:val="36D706BD"/>
    <w:rsid w:val="37584051"/>
    <w:rsid w:val="37E4758B"/>
    <w:rsid w:val="38113AA0"/>
    <w:rsid w:val="38DF1EBC"/>
    <w:rsid w:val="39F2758E"/>
    <w:rsid w:val="3A316D41"/>
    <w:rsid w:val="3A7A6F1E"/>
    <w:rsid w:val="3AAB53A6"/>
    <w:rsid w:val="3B194DD7"/>
    <w:rsid w:val="3B64677C"/>
    <w:rsid w:val="3C6623F3"/>
    <w:rsid w:val="3CFB677E"/>
    <w:rsid w:val="3E41042A"/>
    <w:rsid w:val="3E642B43"/>
    <w:rsid w:val="3E6F7B1E"/>
    <w:rsid w:val="3F1D6D60"/>
    <w:rsid w:val="3F654DFF"/>
    <w:rsid w:val="3F95513E"/>
    <w:rsid w:val="40323C0C"/>
    <w:rsid w:val="40CB4E3C"/>
    <w:rsid w:val="41ED1EFE"/>
    <w:rsid w:val="42A16F0F"/>
    <w:rsid w:val="434118E3"/>
    <w:rsid w:val="4364349F"/>
    <w:rsid w:val="43AD217F"/>
    <w:rsid w:val="452A1319"/>
    <w:rsid w:val="458B72B5"/>
    <w:rsid w:val="461E127D"/>
    <w:rsid w:val="46705FC0"/>
    <w:rsid w:val="46D0725A"/>
    <w:rsid w:val="475E4A07"/>
    <w:rsid w:val="4797223C"/>
    <w:rsid w:val="479B0ADE"/>
    <w:rsid w:val="47C11F07"/>
    <w:rsid w:val="47CA1CAB"/>
    <w:rsid w:val="47E146F9"/>
    <w:rsid w:val="48790590"/>
    <w:rsid w:val="48D11615"/>
    <w:rsid w:val="4BD6102D"/>
    <w:rsid w:val="4C61282B"/>
    <w:rsid w:val="4CF72E0A"/>
    <w:rsid w:val="4D0D668F"/>
    <w:rsid w:val="4DFA74A7"/>
    <w:rsid w:val="4E007FCD"/>
    <w:rsid w:val="4E0A1174"/>
    <w:rsid w:val="4E3623E0"/>
    <w:rsid w:val="4F632809"/>
    <w:rsid w:val="4F9A7897"/>
    <w:rsid w:val="4FEE56B8"/>
    <w:rsid w:val="507706BC"/>
    <w:rsid w:val="50AC68A4"/>
    <w:rsid w:val="50BA0004"/>
    <w:rsid w:val="50D628CB"/>
    <w:rsid w:val="527E3804"/>
    <w:rsid w:val="541425E1"/>
    <w:rsid w:val="54673386"/>
    <w:rsid w:val="54CF56D2"/>
    <w:rsid w:val="54EB286B"/>
    <w:rsid w:val="553E5FE2"/>
    <w:rsid w:val="557C0E2E"/>
    <w:rsid w:val="55AE418F"/>
    <w:rsid w:val="56CE797F"/>
    <w:rsid w:val="57AC5925"/>
    <w:rsid w:val="57AE5C45"/>
    <w:rsid w:val="57EC0DFD"/>
    <w:rsid w:val="5801790F"/>
    <w:rsid w:val="585D74AD"/>
    <w:rsid w:val="58D35C9F"/>
    <w:rsid w:val="58E305F4"/>
    <w:rsid w:val="5A717E39"/>
    <w:rsid w:val="5ABB38B2"/>
    <w:rsid w:val="5CF64375"/>
    <w:rsid w:val="5D191106"/>
    <w:rsid w:val="5D683466"/>
    <w:rsid w:val="5DD241F2"/>
    <w:rsid w:val="5ECD0CBA"/>
    <w:rsid w:val="5EEE1974"/>
    <w:rsid w:val="609212B4"/>
    <w:rsid w:val="60CA0DE4"/>
    <w:rsid w:val="61EE3878"/>
    <w:rsid w:val="622136D2"/>
    <w:rsid w:val="62821D6C"/>
    <w:rsid w:val="62F63414"/>
    <w:rsid w:val="63932A29"/>
    <w:rsid w:val="6406501C"/>
    <w:rsid w:val="64826984"/>
    <w:rsid w:val="650F02D7"/>
    <w:rsid w:val="66123FF3"/>
    <w:rsid w:val="66950943"/>
    <w:rsid w:val="66E4630A"/>
    <w:rsid w:val="673E235F"/>
    <w:rsid w:val="673F0D45"/>
    <w:rsid w:val="6AD211AF"/>
    <w:rsid w:val="6B0242A5"/>
    <w:rsid w:val="6B381523"/>
    <w:rsid w:val="6C9E744C"/>
    <w:rsid w:val="6D643BB1"/>
    <w:rsid w:val="6E45768A"/>
    <w:rsid w:val="6EFF1686"/>
    <w:rsid w:val="6F4A7ADD"/>
    <w:rsid w:val="6F52577A"/>
    <w:rsid w:val="6FB47993"/>
    <w:rsid w:val="6FEE010C"/>
    <w:rsid w:val="6FF23A7F"/>
    <w:rsid w:val="70887011"/>
    <w:rsid w:val="70E461FA"/>
    <w:rsid w:val="70FE4ED4"/>
    <w:rsid w:val="71882F15"/>
    <w:rsid w:val="71892976"/>
    <w:rsid w:val="71C36744"/>
    <w:rsid w:val="720C7DC2"/>
    <w:rsid w:val="73830D52"/>
    <w:rsid w:val="738C65D7"/>
    <w:rsid w:val="743D357C"/>
    <w:rsid w:val="748266FC"/>
    <w:rsid w:val="74BB1228"/>
    <w:rsid w:val="74E47274"/>
    <w:rsid w:val="7501454E"/>
    <w:rsid w:val="75514582"/>
    <w:rsid w:val="759A4515"/>
    <w:rsid w:val="76092670"/>
    <w:rsid w:val="76462F27"/>
    <w:rsid w:val="767D593D"/>
    <w:rsid w:val="770A7D21"/>
    <w:rsid w:val="78867147"/>
    <w:rsid w:val="78DC3E7D"/>
    <w:rsid w:val="78E41C51"/>
    <w:rsid w:val="79030811"/>
    <w:rsid w:val="791A081E"/>
    <w:rsid w:val="7929784F"/>
    <w:rsid w:val="7A4B44FC"/>
    <w:rsid w:val="7A7A1CA8"/>
    <w:rsid w:val="7B264035"/>
    <w:rsid w:val="7B376CA9"/>
    <w:rsid w:val="7BEB0099"/>
    <w:rsid w:val="7BFE39DD"/>
    <w:rsid w:val="7C710949"/>
    <w:rsid w:val="7D1C2FB9"/>
    <w:rsid w:val="7E4E7602"/>
    <w:rsid w:val="7F1A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2">
    <w:name w:val="heading 2"/>
    <w:basedOn w:val="1"/>
    <w:next w:val="1"/>
    <w:autoRedefine/>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4">
    <w:name w:val="heading 3"/>
    <w:basedOn w:val="1"/>
    <w:next w:val="1"/>
    <w:autoRedefine/>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62"/>
    <w:autoRedefine/>
    <w:qFormat/>
    <w:uiPriority w:val="0"/>
    <w:pPr>
      <w:jc w:val="left"/>
    </w:pPr>
  </w:style>
  <w:style w:type="paragraph" w:styleId="7">
    <w:name w:val="Body Text"/>
    <w:basedOn w:val="1"/>
    <w:next w:val="8"/>
    <w:link w:val="33"/>
    <w:autoRedefine/>
    <w:semiHidden/>
    <w:unhideWhenUsed/>
    <w:qFormat/>
    <w:uiPriority w:val="99"/>
    <w:pPr>
      <w:spacing w:after="120"/>
    </w:pPr>
  </w:style>
  <w:style w:type="paragraph" w:styleId="8">
    <w:name w:val="Body Text First Indent"/>
    <w:basedOn w:val="7"/>
    <w:next w:val="1"/>
    <w:autoRedefine/>
    <w:qFormat/>
    <w:uiPriority w:val="0"/>
    <w:pPr>
      <w:ind w:firstLine="420" w:firstLineChars="100"/>
    </w:pPr>
  </w:style>
  <w:style w:type="paragraph" w:styleId="9">
    <w:name w:val="Body Text Indent"/>
    <w:basedOn w:val="1"/>
    <w:next w:val="1"/>
    <w:link w:val="34"/>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150" w:rightChars="-150" w:firstLine="480" w:firstLineChars="200"/>
    </w:pPr>
    <w:rPr>
      <w:rFonts w:ascii="宋体"/>
      <w:sz w:val="24"/>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5"/>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2"/>
    <w:basedOn w:val="1"/>
    <w:next w:val="1"/>
    <w:autoRedefine/>
    <w:qFormat/>
    <w:uiPriority w:val="0"/>
    <w:pPr>
      <w:tabs>
        <w:tab w:val="right" w:leader="dot" w:pos="10070"/>
      </w:tabs>
      <w:spacing w:line="480" w:lineRule="auto"/>
      <w:ind w:left="200" w:leftChars="200"/>
    </w:p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6"/>
    <w:next w:val="6"/>
    <w:link w:val="63"/>
    <w:autoRedefine/>
    <w:semiHidden/>
    <w:unhideWhenUsed/>
    <w:qFormat/>
    <w:uiPriority w:val="99"/>
    <w:rPr>
      <w:b/>
      <w:bCs/>
    </w:rPr>
  </w:style>
  <w:style w:type="paragraph" w:styleId="21">
    <w:name w:val="Body Text First Indent 2"/>
    <w:basedOn w:val="9"/>
    <w:autoRedefine/>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character" w:styleId="28">
    <w:name w:val="annotation reference"/>
    <w:basedOn w:val="24"/>
    <w:autoRedefine/>
    <w:semiHidden/>
    <w:unhideWhenUsed/>
    <w:qFormat/>
    <w:uiPriority w:val="99"/>
    <w:rPr>
      <w:sz w:val="21"/>
      <w:szCs w:val="21"/>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Normal Indent1"/>
    <w:basedOn w:val="1"/>
    <w:autoRedefine/>
    <w:qFormat/>
    <w:uiPriority w:val="0"/>
    <w:pPr>
      <w:ind w:firstLine="420" w:firstLineChars="200"/>
    </w:pPr>
  </w:style>
  <w:style w:type="character" w:customStyle="1" w:styleId="31">
    <w:name w:val="页眉 Char"/>
    <w:basedOn w:val="24"/>
    <w:link w:val="15"/>
    <w:autoRedefine/>
    <w:qFormat/>
    <w:uiPriority w:val="99"/>
    <w:rPr>
      <w:sz w:val="18"/>
      <w:szCs w:val="18"/>
    </w:rPr>
  </w:style>
  <w:style w:type="character" w:customStyle="1" w:styleId="32">
    <w:name w:val="页脚 Char"/>
    <w:basedOn w:val="24"/>
    <w:link w:val="14"/>
    <w:autoRedefine/>
    <w:qFormat/>
    <w:uiPriority w:val="99"/>
    <w:rPr>
      <w:sz w:val="18"/>
      <w:szCs w:val="18"/>
    </w:rPr>
  </w:style>
  <w:style w:type="character" w:customStyle="1" w:styleId="33">
    <w:name w:val="正文文本 Char"/>
    <w:basedOn w:val="24"/>
    <w:link w:val="7"/>
    <w:autoRedefine/>
    <w:semiHidden/>
    <w:qFormat/>
    <w:uiPriority w:val="99"/>
    <w:rPr>
      <w:rFonts w:ascii="Times New Roman" w:hAnsi="Times New Roman" w:eastAsia="宋体" w:cs="Times New Roman"/>
      <w:szCs w:val="24"/>
    </w:rPr>
  </w:style>
  <w:style w:type="character" w:customStyle="1" w:styleId="34">
    <w:name w:val="正文文本缩进 Char"/>
    <w:basedOn w:val="24"/>
    <w:link w:val="9"/>
    <w:autoRedefine/>
    <w:qFormat/>
    <w:uiPriority w:val="99"/>
    <w:rPr>
      <w:rFonts w:ascii="Times New Roman" w:hAnsi="Times New Roman" w:eastAsia="宋体" w:cs="Times New Roman"/>
      <w:szCs w:val="24"/>
    </w:rPr>
  </w:style>
  <w:style w:type="character" w:customStyle="1" w:styleId="35">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7"/>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style>
  <w:style w:type="paragraph" w:customStyle="1" w:styleId="55">
    <w:name w:val="正文（首行缩进2字符）"/>
    <w:basedOn w:val="1"/>
    <w:autoRedefine/>
    <w:qFormat/>
    <w:uiPriority w:val="0"/>
    <w:pPr>
      <w:ind w:firstLine="480" w:firstLineChars="200"/>
    </w:pPr>
    <w:rPr>
      <w:sz w:val="24"/>
      <w:szCs w:val="20"/>
    </w:rPr>
  </w:style>
  <w:style w:type="paragraph" w:customStyle="1" w:styleId="56">
    <w:name w:val="ssfa 正文"/>
    <w:basedOn w:val="1"/>
    <w:autoRedefine/>
    <w:qFormat/>
    <w:uiPriority w:val="0"/>
    <w:pPr>
      <w:spacing w:line="360" w:lineRule="auto"/>
      <w:ind w:firstLine="200" w:firstLineChars="200"/>
    </w:pPr>
    <w:rPr>
      <w:kern w:val="0"/>
      <w:sz w:val="24"/>
      <w:szCs w:val="28"/>
      <w:lang w:val="zh-CN"/>
    </w:rPr>
  </w:style>
  <w:style w:type="character" w:customStyle="1" w:styleId="57">
    <w:name w:val="NormalCharacter"/>
    <w:autoRedefine/>
    <w:semiHidden/>
    <w:qFormat/>
    <w:uiPriority w:val="0"/>
  </w:style>
  <w:style w:type="paragraph" w:customStyle="1" w:styleId="58">
    <w:name w:val="Body Text First Indent Char Char"/>
    <w:basedOn w:val="1"/>
    <w:autoRedefine/>
    <w:qFormat/>
    <w:uiPriority w:val="0"/>
    <w:pPr>
      <w:spacing w:after="120"/>
      <w:ind w:firstLine="100" w:firstLineChars="100"/>
    </w:pPr>
    <w:rPr>
      <w:rFonts w:cs="宋体"/>
      <w:szCs w:val="21"/>
    </w:rPr>
  </w:style>
  <w:style w:type="paragraph" w:customStyle="1" w:styleId="59">
    <w:name w:val="列出段落1"/>
    <w:basedOn w:val="1"/>
    <w:autoRedefine/>
    <w:qFormat/>
    <w:uiPriority w:val="34"/>
    <w:pPr>
      <w:ind w:firstLine="420" w:firstLineChars="200"/>
    </w:pPr>
  </w:style>
  <w:style w:type="paragraph" w:customStyle="1" w:styleId="60">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61">
    <w:name w:val="Table Paragraph"/>
    <w:basedOn w:val="1"/>
    <w:autoRedefine/>
    <w:qFormat/>
    <w:uiPriority w:val="1"/>
    <w:pPr>
      <w:jc w:val="left"/>
    </w:pPr>
    <w:rPr>
      <w:kern w:val="0"/>
      <w:sz w:val="22"/>
      <w:lang w:eastAsia="en-US"/>
    </w:rPr>
  </w:style>
  <w:style w:type="character" w:customStyle="1" w:styleId="62">
    <w:name w:val="批注文字 Char"/>
    <w:basedOn w:val="24"/>
    <w:link w:val="6"/>
    <w:autoRedefine/>
    <w:qFormat/>
    <w:uiPriority w:val="0"/>
    <w:rPr>
      <w:kern w:val="2"/>
      <w:sz w:val="21"/>
      <w:szCs w:val="24"/>
    </w:rPr>
  </w:style>
  <w:style w:type="character" w:customStyle="1" w:styleId="63">
    <w:name w:val="批注主题 Char"/>
    <w:basedOn w:val="62"/>
    <w:link w:val="20"/>
    <w:autoRedefine/>
    <w:semiHidden/>
    <w:qFormat/>
    <w:uiPriority w:val="99"/>
    <w:rPr>
      <w:b/>
      <w:bCs/>
      <w:kern w:val="2"/>
      <w:sz w:val="21"/>
      <w:szCs w:val="24"/>
    </w:rPr>
  </w:style>
  <w:style w:type="paragraph" w:customStyle="1" w:styleId="64">
    <w:name w:val="正文首行缩进1"/>
    <w:basedOn w:val="7"/>
    <w:autoRedefine/>
    <w:qFormat/>
    <w:uiPriority w:val="0"/>
    <w:pPr>
      <w:ind w:firstLine="420" w:firstLineChars="100"/>
    </w:pPr>
  </w:style>
  <w:style w:type="paragraph" w:customStyle="1" w:styleId="65">
    <w:name w:val="纯文本1"/>
    <w:basedOn w:val="52"/>
    <w:autoRedefine/>
    <w:qFormat/>
    <w:uiPriority w:val="0"/>
    <w:pPr>
      <w:widowControl/>
      <w:jc w:val="left"/>
    </w:pPr>
    <w:rPr>
      <w:rFonts w:ascii="宋体" w:hAnsi="Courier New"/>
      <w:szCs w:val="20"/>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签发人"/>
    <w:basedOn w:val="1"/>
    <w:autoRedefine/>
    <w:qFormat/>
    <w:uiPriority w:val="0"/>
    <w:rPr>
      <w:rFonts w:eastAsia="楷体"/>
      <w:sz w:val="32"/>
    </w:rPr>
  </w:style>
  <w:style w:type="paragraph" w:customStyle="1" w:styleId="68">
    <w:name w:val="表格文本"/>
    <w:basedOn w:val="1"/>
    <w:autoRedefine/>
    <w:qFormat/>
    <w:uiPriority w:val="0"/>
    <w:pPr>
      <w:spacing w:before="120" w:after="120"/>
    </w:pPr>
    <w:rPr>
      <w:rFonts w:cs="黑体"/>
      <w:szCs w:val="21"/>
    </w:rPr>
  </w:style>
  <w:style w:type="character" w:customStyle="1" w:styleId="69">
    <w:name w:val="font61"/>
    <w:basedOn w:val="24"/>
    <w:autoRedefine/>
    <w:qFormat/>
    <w:uiPriority w:val="0"/>
    <w:rPr>
      <w:rFonts w:hint="eastAsia" w:ascii="宋体" w:hAnsi="宋体" w:eastAsia="宋体" w:cs="宋体"/>
      <w:color w:val="000000"/>
      <w:sz w:val="20"/>
      <w:szCs w:val="20"/>
      <w:u w:val="none"/>
    </w:rPr>
  </w:style>
  <w:style w:type="character" w:customStyle="1" w:styleId="70">
    <w:name w:val="font131"/>
    <w:basedOn w:val="24"/>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49885</Words>
  <Characters>55287</Characters>
  <Lines>211</Lines>
  <Paragraphs>59</Paragraphs>
  <TotalTime>1</TotalTime>
  <ScaleCrop>false</ScaleCrop>
  <LinksUpToDate>false</LinksUpToDate>
  <CharactersWithSpaces>56451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cp:lastPrinted>2020-11-27T08:28:00Z</cp:lastPrinted>
  <dcterms:modified xsi:type="dcterms:W3CDTF">2024-05-23T09:27:46Z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AF19EA930DAD40B794826926421EE833</vt:lpwstr>
  </property>
  <property fmtid="{D5CDD505-2E9C-101B-9397-08002B2CF9AE}" pid="4" name="commondata">
    <vt:lpwstr>eyJoZGlkIjoiNmNiNWQzMTIyZDkyNWQ5MzYxMmQ5MTE1ZmU3YjE0M2QifQ==</vt:lpwstr>
  </property>
</Properties>
</file>