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color w:val="auto"/>
          <w:highlight w:val="none"/>
        </w:rPr>
      </w:pPr>
    </w:p>
    <w:p>
      <w:pPr>
        <w:pStyle w:val="4"/>
        <w:jc w:val="center"/>
        <w:rPr>
          <w:color w:val="auto"/>
          <w:highlight w:val="none"/>
        </w:rPr>
      </w:pPr>
      <w:r>
        <w:rPr>
          <w:color w:val="auto"/>
          <w:highlight w:val="none"/>
        </w:rPr>
        <w:drawing>
          <wp:inline distT="0" distB="0" distL="114300" distR="114300">
            <wp:extent cx="5268595" cy="2705100"/>
            <wp:effectExtent l="0" t="0" r="8255" b="0"/>
            <wp:docPr id="1"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文件\中石化费用账单\九峰加油站\2020\永安HY logo.png"/>
                    <pic:cNvPicPr>
                      <a:picLocks noChangeAspect="1"/>
                    </pic:cNvPicPr>
                  </pic:nvPicPr>
                  <pic:blipFill>
                    <a:blip r:embed="rId10"/>
                    <a:stretch>
                      <a:fillRect/>
                    </a:stretch>
                  </pic:blipFill>
                  <pic:spPr>
                    <a:xfrm>
                      <a:off x="0" y="0"/>
                      <a:ext cx="5268595" cy="2705100"/>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Theme="majorEastAsia" w:hAnsiTheme="majorEastAsia" w:eastAsiaTheme="majorEastAsia"/>
          <w:b/>
          <w:color w:val="auto"/>
          <w:kern w:val="0"/>
          <w:sz w:val="72"/>
          <w:szCs w:val="72"/>
          <w:highlight w:val="none"/>
        </w:rPr>
      </w:pPr>
      <w:r>
        <w:rPr>
          <w:rFonts w:hint="eastAsia" w:asciiTheme="majorEastAsia" w:hAnsiTheme="majorEastAsia" w:eastAsiaTheme="majorEastAsia"/>
          <w:b/>
          <w:color w:val="auto"/>
          <w:kern w:val="0"/>
          <w:sz w:val="72"/>
          <w:szCs w:val="72"/>
          <w:highlight w:val="none"/>
        </w:rPr>
        <w:t xml:space="preserve">   政府采购招标文件</w:t>
      </w:r>
    </w:p>
    <w:p>
      <w:pPr>
        <w:spacing w:line="360" w:lineRule="auto"/>
        <w:jc w:val="center"/>
        <w:rPr>
          <w:rFonts w:ascii="宋体"/>
          <w:color w:val="auto"/>
          <w:kern w:val="0"/>
          <w:sz w:val="28"/>
          <w:szCs w:val="28"/>
          <w:highlight w:val="none"/>
        </w:rPr>
      </w:pPr>
      <w:r>
        <w:rPr>
          <w:rFonts w:hint="eastAsia" w:ascii="宋体"/>
          <w:b/>
          <w:bCs/>
          <w:color w:val="auto"/>
          <w:kern w:val="0"/>
          <w:sz w:val="32"/>
          <w:szCs w:val="32"/>
          <w:highlight w:val="none"/>
        </w:rPr>
        <w:t>（电子招投标方式）</w:t>
      </w:r>
    </w:p>
    <w:p>
      <w:pPr>
        <w:spacing w:line="360" w:lineRule="auto"/>
        <w:jc w:val="center"/>
        <w:rPr>
          <w:rFonts w:ascii="仿宋" w:hAnsi="仿宋"/>
          <w:b/>
          <w:color w:val="auto"/>
          <w:kern w:val="0"/>
          <w:sz w:val="28"/>
          <w:szCs w:val="28"/>
          <w:highlight w:val="none"/>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zjhy2022-tz25</w:t>
      </w:r>
      <w:r>
        <w:rPr>
          <w:rFonts w:hint="eastAsia" w:ascii="宋体"/>
          <w:color w:val="auto"/>
          <w:kern w:val="0"/>
          <w:sz w:val="28"/>
          <w:szCs w:val="28"/>
          <w:highlight w:val="none"/>
          <w:u w:val="single"/>
        </w:rPr>
        <w:t xml:space="preserve"> </w:t>
      </w:r>
    </w:p>
    <w:p>
      <w:pPr>
        <w:pStyle w:val="4"/>
        <w:jc w:val="center"/>
        <w:rPr>
          <w:color w:val="auto"/>
          <w:highlight w:val="none"/>
        </w:rPr>
      </w:pPr>
    </w:p>
    <w:p>
      <w:pPr>
        <w:pStyle w:val="4"/>
        <w:jc w:val="center"/>
        <w:rPr>
          <w:color w:val="auto"/>
          <w:highlight w:val="none"/>
        </w:rPr>
      </w:pPr>
    </w:p>
    <w:p>
      <w:pPr>
        <w:spacing w:line="360" w:lineRule="auto"/>
        <w:ind w:left="1405" w:hanging="1405" w:hangingChars="500"/>
        <w:jc w:val="center"/>
        <w:rPr>
          <w:rFonts w:hint="eastAsia" w:eastAsia="宋体"/>
          <w:color w:val="auto"/>
          <w:highlight w:val="none"/>
          <w:lang w:eastAsia="zh-CN"/>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台州金清水系流域共治实施方案项目</w:t>
      </w:r>
    </w:p>
    <w:p>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台州市生态环境局</w:t>
      </w:r>
    </w:p>
    <w:p>
      <w:pPr>
        <w:pStyle w:val="4"/>
        <w:rPr>
          <w:color w:val="auto"/>
          <w:highlight w:val="none"/>
        </w:rPr>
      </w:pPr>
    </w:p>
    <w:p>
      <w:pPr>
        <w:pStyle w:val="4"/>
        <w:rPr>
          <w:color w:val="auto"/>
          <w:highlight w:val="none"/>
        </w:rPr>
      </w:pPr>
    </w:p>
    <w:p>
      <w:pPr>
        <w:pStyle w:val="5"/>
        <w:rPr>
          <w:color w:val="auto"/>
          <w:highlight w:val="none"/>
        </w:rPr>
      </w:pPr>
    </w:p>
    <w:p>
      <w:pPr>
        <w:spacing w:line="360" w:lineRule="auto"/>
        <w:ind w:firstLine="1405" w:firstLineChars="500"/>
        <w:rPr>
          <w:rFonts w:hint="eastAsia" w:eastAsia="宋体"/>
          <w:color w:val="auto"/>
          <w:highlight w:val="none"/>
          <w:lang w:eastAsia="zh-CN"/>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lang w:eastAsia="zh-CN"/>
        </w:rPr>
        <w:t>浙江汇永工程咨询有限公司</w:t>
      </w:r>
    </w:p>
    <w:p>
      <w:pPr>
        <w:pStyle w:val="4"/>
        <w:jc w:val="center"/>
        <w:rPr>
          <w:rFonts w:hint="eastAsia" w:ascii="宋体" w:eastAsia="宋体"/>
          <w:color w:val="auto"/>
          <w:kern w:val="0"/>
          <w:szCs w:val="21"/>
          <w:highlight w:val="none"/>
          <w:lang w:eastAsia="zh-CN"/>
        </w:rPr>
      </w:pPr>
      <w:r>
        <w:rPr>
          <w:rFonts w:hint="eastAsia" w:ascii="宋体"/>
          <w:color w:val="auto"/>
          <w:kern w:val="0"/>
          <w:sz w:val="28"/>
          <w:szCs w:val="28"/>
          <w:highlight w:val="none"/>
          <w:lang w:eastAsia="zh-CN"/>
        </w:rPr>
        <w:t>二○二二年七月</w:t>
      </w:r>
    </w:p>
    <w:p>
      <w:pPr>
        <w:pStyle w:val="4"/>
        <w:jc w:val="center"/>
        <w:rPr>
          <w:rFonts w:ascii="宋体"/>
          <w:color w:val="auto"/>
          <w:kern w:val="0"/>
          <w:szCs w:val="21"/>
          <w:highlight w:val="none"/>
        </w:rPr>
      </w:pPr>
    </w:p>
    <w:p>
      <w:pPr>
        <w:pStyle w:val="4"/>
        <w:rPr>
          <w:color w:val="auto"/>
          <w:highlight w:val="none"/>
        </w:rPr>
      </w:pPr>
    </w:p>
    <w:p>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rPr>
          <w:rFonts w:ascii="新宋体" w:hAnsi="新宋体" w:eastAsia="新宋体"/>
          <w:color w:val="auto"/>
          <w:sz w:val="28"/>
          <w:szCs w:val="28"/>
          <w:highlight w:val="none"/>
        </w:rPr>
      </w:pP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投标人须知</w:t>
      </w: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公开招标需求</w:t>
      </w: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政府采购合同主要条款</w:t>
      </w:r>
    </w:p>
    <w:p>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pStyle w:val="4"/>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Cs w:val="21"/>
          <w:highlight w:val="none"/>
          <w:lang w:eastAsia="zh-CN"/>
        </w:rPr>
        <w:t>台州市生态环境局</w:t>
      </w:r>
      <w:r>
        <w:rPr>
          <w:rFonts w:hint="eastAsia" w:asciiTheme="minorEastAsia" w:hAnsiTheme="minorEastAsia" w:eastAsiaTheme="minorEastAsia" w:cstheme="minorEastAsia"/>
          <w:color w:val="auto"/>
          <w:szCs w:val="21"/>
          <w:highlight w:val="none"/>
        </w:rPr>
        <w:t>委托，现就其</w:t>
      </w:r>
      <w:r>
        <w:rPr>
          <w:rFonts w:hint="eastAsia" w:asciiTheme="minorEastAsia" w:hAnsiTheme="minorEastAsia" w:eastAsiaTheme="minorEastAsia" w:cstheme="minorEastAsia"/>
          <w:b/>
          <w:bCs/>
          <w:color w:val="auto"/>
          <w:szCs w:val="21"/>
          <w:highlight w:val="none"/>
          <w:lang w:eastAsia="zh-CN"/>
        </w:rPr>
        <w:t>台州金清水系流域共治实施方案项目</w:t>
      </w:r>
      <w:r>
        <w:rPr>
          <w:rFonts w:hint="eastAsia" w:asciiTheme="minorEastAsia" w:hAnsiTheme="minorEastAsia" w:eastAsiaTheme="minorEastAsia" w:cstheme="minorEastAsia"/>
          <w:color w:val="auto"/>
          <w:szCs w:val="21"/>
          <w:highlight w:val="none"/>
        </w:rPr>
        <w:t>进行公开招标采购，欢迎合格供应商前来投标。</w:t>
      </w:r>
    </w:p>
    <w:p>
      <w:pPr>
        <w:spacing w:line="360" w:lineRule="auto"/>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一、项目编号：</w:t>
      </w:r>
      <w:r>
        <w:rPr>
          <w:rFonts w:hint="eastAsia" w:asciiTheme="minorEastAsia" w:hAnsiTheme="minorEastAsia" w:eastAsiaTheme="minorEastAsia" w:cstheme="minorEastAsia"/>
          <w:b/>
          <w:bCs/>
          <w:color w:val="auto"/>
          <w:szCs w:val="21"/>
          <w:highlight w:val="none"/>
          <w:lang w:eastAsia="zh-CN"/>
        </w:rPr>
        <w:t>zjhy2022-tz25</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二、招标项目概况：</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607"/>
        <w:gridCol w:w="761"/>
        <w:gridCol w:w="857"/>
        <w:gridCol w:w="108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ascii="宋体" w:hAnsi="宋体"/>
                <w:b/>
                <w:color w:val="auto"/>
                <w:szCs w:val="21"/>
                <w:highlight w:val="none"/>
              </w:rPr>
            </w:pPr>
            <w:bookmarkStart w:id="0" w:name="EBc3c9f0bc06b6413d849824fe98ba274c"/>
            <w:r>
              <w:rPr>
                <w:rFonts w:hint="eastAsia" w:ascii="宋体" w:hAnsi="宋体"/>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项目名称</w:t>
            </w:r>
          </w:p>
        </w:tc>
        <w:tc>
          <w:tcPr>
            <w:tcW w:w="1607"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cs="宋体"/>
                <w:b/>
                <w:color w:val="auto"/>
                <w:kern w:val="0"/>
                <w:szCs w:val="21"/>
                <w:highlight w:val="none"/>
              </w:rPr>
              <w:t>简要技术要求</w:t>
            </w:r>
          </w:p>
        </w:tc>
        <w:tc>
          <w:tcPr>
            <w:tcW w:w="761"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数量</w:t>
            </w:r>
          </w:p>
        </w:tc>
        <w:tc>
          <w:tcPr>
            <w:tcW w:w="857"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单位</w:t>
            </w:r>
          </w:p>
        </w:tc>
        <w:tc>
          <w:tcPr>
            <w:tcW w:w="1082" w:type="dxa"/>
            <w:vAlign w:val="center"/>
          </w:tcPr>
          <w:p>
            <w:pPr>
              <w:tabs>
                <w:tab w:val="left" w:pos="8280"/>
              </w:tabs>
              <w:autoSpaceDE w:val="0"/>
              <w:autoSpaceDN w:val="0"/>
              <w:adjustRightInd w:val="0"/>
              <w:ind w:right="25"/>
              <w:jc w:val="center"/>
              <w:rPr>
                <w:rFonts w:hint="eastAsia" w:ascii="宋体" w:hAnsi="宋体"/>
                <w:b/>
                <w:color w:val="auto"/>
                <w:szCs w:val="21"/>
                <w:highlight w:val="none"/>
              </w:rPr>
            </w:pPr>
            <w:r>
              <w:rPr>
                <w:rFonts w:hint="eastAsia" w:ascii="宋体" w:hAnsi="宋体"/>
                <w:b/>
                <w:color w:val="auto"/>
                <w:szCs w:val="21"/>
                <w:highlight w:val="none"/>
              </w:rPr>
              <w:t>预算</w:t>
            </w:r>
          </w:p>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（万元）</w:t>
            </w:r>
          </w:p>
        </w:tc>
        <w:tc>
          <w:tcPr>
            <w:tcW w:w="1028"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2030" w:type="dxa"/>
            <w:vAlign w:val="center"/>
          </w:tcPr>
          <w:p>
            <w:pPr>
              <w:tabs>
                <w:tab w:val="left" w:pos="8280"/>
              </w:tabs>
              <w:autoSpaceDE w:val="0"/>
              <w:autoSpaceDN w:val="0"/>
              <w:adjustRightInd w:val="0"/>
              <w:ind w:right="25"/>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台州金清水系流域共治实施方案项目</w:t>
            </w:r>
          </w:p>
        </w:tc>
        <w:tc>
          <w:tcPr>
            <w:tcW w:w="1607"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详见项目需求</w:t>
            </w:r>
          </w:p>
        </w:tc>
        <w:tc>
          <w:tcPr>
            <w:tcW w:w="761"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857"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项</w:t>
            </w:r>
          </w:p>
        </w:tc>
        <w:tc>
          <w:tcPr>
            <w:tcW w:w="1082" w:type="dxa"/>
            <w:vAlign w:val="center"/>
          </w:tcPr>
          <w:p>
            <w:pPr>
              <w:tabs>
                <w:tab w:val="left" w:pos="8280"/>
              </w:tabs>
              <w:autoSpaceDE w:val="0"/>
              <w:autoSpaceDN w:val="0"/>
              <w:adjustRightInd w:val="0"/>
              <w:ind w:right="2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1000</w:t>
            </w:r>
          </w:p>
        </w:tc>
        <w:tc>
          <w:tcPr>
            <w:tcW w:w="1028" w:type="dxa"/>
            <w:vAlign w:val="center"/>
          </w:tcPr>
          <w:p>
            <w:pPr>
              <w:tabs>
                <w:tab w:val="left" w:pos="8280"/>
              </w:tabs>
              <w:autoSpaceDE w:val="0"/>
              <w:autoSpaceDN w:val="0"/>
              <w:adjustRightInd w:val="0"/>
              <w:ind w:right="25"/>
              <w:jc w:val="center"/>
              <w:rPr>
                <w:rFonts w:ascii="宋体" w:hAnsi="宋体"/>
                <w:color w:val="auto"/>
                <w:szCs w:val="21"/>
                <w:highlight w:val="none"/>
              </w:rPr>
            </w:pPr>
          </w:p>
        </w:tc>
      </w:tr>
      <w:bookmarkEnd w:id="0"/>
    </w:tbl>
    <w:p>
      <w:pPr>
        <w:widowControl/>
        <w:tabs>
          <w:tab w:val="left" w:pos="0"/>
        </w:tabs>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本项目采用“电子交易”的方式提交投标文件（</w:t>
      </w:r>
      <w:r>
        <w:rPr>
          <w:rFonts w:hint="eastAsia" w:asciiTheme="minorEastAsia" w:hAnsiTheme="minorEastAsia" w:eastAsiaTheme="minorEastAsia" w:cstheme="minorEastAsia"/>
          <w:b/>
          <w:color w:val="auto"/>
          <w:sz w:val="21"/>
          <w:szCs w:val="21"/>
          <w:highlight w:val="none"/>
          <w:u w:val="single"/>
          <w:lang w:val="en-US" w:eastAsia="zh-CN"/>
        </w:rPr>
        <w:t>还可以</w:t>
      </w:r>
      <w:r>
        <w:rPr>
          <w:rFonts w:hint="eastAsia" w:asciiTheme="minorEastAsia" w:hAnsiTheme="minorEastAsia" w:eastAsiaTheme="minorEastAsia" w:cstheme="minorEastAsia"/>
          <w:b/>
          <w:color w:val="auto"/>
          <w:szCs w:val="21"/>
          <w:highlight w:val="none"/>
          <w:u w:val="single"/>
        </w:rPr>
        <w:t>提供备份投标文件），请各投标人按照要求进行。</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三、合格投标人的资格条件：</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案件当事人名单、政府采购严重违法失信行为记录名单。</w:t>
      </w:r>
    </w:p>
    <w:p>
      <w:pPr>
        <w:spacing w:line="360" w:lineRule="auto"/>
        <w:ind w:firstLine="422" w:firstLineChars="200"/>
        <w:rPr>
          <w:rFonts w:hint="default" w:asciiTheme="minorEastAsia" w:hAnsiTheme="minorEastAsia" w:eastAsiaTheme="minorEastAsia" w:cstheme="minorEastAsia"/>
          <w:b/>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bCs w:val="0"/>
          <w:color w:val="auto"/>
          <w:sz w:val="21"/>
          <w:szCs w:val="21"/>
          <w:highlight w:val="none"/>
          <w:shd w:val="clear" w:color="auto" w:fill="auto"/>
        </w:rPr>
        <w:t>（二）</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Theme="minorEastAsia" w:hAnsiTheme="minorEastAsia" w:eastAsiaTheme="minorEastAsia" w:cstheme="minorEastAsia"/>
          <w:b/>
          <w:bCs w:val="0"/>
          <w:color w:val="auto"/>
          <w:sz w:val="21"/>
          <w:szCs w:val="21"/>
          <w:highlight w:val="none"/>
          <w:shd w:val="clear" w:color="auto" w:fill="auto"/>
        </w:rPr>
      </w:pPr>
      <w:r>
        <w:rPr>
          <w:rFonts w:hint="eastAsia" w:asciiTheme="minorEastAsia" w:hAnsiTheme="minorEastAsia" w:eastAsiaTheme="minorEastAsia" w:cstheme="minorEastAsia"/>
          <w:b/>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bCs w:val="0"/>
          <w:color w:val="auto"/>
          <w:sz w:val="21"/>
          <w:szCs w:val="21"/>
          <w:highlight w:val="none"/>
          <w:shd w:val="clear" w:color="auto" w:fill="auto"/>
        </w:rPr>
        <w:t>本项目</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不</w:t>
      </w:r>
      <w:r>
        <w:rPr>
          <w:rFonts w:hint="eastAsia" w:asciiTheme="minorEastAsia" w:hAnsiTheme="minorEastAsia" w:eastAsiaTheme="minorEastAsia" w:cstheme="minorEastAsia"/>
          <w:b/>
          <w:bCs w:val="0"/>
          <w:color w:val="auto"/>
          <w:sz w:val="21"/>
          <w:szCs w:val="21"/>
          <w:highlight w:val="none"/>
          <w:shd w:val="clear" w:color="auto" w:fill="auto"/>
        </w:rPr>
        <w:t>接受联合体投标。</w:t>
      </w:r>
    </w:p>
    <w:p>
      <w:pPr>
        <w:snapToGrid w:val="0"/>
        <w:spacing w:line="360" w:lineRule="auto"/>
        <w:ind w:firstLine="498" w:firstLineChars="236"/>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四、招标文件获取的方式、时间:</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本项目招标文件实行“浙江政府采购网”</w:t>
      </w:r>
      <w:r>
        <w:rPr>
          <w:rStyle w:val="27"/>
          <w:rFonts w:hint="eastAsia" w:asciiTheme="minorEastAsia" w:hAnsiTheme="minorEastAsia" w:eastAsiaTheme="minorEastAsia" w:cstheme="minorEastAsia"/>
          <w:color w:val="auto"/>
          <w:sz w:val="21"/>
          <w:szCs w:val="21"/>
          <w:highlight w:val="none"/>
        </w:rPr>
        <w:t>（http://zfcg.czt.zj.gov.cn）</w:t>
      </w:r>
      <w:r>
        <w:rPr>
          <w:rFonts w:hint="eastAsia" w:asciiTheme="minorEastAsia" w:hAnsiTheme="minorEastAsia" w:eastAsiaTheme="minorEastAsia" w:cstheme="minorEastAsia"/>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7"/>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2、获取</w:t>
      </w:r>
      <w:r>
        <w:rPr>
          <w:rStyle w:val="27"/>
          <w:rFonts w:hint="eastAsia" w:asciiTheme="minorEastAsia" w:hAnsiTheme="minorEastAsia" w:eastAsiaTheme="minorEastAsia" w:cstheme="minorEastAsia"/>
          <w:color w:val="auto"/>
          <w:sz w:val="21"/>
          <w:szCs w:val="21"/>
          <w:highlight w:val="none"/>
        </w:rPr>
        <w:t>方式：潜在供应商登陆政府采购云平台，在线申请获取招标文件</w:t>
      </w:r>
      <w:r>
        <w:rPr>
          <w:rStyle w:val="27"/>
          <w:rFonts w:hint="eastAsia" w:asciiTheme="minorEastAsia" w:hAnsiTheme="minorEastAsia" w:eastAsiaTheme="minorEastAsia" w:cstheme="minorEastAsia"/>
          <w:b w:val="0"/>
          <w:bCs/>
          <w:color w:val="auto"/>
          <w:sz w:val="21"/>
          <w:szCs w:val="21"/>
          <w:highlight w:val="none"/>
        </w:rPr>
        <w:t>（进入“项目采购”应用，在获取招标文件菜单中选择项目，申请获取招标文件，本项目招标文件不收取工本费；</w:t>
      </w:r>
      <w:r>
        <w:rPr>
          <w:rStyle w:val="27"/>
          <w:rFonts w:hint="eastAsia" w:asciiTheme="minorEastAsia" w:hAnsiTheme="minorEastAsia" w:eastAsiaTheme="minorEastAsia" w:cstheme="minorEastAsia"/>
          <w:b w:val="0"/>
          <w:bCs/>
          <w:color w:val="auto"/>
          <w:sz w:val="21"/>
          <w:szCs w:val="21"/>
          <w:highlight w:val="none"/>
          <w:u w:val="single"/>
        </w:rPr>
        <w:t>仅需浏览招标文件的供应商可点击“游客，浏览招标文件”直接下载招标文件浏览</w:t>
      </w:r>
      <w:r>
        <w:rPr>
          <w:rStyle w:val="27"/>
          <w:rFonts w:hint="eastAsia" w:asciiTheme="minorEastAsia" w:hAnsiTheme="minorEastAsia" w:eastAsiaTheme="minorEastAsia" w:cstheme="minorEastAsia"/>
          <w:b w:val="0"/>
          <w:bCs/>
          <w:color w:val="auto"/>
          <w:sz w:val="21"/>
          <w:szCs w:val="21"/>
          <w:highlight w:val="none"/>
        </w:rPr>
        <w:t>）；</w:t>
      </w:r>
    </w:p>
    <w:p>
      <w:pPr>
        <w:spacing w:line="360" w:lineRule="auto"/>
        <w:ind w:firstLine="422" w:firstLineChars="200"/>
        <w:rPr>
          <w:rFonts w:asciiTheme="minorEastAsia" w:hAnsiTheme="minorEastAsia" w:eastAsiaTheme="minorEastAsia" w:cstheme="minorEastAsia"/>
          <w:color w:val="auto"/>
          <w:szCs w:val="21"/>
          <w:highlight w:val="none"/>
        </w:rPr>
      </w:pPr>
      <w:r>
        <w:rPr>
          <w:rStyle w:val="27"/>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Cs w:val="21"/>
          <w:highlight w:val="none"/>
        </w:rPr>
        <w:t>获取（公告）时间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lang w:eastAsia="zh-CN"/>
        </w:rPr>
        <w:t>自本公告发布之日起至投标文件递交截止时间止；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Style w:val="27"/>
          <w:rFonts w:hint="eastAsia" w:asciiTheme="minorEastAsia" w:hAnsiTheme="minorEastAsia" w:eastAsiaTheme="minorEastAsia" w:cstheme="minorEastAsia"/>
          <w:b w:val="0"/>
          <w:color w:val="auto"/>
          <w:sz w:val="21"/>
          <w:szCs w:val="21"/>
          <w:highlight w:val="none"/>
        </w:rPr>
        <w:t>供应商网上报名操作指南：“浙江政府采购网-办事指南-省采中心-网上报名”（http://zfcg.czt.zj.gov.cn/bs_other/2018-03-30/12002.html）。</w:t>
      </w:r>
    </w:p>
    <w:p>
      <w:pPr>
        <w:pStyle w:val="2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highlight w:val="none"/>
        </w:rPr>
      </w:pPr>
      <w:r>
        <w:rPr>
          <w:rStyle w:val="27"/>
          <w:rFonts w:hint="eastAsia" w:asciiTheme="minorEastAsia" w:hAnsiTheme="minorEastAsia" w:eastAsiaTheme="minorEastAsia" w:cstheme="minorEastAsia"/>
          <w:b w:val="0"/>
          <w:color w:val="auto"/>
          <w:sz w:val="21"/>
          <w:szCs w:val="21"/>
          <w:highlight w:val="none"/>
        </w:rPr>
        <w:t>5、供应商获取招标文件时须提交的文件资料：无；</w:t>
      </w:r>
    </w:p>
    <w:p>
      <w:pPr>
        <w:pStyle w:val="20"/>
        <w:spacing w:before="0" w:beforeAutospacing="0" w:after="0" w:afterAutospacing="0" w:line="360" w:lineRule="auto"/>
        <w:ind w:firstLine="422" w:firstLineChars="200"/>
        <w:rPr>
          <w:rFonts w:asciiTheme="minorEastAsia" w:hAnsiTheme="minorEastAsia" w:eastAsiaTheme="minorEastAsia" w:cstheme="minorEastAsia"/>
          <w:color w:val="auto"/>
          <w:sz w:val="21"/>
          <w:szCs w:val="21"/>
          <w:highlight w:val="none"/>
        </w:rPr>
      </w:pPr>
      <w:r>
        <w:rPr>
          <w:rStyle w:val="27"/>
          <w:rFonts w:hint="eastAsia" w:asciiTheme="minorEastAsia" w:hAnsiTheme="minorEastAsia" w:eastAsiaTheme="minorEastAsia" w:cstheme="minorEastAsia"/>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20"/>
        <w:spacing w:before="0" w:beforeAutospacing="0" w:after="0" w:afterAutospacing="0" w:line="360" w:lineRule="auto"/>
        <w:ind w:firstLine="480"/>
        <w:rPr>
          <w:rStyle w:val="27"/>
          <w:rFonts w:asciiTheme="minorEastAsia" w:hAnsiTheme="minorEastAsia" w:eastAsiaTheme="minorEastAsia" w:cstheme="minorEastAsia"/>
          <w:color w:val="auto"/>
          <w:sz w:val="21"/>
          <w:szCs w:val="21"/>
          <w:highlight w:val="none"/>
        </w:rPr>
      </w:pPr>
      <w:r>
        <w:rPr>
          <w:rStyle w:val="27"/>
          <w:rFonts w:hint="eastAsia" w:asciiTheme="minorEastAsia" w:hAnsiTheme="minorEastAsia" w:eastAsiaTheme="minorEastAsia" w:cstheme="minorEastAsia"/>
          <w:color w:val="auto"/>
          <w:sz w:val="21"/>
          <w:szCs w:val="21"/>
          <w:highlight w:val="none"/>
        </w:rPr>
        <w:t>注：请供应商按上述要求获取招标文件，如未在“政府采购云平台”系统内完成相关流程，引起的投标无效责任自负。</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五、招标答疑会</w:t>
      </w:r>
    </w:p>
    <w:p>
      <w:pPr>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六、投标须知：</w:t>
      </w:r>
    </w:p>
    <w:p>
      <w:pPr>
        <w:pStyle w:val="54"/>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1、投标截止时间与地点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2022年8月16日下午14:30整</w:t>
      </w:r>
      <w:r>
        <w:rPr>
          <w:rFonts w:hint="eastAsia" w:asciiTheme="minorEastAsia" w:hAnsiTheme="minorEastAsia" w:eastAsiaTheme="minorEastAsia" w:cstheme="minorEastAsia"/>
          <w:color w:val="auto"/>
          <w:highlight w:val="none"/>
        </w:rPr>
        <w:t xml:space="preserve">，地点：通过“政府采购云平台（www.zcygov.cn）”实行在线投标响应   </w:t>
      </w:r>
    </w:p>
    <w:p>
      <w:pPr>
        <w:pStyle w:val="54"/>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2、开标时间及地点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2022年8月16日下午14:30整</w:t>
      </w:r>
      <w:r>
        <w:rPr>
          <w:rFonts w:hint="eastAsia" w:asciiTheme="minorEastAsia" w:hAnsiTheme="minorEastAsia" w:eastAsiaTheme="minorEastAsia" w:cstheme="minorEastAsia"/>
          <w:color w:val="auto"/>
          <w:highlight w:val="none"/>
        </w:rPr>
        <w:t>，地点：</w:t>
      </w:r>
      <w:r>
        <w:rPr>
          <w:rFonts w:hint="eastAsia" w:asciiTheme="minorEastAsia" w:hAnsiTheme="minorEastAsia" w:eastAsiaTheme="minorEastAsia" w:cstheme="minorEastAsia"/>
          <w:color w:val="auto"/>
          <w:kern w:val="2"/>
          <w:szCs w:val="24"/>
          <w:highlight w:val="none"/>
        </w:rPr>
        <w:t>通过“政府采购云平台（</w:t>
      </w:r>
      <w:r>
        <w:rPr>
          <w:rFonts w:asciiTheme="minorEastAsia" w:hAnsiTheme="minorEastAsia" w:eastAsiaTheme="minorEastAsia" w:cstheme="minorEastAsia"/>
          <w:color w:val="auto"/>
          <w:kern w:val="2"/>
          <w:szCs w:val="24"/>
          <w:highlight w:val="none"/>
        </w:rPr>
        <w:t>www.zcygov.cn）”实行在线投标响应</w:t>
      </w:r>
    </w:p>
    <w:p>
      <w:pPr>
        <w:pStyle w:val="54"/>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3、解密截止时间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1"/>
          <w:szCs w:val="21"/>
          <w:highlight w:val="none"/>
          <w:lang w:eastAsia="zh-CN"/>
        </w:rPr>
        <w:t>2022年8月16日下午15:00整</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七、在线投标响应（电子投标）说明</w:t>
      </w:r>
    </w:p>
    <w:p>
      <w:pPr>
        <w:pStyle w:val="14"/>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4"/>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4"/>
        <w:snapToGrid w:val="0"/>
        <w:spacing w:line="360" w:lineRule="auto"/>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Theme="minorEastAsia" w:hAnsiTheme="minorEastAsia" w:eastAsiaTheme="minorEastAsia" w:cstheme="minorEastAsia"/>
          <w:b/>
          <w:bCs/>
          <w:color w:val="auto"/>
          <w:highlight w:val="none"/>
        </w:rPr>
        <w:t>CA驱动和申领流程</w:t>
      </w:r>
      <w:r>
        <w:rPr>
          <w:rFonts w:hint="eastAsia" w:asciiTheme="minorEastAsia" w:hAnsiTheme="minorEastAsia" w:eastAsiaTheme="minorEastAsia" w:cstheme="minorEastAsia"/>
          <w:b/>
          <w:bCs/>
          <w:color w:val="auto"/>
          <w:highlight w:val="none"/>
        </w:rPr>
        <w:fldChar w:fldCharType="end"/>
      </w:r>
      <w:r>
        <w:rPr>
          <w:rFonts w:hint="eastAsia" w:asciiTheme="minorEastAsia" w:hAnsiTheme="minorEastAsia" w:eastAsiaTheme="minorEastAsia" w:cstheme="minorEastAsia"/>
          <w:b/>
          <w:bCs/>
          <w:color w:val="auto"/>
          <w:highlight w:val="none"/>
        </w:rPr>
        <w:t>”进行查阅；</w:t>
      </w:r>
    </w:p>
    <w:p>
      <w:pPr>
        <w:pStyle w:val="14"/>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3、投标人通过政府采购云平台电子投标工具制作投标文件，电子投标工具请供应商自行前往浙江政府采购网下载并安装，（下载网址：</w:t>
      </w:r>
      <w:r>
        <w:rPr>
          <w:color w:val="auto"/>
          <w:highlight w:val="none"/>
        </w:rPr>
        <w:fldChar w:fldCharType="begin"/>
      </w:r>
      <w:r>
        <w:rPr>
          <w:color w:val="auto"/>
          <w:highlight w:val="none"/>
        </w:rPr>
        <w:instrText xml:space="preserve"> HYPERLINK "http://www.zjzfcg.gov.cn/bidClientTemplate/2019-05-27/12946.html" </w:instrText>
      </w:r>
      <w:r>
        <w:rPr>
          <w:color w:val="auto"/>
          <w:highlight w:val="none"/>
        </w:rPr>
        <w:fldChar w:fldCharType="separate"/>
      </w:r>
      <w:r>
        <w:rPr>
          <w:rFonts w:hint="eastAsia" w:asciiTheme="minorEastAsia" w:hAnsiTheme="minorEastAsia" w:eastAsiaTheme="minorEastAsia" w:cstheme="minorEastAsia"/>
          <w:b/>
          <w:bCs/>
          <w:color w:val="auto"/>
          <w:kern w:val="0"/>
          <w:szCs w:val="21"/>
          <w:highlight w:val="none"/>
        </w:rPr>
        <w:t>http://zfcg.czt.zj.gov.cn/bidClientTemplate/2019-05-27/12946.html</w:t>
      </w:r>
      <w:r>
        <w:rPr>
          <w:rFonts w:hint="eastAsia" w:asciiTheme="minorEastAsia" w:hAnsiTheme="minorEastAsia" w:eastAsiaTheme="minorEastAsia" w:cstheme="minorEastAsia"/>
          <w:b/>
          <w:bCs/>
          <w:color w:val="auto"/>
          <w:kern w:val="0"/>
          <w:szCs w:val="21"/>
          <w:highlight w:val="none"/>
        </w:rPr>
        <w:fldChar w:fldCharType="end"/>
      </w:r>
      <w:r>
        <w:rPr>
          <w:rFonts w:hint="eastAsia" w:asciiTheme="minorEastAsia" w:hAnsiTheme="minorEastAsia" w:eastAsiaTheme="minorEastAsia" w:cstheme="minorEastAsia"/>
          <w:b/>
          <w:bCs/>
          <w:color w:val="auto"/>
          <w:kern w:val="0"/>
          <w:szCs w:val="21"/>
          <w:highlight w:val="none"/>
        </w:rPr>
        <w:t>），电子投标具体流程文档详见网址：https://help.zcygov.cn/web/site_2/2018/12-28/2573.html。</w:t>
      </w:r>
    </w:p>
    <w:p>
      <w:pPr>
        <w:pStyle w:val="14"/>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4"/>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5、供应商同时还可以提供</w:t>
      </w:r>
      <w:r>
        <w:rPr>
          <w:rFonts w:hint="eastAsia" w:asciiTheme="minorEastAsia" w:hAnsiTheme="minorEastAsia" w:eastAsiaTheme="minorEastAsia" w:cstheme="minorEastAsia"/>
          <w:b/>
          <w:bCs/>
          <w:color w:val="auto"/>
          <w:kern w:val="2"/>
          <w:sz w:val="21"/>
          <w:szCs w:val="21"/>
          <w:highlight w:val="none"/>
          <w:lang w:val="en-US" w:eastAsia="zh-CN" w:bidi="ar-SA"/>
        </w:rPr>
        <w:t>以介质（U盘）存储的数据电文形式的备份</w:t>
      </w:r>
      <w:r>
        <w:rPr>
          <w:rFonts w:hint="eastAsia" w:asciiTheme="minorEastAsia" w:hAnsiTheme="minorEastAsia" w:eastAsiaTheme="minorEastAsia" w:cstheme="minorEastAsia"/>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color w:val="auto"/>
          <w:kern w:val="2"/>
          <w:sz w:val="21"/>
          <w:szCs w:val="21"/>
          <w:highlight w:val="none"/>
          <w:lang w:val="en-US" w:eastAsia="zh-CN" w:bidi="ar-SA"/>
        </w:rPr>
        <w:t>顺丰</w:t>
      </w:r>
      <w:r>
        <w:rPr>
          <w:rFonts w:hint="eastAsia" w:asciiTheme="minorEastAsia" w:hAnsiTheme="minorEastAsia" w:eastAsiaTheme="minorEastAsia" w:cstheme="minorEastAsia"/>
          <w:b/>
          <w:bCs/>
          <w:color w:val="auto"/>
          <w:kern w:val="0"/>
          <w:sz w:val="21"/>
          <w:szCs w:val="21"/>
          <w:highlight w:val="none"/>
          <w:lang w:val="en-US" w:eastAsia="zh-CN" w:bidi="ar-SA"/>
        </w:rPr>
        <w:t>邮寄到</w:t>
      </w:r>
      <w:r>
        <w:rPr>
          <w:rFonts w:hint="eastAsia" w:asciiTheme="minorEastAsia" w:hAnsiTheme="minorEastAsia" w:eastAsiaTheme="minorEastAsia" w:cstheme="minorEastAsia"/>
          <w:b/>
          <w:bCs/>
          <w:color w:val="auto"/>
          <w:sz w:val="21"/>
          <w:szCs w:val="21"/>
          <w:highlight w:val="none"/>
          <w:lang w:eastAsia="zh-CN"/>
        </w:rPr>
        <w:t>台州市椒江区中环世纪6幢8</w:t>
      </w:r>
      <w:r>
        <w:rPr>
          <w:rFonts w:hint="eastAsia" w:asciiTheme="minorEastAsia" w:hAnsiTheme="minorEastAsia" w:eastAsiaTheme="minorEastAsia" w:cstheme="minorEastAsia"/>
          <w:b/>
          <w:bCs/>
          <w:color w:val="auto"/>
          <w:sz w:val="21"/>
          <w:szCs w:val="21"/>
          <w:highlight w:val="none"/>
          <w:lang w:val="en-US" w:eastAsia="zh-CN"/>
        </w:rPr>
        <w:t>楼</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浙江汇永工程咨询有限公司</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收件人：陈奕圩；联系电话：18257695510</w:t>
      </w:r>
      <w:r>
        <w:rPr>
          <w:rFonts w:hint="eastAsia" w:asciiTheme="minorEastAsia" w:hAnsiTheme="minorEastAsia" w:eastAsiaTheme="minorEastAsia" w:cstheme="minorEastAsia"/>
          <w:b/>
          <w:bCs/>
          <w:color w:val="auto"/>
          <w:kern w:val="0"/>
          <w:sz w:val="21"/>
          <w:szCs w:val="21"/>
          <w:highlight w:val="none"/>
          <w:lang w:val="en-US" w:eastAsia="zh-CN" w:bidi="ar-SA"/>
        </w:rPr>
        <w:t>，逾期寄达或未按要求密封将被拒收。</w:t>
      </w:r>
    </w:p>
    <w:p>
      <w:pPr>
        <w:pStyle w:val="14"/>
        <w:adjustRightInd w:val="0"/>
        <w:snapToGrid w:val="0"/>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Cs w:val="21"/>
          <w:highlight w:val="none"/>
        </w:rPr>
        <w:t>投标供应商仅递交备份投标文件的，投标无效。</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 xml:space="preserve">7、在政府采购活动中，供应商提供的货物、工程或者服务符合下列情形的，享受本办法规定的中小企业扶持政策： </w:t>
      </w:r>
      <w:r>
        <w:rPr>
          <w:rFonts w:hint="default" w:asciiTheme="minorEastAsia" w:hAnsiTheme="minorEastAsia" w:eastAsiaTheme="minorEastAsia" w:cstheme="minorEastAsia"/>
          <w:b/>
          <w:bCs/>
          <w:color w:val="auto"/>
          <w:kern w:val="0"/>
          <w:sz w:val="21"/>
          <w:szCs w:val="21"/>
          <w:highlight w:val="none"/>
          <w:lang w:val="en-US" w:eastAsia="zh-CN" w:bidi="ar-SA"/>
        </w:rPr>
        <w:t>①</w:t>
      </w:r>
      <w:r>
        <w:rPr>
          <w:rFonts w:hint="eastAsia" w:asciiTheme="minorEastAsia" w:hAnsiTheme="minorEastAsia" w:eastAsiaTheme="minorEastAsia" w:cstheme="minorEastAsia"/>
          <w:b/>
          <w:bCs/>
          <w:color w:val="auto"/>
          <w:kern w:val="0"/>
          <w:sz w:val="21"/>
          <w:szCs w:val="21"/>
          <w:highlight w:val="none"/>
          <w:lang w:val="en-US" w:eastAsia="zh-CN" w:bidi="ar-SA"/>
        </w:rPr>
        <w:t>在货物采购项目中，货物由中小企业制造，即货</w:t>
      </w:r>
      <w:r>
        <w:rPr>
          <w:rFonts w:hint="eastAsia" w:asciiTheme="minorEastAsia" w:hAnsiTheme="minorEastAsia" w:eastAsiaTheme="minorEastAsia" w:cstheme="minorEastAsia"/>
          <w:b/>
          <w:bCs/>
          <w:color w:val="auto"/>
          <w:kern w:val="0"/>
          <w:sz w:val="21"/>
          <w:szCs w:val="21"/>
          <w:highlight w:val="none"/>
          <w:lang w:val="en-US" w:eastAsia="zh-CN" w:bidi="ar-SA"/>
        </w:rPr>
        <w:t xml:space="preserve">物由中小企业生产且使用该中小企业商号或者注册商标； </w:t>
      </w:r>
      <w:r>
        <w:rPr>
          <w:rFonts w:hint="default" w:asciiTheme="minorEastAsia" w:hAnsiTheme="minorEastAsia" w:eastAsiaTheme="minorEastAsia" w:cstheme="minorEastAsia"/>
          <w:b/>
          <w:bCs/>
          <w:color w:val="auto"/>
          <w:kern w:val="0"/>
          <w:sz w:val="21"/>
          <w:szCs w:val="21"/>
          <w:highlight w:val="none"/>
          <w:lang w:val="en-US" w:eastAsia="zh-CN" w:bidi="ar-SA"/>
        </w:rPr>
        <w:t>②</w:t>
      </w:r>
      <w:r>
        <w:rPr>
          <w:rFonts w:hint="eastAsia" w:asciiTheme="minorEastAsia" w:hAnsiTheme="minorEastAsia" w:eastAsiaTheme="minorEastAsia" w:cstheme="minorEastAsia"/>
          <w:b/>
          <w:bCs/>
          <w:color w:val="auto"/>
          <w:kern w:val="0"/>
          <w:sz w:val="21"/>
          <w:szCs w:val="21"/>
          <w:highlight w:val="none"/>
          <w:lang w:val="en-US" w:eastAsia="zh-CN" w:bidi="ar-SA"/>
        </w:rPr>
        <w:t xml:space="preserve">在工程采购项目中，工程由中小企业承建，即工程施工单位为中小企业； </w:t>
      </w:r>
      <w:r>
        <w:rPr>
          <w:rFonts w:hint="default" w:asciiTheme="minorEastAsia" w:hAnsiTheme="minorEastAsia" w:eastAsiaTheme="minorEastAsia" w:cstheme="minorEastAsia"/>
          <w:b/>
          <w:bCs/>
          <w:color w:val="auto"/>
          <w:kern w:val="0"/>
          <w:sz w:val="21"/>
          <w:szCs w:val="21"/>
          <w:highlight w:val="none"/>
          <w:lang w:val="en-US" w:eastAsia="zh-CN" w:bidi="ar-SA"/>
        </w:rPr>
        <w:t>③</w:t>
      </w:r>
      <w:r>
        <w:rPr>
          <w:rFonts w:hint="eastAsia" w:asciiTheme="minorEastAsia" w:hAnsiTheme="minorEastAsia" w:eastAsiaTheme="minorEastAsia" w:cstheme="minorEastAsia"/>
          <w:b/>
          <w:bCs/>
          <w:color w:val="auto"/>
          <w:kern w:val="0"/>
          <w:sz w:val="21"/>
          <w:szCs w:val="21"/>
          <w:highlight w:val="none"/>
          <w:lang w:val="en-US" w:eastAsia="zh-CN" w:bidi="ar-SA"/>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1、查询渠道：“信用中国”（www.creditchina.gov.cn）、“中国政府采购网”（www.ccgp.gov.cn）、“浙江政府采购网（</w:t>
      </w:r>
      <w:r>
        <w:rPr>
          <w:rFonts w:hint="eastAsia" w:asciiTheme="minorEastAsia" w:hAnsiTheme="minorEastAsia" w:eastAsiaTheme="minorEastAsia" w:cstheme="minorEastAsia"/>
          <w:color w:val="auto"/>
          <w:kern w:val="0"/>
          <w:szCs w:val="21"/>
          <w:highlight w:val="none"/>
        </w:rPr>
        <w:t>http://zfcg.czt.zj.gov.cn</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2、信用信息查询的截止时点：开标后评标前。</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4、信用信息的使用规则：对列入失信被执行人、重大税收违法案件当事人名单、政府采购严重违法失信行为记录名单及其他不符合《中华人民共和国政府采购法》第二十二条规定条件</w:t>
      </w:r>
      <w:r>
        <w:rPr>
          <w:rFonts w:hint="eastAsia" w:asciiTheme="minorEastAsia" w:hAnsiTheme="minorEastAsia" w:eastAsiaTheme="minorEastAsia" w:cstheme="minorEastAsia"/>
          <w:color w:val="auto"/>
          <w:szCs w:val="21"/>
          <w:highlight w:val="none"/>
        </w:rPr>
        <w:t>的供应商，将被拒绝其参与政府采购活动。</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九</w:t>
      </w:r>
      <w:r>
        <w:rPr>
          <w:rFonts w:hint="eastAsia" w:asciiTheme="minorEastAsia" w:hAnsiTheme="minorEastAsia" w:eastAsiaTheme="minorEastAsia" w:cstheme="minorEastAsia"/>
          <w:b/>
          <w:bCs/>
          <w:color w:val="auto"/>
          <w:szCs w:val="21"/>
          <w:highlight w:val="none"/>
        </w:rPr>
        <w:t>、相关注意事项：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 w:val="21"/>
          <w:szCs w:val="21"/>
          <w:highlight w:val="none"/>
        </w:rPr>
        <w:t>本项目公告期限为</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个工作日。供应商认为采购文件使自己的权益受到损害的，可以自收</w:t>
      </w:r>
      <w:r>
        <w:rPr>
          <w:rFonts w:hint="eastAsia" w:asciiTheme="minorEastAsia" w:hAnsiTheme="minorEastAsia" w:eastAsiaTheme="minorEastAsia" w:cstheme="minorEastAsia"/>
          <w:color w:val="auto"/>
          <w:sz w:val="21"/>
          <w:szCs w:val="21"/>
          <w:highlight w:val="none"/>
        </w:rPr>
        <w:t>到采购文件之日或采购文件公告期限届满之日（公告期限届满之日后收到采购文件的，以公告期限届满之日为准）起7个工作日内，</w:t>
      </w:r>
      <w:r>
        <w:rPr>
          <w:rFonts w:hint="eastAsia" w:asciiTheme="minorEastAsia" w:hAnsiTheme="minorEastAsia" w:eastAsiaTheme="minorEastAsia" w:cstheme="minorEastAsia"/>
          <w:color w:val="auto"/>
          <w:szCs w:val="21"/>
          <w:highlight w:val="none"/>
        </w:rPr>
        <w:t>以书面形式一次性向采购人和采购代理机构提出同一环节（包括招标过程、采购结果等环节）的质疑，以供应商提供质疑函原件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、根据《浙江省政府采购供应商注册及诚信管理暂行办法》浙财采监【2009】28号文件，请各投标供应商及时办理浙江政府采购网“政府采购供应商注册”手续。</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参与政府采购项目的注册供应商，需登录浙江政府采购网（http://zfcg.czt.zj.gov.cn）进行网上获取文件；尚未注册的供应商应当先在浙江政府采购网</w:t>
      </w:r>
      <w:r>
        <w:rPr>
          <w:rFonts w:hint="eastAsia" w:asciiTheme="minorEastAsia" w:hAnsiTheme="minorEastAsia" w:eastAsiaTheme="minorEastAsia" w:cstheme="minorEastAsia"/>
          <w:color w:val="auto"/>
          <w:kern w:val="0"/>
          <w:szCs w:val="21"/>
          <w:highlight w:val="none"/>
        </w:rPr>
        <w:t>上申请注册，注册终审通过后再进行网上获取文件。</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、本项目所有公告发布网站：“浙江政府采购网”（</w:t>
      </w:r>
      <w:r>
        <w:rPr>
          <w:rFonts w:hint="eastAsia" w:asciiTheme="minorEastAsia" w:hAnsiTheme="minorEastAsia" w:eastAsiaTheme="minorEastAsia" w:cstheme="minorEastAsia"/>
          <w:color w:val="auto"/>
          <w:kern w:val="0"/>
          <w:szCs w:val="21"/>
          <w:highlight w:val="none"/>
        </w:rPr>
        <w:t>http://zfcg.czt.zj.gov.cn）。</w:t>
      </w:r>
    </w:p>
    <w:p>
      <w:pPr>
        <w:pStyle w:val="4"/>
        <w:spacing w:after="0"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十</w:t>
      </w:r>
      <w:r>
        <w:rPr>
          <w:rFonts w:hint="eastAsia" w:asciiTheme="minorEastAsia" w:hAnsiTheme="minorEastAsia" w:eastAsiaTheme="minorEastAsia" w:cstheme="minorEastAsia"/>
          <w:b/>
          <w:bCs/>
          <w:color w:val="auto"/>
          <w:kern w:val="0"/>
          <w:szCs w:val="21"/>
          <w:highlight w:val="none"/>
        </w:rPr>
        <w:t>、联系方式：</w:t>
      </w:r>
    </w:p>
    <w:p>
      <w:pPr>
        <w:spacing w:line="360" w:lineRule="auto"/>
        <w:ind w:firstLine="422" w:firstLineChars="200"/>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rPr>
        <w:t>采购代理机构</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浙江汇永工程咨询有限公司</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王女士</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联系电话：0576-88885613  18257695510；</w:t>
      </w:r>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管女士</w:t>
      </w:r>
    </w:p>
    <w:p>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13396938203</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p>
    <w:p>
      <w:pPr>
        <w:spacing w:line="360" w:lineRule="auto"/>
        <w:ind w:firstLine="422" w:firstLineChars="200"/>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 xml:space="preserve">采购人 </w:t>
      </w:r>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rPr>
        <w:t>人名称：</w:t>
      </w:r>
      <w:r>
        <w:rPr>
          <w:rFonts w:hint="eastAsia" w:asciiTheme="minorEastAsia" w:hAnsiTheme="minorEastAsia" w:eastAsiaTheme="minorEastAsia" w:cstheme="minorEastAsia"/>
          <w:color w:val="auto"/>
          <w:szCs w:val="21"/>
          <w:highlight w:val="none"/>
          <w:lang w:eastAsia="zh-CN"/>
        </w:rPr>
        <w:t>台州市生态环境局</w:t>
      </w:r>
    </w:p>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罗老师</w:t>
      </w:r>
      <w:r>
        <w:rPr>
          <w:rFonts w:hint="eastAsia" w:asciiTheme="minorEastAsia" w:hAnsiTheme="minorEastAsia" w:eastAsiaTheme="minorEastAsia" w:cstheme="minorEastAsia"/>
          <w:color w:val="auto"/>
          <w:sz w:val="21"/>
          <w:szCs w:val="21"/>
          <w:highlight w:val="none"/>
        </w:rPr>
        <w:t xml:space="preserve">     联系电话：0576-</w:t>
      </w:r>
      <w:r>
        <w:rPr>
          <w:rFonts w:hint="eastAsia" w:asciiTheme="minorEastAsia" w:hAnsiTheme="minorEastAsia" w:eastAsiaTheme="minorEastAsia" w:cstheme="minorEastAsia"/>
          <w:color w:val="auto"/>
          <w:sz w:val="21"/>
          <w:szCs w:val="21"/>
          <w:highlight w:val="none"/>
          <w:lang w:val="en-US" w:eastAsia="zh-CN"/>
        </w:rPr>
        <w:t>88581161</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浙江省台州市椒江区白云山南路108号</w:t>
      </w:r>
    </w:p>
    <w:p>
      <w:pPr>
        <w:spacing w:line="360" w:lineRule="auto"/>
        <w:ind w:firstLine="422" w:firstLineChars="200"/>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同级政府采购监督管理部门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同级政府采购监督管理部门名称：台州市财政局政府采购监管处</w:t>
      </w:r>
    </w:p>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联系人：陈老师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李老师</w:t>
      </w:r>
    </w:p>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监督投诉电话：0576-88206705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0576-88206731</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地址：台州市椒江区纬一路66号</w:t>
      </w:r>
    </w:p>
    <w:p>
      <w:pPr>
        <w:pStyle w:val="5"/>
        <w:numPr>
          <w:ilvl w:val="0"/>
          <w:numId w:val="0"/>
        </w:numPr>
        <w:spacing w:line="360" w:lineRule="auto"/>
        <w:ind w:firstLine="422" w:firstLineChars="200"/>
        <w:outlineLvl w:val="9"/>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4、其余事项</w:t>
      </w:r>
    </w:p>
    <w:p>
      <w:pPr>
        <w:ind w:firstLine="210" w:firstLineChars="100"/>
        <w:jc w:val="both"/>
        <w:rPr>
          <w:b w:val="0"/>
          <w:bCs w:val="0"/>
          <w:color w:val="auto"/>
          <w:sz w:val="32"/>
          <w:szCs w:val="32"/>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合同履约</w:t>
      </w:r>
      <w:r>
        <w:rPr>
          <w:rFonts w:hint="eastAsia"/>
          <w:b w:val="0"/>
          <w:bCs w:val="0"/>
          <w:color w:val="auto"/>
          <w:sz w:val="21"/>
          <w:szCs w:val="21"/>
          <w:highlight w:val="none"/>
        </w:rPr>
        <w:t>保函联系方式</w:t>
      </w:r>
    </w:p>
    <w:tbl>
      <w:tblPr>
        <w:tblStyle w:val="25"/>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76"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24"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永诚财产保险股份有限公司台州分公司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尹刚强</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华泰财产保险有限公司台州中心支公司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年费率0.5%，最低保费1000元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王灵芳</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中国大地财产保险股份有限公司台州中心支公司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年费率1.5%，最低保费1000元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徐小明</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中华联合财产保险股份有限公司台州中心支公司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年费率2%，最低保费500元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王仙高</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中国人民财产保险股份有限公司台州中心支公司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年费率0.3%，最低保费1000元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王仙春</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永安财产保险股份有限公司台州中心支公司</w:t>
            </w:r>
          </w:p>
        </w:tc>
        <w:tc>
          <w:tcPr>
            <w:tcW w:w="2288" w:type="dxa"/>
            <w:vAlign w:val="center"/>
          </w:tcPr>
          <w:p>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年费率0.3%，最低保费1000</w:t>
            </w:r>
            <w:r>
              <w:rPr>
                <w:rFonts w:hint="eastAsia" w:asciiTheme="minorEastAsia" w:hAnsiTheme="minorEastAsia" w:cstheme="minorEastAsia"/>
                <w:color w:val="auto"/>
                <w:sz w:val="21"/>
                <w:szCs w:val="21"/>
                <w:highlight w:val="none"/>
                <w:lang w:val="en-US" w:eastAsia="zh-CN"/>
              </w:rPr>
              <w:t>元</w:t>
            </w:r>
          </w:p>
        </w:tc>
        <w:tc>
          <w:tcPr>
            <w:tcW w:w="1276"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王春宇</w:t>
            </w:r>
          </w:p>
        </w:tc>
        <w:tc>
          <w:tcPr>
            <w:tcW w:w="1624"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13676675331</w:t>
            </w:r>
          </w:p>
        </w:tc>
      </w:tr>
    </w:tbl>
    <w:p>
      <w:pPr>
        <w:jc w:val="both"/>
        <w:rPr>
          <w:rFonts w:hint="eastAsia"/>
          <w:b/>
          <w:bCs/>
          <w:color w:val="auto"/>
          <w:sz w:val="21"/>
          <w:szCs w:val="21"/>
          <w:highlight w:val="none"/>
        </w:rPr>
      </w:pPr>
    </w:p>
    <w:p>
      <w:pPr>
        <w:jc w:val="both"/>
        <w:rPr>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（2）预付款保函联</w:t>
      </w:r>
      <w:r>
        <w:rPr>
          <w:rFonts w:hint="eastAsia"/>
          <w:b w:val="0"/>
          <w:bCs w:val="0"/>
          <w:color w:val="auto"/>
          <w:sz w:val="21"/>
          <w:szCs w:val="21"/>
          <w:highlight w:val="none"/>
        </w:rPr>
        <w:t>系方式</w:t>
      </w:r>
    </w:p>
    <w:tbl>
      <w:tblPr>
        <w:tblStyle w:val="25"/>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87"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00" w:type="dxa"/>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年费率3%，最低保费500元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天安财产保险股份有限公司台州中心支公司</w:t>
            </w:r>
          </w:p>
        </w:tc>
        <w:tc>
          <w:tcPr>
            <w:tcW w:w="2288" w:type="dxa"/>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年费率1%-2%，最低保费500元</w:t>
            </w:r>
          </w:p>
        </w:tc>
        <w:tc>
          <w:tcPr>
            <w:tcW w:w="128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罗赛</w:t>
            </w:r>
          </w:p>
        </w:tc>
        <w:tc>
          <w:tcPr>
            <w:tcW w:w="16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13736605643</w:t>
            </w:r>
          </w:p>
        </w:tc>
      </w:tr>
    </w:tbl>
    <w:p>
      <w:pPr>
        <w:spacing w:line="360" w:lineRule="auto"/>
        <w:rPr>
          <w:rFonts w:hint="eastAsia" w:ascii="宋体" w:hAnsi="宋体" w:cs="宋体"/>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（3）中标供应商如有融资需求，可使用</w:t>
      </w:r>
      <w:r>
        <w:rPr>
          <w:rFonts w:hint="eastAsia" w:ascii="宋体" w:hAnsi="宋体" w:cs="宋体"/>
          <w:color w:val="auto"/>
          <w:szCs w:val="21"/>
          <w:highlight w:val="none"/>
        </w:rPr>
        <w:t>以下银行的政采贷服务。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b/>
                <w:bCs/>
                <w:color w:val="auto"/>
                <w:sz w:val="21"/>
                <w:szCs w:val="21"/>
                <w:highlight w:val="none"/>
                <w:vertAlign w:val="baseline"/>
                <w:lang w:eastAsia="zh-CN"/>
              </w:rPr>
            </w:pPr>
            <w:r>
              <w:rPr>
                <w:rFonts w:hint="eastAsia"/>
                <w:b/>
                <w:bCs/>
                <w:color w:val="auto"/>
                <w:sz w:val="21"/>
                <w:szCs w:val="21"/>
                <w:highlight w:val="none"/>
                <w:vertAlign w:val="baseline"/>
                <w:lang w:eastAsia="zh-CN"/>
              </w:rPr>
              <w:t>银行</w:t>
            </w:r>
          </w:p>
        </w:tc>
        <w:tc>
          <w:tcPr>
            <w:tcW w:w="1334" w:type="dxa"/>
            <w:vAlign w:val="center"/>
          </w:tcPr>
          <w:p>
            <w:pPr>
              <w:jc w:val="center"/>
              <w:rPr>
                <w:rFonts w:hint="eastAsia"/>
                <w:b/>
                <w:bCs/>
                <w:color w:val="auto"/>
                <w:sz w:val="21"/>
                <w:szCs w:val="21"/>
                <w:highlight w:val="none"/>
                <w:vertAlign w:val="baseline"/>
                <w:lang w:eastAsia="zh-CN"/>
              </w:rPr>
            </w:pPr>
            <w:r>
              <w:rPr>
                <w:rFonts w:hint="eastAsia"/>
                <w:b/>
                <w:bCs/>
                <w:color w:val="auto"/>
                <w:sz w:val="21"/>
                <w:szCs w:val="21"/>
                <w:highlight w:val="none"/>
                <w:vertAlign w:val="baseline"/>
                <w:lang w:eastAsia="zh-CN"/>
              </w:rPr>
              <w:t>贷款年利率</w:t>
            </w:r>
          </w:p>
        </w:tc>
        <w:tc>
          <w:tcPr>
            <w:tcW w:w="1688" w:type="dxa"/>
            <w:vAlign w:val="center"/>
          </w:tcPr>
          <w:p>
            <w:pPr>
              <w:jc w:val="center"/>
              <w:rPr>
                <w:rFonts w:hint="eastAsia"/>
                <w:b/>
                <w:bCs/>
                <w:color w:val="auto"/>
                <w:sz w:val="21"/>
                <w:szCs w:val="21"/>
                <w:highlight w:val="none"/>
                <w:vertAlign w:val="baseline"/>
                <w:lang w:eastAsia="zh-CN"/>
              </w:rPr>
            </w:pPr>
            <w:r>
              <w:rPr>
                <w:rFonts w:hint="eastAsia"/>
                <w:b/>
                <w:bCs/>
                <w:color w:val="auto"/>
                <w:sz w:val="21"/>
                <w:szCs w:val="21"/>
                <w:highlight w:val="none"/>
                <w:vertAlign w:val="baseline"/>
                <w:lang w:eastAsia="zh-CN"/>
              </w:rPr>
              <w:t>联系人</w:t>
            </w:r>
          </w:p>
        </w:tc>
        <w:tc>
          <w:tcPr>
            <w:tcW w:w="2131" w:type="dxa"/>
            <w:vAlign w:val="center"/>
          </w:tcPr>
          <w:p>
            <w:pPr>
              <w:jc w:val="center"/>
              <w:rPr>
                <w:rFonts w:hint="eastAsia"/>
                <w:b/>
                <w:bCs/>
                <w:color w:val="auto"/>
                <w:sz w:val="21"/>
                <w:szCs w:val="21"/>
                <w:highlight w:val="none"/>
                <w:vertAlign w:val="baseline"/>
                <w:lang w:eastAsia="zh-CN"/>
              </w:rPr>
            </w:pPr>
            <w:r>
              <w:rPr>
                <w:rFonts w:hint="eastAsia"/>
                <w:b/>
                <w:bCs/>
                <w:color w:val="auto"/>
                <w:sz w:val="21"/>
                <w:szCs w:val="21"/>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中国工商银行</w:t>
            </w:r>
          </w:p>
        </w:tc>
        <w:tc>
          <w:tcPr>
            <w:tcW w:w="1334"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王霖</w:t>
            </w:r>
          </w:p>
        </w:tc>
        <w:tc>
          <w:tcPr>
            <w:tcW w:w="2131"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中国农业银行</w:t>
            </w:r>
          </w:p>
        </w:tc>
        <w:tc>
          <w:tcPr>
            <w:tcW w:w="1334"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龚盛</w:t>
            </w:r>
          </w:p>
        </w:tc>
        <w:tc>
          <w:tcPr>
            <w:tcW w:w="2131"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中国建设银行</w:t>
            </w:r>
          </w:p>
        </w:tc>
        <w:tc>
          <w:tcPr>
            <w:tcW w:w="1334"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688" w:type="dxa"/>
            <w:vAlign w:val="center"/>
          </w:tcPr>
          <w:p>
            <w:pPr>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梅晶晶</w:t>
            </w:r>
          </w:p>
        </w:tc>
        <w:tc>
          <w:tcPr>
            <w:tcW w:w="2131"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eastAsia="zh-CN"/>
              </w:rPr>
              <w:t>88</w:t>
            </w:r>
            <w:r>
              <w:rPr>
                <w:rFonts w:hint="eastAsia"/>
                <w:color w:val="auto"/>
                <w:sz w:val="21"/>
                <w:szCs w:val="21"/>
                <w:highlight w:val="none"/>
                <w:vertAlign w:val="baseline"/>
                <w:lang w:val="en-US" w:eastAsia="zh-CN"/>
              </w:rPr>
              <w:t>525339</w:t>
            </w:r>
          </w:p>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13</w:t>
            </w:r>
            <w:r>
              <w:rPr>
                <w:rFonts w:hint="eastAsia"/>
                <w:color w:val="auto"/>
                <w:sz w:val="21"/>
                <w:szCs w:val="21"/>
                <w:highlight w:val="none"/>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中国银行</w:t>
            </w:r>
          </w:p>
        </w:tc>
        <w:tc>
          <w:tcPr>
            <w:tcW w:w="1334"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3.75%起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任茜</w:t>
            </w:r>
          </w:p>
        </w:tc>
        <w:tc>
          <w:tcPr>
            <w:tcW w:w="2131"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eastAsiaTheme="minorEastAsia"/>
                <w:color w:val="auto"/>
                <w:sz w:val="21"/>
                <w:szCs w:val="21"/>
                <w:highlight w:val="none"/>
                <w:vertAlign w:val="baseline"/>
                <w:lang w:eastAsia="zh-CN"/>
              </w:rPr>
            </w:pPr>
            <w:r>
              <w:rPr>
                <w:rFonts w:hint="eastAsia"/>
                <w:color w:val="auto"/>
                <w:sz w:val="21"/>
                <w:szCs w:val="21"/>
                <w:highlight w:val="none"/>
                <w:vertAlign w:val="baseline"/>
                <w:lang w:eastAsia="zh-CN"/>
              </w:rPr>
              <w:t>浦发银行台州分行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王渊</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浦发银行椒江分行</w:t>
            </w:r>
          </w:p>
        </w:tc>
        <w:tc>
          <w:tcPr>
            <w:tcW w:w="1334"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孙瑞华</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val="en-US" w:eastAsia="zh-CN"/>
              </w:rPr>
              <w:t>交通银行台州分行</w:t>
            </w:r>
          </w:p>
        </w:tc>
        <w:tc>
          <w:tcPr>
            <w:tcW w:w="1334"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3.75%起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周翔宇</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招商银行台州分行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4.32%起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王海玲</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浙商银行台州分行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5.01%起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章涉漪</w:t>
            </w:r>
          </w:p>
        </w:tc>
        <w:tc>
          <w:tcPr>
            <w:tcW w:w="2131"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81880185</w:t>
            </w:r>
          </w:p>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中信银行台州分行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4.15%起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陈金园</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华夏银行台州分行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邱明达</w:t>
            </w:r>
          </w:p>
        </w:tc>
        <w:tc>
          <w:tcPr>
            <w:tcW w:w="2131"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81871518</w:t>
            </w:r>
          </w:p>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泰隆银行开发区支行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梁宛莉</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民泰银行椒江支行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5.8%起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陈慧珠</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绍兴银行台州分行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5.1%起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郭庭斌</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温州银行台州分行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王晓波</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平安银行台州分行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6.53%起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李俊丽</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宁波银行台州分行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戴莉丽</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金华银行台州分行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金雪婷</w:t>
            </w:r>
          </w:p>
        </w:tc>
        <w:tc>
          <w:tcPr>
            <w:tcW w:w="2131"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81886670</w:t>
            </w:r>
          </w:p>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台州银行</w:t>
            </w:r>
          </w:p>
        </w:tc>
        <w:tc>
          <w:tcPr>
            <w:tcW w:w="1334"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688" w:type="dxa"/>
            <w:vAlign w:val="center"/>
          </w:tcPr>
          <w:p>
            <w:pPr>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洪婷</w:t>
            </w:r>
          </w:p>
        </w:tc>
        <w:tc>
          <w:tcPr>
            <w:tcW w:w="2131"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邮储银行台州分行</w:t>
            </w:r>
          </w:p>
        </w:tc>
        <w:tc>
          <w:tcPr>
            <w:tcW w:w="1334"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3.85%起</w:t>
            </w:r>
          </w:p>
        </w:tc>
        <w:tc>
          <w:tcPr>
            <w:tcW w:w="1688" w:type="dxa"/>
            <w:vAlign w:val="center"/>
          </w:tcPr>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董庆</w:t>
            </w:r>
          </w:p>
        </w:tc>
        <w:tc>
          <w:tcPr>
            <w:tcW w:w="2131" w:type="dxa"/>
            <w:vAlign w:val="center"/>
          </w:tcPr>
          <w:p>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81888982</w:t>
            </w:r>
          </w:p>
          <w:p>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18957683735</w:t>
            </w:r>
          </w:p>
        </w:tc>
      </w:tr>
    </w:tbl>
    <w:p>
      <w:pPr>
        <w:pStyle w:val="31"/>
        <w:rPr>
          <w:rFonts w:hint="eastAsia"/>
          <w:color w:val="auto"/>
          <w:highlight w:val="none"/>
        </w:rPr>
      </w:pPr>
    </w:p>
    <w:p>
      <w:pPr>
        <w:keepNext w:val="0"/>
        <w:keepLines w:val="0"/>
        <w:pageBreakBefore w:val="0"/>
        <w:kinsoku/>
        <w:topLinePunct w:val="0"/>
        <w:bidi w:val="0"/>
        <w:spacing w:beforeAutospacing="0" w:afterAutospacing="0" w:line="360" w:lineRule="auto"/>
        <w:rPr>
          <w:rFonts w:ascii="宋体" w:hAnsi="宋体"/>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一、</w:t>
      </w:r>
      <w:r>
        <w:rPr>
          <w:rFonts w:hint="eastAsia" w:ascii="宋体" w:hAnsi="宋体"/>
          <w:b/>
          <w:color w:val="auto"/>
          <w:szCs w:val="21"/>
          <w:highlight w:val="none"/>
        </w:rPr>
        <w:t>采购（中标）公告发布媒体：</w:t>
      </w:r>
      <w:r>
        <w:rPr>
          <w:rFonts w:hint="eastAsia" w:ascii="宋体" w:hAnsi="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9"/>
          <w:rFonts w:hint="eastAsia" w:ascii="宋体" w:hAnsi="宋体"/>
          <w:color w:val="auto"/>
          <w:szCs w:val="21"/>
          <w:highlight w:val="none"/>
        </w:rPr>
        <w:t>http://zfcg.czt.zj.gov.cn</w:t>
      </w:r>
      <w:r>
        <w:rPr>
          <w:rStyle w:val="29"/>
          <w:rFonts w:hint="eastAsia" w:ascii="宋体" w:hAnsi="宋体"/>
          <w:color w:val="auto"/>
          <w:szCs w:val="21"/>
          <w:highlight w:val="none"/>
        </w:rPr>
        <w:fldChar w:fldCharType="end"/>
      </w:r>
      <w:r>
        <w:rPr>
          <w:rFonts w:hint="eastAsia" w:ascii="宋体" w:hAnsi="宋体"/>
          <w:color w:val="auto"/>
          <w:szCs w:val="21"/>
          <w:highlight w:val="none"/>
        </w:rPr>
        <w:t>）</w:t>
      </w:r>
    </w:p>
    <w:p>
      <w:pPr>
        <w:spacing w:line="360" w:lineRule="auto"/>
        <w:ind w:right="-252" w:rightChars="-120" w:firstLine="422" w:firstLineChars="200"/>
        <w:rPr>
          <w:rFonts w:ascii="宋体" w:hAnsi="宋体"/>
          <w:b/>
          <w:color w:val="auto"/>
          <w:szCs w:val="21"/>
          <w:highlight w:val="none"/>
        </w:rPr>
      </w:pPr>
      <w:r>
        <w:rPr>
          <w:rFonts w:hint="eastAsia" w:ascii="宋体" w:hAnsi="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r>
        <w:rPr>
          <w:rFonts w:hint="eastAsia" w:ascii="宋体" w:hAnsi="宋体"/>
          <w:b/>
          <w:color w:val="auto"/>
          <w:szCs w:val="21"/>
          <w:highlight w:val="none"/>
        </w:rPr>
        <w:t>。</w:t>
      </w:r>
    </w:p>
    <w:p>
      <w:pPr>
        <w:jc w:val="right"/>
        <w:rPr>
          <w:rFonts w:asciiTheme="minorEastAsia" w:hAnsiTheme="minorEastAsia" w:eastAsiaTheme="minorEastAsia" w:cstheme="minorEastAsia"/>
          <w:color w:val="auto"/>
          <w:szCs w:val="21"/>
          <w:highlight w:val="none"/>
        </w:rPr>
      </w:pPr>
    </w:p>
    <w:p>
      <w:pPr>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浙江汇永工程咨询有限公司</w:t>
      </w:r>
    </w:p>
    <w:p>
      <w:pPr>
        <w:pStyle w:val="4"/>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二○二二年七月</w:t>
      </w:r>
    </w:p>
    <w:p>
      <w:pPr>
        <w:pStyle w:val="4"/>
        <w:jc w:val="right"/>
        <w:rPr>
          <w:rFonts w:asciiTheme="minorEastAsia" w:hAnsiTheme="minorEastAsia" w:eastAsiaTheme="minorEastAsia" w:cstheme="minorEastAsia"/>
          <w:color w:val="auto"/>
          <w:szCs w:val="21"/>
          <w:highlight w:val="none"/>
        </w:rPr>
      </w:pPr>
    </w:p>
    <w:p>
      <w:pPr>
        <w:pStyle w:val="4"/>
        <w:jc w:val="right"/>
        <w:rPr>
          <w:rFonts w:ascii="宋体" w:hAnsi="宋体" w:cs="宋体"/>
          <w:color w:val="auto"/>
          <w:sz w:val="24"/>
          <w:highlight w:val="none"/>
        </w:rPr>
      </w:pPr>
    </w:p>
    <w:p>
      <w:pPr>
        <w:pStyle w:val="5"/>
        <w:rPr>
          <w:rFonts w:ascii="宋体" w:hAnsi="宋体" w:cs="宋体"/>
          <w:color w:val="auto"/>
          <w:sz w:val="24"/>
          <w:highlight w:val="none"/>
        </w:rPr>
      </w:pPr>
    </w:p>
    <w:p>
      <w:pPr>
        <w:rPr>
          <w:color w:val="auto"/>
          <w:highlight w:val="none"/>
        </w:rPr>
      </w:pPr>
    </w:p>
    <w:p>
      <w:pPr>
        <w:numPr>
          <w:ilvl w:val="0"/>
          <w:numId w:val="0"/>
        </w:numPr>
        <w:spacing w:line="360" w:lineRule="auto"/>
        <w:jc w:val="center"/>
        <w:outlineLvl w:val="0"/>
        <w:rPr>
          <w:rFonts w:hint="eastAsia" w:ascii="宋体" w:hAnsi="宋体"/>
          <w:b/>
          <w:color w:val="auto"/>
          <w:sz w:val="36"/>
          <w:szCs w:val="36"/>
          <w:highlight w:val="none"/>
          <w:lang w:val="en-US" w:eastAsia="zh-CN"/>
        </w:rPr>
      </w:pPr>
    </w:p>
    <w:p>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pPr>
        <w:spacing w:line="360" w:lineRule="auto"/>
        <w:jc w:val="center"/>
        <w:outlineLvl w:val="9"/>
        <w:rPr>
          <w:rFonts w:ascii="宋体"/>
          <w:b/>
          <w:color w:val="auto"/>
          <w:sz w:val="28"/>
          <w:szCs w:val="28"/>
          <w:highlight w:val="none"/>
        </w:rPr>
      </w:pPr>
      <w:r>
        <w:rPr>
          <w:rFonts w:hint="eastAsia" w:ascii="宋体" w:hAnsi="宋体"/>
          <w:b/>
          <w:color w:val="auto"/>
          <w:sz w:val="28"/>
          <w:szCs w:val="28"/>
          <w:highlight w:val="none"/>
        </w:rPr>
        <w:t>前  附 表</w:t>
      </w:r>
    </w:p>
    <w:tbl>
      <w:tblPr>
        <w:tblStyle w:val="24"/>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23"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692"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1</w:t>
            </w:r>
          </w:p>
        </w:tc>
        <w:tc>
          <w:tcPr>
            <w:tcW w:w="2123"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本项目实行电子投标，供应商应准备电子投标文件、</w:t>
            </w:r>
            <w:r>
              <w:rPr>
                <w:rFonts w:hint="eastAsia" w:asciiTheme="minorEastAsia" w:hAnsiTheme="minorEastAsia" w:eastAsiaTheme="minorEastAsia" w:cstheme="minorEastAsia"/>
                <w:color w:val="auto"/>
                <w:sz w:val="21"/>
                <w:szCs w:val="21"/>
                <w:highlight w:val="none"/>
                <w:lang w:val="en-US" w:eastAsia="zh-CN"/>
              </w:rPr>
              <w:t>还可以提供</w:t>
            </w:r>
            <w:r>
              <w:rPr>
                <w:rFonts w:hint="eastAsia" w:asciiTheme="minorEastAsia" w:hAnsiTheme="minorEastAsia" w:eastAsiaTheme="minorEastAsia" w:cstheme="minorEastAsia"/>
                <w:color w:val="auto"/>
                <w:sz w:val="21"/>
                <w:szCs w:val="21"/>
                <w:highlight w:val="none"/>
              </w:rPr>
              <w:t>以介质（U盘）存储的数据电文形式的备份投标文件</w:t>
            </w:r>
            <w:r>
              <w:rPr>
                <w:rFonts w:hint="eastAsia" w:asciiTheme="minorEastAsia" w:hAnsiTheme="minorEastAsia" w:eastAsiaTheme="minorEastAsia" w:cstheme="minorEastAsia"/>
                <w:color w:val="auto"/>
                <w:sz w:val="21"/>
                <w:szCs w:val="21"/>
                <w:highlight w:val="none"/>
                <w:lang w:eastAsia="zh-CN"/>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电子投标文件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指通过“政采云电子交易客户端”完成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文件编制后生成并加密的数据电文形式的</w:t>
            </w:r>
            <w:r>
              <w:rPr>
                <w:rFonts w:hint="eastAsia" w:asciiTheme="minorEastAsia" w:hAnsiTheme="minorEastAsia" w:eastAsiaTheme="minorEastAsia" w:cstheme="minorEastAsia"/>
                <w:color w:val="auto"/>
                <w:sz w:val="21"/>
                <w:szCs w:val="21"/>
                <w:highlight w:val="none"/>
                <w:lang w:val="en-US" w:eastAsia="zh-CN"/>
              </w:rPr>
              <w:t>电子投标</w:t>
            </w:r>
            <w:r>
              <w:rPr>
                <w:rFonts w:hint="eastAsia" w:asciiTheme="minorEastAsia" w:hAnsiTheme="minorEastAsia" w:eastAsiaTheme="minorEastAsia" w:cstheme="minorEastAsia"/>
                <w:color w:val="auto"/>
                <w:sz w:val="21"/>
                <w:szCs w:val="21"/>
                <w:highlight w:val="none"/>
              </w:rPr>
              <w:t>文件。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是指“电子投标文件”同时生成的数据电文形式的电子文件（备份标书），以U盘形式提供。</w:t>
            </w:r>
          </w:p>
          <w:p>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投标文件有效期</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23" w:type="dxa"/>
            <w:vAlign w:val="center"/>
          </w:tcPr>
          <w:p>
            <w:pPr>
              <w:pStyle w:val="4"/>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电子投标文件的传输递交</w:t>
            </w:r>
          </w:p>
        </w:tc>
        <w:tc>
          <w:tcPr>
            <w:tcW w:w="6692" w:type="dxa"/>
            <w:vAlign w:val="center"/>
          </w:tcPr>
          <w:p>
            <w:pPr>
              <w:spacing w:line="300" w:lineRule="exact"/>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lang w:eastAsia="zh-CN"/>
              </w:rPr>
              <w:t>2022年8月16日下午14:30整</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备份投标文件的递交</w:t>
            </w:r>
          </w:p>
        </w:tc>
        <w:tc>
          <w:tcPr>
            <w:tcW w:w="6692" w:type="dxa"/>
            <w:vAlign w:val="center"/>
          </w:tcPr>
          <w:p>
            <w:pPr>
              <w:pStyle w:val="54"/>
              <w:snapToGrid w:val="0"/>
              <w:spacing w:line="300" w:lineRule="exact"/>
              <w:rPr>
                <w:rFonts w:ascii="宋体" w:hAnsi="宋体"/>
                <w:color w:val="auto"/>
                <w:kern w:val="2"/>
                <w:highlight w:val="none"/>
              </w:rPr>
            </w:pPr>
            <w:r>
              <w:rPr>
                <w:rFonts w:hint="eastAsia" w:ascii="宋体" w:hAnsi="宋体"/>
                <w:color w:val="auto"/>
                <w:kern w:val="2"/>
                <w:highlight w:val="none"/>
              </w:rPr>
              <w:t>供应商同时还可以提供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顺丰邮寄到台州市椒江区中环世纪6幢8</w:t>
            </w:r>
            <w:r>
              <w:rPr>
                <w:rFonts w:hint="eastAsia" w:ascii="宋体" w:hAnsi="宋体"/>
                <w:color w:val="auto"/>
                <w:kern w:val="2"/>
                <w:highlight w:val="none"/>
                <w:lang w:val="en-US" w:eastAsia="zh-CN"/>
              </w:rPr>
              <w:t>楼</w:t>
            </w:r>
            <w:r>
              <w:rPr>
                <w:rFonts w:hint="eastAsia" w:ascii="宋体" w:hAnsi="宋体"/>
                <w:color w:val="auto"/>
                <w:kern w:val="2"/>
                <w:highlight w:val="none"/>
              </w:rPr>
              <w:t>（</w:t>
            </w:r>
            <w:r>
              <w:rPr>
                <w:rFonts w:hint="eastAsia" w:ascii="宋体" w:hAnsi="宋体"/>
                <w:color w:val="auto"/>
                <w:kern w:val="2"/>
                <w:highlight w:val="none"/>
                <w:lang w:val="en-US" w:eastAsia="zh-CN"/>
              </w:rPr>
              <w:t>浙江汇永工程咨询有限公司</w:t>
            </w:r>
            <w:r>
              <w:rPr>
                <w:rFonts w:hint="eastAsia" w:ascii="宋体" w:hAnsi="宋体"/>
                <w:color w:val="auto"/>
                <w:kern w:val="2"/>
                <w:highlight w:val="none"/>
              </w:rPr>
              <w:t>）收件人：</w:t>
            </w:r>
            <w:r>
              <w:rPr>
                <w:rFonts w:hint="eastAsia" w:ascii="宋体" w:hAnsi="宋体"/>
                <w:color w:val="auto"/>
                <w:kern w:val="2"/>
                <w:highlight w:val="none"/>
                <w:lang w:eastAsia="zh-CN"/>
              </w:rPr>
              <w:t>陈奕圩</w:t>
            </w:r>
            <w:r>
              <w:rPr>
                <w:rFonts w:hint="eastAsia" w:ascii="宋体" w:hAnsi="宋体"/>
                <w:color w:val="auto"/>
                <w:kern w:val="2"/>
                <w:highlight w:val="none"/>
              </w:rPr>
              <w:t>；联系电话：18257695510，逾期寄达或未按要求密封将被拒收。如投标人未在投标截止时间前完成电子投标文件的传输递交，其备份投标文件也将为无效投标文件。</w:t>
            </w:r>
          </w:p>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2022年8月16日下午14:30整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23" w:type="dxa"/>
            <w:vAlign w:val="center"/>
          </w:tcPr>
          <w:p>
            <w:pPr>
              <w:keepNext w:val="0"/>
              <w:keepLines w:val="0"/>
              <w:pageBreakBefore w:val="0"/>
              <w:kinsoku/>
              <w:wordWrap/>
              <w:overflowPunct/>
              <w:topLinePunct w:val="0"/>
              <w:bidi w:val="0"/>
              <w:spacing w:line="36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cs="宋体"/>
                <w:color w:val="auto"/>
                <w:sz w:val="21"/>
                <w:szCs w:val="21"/>
                <w:highlight w:val="none"/>
                <w:lang w:val="en-US" w:eastAsia="zh-CN"/>
              </w:rPr>
              <w:t>及密封要求</w:t>
            </w:r>
          </w:p>
        </w:tc>
        <w:tc>
          <w:tcPr>
            <w:tcW w:w="6692" w:type="dxa"/>
            <w:vAlign w:val="center"/>
          </w:tcPr>
          <w:p>
            <w:pPr>
              <w:pStyle w:val="20"/>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keepNext w:val="0"/>
              <w:keepLines w:val="0"/>
              <w:pageBreakBefore w:val="0"/>
              <w:kinsoku/>
              <w:wordWrap/>
              <w:overflowPunct/>
              <w:topLinePunct w:val="0"/>
              <w:bidi w:val="0"/>
              <w:spacing w:line="360" w:lineRule="auto"/>
              <w:rPr>
                <w:rFonts w:ascii="宋体" w:hAnsi="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电子投标文件解密时间及地点</w:t>
            </w:r>
          </w:p>
        </w:tc>
        <w:tc>
          <w:tcPr>
            <w:tcW w:w="669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 w:val="21"/>
                <w:szCs w:val="21"/>
                <w:highlight w:val="none"/>
                <w:lang w:eastAsia="zh-CN"/>
              </w:rPr>
              <w:t>2022年8月16日下午14:30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pPr>
              <w:pStyle w:val="53"/>
              <w:rPr>
                <w:rFonts w:hAnsi="宋体" w:cs="宋体"/>
                <w:color w:val="auto"/>
                <w:sz w:val="21"/>
                <w:szCs w:val="21"/>
                <w:highlight w:val="none"/>
              </w:rPr>
            </w:pPr>
            <w:r>
              <w:rPr>
                <w:rFonts w:hint="eastAsia" w:hAnsi="宋体" w:cs="宋体"/>
                <w:color w:val="auto"/>
                <w:kern w:val="2"/>
                <w:sz w:val="21"/>
                <w:szCs w:val="21"/>
                <w:highlight w:val="none"/>
              </w:rPr>
              <w:t>地点：</w:t>
            </w:r>
            <w:r>
              <w:rPr>
                <w:rFonts w:hint="eastAsia" w:hAnsi="宋体" w:cs="宋体"/>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123" w:type="dxa"/>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692"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123" w:type="dxa"/>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其他要求</w:t>
            </w:r>
          </w:p>
        </w:tc>
        <w:tc>
          <w:tcPr>
            <w:tcW w:w="6692" w:type="dxa"/>
            <w:vAlign w:val="center"/>
          </w:tcPr>
          <w:p>
            <w:pPr>
              <w:jc w:val="left"/>
              <w:rPr>
                <w:rFonts w:hint="eastAsia" w:ascii="宋体" w:hAnsi="宋体" w:eastAsia="宋体" w:cs="宋体"/>
                <w:color w:val="auto"/>
                <w:sz w:val="21"/>
                <w:szCs w:val="21"/>
                <w:highlight w:val="none"/>
              </w:rPr>
            </w:pPr>
            <w:r>
              <w:rPr>
                <w:rFonts w:hint="eastAsia" w:hAnsi="宋体"/>
                <w:color w:val="auto"/>
                <w:highlight w:val="none"/>
              </w:rPr>
              <w:t>1、踏勘现场时间及地点</w:t>
            </w:r>
            <w:r>
              <w:rPr>
                <w:color w:val="auto"/>
                <w:highlight w:val="none"/>
              </w:rPr>
              <w:t>：</w:t>
            </w:r>
            <w:r>
              <w:rPr>
                <w:rFonts w:hint="eastAsia" w:hAnsi="宋体"/>
                <w:color w:val="auto"/>
                <w:highlight w:val="none"/>
              </w:rPr>
              <w:t>不组织，各投标单位根据自己需要，自行前往勘察现场和周围环境，所产生的费用由投标单位自理。</w:t>
            </w:r>
            <w:r>
              <w:rPr>
                <w:rFonts w:hint="eastAsia" w:ascii="宋体" w:hAnsi="宋体"/>
                <w:color w:val="auto"/>
                <w:szCs w:val="21"/>
                <w:highlight w:val="none"/>
              </w:rPr>
              <w:t>2、节能产品、环保产品：无要求；3、样品：无要求；4、现场演示：无要求。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2123"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pPr>
              <w:pStyle w:val="53"/>
              <w:spacing w:line="360" w:lineRule="auto"/>
              <w:rPr>
                <w:rFonts w:hint="eastAsia" w:ascii="宋体" w:hAnsi="宋体" w:eastAsia="宋体" w:cs="宋体"/>
                <w:color w:val="auto"/>
                <w:sz w:val="21"/>
                <w:szCs w:val="21"/>
                <w:highlight w:val="none"/>
                <w:lang w:val="zh-CN" w:eastAsia="zh-CN" w:bidi="ar-SA"/>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8"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92" w:type="dxa"/>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本招标文件的解释权属于</w:t>
            </w:r>
            <w:r>
              <w:rPr>
                <w:rFonts w:hint="eastAsia" w:ascii="宋体" w:hAnsi="宋体"/>
                <w:b/>
                <w:color w:val="auto"/>
                <w:szCs w:val="21"/>
                <w:highlight w:val="none"/>
                <w:lang w:eastAsia="zh-CN"/>
              </w:rPr>
              <w:t>浙江汇永工程咨询有限公司</w:t>
            </w:r>
          </w:p>
        </w:tc>
      </w:tr>
    </w:tbl>
    <w:p>
      <w:pPr>
        <w:spacing w:line="360" w:lineRule="auto"/>
        <w:rPr>
          <w:rFonts w:hint="eastAsia" w:asciiTheme="minorEastAsia" w:hAnsiTheme="minorEastAsia" w:eastAsiaTheme="minorEastAsia" w:cstheme="minorEastAsia"/>
          <w:b/>
          <w:bCs/>
          <w:color w:val="auto"/>
          <w:szCs w:val="21"/>
          <w:highlight w:val="none"/>
        </w:rPr>
      </w:pP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一、总则</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 适用范围</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（二）定义</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“采购组织机构”指采购人委托组织招标的采购代理机构。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2、采购人：是指委托</w:t>
      </w:r>
      <w:r>
        <w:rPr>
          <w:rFonts w:hint="eastAsia" w:asciiTheme="minorEastAsia" w:hAnsiTheme="minorEastAsia" w:eastAsiaTheme="minorEastAsia" w:cstheme="minorEastAsia"/>
          <w:color w:val="auto"/>
          <w:szCs w:val="21"/>
          <w:highlight w:val="none"/>
          <w:lang w:val="zh-CN"/>
        </w:rPr>
        <w:t>采购代理机构</w:t>
      </w:r>
      <w:r>
        <w:rPr>
          <w:rFonts w:hint="eastAsia" w:asciiTheme="minorEastAsia" w:hAnsiTheme="minorEastAsia" w:eastAsiaTheme="minorEastAsia" w:cstheme="minorEastAsia"/>
          <w:color w:val="auto"/>
          <w:szCs w:val="21"/>
          <w:highlight w:val="none"/>
        </w:rPr>
        <w:t>采购本次项目的国家机关、事业单位和团体组织。</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4、货物：是指各种形态和种类的物品，包括原材料、燃料、设备、产品等。</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6、“书面形式”包括信函、传真等。</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7、“▲”系指实质性要求条款。</w:t>
      </w:r>
    </w:p>
    <w:p>
      <w:pPr>
        <w:keepNext w:val="0"/>
        <w:keepLines w:val="0"/>
        <w:pageBreakBefore w:val="0"/>
        <w:kinsoku/>
        <w:wordWrap/>
        <w:overflowPunct/>
        <w:topLinePunct w:val="0"/>
        <w:bidi w:val="0"/>
        <w:spacing w:line="360" w:lineRule="auto"/>
        <w:ind w:firstLine="422" w:firstLineChars="200"/>
        <w:jc w:val="left"/>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（三）投标费用</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不论投标结果如何，投标人均应自行承担所有与投标有关的全部费用（招标文件有相关规定除外）。</w:t>
      </w:r>
    </w:p>
    <w:p>
      <w:pPr>
        <w:keepNext w:val="0"/>
        <w:keepLines w:val="0"/>
        <w:pageBreakBefore w:val="0"/>
        <w:kinsoku/>
        <w:wordWrap/>
        <w:overflowPunct/>
        <w:topLinePunct w:val="0"/>
        <w:bidi w:val="0"/>
        <w:spacing w:line="360" w:lineRule="auto"/>
        <w:ind w:firstLine="422" w:firstLineChars="200"/>
        <w:jc w:val="left"/>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（四）特别说明</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1、投标人投标所使用的资格、信誉、荣誉、业绩与企业认证必须为本法人所拥有。投标人投标所使用的采购项目实施人员必须为本法人员工。</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6、投标文件格式中的表格式样可以根据项目差别做适当调整,但应当保持表格样式基本形态不变。</w:t>
      </w:r>
    </w:p>
    <w:p>
      <w:pPr>
        <w:tabs>
          <w:tab w:val="left" w:pos="851"/>
        </w:tabs>
        <w:autoSpaceDE w:val="0"/>
        <w:autoSpaceDN w:val="0"/>
        <w:adjustRightInd w:val="0"/>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tabs>
          <w:tab w:val="left" w:pos="851"/>
        </w:tabs>
        <w:autoSpaceDE w:val="0"/>
        <w:autoSpaceDN w:val="0"/>
        <w:adjustRightInd w:val="0"/>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rPr>
        <w:t>本项目不允许分包。</w:t>
      </w: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二、招标文件</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（一）招标文件由招标文件总目录所列内容组成。</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（二）招标文件的澄清或修改</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2、投标人在规定的时间内未对招标文件提出疑问、质疑或要求澄清的，将视其为无异议。对招标文件中描述有歧义或</w:t>
      </w:r>
      <w:r>
        <w:rPr>
          <w:rFonts w:hint="eastAsia" w:asciiTheme="minorEastAsia" w:hAnsiTheme="minorEastAsia" w:eastAsiaTheme="minorEastAsia" w:cstheme="minorEastAsia"/>
          <w:color w:val="auto"/>
          <w:szCs w:val="21"/>
          <w:highlight w:val="none"/>
        </w:rPr>
        <w:t>前后不一致的地方，评标委员会有权进行评判，但对同一条款的评判应适用于每个投标人。</w:t>
      </w: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本项目实行电子投标，供应商应准备电子投标文件、</w:t>
      </w:r>
      <w:r>
        <w:rPr>
          <w:rFonts w:hint="eastAsia" w:asciiTheme="minorEastAsia" w:hAnsiTheme="minorEastAsia" w:eastAsiaTheme="minorEastAsia" w:cstheme="minorEastAsia"/>
          <w:bCs/>
          <w:color w:val="auto"/>
          <w:sz w:val="21"/>
          <w:szCs w:val="21"/>
          <w:highlight w:val="none"/>
          <w:lang w:val="en-US" w:eastAsia="zh-CN"/>
        </w:rPr>
        <w:t>还可以提供</w:t>
      </w:r>
      <w:r>
        <w:rPr>
          <w:rFonts w:hint="eastAsia" w:asciiTheme="minorEastAsia" w:hAnsiTheme="minorEastAsia" w:eastAsiaTheme="minorEastAsia" w:cstheme="minorEastAsia"/>
          <w:bCs/>
          <w:color w:val="auto"/>
          <w:sz w:val="21"/>
          <w:szCs w:val="21"/>
          <w:highlight w:val="none"/>
          <w:lang w:eastAsia="zh-CN"/>
        </w:rPr>
        <w:t>备份</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lang w:val="zh-CN"/>
        </w:rPr>
        <w:t>电子投标文件按</w:t>
      </w:r>
      <w:r>
        <w:rPr>
          <w:rFonts w:hint="eastAsia" w:asciiTheme="minorEastAsia" w:hAnsiTheme="minorEastAsia" w:eastAsiaTheme="minorEastAsia" w:cstheme="minorEastAsia"/>
          <w:bCs/>
          <w:color w:val="auto"/>
          <w:szCs w:val="21"/>
          <w:highlight w:val="none"/>
        </w:rPr>
        <w:t>政府采购</w:t>
      </w:r>
      <w:r>
        <w:rPr>
          <w:rFonts w:hint="eastAsia" w:asciiTheme="minorEastAsia" w:hAnsiTheme="minorEastAsia" w:eastAsiaTheme="minorEastAsia" w:cstheme="minorEastAsia"/>
          <w:bCs/>
          <w:color w:val="auto"/>
          <w:szCs w:val="21"/>
          <w:highlight w:val="none"/>
          <w:lang w:val="zh-CN"/>
        </w:rPr>
        <w:t>云平台供应商项目采购</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电子招投标操作指南</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网址</w:t>
      </w:r>
      <w:r>
        <w:rPr>
          <w:rFonts w:hint="eastAsia" w:asciiTheme="minorEastAsia" w:hAnsiTheme="minorEastAsia" w:eastAsiaTheme="minorEastAsia" w:cstheme="minorEastAsia"/>
          <w:bCs/>
          <w:color w:val="auto"/>
          <w:szCs w:val="21"/>
          <w:highlight w:val="none"/>
        </w:rPr>
        <w:t>：https://help.zcygov.cn/web/site_2/2018/12-28/2573.html）</w:t>
      </w:r>
      <w:r>
        <w:rPr>
          <w:rFonts w:hint="eastAsia" w:asciiTheme="minorEastAsia" w:hAnsiTheme="minorEastAsia" w:eastAsiaTheme="minorEastAsia" w:cstheme="minorEastAsia"/>
          <w:bCs/>
          <w:color w:val="auto"/>
          <w:szCs w:val="21"/>
          <w:highlight w:val="none"/>
          <w:lang w:val="zh-CN"/>
        </w:rPr>
        <w:t>及本招标文件要求制作、加密并</w:t>
      </w:r>
      <w:r>
        <w:rPr>
          <w:rFonts w:hint="eastAsia" w:asciiTheme="minorEastAsia" w:hAnsiTheme="minorEastAsia" w:eastAsiaTheme="minorEastAsia" w:cstheme="minorEastAsia"/>
          <w:bCs/>
          <w:color w:val="auto"/>
          <w:szCs w:val="21"/>
          <w:highlight w:val="none"/>
        </w:rPr>
        <w:t>传输</w:t>
      </w:r>
      <w:r>
        <w:rPr>
          <w:rFonts w:hint="eastAsia" w:asciiTheme="minorEastAsia" w:hAnsiTheme="minorEastAsia" w:eastAsiaTheme="minorEastAsia" w:cstheme="minorEastAsia"/>
          <w:bCs/>
          <w:color w:val="auto"/>
          <w:szCs w:val="21"/>
          <w:highlight w:val="none"/>
          <w:lang w:val="zh-CN"/>
        </w:rPr>
        <w:t>递交。</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宋体" w:hAnsi="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w:t>
      </w:r>
      <w:r>
        <w:rPr>
          <w:rFonts w:hint="eastAsia" w:asciiTheme="minorEastAsia" w:hAnsiTheme="minorEastAsia" w:eastAsiaTheme="minorEastAsia" w:cstheme="minorEastAsia"/>
          <w:color w:val="auto"/>
          <w:sz w:val="21"/>
          <w:szCs w:val="21"/>
          <w:highlight w:val="none"/>
          <w:u w:val="single"/>
          <w:lang w:val="en-US" w:eastAsia="zh-CN"/>
        </w:rPr>
        <w:t>投标</w:t>
      </w:r>
      <w:r>
        <w:rPr>
          <w:rFonts w:hint="eastAsia" w:asciiTheme="minorEastAsia" w:hAnsiTheme="minorEastAsia" w:eastAsiaTheme="minorEastAsia" w:cstheme="minorEastAsia"/>
          <w:color w:val="auto"/>
          <w:sz w:val="21"/>
          <w:szCs w:val="21"/>
          <w:highlight w:val="none"/>
          <w:u w:val="single"/>
          <w:lang w:eastAsia="zh-CN"/>
        </w:rPr>
        <w:t>文件</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bCs/>
          <w:color w:val="auto"/>
          <w:szCs w:val="21"/>
          <w:highlight w:val="none"/>
        </w:rPr>
        <w:t>投标文件的组成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投标人接到招标文件后，按照招标文件的要求提供投标文件（包含电子投标文件和备份投标文件）：由资格证明文件、商务与技术文件和报价文件三部分组成。</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（3）法人或者其他组织的营业执照等证明文件，自然人的身份证明；</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2、商务与技术文件的组成：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（1）投标人</w:t>
      </w:r>
      <w:r>
        <w:rPr>
          <w:rFonts w:hint="eastAsia" w:asciiTheme="minorEastAsia" w:hAnsiTheme="minorEastAsia" w:eastAsiaTheme="minorEastAsia" w:cstheme="minorEastAsia"/>
          <w:color w:val="auto"/>
          <w:sz w:val="21"/>
          <w:szCs w:val="21"/>
          <w:highlight w:val="none"/>
          <w:lang w:val="en-US" w:eastAsia="zh-CN"/>
        </w:rPr>
        <w:t>企业</w:t>
      </w:r>
      <w:r>
        <w:rPr>
          <w:rFonts w:hint="eastAsia" w:asciiTheme="minorEastAsia" w:hAnsiTheme="minorEastAsia" w:eastAsiaTheme="minorEastAsia" w:cstheme="minorEastAsia"/>
          <w:color w:val="auto"/>
          <w:sz w:val="21"/>
          <w:szCs w:val="21"/>
          <w:highlight w:val="none"/>
        </w:rPr>
        <w:t>情况介绍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（2）投标方案描述：</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C.验收方案（包括项目验收标准和验收方法等）和措施；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（3）商务及技术响应表。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（5）类似项目的成功案例（投标人类似项目实施情况一览表、合同复印件及其相应的发票、用户验收报告等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（7）售后服务描述及承诺：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line="41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B.针对本项目的售后服务措施及承诺（售后技术服务方案、人员配备、</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响应时间、技术培训方案等）。</w:t>
      </w:r>
    </w:p>
    <w:p>
      <w:pPr>
        <w:keepNext w:val="0"/>
        <w:keepLines w:val="0"/>
        <w:pageBreakBefore w:val="0"/>
        <w:kinsoku/>
        <w:wordWrap/>
        <w:overflowPunct/>
        <w:topLinePunct w:val="0"/>
        <w:bidi w:val="0"/>
        <w:spacing w:line="410" w:lineRule="exact"/>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宋体" w:hAnsi="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3、报价文件的组成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（1）报价文件由开标一览表、中小企业声明函，以及投标人认为其他需要说明的内容组成。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（2）此报价为投标人一次性报出唯一的最终价格，包含其它一切所要涉及到的费用，有选择的报价将被拒绝。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（4）政府采购优惠政策相关资料、产品适用政府采购政策情况表（如有）。</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（5）相关报价单需打印或用不退色的墨水填写， 投标报价</w:t>
      </w:r>
      <w:r>
        <w:rPr>
          <w:rFonts w:hint="eastAsia" w:asciiTheme="minorEastAsia" w:hAnsiTheme="minorEastAsia" w:eastAsiaTheme="minorEastAsia" w:cstheme="minorEastAsia"/>
          <w:color w:val="auto"/>
          <w:szCs w:val="21"/>
          <w:highlight w:val="none"/>
        </w:rPr>
        <w:t>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（6）投标报价应按招标文件中相关附表格式填写。</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（二）投标文件的制作、封装及递交要求</w:t>
      </w:r>
    </w:p>
    <w:p>
      <w:pPr>
        <w:snapToGrid w:val="0"/>
        <w:spacing w:before="120" w:beforeLines="50"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投标文件的签署</w:t>
      </w:r>
    </w:p>
    <w:p>
      <w:pPr>
        <w:snapToGrid w:val="0"/>
        <w:spacing w:line="360" w:lineRule="auto"/>
        <w:ind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电子投标文件中须加盖</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2、投标文件的制作</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w:t>
      </w:r>
      <w:r>
        <w:rPr>
          <w:rFonts w:hint="eastAsia" w:asciiTheme="minorEastAsia" w:hAnsiTheme="minorEastAsia" w:eastAsiaTheme="minorEastAsia" w:cstheme="minorEastAsia"/>
          <w:color w:val="auto"/>
          <w:szCs w:val="21"/>
          <w:highlight w:val="none"/>
        </w:rPr>
        <w:t>，应采用中华人民共和国法定计量单位（货币单位：人民币元）。</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5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w:t>
      </w:r>
      <w:r>
        <w:rPr>
          <w:rFonts w:hint="eastAsia" w:asciiTheme="minorEastAsia" w:hAnsiTheme="minorEastAsia" w:eastAsiaTheme="minorEastAsia" w:cstheme="minorEastAsia"/>
          <w:color w:val="auto"/>
          <w:sz w:val="21"/>
          <w:szCs w:val="21"/>
          <w:highlight w:val="none"/>
          <w:lang w:val="en-US" w:eastAsia="zh-CN"/>
        </w:rPr>
        <w:t>褪</w:t>
      </w:r>
      <w:r>
        <w:rPr>
          <w:rFonts w:hint="eastAsia" w:asciiTheme="minorEastAsia" w:hAnsiTheme="minorEastAsia" w:eastAsiaTheme="minorEastAsia" w:cstheme="minorEastAsia"/>
          <w:color w:val="auto"/>
          <w:sz w:val="21"/>
          <w:szCs w:val="21"/>
          <w:highlight w:val="none"/>
        </w:rPr>
        <w:t>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w:t>
      </w:r>
      <w:r>
        <w:rPr>
          <w:rFonts w:hint="eastAsia" w:asciiTheme="minorEastAsia" w:hAnsiTheme="minorEastAsia" w:eastAsiaTheme="minorEastAsia" w:cstheme="minorEastAsia"/>
          <w:color w:val="auto"/>
          <w:sz w:val="21"/>
          <w:szCs w:val="21"/>
          <w:highlight w:val="none"/>
          <w:lang w:val="en-US" w:eastAsia="zh-CN"/>
        </w:rPr>
        <w:t>编制</w:t>
      </w:r>
      <w:r>
        <w:rPr>
          <w:rFonts w:hint="eastAsia" w:asciiTheme="minorEastAsia" w:hAnsiTheme="minorEastAsia" w:eastAsiaTheme="minorEastAsia" w:cstheme="minorEastAsia"/>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（2）所有投标资料按投标文件的组成所列内容及顺序装订成册，</w:t>
      </w:r>
      <w:r>
        <w:rPr>
          <w:rFonts w:hint="eastAsia" w:asciiTheme="minorEastAsia" w:hAnsiTheme="minorEastAsia" w:eastAsiaTheme="minorEastAsia" w:cstheme="minorEastAsia"/>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备份</w:t>
      </w:r>
      <w:r>
        <w:rPr>
          <w:rFonts w:hint="eastAsia" w:asciiTheme="minorEastAsia" w:hAnsiTheme="minorEastAsia" w:eastAsiaTheme="minorEastAsia" w:cstheme="minorEastAsia"/>
          <w:color w:val="auto"/>
          <w:sz w:val="21"/>
          <w:szCs w:val="21"/>
          <w:highlight w:val="none"/>
        </w:rPr>
        <w:t>投标文件在密封袋的封口处加盖投标人公章、</w:t>
      </w: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rPr>
        <w:t>代表或</w:t>
      </w:r>
      <w:r>
        <w:rPr>
          <w:rFonts w:hint="eastAsia" w:asciiTheme="minorEastAsia" w:hAnsiTheme="minorEastAsia" w:eastAsiaTheme="minorEastAsia" w:cstheme="minorEastAsia"/>
          <w:color w:val="auto"/>
          <w:sz w:val="21"/>
          <w:szCs w:val="21"/>
          <w:highlight w:val="none"/>
          <w:lang w:val="en-US" w:eastAsia="zh-CN"/>
        </w:rPr>
        <w:t>授权委托代理人</w:t>
      </w:r>
      <w:r>
        <w:rPr>
          <w:rFonts w:hint="eastAsia" w:asciiTheme="minorEastAsia" w:hAnsiTheme="minorEastAsia" w:eastAsiaTheme="minorEastAsia" w:cstheme="minorEastAsia"/>
          <w:color w:val="auto"/>
          <w:sz w:val="21"/>
          <w:szCs w:val="21"/>
          <w:highlight w:val="none"/>
        </w:rPr>
        <w:t>印章或签字。封皮上写明项目编号、标项、招</w:t>
      </w:r>
      <w:r>
        <w:rPr>
          <w:rFonts w:hint="eastAsia" w:asciiTheme="minorEastAsia" w:hAnsiTheme="minorEastAsia" w:eastAsiaTheme="minorEastAsia" w:cstheme="minorEastAsia"/>
          <w:color w:val="auto"/>
          <w:sz w:val="21"/>
          <w:szCs w:val="21"/>
          <w:highlight w:val="none"/>
        </w:rPr>
        <w:t>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（4）项目如分标项，各标项投标文件必须分开编制。</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因密封不严、标记不明而造成失密、拒收、</w:t>
      </w:r>
      <w:r>
        <w:rPr>
          <w:rFonts w:hint="eastAsia" w:asciiTheme="minorEastAsia" w:hAnsiTheme="minorEastAsia" w:eastAsiaTheme="minorEastAsia" w:cstheme="minorEastAsia"/>
          <w:color w:val="auto"/>
          <w:sz w:val="21"/>
          <w:szCs w:val="21"/>
          <w:highlight w:val="none"/>
          <w:lang w:val="zh-CN"/>
        </w:rPr>
        <w:t>过早启封等情况，采购代理机构概不负责。</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顺丰邮寄到台州市椒江区中环世纪6幢8</w:t>
      </w:r>
      <w:r>
        <w:rPr>
          <w:rFonts w:hint="eastAsia" w:asciiTheme="minorEastAsia" w:hAnsiTheme="minorEastAsia" w:eastAsiaTheme="minorEastAsia" w:cstheme="minorEastAsia"/>
          <w:color w:val="auto"/>
          <w:sz w:val="21"/>
          <w:szCs w:val="21"/>
          <w:highlight w:val="none"/>
          <w:lang w:val="en-US" w:eastAsia="zh-CN"/>
        </w:rPr>
        <w:t>楼</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浙江汇永工程咨询有限公司</w:t>
      </w:r>
      <w:r>
        <w:rPr>
          <w:rFonts w:hint="eastAsia" w:asciiTheme="minorEastAsia" w:hAnsiTheme="minorEastAsia" w:eastAsiaTheme="minorEastAsia" w:cstheme="minorEastAsia"/>
          <w:color w:val="auto"/>
          <w:sz w:val="21"/>
          <w:szCs w:val="21"/>
          <w:highlight w:val="none"/>
        </w:rPr>
        <w:t>）收件人：</w:t>
      </w:r>
      <w:r>
        <w:rPr>
          <w:rFonts w:hint="eastAsia" w:asciiTheme="minorEastAsia" w:hAnsiTheme="minorEastAsia" w:eastAsiaTheme="minorEastAsia" w:cstheme="minorEastAsia"/>
          <w:color w:val="auto"/>
          <w:sz w:val="21"/>
          <w:szCs w:val="21"/>
          <w:highlight w:val="none"/>
          <w:lang w:val="en-US" w:eastAsia="zh-CN"/>
        </w:rPr>
        <w:t>陈奕圩</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18257695510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投标文件在截止时间后提交，采购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机构将拒绝接收。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供应商进行电子投标应安装客户端软件，并按照采购文件和电子交易平台的要求编制并加密投标文件。供应商未按规定加密的投标文件，电子交易平台将拒收。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如有特殊情况，采购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机构延长截止时间和开标时间，采购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机构和投标人的权利和义务将受到新的截止时间和开标时间的约束。</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4、投标文件的补充、修改和撤回。</w:t>
      </w:r>
    </w:p>
    <w:p>
      <w:pPr>
        <w:pStyle w:val="67"/>
        <w:ind w:left="0" w:leftChars="0" w:firstLine="42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7"/>
        <w:ind w:left="0" w:leftChars="0" w:firstLine="42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GB" w:eastAsia="zh-CN" w:bidi="ar-SA"/>
        </w:rPr>
        <w:t>）投标截止时间后，投标供应商不得撤回、修改投标文件。</w:t>
      </w:r>
    </w:p>
    <w:p>
      <w:pPr>
        <w:pStyle w:val="67"/>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2、在符合相关法律法规规定的情况下</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GB"/>
        </w:rPr>
        <w:t>采购人可与投标人协商延长投标文件的有效期，这种要求和答复均以书面形式进行。</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3、中标人的投标文件自开标之日起至合同履行完毕均应保持有效。</w:t>
      </w: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四、开标</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开标程序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1、开标会由招标项目负责人主持，主持人宣布开标会议开始；</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2、主持人介绍参加开标会的人员名单；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5、采购组织机构点击【开启标书信息】，进入资格审查及符合性审查环节。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、完成综合比较与评价后，开启报价响应文件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采购代理机构成功开启报价响应文件后，方可查看各供应商报价情况。</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、报价文件评审；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、在完成评标后，宣布评标结果，开标会议结束。</w:t>
      </w: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五、评标</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（一）组建评标委员会</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评标委员会由采购人代表和评审专家组</w:t>
      </w:r>
      <w:r>
        <w:rPr>
          <w:rFonts w:hint="eastAsia" w:asciiTheme="minorEastAsia" w:hAnsiTheme="minorEastAsia" w:eastAsiaTheme="minorEastAsia" w:cstheme="minorEastAsia"/>
          <w:color w:val="auto"/>
          <w:szCs w:val="21"/>
          <w:highlight w:val="none"/>
        </w:rPr>
        <w:t>成，成员人数为5人以上单数，其中评审专家不得少于成员总数的三分之二。</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（二）评标程序</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1、资格审查</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2、符合性审查</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4、得分确认及评审报告编写</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5、评价</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（三）澄清问题的形式</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w:t>
      </w:r>
      <w:r>
        <w:rPr>
          <w:rFonts w:hint="eastAsia" w:asciiTheme="minorEastAsia" w:hAnsiTheme="minorEastAsia" w:eastAsiaTheme="minorEastAsia" w:cstheme="minorEastAsia"/>
          <w:color w:val="auto"/>
          <w:szCs w:val="21"/>
          <w:highlight w:val="none"/>
        </w:rPr>
        <w:t>签字，并不得超出投标文件的范围或者改变投标文件的实质性内容。</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（四）错误修正</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w:t>
      </w:r>
      <w:r>
        <w:rPr>
          <w:rFonts w:hint="eastAsia" w:asciiTheme="minorEastAsia" w:hAnsiTheme="minorEastAsia" w:eastAsiaTheme="minorEastAsia" w:cstheme="minorEastAsia"/>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同时出现两种以上不一致的，按照前款规定的顺序修正。修正应当采用书面形式，并加盖公章，或者由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法定代表人或授权委托代理人签字</w:t>
      </w:r>
      <w:r>
        <w:rPr>
          <w:rFonts w:hint="eastAsia" w:asciiTheme="minorEastAsia" w:hAnsiTheme="minorEastAsia" w:eastAsiaTheme="minorEastAsia" w:cstheme="minorEastAsia"/>
          <w:color w:val="auto"/>
          <w:szCs w:val="21"/>
          <w:highlight w:val="none"/>
        </w:rPr>
        <w:t>。修正后的报价经投标人确认后产生约束力，投标人不确认的，其投标无效。</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（五）投标人存在下列情况之一的，投标无效</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1、资格证明文件或商务与技术文件跟报价文件出现混装或在资格证明文件或商务与技术文件中出现投标报价的，或者报价文件中报价的</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跟商务与技术文件中的投标</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出现重大偏差的；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2、不具备招标文件中规定的资格要求的。</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3、投标文件含有采购人不能接受的附加条件的。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5、投标人的电子投标文件无法按时解密的。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7、电子投标文件未按规定要求提供电子签章的；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9、报价超过招标文件中规定的最高限价。 </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10、投标参数未如实填写，完全复制粘贴招标参数的。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11、投标文件提供虚假材料的。 </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11、不符合法律、法规和招标文件中规定的其他实质性要求的（招标文件中打“▲”内容及被拒绝的条款）。</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（六）有下列情况之一的，本次招标作为废标处理</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1、出现影响采购公正的违法、违规行为的；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3、因重大变故，采购任务取消的；</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4、法律、法规和招标文件规定的其他导致评标结果无效的。</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（七）评标原则和评标办法</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2、评标办法。具体评标内容及评分标准等详见《第三章：评标方法及评分标准》。</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（八）评标过程的监控</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六、定标</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line="360" w:lineRule="auto"/>
        <w:ind w:firstLine="420" w:firstLineChars="200"/>
        <w:jc w:val="left"/>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3、发出中标通知书。采购组织机构在发布中标结果的同时，向中标人发出中标通知书。</w:t>
      </w:r>
    </w:p>
    <w:p>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 w:val="21"/>
          <w:szCs w:val="21"/>
          <w:highlight w:val="none"/>
        </w:rPr>
        <w:t>招标代理费：</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w:t>
      </w:r>
      <w:r>
        <w:rPr>
          <w:rFonts w:hint="eastAsia" w:hAnsi="宋体" w:cs="宋体"/>
          <w:color w:val="auto"/>
          <w:szCs w:val="21"/>
          <w:highlight w:val="none"/>
          <w:lang w:val="en-US" w:eastAsia="zh-CN"/>
        </w:rPr>
        <w:t>按下附表收费标准，采用差额累进算法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r>
        <w:rPr>
          <w:rFonts w:hint="eastAsia" w:asciiTheme="minorEastAsia" w:hAnsiTheme="minorEastAsia" w:eastAsiaTheme="minorEastAsia" w:cstheme="minorEastAsia"/>
          <w:color w:val="auto"/>
          <w:sz w:val="21"/>
          <w:szCs w:val="21"/>
          <w:highlight w:val="none"/>
        </w:rPr>
        <w:t>（户名：</w:t>
      </w:r>
      <w:r>
        <w:rPr>
          <w:rFonts w:hint="eastAsia" w:asciiTheme="minorEastAsia" w:hAnsiTheme="minorEastAsia" w:eastAsiaTheme="minorEastAsia" w:cstheme="minorEastAsia"/>
          <w:color w:val="auto"/>
          <w:sz w:val="21"/>
          <w:szCs w:val="21"/>
          <w:highlight w:val="none"/>
          <w:lang w:eastAsia="zh-CN"/>
        </w:rPr>
        <w:t>浙江汇永工程咨询有限公司</w:t>
      </w:r>
      <w:r>
        <w:rPr>
          <w:rFonts w:hint="eastAsia" w:asciiTheme="minorEastAsia" w:hAnsiTheme="minorEastAsia" w:eastAsiaTheme="minorEastAsia" w:cstheme="minorEastAsia"/>
          <w:color w:val="auto"/>
          <w:sz w:val="21"/>
          <w:szCs w:val="21"/>
          <w:highlight w:val="none"/>
        </w:rPr>
        <w:t>；人民币账号：</w:t>
      </w:r>
      <w:r>
        <w:rPr>
          <w:rFonts w:hint="eastAsia" w:asciiTheme="minorEastAsia" w:hAnsiTheme="minorEastAsia" w:eastAsiaTheme="minorEastAsia" w:cstheme="minorEastAsia"/>
          <w:color w:val="auto"/>
          <w:sz w:val="21"/>
          <w:szCs w:val="21"/>
          <w:highlight w:val="none"/>
          <w:lang w:eastAsia="zh-CN"/>
        </w:rPr>
        <w:t>550423591600015</w:t>
      </w:r>
      <w:r>
        <w:rPr>
          <w:rFonts w:hint="eastAsia" w:asciiTheme="minorEastAsia" w:hAnsiTheme="minorEastAsia" w:eastAsiaTheme="minorEastAsia" w:cstheme="minorEastAsia"/>
          <w:color w:val="auto"/>
          <w:sz w:val="21"/>
          <w:szCs w:val="21"/>
          <w:highlight w:val="none"/>
        </w:rPr>
        <w:t>；开户行：</w:t>
      </w:r>
      <w:r>
        <w:rPr>
          <w:rFonts w:hint="eastAsia" w:asciiTheme="minorEastAsia" w:hAnsiTheme="minorEastAsia" w:eastAsiaTheme="minorEastAsia" w:cstheme="minorEastAsia"/>
          <w:color w:val="auto"/>
          <w:sz w:val="21"/>
          <w:szCs w:val="21"/>
          <w:highlight w:val="none"/>
          <w:lang w:eastAsia="zh-CN"/>
        </w:rPr>
        <w:t>台州银行市府大道支行</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ind w:firstLine="1470" w:firstLineChars="700"/>
              <w:textAlignment w:val="auto"/>
              <w:outlineLvl w:val="9"/>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keepNext w:val="0"/>
              <w:keepLines w:val="0"/>
              <w:pageBreakBefore w:val="0"/>
              <w:kinsoku/>
              <w:wordWrap/>
              <w:overflowPunct/>
              <w:topLinePunct w:val="0"/>
              <w:bidi w:val="0"/>
              <w:ind w:firstLine="1054" w:firstLineChars="500"/>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keepNext w:val="0"/>
              <w:keepLines w:val="0"/>
              <w:pageBreakBefore w:val="0"/>
              <w:kinsoku/>
              <w:wordWrap/>
              <w:overflowPunct/>
              <w:topLinePunct w:val="0"/>
              <w:bidi w:val="0"/>
              <w:ind w:firstLine="1476" w:firstLineChars="700"/>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keepNext w:val="0"/>
              <w:keepLines w:val="0"/>
              <w:pageBreakBefore w:val="0"/>
              <w:kinsoku/>
              <w:wordWrap/>
              <w:overflowPunct/>
              <w:topLinePunct w:val="0"/>
              <w:bidi w:val="0"/>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keepNext w:val="0"/>
        <w:keepLines w:val="0"/>
        <w:pageBreakBefore w:val="0"/>
        <w:kinsoku/>
        <w:wordWrap/>
        <w:overflowPunct/>
        <w:topLinePunct w:val="0"/>
        <w:bidi w:val="0"/>
        <w:spacing w:line="360" w:lineRule="auto"/>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七、合同签订及公告</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（一）签订合同</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1、采购人应当自中标通知书发出之日起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2、采购人不得向中标人提出任何不合理的要求作为签订合同的条件。</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3、中标供应商无故拖延、拒签合同的,取消中标资格。</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（二）合同公告及备案</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b/>
          <w:color w:val="auto"/>
          <w:sz w:val="36"/>
          <w:szCs w:val="36"/>
          <w:highlight w:val="none"/>
        </w:rPr>
      </w:pPr>
    </w:p>
    <w:p>
      <w:pPr>
        <w:pStyle w:val="53"/>
        <w:rPr>
          <w:rFonts w:hAnsi="宋体"/>
          <w:b/>
          <w:color w:val="auto"/>
          <w:sz w:val="36"/>
          <w:szCs w:val="36"/>
          <w:highlight w:val="none"/>
        </w:rPr>
      </w:pPr>
    </w:p>
    <w:p>
      <w:pPr>
        <w:rPr>
          <w:rFonts w:hAnsi="宋体"/>
          <w:b/>
          <w:color w:val="auto"/>
          <w:sz w:val="36"/>
          <w:szCs w:val="36"/>
          <w:highlight w:val="none"/>
        </w:rPr>
      </w:pPr>
    </w:p>
    <w:p>
      <w:pPr>
        <w:pStyle w:val="4"/>
        <w:rPr>
          <w:rFonts w:hAnsi="宋体"/>
          <w:b/>
          <w:color w:val="auto"/>
          <w:sz w:val="36"/>
          <w:szCs w:val="36"/>
          <w:highlight w:val="none"/>
        </w:rPr>
      </w:pPr>
    </w:p>
    <w:p>
      <w:pPr>
        <w:pStyle w:val="5"/>
        <w:rPr>
          <w:rFonts w:hAnsi="宋体"/>
          <w:b/>
          <w:color w:val="auto"/>
          <w:sz w:val="36"/>
          <w:szCs w:val="36"/>
          <w:highlight w:val="none"/>
        </w:rPr>
      </w:pPr>
    </w:p>
    <w:p>
      <w:pPr>
        <w:rPr>
          <w:rFonts w:hAnsi="宋体"/>
          <w:b/>
          <w:color w:val="auto"/>
          <w:sz w:val="36"/>
          <w:szCs w:val="36"/>
          <w:highlight w:val="none"/>
        </w:rPr>
      </w:pPr>
    </w:p>
    <w:p>
      <w:pPr>
        <w:pStyle w:val="4"/>
        <w:rPr>
          <w:rFonts w:hAnsi="宋体"/>
          <w:b/>
          <w:color w:val="auto"/>
          <w:sz w:val="36"/>
          <w:szCs w:val="36"/>
          <w:highlight w:val="none"/>
        </w:rPr>
      </w:pPr>
    </w:p>
    <w:p>
      <w:pPr>
        <w:pStyle w:val="5"/>
        <w:rPr>
          <w:rFonts w:hAnsi="宋体"/>
          <w:b/>
          <w:color w:val="auto"/>
          <w:sz w:val="36"/>
          <w:szCs w:val="36"/>
          <w:highlight w:val="none"/>
        </w:rPr>
      </w:pPr>
    </w:p>
    <w:p>
      <w:pPr>
        <w:rPr>
          <w:rFonts w:hAnsi="宋体"/>
          <w:b/>
          <w:color w:val="auto"/>
          <w:sz w:val="36"/>
          <w:szCs w:val="36"/>
          <w:highlight w:val="none"/>
        </w:rPr>
      </w:pPr>
    </w:p>
    <w:p>
      <w:pPr>
        <w:pStyle w:val="4"/>
        <w:rPr>
          <w:rFonts w:hAnsi="宋体"/>
          <w:b/>
          <w:color w:val="auto"/>
          <w:sz w:val="36"/>
          <w:szCs w:val="36"/>
          <w:highlight w:val="none"/>
        </w:rPr>
      </w:pPr>
    </w:p>
    <w:p>
      <w:pPr>
        <w:pStyle w:val="5"/>
        <w:rPr>
          <w:rFonts w:hAnsi="宋体"/>
          <w:b/>
          <w:color w:val="auto"/>
          <w:sz w:val="36"/>
          <w:szCs w:val="36"/>
          <w:highlight w:val="none"/>
        </w:rPr>
      </w:pPr>
    </w:p>
    <w:p>
      <w:pPr>
        <w:rPr>
          <w:rFonts w:hAnsi="宋体"/>
          <w:b/>
          <w:color w:val="auto"/>
          <w:sz w:val="36"/>
          <w:szCs w:val="36"/>
          <w:highlight w:val="none"/>
        </w:rPr>
      </w:pPr>
    </w:p>
    <w:p>
      <w:pPr>
        <w:pStyle w:val="4"/>
        <w:rPr>
          <w:color w:val="auto"/>
          <w:highlight w:val="none"/>
        </w:rPr>
      </w:pPr>
    </w:p>
    <w:p>
      <w:pPr>
        <w:pStyle w:val="5"/>
        <w:ind w:left="0" w:leftChars="0" w:firstLine="0" w:firstLineChars="0"/>
        <w:rPr>
          <w:rFonts w:ascii="宋体" w:hAnsi="宋体"/>
          <w:b/>
          <w:color w:val="auto"/>
          <w:sz w:val="36"/>
          <w:szCs w:val="36"/>
          <w:highlight w:val="none"/>
        </w:rPr>
      </w:pPr>
    </w:p>
    <w:p>
      <w:pPr>
        <w:pStyle w:val="6"/>
        <w:rPr>
          <w:rFonts w:ascii="宋体" w:hAnsi="宋体"/>
          <w:b/>
          <w:color w:val="auto"/>
          <w:sz w:val="36"/>
          <w:szCs w:val="36"/>
          <w:highlight w:val="none"/>
        </w:rPr>
      </w:pPr>
    </w:p>
    <w:p>
      <w:pPr>
        <w:rPr>
          <w:color w:val="auto"/>
          <w:highlight w:val="none"/>
        </w:r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一、采购组织机构将组织评标委员会，对投标人提供的投标文件进行综合评审。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二、本次招标项目的评标方法为综合评分法，总计100分，其中资格及</w:t>
      </w:r>
      <w:r>
        <w:rPr>
          <w:rFonts w:hint="eastAsia" w:asciiTheme="minorEastAsia" w:hAnsiTheme="minorEastAsia" w:eastAsiaTheme="minorEastAsia" w:cstheme="minorEastAsia"/>
          <w:color w:val="auto"/>
          <w:szCs w:val="21"/>
          <w:highlight w:val="none"/>
          <w:lang w:val="zh-CN"/>
        </w:rPr>
        <w:t>商务技术文件分值</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分，投标报价分值</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。评标标准按评分细化条款及分值进行评审。</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商务技术文件中的客观分</w:t>
      </w:r>
      <w:r>
        <w:rPr>
          <w:rFonts w:hint="eastAsia" w:asciiTheme="minorEastAsia" w:hAnsiTheme="minorEastAsia" w:eastAsiaTheme="minorEastAsia" w:cstheme="minorEastAsia"/>
          <w:color w:val="auto"/>
          <w:sz w:val="21"/>
          <w:szCs w:val="21"/>
          <w:highlight w:val="none"/>
          <w:lang w:val="zh-CN"/>
        </w:rPr>
        <w:t>应由评审小组成员独立评审，</w:t>
      </w:r>
      <w:r>
        <w:rPr>
          <w:rFonts w:hint="eastAsia" w:asciiTheme="minorEastAsia" w:hAnsiTheme="minorEastAsia" w:eastAsiaTheme="minorEastAsia" w:cstheme="minorEastAsia"/>
          <w:color w:val="auto"/>
          <w:sz w:val="21"/>
          <w:szCs w:val="21"/>
          <w:highlight w:val="none"/>
          <w:lang w:val="en-US" w:eastAsia="zh-CN"/>
        </w:rPr>
        <w:t>但客观分打分应一致</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rPr>
        <w:t>客观分不一致时，由评审委员会复核或书面说明理由，</w:t>
      </w:r>
      <w:r>
        <w:rPr>
          <w:rFonts w:hint="eastAsia" w:asciiTheme="minorEastAsia" w:hAnsiTheme="minorEastAsia" w:eastAsiaTheme="minorEastAsia" w:cstheme="minorEastAsia"/>
          <w:color w:val="auto"/>
          <w:szCs w:val="21"/>
          <w:highlight w:val="none"/>
          <w:lang w:val="zh-CN"/>
        </w:rPr>
        <w:t>其余在规定的分值内单独评定打分</w:t>
      </w:r>
      <w:r>
        <w:rPr>
          <w:rFonts w:hint="eastAsia" w:asciiTheme="minorEastAsia" w:hAnsiTheme="minorEastAsia" w:eastAsiaTheme="minorEastAsia" w:cstheme="minorEastAsia"/>
          <w:color w:val="auto"/>
          <w:szCs w:val="21"/>
          <w:highlight w:val="none"/>
        </w:rPr>
        <w:t>（小数点后保留1位）</w:t>
      </w:r>
      <w:r>
        <w:rPr>
          <w:rFonts w:hint="eastAsia" w:asciiTheme="minorEastAsia" w:hAnsiTheme="minorEastAsia" w:eastAsiaTheme="minorEastAsia" w:cstheme="minorEastAsia"/>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（二）各投标人</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商务技术文件得分按照评标委员会成员的独立评分结果汇总后的算术平均分计算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，计算公式为：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w:t>
      </w:r>
      <w:r>
        <w:rPr>
          <w:rFonts w:hint="eastAsia" w:asciiTheme="minorEastAsia" w:hAnsiTheme="minorEastAsia" w:eastAsiaTheme="minorEastAsia" w:cstheme="minorEastAsia"/>
          <w:color w:val="auto"/>
          <w:szCs w:val="21"/>
          <w:highlight w:val="none"/>
        </w:rPr>
        <w:t>得分</w:t>
      </w:r>
      <w:r>
        <w:rPr>
          <w:rFonts w:hint="eastAsia" w:asciiTheme="minorEastAsia" w:hAnsiTheme="minorEastAsia" w:eastAsiaTheme="minorEastAsia" w:cstheme="minorEastAsia"/>
          <w:color w:val="auto"/>
          <w:szCs w:val="21"/>
          <w:highlight w:val="none"/>
          <w:lang w:val="zh-CN"/>
        </w:rPr>
        <w:t>=评标委</w:t>
      </w:r>
      <w:r>
        <w:rPr>
          <w:rFonts w:hint="eastAsia" w:asciiTheme="minorEastAsia" w:hAnsiTheme="minorEastAsia" w:eastAsiaTheme="minorEastAsia" w:cstheme="minorEastAsia"/>
          <w:color w:val="auto"/>
          <w:szCs w:val="21"/>
          <w:highlight w:val="none"/>
          <w:lang w:val="zh-CN"/>
        </w:rPr>
        <w:t>员会所有成员评分合计数/评标委员会组成人员数。</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（三）投标报价得分采用低价优先法计算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投标报价得分=(评标基准价／投标报价)×</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lang w:val="zh-CN"/>
        </w:rPr>
        <w:t>0%×100 。</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（四）投标人综合得分＝资格及商务技术文件得分＋投标报价得分。</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（五）政府采购政策及优惠：</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关于小型、微型企业（简称小微企业）投标：①根据</w:t>
      </w:r>
      <w:r>
        <w:rPr>
          <w:rFonts w:hint="eastAsia" w:asciiTheme="minorEastAsia" w:hAnsiTheme="minorEastAsia" w:eastAsiaTheme="minorEastAsia" w:cstheme="minorEastAsia"/>
          <w:color w:val="auto"/>
          <w:sz w:val="21"/>
          <w:szCs w:val="21"/>
          <w:highlight w:val="none"/>
          <w:lang w:val="en-US" w:eastAsia="zh-CN"/>
        </w:rPr>
        <w:t>浙江省财政厅</w:t>
      </w:r>
      <w:r>
        <w:rPr>
          <w:rFonts w:hint="eastAsia" w:asciiTheme="minorEastAsia" w:hAnsiTheme="minorEastAsia" w:eastAsiaTheme="minorEastAsia" w:cstheme="minorEastAsia"/>
          <w:color w:val="auto"/>
          <w:sz w:val="21"/>
          <w:szCs w:val="21"/>
          <w:highlight w:val="none"/>
          <w:lang w:val="zh-CN"/>
        </w:rPr>
        <w:t>发布的《浙江省财政厅关于进一步发挥政府采购政策功能全力推动经济稳进提质的通知》【</w:t>
      </w:r>
      <w:r>
        <w:rPr>
          <w:rFonts w:hint="eastAsia" w:asciiTheme="minorEastAsia" w:hAnsiTheme="minorEastAsia" w:eastAsiaTheme="minorEastAsia" w:cstheme="minorEastAsia"/>
          <w:color w:val="auto"/>
          <w:sz w:val="21"/>
          <w:szCs w:val="21"/>
          <w:highlight w:val="none"/>
          <w:lang w:val="en-US" w:eastAsia="zh-CN"/>
        </w:rPr>
        <w:t>浙财采监</w:t>
      </w:r>
      <w:r>
        <w:rPr>
          <w:rFonts w:hint="eastAsia" w:asciiTheme="minorEastAsia" w:hAnsiTheme="minorEastAsia" w:eastAsiaTheme="minorEastAsia" w:cstheme="minorEastAsia"/>
          <w:color w:val="auto"/>
          <w:sz w:val="21"/>
          <w:szCs w:val="21"/>
          <w:highlight w:val="none"/>
          <w:lang w:val="zh-CN"/>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%的扣除，用扣除后的价格参加评审。</w:t>
      </w:r>
      <w:r>
        <w:rPr>
          <w:rFonts w:hint="default" w:asciiTheme="minorEastAsia" w:hAnsiTheme="minorEastAsia" w:eastAsiaTheme="minorEastAsia" w:cstheme="minorEastAsia"/>
          <w:color w:val="auto"/>
          <w:sz w:val="21"/>
          <w:szCs w:val="21"/>
          <w:highlight w:val="none"/>
          <w:lang w:val="zh-CN"/>
        </w:rPr>
        <w:t>②</w:t>
      </w:r>
      <w:r>
        <w:rPr>
          <w:rFonts w:hint="eastAsia" w:asciiTheme="minorEastAsia" w:hAnsiTheme="minorEastAsia" w:eastAsiaTheme="minorEastAsia" w:cstheme="minorEastAsia"/>
          <w:color w:val="auto"/>
          <w:sz w:val="21"/>
          <w:szCs w:val="21"/>
          <w:highlight w:val="none"/>
          <w:lang w:val="zh-CN"/>
        </w:rPr>
        <w:t>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残疾人福利性单位在参加政府采购活动时，应提供《残疾人福利性单位声明函》（见附件）和《产品适用政府采购政策情况表》（见附件），视同小型、微型企业，享受小微企业政</w:t>
      </w:r>
      <w:r>
        <w:rPr>
          <w:rFonts w:hint="eastAsia" w:asciiTheme="minorEastAsia" w:hAnsiTheme="minorEastAsia" w:eastAsiaTheme="minorEastAsia" w:cstheme="minorEastAsia"/>
          <w:color w:val="auto"/>
          <w:szCs w:val="21"/>
          <w:highlight w:val="none"/>
          <w:lang w:val="zh-CN"/>
        </w:rPr>
        <w:t>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具体优惠：对于非联合体投标，小型微型企业产品的价格给予</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%的价格扣除。联合体各方均为小型、微型企业的，联合体视同为小型、微型企业享受扶持政策，对于小型微型企业产品的价格给予</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注：得分以系统计算为准，保留2位小数。</w:t>
      </w:r>
    </w:p>
    <w:p>
      <w:pPr>
        <w:pStyle w:val="4"/>
        <w:spacing w:line="360" w:lineRule="auto"/>
        <w:ind w:firstLine="562" w:firstLineChars="200"/>
        <w:jc w:val="left"/>
        <w:rPr>
          <w:rFonts w:ascii="Arial" w:hAnsi="Arial" w:cs="Arial"/>
          <w:color w:val="auto"/>
          <w:szCs w:val="21"/>
          <w:highlight w:val="none"/>
          <w:lang w:val="zh-CN"/>
        </w:rPr>
      </w:pPr>
      <w:r>
        <w:rPr>
          <w:rFonts w:hint="eastAsia" w:ascii="Arial" w:hAnsi="Arial" w:cs="Arial"/>
          <w:b/>
          <w:bCs/>
          <w:color w:val="auto"/>
          <w:sz w:val="28"/>
          <w:szCs w:val="28"/>
          <w:highlight w:val="none"/>
          <w:u w:val="single"/>
        </w:rPr>
        <w:t>*</w:t>
      </w:r>
      <w:r>
        <w:rPr>
          <w:rFonts w:hint="eastAsia" w:ascii="Arial" w:hAnsi="Arial" w:cs="Arial"/>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文件实质性要求前提下，</w:t>
      </w:r>
      <w:r>
        <w:rPr>
          <w:rFonts w:hint="eastAsia" w:ascii="宋体" w:hAnsi="宋体" w:cs="宋体"/>
          <w:color w:val="auto"/>
          <w:szCs w:val="21"/>
          <w:highlight w:val="none"/>
        </w:rPr>
        <w:t>评标委员会</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文件中规定的各项因素进行综合评审后，以评审总得分最高的</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为</w:t>
      </w:r>
      <w:r>
        <w:rPr>
          <w:rFonts w:hint="eastAsia" w:ascii="宋体" w:hAnsi="宋体" w:cs="宋体"/>
          <w:color w:val="auto"/>
          <w:szCs w:val="21"/>
          <w:highlight w:val="none"/>
        </w:rPr>
        <w:t>中标候选人</w:t>
      </w:r>
      <w:r>
        <w:rPr>
          <w:rFonts w:hint="eastAsia" w:ascii="宋体" w:hAnsi="宋体" w:cs="宋体"/>
          <w:color w:val="auto"/>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四、如综合得分相同，投标报价低者为先；如综合得分且投标报价</w:t>
      </w:r>
      <w:r>
        <w:rPr>
          <w:rFonts w:hint="eastAsia" w:asciiTheme="minorEastAsia" w:hAnsiTheme="minorEastAsia" w:eastAsiaTheme="minorEastAsia" w:cstheme="minorEastAsia"/>
          <w:color w:val="auto"/>
          <w:sz w:val="21"/>
          <w:szCs w:val="21"/>
          <w:highlight w:val="none"/>
          <w:lang w:val="zh-CN"/>
        </w:rPr>
        <w:t>相同的，</w:t>
      </w:r>
      <w:r>
        <w:rPr>
          <w:rFonts w:hint="eastAsia" w:ascii="宋体" w:hAnsi="宋体" w:eastAsia="宋体" w:cs="宋体"/>
          <w:color w:val="auto"/>
          <w:sz w:val="21"/>
          <w:szCs w:val="21"/>
          <w:highlight w:val="none"/>
          <w:lang w:val="zh-CN"/>
        </w:rPr>
        <w:t>以</w:t>
      </w: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宋体" w:hAnsi="宋体"/>
          <w:color w:val="auto"/>
          <w:highlight w:val="none"/>
          <w:lang w:val="en-US" w:eastAsia="zh-CN"/>
        </w:rPr>
        <w:t>五、</w:t>
      </w:r>
      <w:r>
        <w:rPr>
          <w:rFonts w:hint="eastAsia" w:asciiTheme="minorEastAsia" w:hAnsiTheme="minorEastAsia" w:eastAsiaTheme="minorEastAsia" w:cstheme="minorEastAsia"/>
          <w:color w:val="auto"/>
          <w:sz w:val="21"/>
          <w:szCs w:val="21"/>
          <w:highlight w:val="none"/>
          <w:lang w:val="zh-CN"/>
        </w:rPr>
        <w:t>提供相同品牌产品的</w:t>
      </w:r>
      <w:r>
        <w:rPr>
          <w:rFonts w:hint="eastAsia" w:asciiTheme="minorEastAsia" w:hAnsiTheme="minorEastAsia" w:eastAsiaTheme="minorEastAsia" w:cstheme="minorEastAsia"/>
          <w:color w:val="auto"/>
          <w:sz w:val="21"/>
          <w:szCs w:val="21"/>
          <w:highlight w:val="none"/>
          <w:lang w:val="zh-CN"/>
        </w:rPr>
        <w:t>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hint="eastAsia" w:ascii="宋体" w:hAnsi="宋体"/>
          <w:color w:val="auto"/>
          <w:spacing w:val="10"/>
          <w:szCs w:val="21"/>
          <w:highlight w:val="none"/>
        </w:rPr>
      </w:pPr>
      <w:r>
        <w:rPr>
          <w:rFonts w:hint="eastAsia" w:ascii="宋体" w:hAnsi="宋体"/>
          <w:color w:val="auto"/>
          <w:highlight w:val="none"/>
          <w:lang w:val="en-US" w:eastAsia="zh-CN"/>
        </w:rPr>
        <w:t>六、</w:t>
      </w:r>
      <w:r>
        <w:rPr>
          <w:rFonts w:hint="eastAsia" w:ascii="宋体" w:hAnsi="宋体"/>
          <w:color w:val="auto"/>
          <w:highlight w:val="none"/>
        </w:rPr>
        <w:t>中标候选人</w:t>
      </w:r>
      <w:r>
        <w:rPr>
          <w:rFonts w:hint="eastAsia" w:ascii="宋体" w:hAnsi="宋体"/>
          <w:color w:val="auto"/>
          <w:spacing w:val="10"/>
          <w:sz w:val="21"/>
          <w:szCs w:val="21"/>
          <w:highlight w:val="none"/>
          <w:lang w:val="en-US" w:eastAsia="zh-CN" w:bidi="ar-SA"/>
        </w:rPr>
        <w:t>放弃中标、因不可抗力提出不能履行合同，或者招标文件规定应当提交履约保证金而在规定的期限内未能提交的，招标人可以确定排名</w:t>
      </w:r>
      <w:r>
        <w:rPr>
          <w:rFonts w:hint="eastAsia" w:hAnsi="宋体"/>
          <w:color w:val="auto"/>
          <w:spacing w:val="10"/>
          <w:sz w:val="21"/>
          <w:szCs w:val="21"/>
          <w:highlight w:val="none"/>
          <w:lang w:val="en-US" w:eastAsia="zh-CN" w:bidi="ar-SA"/>
        </w:rPr>
        <w:t>次之</w:t>
      </w:r>
      <w:r>
        <w:rPr>
          <w:rFonts w:hint="eastAsia" w:ascii="宋体" w:hAnsi="宋体"/>
          <w:color w:val="auto"/>
          <w:spacing w:val="10"/>
          <w:sz w:val="21"/>
          <w:szCs w:val="21"/>
          <w:highlight w:val="none"/>
          <w:lang w:val="en-US" w:eastAsia="zh-CN" w:bidi="ar-SA"/>
        </w:rPr>
        <w:t>的中标候选人为</w:t>
      </w:r>
      <w:r>
        <w:rPr>
          <w:rFonts w:hint="eastAsia" w:ascii="宋体" w:hAnsi="宋体"/>
          <w:color w:val="auto"/>
          <w:highlight w:val="none"/>
        </w:rPr>
        <w:t>中标人。</w:t>
      </w:r>
      <w:r>
        <w:rPr>
          <w:rFonts w:hint="eastAsia" w:ascii="宋体" w:hAnsi="宋体"/>
          <w:color w:val="auto"/>
          <w:highlight w:val="none"/>
          <w:lang w:val="en-US" w:eastAsia="zh-CN"/>
        </w:rPr>
        <w:t xml:space="preserve"> </w:t>
      </w:r>
      <w:r>
        <w:rPr>
          <w:rFonts w:hint="eastAsia" w:ascii="宋体" w:hAnsi="宋体"/>
          <w:color w:val="auto"/>
          <w:highlight w:val="none"/>
        </w:rPr>
        <w:t>评标办法的解释权归招标人。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lang w:val="zh-CN"/>
        </w:rPr>
        <w:t>、本次评分具体分值细化条款如下表：</w:t>
      </w:r>
    </w:p>
    <w:p>
      <w:pPr>
        <w:spacing w:line="360" w:lineRule="auto"/>
        <w:jc w:val="center"/>
        <w:rPr>
          <w:rFonts w:asciiTheme="minorEastAsia" w:hAnsiTheme="minorEastAsia" w:eastAsiaTheme="minorEastAsia" w:cstheme="minorEastAsia"/>
          <w:color w:val="auto"/>
          <w:szCs w:val="21"/>
          <w:highlight w:val="none"/>
          <w:lang w:val="zh-CN"/>
        </w:rPr>
      </w:pPr>
      <w:r>
        <w:rPr>
          <w:rFonts w:hint="eastAsia" w:ascii="宋体" w:hAnsi="宋体"/>
          <w:b/>
          <w:color w:val="auto"/>
          <w:szCs w:val="21"/>
          <w:highlight w:val="none"/>
        </w:rPr>
        <w:t>评标打分标准表</w:t>
      </w:r>
      <w:r>
        <w:rPr>
          <w:rFonts w:hint="eastAsia" w:asciiTheme="minorEastAsia" w:hAnsiTheme="minorEastAsia" w:eastAsiaTheme="minorEastAsia" w:cstheme="minorEastAsia"/>
          <w:color w:val="auto"/>
          <w:szCs w:val="21"/>
          <w:highlight w:val="none"/>
          <w:lang w:val="zh-CN"/>
        </w:rPr>
        <w:t xml:space="preserve"> </w:t>
      </w:r>
    </w:p>
    <w:tbl>
      <w:tblPr>
        <w:tblStyle w:val="24"/>
        <w:tblW w:w="9597" w:type="dxa"/>
        <w:jc w:val="center"/>
        <w:tblLayout w:type="fixed"/>
        <w:tblCellMar>
          <w:top w:w="15" w:type="dxa"/>
          <w:left w:w="15" w:type="dxa"/>
          <w:bottom w:w="15" w:type="dxa"/>
          <w:right w:w="15" w:type="dxa"/>
        </w:tblCellMar>
      </w:tblPr>
      <w:tblGrid>
        <w:gridCol w:w="843"/>
        <w:gridCol w:w="1320"/>
        <w:gridCol w:w="6590"/>
        <w:gridCol w:w="844"/>
      </w:tblGrid>
      <w:tr>
        <w:tblPrEx>
          <w:tblCellMar>
            <w:top w:w="15" w:type="dxa"/>
            <w:left w:w="15" w:type="dxa"/>
            <w:bottom w:w="15" w:type="dxa"/>
            <w:right w:w="15" w:type="dxa"/>
          </w:tblCellMar>
        </w:tblPrEx>
        <w:trPr>
          <w:trHeight w:val="60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tblPrEx>
          <w:tblCellMar>
            <w:top w:w="15" w:type="dxa"/>
            <w:left w:w="15" w:type="dxa"/>
            <w:bottom w:w="15" w:type="dxa"/>
            <w:right w:w="15" w:type="dxa"/>
          </w:tblCellMar>
        </w:tblPrEx>
        <w:trPr>
          <w:trHeight w:val="90" w:hRule="atLeast"/>
          <w:jc w:val="center"/>
        </w:trPr>
        <w:tc>
          <w:tcPr>
            <w:tcW w:w="843"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pPr>
              <w:jc w:val="cente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r>
              <w:rPr>
                <w:rFonts w:hint="eastAsia"/>
                <w:color w:val="auto"/>
                <w:highlight w:val="none"/>
              </w:rPr>
              <w:t>）</w:t>
            </w:r>
          </w:p>
        </w:tc>
        <w:tc>
          <w:tcPr>
            <w:tcW w:w="132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企业情况</w:t>
            </w:r>
          </w:p>
        </w:tc>
        <w:tc>
          <w:tcPr>
            <w:tcW w:w="6590" w:type="dxa"/>
            <w:tcBorders>
              <w:top w:val="single" w:color="auto" w:sz="4" w:space="0"/>
              <w:left w:val="single" w:color="auto" w:sz="4" w:space="0"/>
              <w:bottom w:val="single" w:color="auto" w:sz="4" w:space="0"/>
              <w:right w:val="single" w:color="auto" w:sz="4" w:space="0"/>
            </w:tcBorders>
            <w:vAlign w:val="center"/>
          </w:tcPr>
          <w:p>
            <w:pPr>
              <w:pStyle w:val="4"/>
              <w:spacing w:after="0" w:line="360" w:lineRule="exact"/>
              <w:rPr>
                <w:rFonts w:ascii="宋体" w:hAnsi="宋体" w:cs="宋体"/>
                <w:bCs/>
                <w:color w:val="auto"/>
                <w:szCs w:val="21"/>
                <w:highlight w:val="none"/>
              </w:rPr>
            </w:pPr>
            <w:r>
              <w:rPr>
                <w:rFonts w:hint="eastAsia" w:ascii="宋体" w:hAnsi="宋体" w:cs="宋体"/>
                <w:color w:val="auto"/>
                <w:szCs w:val="21"/>
                <w:highlight w:val="none"/>
              </w:rPr>
              <w:t>投标人具有有效的质量管理体系认证、环境管理体系认证、职业健康安全管理体系认证</w:t>
            </w:r>
            <w:r>
              <w:rPr>
                <w:rFonts w:hint="eastAsia" w:ascii="宋体" w:hAnsi="宋体" w:cs="宋体"/>
                <w:color w:val="auto"/>
                <w:szCs w:val="21"/>
                <w:highlight w:val="none"/>
              </w:rPr>
              <w:t>证书的</w:t>
            </w:r>
            <w:r>
              <w:rPr>
                <w:rFonts w:hint="eastAsia" w:ascii="宋体" w:hAnsi="宋体" w:cs="宋体"/>
                <w:color w:val="auto"/>
                <w:szCs w:val="21"/>
                <w:highlight w:val="none"/>
              </w:rPr>
              <w:t>得</w:t>
            </w:r>
            <w:r>
              <w:rPr>
                <w:rFonts w:hint="eastAsia" w:ascii="宋体" w:hAnsi="宋体" w:cstheme="minorBidi"/>
                <w:color w:val="auto"/>
                <w:spacing w:val="2"/>
                <w:szCs w:val="21"/>
                <w:highlight w:val="none"/>
              </w:rPr>
              <w:t>1分</w:t>
            </w:r>
            <w:r>
              <w:rPr>
                <w:rFonts w:hint="eastAsia" w:ascii="宋体" w:hAnsi="宋体" w:cs="宋体"/>
                <w:color w:val="auto"/>
                <w:szCs w:val="21"/>
                <w:highlight w:val="none"/>
              </w:rPr>
              <w:t>，</w:t>
            </w:r>
            <w:r>
              <w:rPr>
                <w:rFonts w:hint="eastAsia" w:ascii="宋体" w:hAnsi="宋体" w:cstheme="minorBidi"/>
                <w:color w:val="auto"/>
                <w:spacing w:val="2"/>
                <w:szCs w:val="21"/>
                <w:highlight w:val="none"/>
              </w:rPr>
              <w:t>每少一个扣0.5分，扣完</w:t>
            </w:r>
            <w:r>
              <w:rPr>
                <w:rFonts w:hint="eastAsia" w:ascii="宋体" w:hAnsi="宋体" w:cs="宋体"/>
                <w:color w:val="auto"/>
                <w:szCs w:val="21"/>
                <w:highlight w:val="none"/>
              </w:rPr>
              <w:t>为止。</w:t>
            </w:r>
            <w:r>
              <w:rPr>
                <w:rFonts w:hint="eastAsia" w:ascii="宋体" w:hAnsi="宋体" w:cs="宋体"/>
                <w:b/>
                <w:bCs/>
                <w:color w:val="auto"/>
                <w:szCs w:val="21"/>
                <w:highlight w:val="none"/>
              </w:rPr>
              <w:t>（提供相关证书扫描件并加盖投标人公章编入投标文件中，未提供不得分）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CellMar>
            <w:top w:w="15" w:type="dxa"/>
            <w:left w:w="15" w:type="dxa"/>
            <w:bottom w:w="15" w:type="dxa"/>
            <w:right w:w="15" w:type="dxa"/>
          </w:tblCellMar>
        </w:tblPrEx>
        <w:trPr>
          <w:trHeight w:val="94" w:hRule="atLeast"/>
          <w:jc w:val="center"/>
        </w:trPr>
        <w:tc>
          <w:tcPr>
            <w:tcW w:w="843"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stheme="minorBidi"/>
                <w:snapToGrid w:val="0"/>
                <w:color w:val="auto"/>
                <w:szCs w:val="21"/>
                <w:highlight w:val="none"/>
              </w:rPr>
            </w:pPr>
            <w:r>
              <w:rPr>
                <w:rFonts w:hint="eastAsia" w:hAnsi="宋体" w:cs="宋体"/>
                <w:color w:val="auto"/>
                <w:highlight w:val="none"/>
              </w:rPr>
              <w:t>投标</w:t>
            </w:r>
            <w:r>
              <w:rPr>
                <w:rFonts w:hint="eastAsia" w:ascii="宋体" w:hAnsi="宋体" w:cstheme="minorBidi"/>
                <w:color w:val="auto"/>
                <w:spacing w:val="2"/>
                <w:szCs w:val="21"/>
                <w:highlight w:val="none"/>
              </w:rPr>
              <w:t>人自2015年1月1日以</w:t>
            </w:r>
            <w:r>
              <w:rPr>
                <w:rFonts w:hint="eastAsia" w:hAnsi="宋体" w:cs="宋体"/>
                <w:color w:val="auto"/>
                <w:highlight w:val="none"/>
              </w:rPr>
              <w:t>来（以证书或奖牌上的时间为准），获得生态环境类</w:t>
            </w:r>
            <w:r>
              <w:rPr>
                <w:rFonts w:hint="eastAsia" w:hAnsi="宋体" w:cs="宋体"/>
                <w:color w:val="auto"/>
                <w:highlight w:val="none"/>
              </w:rPr>
              <w:t>国家级奖项</w:t>
            </w:r>
            <w:r>
              <w:rPr>
                <w:rFonts w:hint="eastAsia" w:hAnsi="宋体" w:cs="宋体"/>
                <w:color w:val="auto"/>
                <w:highlight w:val="none"/>
              </w:rPr>
              <w:t>，</w:t>
            </w:r>
            <w:r>
              <w:rPr>
                <w:rFonts w:hint="eastAsia" w:ascii="宋体" w:hAnsi="宋体" w:cstheme="minorBidi"/>
                <w:color w:val="auto"/>
                <w:spacing w:val="2"/>
                <w:szCs w:val="21"/>
                <w:highlight w:val="none"/>
              </w:rPr>
              <w:t>每项得2分</w:t>
            </w:r>
            <w:r>
              <w:rPr>
                <w:rFonts w:hint="eastAsia" w:hAnsi="宋体" w:cs="宋体"/>
                <w:color w:val="auto"/>
                <w:highlight w:val="none"/>
              </w:rPr>
              <w:t>；获得</w:t>
            </w:r>
            <w:r>
              <w:rPr>
                <w:rFonts w:hint="eastAsia" w:hAnsi="宋体" w:cs="宋体"/>
                <w:color w:val="auto"/>
                <w:highlight w:val="none"/>
              </w:rPr>
              <w:t>生态环境类</w:t>
            </w:r>
            <w:r>
              <w:rPr>
                <w:rFonts w:hint="eastAsia" w:hAnsi="宋体" w:cs="宋体"/>
                <w:color w:val="auto"/>
                <w:highlight w:val="none"/>
              </w:rPr>
              <w:t>省、部级奖项，每项</w:t>
            </w:r>
            <w:r>
              <w:rPr>
                <w:rFonts w:hint="eastAsia" w:ascii="宋体" w:hAnsi="宋体" w:cstheme="minorBidi"/>
                <w:color w:val="auto"/>
                <w:spacing w:val="2"/>
                <w:szCs w:val="21"/>
                <w:highlight w:val="none"/>
              </w:rPr>
              <w:t>得0.5分，最多得5分。</w:t>
            </w:r>
            <w:r>
              <w:rPr>
                <w:rFonts w:hint="eastAsia" w:ascii="宋体" w:hAnsi="宋体" w:cs="宋体"/>
                <w:b/>
                <w:bCs/>
                <w:color w:val="auto"/>
                <w:szCs w:val="21"/>
                <w:highlight w:val="none"/>
              </w:rPr>
              <w:t>（提供相关证明材料扫描件并加盖投标人公章编入投标文件中，未提供不得分）</w:t>
            </w: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heme="minorBidi"/>
                <w:snapToGrid w:val="0"/>
                <w:color w:val="auto"/>
                <w:szCs w:val="21"/>
                <w:highlight w:val="none"/>
                <w:lang w:eastAsia="zh-CN"/>
              </w:rPr>
            </w:pPr>
            <w:r>
              <w:rPr>
                <w:rFonts w:hint="eastAsia" w:ascii="宋体" w:hAnsi="宋体" w:cstheme="minorBidi"/>
                <w:color w:val="auto"/>
                <w:spacing w:val="2"/>
                <w:szCs w:val="21"/>
                <w:highlight w:val="none"/>
                <w:lang w:val="en-US" w:eastAsia="zh-CN"/>
              </w:rPr>
              <w:t>5</w:t>
            </w:r>
          </w:p>
        </w:tc>
      </w:tr>
      <w:tr>
        <w:tblPrEx>
          <w:tblCellMar>
            <w:top w:w="15" w:type="dxa"/>
            <w:left w:w="15" w:type="dxa"/>
            <w:bottom w:w="15" w:type="dxa"/>
            <w:right w:w="15" w:type="dxa"/>
          </w:tblCellMar>
        </w:tblPrEx>
        <w:trPr>
          <w:trHeight w:val="94" w:hRule="atLeast"/>
          <w:jc w:val="center"/>
        </w:trPr>
        <w:tc>
          <w:tcPr>
            <w:tcW w:w="843"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hint="eastAsia" w:hAnsi="宋体" w:eastAsia="宋体" w:cs="宋体"/>
                <w:color w:val="auto"/>
                <w:highlight w:val="none"/>
                <w:lang w:eastAsia="zh-CN"/>
              </w:rPr>
            </w:pPr>
            <w:r>
              <w:rPr>
                <w:rFonts w:hint="eastAsia" w:ascii="宋体" w:hAnsi="宋体" w:cstheme="minorBidi"/>
                <w:color w:val="auto"/>
                <w:spacing w:val="2"/>
                <w:szCs w:val="21"/>
                <w:highlight w:val="none"/>
              </w:rPr>
              <w:t>投标人具有水生态环境治理、保护、管理相关的软件著作权的，每提供一项得0.2分，最多得2分。</w:t>
            </w:r>
            <w:r>
              <w:rPr>
                <w:rFonts w:hint="eastAsia" w:ascii="宋体" w:hAnsi="宋体" w:cs="宋体"/>
                <w:b/>
                <w:bCs/>
                <w:color w:val="auto"/>
                <w:szCs w:val="21"/>
                <w:highlight w:val="none"/>
              </w:rPr>
              <w:t>（提供相关证明材料扫描件并加盖投标人公章编入投标文件中，未提供不得分）</w:t>
            </w: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lang w:val="en-US" w:eastAsia="zh-CN"/>
              </w:rPr>
              <w:t>2</w:t>
            </w:r>
          </w:p>
        </w:tc>
      </w:tr>
      <w:tr>
        <w:tblPrEx>
          <w:tblCellMar>
            <w:top w:w="15" w:type="dxa"/>
            <w:left w:w="15" w:type="dxa"/>
            <w:bottom w:w="15" w:type="dxa"/>
            <w:right w:w="15" w:type="dxa"/>
          </w:tblCellMar>
        </w:tblPrEx>
        <w:trPr>
          <w:trHeight w:val="94" w:hRule="atLeast"/>
          <w:jc w:val="center"/>
        </w:trPr>
        <w:tc>
          <w:tcPr>
            <w:tcW w:w="843"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320"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企业咨信</w:t>
            </w: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rPr>
              <w:t>投标人具有工程咨询甲级资信证书（</w:t>
            </w:r>
            <w:r>
              <w:rPr>
                <w:rFonts w:hint="eastAsia" w:ascii="宋体" w:hAnsi="宋体" w:cstheme="minorBidi"/>
                <w:color w:val="auto"/>
                <w:spacing w:val="2"/>
                <w:szCs w:val="21"/>
                <w:highlight w:val="none"/>
              </w:rPr>
              <w:t>业务范围包括</w:t>
            </w:r>
            <w:r>
              <w:rPr>
                <w:rFonts w:hint="eastAsia" w:ascii="宋体" w:hAnsi="宋体" w:cstheme="minorBidi"/>
                <w:color w:val="auto"/>
                <w:spacing w:val="2"/>
                <w:szCs w:val="21"/>
                <w:highlight w:val="none"/>
              </w:rPr>
              <w:t>生态建设和环境工程）且同时具有</w:t>
            </w:r>
            <w:r>
              <w:rPr>
                <w:rFonts w:hint="eastAsia" w:ascii="宋体" w:hAnsi="宋体" w:cstheme="minorBidi"/>
                <w:color w:val="auto"/>
                <w:spacing w:val="2"/>
                <w:szCs w:val="21"/>
                <w:highlight w:val="none"/>
              </w:rPr>
              <w:t>检验检测机构资质认定证书</w:t>
            </w:r>
            <w:r>
              <w:rPr>
                <w:rFonts w:hint="eastAsia" w:ascii="宋体" w:hAnsi="宋体" w:cstheme="minorBidi"/>
                <w:color w:val="auto"/>
                <w:spacing w:val="2"/>
                <w:szCs w:val="21"/>
                <w:highlight w:val="none"/>
              </w:rPr>
              <w:t>的得2分；具有工程咨询乙级资信证书（</w:t>
            </w:r>
            <w:r>
              <w:rPr>
                <w:rFonts w:hint="eastAsia" w:ascii="宋体" w:hAnsi="宋体" w:cstheme="minorBidi"/>
                <w:color w:val="auto"/>
                <w:spacing w:val="2"/>
                <w:szCs w:val="21"/>
                <w:highlight w:val="none"/>
              </w:rPr>
              <w:t>业务范围包括</w:t>
            </w:r>
            <w:r>
              <w:rPr>
                <w:rFonts w:hint="eastAsia" w:ascii="宋体" w:hAnsi="宋体" w:cstheme="minorBidi"/>
                <w:color w:val="auto"/>
                <w:spacing w:val="2"/>
                <w:szCs w:val="21"/>
                <w:highlight w:val="none"/>
              </w:rPr>
              <w:t>生态建设和环境工程）且同时具有</w:t>
            </w:r>
            <w:r>
              <w:rPr>
                <w:rFonts w:hint="eastAsia" w:ascii="宋体" w:hAnsi="宋体" w:cstheme="minorBidi"/>
                <w:color w:val="auto"/>
                <w:spacing w:val="2"/>
                <w:szCs w:val="21"/>
                <w:highlight w:val="none"/>
              </w:rPr>
              <w:t>检验检测机构资质认定证书</w:t>
            </w:r>
            <w:r>
              <w:rPr>
                <w:rFonts w:hint="eastAsia" w:ascii="宋体" w:hAnsi="宋体" w:cstheme="minorBidi"/>
                <w:color w:val="auto"/>
                <w:spacing w:val="2"/>
                <w:szCs w:val="21"/>
                <w:highlight w:val="none"/>
              </w:rPr>
              <w:t>的得1分，其他不得分。</w:t>
            </w:r>
            <w:r>
              <w:rPr>
                <w:rFonts w:hint="eastAsia" w:ascii="宋体" w:hAnsi="宋体" w:cs="宋体"/>
                <w:b/>
                <w:bCs/>
                <w:color w:val="auto"/>
                <w:szCs w:val="21"/>
                <w:highlight w:val="none"/>
              </w:rPr>
              <w:t>（提供相关证书扫描件并加盖投标人公章编入投标文件中，未提供不得分）</w:t>
            </w: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lang w:val="en-US" w:eastAsia="zh-CN"/>
              </w:rPr>
              <w:t>2</w:t>
            </w:r>
          </w:p>
        </w:tc>
      </w:tr>
      <w:tr>
        <w:tblPrEx>
          <w:tblCellMar>
            <w:top w:w="15" w:type="dxa"/>
            <w:left w:w="15" w:type="dxa"/>
            <w:bottom w:w="15" w:type="dxa"/>
            <w:right w:w="15" w:type="dxa"/>
          </w:tblCellMar>
        </w:tblPrEx>
        <w:trPr>
          <w:trHeight w:val="910" w:hRule="atLeast"/>
          <w:jc w:val="center"/>
        </w:trPr>
        <w:tc>
          <w:tcPr>
            <w:tcW w:w="843"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pPr>
              <w:pStyle w:val="23"/>
              <w:tabs>
                <w:tab w:val="left" w:pos="720"/>
                <w:tab w:val="left" w:pos="1260"/>
                <w:tab w:val="left" w:pos="2160"/>
                <w:tab w:val="left" w:pos="2880"/>
                <w:tab w:val="left" w:pos="3600"/>
                <w:tab w:val="left" w:pos="4320"/>
                <w:tab w:val="left" w:pos="5040"/>
                <w:tab w:val="left" w:pos="5760"/>
              </w:tabs>
              <w:ind w:left="0" w:leftChars="0" w:firstLine="0" w:firstLineChars="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投标人自2017年1月1日以来（以证明材料上的时间为准），承接过</w:t>
            </w:r>
            <w:r>
              <w:rPr>
                <w:rFonts w:hint="eastAsia" w:asciiTheme="minorEastAsia" w:hAnsiTheme="minorEastAsia" w:eastAsiaTheme="minorEastAsia" w:cstheme="minorEastAsia"/>
                <w:color w:val="auto"/>
                <w:szCs w:val="21"/>
                <w:highlight w:val="none"/>
              </w:rPr>
              <w:t>类似重点流域水生态环境保护规划、水体达标方案、水污染防治方案编制</w:t>
            </w:r>
            <w:r>
              <w:rPr>
                <w:rFonts w:hint="eastAsia" w:asciiTheme="minorEastAsia" w:hAnsiTheme="minorEastAsia" w:eastAsiaTheme="minorEastAsia" w:cstheme="minorEastAsia"/>
                <w:color w:val="auto"/>
                <w:szCs w:val="21"/>
                <w:highlight w:val="none"/>
              </w:rPr>
              <w:t>项目的，</w:t>
            </w:r>
            <w:r>
              <w:rPr>
                <w:rFonts w:hint="eastAsia" w:asciiTheme="minorEastAsia" w:hAnsiTheme="minorEastAsia" w:eastAsiaTheme="minorEastAsia" w:cstheme="minorEastAsia"/>
                <w:color w:val="auto"/>
                <w:szCs w:val="21"/>
                <w:highlight w:val="none"/>
              </w:rPr>
              <w:t>每提供1个合同得0.2分，</w:t>
            </w:r>
            <w:r>
              <w:rPr>
                <w:rFonts w:hint="eastAsia" w:asciiTheme="minorEastAsia" w:hAnsiTheme="minorEastAsia" w:eastAsiaTheme="minorEastAsia" w:cstheme="minorEastAsia"/>
                <w:color w:val="auto"/>
                <w:szCs w:val="21"/>
                <w:highlight w:val="none"/>
              </w:rPr>
              <w:t>最高得1分。</w:t>
            </w:r>
            <w:r>
              <w:rPr>
                <w:rFonts w:hint="eastAsia" w:asciiTheme="minorEastAsia" w:hAnsiTheme="minorEastAsia" w:eastAsiaTheme="minorEastAsia" w:cstheme="minorEastAsia"/>
                <w:b/>
                <w:bCs/>
                <w:color w:val="auto"/>
                <w:szCs w:val="21"/>
                <w:highlight w:val="none"/>
              </w:rPr>
              <w:t>（须提供相应证明材料[证明材料可为主管单位开具的证明、课题合同或任务书扫描件等]扫描件并加盖投标人公章编入投标文件中，未提供不得分。）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tblPrEx>
          <w:tblCellMar>
            <w:top w:w="15" w:type="dxa"/>
            <w:left w:w="15" w:type="dxa"/>
            <w:bottom w:w="15" w:type="dxa"/>
            <w:right w:w="15" w:type="dxa"/>
          </w:tblCellMar>
        </w:tblPrEx>
        <w:trPr>
          <w:trHeight w:val="1573" w:hRule="atLeast"/>
          <w:jc w:val="center"/>
        </w:trPr>
        <w:tc>
          <w:tcPr>
            <w:tcW w:w="843"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659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theme="minorBidi"/>
                <w:color w:val="auto"/>
                <w:spacing w:val="2"/>
                <w:szCs w:val="21"/>
                <w:highlight w:val="none"/>
              </w:rPr>
            </w:pPr>
            <w:r>
              <w:rPr>
                <w:rFonts w:hint="eastAsia" w:ascii="宋体" w:hAnsi="宋体" w:cstheme="minorBidi"/>
                <w:color w:val="auto"/>
                <w:spacing w:val="2"/>
                <w:szCs w:val="21"/>
                <w:highlight w:val="none"/>
              </w:rPr>
              <w:t>拟投入本项目的项目负责人：</w:t>
            </w:r>
          </w:p>
          <w:p>
            <w:pPr>
              <w:jc w:val="left"/>
              <w:rPr>
                <w:rFonts w:ascii="宋体" w:hAnsi="宋体" w:cstheme="minorBidi"/>
                <w:color w:val="auto"/>
                <w:spacing w:val="2"/>
                <w:szCs w:val="21"/>
                <w:highlight w:val="none"/>
              </w:rPr>
            </w:pPr>
            <w:r>
              <w:rPr>
                <w:rFonts w:hint="eastAsia" w:ascii="宋体" w:hAnsi="宋体" w:cstheme="minorBidi"/>
                <w:color w:val="auto"/>
                <w:spacing w:val="2"/>
                <w:szCs w:val="21"/>
                <w:highlight w:val="none"/>
              </w:rPr>
              <w:t>1、具有环境工程正高级职称的得3分；副高级职称的得1分，其他不得分。</w:t>
            </w:r>
          </w:p>
          <w:p>
            <w:pPr>
              <w:jc w:val="left"/>
              <w:rPr>
                <w:rFonts w:asciiTheme="minorEastAsia" w:hAnsiTheme="minorEastAsia" w:eastAsiaTheme="minorEastAsia" w:cstheme="minorEastAsia"/>
                <w:b/>
                <w:bCs/>
                <w:color w:val="auto"/>
                <w:szCs w:val="21"/>
                <w:highlight w:val="none"/>
              </w:rPr>
            </w:pPr>
            <w:r>
              <w:rPr>
                <w:rFonts w:hint="eastAsia" w:ascii="宋体" w:hAnsi="宋体" w:cstheme="minorBidi"/>
                <w:color w:val="auto"/>
                <w:spacing w:val="2"/>
                <w:szCs w:val="21"/>
                <w:highlight w:val="none"/>
              </w:rPr>
              <w:t>2、获得过生态环境保护类省部级及以上奖项的，每项得1分，最多得3分。</w:t>
            </w:r>
            <w:r>
              <w:rPr>
                <w:rFonts w:hint="eastAsia" w:asciiTheme="minorEastAsia" w:hAnsiTheme="minorEastAsia" w:eastAsiaTheme="minorEastAsia" w:cstheme="minorEastAsia"/>
                <w:b/>
                <w:bCs/>
                <w:color w:val="auto"/>
                <w:szCs w:val="21"/>
                <w:highlight w:val="none"/>
              </w:rPr>
              <w:t>（注：此项获奖与企业奖项不重复计分）</w:t>
            </w:r>
          </w:p>
          <w:p>
            <w:pPr>
              <w:widowControl/>
              <w:spacing w:line="288" w:lineRule="auto"/>
              <w:jc w:val="left"/>
              <w:textAlignment w:val="center"/>
              <w:rPr>
                <w:rFonts w:ascii="宋体" w:hAnsi="宋体" w:cs="宋体"/>
                <w:color w:val="auto"/>
                <w:kern w:val="0"/>
                <w:szCs w:val="21"/>
                <w:highlight w:val="none"/>
              </w:rPr>
            </w:pPr>
            <w:r>
              <w:rPr>
                <w:rFonts w:hint="eastAsia" w:ascii="宋体" w:hAnsi="宋体" w:cstheme="minorBidi"/>
                <w:color w:val="auto"/>
                <w:spacing w:val="2"/>
                <w:szCs w:val="21"/>
                <w:highlight w:val="none"/>
              </w:rPr>
              <w:t>本项最高得6分。</w:t>
            </w:r>
            <w:r>
              <w:rPr>
                <w:rFonts w:hint="eastAsia" w:ascii="宋体" w:hAnsi="宋体" w:cs="宋体"/>
                <w:b/>
                <w:bCs/>
                <w:color w:val="auto"/>
                <w:szCs w:val="21"/>
                <w:highlight w:val="none"/>
              </w:rPr>
              <w:t>（提供相关证书或证明材料以及相关人员在投标单位</w:t>
            </w:r>
            <w:r>
              <w:rPr>
                <w:rFonts w:hint="eastAsia" w:ascii="宋体" w:hAnsi="宋体" w:cs="宋体"/>
                <w:b/>
                <w:bCs/>
                <w:color w:val="auto"/>
                <w:szCs w:val="21"/>
                <w:highlight w:val="none"/>
              </w:rPr>
              <w:t>近3个月的社保缴纳证明</w:t>
            </w:r>
            <w:r>
              <w:rPr>
                <w:rFonts w:hint="eastAsia" w:ascii="宋体" w:hAnsi="宋体" w:cs="宋体"/>
                <w:b/>
                <w:bCs/>
                <w:color w:val="auto"/>
                <w:szCs w:val="21"/>
                <w:highlight w:val="none"/>
              </w:rPr>
              <w:t>扫描件并加盖投标人公章编入投标文件中，未提供或提供不全的不得分。）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CellMar>
            <w:top w:w="15" w:type="dxa"/>
            <w:left w:w="15" w:type="dxa"/>
            <w:bottom w:w="15" w:type="dxa"/>
            <w:right w:w="15" w:type="dxa"/>
          </w:tblCellMar>
        </w:tblPrEx>
        <w:trPr>
          <w:trHeight w:val="1193" w:hRule="atLeast"/>
          <w:jc w:val="center"/>
        </w:trPr>
        <w:tc>
          <w:tcPr>
            <w:tcW w:w="843"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bCs/>
                <w:color w:val="auto"/>
                <w:szCs w:val="21"/>
                <w:highlight w:val="none"/>
              </w:rPr>
            </w:pPr>
          </w:p>
        </w:tc>
        <w:tc>
          <w:tcPr>
            <w:tcW w:w="1320"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pacing w:val="-4"/>
                <w:szCs w:val="21"/>
                <w:highlight w:val="none"/>
              </w:rPr>
              <w:t>项目组成员情况</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highlight w:val="none"/>
              </w:rPr>
            </w:pPr>
            <w:r>
              <w:rPr>
                <w:rFonts w:hint="eastAsia" w:ascii="宋体" w:hAnsi="宋体" w:cstheme="minorBidi"/>
                <w:color w:val="auto"/>
                <w:spacing w:val="2"/>
                <w:szCs w:val="21"/>
                <w:highlight w:val="none"/>
                <w:lang w:val="en-US" w:eastAsia="zh-CN"/>
              </w:rPr>
              <w:t>拟投入项目组人员（项目负责人除外），具有环境工程类、环境科学类、环境管理类等与本项目相关专业的正高级职称的每人得1分，副高级职称的每人得0.5分，</w:t>
            </w:r>
            <w:r>
              <w:rPr>
                <w:rFonts w:hint="eastAsia" w:ascii="宋体" w:hAnsi="宋体" w:cstheme="minorBidi"/>
                <w:color w:val="auto"/>
                <w:spacing w:val="2"/>
                <w:szCs w:val="21"/>
                <w:highlight w:val="none"/>
                <w:lang w:val="en-US" w:eastAsia="zh-CN"/>
              </w:rPr>
              <w:t>本项最高得8分。</w:t>
            </w:r>
            <w:r>
              <w:rPr>
                <w:rFonts w:hint="eastAsia" w:ascii="宋体" w:hAnsi="宋体" w:eastAsia="宋体" w:cs="宋体"/>
                <w:b/>
                <w:bCs/>
                <w:color w:val="auto"/>
                <w:kern w:val="2"/>
                <w:sz w:val="21"/>
                <w:szCs w:val="21"/>
                <w:highlight w:val="none"/>
                <w:lang w:val="en-US" w:eastAsia="zh-CN" w:bidi="ar-SA"/>
              </w:rPr>
              <w:t>（提供相关证书以及相关人员在投标单位</w:t>
            </w:r>
            <w:r>
              <w:rPr>
                <w:rFonts w:hint="eastAsia" w:ascii="宋体" w:hAnsi="宋体" w:eastAsia="宋体" w:cs="宋体"/>
                <w:b/>
                <w:bCs/>
                <w:color w:val="auto"/>
                <w:kern w:val="2"/>
                <w:sz w:val="21"/>
                <w:szCs w:val="21"/>
                <w:highlight w:val="none"/>
                <w:lang w:val="en-US" w:eastAsia="zh-CN" w:bidi="ar-SA"/>
              </w:rPr>
              <w:t>近3个月的社保缴纳证明</w:t>
            </w:r>
            <w:r>
              <w:rPr>
                <w:rFonts w:hint="eastAsia" w:ascii="宋体" w:hAnsi="宋体" w:eastAsia="宋体" w:cs="宋体"/>
                <w:b/>
                <w:bCs/>
                <w:color w:val="auto"/>
                <w:kern w:val="2"/>
                <w:sz w:val="21"/>
                <w:szCs w:val="21"/>
                <w:highlight w:val="none"/>
                <w:lang w:val="en-US" w:eastAsia="zh-CN" w:bidi="ar-SA"/>
              </w:rPr>
              <w:t>扫描件并加盖投标人公章编入投标文件中，未提供或提供不全的不得分。）</w:t>
            </w:r>
          </w:p>
        </w:tc>
        <w:tc>
          <w:tcPr>
            <w:tcW w:w="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宋体" w:hAnsi="宋体" w:cs="宋体" w:eastAsiaTheme="minorEastAsia"/>
                <w:color w:val="auto"/>
                <w:kern w:val="0"/>
                <w:szCs w:val="21"/>
                <w:highlight w:val="none"/>
                <w:lang w:val="en-US" w:eastAsia="zh-CN"/>
              </w:rPr>
              <w:t>8</w:t>
            </w:r>
          </w:p>
        </w:tc>
      </w:tr>
      <w:tr>
        <w:tblPrEx>
          <w:tblCellMar>
            <w:top w:w="15" w:type="dxa"/>
            <w:left w:w="15" w:type="dxa"/>
            <w:bottom w:w="15" w:type="dxa"/>
            <w:right w:w="15" w:type="dxa"/>
          </w:tblCellMar>
        </w:tblPrEx>
        <w:trPr>
          <w:trHeight w:val="105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技术分</w:t>
            </w:r>
          </w:p>
          <w:p>
            <w:pPr>
              <w:spacing w:line="360" w:lineRule="auto"/>
              <w:jc w:val="center"/>
              <w:textAlignment w:val="center"/>
              <w:rPr>
                <w:color w:val="auto"/>
                <w:highlight w:val="none"/>
              </w:rPr>
            </w:pPr>
            <w:r>
              <w:rPr>
                <w:rFonts w:hint="eastAsia" w:ascii="Times New Roman" w:hAnsi="Times New Roman" w:cs="Times New Roman"/>
                <w:color w:val="auto"/>
                <w:highlight w:val="none"/>
              </w:rPr>
              <w:t>（</w:t>
            </w:r>
            <w:r>
              <w:rPr>
                <w:rFonts w:hint="eastAsia" w:asciiTheme="minorEastAsia" w:hAnsiTheme="minorEastAsia" w:eastAsiaTheme="minorEastAsia" w:cstheme="minorEastAsia"/>
                <w:color w:val="auto"/>
                <w:highlight w:val="none"/>
                <w:lang w:val="en-US" w:eastAsia="zh-CN"/>
              </w:rPr>
              <w:t>65</w:t>
            </w:r>
            <w:r>
              <w:rPr>
                <w:rFonts w:hint="eastAsia" w:asciiTheme="minorEastAsia" w:hAnsiTheme="minorEastAsia" w:eastAsiaTheme="minorEastAsia" w:cstheme="minorEastAsia"/>
                <w:color w:val="auto"/>
                <w:highlight w:val="none"/>
              </w:rPr>
              <w:t>分</w:t>
            </w:r>
            <w:r>
              <w:rPr>
                <w:rFonts w:hint="eastAsia"/>
                <w:color w:val="auto"/>
                <w:highlight w:val="none"/>
              </w:rPr>
              <w:t>）</w:t>
            </w:r>
          </w:p>
        </w:tc>
        <w:tc>
          <w:tcPr>
            <w:tcW w:w="1320"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新宋体"/>
                <w:color w:val="auto"/>
                <w:szCs w:val="21"/>
                <w:highlight w:val="none"/>
              </w:rPr>
              <w:t>项目理解</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w:t>
            </w:r>
            <w:r>
              <w:rPr>
                <w:rFonts w:hint="eastAsia" w:asciiTheme="minorEastAsia" w:hAnsiTheme="minorEastAsia" w:eastAsiaTheme="minorEastAsia" w:cstheme="minorEastAsia"/>
                <w:color w:val="auto"/>
                <w:szCs w:val="21"/>
                <w:highlight w:val="none"/>
              </w:rPr>
              <w:t>项目背景以及国家、省相关政策</w:t>
            </w:r>
            <w:r>
              <w:rPr>
                <w:rFonts w:hint="eastAsia" w:asciiTheme="minorEastAsia" w:hAnsiTheme="minorEastAsia" w:eastAsiaTheme="minorEastAsia" w:cstheme="minorEastAsia"/>
                <w:color w:val="auto"/>
                <w:szCs w:val="21"/>
                <w:highlight w:val="none"/>
              </w:rPr>
              <w:t>的理解是否准确、认识是否深刻，是否能与本项目采购需求相契合等进行打分。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项目背景分析和政策理解认识准确、全面、深刻的得4.0-6.0分；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基本正确、内容简单的得2.0-3.9分；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理解片面、分析内容有欠缺的得0.1-1.9分，未提及此项不得分。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新宋体"/>
                <w:color w:val="auto"/>
                <w:szCs w:val="21"/>
                <w:highlight w:val="none"/>
                <w:lang w:val="en-US" w:eastAsia="zh-CN"/>
              </w:rPr>
              <w:t>6</w:t>
            </w:r>
          </w:p>
        </w:tc>
      </w:tr>
      <w:tr>
        <w:tblPrEx>
          <w:tblCellMar>
            <w:top w:w="15" w:type="dxa"/>
            <w:left w:w="15" w:type="dxa"/>
            <w:bottom w:w="15" w:type="dxa"/>
            <w:right w:w="15" w:type="dxa"/>
          </w:tblCellMar>
        </w:tblPrEx>
        <w:trPr>
          <w:trHeight w:val="1050" w:hRule="atLeast"/>
          <w:jc w:val="center"/>
        </w:trPr>
        <w:tc>
          <w:tcPr>
            <w:tcW w:w="843" w:type="dxa"/>
            <w:vMerge w:val="continue"/>
            <w:tcBorders>
              <w:left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p>
        </w:tc>
        <w:tc>
          <w:tcPr>
            <w:tcW w:w="1320" w:type="dxa"/>
            <w:vMerge w:val="continue"/>
            <w:tcBorders>
              <w:left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w:t>
            </w:r>
            <w:r>
              <w:rPr>
                <w:rFonts w:hint="eastAsia" w:asciiTheme="minorEastAsia" w:hAnsiTheme="minorEastAsia" w:eastAsiaTheme="minorEastAsia" w:cstheme="minorEastAsia"/>
                <w:color w:val="auto"/>
                <w:szCs w:val="21"/>
                <w:highlight w:val="none"/>
              </w:rPr>
              <w:t>区域特征以及台州市水生态环境管理需求</w:t>
            </w:r>
            <w:r>
              <w:rPr>
                <w:rFonts w:hint="eastAsia" w:asciiTheme="minorEastAsia" w:hAnsiTheme="minorEastAsia" w:eastAsiaTheme="minorEastAsia" w:cstheme="minorEastAsia"/>
                <w:color w:val="auto"/>
                <w:szCs w:val="21"/>
                <w:highlight w:val="none"/>
              </w:rPr>
              <w:t>的理解是否准确、认识是否深刻，是否能与本项目采购需求相契合等进行打分。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区域特征把握准确、管理需求理解深刻的得</w:t>
            </w:r>
            <w:r>
              <w:rPr>
                <w:rFonts w:hint="eastAsia" w:asciiTheme="minorEastAsia" w:hAnsiTheme="minorEastAsia" w:eastAsiaTheme="minorEastAsia" w:cstheme="minorEastAsia"/>
                <w:color w:val="auto"/>
                <w:szCs w:val="21"/>
                <w:highlight w:val="none"/>
                <w:lang w:val="en-US" w:eastAsia="zh-CN"/>
              </w:rPr>
              <w:t>5.0-7.0</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区域特征分析、管理需求理解基本正确、内容简单的得</w:t>
            </w:r>
            <w:r>
              <w:rPr>
                <w:rFonts w:hint="eastAsia" w:asciiTheme="minorEastAsia" w:hAnsiTheme="minorEastAsia" w:eastAsiaTheme="minorEastAsia" w:cstheme="minorEastAsia"/>
                <w:color w:val="auto"/>
                <w:szCs w:val="21"/>
                <w:highlight w:val="none"/>
                <w:lang w:val="en-US" w:eastAsia="zh-CN"/>
              </w:rPr>
              <w:t>3.0-4.9</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区域特征分析、管理需求理解片面有欠缺的得0.1-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.9分，未提及此项不得分。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7</w:t>
            </w:r>
          </w:p>
        </w:tc>
      </w:tr>
      <w:tr>
        <w:tblPrEx>
          <w:tblCellMar>
            <w:top w:w="15" w:type="dxa"/>
            <w:left w:w="15" w:type="dxa"/>
            <w:bottom w:w="15" w:type="dxa"/>
            <w:right w:w="15" w:type="dxa"/>
          </w:tblCellMar>
        </w:tblPrEx>
        <w:trPr>
          <w:trHeight w:val="1050" w:hRule="atLeast"/>
          <w:jc w:val="center"/>
        </w:trPr>
        <w:tc>
          <w:tcPr>
            <w:tcW w:w="843" w:type="dxa"/>
            <w:vMerge w:val="continue"/>
            <w:tcBorders>
              <w:left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p>
        </w:tc>
        <w:tc>
          <w:tcPr>
            <w:tcW w:w="1320"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工作思路</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根据投标人提供的金清水系流域共治实施方案编制的总体思路、工作方法及技术路线的清晰程度、合理性、可操作性等进行打分。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工作思路清晰、工作方法及技术路线合理性和可操作性强的得</w:t>
            </w:r>
            <w:r>
              <w:rPr>
                <w:rFonts w:hint="eastAsia" w:asciiTheme="minorEastAsia" w:hAnsiTheme="minorEastAsia" w:eastAsiaTheme="minorEastAsia" w:cstheme="minorEastAsia"/>
                <w:color w:val="auto"/>
                <w:szCs w:val="21"/>
                <w:highlight w:val="none"/>
                <w:lang w:val="en-US" w:eastAsia="zh-CN"/>
              </w:rPr>
              <w:t>5.0-7.0</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工作思路基本清晰、工作方法及技术路线合理性和可操作性一般的得</w:t>
            </w:r>
            <w:r>
              <w:rPr>
                <w:rFonts w:hint="eastAsia" w:asciiTheme="minorEastAsia" w:hAnsiTheme="minorEastAsia" w:eastAsiaTheme="minorEastAsia" w:cstheme="minorEastAsia"/>
                <w:color w:val="auto"/>
                <w:szCs w:val="21"/>
                <w:highlight w:val="none"/>
                <w:lang w:val="en-US" w:eastAsia="zh-CN"/>
              </w:rPr>
              <w:t>3.0-4.9</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宋体" w:hAnsi="宋体" w:eastAsia="宋体" w:cs="新宋体"/>
                <w:color w:val="auto"/>
                <w:szCs w:val="21"/>
                <w:highlight w:val="none"/>
                <w:lang w:eastAsia="zh-CN"/>
              </w:rPr>
            </w:pPr>
            <w:r>
              <w:rPr>
                <w:rFonts w:hint="eastAsia" w:asciiTheme="minorEastAsia" w:hAnsiTheme="minorEastAsia" w:eastAsiaTheme="minorEastAsia" w:cstheme="minorEastAsia"/>
                <w:color w:val="auto"/>
                <w:szCs w:val="21"/>
                <w:highlight w:val="none"/>
              </w:rPr>
              <w:t>工作思路不清晰、工作方法及技术路线合理性和可操作性差的得0.1-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.9分，未提及此项不得分。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7</w:t>
            </w:r>
          </w:p>
        </w:tc>
      </w:tr>
      <w:tr>
        <w:tblPrEx>
          <w:tblCellMar>
            <w:top w:w="15" w:type="dxa"/>
            <w:left w:w="15" w:type="dxa"/>
            <w:bottom w:w="15" w:type="dxa"/>
            <w:right w:w="15" w:type="dxa"/>
          </w:tblCellMar>
        </w:tblPrEx>
        <w:trPr>
          <w:trHeight w:val="909" w:hRule="atLeast"/>
          <w:jc w:val="center"/>
        </w:trPr>
        <w:tc>
          <w:tcPr>
            <w:tcW w:w="843" w:type="dxa"/>
            <w:vMerge w:val="continue"/>
            <w:tcBorders>
              <w:left w:val="single" w:color="auto" w:sz="4" w:space="0"/>
              <w:right w:val="single" w:color="auto" w:sz="4" w:space="0"/>
            </w:tcBorders>
            <w:vAlign w:val="center"/>
          </w:tcPr>
          <w:p>
            <w:pPr>
              <w:rPr>
                <w:color w:val="auto"/>
                <w:highlight w:val="none"/>
              </w:rPr>
            </w:pPr>
          </w:p>
        </w:tc>
        <w:tc>
          <w:tcPr>
            <w:tcW w:w="1320" w:type="dxa"/>
            <w:vMerge w:val="restart"/>
            <w:tcBorders>
              <w:top w:val="single" w:color="auto" w:sz="4" w:space="0"/>
              <w:left w:val="single" w:color="auto" w:sz="4" w:space="0"/>
              <w:right w:val="single" w:color="auto" w:sz="4" w:space="0"/>
            </w:tcBorders>
            <w:vAlign w:val="center"/>
          </w:tcPr>
          <w:p>
            <w:pPr>
              <w:widowControl/>
              <w:spacing w:line="288" w:lineRule="auto"/>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项目方案</w:t>
            </w: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水生态环境保护现状与问题诊断分析</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widowControl/>
              <w:rPr>
                <w:rFonts w:hint="eastAsia" w:ascii="宋体" w:hAnsi="宋体" w:eastAsia="宋体" w:cs="宋体"/>
                <w:color w:val="auto"/>
                <w:szCs w:val="21"/>
                <w:highlight w:val="none"/>
                <w:lang w:eastAsia="zh-CN"/>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CellMar>
            <w:top w:w="15" w:type="dxa"/>
            <w:left w:w="15" w:type="dxa"/>
            <w:bottom w:w="15" w:type="dxa"/>
            <w:right w:w="15" w:type="dxa"/>
          </w:tblCellMar>
        </w:tblPrEx>
        <w:trPr>
          <w:trHeight w:val="1339"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right w:val="single" w:color="auto" w:sz="4" w:space="0"/>
            </w:tcBorders>
            <w:vAlign w:val="center"/>
          </w:tcPr>
          <w:p>
            <w:pPr>
              <w:widowControl/>
              <w:spacing w:line="288" w:lineRule="auto"/>
              <w:jc w:val="center"/>
              <w:textAlignment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空间分区管控体系构建</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rPr>
                <w:rFonts w:ascii="宋体" w:hAnsi="宋体" w:cs="宋体" w:eastAsiaTheme="minorEastAsia"/>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CellMar>
            <w:top w:w="15" w:type="dxa"/>
            <w:left w:w="15" w:type="dxa"/>
            <w:bottom w:w="15" w:type="dxa"/>
            <w:right w:w="15" w:type="dxa"/>
          </w:tblCellMar>
        </w:tblPrEx>
        <w:trPr>
          <w:trHeight w:val="140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right w:val="single" w:color="auto" w:sz="4" w:space="0"/>
            </w:tcBorders>
            <w:vAlign w:val="center"/>
          </w:tcPr>
          <w:p>
            <w:pPr>
              <w:widowControl/>
              <w:spacing w:line="288" w:lineRule="auto"/>
              <w:jc w:val="center"/>
              <w:textAlignment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污染源分析</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widowControl/>
              <w:rPr>
                <w:rFonts w:ascii="宋体" w:hAnsi="宋体" w:cs="宋体"/>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新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政策机制研究</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tabs>
                <w:tab w:val="left" w:pos="2061"/>
              </w:tabs>
              <w:rPr>
                <w:color w:val="auto"/>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lang w:val="en-US" w:eastAsia="zh-CN"/>
              </w:rPr>
              <w:t>6</w:t>
            </w:r>
          </w:p>
        </w:tc>
      </w:tr>
      <w:tr>
        <w:tblPrEx>
          <w:tblCellMar>
            <w:top w:w="15" w:type="dxa"/>
            <w:left w:w="15" w:type="dxa"/>
            <w:bottom w:w="15" w:type="dxa"/>
            <w:right w:w="15" w:type="dxa"/>
          </w:tblCellMar>
        </w:tblPrEx>
        <w:trPr>
          <w:trHeight w:val="681"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项目筛选</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r>
      <w:tr>
        <w:tblPrEx>
          <w:tblCellMar>
            <w:top w:w="15" w:type="dxa"/>
            <w:left w:w="15" w:type="dxa"/>
            <w:bottom w:w="15" w:type="dxa"/>
            <w:right w:w="15" w:type="dxa"/>
          </w:tblCellMar>
        </w:tblPrEx>
        <w:trPr>
          <w:trHeight w:val="602"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分析以及</w:t>
            </w:r>
            <w:r>
              <w:rPr>
                <w:rFonts w:hint="eastAsia" w:ascii="宋体" w:hAnsi="宋体" w:cs="新宋体"/>
                <w:color w:val="auto"/>
                <w:szCs w:val="21"/>
                <w:highlight w:val="none"/>
              </w:rPr>
              <w:t>解决</w:t>
            </w:r>
            <w:r>
              <w:rPr>
                <w:rFonts w:hint="eastAsia" w:ascii="宋体" w:hAnsi="宋体" w:cs="新宋体"/>
                <w:color w:val="auto"/>
                <w:szCs w:val="21"/>
                <w:highlight w:val="none"/>
                <w:lang w:val="en-US" w:eastAsia="zh-CN"/>
              </w:rPr>
              <w:t>措施</w:t>
            </w: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Times New Roman"/>
                <w:color w:val="auto"/>
                <w:szCs w:val="21"/>
                <w:highlight w:val="none"/>
              </w:rPr>
            </w:pPr>
            <w:r>
              <w:rPr>
                <w:rFonts w:hint="eastAsia" w:ascii="宋体" w:hAnsi="宋体" w:cs="Times New Roman"/>
                <w:color w:val="auto"/>
                <w:szCs w:val="21"/>
                <w:highlight w:val="none"/>
              </w:rPr>
              <w:t>根据投标人对项目实施重点和难点把握的准确性和分析到位程度以及提出解决思路的科学性、准确性</w:t>
            </w:r>
            <w:r>
              <w:rPr>
                <w:rFonts w:hint="eastAsia" w:ascii="宋体" w:hAnsi="宋体"/>
                <w:color w:val="auto"/>
                <w:szCs w:val="21"/>
                <w:highlight w:val="none"/>
              </w:rPr>
              <w:t>进行打分</w:t>
            </w:r>
            <w:r>
              <w:rPr>
                <w:rFonts w:hint="eastAsia" w:ascii="宋体" w:hAnsi="宋体" w:cs="Times New Roman"/>
                <w:color w:val="auto"/>
                <w:szCs w:val="21"/>
                <w:highlight w:val="none"/>
              </w:rPr>
              <w:t>。</w:t>
            </w:r>
          </w:p>
          <w:p>
            <w:pPr>
              <w:widowControl/>
              <w:rPr>
                <w:rFonts w:ascii="宋体" w:hAnsi="宋体" w:cs="Times New Roman"/>
                <w:color w:val="auto"/>
                <w:szCs w:val="21"/>
                <w:highlight w:val="none"/>
              </w:rPr>
            </w:pPr>
            <w:r>
              <w:rPr>
                <w:rFonts w:hint="eastAsia" w:ascii="宋体" w:hAnsi="宋体" w:cs="Times New Roman"/>
                <w:color w:val="auto"/>
                <w:szCs w:val="21"/>
                <w:highlight w:val="none"/>
              </w:rPr>
              <w:t>投标人对重点和难点把握准确、分析到位，提出的解决思路科学、准确的得</w:t>
            </w:r>
            <w:r>
              <w:rPr>
                <w:rFonts w:ascii="宋体" w:hAnsi="宋体" w:cs="Times New Roman"/>
                <w:color w:val="auto"/>
                <w:szCs w:val="21"/>
                <w:highlight w:val="none"/>
              </w:rPr>
              <w:t>4.0-6.0</w:t>
            </w:r>
            <w:r>
              <w:rPr>
                <w:rFonts w:hint="eastAsia" w:ascii="宋体" w:hAnsi="宋体" w:cs="Times New Roman"/>
                <w:color w:val="auto"/>
                <w:szCs w:val="21"/>
                <w:highlight w:val="none"/>
              </w:rPr>
              <w:t>分；</w:t>
            </w:r>
          </w:p>
          <w:p>
            <w:pPr>
              <w:widowControl/>
              <w:rPr>
                <w:color w:val="auto"/>
                <w:highlight w:val="none"/>
              </w:rPr>
            </w:pPr>
            <w:r>
              <w:rPr>
                <w:rFonts w:hint="eastAsia" w:ascii="宋体" w:hAnsi="宋体" w:cs="Times New Roman"/>
                <w:color w:val="auto"/>
                <w:szCs w:val="21"/>
                <w:highlight w:val="none"/>
              </w:rPr>
              <w:t>投标人对重点和难点把握的准确性和分析到位程度一般，提出的解决思路科学性、准确性一般的得</w:t>
            </w:r>
            <w:r>
              <w:rPr>
                <w:rFonts w:ascii="宋体" w:hAnsi="宋体" w:cs="Times New Roman"/>
                <w:color w:val="auto"/>
                <w:szCs w:val="21"/>
                <w:highlight w:val="none"/>
              </w:rPr>
              <w:t>2.0-3.9</w:t>
            </w:r>
            <w:r>
              <w:rPr>
                <w:rFonts w:hint="eastAsia" w:ascii="宋体" w:hAnsi="宋体" w:cs="Times New Roman"/>
                <w:color w:val="auto"/>
                <w:szCs w:val="21"/>
                <w:highlight w:val="none"/>
              </w:rPr>
              <w:t>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s="Times New Roman"/>
                <w:color w:val="auto"/>
                <w:szCs w:val="21"/>
                <w:highlight w:val="none"/>
              </w:rPr>
              <w:t>投标人对重点和难点把握的准确性和分析到位程度较差，提出的解决思路科学性、准确性较差的得</w:t>
            </w:r>
            <w:r>
              <w:rPr>
                <w:rFonts w:ascii="宋体" w:hAnsi="宋体" w:cs="Times New Roman"/>
                <w:color w:val="auto"/>
                <w:szCs w:val="21"/>
                <w:highlight w:val="none"/>
              </w:rPr>
              <w:t>0.1-1.9</w:t>
            </w:r>
            <w:r>
              <w:rPr>
                <w:rFonts w:hint="eastAsia" w:ascii="宋体" w:hAnsi="宋体" w:cs="Times New Roman"/>
                <w:color w:val="auto"/>
                <w:szCs w:val="21"/>
                <w:highlight w:val="none"/>
              </w:rPr>
              <w:t>分</w:t>
            </w:r>
            <w:r>
              <w:rPr>
                <w:rFonts w:hint="eastAsia" w:ascii="宋体" w:hAnsi="宋体"/>
                <w:color w:val="auto"/>
                <w:szCs w:val="21"/>
                <w:highlight w:val="none"/>
              </w:rPr>
              <w:t>，</w:t>
            </w:r>
          </w:p>
          <w:p>
            <w:pPr>
              <w:widowControl/>
              <w:rPr>
                <w:rFonts w:ascii="宋体" w:hAnsi="宋体" w:cs="新宋体"/>
                <w:color w:val="auto"/>
                <w:szCs w:val="21"/>
                <w:highlight w:val="none"/>
              </w:rPr>
            </w:pPr>
            <w:r>
              <w:rPr>
                <w:rFonts w:hint="eastAsia" w:ascii="宋体" w:hAnsi="宋体"/>
                <w:color w:val="auto"/>
                <w:szCs w:val="21"/>
                <w:highlight w:val="none"/>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lang w:val="en-US" w:eastAsia="zh-CN"/>
              </w:rPr>
              <w:t>6</w:t>
            </w:r>
          </w:p>
        </w:tc>
      </w:tr>
      <w:tr>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宋体" w:hAnsi="宋体" w:cs="宋体" w:eastAsiaTheme="minorEastAsia"/>
                <w:color w:val="auto"/>
                <w:spacing w:val="-4"/>
                <w:szCs w:val="21"/>
                <w:highlight w:val="none"/>
                <w:lang w:val="en-US" w:eastAsia="zh-CN"/>
              </w:rPr>
              <w:t>质量保障措施</w:t>
            </w:r>
          </w:p>
        </w:tc>
        <w:tc>
          <w:tcPr>
            <w:tcW w:w="6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cs="宋体"/>
                <w:color w:val="auto"/>
                <w:spacing w:val="-4"/>
                <w:szCs w:val="21"/>
                <w:highlight w:val="none"/>
              </w:rPr>
            </w:pPr>
            <w:r>
              <w:rPr>
                <w:rFonts w:hint="eastAsia" w:ascii="宋体" w:hAnsi="宋体" w:cs="宋体"/>
                <w:color w:val="auto"/>
                <w:spacing w:val="-4"/>
                <w:szCs w:val="21"/>
                <w:highlight w:val="none"/>
              </w:rPr>
              <w:t>根据投标人的质量管理保证措施方案进行</w:t>
            </w:r>
            <w:r>
              <w:rPr>
                <w:rFonts w:hint="eastAsia" w:ascii="宋体" w:hAnsi="宋体" w:cs="宋体"/>
                <w:color w:val="auto"/>
                <w:spacing w:val="-4"/>
                <w:szCs w:val="21"/>
                <w:highlight w:val="none"/>
                <w:lang w:val="en-US" w:eastAsia="zh-CN"/>
              </w:rPr>
              <w:t>打</w:t>
            </w:r>
            <w:r>
              <w:rPr>
                <w:rFonts w:hint="eastAsia" w:ascii="宋体" w:hAnsi="宋体" w:cs="宋体"/>
                <w:color w:val="auto"/>
                <w:spacing w:val="-4"/>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宋体" w:hAnsi="宋体" w:cs="宋体"/>
                <w:color w:val="auto"/>
                <w:spacing w:val="-4"/>
                <w:szCs w:val="21"/>
                <w:highlight w:val="none"/>
              </w:rPr>
              <w:t>质量管理保证措施方案</w:t>
            </w:r>
            <w:r>
              <w:rPr>
                <w:rFonts w:hint="eastAsia" w:asciiTheme="minorEastAsia" w:hAnsiTheme="minorEastAsia" w:eastAsiaTheme="minorEastAsia" w:cstheme="minorEastAsia"/>
                <w:b w:val="0"/>
                <w:color w:val="auto"/>
                <w:sz w:val="21"/>
                <w:szCs w:val="21"/>
                <w:highlight w:val="none"/>
                <w:lang w:val="en-US" w:eastAsia="zh-CN"/>
              </w:rPr>
              <w:t>全面详细，制度体系合理可行能有效保障并有针对性的得3.0-5.0分；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质控方案简单，制度内容不完整，不能保障服务质量的得0.1-2.9分；</w:t>
            </w:r>
          </w:p>
          <w:p>
            <w:pPr>
              <w:rPr>
                <w:rFonts w:ascii="宋体" w:hAnsi="宋体" w:cs="宋体"/>
                <w:color w:val="auto"/>
                <w:spacing w:val="-4"/>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auto"/>
                <w:spacing w:val="-4"/>
                <w:szCs w:val="21"/>
                <w:highlight w:val="none"/>
              </w:rPr>
            </w:pPr>
            <w:r>
              <w:rPr>
                <w:rFonts w:hint="eastAsia" w:ascii="宋体" w:hAnsi="宋体" w:cs="宋体"/>
                <w:color w:val="auto"/>
                <w:spacing w:val="-4"/>
                <w:szCs w:val="21"/>
                <w:highlight w:val="none"/>
              </w:rPr>
              <w:t>5</w:t>
            </w:r>
          </w:p>
        </w:tc>
      </w:tr>
      <w:tr>
        <w:tblPrEx>
          <w:tblCellMar>
            <w:top w:w="15" w:type="dxa"/>
            <w:left w:w="15" w:type="dxa"/>
            <w:bottom w:w="15" w:type="dxa"/>
            <w:right w:w="15" w:type="dxa"/>
          </w:tblCellMar>
        </w:tblPrEx>
        <w:trPr>
          <w:trHeight w:val="1047"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新宋体"/>
                <w:color w:val="auto"/>
                <w:szCs w:val="21"/>
                <w:highlight w:val="none"/>
                <w:lang w:val="en-US" w:eastAsia="zh-CN"/>
              </w:rPr>
              <w:t>后续服务能力</w:t>
            </w:r>
          </w:p>
        </w:tc>
        <w:tc>
          <w:tcPr>
            <w:tcW w:w="6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color w:val="auto"/>
                <w:highlight w:val="none"/>
              </w:rPr>
            </w:pPr>
            <w:r>
              <w:rPr>
                <w:rFonts w:hint="eastAsia"/>
                <w:color w:val="auto"/>
                <w:highlight w:val="none"/>
              </w:rPr>
              <w:t>根据投标人的服务承诺和后续服务方案情况进行比较</w:t>
            </w:r>
            <w:r>
              <w:rPr>
                <w:rFonts w:hint="eastAsia"/>
                <w:color w:val="auto"/>
                <w:highlight w:val="none"/>
                <w:lang w:val="en-US" w:eastAsia="zh-CN"/>
              </w:rPr>
              <w:t>打</w:t>
            </w:r>
            <w:r>
              <w:rPr>
                <w:rFonts w:hint="eastAsia"/>
                <w:color w:val="auto"/>
                <w:highlight w:val="none"/>
              </w:rPr>
              <w:t>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服务方案全面、对后续服务有保障的的得2.0-4.0分；</w:t>
            </w:r>
          </w:p>
          <w:p>
            <w:pPr>
              <w:adjustRightInd w:val="0"/>
              <w:snapToGrid w:val="0"/>
              <w:rPr>
                <w:rFonts w:ascii="宋体" w:hAnsi="宋体" w:cs="宋体"/>
                <w:color w:val="auto"/>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服务方案阐述较详尽，承诺不全面的得0.1-1.9分；未提及此项不得分。</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CellMar>
            <w:top w:w="15" w:type="dxa"/>
            <w:left w:w="15" w:type="dxa"/>
            <w:bottom w:w="15" w:type="dxa"/>
            <w:right w:w="15" w:type="dxa"/>
          </w:tblCellMar>
        </w:tblPrEx>
        <w:trPr>
          <w:trHeight w:val="1113"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新宋体"/>
                <w:color w:val="auto"/>
                <w:szCs w:val="21"/>
                <w:highlight w:val="none"/>
              </w:rPr>
            </w:pPr>
            <w:r>
              <w:rPr>
                <w:rFonts w:hint="eastAsia" w:ascii="宋体" w:hAnsi="宋体" w:cs="新宋体"/>
                <w:color w:val="auto"/>
                <w:szCs w:val="21"/>
                <w:highlight w:val="none"/>
              </w:rPr>
              <w:t>价格分</w:t>
            </w:r>
          </w:p>
          <w:p>
            <w:pPr>
              <w:jc w:val="center"/>
              <w:rPr>
                <w:rFonts w:ascii="宋体" w:hAnsi="宋体" w:cs="宋体"/>
                <w:color w:val="auto"/>
                <w:szCs w:val="21"/>
                <w:highlight w:val="none"/>
              </w:rPr>
            </w:pP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0分）</w:t>
            </w:r>
          </w:p>
        </w:tc>
        <w:tc>
          <w:tcPr>
            <w:tcW w:w="65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新宋体"/>
                <w:color w:val="auto"/>
                <w:szCs w:val="21"/>
                <w:highlight w:val="none"/>
              </w:rPr>
              <w:t>取投标合格供应商的投标最终报价最低价为评标基准价，基准价为</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0分。投标报价得分=(评标基准价／投标报价)×</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0%×100 。（小数点后保留2位小数）。</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r>
    </w:tbl>
    <w:p>
      <w:pPr>
        <w:pStyle w:val="5"/>
        <w:ind w:firstLine="0" w:firstLineChars="0"/>
        <w:rPr>
          <w:color w:val="auto"/>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 xml:space="preserve">第四章 </w:t>
      </w:r>
      <w:r>
        <w:rPr>
          <w:rFonts w:hint="eastAsia" w:ascii="宋体" w:hAnsi="宋体"/>
          <w:b/>
          <w:color w:val="auto"/>
          <w:sz w:val="36"/>
          <w:szCs w:val="36"/>
          <w:highlight w:val="none"/>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Cs w:val="21"/>
          <w:highlight w:val="none"/>
        </w:rPr>
        <w:t>本次招标具体内容如下表：</w:t>
      </w:r>
    </w:p>
    <w:tbl>
      <w:tblPr>
        <w:tblStyle w:val="2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44"/>
        <w:gridCol w:w="1748"/>
        <w:gridCol w:w="1209"/>
        <w:gridCol w:w="129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1"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标段号</w:t>
            </w:r>
          </w:p>
        </w:tc>
        <w:tc>
          <w:tcPr>
            <w:tcW w:w="2644" w:type="dxa"/>
            <w:vAlign w:val="center"/>
          </w:tcPr>
          <w:p>
            <w:pPr>
              <w:tabs>
                <w:tab w:val="left" w:pos="8280"/>
              </w:tabs>
              <w:autoSpaceDE w:val="0"/>
              <w:autoSpaceDN w:val="0"/>
              <w:adjustRightInd w:val="0"/>
              <w:spacing w:line="360" w:lineRule="auto"/>
              <w:ind w:right="25" w:firstLine="105" w:firstLine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74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宋体" w:hAnsi="宋体" w:cs="宋体"/>
                <w:b/>
                <w:color w:val="auto"/>
                <w:kern w:val="0"/>
                <w:szCs w:val="21"/>
                <w:highlight w:val="none"/>
              </w:rPr>
              <w:t>简要技术要求</w:t>
            </w:r>
          </w:p>
        </w:tc>
        <w:tc>
          <w:tcPr>
            <w:tcW w:w="1209"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29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w:t>
            </w:r>
          </w:p>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（万元）</w:t>
            </w:r>
          </w:p>
        </w:tc>
        <w:tc>
          <w:tcPr>
            <w:tcW w:w="1203"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001"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644" w:type="dxa"/>
            <w:vAlign w:val="center"/>
          </w:tcPr>
          <w:p>
            <w:pPr>
              <w:tabs>
                <w:tab w:val="left" w:pos="8280"/>
              </w:tabs>
              <w:autoSpaceDE w:val="0"/>
              <w:autoSpaceDN w:val="0"/>
              <w:adjustRightInd w:val="0"/>
              <w:spacing w:line="360" w:lineRule="auto"/>
              <w:ind w:right="25"/>
              <w:jc w:val="center"/>
              <w:rPr>
                <w:rFonts w:hint="eastAsia" w:eastAsiaTheme="minorEastAsia"/>
                <w:color w:val="auto"/>
                <w:highlight w:val="none"/>
                <w:lang w:val="en-US" w:eastAsia="zh-CN"/>
              </w:rPr>
            </w:pPr>
            <w:r>
              <w:rPr>
                <w:rFonts w:hint="eastAsia" w:asciiTheme="minorEastAsia" w:hAnsiTheme="minorEastAsia" w:eastAsiaTheme="minorEastAsia"/>
                <w:color w:val="auto"/>
                <w:szCs w:val="21"/>
                <w:highlight w:val="none"/>
              </w:rPr>
              <w:t>台州金清水系流域共治实施方案</w:t>
            </w:r>
            <w:r>
              <w:rPr>
                <w:rFonts w:hint="eastAsia" w:asciiTheme="minorEastAsia" w:hAnsiTheme="minorEastAsia" w:eastAsiaTheme="minorEastAsia"/>
                <w:color w:val="auto"/>
                <w:szCs w:val="21"/>
                <w:highlight w:val="none"/>
                <w:lang w:val="en-US" w:eastAsia="zh-CN"/>
              </w:rPr>
              <w:t>项目</w:t>
            </w:r>
          </w:p>
        </w:tc>
        <w:tc>
          <w:tcPr>
            <w:tcW w:w="174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详见招标文件</w:t>
            </w:r>
          </w:p>
        </w:tc>
        <w:tc>
          <w:tcPr>
            <w:tcW w:w="1209"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Cs w:val="21"/>
                <w:highlight w:val="none"/>
              </w:rPr>
            </w:pPr>
            <w:r>
              <w:rPr>
                <w:rFonts w:hint="eastAsia" w:eastAsiaTheme="minorEastAsia"/>
                <w:color w:val="auto"/>
                <w:highlight w:val="none"/>
              </w:rPr>
              <w:t>1项</w:t>
            </w:r>
          </w:p>
        </w:tc>
        <w:tc>
          <w:tcPr>
            <w:tcW w:w="1292" w:type="dxa"/>
            <w:vAlign w:val="center"/>
          </w:tcPr>
          <w:p>
            <w:pPr>
              <w:tabs>
                <w:tab w:val="left" w:pos="8280"/>
              </w:tabs>
              <w:autoSpaceDE w:val="0"/>
              <w:autoSpaceDN w:val="0"/>
              <w:adjustRightInd w:val="0"/>
              <w:spacing w:line="360" w:lineRule="auto"/>
              <w:ind w:right="25"/>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1000</w:t>
            </w:r>
          </w:p>
        </w:tc>
        <w:tc>
          <w:tcPr>
            <w:tcW w:w="1203" w:type="dxa"/>
          </w:tcPr>
          <w:p>
            <w:pPr>
              <w:tabs>
                <w:tab w:val="left" w:pos="8280"/>
              </w:tabs>
              <w:autoSpaceDE w:val="0"/>
              <w:autoSpaceDN w:val="0"/>
              <w:adjustRightInd w:val="0"/>
              <w:spacing w:line="360" w:lineRule="auto"/>
              <w:ind w:right="25"/>
              <w:rPr>
                <w:rFonts w:asciiTheme="minorEastAsia" w:hAnsiTheme="minorEastAsia" w:eastAsiaTheme="minorEastAsia"/>
                <w:color w:val="auto"/>
                <w:szCs w:val="21"/>
                <w:highlight w:val="none"/>
              </w:rPr>
            </w:pPr>
          </w:p>
        </w:tc>
      </w:tr>
    </w:tbl>
    <w:p>
      <w:pPr>
        <w:pStyle w:val="53"/>
        <w:spacing w:line="360" w:lineRule="auto"/>
        <w:rPr>
          <w:rFonts w:hint="eastAsia" w:hAnsi="宋体" w:cs="宋体"/>
          <w:b/>
          <w:bCs/>
          <w:color w:val="auto"/>
          <w:kern w:val="2"/>
          <w:sz w:val="21"/>
          <w:szCs w:val="21"/>
          <w:highlight w:val="none"/>
        </w:rPr>
      </w:pPr>
    </w:p>
    <w:p>
      <w:pPr>
        <w:pStyle w:val="53"/>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二、项目背景</w:t>
      </w:r>
    </w:p>
    <w:p>
      <w:pPr>
        <w:pStyle w:val="53"/>
        <w:spacing w:line="360" w:lineRule="auto"/>
        <w:ind w:firstLine="420" w:firstLineChars="200"/>
        <w:rPr>
          <w:rFonts w:hAnsi="宋体"/>
          <w:bCs/>
          <w:snapToGrid w:val="0"/>
          <w:color w:val="auto"/>
          <w:sz w:val="21"/>
          <w:szCs w:val="21"/>
          <w:highlight w:val="none"/>
        </w:rPr>
      </w:pPr>
      <w:r>
        <w:rPr>
          <w:rFonts w:hint="eastAsia" w:hAnsi="宋体"/>
          <w:bCs/>
          <w:snapToGrid w:val="0"/>
          <w:color w:val="auto"/>
          <w:sz w:val="21"/>
          <w:szCs w:val="21"/>
          <w:highlight w:val="none"/>
        </w:rPr>
        <w:t>金清水系位于温黄平原的东部和南部，河网密布，纵横交错，流域面积1201.8km</w:t>
      </w:r>
      <w:r>
        <w:rPr>
          <w:rFonts w:hAnsi="宋体"/>
          <w:bCs/>
          <w:snapToGrid w:val="0"/>
          <w:color w:val="auto"/>
          <w:sz w:val="21"/>
          <w:szCs w:val="21"/>
          <w:highlight w:val="none"/>
          <w:vertAlign w:val="superscript"/>
        </w:rPr>
        <w:t>2</w:t>
      </w:r>
      <w:r>
        <w:rPr>
          <w:rFonts w:hint="eastAsia" w:hAnsi="宋体"/>
          <w:bCs/>
          <w:snapToGrid w:val="0"/>
          <w:color w:val="auto"/>
          <w:sz w:val="21"/>
          <w:szCs w:val="21"/>
          <w:highlight w:val="none"/>
        </w:rPr>
        <w:t>，是台州第二大水系。近年来，随着浙江“五水共治”工作不断深化，台州市委、市政府高度重视金清水系水环境保护工作，通过实施一系列措施和工程项目，水环境治理与保护工作取得阶段成效。“十四五”时期，随着国家、省水生态环境保护工作不断深入，金清水系流域水环境保护形势依然严峻。为加快补齐台州市治水短板，突出科学治污、精准治污，从根本上解决河道水质较差、部分河道富营养化等问题，亟需从市级层面统筹谋划、深入开展金清水系流域共治与水质改善提升工作。</w:t>
      </w:r>
    </w:p>
    <w:p>
      <w:pPr>
        <w:pStyle w:val="53"/>
        <w:spacing w:line="360" w:lineRule="auto"/>
        <w:rPr>
          <w:rFonts w:hAnsi="宋体"/>
          <w:bCs/>
          <w:snapToGrid w:val="0"/>
          <w:color w:val="auto"/>
          <w:sz w:val="21"/>
          <w:szCs w:val="21"/>
          <w:highlight w:val="none"/>
        </w:rPr>
      </w:pPr>
      <w:r>
        <w:rPr>
          <w:rFonts w:hint="eastAsia" w:hAnsi="宋体"/>
          <w:b/>
          <w:bCs w:val="0"/>
          <w:snapToGrid w:val="0"/>
          <w:color w:val="auto"/>
          <w:sz w:val="21"/>
          <w:szCs w:val="21"/>
          <w:highlight w:val="none"/>
          <w:lang w:eastAsia="zh-CN"/>
        </w:rPr>
        <w:t>三</w:t>
      </w:r>
      <w:r>
        <w:rPr>
          <w:rFonts w:hint="eastAsia" w:hAnsi="宋体"/>
          <w:b/>
          <w:bCs w:val="0"/>
          <w:snapToGrid w:val="0"/>
          <w:color w:val="auto"/>
          <w:sz w:val="21"/>
          <w:szCs w:val="21"/>
          <w:highlight w:val="none"/>
        </w:rPr>
        <w:t>、项目内容要求</w:t>
      </w:r>
    </w:p>
    <w:p>
      <w:pPr>
        <w:pStyle w:val="53"/>
        <w:spacing w:line="360" w:lineRule="auto"/>
        <w:ind w:firstLine="426" w:firstLineChars="202"/>
        <w:rPr>
          <w:rFonts w:hAnsi="宋体"/>
          <w:b/>
          <w:bCs w:val="0"/>
          <w:snapToGrid w:val="0"/>
          <w:color w:val="auto"/>
          <w:sz w:val="21"/>
          <w:szCs w:val="21"/>
          <w:highlight w:val="none"/>
        </w:rPr>
      </w:pPr>
      <w:r>
        <w:rPr>
          <w:rFonts w:hint="eastAsia" w:hAnsi="宋体"/>
          <w:b/>
          <w:bCs w:val="0"/>
          <w:snapToGrid w:val="0"/>
          <w:color w:val="auto"/>
          <w:sz w:val="21"/>
          <w:szCs w:val="21"/>
          <w:highlight w:val="none"/>
        </w:rPr>
        <w:t>（一）水生态环境保护现状与问题诊断分析</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系统梳理金清水系</w:t>
      </w:r>
      <w:r>
        <w:rPr>
          <w:rFonts w:hint="eastAsia" w:hAnsi="宋体"/>
          <w:bCs/>
          <w:snapToGrid w:val="0"/>
          <w:color w:val="auto"/>
          <w:sz w:val="21"/>
          <w:szCs w:val="21"/>
          <w:highlight w:val="none"/>
        </w:rPr>
        <w:t>和永宁江流域水系</w:t>
      </w:r>
      <w:r>
        <w:rPr>
          <w:rFonts w:hint="eastAsia" w:hAnsi="宋体"/>
          <w:bCs/>
          <w:snapToGrid w:val="0"/>
          <w:color w:val="auto"/>
          <w:sz w:val="21"/>
          <w:szCs w:val="21"/>
          <w:highlight w:val="none"/>
        </w:rPr>
        <w:t>主要水环境问题，开展成因研判，分析需要重点关注的河段及区域，开列各区（市）“问题清单”。</w:t>
      </w:r>
    </w:p>
    <w:p>
      <w:pPr>
        <w:pStyle w:val="53"/>
        <w:spacing w:line="360" w:lineRule="auto"/>
        <w:ind w:firstLine="426" w:firstLineChars="202"/>
        <w:rPr>
          <w:rFonts w:hAnsi="宋体"/>
          <w:bCs/>
          <w:snapToGrid w:val="0"/>
          <w:color w:val="auto"/>
          <w:sz w:val="21"/>
          <w:szCs w:val="21"/>
          <w:highlight w:val="none"/>
        </w:rPr>
      </w:pPr>
      <w:r>
        <w:rPr>
          <w:rFonts w:hint="eastAsia" w:hAnsi="宋体"/>
          <w:b/>
          <w:snapToGrid w:val="0"/>
          <w:color w:val="auto"/>
          <w:sz w:val="21"/>
          <w:szCs w:val="21"/>
          <w:highlight w:val="none"/>
        </w:rPr>
        <w:t>（二）水生态环境保护成效分析与经验总结</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系统分析近年来台州市在水环境、水资源、水生态以及“五水共治”工作中取得的主要成效，总结各区（市）、各部门在水生态环境保护过程中的经验做法。</w:t>
      </w:r>
    </w:p>
    <w:p>
      <w:pPr>
        <w:pStyle w:val="53"/>
        <w:spacing w:line="360" w:lineRule="auto"/>
        <w:ind w:firstLine="426" w:firstLineChars="202"/>
        <w:rPr>
          <w:rFonts w:hAnsi="宋体"/>
          <w:b/>
          <w:bCs w:val="0"/>
          <w:snapToGrid w:val="0"/>
          <w:color w:val="auto"/>
          <w:sz w:val="21"/>
          <w:szCs w:val="21"/>
          <w:highlight w:val="none"/>
        </w:rPr>
      </w:pPr>
      <w:r>
        <w:rPr>
          <w:rFonts w:hint="eastAsia" w:hAnsi="宋体"/>
          <w:b/>
          <w:bCs w:val="0"/>
          <w:snapToGrid w:val="0"/>
          <w:color w:val="auto"/>
          <w:sz w:val="21"/>
          <w:szCs w:val="21"/>
          <w:highlight w:val="none"/>
        </w:rPr>
        <w:t>（三）金清水系</w:t>
      </w:r>
      <w:r>
        <w:rPr>
          <w:rFonts w:hint="eastAsia" w:hAnsi="宋体"/>
          <w:b/>
          <w:snapToGrid w:val="0"/>
          <w:color w:val="auto"/>
          <w:sz w:val="21"/>
          <w:szCs w:val="21"/>
          <w:highlight w:val="none"/>
        </w:rPr>
        <w:t>及永宁江流域</w:t>
      </w:r>
      <w:r>
        <w:rPr>
          <w:rFonts w:hint="eastAsia" w:hAnsi="宋体"/>
          <w:b/>
          <w:bCs w:val="0"/>
          <w:snapToGrid w:val="0"/>
          <w:color w:val="auto"/>
          <w:sz w:val="21"/>
          <w:szCs w:val="21"/>
          <w:highlight w:val="none"/>
        </w:rPr>
        <w:t>空间分区管控体系构建研究</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统筹流域边界和乡镇边界，构建流域分区管理体系，厘清各区（市）责任主体。</w:t>
      </w:r>
    </w:p>
    <w:p>
      <w:pPr>
        <w:pStyle w:val="53"/>
        <w:spacing w:line="360" w:lineRule="auto"/>
        <w:ind w:firstLine="426" w:firstLineChars="202"/>
        <w:rPr>
          <w:rFonts w:hAnsi="宋体"/>
          <w:bCs/>
          <w:snapToGrid w:val="0"/>
          <w:color w:val="auto"/>
          <w:sz w:val="21"/>
          <w:szCs w:val="21"/>
          <w:highlight w:val="none"/>
        </w:rPr>
      </w:pPr>
      <w:r>
        <w:rPr>
          <w:rFonts w:hint="eastAsia" w:hAnsi="宋体"/>
          <w:b/>
          <w:snapToGrid w:val="0"/>
          <w:color w:val="auto"/>
          <w:sz w:val="21"/>
          <w:szCs w:val="21"/>
          <w:highlight w:val="none"/>
        </w:rPr>
        <w:t>（四）重点任务及对策研究</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根据流域内水生态保护、污染物排放及处理等情况，按照问题导向与目标导向，因地制宜提出重点任务及对策。</w:t>
      </w:r>
    </w:p>
    <w:p>
      <w:pPr>
        <w:pStyle w:val="53"/>
        <w:spacing w:line="360" w:lineRule="auto"/>
        <w:ind w:firstLine="426" w:firstLineChars="202"/>
        <w:rPr>
          <w:rFonts w:hAnsi="宋体"/>
          <w:b/>
          <w:snapToGrid w:val="0"/>
          <w:color w:val="auto"/>
          <w:sz w:val="21"/>
          <w:szCs w:val="21"/>
          <w:highlight w:val="none"/>
        </w:rPr>
      </w:pPr>
      <w:r>
        <w:rPr>
          <w:rFonts w:hint="eastAsia" w:hAnsi="宋体"/>
          <w:b/>
          <w:snapToGrid w:val="0"/>
          <w:color w:val="auto"/>
          <w:sz w:val="21"/>
          <w:szCs w:val="21"/>
          <w:highlight w:val="none"/>
        </w:rPr>
        <w:t>（五）水生态环境保护政策机制研究</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在已有水生态环境保护政策机制基础上，充分考虑必要性、可行性与操作性，开展相关政策机制框架设计。</w:t>
      </w:r>
    </w:p>
    <w:p>
      <w:pPr>
        <w:pStyle w:val="53"/>
        <w:spacing w:line="360" w:lineRule="auto"/>
        <w:ind w:firstLine="426" w:firstLineChars="202"/>
        <w:rPr>
          <w:rFonts w:hAnsi="宋体"/>
          <w:bCs/>
          <w:snapToGrid w:val="0"/>
          <w:color w:val="auto"/>
          <w:sz w:val="21"/>
          <w:szCs w:val="21"/>
          <w:highlight w:val="none"/>
        </w:rPr>
      </w:pPr>
      <w:r>
        <w:rPr>
          <w:rFonts w:hint="eastAsia" w:hAnsi="宋体"/>
          <w:b/>
          <w:snapToGrid w:val="0"/>
          <w:color w:val="auto"/>
          <w:sz w:val="21"/>
          <w:szCs w:val="21"/>
          <w:highlight w:val="none"/>
        </w:rPr>
        <w:t>（六）重点工程项目提炼筛选</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衔接各区（市）已建和拟建工程项目，提炼筛选对流域水质有改善作用的项目，提出项目设置建议，形成各区（市）“项目清单”。</w:t>
      </w:r>
    </w:p>
    <w:p>
      <w:pPr>
        <w:pStyle w:val="53"/>
        <w:spacing w:line="360" w:lineRule="auto"/>
        <w:ind w:firstLine="426" w:firstLineChars="202"/>
        <w:rPr>
          <w:rFonts w:hAnsi="宋体"/>
          <w:bCs/>
          <w:snapToGrid w:val="0"/>
          <w:color w:val="auto"/>
          <w:sz w:val="21"/>
          <w:szCs w:val="21"/>
          <w:highlight w:val="none"/>
        </w:rPr>
      </w:pPr>
      <w:r>
        <w:rPr>
          <w:rFonts w:hint="eastAsia" w:hAnsi="宋体"/>
          <w:b/>
          <w:snapToGrid w:val="0"/>
          <w:color w:val="auto"/>
          <w:sz w:val="21"/>
          <w:szCs w:val="21"/>
          <w:highlight w:val="none"/>
        </w:rPr>
        <w:t>（七）方案实施保障措施制定</w:t>
      </w:r>
    </w:p>
    <w:p>
      <w:pPr>
        <w:spacing w:line="360" w:lineRule="auto"/>
        <w:ind w:firstLine="420" w:firstLineChars="200"/>
        <w:rPr>
          <w:rFonts w:ascii="宋体" w:hAnsi="宋体"/>
          <w:bCs/>
          <w:snapToGrid w:val="0"/>
          <w:color w:val="auto"/>
          <w:kern w:val="0"/>
          <w:szCs w:val="21"/>
          <w:highlight w:val="none"/>
        </w:rPr>
      </w:pPr>
      <w:r>
        <w:rPr>
          <w:rFonts w:hint="eastAsia" w:hAnsi="宋体"/>
          <w:bCs/>
          <w:snapToGrid w:val="0"/>
          <w:color w:val="auto"/>
          <w:szCs w:val="21"/>
          <w:highlight w:val="none"/>
        </w:rPr>
        <w:t>从组织领导、资金投入、监督管理、科技支撑、宣传引导等方面提出保障方案实施的具体措施</w:t>
      </w:r>
      <w:r>
        <w:rPr>
          <w:rFonts w:ascii="宋体" w:hAnsi="宋体"/>
          <w:bCs/>
          <w:snapToGrid w:val="0"/>
          <w:color w:val="auto"/>
          <w:kern w:val="0"/>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四、项目要求</w:t>
      </w:r>
    </w:p>
    <w:p>
      <w:pPr>
        <w:spacing w:line="360" w:lineRule="auto"/>
        <w:ind w:firstLine="420" w:firstLineChars="200"/>
        <w:rPr>
          <w:color w:val="auto"/>
          <w:highlight w:val="none"/>
        </w:rPr>
      </w:pPr>
      <w:r>
        <w:rPr>
          <w:rFonts w:hint="eastAsia" w:ascii="宋体" w:hAnsi="宋体"/>
          <w:bCs/>
          <w:snapToGrid w:val="0"/>
          <w:color w:val="auto"/>
          <w:kern w:val="0"/>
          <w:szCs w:val="21"/>
          <w:highlight w:val="none"/>
          <w:lang w:val="en-US" w:eastAsia="zh-CN"/>
        </w:rPr>
        <w:t>2022年10月底前初步完成工程项目清单梳理工作，提交一批工程项目清单。</w:t>
      </w:r>
      <w:r>
        <w:rPr>
          <w:rFonts w:hint="eastAsia" w:ascii="宋体" w:hAnsi="宋体"/>
          <w:bCs/>
          <w:snapToGrid w:val="0"/>
          <w:color w:val="auto"/>
          <w:kern w:val="0"/>
          <w:szCs w:val="21"/>
          <w:highlight w:val="none"/>
        </w:rPr>
        <w:t>2</w:t>
      </w:r>
      <w:r>
        <w:rPr>
          <w:rFonts w:ascii="宋体" w:hAnsi="宋体"/>
          <w:bCs/>
          <w:snapToGrid w:val="0"/>
          <w:color w:val="auto"/>
          <w:kern w:val="0"/>
          <w:szCs w:val="21"/>
          <w:highlight w:val="none"/>
        </w:rPr>
        <w:t>023</w:t>
      </w:r>
      <w:r>
        <w:rPr>
          <w:rFonts w:hint="eastAsia" w:ascii="宋体" w:hAnsi="宋体"/>
          <w:bCs/>
          <w:snapToGrid w:val="0"/>
          <w:color w:val="auto"/>
          <w:kern w:val="0"/>
          <w:szCs w:val="21"/>
          <w:highlight w:val="none"/>
        </w:rPr>
        <w:t>年</w:t>
      </w:r>
      <w:r>
        <w:rPr>
          <w:rFonts w:ascii="宋体" w:hAnsi="宋体"/>
          <w:bCs/>
          <w:snapToGrid w:val="0"/>
          <w:color w:val="auto"/>
          <w:kern w:val="0"/>
          <w:szCs w:val="21"/>
          <w:highlight w:val="none"/>
        </w:rPr>
        <w:t>2</w:t>
      </w:r>
      <w:r>
        <w:rPr>
          <w:rFonts w:hint="eastAsia" w:ascii="宋体" w:hAnsi="宋体"/>
          <w:bCs/>
          <w:snapToGrid w:val="0"/>
          <w:color w:val="auto"/>
          <w:kern w:val="0"/>
          <w:szCs w:val="21"/>
          <w:highlight w:val="none"/>
        </w:rPr>
        <w:t>月底前全面完成项目工作内容</w:t>
      </w:r>
      <w:r>
        <w:rPr>
          <w:rFonts w:hint="eastAsia" w:ascii="宋体" w:hAnsi="宋体"/>
          <w:bCs/>
          <w:snapToGrid w:val="0"/>
          <w:color w:val="auto"/>
          <w:kern w:val="0"/>
          <w:szCs w:val="21"/>
          <w:highlight w:val="none"/>
          <w:lang w:eastAsia="zh-CN"/>
        </w:rPr>
        <w:t>并</w:t>
      </w:r>
      <w:r>
        <w:rPr>
          <w:rFonts w:hint="eastAsia" w:ascii="宋体" w:hAnsi="宋体"/>
          <w:bCs/>
          <w:snapToGrid w:val="0"/>
          <w:color w:val="auto"/>
          <w:kern w:val="0"/>
          <w:szCs w:val="21"/>
          <w:highlight w:val="none"/>
        </w:rPr>
        <w:t>提交</w:t>
      </w:r>
      <w:r>
        <w:rPr>
          <w:rFonts w:hint="eastAsia" w:ascii="宋体" w:hAnsi="宋体"/>
          <w:bCs/>
          <w:snapToGrid w:val="0"/>
          <w:color w:val="auto"/>
          <w:kern w:val="0"/>
          <w:szCs w:val="21"/>
          <w:highlight w:val="none"/>
          <w:lang w:eastAsia="zh-CN"/>
        </w:rPr>
        <w:t>各项</w:t>
      </w:r>
      <w:r>
        <w:rPr>
          <w:rFonts w:hint="eastAsia" w:ascii="宋体" w:hAnsi="宋体"/>
          <w:bCs/>
          <w:snapToGrid w:val="0"/>
          <w:color w:val="auto"/>
          <w:kern w:val="0"/>
          <w:szCs w:val="21"/>
          <w:highlight w:val="none"/>
        </w:rPr>
        <w:t>成果。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五、项目成果</w:t>
      </w:r>
    </w:p>
    <w:p>
      <w:pPr>
        <w:pStyle w:val="2"/>
        <w:spacing w:line="360" w:lineRule="auto"/>
        <w:rPr>
          <w:color w:val="auto"/>
          <w:highlight w:val="none"/>
        </w:rPr>
      </w:pPr>
      <w:r>
        <w:rPr>
          <w:rFonts w:hint="eastAsia" w:ascii="仿宋_GB2312"/>
          <w:color w:val="auto"/>
          <w:highlight w:val="none"/>
        </w:rPr>
        <w:t>成果主要由方案、清单、报告等</w:t>
      </w:r>
      <w:r>
        <w:rPr>
          <w:rFonts w:ascii="仿宋_GB2312"/>
          <w:color w:val="auto"/>
          <w:highlight w:val="none"/>
        </w:rPr>
        <w:t>3</w:t>
      </w:r>
      <w:r>
        <w:rPr>
          <w:rFonts w:hint="eastAsia" w:ascii="仿宋_GB2312"/>
          <w:color w:val="auto"/>
          <w:highlight w:val="none"/>
        </w:rPr>
        <w:t>部分构成：</w:t>
      </w:r>
    </w:p>
    <w:p>
      <w:pPr>
        <w:pStyle w:val="53"/>
        <w:spacing w:line="360" w:lineRule="auto"/>
        <w:ind w:firstLine="424" w:firstLineChars="202"/>
        <w:rPr>
          <w:rFonts w:hAnsi="宋体"/>
          <w:bCs/>
          <w:snapToGrid w:val="0"/>
          <w:color w:val="auto"/>
          <w:szCs w:val="21"/>
          <w:highlight w:val="none"/>
        </w:rPr>
      </w:pPr>
      <w:bookmarkStart w:id="1" w:name="_Toc103071050"/>
      <w:r>
        <w:rPr>
          <w:rFonts w:hint="eastAsia" w:hAnsi="宋体"/>
          <w:bCs/>
          <w:snapToGrid w:val="0"/>
          <w:color w:val="auto"/>
          <w:sz w:val="21"/>
          <w:szCs w:val="21"/>
          <w:highlight w:val="none"/>
        </w:rPr>
        <w:t>（一）</w:t>
      </w:r>
      <w:bookmarkEnd w:id="1"/>
      <w:r>
        <w:rPr>
          <w:rFonts w:hint="eastAsia" w:hAnsi="宋体"/>
          <w:bCs/>
          <w:snapToGrid w:val="0"/>
          <w:color w:val="auto"/>
          <w:sz w:val="21"/>
          <w:szCs w:val="21"/>
          <w:highlight w:val="none"/>
        </w:rPr>
        <w:t>“</w:t>
      </w:r>
      <w:r>
        <w:rPr>
          <w:rFonts w:hAnsi="宋体"/>
          <w:bCs/>
          <w:snapToGrid w:val="0"/>
          <w:color w:val="auto"/>
          <w:sz w:val="21"/>
          <w:szCs w:val="21"/>
          <w:highlight w:val="none"/>
        </w:rPr>
        <w:t>1+5“</w:t>
      </w:r>
      <w:r>
        <w:rPr>
          <w:rFonts w:hint="eastAsia" w:hAnsi="宋体"/>
          <w:bCs/>
          <w:snapToGrid w:val="0"/>
          <w:color w:val="auto"/>
          <w:sz w:val="21"/>
          <w:szCs w:val="21"/>
          <w:highlight w:val="none"/>
        </w:rPr>
        <w:t>实施方案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1个总体方案：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《台州金清水系流域共治总体方案》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5个区市子方案：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（1）《台州湾新区金清水系流域水环境治理实施方案》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（2）《椒江区金清水系流域水环境治理实施方案》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（3）《路桥区金清水系流域水环境治理实施方案》</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（4）《黄岩区金清水系及永宁江流域水环境治理实施方案》</w:t>
      </w:r>
    </w:p>
    <w:p>
      <w:pPr>
        <w:spacing w:line="360" w:lineRule="auto"/>
        <w:ind w:firstLine="420" w:firstLineChars="200"/>
        <w:rPr>
          <w:rFonts w:hAnsi="宋体"/>
          <w:bCs/>
          <w:snapToGrid w:val="0"/>
          <w:color w:val="auto"/>
          <w:sz w:val="21"/>
          <w:szCs w:val="21"/>
          <w:highlight w:val="none"/>
        </w:rPr>
      </w:pPr>
      <w:r>
        <w:rPr>
          <w:rFonts w:hint="eastAsia" w:ascii="宋体" w:hAnsi="宋体" w:eastAsia="宋体" w:cs="Times New Roman"/>
          <w:bCs/>
          <w:snapToGrid w:val="0"/>
          <w:color w:val="auto"/>
          <w:kern w:val="0"/>
          <w:sz w:val="21"/>
          <w:szCs w:val="21"/>
          <w:highlight w:val="none"/>
          <w:lang w:val="en-US" w:eastAsia="zh-CN" w:bidi="ar-SA"/>
        </w:rPr>
        <w:t>（5）《温岭市</w:t>
      </w:r>
      <w:r>
        <w:rPr>
          <w:rFonts w:hint="eastAsia" w:hAnsi="宋体"/>
          <w:bCs/>
          <w:snapToGrid w:val="0"/>
          <w:color w:val="auto"/>
          <w:szCs w:val="21"/>
          <w:highlight w:val="none"/>
        </w:rPr>
        <w:t>金清水系流域水环境治理实施方案》</w:t>
      </w:r>
    </w:p>
    <w:p>
      <w:pPr>
        <w:pStyle w:val="53"/>
        <w:spacing w:line="360" w:lineRule="auto"/>
        <w:ind w:firstLine="424" w:firstLineChars="202"/>
        <w:rPr>
          <w:rFonts w:hAnsi="宋体"/>
          <w:snapToGrid w:val="0"/>
          <w:color w:val="auto"/>
          <w:szCs w:val="21"/>
          <w:highlight w:val="none"/>
        </w:rPr>
      </w:pPr>
      <w:bookmarkStart w:id="2" w:name="_Toc103071051"/>
      <w:r>
        <w:rPr>
          <w:rFonts w:hint="eastAsia" w:hAnsi="宋体"/>
          <w:bCs/>
          <w:snapToGrid w:val="0"/>
          <w:color w:val="auto"/>
          <w:sz w:val="21"/>
          <w:szCs w:val="21"/>
          <w:highlight w:val="none"/>
        </w:rPr>
        <w:t>（二）</w:t>
      </w:r>
      <w:bookmarkEnd w:id="2"/>
      <w:r>
        <w:rPr>
          <w:rFonts w:hAnsi="宋体"/>
          <w:bCs/>
          <w:snapToGrid w:val="0"/>
          <w:color w:val="auto"/>
          <w:sz w:val="21"/>
          <w:szCs w:val="21"/>
          <w:highlight w:val="none"/>
        </w:rPr>
        <w:t>3</w:t>
      </w:r>
      <w:r>
        <w:rPr>
          <w:rFonts w:hint="eastAsia" w:hAnsi="宋体"/>
          <w:bCs/>
          <w:snapToGrid w:val="0"/>
          <w:color w:val="auto"/>
          <w:sz w:val="21"/>
          <w:szCs w:val="21"/>
          <w:highlight w:val="none"/>
        </w:rPr>
        <w:t>个清单</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w:t>
      </w:r>
      <w:r>
        <w:rPr>
          <w:rFonts w:hAnsi="宋体"/>
          <w:bCs/>
          <w:snapToGrid w:val="0"/>
          <w:color w:val="auto"/>
          <w:sz w:val="21"/>
          <w:szCs w:val="21"/>
          <w:highlight w:val="none"/>
        </w:rPr>
        <w:t>1</w:t>
      </w:r>
      <w:r>
        <w:rPr>
          <w:rFonts w:hint="eastAsia" w:hAnsi="宋体"/>
          <w:bCs/>
          <w:snapToGrid w:val="0"/>
          <w:color w:val="auto"/>
          <w:sz w:val="21"/>
          <w:szCs w:val="21"/>
          <w:highlight w:val="none"/>
        </w:rPr>
        <w:t>）金清水系水生态环境保护问题清单</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w:t>
      </w:r>
      <w:r>
        <w:rPr>
          <w:rFonts w:hAnsi="宋体"/>
          <w:bCs/>
          <w:snapToGrid w:val="0"/>
          <w:color w:val="auto"/>
          <w:sz w:val="21"/>
          <w:szCs w:val="21"/>
          <w:highlight w:val="none"/>
        </w:rPr>
        <w:t>2</w:t>
      </w:r>
      <w:r>
        <w:rPr>
          <w:rFonts w:hint="eastAsia" w:hAnsi="宋体"/>
          <w:bCs/>
          <w:snapToGrid w:val="0"/>
          <w:color w:val="auto"/>
          <w:sz w:val="21"/>
          <w:szCs w:val="21"/>
          <w:highlight w:val="none"/>
        </w:rPr>
        <w:t>）金清水系水生态环境保护责任清单</w:t>
      </w:r>
    </w:p>
    <w:p>
      <w:pPr>
        <w:pStyle w:val="53"/>
        <w:spacing w:line="360" w:lineRule="auto"/>
        <w:ind w:firstLine="424" w:firstLineChars="202"/>
        <w:rPr>
          <w:rFonts w:hAnsi="宋体"/>
          <w:bCs/>
          <w:snapToGrid w:val="0"/>
          <w:color w:val="auto"/>
          <w:sz w:val="21"/>
          <w:szCs w:val="21"/>
          <w:highlight w:val="none"/>
        </w:rPr>
      </w:pPr>
      <w:r>
        <w:rPr>
          <w:rFonts w:hint="eastAsia" w:hAnsi="宋体"/>
          <w:bCs/>
          <w:snapToGrid w:val="0"/>
          <w:color w:val="auto"/>
          <w:sz w:val="21"/>
          <w:szCs w:val="21"/>
          <w:highlight w:val="none"/>
        </w:rPr>
        <w:t>（</w:t>
      </w:r>
      <w:r>
        <w:rPr>
          <w:rFonts w:hAnsi="宋体"/>
          <w:bCs/>
          <w:snapToGrid w:val="0"/>
          <w:color w:val="auto"/>
          <w:sz w:val="21"/>
          <w:szCs w:val="21"/>
          <w:highlight w:val="none"/>
        </w:rPr>
        <w:t>3</w:t>
      </w:r>
      <w:r>
        <w:rPr>
          <w:rFonts w:hint="eastAsia" w:hAnsi="宋体"/>
          <w:bCs/>
          <w:snapToGrid w:val="0"/>
          <w:color w:val="auto"/>
          <w:sz w:val="21"/>
          <w:szCs w:val="21"/>
          <w:highlight w:val="none"/>
        </w:rPr>
        <w:t>）金清水系水生态环境保护项目清单</w:t>
      </w:r>
    </w:p>
    <w:p>
      <w:pPr>
        <w:pStyle w:val="53"/>
        <w:spacing w:line="360" w:lineRule="auto"/>
        <w:ind w:firstLine="420" w:firstLineChars="200"/>
        <w:rPr>
          <w:rFonts w:hint="eastAsia" w:asciiTheme="minorEastAsia" w:hAnsiTheme="minorEastAsia" w:eastAsiaTheme="minorEastAsia" w:cstheme="minorEastAsia"/>
          <w:bCs/>
          <w:snapToGrid w:val="0"/>
          <w:color w:val="auto"/>
          <w:sz w:val="21"/>
          <w:szCs w:val="21"/>
          <w:highlight w:val="none"/>
          <w:lang w:eastAsia="zh-CN"/>
        </w:rPr>
      </w:pPr>
      <w:r>
        <w:rPr>
          <w:rFonts w:hint="eastAsia" w:asciiTheme="minorEastAsia" w:hAnsiTheme="minorEastAsia" w:eastAsiaTheme="minorEastAsia" w:cstheme="minorEastAsia"/>
          <w:bCs/>
          <w:snapToGrid w:val="0"/>
          <w:color w:val="auto"/>
          <w:sz w:val="21"/>
          <w:szCs w:val="21"/>
          <w:highlight w:val="none"/>
        </w:rPr>
        <w:t>（三）</w:t>
      </w:r>
      <w:r>
        <w:rPr>
          <w:rFonts w:hint="eastAsia" w:asciiTheme="minorEastAsia" w:hAnsiTheme="minorEastAsia" w:eastAsiaTheme="minorEastAsia" w:cstheme="minorEastAsia"/>
          <w:bCs/>
          <w:snapToGrid w:val="0"/>
          <w:color w:val="auto"/>
          <w:sz w:val="21"/>
          <w:szCs w:val="21"/>
          <w:highlight w:val="none"/>
          <w:lang w:eastAsia="zh-CN"/>
        </w:rPr>
        <w:t>一个总研究报告</w:t>
      </w:r>
    </w:p>
    <w:p>
      <w:pPr>
        <w:pStyle w:val="53"/>
        <w:spacing w:line="360" w:lineRule="auto"/>
        <w:ind w:firstLine="424" w:firstLineChars="202"/>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《台州金清水系流域共治实施方案研究报告》</w:t>
      </w:r>
    </w:p>
    <w:p>
      <w:pPr>
        <w:adjustRightInd w:val="0"/>
        <w:snapToGrid w:val="0"/>
        <w:spacing w:line="360" w:lineRule="auto"/>
        <w:rPr>
          <w:rFonts w:ascii="宋体" w:hAnsi="宋体" w:cs="宋体"/>
          <w:b/>
          <w:bCs/>
          <w:color w:val="auto"/>
          <w:szCs w:val="21"/>
          <w:highlight w:val="none"/>
          <w:shd w:val="clear" w:color="auto" w:fill="FFFFFF"/>
        </w:rPr>
      </w:pPr>
      <w:r>
        <w:rPr>
          <w:rFonts w:hint="eastAsia" w:ascii="宋体" w:hAnsi="宋体" w:cs="宋体"/>
          <w:b/>
          <w:bCs/>
          <w:color w:val="auto"/>
          <w:szCs w:val="21"/>
          <w:highlight w:val="none"/>
        </w:rPr>
        <w:t>六、</w:t>
      </w:r>
      <w:r>
        <w:rPr>
          <w:rFonts w:hint="eastAsia" w:ascii="宋体" w:hAnsi="宋体" w:cs="宋体"/>
          <w:b/>
          <w:bCs/>
          <w:color w:val="auto"/>
          <w:szCs w:val="21"/>
          <w:highlight w:val="none"/>
          <w:lang w:val="en-US" w:eastAsia="zh-CN"/>
        </w:rPr>
        <w:t>商务</w:t>
      </w:r>
      <w:r>
        <w:rPr>
          <w:rFonts w:hint="eastAsia" w:ascii="宋体" w:hAnsi="宋体" w:cs="宋体"/>
          <w:b/>
          <w:color w:val="auto"/>
          <w:szCs w:val="21"/>
          <w:highlight w:val="none"/>
        </w:rPr>
        <w:t>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1、付款方式：</w:t>
      </w:r>
      <w:r>
        <w:rPr>
          <w:rFonts w:hint="eastAsia" w:ascii="宋体" w:hAnsi="宋体" w:cs="宋体"/>
          <w:color w:val="auto"/>
          <w:szCs w:val="21"/>
          <w:highlight w:val="none"/>
        </w:rPr>
        <w:t>签订合同后</w:t>
      </w:r>
      <w:r>
        <w:rPr>
          <w:rFonts w:hint="eastAsia" w:ascii="宋体" w:hAnsi="宋体" w:cs="宋体"/>
          <w:color w:val="auto"/>
          <w:szCs w:val="21"/>
          <w:highlight w:val="none"/>
        </w:rPr>
        <w:t>支付项目合同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0%，提交项目成果初稿</w:t>
      </w:r>
      <w:r>
        <w:rPr>
          <w:rFonts w:hint="eastAsia" w:ascii="宋体" w:hAnsi="宋体" w:cs="宋体"/>
          <w:color w:val="auto"/>
          <w:szCs w:val="21"/>
          <w:highlight w:val="none"/>
          <w:lang w:eastAsia="zh-CN"/>
        </w:rPr>
        <w:t>后</w:t>
      </w:r>
      <w:r>
        <w:rPr>
          <w:rFonts w:hint="eastAsia" w:ascii="宋体" w:hAnsi="宋体" w:cs="宋体"/>
          <w:color w:val="auto"/>
          <w:szCs w:val="21"/>
          <w:highlight w:val="none"/>
        </w:rPr>
        <w:t>支付合同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ascii="宋体" w:hAnsi="宋体" w:cs="宋体"/>
          <w:color w:val="auto"/>
          <w:szCs w:val="21"/>
          <w:highlight w:val="none"/>
        </w:rPr>
        <w:t>4</w:t>
      </w:r>
      <w:r>
        <w:rPr>
          <w:rFonts w:hint="eastAsia" w:ascii="宋体" w:hAnsi="宋体" w:cs="宋体"/>
          <w:color w:val="auto"/>
          <w:szCs w:val="21"/>
          <w:highlight w:val="none"/>
        </w:rPr>
        <w:t>0%，项目成果经专家评审验收后支付合同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pageBreakBefore w:val="0"/>
        <w:widowControl w:val="0"/>
        <w:kinsoku/>
        <w:wordWrap/>
        <w:overflowPunct/>
        <w:topLinePunct w:val="0"/>
        <w:autoSpaceDE/>
        <w:autoSpaceDN w:val="0"/>
        <w:bidi w:val="0"/>
        <w:spacing w:line="360" w:lineRule="auto"/>
        <w:textAlignment w:val="auto"/>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本项目中标（成交）供应商应在浙江政府采购网（http://zfcg.czt.zj.gov.cn/）上注册成为“政府采购供应商”，如不按要求注册的，采购方有权延期发布中标（成交）通知书和中标（成交）公告，后果由供应商自行承担。</w:t>
      </w:r>
    </w:p>
    <w:p>
      <w:pPr>
        <w:autoSpaceDN w:val="0"/>
        <w:spacing w:line="360" w:lineRule="auto"/>
        <w:rPr>
          <w:rFonts w:asciiTheme="minorEastAsia" w:hAnsiTheme="minorEastAsia" w:eastAsiaTheme="minorEastAsia" w:cstheme="minorEastAsia"/>
          <w:b/>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第五章 政府采购合同主要条款</w:t>
      </w:r>
    </w:p>
    <w:p>
      <w:pPr>
        <w:pStyle w:val="53"/>
        <w:keepNext w:val="0"/>
        <w:keepLines w:val="0"/>
        <w:pageBreakBefore w:val="0"/>
        <w:kinsoku/>
        <w:wordWrap/>
        <w:overflowPunct/>
        <w:topLinePunct w:val="0"/>
        <w:bidi w:val="0"/>
        <w:spacing w:line="360" w:lineRule="auto"/>
        <w:jc w:val="center"/>
        <w:outlineLvl w:val="9"/>
        <w:rPr>
          <w:rFonts w:ascii="Times New Roman" w:hAnsi="宋体"/>
          <w:color w:val="auto"/>
          <w:kern w:val="2"/>
          <w:sz w:val="21"/>
          <w:szCs w:val="21"/>
          <w:highlight w:val="none"/>
        </w:rPr>
      </w:pPr>
      <w:r>
        <w:rPr>
          <w:rFonts w:hint="eastAsia" w:ascii="Times New Roman" w:hAnsi="宋体"/>
          <w:color w:val="auto"/>
          <w:kern w:val="2"/>
          <w:sz w:val="21"/>
          <w:szCs w:val="21"/>
          <w:highlight w:val="none"/>
        </w:rPr>
        <w:t>（此稿为合同样本，最终定稿待双方协商后定）</w:t>
      </w:r>
    </w:p>
    <w:p>
      <w:pPr>
        <w:keepNext w:val="0"/>
        <w:keepLines w:val="0"/>
        <w:pageBreakBefore w:val="0"/>
        <w:kinsoku/>
        <w:wordWrap/>
        <w:overflowPunct/>
        <w:topLinePunct w:val="0"/>
        <w:bidi w:val="0"/>
        <w:adjustRightInd w:val="0"/>
        <w:snapToGrid w:val="0"/>
        <w:spacing w:line="360" w:lineRule="auto"/>
        <w:ind w:firstLine="420" w:firstLineChars="200"/>
        <w:outlineLvl w:val="9"/>
        <w:rPr>
          <w:rFonts w:hAnsi="宋体"/>
          <w:color w:val="auto"/>
          <w:szCs w:val="21"/>
          <w:highlight w:val="none"/>
        </w:rPr>
      </w:pPr>
    </w:p>
    <w:p>
      <w:pPr>
        <w:keepNext w:val="0"/>
        <w:keepLines w:val="0"/>
        <w:pageBreakBefore w:val="0"/>
        <w:widowControl/>
        <w:kinsoku/>
        <w:wordWrap/>
        <w:overflowPunct/>
        <w:topLinePunct w:val="0"/>
        <w:bidi w:val="0"/>
        <w:snapToGrid w:val="0"/>
        <w:spacing w:line="360" w:lineRule="auto"/>
        <w:ind w:firstLine="413" w:firstLineChars="196"/>
        <w:jc w:val="left"/>
        <w:outlineLvl w:val="9"/>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color w:val="auto"/>
          <w:szCs w:val="21"/>
          <w:highlight w:val="none"/>
          <w:u w:val="single"/>
          <w:lang w:eastAsia="zh-CN"/>
        </w:rPr>
        <w:t>台州金清水系流域共治实施方案项目</w:t>
      </w:r>
    </w:p>
    <w:p>
      <w:pPr>
        <w:pStyle w:val="14"/>
        <w:keepNext w:val="0"/>
        <w:keepLines w:val="0"/>
        <w:pageBreakBefore w:val="0"/>
        <w:kinsoku/>
        <w:wordWrap/>
        <w:overflowPunct/>
        <w:topLinePunct w:val="0"/>
        <w:bidi w:val="0"/>
        <w:snapToGrid w:val="0"/>
        <w:spacing w:line="360" w:lineRule="auto"/>
        <w:ind w:firstLine="413" w:firstLineChars="196"/>
        <w:jc w:val="left"/>
        <w:outlineLvl w:val="9"/>
        <w:rPr>
          <w:rFonts w:hint="eastAsia" w:hAnsi="宋体" w:eastAsia="宋体" w:cs="宋体"/>
          <w:b/>
          <w:color w:val="auto"/>
          <w:szCs w:val="21"/>
          <w:highlight w:val="none"/>
          <w:lang w:eastAsia="zh-CN"/>
        </w:rPr>
      </w:pPr>
      <w:r>
        <w:rPr>
          <w:rFonts w:hint="eastAsia" w:hAnsi="宋体" w:cs="宋体"/>
          <w:b/>
          <w:color w:val="auto"/>
          <w:szCs w:val="21"/>
          <w:highlight w:val="none"/>
        </w:rPr>
        <w:t>项目编号：</w:t>
      </w:r>
      <w:r>
        <w:rPr>
          <w:rFonts w:hint="eastAsia" w:hAnsi="宋体" w:cs="宋体"/>
          <w:color w:val="auto"/>
          <w:szCs w:val="21"/>
          <w:highlight w:val="none"/>
          <w:u w:val="single"/>
          <w:lang w:eastAsia="zh-CN"/>
        </w:rPr>
        <w:t>zjhy2022-tz25</w:t>
      </w:r>
    </w:p>
    <w:p>
      <w:pPr>
        <w:pStyle w:val="14"/>
        <w:keepNext w:val="0"/>
        <w:keepLines w:val="0"/>
        <w:pageBreakBefore w:val="0"/>
        <w:kinsoku/>
        <w:wordWrap/>
        <w:overflowPunct/>
        <w:topLinePunct w:val="0"/>
        <w:bidi w:val="0"/>
        <w:snapToGrid w:val="0"/>
        <w:spacing w:line="360" w:lineRule="auto"/>
        <w:ind w:firstLine="420" w:firstLineChars="200"/>
        <w:outlineLvl w:val="9"/>
        <w:rPr>
          <w:rFonts w:hAnsi="宋体" w:cs="宋体"/>
          <w:b/>
          <w:color w:val="auto"/>
          <w:szCs w:val="21"/>
          <w:highlight w:val="none"/>
          <w:u w:val="single"/>
        </w:rPr>
      </w:pPr>
      <w:r>
        <w:rPr>
          <w:rFonts w:hint="eastAsia" w:hAnsi="宋体" w:cs="宋体"/>
          <w:color w:val="auto"/>
          <w:szCs w:val="21"/>
          <w:highlight w:val="none"/>
        </w:rPr>
        <w:t>甲方（采购方）：</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台州市生态环境局</w:t>
      </w:r>
      <w:r>
        <w:rPr>
          <w:rFonts w:hint="eastAsia" w:hAnsi="宋体" w:cs="宋体"/>
          <w:color w:val="auto"/>
          <w:szCs w:val="21"/>
          <w:highlight w:val="none"/>
          <w:u w:val="single"/>
        </w:rPr>
        <w:t xml:space="preserve">     </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u w:val="single"/>
        </w:rPr>
      </w:pPr>
      <w:r>
        <w:rPr>
          <w:rFonts w:hint="eastAsia" w:ascii="宋体" w:hAnsi="宋体" w:cs="宋体"/>
          <w:color w:val="auto"/>
          <w:szCs w:val="21"/>
          <w:highlight w:val="none"/>
        </w:rPr>
        <w:t xml:space="preserve">乙方（中标方）：                        </w:t>
      </w:r>
    </w:p>
    <w:p>
      <w:pPr>
        <w:pStyle w:val="14"/>
        <w:keepNext w:val="0"/>
        <w:keepLines w:val="0"/>
        <w:pageBreakBefore w:val="0"/>
        <w:kinsoku/>
        <w:wordWrap/>
        <w:overflowPunct/>
        <w:topLinePunct w:val="0"/>
        <w:bidi w:val="0"/>
        <w:snapToGrid w:val="0"/>
        <w:spacing w:line="360" w:lineRule="auto"/>
        <w:ind w:firstLine="420" w:firstLineChars="200"/>
        <w:outlineLvl w:val="9"/>
        <w:rPr>
          <w:rFonts w:hAnsi="宋体" w:cs="宋体"/>
          <w:color w:val="auto"/>
          <w:szCs w:val="21"/>
          <w:highlight w:val="none"/>
        </w:rPr>
      </w:pPr>
      <w:r>
        <w:rPr>
          <w:rFonts w:hint="eastAsia" w:hAnsi="宋体" w:cs="宋体"/>
          <w:color w:val="auto"/>
          <w:szCs w:val="21"/>
          <w:highlight w:val="none"/>
        </w:rPr>
        <w:t>根据</w:t>
      </w:r>
      <w:r>
        <w:rPr>
          <w:rFonts w:hint="eastAsia" w:hAnsi="宋体" w:cs="宋体"/>
          <w:color w:val="auto"/>
          <w:szCs w:val="21"/>
          <w:highlight w:val="none"/>
          <w:lang w:eastAsia="zh-CN"/>
        </w:rPr>
        <w:t>台州金清水系流域共治实施方案项目</w:t>
      </w:r>
      <w:r>
        <w:rPr>
          <w:rFonts w:hint="eastAsia" w:hAnsi="宋体" w:cs="宋体"/>
          <w:color w:val="auto"/>
          <w:szCs w:val="21"/>
          <w:highlight w:val="none"/>
        </w:rPr>
        <w:t>的招标结果，经双方协商一致，就</w:t>
      </w:r>
      <w:r>
        <w:rPr>
          <w:rFonts w:hint="eastAsia" w:hAnsi="宋体" w:cs="宋体"/>
          <w:color w:val="auto"/>
          <w:szCs w:val="21"/>
          <w:highlight w:val="none"/>
          <w:lang w:eastAsia="zh-CN"/>
        </w:rPr>
        <w:t>台州金清水系流域共治实施方案项目</w:t>
      </w:r>
      <w:r>
        <w:rPr>
          <w:rFonts w:hint="eastAsia" w:hAnsi="宋体" w:cs="宋体"/>
          <w:color w:val="auto"/>
          <w:szCs w:val="21"/>
          <w:highlight w:val="none"/>
        </w:rPr>
        <w:t>事宜达成以下条款：</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ascii="宋体" w:hAnsi="宋体" w:cs="宋体"/>
          <w:b/>
          <w:color w:val="auto"/>
          <w:szCs w:val="21"/>
          <w:highlight w:val="none"/>
        </w:rPr>
      </w:pPr>
      <w:r>
        <w:rPr>
          <w:rFonts w:hint="eastAsia" w:ascii="宋体" w:hAnsi="宋体" w:cs="宋体"/>
          <w:b/>
          <w:color w:val="auto"/>
          <w:szCs w:val="21"/>
          <w:highlight w:val="none"/>
        </w:rPr>
        <w:t>一、服务内容及需求</w:t>
      </w:r>
    </w:p>
    <w:p>
      <w:pPr>
        <w:pStyle w:val="14"/>
        <w:keepNext w:val="0"/>
        <w:keepLines w:val="0"/>
        <w:pageBreakBefore w:val="0"/>
        <w:kinsoku/>
        <w:wordWrap/>
        <w:overflowPunct/>
        <w:topLinePunct w:val="0"/>
        <w:bidi w:val="0"/>
        <w:adjustRightInd w:val="0"/>
        <w:snapToGrid w:val="0"/>
        <w:spacing w:line="360" w:lineRule="auto"/>
        <w:ind w:firstLine="420" w:firstLineChars="200"/>
        <w:outlineLvl w:val="9"/>
        <w:rPr>
          <w:rFonts w:ascii="Times New Roman" w:hAnsi="Times New Roman"/>
          <w:b/>
          <w:color w:val="auto"/>
          <w:szCs w:val="21"/>
          <w:highlight w:val="none"/>
        </w:rPr>
      </w:pPr>
      <w:r>
        <w:rPr>
          <w:rFonts w:ascii="Times New Roman" w:hAnsi="宋体"/>
          <w:color w:val="auto"/>
          <w:szCs w:val="21"/>
          <w:highlight w:val="none"/>
        </w:rPr>
        <w:t>详见本项目招标文件</w:t>
      </w:r>
      <w:r>
        <w:rPr>
          <w:rFonts w:hint="eastAsia" w:hAnsi="宋体"/>
          <w:bCs/>
          <w:color w:val="auto"/>
          <w:szCs w:val="21"/>
          <w:highlight w:val="none"/>
        </w:rPr>
        <w:t>第四部分</w:t>
      </w:r>
      <w:r>
        <w:rPr>
          <w:rFonts w:ascii="Times New Roman" w:hAnsi="宋体"/>
          <w:bCs/>
          <w:color w:val="auto"/>
          <w:szCs w:val="21"/>
          <w:highlight w:val="none"/>
        </w:rPr>
        <w:t>《</w:t>
      </w:r>
      <w:r>
        <w:rPr>
          <w:rFonts w:hint="eastAsia" w:hAnsi="宋体"/>
          <w:bCs/>
          <w:color w:val="auto"/>
          <w:szCs w:val="21"/>
          <w:highlight w:val="none"/>
          <w:lang w:val="en-US" w:eastAsia="zh-CN"/>
        </w:rPr>
        <w:t>公开招标需求</w:t>
      </w:r>
      <w:r>
        <w:rPr>
          <w:rFonts w:ascii="Times New Roman" w:hAnsi="宋体"/>
          <w:color w:val="auto"/>
          <w:szCs w:val="21"/>
          <w:highlight w:val="none"/>
        </w:rPr>
        <w:t>》。</w:t>
      </w:r>
    </w:p>
    <w:p>
      <w:pPr>
        <w:pStyle w:val="14"/>
        <w:keepNext w:val="0"/>
        <w:keepLines w:val="0"/>
        <w:pageBreakBefore w:val="0"/>
        <w:kinsoku/>
        <w:wordWrap/>
        <w:overflowPunct/>
        <w:topLinePunct w:val="0"/>
        <w:bidi w:val="0"/>
        <w:snapToGrid w:val="0"/>
        <w:spacing w:line="360" w:lineRule="auto"/>
        <w:outlineLvl w:val="9"/>
        <w:rPr>
          <w:rFonts w:hAnsi="宋体" w:cs="宋体"/>
          <w:b/>
          <w:color w:val="auto"/>
          <w:szCs w:val="21"/>
          <w:highlight w:val="none"/>
        </w:rPr>
      </w:pPr>
      <w:r>
        <w:rPr>
          <w:rFonts w:hint="eastAsia" w:hAnsi="宋体" w:cs="宋体"/>
          <w:b/>
          <w:color w:val="auto"/>
          <w:szCs w:val="21"/>
          <w:highlight w:val="none"/>
        </w:rPr>
        <w:t>二、合同金额</w:t>
      </w:r>
    </w:p>
    <w:p>
      <w:pPr>
        <w:pStyle w:val="14"/>
        <w:keepNext w:val="0"/>
        <w:keepLines w:val="0"/>
        <w:pageBreakBefore w:val="0"/>
        <w:kinsoku/>
        <w:wordWrap/>
        <w:overflowPunct/>
        <w:topLinePunct w:val="0"/>
        <w:bidi w:val="0"/>
        <w:snapToGrid w:val="0"/>
        <w:spacing w:line="360" w:lineRule="auto"/>
        <w:ind w:firstLine="420" w:firstLineChars="200"/>
        <w:outlineLvl w:val="9"/>
        <w:rPr>
          <w:rFonts w:hAnsi="宋体" w:cs="宋体"/>
          <w:color w:val="auto"/>
          <w:szCs w:val="21"/>
          <w:highlight w:val="none"/>
        </w:rPr>
      </w:pPr>
      <w:r>
        <w:rPr>
          <w:rFonts w:hint="eastAsia" w:hAnsi="宋体" w:cs="宋体"/>
          <w:color w:val="auto"/>
          <w:szCs w:val="21"/>
          <w:highlight w:val="none"/>
        </w:rPr>
        <w:t>本项目合同金额为（大写）：__________元（小写：￥__________元）人民币。</w:t>
      </w:r>
    </w:p>
    <w:p>
      <w:pPr>
        <w:keepNext w:val="0"/>
        <w:keepLines w:val="0"/>
        <w:pageBreakBefore w:val="0"/>
        <w:kinsoku/>
        <w:wordWrap/>
        <w:overflowPunct/>
        <w:topLinePunct w:val="0"/>
        <w:bidi w:val="0"/>
        <w:spacing w:line="360" w:lineRule="auto"/>
        <w:outlineLvl w:val="9"/>
        <w:rPr>
          <w:rFonts w:hint="default" w:ascii="宋体" w:hAnsi="宋体" w:eastAsia="宋体"/>
          <w:b/>
          <w:color w:val="auto"/>
          <w:szCs w:val="21"/>
          <w:highlight w:val="none"/>
          <w:lang w:val="en-US" w:eastAsia="zh-CN"/>
        </w:rPr>
      </w:pPr>
      <w:r>
        <w:rPr>
          <w:rFonts w:hint="eastAsia" w:ascii="宋体" w:hAnsi="宋体"/>
          <w:b/>
          <w:color w:val="auto"/>
          <w:szCs w:val="21"/>
          <w:highlight w:val="none"/>
        </w:rPr>
        <w:t>三、</w:t>
      </w:r>
      <w:r>
        <w:rPr>
          <w:rFonts w:hint="eastAsia" w:ascii="宋体" w:hAnsi="宋体"/>
          <w:b/>
          <w:color w:val="auto"/>
          <w:szCs w:val="21"/>
          <w:highlight w:val="none"/>
          <w:lang w:val="en-US" w:eastAsia="zh-CN"/>
        </w:rPr>
        <w:t>项目要求</w:t>
      </w:r>
    </w:p>
    <w:p>
      <w:pPr>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工期：</w:t>
      </w:r>
      <w:r>
        <w:rPr>
          <w:rFonts w:hint="eastAsia" w:ascii="宋体" w:hAnsi="宋体"/>
          <w:bCs/>
          <w:snapToGrid w:val="0"/>
          <w:color w:val="auto"/>
          <w:kern w:val="0"/>
          <w:szCs w:val="21"/>
          <w:highlight w:val="none"/>
          <w:lang w:val="en-US" w:eastAsia="zh-CN"/>
        </w:rPr>
        <w:t>2022年10月底前初步完成工程项目清单梳理工作，提交一批工程项目清单。</w:t>
      </w:r>
      <w:r>
        <w:rPr>
          <w:rFonts w:hint="eastAsia" w:ascii="宋体" w:hAnsi="宋体"/>
          <w:bCs/>
          <w:snapToGrid w:val="0"/>
          <w:color w:val="auto"/>
          <w:kern w:val="0"/>
          <w:szCs w:val="21"/>
          <w:highlight w:val="none"/>
        </w:rPr>
        <w:t>2</w:t>
      </w:r>
      <w:r>
        <w:rPr>
          <w:rFonts w:ascii="宋体" w:hAnsi="宋体"/>
          <w:bCs/>
          <w:snapToGrid w:val="0"/>
          <w:color w:val="auto"/>
          <w:kern w:val="0"/>
          <w:szCs w:val="21"/>
          <w:highlight w:val="none"/>
        </w:rPr>
        <w:t>023</w:t>
      </w:r>
      <w:r>
        <w:rPr>
          <w:rFonts w:hint="eastAsia" w:ascii="宋体" w:hAnsi="宋体"/>
          <w:bCs/>
          <w:snapToGrid w:val="0"/>
          <w:color w:val="auto"/>
          <w:kern w:val="0"/>
          <w:szCs w:val="21"/>
          <w:highlight w:val="none"/>
        </w:rPr>
        <w:t>年</w:t>
      </w:r>
      <w:r>
        <w:rPr>
          <w:rFonts w:ascii="宋体" w:hAnsi="宋体"/>
          <w:bCs/>
          <w:snapToGrid w:val="0"/>
          <w:color w:val="auto"/>
          <w:kern w:val="0"/>
          <w:szCs w:val="21"/>
          <w:highlight w:val="none"/>
        </w:rPr>
        <w:t>2</w:t>
      </w:r>
      <w:r>
        <w:rPr>
          <w:rFonts w:hint="eastAsia" w:ascii="宋体" w:hAnsi="宋体"/>
          <w:bCs/>
          <w:snapToGrid w:val="0"/>
          <w:color w:val="auto"/>
          <w:kern w:val="0"/>
          <w:szCs w:val="21"/>
          <w:highlight w:val="none"/>
        </w:rPr>
        <w:t>月底前全面完成项目工作内容</w:t>
      </w:r>
      <w:r>
        <w:rPr>
          <w:rFonts w:hint="eastAsia" w:ascii="宋体" w:hAnsi="宋体"/>
          <w:bCs/>
          <w:snapToGrid w:val="0"/>
          <w:color w:val="auto"/>
          <w:kern w:val="0"/>
          <w:szCs w:val="21"/>
          <w:highlight w:val="none"/>
          <w:lang w:eastAsia="zh-CN"/>
        </w:rPr>
        <w:t>并</w:t>
      </w:r>
      <w:r>
        <w:rPr>
          <w:rFonts w:hint="eastAsia" w:ascii="宋体" w:hAnsi="宋体"/>
          <w:bCs/>
          <w:snapToGrid w:val="0"/>
          <w:color w:val="auto"/>
          <w:kern w:val="0"/>
          <w:szCs w:val="21"/>
          <w:highlight w:val="none"/>
        </w:rPr>
        <w:t>提交</w:t>
      </w:r>
      <w:r>
        <w:rPr>
          <w:rFonts w:hint="eastAsia" w:ascii="宋体" w:hAnsi="宋体"/>
          <w:bCs/>
          <w:snapToGrid w:val="0"/>
          <w:color w:val="auto"/>
          <w:kern w:val="0"/>
          <w:szCs w:val="21"/>
          <w:highlight w:val="none"/>
          <w:lang w:eastAsia="zh-CN"/>
        </w:rPr>
        <w:t>各项</w:t>
      </w:r>
      <w:r>
        <w:rPr>
          <w:rFonts w:hint="eastAsia" w:ascii="宋体" w:hAnsi="宋体"/>
          <w:bCs/>
          <w:snapToGrid w:val="0"/>
          <w:color w:val="auto"/>
          <w:kern w:val="0"/>
          <w:szCs w:val="21"/>
          <w:highlight w:val="none"/>
        </w:rPr>
        <w:t>成果。</w:t>
      </w:r>
    </w:p>
    <w:p>
      <w:pPr>
        <w:keepNext w:val="0"/>
        <w:keepLines w:val="0"/>
        <w:pageBreakBefore w:val="0"/>
        <w:kinsoku/>
        <w:wordWrap/>
        <w:overflowPunct/>
        <w:topLinePunct w:val="0"/>
        <w:bidi w:val="0"/>
        <w:spacing w:line="360" w:lineRule="auto"/>
        <w:outlineLvl w:val="9"/>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lang w:val="en-US" w:eastAsia="zh-CN"/>
        </w:rPr>
        <w:t>项目成果</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成果主要由方案、清单、报告等3部分构成：</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（一）</w:t>
      </w:r>
      <w:r>
        <w:rPr>
          <w:rFonts w:hint="eastAsia" w:ascii="仿宋_GB2312"/>
          <w:color w:val="auto"/>
          <w:highlight w:val="none"/>
        </w:rPr>
        <w:t>“1+5“实施方案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1个总体方案：《台州金清水系流域共治总体方案》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5个区市子方案：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（1）《台州湾新区金清水系流域水环境治理实施方案》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（2）《椒江区金清水系流域水环境治理实施方案》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（3）《路桥区金清水系流域水环境治理实施方案》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（4）《黄岩区金清水系及永宁江流域水环境治理实施方案》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（5）《温岭市金清水系流域水环境治理实施方案》</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（二）3个清单</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（1）金清水系水生态环境保护问题清单</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（2）金清水系水生态环境保护责任清单</w:t>
      </w:r>
    </w:p>
    <w:p>
      <w:pPr>
        <w:pStyle w:val="14"/>
        <w:keepNext w:val="0"/>
        <w:keepLines w:val="0"/>
        <w:pageBreakBefore w:val="0"/>
        <w:kinsoku/>
        <w:wordWrap/>
        <w:overflowPunct/>
        <w:topLinePunct w:val="0"/>
        <w:bidi w:val="0"/>
        <w:adjustRightInd w:val="0"/>
        <w:snapToGrid w:val="0"/>
        <w:spacing w:line="360" w:lineRule="auto"/>
        <w:outlineLvl w:val="9"/>
        <w:rPr>
          <w:rFonts w:hint="eastAsia" w:ascii="仿宋_GB2312"/>
          <w:color w:val="auto"/>
          <w:highlight w:val="none"/>
        </w:rPr>
      </w:pPr>
      <w:r>
        <w:rPr>
          <w:rFonts w:hint="eastAsia" w:ascii="仿宋_GB2312"/>
          <w:color w:val="auto"/>
          <w:highlight w:val="none"/>
        </w:rPr>
        <w:t>（3）金清水系水生态环境保护项目清单</w:t>
      </w:r>
    </w:p>
    <w:p>
      <w:pPr>
        <w:pStyle w:val="53"/>
        <w:spacing w:line="360" w:lineRule="auto"/>
        <w:rPr>
          <w:rFonts w:hint="eastAsia" w:asciiTheme="minorEastAsia" w:hAnsiTheme="minorEastAsia" w:eastAsiaTheme="minorEastAsia" w:cstheme="minorEastAsia"/>
          <w:bCs/>
          <w:snapToGrid w:val="0"/>
          <w:color w:val="auto"/>
          <w:sz w:val="21"/>
          <w:szCs w:val="21"/>
          <w:highlight w:val="none"/>
          <w:lang w:eastAsia="zh-CN"/>
        </w:rPr>
      </w:pPr>
      <w:r>
        <w:rPr>
          <w:rFonts w:hint="eastAsia" w:asciiTheme="minorEastAsia" w:hAnsiTheme="minorEastAsia" w:eastAsiaTheme="minorEastAsia" w:cstheme="minorEastAsia"/>
          <w:bCs/>
          <w:snapToGrid w:val="0"/>
          <w:color w:val="auto"/>
          <w:sz w:val="21"/>
          <w:szCs w:val="21"/>
          <w:highlight w:val="none"/>
        </w:rPr>
        <w:t>（三）</w:t>
      </w:r>
      <w:r>
        <w:rPr>
          <w:rFonts w:hint="eastAsia" w:asciiTheme="minorEastAsia" w:hAnsiTheme="minorEastAsia" w:eastAsiaTheme="minorEastAsia" w:cstheme="minorEastAsia"/>
          <w:bCs/>
          <w:snapToGrid w:val="0"/>
          <w:color w:val="auto"/>
          <w:sz w:val="21"/>
          <w:szCs w:val="21"/>
          <w:highlight w:val="none"/>
          <w:lang w:eastAsia="zh-CN"/>
        </w:rPr>
        <w:t>一个总研究报告</w:t>
      </w:r>
    </w:p>
    <w:p>
      <w:pPr>
        <w:pStyle w:val="53"/>
        <w:spacing w:line="360" w:lineRule="auto"/>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《台州金清水系流域共治实施方案研究报告》</w:t>
      </w:r>
    </w:p>
    <w:p>
      <w:pPr>
        <w:pStyle w:val="14"/>
        <w:keepNext w:val="0"/>
        <w:keepLines w:val="0"/>
        <w:pageBreakBefore w:val="0"/>
        <w:kinsoku/>
        <w:wordWrap/>
        <w:overflowPunct/>
        <w:topLinePunct w:val="0"/>
        <w:bidi w:val="0"/>
        <w:adjustRightInd w:val="0"/>
        <w:snapToGrid w:val="0"/>
        <w:spacing w:line="360" w:lineRule="auto"/>
        <w:outlineLvl w:val="9"/>
        <w:rPr>
          <w:rFonts w:ascii="Times New Roman" w:hAnsi="Times New Roman"/>
          <w:b/>
          <w:color w:val="auto"/>
          <w:szCs w:val="21"/>
          <w:highlight w:val="none"/>
        </w:rPr>
      </w:pPr>
      <w:r>
        <w:rPr>
          <w:rFonts w:hint="eastAsia" w:ascii="Times New Roman" w:hAnsi="宋体"/>
          <w:b/>
          <w:color w:val="auto"/>
          <w:szCs w:val="21"/>
          <w:highlight w:val="none"/>
        </w:rPr>
        <w:t>四、</w:t>
      </w:r>
      <w:r>
        <w:rPr>
          <w:rFonts w:ascii="Times New Roman" w:hAnsi="宋体"/>
          <w:b/>
          <w:color w:val="auto"/>
          <w:szCs w:val="21"/>
          <w:highlight w:val="none"/>
        </w:rPr>
        <w:t>技术资料</w:t>
      </w:r>
    </w:p>
    <w:p>
      <w:pPr>
        <w:pStyle w:val="14"/>
        <w:keepNext w:val="0"/>
        <w:keepLines w:val="0"/>
        <w:pageBreakBefore w:val="0"/>
        <w:kinsoku/>
        <w:wordWrap/>
        <w:overflowPunct/>
        <w:topLinePunct w:val="0"/>
        <w:bidi w:val="0"/>
        <w:adjustRightInd w:val="0"/>
        <w:snapToGrid w:val="0"/>
        <w:spacing w:line="360" w:lineRule="auto"/>
        <w:outlineLvl w:val="9"/>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宋体"/>
          <w:color w:val="auto"/>
          <w:szCs w:val="21"/>
          <w:highlight w:val="none"/>
        </w:rPr>
        <w:t>乙方应按招标文件规定的时间向甲方提供有关技术资料。</w:t>
      </w:r>
    </w:p>
    <w:p>
      <w:pPr>
        <w:pStyle w:val="14"/>
        <w:keepNext w:val="0"/>
        <w:keepLines w:val="0"/>
        <w:pageBreakBefore w:val="0"/>
        <w:kinsoku/>
        <w:wordWrap/>
        <w:overflowPunct/>
        <w:topLinePunct w:val="0"/>
        <w:bidi w:val="0"/>
        <w:adjustRightInd w:val="0"/>
        <w:snapToGrid w:val="0"/>
        <w:spacing w:line="360" w:lineRule="auto"/>
        <w:outlineLvl w:val="9"/>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kinsoku/>
        <w:wordWrap/>
        <w:overflowPunct/>
        <w:topLinePunct w:val="0"/>
        <w:bidi w:val="0"/>
        <w:adjustRightInd w:val="0"/>
        <w:snapToGrid w:val="0"/>
        <w:spacing w:line="360" w:lineRule="auto"/>
        <w:outlineLvl w:val="9"/>
        <w:rPr>
          <w:rFonts w:ascii="Times New Roman" w:hAnsi="Times New Roman"/>
          <w:b/>
          <w:color w:val="auto"/>
          <w:szCs w:val="21"/>
          <w:highlight w:val="none"/>
        </w:rPr>
      </w:pPr>
      <w:r>
        <w:rPr>
          <w:rFonts w:hint="eastAsia" w:ascii="Times New Roman" w:hAnsi="宋体"/>
          <w:b/>
          <w:color w:val="auto"/>
          <w:szCs w:val="21"/>
          <w:highlight w:val="none"/>
        </w:rPr>
        <w:t>五</w:t>
      </w:r>
      <w:r>
        <w:rPr>
          <w:rFonts w:ascii="Times New Roman" w:hAnsi="宋体"/>
          <w:b/>
          <w:color w:val="auto"/>
          <w:szCs w:val="21"/>
          <w:highlight w:val="none"/>
        </w:rPr>
        <w:t>、知识产权</w:t>
      </w:r>
    </w:p>
    <w:p>
      <w:pPr>
        <w:pStyle w:val="14"/>
        <w:adjustRightInd w:val="0"/>
        <w:snapToGrid w:val="0"/>
        <w:spacing w:line="360" w:lineRule="auto"/>
        <w:rPr>
          <w:rFonts w:ascii="Times New Roman" w:hAnsi="Times New Roman"/>
          <w:bCs/>
          <w:color w:val="auto"/>
          <w:szCs w:val="21"/>
          <w:highlight w:val="none"/>
        </w:rPr>
      </w:pPr>
      <w:r>
        <w:rPr>
          <w:rFonts w:hint="eastAsia" w:ascii="Times New Roman" w:hAnsi="宋体"/>
          <w:color w:val="auto"/>
          <w:szCs w:val="21"/>
          <w:highlight w:val="none"/>
        </w:rPr>
        <w:t>1、</w:t>
      </w:r>
      <w:r>
        <w:rPr>
          <w:rFonts w:ascii="Times New Roman" w:hAnsi="宋体"/>
          <w:color w:val="auto"/>
          <w:szCs w:val="21"/>
          <w:highlight w:val="none"/>
        </w:rPr>
        <w:t>乙方应保证提供服务过程中不会侵犯任何第三方的知识产权</w:t>
      </w:r>
      <w:r>
        <w:rPr>
          <w:rFonts w:hint="eastAsia" w:ascii="Times New Roman" w:hAnsi="宋体"/>
          <w:color w:val="auto"/>
          <w:szCs w:val="21"/>
          <w:highlight w:val="none"/>
        </w:rPr>
        <w:t>和其他权利</w:t>
      </w:r>
      <w:r>
        <w:rPr>
          <w:rFonts w:ascii="Times New Roman" w:hAnsi="宋体"/>
          <w:bCs/>
          <w:color w:val="auto"/>
          <w:szCs w:val="21"/>
          <w:highlight w:val="none"/>
        </w:rPr>
        <w:t>。</w:t>
      </w:r>
    </w:p>
    <w:p>
      <w:pPr>
        <w:pStyle w:val="14"/>
        <w:adjustRightInd w:val="0"/>
        <w:snapToGrid w:val="0"/>
        <w:spacing w:line="360" w:lineRule="auto"/>
        <w:rPr>
          <w:rFonts w:ascii="Times New Roman" w:hAnsi="Times New Roman"/>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本项目所有成果</w:t>
      </w:r>
      <w:r>
        <w:rPr>
          <w:rFonts w:hint="eastAsia" w:ascii="Times New Roman" w:hAnsi="宋体"/>
          <w:color w:val="auto"/>
          <w:szCs w:val="21"/>
          <w:highlight w:val="none"/>
        </w:rPr>
        <w:t>以及采集的数据的知识产权和其他权利</w:t>
      </w:r>
      <w:r>
        <w:rPr>
          <w:rFonts w:ascii="Times New Roman" w:hAnsi="宋体"/>
          <w:color w:val="auto"/>
          <w:szCs w:val="21"/>
          <w:highlight w:val="none"/>
        </w:rPr>
        <w:t>属甲方所有，乙方不得以任何形式向第三方提供，否则，按国家法律和有关规定追究乙方的一切责任</w:t>
      </w:r>
      <w:r>
        <w:rPr>
          <w:rFonts w:hint="eastAsia" w:ascii="Times New Roman" w:hAnsi="宋体"/>
          <w:color w:val="auto"/>
          <w:szCs w:val="21"/>
          <w:highlight w:val="none"/>
        </w:rPr>
        <w:t>，并要求乙方承担甲方因此造成的损失</w:t>
      </w:r>
      <w:r>
        <w:rPr>
          <w:rFonts w:ascii="Times New Roman" w:hAnsi="宋体"/>
          <w:color w:val="auto"/>
          <w:szCs w:val="21"/>
          <w:highlight w:val="none"/>
        </w:rPr>
        <w:t>。</w:t>
      </w:r>
    </w:p>
    <w:p>
      <w:pPr>
        <w:pStyle w:val="14"/>
        <w:adjustRightInd w:val="0"/>
        <w:snapToGrid w:val="0"/>
        <w:spacing w:line="360" w:lineRule="auto"/>
        <w:rPr>
          <w:rFonts w:ascii="Times New Roman" w:hAnsi="宋体"/>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本项目作业过程中提供的或涉及的所有数据属甲方拥有，乙方无权在技术要求规定之外自行处置数据，不得自行删除、复制、调整完善、转移数据，不得以任何形式向第三方提供。</w:t>
      </w:r>
    </w:p>
    <w:p>
      <w:pPr>
        <w:pStyle w:val="14"/>
        <w:adjustRightInd w:val="0"/>
        <w:snapToGrid w:val="0"/>
        <w:spacing w:line="360" w:lineRule="auto"/>
        <w:rPr>
          <w:rFonts w:ascii="Times New Roman" w:hAnsi="宋体"/>
          <w:color w:val="auto"/>
          <w:szCs w:val="21"/>
          <w:highlight w:val="none"/>
        </w:rPr>
      </w:pPr>
      <w:r>
        <w:rPr>
          <w:rFonts w:hint="eastAsia" w:ascii="Times New Roman" w:hAnsi="宋体"/>
          <w:color w:val="auto"/>
          <w:szCs w:val="21"/>
          <w:highlight w:val="none"/>
        </w:rPr>
        <w:t>4、若侵犯,由乙方赔偿甲方因此遭受的损失（包括但不限于应对及追偿过程中所支付的律师费、差旅费、诉讼费、保全费、鉴定费、评估费等）。</w:t>
      </w:r>
    </w:p>
    <w:p>
      <w:pPr>
        <w:keepNext w:val="0"/>
        <w:keepLines w:val="0"/>
        <w:pageBreakBefore w:val="0"/>
        <w:kinsoku/>
        <w:wordWrap/>
        <w:overflowPunct/>
        <w:topLinePunct w:val="0"/>
        <w:bidi w:val="0"/>
        <w:snapToGrid w:val="0"/>
        <w:spacing w:line="360" w:lineRule="auto"/>
        <w:outlineLvl w:val="9"/>
        <w:rPr>
          <w:rFonts w:ascii="宋体" w:hAnsi="宋体"/>
          <w:b/>
          <w:color w:val="auto"/>
          <w:szCs w:val="21"/>
          <w:highlight w:val="none"/>
        </w:rPr>
      </w:pPr>
      <w:r>
        <w:rPr>
          <w:rFonts w:hint="eastAsia" w:hAnsi="宋体"/>
          <w:b/>
          <w:bCs/>
          <w:color w:val="auto"/>
          <w:szCs w:val="21"/>
          <w:highlight w:val="none"/>
        </w:rPr>
        <w:t>六、</w:t>
      </w:r>
      <w:r>
        <w:rPr>
          <w:rFonts w:hint="eastAsia" w:ascii="宋体" w:hAnsi="宋体"/>
          <w:b/>
          <w:color w:val="auto"/>
          <w:szCs w:val="21"/>
          <w:highlight w:val="none"/>
        </w:rPr>
        <w:t>转包或分包</w:t>
      </w:r>
    </w:p>
    <w:p>
      <w:pPr>
        <w:keepNext w:val="0"/>
        <w:keepLines w:val="0"/>
        <w:pageBreakBefore w:val="0"/>
        <w:kinsoku/>
        <w:wordWrap/>
        <w:overflowPunct/>
        <w:topLinePunct w:val="0"/>
        <w:bidi w:val="0"/>
        <w:snapToGrid w:val="0"/>
        <w:spacing w:line="360" w:lineRule="auto"/>
        <w:outlineLvl w:val="9"/>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pPr>
        <w:keepNext w:val="0"/>
        <w:keepLines w:val="0"/>
        <w:pageBreakBefore w:val="0"/>
        <w:kinsoku/>
        <w:wordWrap/>
        <w:overflowPunct/>
        <w:topLinePunct w:val="0"/>
        <w:bidi w:val="0"/>
        <w:snapToGrid w:val="0"/>
        <w:spacing w:line="360" w:lineRule="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、如有转让和未经甲方同意的分包行为，甲方有权解除合同，并追究乙方的违约责任。</w:t>
      </w:r>
    </w:p>
    <w:p>
      <w:pPr>
        <w:pStyle w:val="14"/>
        <w:keepNext w:val="0"/>
        <w:keepLines w:val="0"/>
        <w:pageBreakBefore w:val="0"/>
        <w:kinsoku/>
        <w:wordWrap/>
        <w:overflowPunct/>
        <w:topLinePunct w:val="0"/>
        <w:bidi w:val="0"/>
        <w:snapToGrid w:val="0"/>
        <w:spacing w:line="360" w:lineRule="auto"/>
        <w:textAlignment w:val="baseline"/>
        <w:outlineLvl w:val="9"/>
        <w:rPr>
          <w:rFonts w:hAnsi="宋体" w:cs="宋体"/>
          <w:b/>
          <w:bCs/>
          <w:snapToGrid w:val="0"/>
          <w:color w:val="auto"/>
          <w:szCs w:val="21"/>
          <w:highlight w:val="none"/>
        </w:rPr>
      </w:pPr>
      <w:r>
        <w:rPr>
          <w:rFonts w:hint="eastAsia" w:hAnsi="宋体" w:cs="宋体"/>
          <w:b/>
          <w:bCs/>
          <w:snapToGrid w:val="0"/>
          <w:color w:val="auto"/>
          <w:szCs w:val="21"/>
          <w:highlight w:val="none"/>
        </w:rPr>
        <w:t>七、付款方式</w:t>
      </w:r>
    </w:p>
    <w:p>
      <w:pPr>
        <w:pStyle w:val="3"/>
        <w:keepNext w:val="0"/>
        <w:keepLines w:val="0"/>
        <w:pageBreakBefore w:val="0"/>
        <w:kinsoku/>
        <w:wordWrap/>
        <w:overflowPunct/>
        <w:topLinePunct w:val="0"/>
        <w:bidi w:val="0"/>
        <w:adjustRightInd w:val="0"/>
        <w:snapToGrid w:val="0"/>
        <w:spacing w:after="0" w:line="360" w:lineRule="auto"/>
        <w:ind w:left="0" w:leftChars="0"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签订合同后</w:t>
      </w:r>
      <w:r>
        <w:rPr>
          <w:rFonts w:hint="eastAsia" w:ascii="宋体" w:hAnsi="宋体" w:cs="宋体"/>
          <w:color w:val="auto"/>
          <w:szCs w:val="21"/>
          <w:highlight w:val="none"/>
        </w:rPr>
        <w:t>支付项目合同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0%，提交项目成果初稿</w:t>
      </w:r>
      <w:r>
        <w:rPr>
          <w:rFonts w:hint="eastAsia" w:ascii="宋体" w:hAnsi="宋体" w:cs="宋体"/>
          <w:color w:val="auto"/>
          <w:szCs w:val="21"/>
          <w:highlight w:val="none"/>
          <w:lang w:eastAsia="zh-CN"/>
        </w:rPr>
        <w:t>后</w:t>
      </w:r>
      <w:r>
        <w:rPr>
          <w:rFonts w:hint="eastAsia" w:ascii="宋体" w:hAnsi="宋体" w:cs="宋体"/>
          <w:color w:val="auto"/>
          <w:szCs w:val="21"/>
          <w:highlight w:val="none"/>
        </w:rPr>
        <w:t>支付合同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ascii="宋体" w:hAnsi="宋体" w:cs="宋体"/>
          <w:color w:val="auto"/>
          <w:szCs w:val="21"/>
          <w:highlight w:val="none"/>
        </w:rPr>
        <w:t>4</w:t>
      </w:r>
      <w:r>
        <w:rPr>
          <w:rFonts w:hint="eastAsia" w:ascii="宋体" w:hAnsi="宋体" w:cs="宋体"/>
          <w:color w:val="auto"/>
          <w:szCs w:val="21"/>
          <w:highlight w:val="none"/>
        </w:rPr>
        <w:t>0%，项目成果经专家评审验收后支付合同</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额的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pStyle w:val="3"/>
        <w:keepNext w:val="0"/>
        <w:keepLines w:val="0"/>
        <w:pageBreakBefore w:val="0"/>
        <w:kinsoku/>
        <w:wordWrap/>
        <w:overflowPunct/>
        <w:topLinePunct w:val="0"/>
        <w:bidi w:val="0"/>
        <w:adjustRightInd w:val="0"/>
        <w:snapToGrid w:val="0"/>
        <w:spacing w:after="0" w:line="360" w:lineRule="auto"/>
        <w:ind w:left="0" w:leftChars="0"/>
        <w:outlineLvl w:val="9"/>
        <w:rPr>
          <w:color w:val="auto"/>
          <w:szCs w:val="21"/>
          <w:highlight w:val="none"/>
        </w:rPr>
      </w:pPr>
      <w:r>
        <w:rPr>
          <w:rFonts w:hint="eastAsia" w:ascii="宋体" w:hAnsi="宋体" w:cs="宋体"/>
          <w:b/>
          <w:bCs/>
          <w:snapToGrid w:val="0"/>
          <w:color w:val="auto"/>
          <w:szCs w:val="21"/>
          <w:highlight w:val="none"/>
        </w:rPr>
        <w:t>八、</w:t>
      </w:r>
      <w:r>
        <w:rPr>
          <w:b/>
          <w:color w:val="auto"/>
          <w:highlight w:val="none"/>
        </w:rPr>
        <w:t>税费</w:t>
      </w:r>
    </w:p>
    <w:p>
      <w:pPr>
        <w:keepNext w:val="0"/>
        <w:keepLines w:val="0"/>
        <w:pageBreakBefore w:val="0"/>
        <w:kinsoku/>
        <w:wordWrap/>
        <w:overflowPunct/>
        <w:topLinePunct w:val="0"/>
        <w:bidi w:val="0"/>
        <w:adjustRightInd w:val="0"/>
        <w:snapToGrid w:val="0"/>
        <w:spacing w:line="360" w:lineRule="auto"/>
        <w:outlineLvl w:val="9"/>
        <w:rPr>
          <w:color w:val="auto"/>
          <w:szCs w:val="21"/>
          <w:highlight w:val="none"/>
        </w:rPr>
      </w:pPr>
      <w:r>
        <w:rPr>
          <w:rFonts w:hint="eastAsia"/>
          <w:color w:val="auto"/>
          <w:szCs w:val="21"/>
          <w:highlight w:val="none"/>
          <w:lang w:val="en-US" w:eastAsia="zh-CN"/>
        </w:rPr>
        <w:t>2、</w:t>
      </w:r>
      <w:r>
        <w:rPr>
          <w:rFonts w:hAnsi="宋体"/>
          <w:color w:val="auto"/>
          <w:szCs w:val="21"/>
          <w:highlight w:val="none"/>
        </w:rPr>
        <w:t>本合同执行中相关的一切税费均由乙方负担。</w:t>
      </w:r>
    </w:p>
    <w:p>
      <w:pPr>
        <w:pStyle w:val="3"/>
        <w:keepNext w:val="0"/>
        <w:keepLines w:val="0"/>
        <w:pageBreakBefore w:val="0"/>
        <w:kinsoku/>
        <w:wordWrap/>
        <w:overflowPunct/>
        <w:topLinePunct w:val="0"/>
        <w:bidi w:val="0"/>
        <w:adjustRightInd w:val="0"/>
        <w:snapToGrid w:val="0"/>
        <w:spacing w:line="360" w:lineRule="auto"/>
        <w:ind w:left="0" w:leftChars="0"/>
        <w:outlineLvl w:val="9"/>
        <w:rPr>
          <w:b/>
          <w:color w:val="auto"/>
          <w:highlight w:val="none"/>
        </w:rPr>
      </w:pPr>
      <w:r>
        <w:rPr>
          <w:rFonts w:hint="eastAsia"/>
          <w:b/>
          <w:color w:val="auto"/>
          <w:highlight w:val="none"/>
        </w:rPr>
        <w:t>九</w:t>
      </w:r>
      <w:r>
        <w:rPr>
          <w:b/>
          <w:color w:val="auto"/>
          <w:highlight w:val="none"/>
        </w:rPr>
        <w:t>、违约责任</w:t>
      </w:r>
    </w:p>
    <w:p>
      <w:pPr>
        <w:pStyle w:val="3"/>
        <w:keepNext w:val="0"/>
        <w:keepLines w:val="0"/>
        <w:pageBreakBefore w:val="0"/>
        <w:kinsoku/>
        <w:wordWrap/>
        <w:overflowPunct/>
        <w:topLinePunct w:val="0"/>
        <w:bidi w:val="0"/>
        <w:adjustRightInd w:val="0"/>
        <w:snapToGrid w:val="0"/>
        <w:spacing w:line="360" w:lineRule="auto"/>
        <w:ind w:left="0" w:leftChars="0"/>
        <w:outlineLvl w:val="9"/>
        <w:rPr>
          <w:color w:val="auto"/>
          <w:highlight w:val="none"/>
        </w:rPr>
      </w:pPr>
      <w:r>
        <w:rPr>
          <w:rFonts w:hint="eastAsia"/>
          <w:color w:val="auto"/>
          <w:highlight w:val="none"/>
        </w:rPr>
        <w:t>1、</w:t>
      </w:r>
      <w:r>
        <w:rPr>
          <w:color w:val="auto"/>
          <w:highlight w:val="none"/>
        </w:rPr>
        <w:t>甲方无正当理由拒收接受服务的，甲方向乙方支付合同款项百分之五作为违约金。</w:t>
      </w:r>
    </w:p>
    <w:p>
      <w:pPr>
        <w:pStyle w:val="3"/>
        <w:keepNext w:val="0"/>
        <w:keepLines w:val="0"/>
        <w:pageBreakBefore w:val="0"/>
        <w:kinsoku/>
        <w:wordWrap/>
        <w:overflowPunct/>
        <w:topLinePunct w:val="0"/>
        <w:bidi w:val="0"/>
        <w:adjustRightInd w:val="0"/>
        <w:snapToGrid w:val="0"/>
        <w:spacing w:line="360" w:lineRule="auto"/>
        <w:ind w:left="0" w:leftChars="0"/>
        <w:outlineLvl w:val="9"/>
        <w:rPr>
          <w:color w:val="auto"/>
          <w:highlight w:val="none"/>
        </w:rPr>
      </w:pPr>
      <w:r>
        <w:rPr>
          <w:rFonts w:hint="eastAsia"/>
          <w:color w:val="auto"/>
          <w:highlight w:val="none"/>
        </w:rPr>
        <w:t>2、</w:t>
      </w:r>
      <w:r>
        <w:rPr>
          <w:color w:val="auto"/>
          <w:highlight w:val="none"/>
        </w:rPr>
        <w:t>甲方无故逾期验收和办理款项支付手续的，甲方应按逾期付款总额向乙方支付每日万分之五违约金。</w:t>
      </w:r>
    </w:p>
    <w:p>
      <w:pPr>
        <w:pStyle w:val="14"/>
        <w:keepNext w:val="0"/>
        <w:keepLines w:val="0"/>
        <w:pageBreakBefore w:val="0"/>
        <w:kinsoku/>
        <w:wordWrap/>
        <w:overflowPunct/>
        <w:topLinePunct w:val="0"/>
        <w:bidi w:val="0"/>
        <w:adjustRightInd w:val="0"/>
        <w:snapToGrid w:val="0"/>
        <w:spacing w:line="360" w:lineRule="auto"/>
        <w:outlineLvl w:val="9"/>
        <w:rPr>
          <w:color w:val="auto"/>
          <w:highlight w:val="none"/>
        </w:rPr>
      </w:pPr>
      <w:r>
        <w:rPr>
          <w:rFonts w:hint="eastAsia"/>
          <w:color w:val="auto"/>
          <w:highlight w:val="none"/>
        </w:rPr>
        <w:t>3、</w:t>
      </w:r>
      <w:r>
        <w:rPr>
          <w:color w:val="auto"/>
          <w:highlight w:val="none"/>
        </w:rPr>
        <w:t xml:space="preserve">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pStyle w:val="14"/>
        <w:keepNext w:val="0"/>
        <w:keepLines w:val="0"/>
        <w:pageBreakBefore w:val="0"/>
        <w:kinsoku/>
        <w:wordWrap/>
        <w:overflowPunct/>
        <w:topLinePunct w:val="0"/>
        <w:bidi w:val="0"/>
        <w:adjustRightInd w:val="0"/>
        <w:snapToGrid w:val="0"/>
        <w:spacing w:line="360" w:lineRule="auto"/>
        <w:outlineLvl w:val="9"/>
        <w:rPr>
          <w:color w:val="auto"/>
          <w:highlight w:val="none"/>
        </w:rPr>
      </w:pPr>
      <w:r>
        <w:rPr>
          <w:rFonts w:hint="eastAsia"/>
          <w:color w:val="auto"/>
          <w:highlight w:val="none"/>
        </w:rPr>
        <w:t>4、若发生纠纷，由违约方赔偿守约方因纠纷所支付的费用（包括但不限于律师费、差旅费、诉讼费、保全费、鉴定费、评估费等）。</w:t>
      </w:r>
    </w:p>
    <w:p>
      <w:pPr>
        <w:pStyle w:val="14"/>
        <w:keepNext w:val="0"/>
        <w:keepLines w:val="0"/>
        <w:pageBreakBefore w:val="0"/>
        <w:kinsoku/>
        <w:wordWrap/>
        <w:overflowPunct/>
        <w:topLinePunct w:val="0"/>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十、不可抗力事件处理</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、在合同有效期内，任何一方因不可抗力事件导致不能履行合同，则合同履行期可延长，其延长期与不可抗力影响期相同。</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、不可抗力事件发生后，应立即通知对方，并寄送有关权威机构出具的证明。</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、不可抗力事件延续</w:t>
      </w:r>
      <w:r>
        <w:rPr>
          <w:rFonts w:hAnsi="宋体"/>
          <w:snapToGrid w:val="0"/>
          <w:color w:val="auto"/>
          <w:szCs w:val="21"/>
          <w:highlight w:val="none"/>
        </w:rPr>
        <w:t>120</w:t>
      </w:r>
      <w:r>
        <w:rPr>
          <w:rFonts w:hint="eastAsia" w:hAnsi="宋体"/>
          <w:snapToGrid w:val="0"/>
          <w:color w:val="auto"/>
          <w:szCs w:val="21"/>
          <w:highlight w:val="none"/>
        </w:rPr>
        <w:t>天以上，双方应通过友好协商，确定是否继续履行合同。</w:t>
      </w:r>
    </w:p>
    <w:p>
      <w:pPr>
        <w:pStyle w:val="14"/>
        <w:keepNext w:val="0"/>
        <w:keepLines w:val="0"/>
        <w:pageBreakBefore w:val="0"/>
        <w:kinsoku/>
        <w:wordWrap/>
        <w:overflowPunct/>
        <w:topLinePunct w:val="0"/>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十一、诉讼</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int="eastAsia" w:hAnsi="宋体"/>
          <w:snapToGrid w:val="0"/>
          <w:color w:val="auto"/>
          <w:szCs w:val="21"/>
          <w:highlight w:val="none"/>
          <w:lang w:val="en-US" w:eastAsia="zh-CN"/>
        </w:rPr>
        <w:t>1、</w:t>
      </w:r>
      <w:r>
        <w:rPr>
          <w:rFonts w:hint="eastAsia" w:hAnsi="宋体"/>
          <w:snapToGrid w:val="0"/>
          <w:color w:val="auto"/>
          <w:szCs w:val="21"/>
          <w:highlight w:val="none"/>
        </w:rPr>
        <w:t>双方在执行合同中所发生的一切争议，应通过协商解决。如协商不成，</w:t>
      </w:r>
      <w:r>
        <w:rPr>
          <w:rFonts w:hAnsi="宋体" w:cs="宋体"/>
          <w:color w:val="auto"/>
          <w:kern w:val="0"/>
          <w:szCs w:val="21"/>
          <w:highlight w:val="none"/>
        </w:rPr>
        <w:t>提交</w:t>
      </w:r>
      <w:r>
        <w:rPr>
          <w:rFonts w:hAnsi="宋体"/>
          <w:color w:val="auto"/>
          <w:szCs w:val="21"/>
          <w:highlight w:val="none"/>
          <w:u w:val="single"/>
        </w:rPr>
        <w:t>台州</w:t>
      </w:r>
      <w:r>
        <w:rPr>
          <w:rFonts w:hAnsi="宋体" w:cs="宋体"/>
          <w:color w:val="auto"/>
          <w:kern w:val="0"/>
          <w:szCs w:val="21"/>
          <w:highlight w:val="none"/>
        </w:rPr>
        <w:t>仲裁委员会仲裁。</w:t>
      </w:r>
      <w:r>
        <w:rPr>
          <w:rFonts w:hint="eastAsia" w:hAnsi="宋体"/>
          <w:snapToGrid w:val="0"/>
          <w:color w:val="auto"/>
          <w:szCs w:val="21"/>
          <w:highlight w:val="none"/>
        </w:rPr>
        <w:t xml:space="preserve"> </w:t>
      </w:r>
    </w:p>
    <w:p>
      <w:pPr>
        <w:pStyle w:val="14"/>
        <w:keepNext w:val="0"/>
        <w:keepLines w:val="0"/>
        <w:pageBreakBefore w:val="0"/>
        <w:kinsoku/>
        <w:wordWrap/>
        <w:overflowPunct/>
        <w:topLinePunct w:val="0"/>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十二、合同生效及其它</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、合同经双方法定代表人或授权代表签字并加盖单位公章后生效。</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、合同执行中涉及采购资金和采购内容修改或补充的，须经财政部门审批，并签书面补充协议报政府采购监督管理部门备案，方为生效，届时才作为主合同不可分割的一部分。</w:t>
      </w:r>
    </w:p>
    <w:p>
      <w:pPr>
        <w:pStyle w:val="14"/>
        <w:keepNext w:val="0"/>
        <w:keepLines w:val="0"/>
        <w:pageBreakBefore w:val="0"/>
        <w:kinsoku/>
        <w:wordWrap/>
        <w:overflowPunct/>
        <w:topLinePunct w:val="0"/>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、本合同未尽事宜，遵照《</w:t>
      </w:r>
      <w:r>
        <w:rPr>
          <w:rFonts w:hint="eastAsia" w:hAnsi="宋体"/>
          <w:snapToGrid w:val="0"/>
          <w:color w:val="auto"/>
          <w:szCs w:val="21"/>
          <w:highlight w:val="none"/>
          <w:lang w:val="en-US" w:eastAsia="zh-CN"/>
        </w:rPr>
        <w:t>民法典</w:t>
      </w:r>
      <w:r>
        <w:rPr>
          <w:rFonts w:hint="eastAsia" w:hAnsi="宋体"/>
          <w:snapToGrid w:val="0"/>
          <w:color w:val="auto"/>
          <w:szCs w:val="21"/>
          <w:highlight w:val="none"/>
        </w:rPr>
        <w:t>》有关条文执行。</w:t>
      </w:r>
    </w:p>
    <w:p>
      <w:pPr>
        <w:keepNext w:val="0"/>
        <w:keepLines w:val="0"/>
        <w:pageBreakBefore w:val="0"/>
        <w:widowControl/>
        <w:kinsoku/>
        <w:wordWrap/>
        <w:overflowPunct/>
        <w:topLinePunct w:val="0"/>
        <w:bidi w:val="0"/>
        <w:spacing w:line="360" w:lineRule="auto"/>
        <w:outlineLvl w:val="9"/>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spacing w:val="-6"/>
          <w:kern w:val="0"/>
          <w:szCs w:val="21"/>
          <w:highlight w:val="none"/>
        </w:rPr>
        <w:t>、本合同壹式陆份，甲、乙双方、招标代理公司各执贰份。本项目未尽事宜以招标文件、投标文件及澄清文件等为准。</w:t>
      </w:r>
    </w:p>
    <w:p>
      <w:pPr>
        <w:keepNext w:val="0"/>
        <w:keepLines w:val="0"/>
        <w:pageBreakBefore w:val="0"/>
        <w:widowControl/>
        <w:kinsoku/>
        <w:wordWrap/>
        <w:overflowPunct/>
        <w:topLinePunct w:val="0"/>
        <w:bidi w:val="0"/>
        <w:spacing w:line="360" w:lineRule="auto"/>
        <w:outlineLvl w:val="9"/>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pPr>
        <w:keepNext w:val="0"/>
        <w:keepLines w:val="0"/>
        <w:pageBreakBefore w:val="0"/>
        <w:kinsoku/>
        <w:wordWrap/>
        <w:overflowPunct/>
        <w:topLinePunct w:val="0"/>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pPr>
        <w:keepNext w:val="0"/>
        <w:keepLines w:val="0"/>
        <w:pageBreakBefore w:val="0"/>
        <w:kinsoku/>
        <w:wordWrap/>
        <w:overflowPunct/>
        <w:topLinePunct w:val="0"/>
        <w:bidi w:val="0"/>
        <w:spacing w:line="360" w:lineRule="auto"/>
        <w:ind w:firstLine="210" w:firstLineChars="100"/>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合同鉴证方：</w:t>
      </w:r>
    </w:p>
    <w:p>
      <w:pPr>
        <w:keepNext w:val="0"/>
        <w:keepLines w:val="0"/>
        <w:pageBreakBefore w:val="0"/>
        <w:kinsoku/>
        <w:wordWrap/>
        <w:overflowPunct/>
        <w:topLinePunct w:val="0"/>
        <w:bidi w:val="0"/>
        <w:spacing w:line="360" w:lineRule="auto"/>
        <w:ind w:firstLine="2730" w:firstLineChars="1300"/>
        <w:textAlignment w:val="baseline"/>
        <w:outlineLvl w:val="9"/>
        <w:rPr>
          <w:rFonts w:ascii="宋体" w:hAnsi="宋体"/>
          <w:color w:val="auto"/>
          <w:kern w:val="0"/>
          <w:szCs w:val="21"/>
          <w:highlight w:val="none"/>
        </w:rPr>
      </w:pPr>
      <w:r>
        <w:rPr>
          <w:rFonts w:hint="eastAsia" w:ascii="宋体" w:hAnsi="宋体"/>
          <w:color w:val="auto"/>
          <w:kern w:val="0"/>
          <w:szCs w:val="21"/>
          <w:highlight w:val="none"/>
        </w:rPr>
        <w:t>签订日期：       年     月     日</w:t>
      </w:r>
    </w:p>
    <w:p>
      <w:pPr>
        <w:pStyle w:val="2"/>
        <w:ind w:left="0" w:leftChars="0" w:firstLine="0" w:firstLineChars="0"/>
        <w:rPr>
          <w:color w:val="auto"/>
          <w:highlight w:val="none"/>
        </w:rPr>
      </w:pPr>
    </w:p>
    <w:p>
      <w:pPr>
        <w:pStyle w:val="4"/>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pPr>
        <w:keepNext w:val="0"/>
        <w:keepLines w:val="0"/>
        <w:pageBreakBefore w:val="0"/>
        <w:kinsoku/>
        <w:wordWrap/>
        <w:overflowPunct/>
        <w:topLinePunct w:val="0"/>
        <w:bidi w:val="0"/>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keepNext w:val="0"/>
        <w:keepLines w:val="0"/>
        <w:pageBreakBefore w:val="0"/>
        <w:kinsoku/>
        <w:wordWrap/>
        <w:overflowPunct/>
        <w:topLinePunct w:val="0"/>
        <w:bidi w:val="0"/>
        <w:spacing w:line="360" w:lineRule="auto"/>
        <w:outlineLvl w:val="9"/>
        <w:rPr>
          <w:rFonts w:asciiTheme="minorEastAsia" w:hAnsiTheme="minorEastAsia" w:eastAsiaTheme="minorEastAsia"/>
          <w:b/>
          <w:color w:val="auto"/>
          <w:sz w:val="30"/>
          <w:szCs w:val="30"/>
          <w:highlight w:val="none"/>
        </w:rPr>
      </w:pPr>
    </w:p>
    <w:p>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pStyle w:val="53"/>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keepNext w:val="0"/>
        <w:keepLines w:val="0"/>
        <w:pageBreakBefore w:val="0"/>
        <w:kinsoku/>
        <w:wordWrap/>
        <w:overflowPunct/>
        <w:topLinePunct w:val="0"/>
        <w:bidi w:val="0"/>
        <w:snapToGrid w:val="0"/>
        <w:spacing w:before="50" w:after="50" w:line="360" w:lineRule="auto"/>
        <w:jc w:val="center"/>
        <w:outlineLvl w:val="9"/>
        <w:rPr>
          <w:rFonts w:ascii="仿宋_GB2312" w:hAnsi="宋体" w:eastAsia="仿宋_GB2312"/>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sz w:val="24"/>
          <w:highlight w:val="none"/>
        </w:rPr>
      </w:pPr>
      <w:r>
        <w:rPr>
          <w:rFonts w:hint="eastAsia"/>
          <w:bCs/>
          <w:color w:val="auto"/>
          <w:sz w:val="24"/>
          <w:highlight w:val="none"/>
        </w:rPr>
        <w:t>1、投标声明书</w:t>
      </w:r>
      <w:r>
        <w:rPr>
          <w:rFonts w:hint="eastAsia" w:ascii="宋体" w:hAnsi="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highlight w:val="none"/>
        </w:rPr>
      </w:pPr>
      <w:r>
        <w:rPr>
          <w:rFonts w:hint="eastAsia"/>
          <w:bCs/>
          <w:color w:val="auto"/>
          <w:sz w:val="24"/>
          <w:highlight w:val="none"/>
        </w:rPr>
        <w:t>2、</w:t>
      </w:r>
      <w:r>
        <w:rPr>
          <w:bCs/>
          <w:color w:val="auto"/>
          <w:sz w:val="24"/>
          <w:highlight w:val="none"/>
        </w:rPr>
        <w:t>授权</w:t>
      </w:r>
      <w:r>
        <w:rPr>
          <w:rFonts w:hint="eastAsia"/>
          <w:bCs/>
          <w:color w:val="auto"/>
          <w:sz w:val="24"/>
          <w:highlight w:val="none"/>
        </w:rPr>
        <w:t>委托</w:t>
      </w:r>
      <w:r>
        <w:rPr>
          <w:bCs/>
          <w:color w:val="auto"/>
          <w:sz w:val="24"/>
          <w:highlight w:val="none"/>
        </w:rPr>
        <w:t>书</w:t>
      </w:r>
      <w:r>
        <w:rPr>
          <w:rFonts w:hint="eastAsia" w:ascii="宋体" w:hAnsi="宋体"/>
          <w:bCs/>
          <w:color w:val="auto"/>
          <w:sz w:val="24"/>
          <w:highlight w:val="none"/>
        </w:rPr>
        <w:t>（附件3）</w:t>
      </w:r>
    </w:p>
    <w:p>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highlight w:val="none"/>
        </w:rPr>
      </w:pPr>
      <w:r>
        <w:rPr>
          <w:rFonts w:hint="eastAsia"/>
          <w:color w:val="auto"/>
          <w:sz w:val="24"/>
          <w:highlight w:val="none"/>
        </w:rPr>
        <w:t>3、</w:t>
      </w:r>
      <w:r>
        <w:rPr>
          <w:color w:val="auto"/>
          <w:sz w:val="24"/>
          <w:highlight w:val="none"/>
        </w:rPr>
        <w:t>法人或者其他组织的营业执照等证明文件，自然人的身份证明</w:t>
      </w:r>
    </w:p>
    <w:p>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highlight w:val="none"/>
        </w:rPr>
      </w:pPr>
      <w:r>
        <w:rPr>
          <w:rFonts w:hint="eastAsia" w:ascii="Times New Roman" w:hAnsi="Times New Roman" w:cs="Times New Roman"/>
          <w:color w:val="auto"/>
          <w:sz w:val="24"/>
          <w:highlight w:val="none"/>
        </w:rPr>
        <w:t>4、本项目要</w:t>
      </w:r>
      <w:r>
        <w:rPr>
          <w:rFonts w:hint="eastAsia" w:ascii="宋体" w:hAnsi="宋体"/>
          <w:color w:val="auto"/>
          <w:kern w:val="0"/>
          <w:sz w:val="24"/>
          <w:highlight w:val="none"/>
        </w:rPr>
        <w:t>求的特定资质证书</w:t>
      </w:r>
    </w:p>
    <w:p>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ascii="宋体"/>
          <w:b/>
          <w:bCs/>
          <w:color w:val="auto"/>
          <w:sz w:val="36"/>
          <w:szCs w:val="32"/>
          <w:highlight w:val="none"/>
        </w:rPr>
      </w:pPr>
    </w:p>
    <w:p>
      <w:pPr>
        <w:keepNext w:val="0"/>
        <w:keepLines w:val="0"/>
        <w:pageBreakBefore w:val="0"/>
        <w:kinsoku/>
        <w:wordWrap/>
        <w:overflowPunct/>
        <w:topLinePunct w:val="0"/>
        <w:bidi w:val="0"/>
        <w:spacing w:line="360" w:lineRule="auto"/>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pPr>
        <w:pStyle w:val="4"/>
        <w:keepNext w:val="0"/>
        <w:keepLines w:val="0"/>
        <w:pageBreakBefore w:val="0"/>
        <w:kinsoku/>
        <w:wordWrap/>
        <w:overflowPunct/>
        <w:topLinePunct w:val="0"/>
        <w:bidi w:val="0"/>
        <w:outlineLvl w:val="9"/>
        <w:rPr>
          <w:rFonts w:ascii="宋体"/>
          <w:b/>
          <w:color w:val="auto"/>
          <w:sz w:val="28"/>
          <w:highlight w:val="none"/>
        </w:rPr>
      </w:pPr>
    </w:p>
    <w:p>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pPr>
        <w:pStyle w:val="4"/>
        <w:rPr>
          <w:rFonts w:ascii="宋体" w:hAnsi="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pPr>
        <w:keepNext w:val="0"/>
        <w:keepLines w:val="0"/>
        <w:pageBreakBefore w:val="0"/>
        <w:kinsoku/>
        <w:wordWrap/>
        <w:overflowPunct/>
        <w:topLinePunct w:val="0"/>
        <w:bidi w:val="0"/>
        <w:spacing w:line="360" w:lineRule="auto"/>
        <w:jc w:val="center"/>
        <w:outlineLvl w:val="9"/>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kinsoku/>
        <w:wordWrap/>
        <w:overflowPunct/>
        <w:topLinePunct w:val="0"/>
        <w:bidi w:val="0"/>
        <w:spacing w:line="360" w:lineRule="auto"/>
        <w:outlineLvl w:val="9"/>
        <w:rPr>
          <w:color w:val="auto"/>
          <w:szCs w:val="21"/>
          <w:highlight w:val="none"/>
          <w:u w:val="single"/>
        </w:rPr>
      </w:pPr>
      <w:r>
        <w:rPr>
          <w:rFonts w:hint="eastAsia"/>
          <w:color w:val="auto"/>
          <w:szCs w:val="21"/>
          <w:highlight w:val="none"/>
          <w:u w:val="single"/>
          <w:lang w:eastAsia="zh-CN"/>
        </w:rPr>
        <w:t>台州市生态环境局</w:t>
      </w:r>
      <w:r>
        <w:rPr>
          <w:rFonts w:hint="eastAsia"/>
          <w:color w:val="auto"/>
          <w:szCs w:val="21"/>
          <w:highlight w:val="none"/>
          <w:u w:val="single"/>
        </w:rPr>
        <w:t>、</w:t>
      </w:r>
      <w:r>
        <w:rPr>
          <w:rFonts w:hint="eastAsia"/>
          <w:color w:val="auto"/>
          <w:szCs w:val="21"/>
          <w:highlight w:val="none"/>
          <w:u w:val="single"/>
          <w:lang w:eastAsia="zh-CN"/>
        </w:rPr>
        <w:t>浙江汇永工程咨询有限公司</w:t>
      </w:r>
      <w:r>
        <w:rPr>
          <w:rFonts w:hint="eastAsia"/>
          <w:color w:val="auto"/>
          <w:szCs w:val="21"/>
          <w:highlight w:val="none"/>
          <w:u w:val="single"/>
        </w:rPr>
        <w:t>：</w:t>
      </w:r>
    </w:p>
    <w:p>
      <w:pPr>
        <w:keepNext w:val="0"/>
        <w:keepLines w:val="0"/>
        <w:pageBreakBefore w:val="0"/>
        <w:kinsoku/>
        <w:wordWrap/>
        <w:overflowPunct/>
        <w:topLinePunct w:val="0"/>
        <w:bidi w:val="0"/>
        <w:spacing w:line="360" w:lineRule="auto"/>
        <w:ind w:firstLine="420" w:firstLineChars="200"/>
        <w:outlineLvl w:val="9"/>
        <w:rPr>
          <w:color w:val="auto"/>
          <w:szCs w:val="21"/>
          <w:highlight w:val="none"/>
        </w:rPr>
      </w:pPr>
      <w:r>
        <w:rPr>
          <w:rFonts w:hint="eastAsia"/>
          <w:color w:val="auto"/>
          <w:szCs w:val="21"/>
          <w:highlight w:val="none"/>
        </w:rPr>
        <w:t>（</w:t>
      </w:r>
      <w:r>
        <w:rPr>
          <w:rFonts w:hint="eastAsia"/>
          <w:color w:val="auto"/>
          <w:szCs w:val="21"/>
          <w:highlight w:val="none"/>
          <w:u w:val="single"/>
        </w:rPr>
        <w:t xml:space="preserve"> 投标人名称 </w:t>
      </w:r>
      <w:r>
        <w:rPr>
          <w:rFonts w:hint="eastAsia"/>
          <w:color w:val="auto"/>
          <w:szCs w:val="21"/>
          <w:highlight w:val="none"/>
        </w:rPr>
        <w:t>）系中华人民共和国合法企业，经营地址。</w:t>
      </w:r>
    </w:p>
    <w:p>
      <w:pPr>
        <w:keepNext w:val="0"/>
        <w:keepLines w:val="0"/>
        <w:pageBreakBefore w:val="0"/>
        <w:kinsoku/>
        <w:wordWrap/>
        <w:overflowPunct/>
        <w:topLinePunct w:val="0"/>
        <w:bidi w:val="0"/>
        <w:spacing w:line="360" w:lineRule="auto"/>
        <w:ind w:firstLine="420" w:firstLineChars="200"/>
        <w:outlineLvl w:val="9"/>
        <w:rPr>
          <w:color w:val="auto"/>
          <w:szCs w:val="21"/>
          <w:highlight w:val="none"/>
        </w:rPr>
      </w:pPr>
      <w:r>
        <w:rPr>
          <w:rFonts w:hint="eastAsia"/>
          <w:color w:val="auto"/>
          <w:szCs w:val="21"/>
          <w:highlight w:val="none"/>
        </w:rPr>
        <w:t>我（</w:t>
      </w:r>
      <w:r>
        <w:rPr>
          <w:rFonts w:hint="eastAsia" w:ascii="宋体" w:hAnsi="宋体" w:cs="宋体"/>
          <w:color w:val="auto"/>
          <w:szCs w:val="21"/>
          <w:highlight w:val="none"/>
          <w:u w:val="single"/>
        </w:rPr>
        <w:t xml:space="preserve"> 姓名 </w:t>
      </w:r>
      <w:r>
        <w:rPr>
          <w:rFonts w:hint="eastAsia"/>
          <w:color w:val="auto"/>
          <w:szCs w:val="21"/>
          <w:highlight w:val="none"/>
        </w:rPr>
        <w:t>）系（</w:t>
      </w:r>
      <w:r>
        <w:rPr>
          <w:rFonts w:hint="eastAsia" w:ascii="宋体" w:hAnsi="宋体" w:cs="宋体"/>
          <w:color w:val="auto"/>
          <w:szCs w:val="21"/>
          <w:highlight w:val="none"/>
          <w:u w:val="single"/>
        </w:rPr>
        <w:t xml:space="preserve"> 投标人名称 </w:t>
      </w:r>
      <w:r>
        <w:rPr>
          <w:rFonts w:hint="eastAsia"/>
          <w:color w:val="auto"/>
          <w:szCs w:val="21"/>
          <w:highlight w:val="none"/>
        </w:rPr>
        <w:t>）的法定代表人，我公司自愿参加贵方组织的</w:t>
      </w:r>
      <w:r>
        <w:rPr>
          <w:rFonts w:hint="eastAsia"/>
          <w:color w:val="auto"/>
          <w:szCs w:val="21"/>
          <w:highlight w:val="none"/>
          <w:u w:val="single"/>
          <w:lang w:eastAsia="zh-CN"/>
        </w:rPr>
        <w:t>台州金清水系流域共治实施方案项目</w:t>
      </w:r>
      <w:r>
        <w:rPr>
          <w:rFonts w:hint="eastAsia"/>
          <w:color w:val="auto"/>
          <w:szCs w:val="21"/>
          <w:highlight w:val="none"/>
        </w:rPr>
        <w:t>（编号为</w:t>
      </w:r>
      <w:r>
        <w:rPr>
          <w:rFonts w:hint="eastAsia" w:ascii="宋体" w:hAnsi="宋体" w:cs="宋体"/>
          <w:color w:val="auto"/>
          <w:szCs w:val="21"/>
          <w:highlight w:val="none"/>
          <w:u w:val="single"/>
          <w:lang w:eastAsia="zh-CN"/>
        </w:rPr>
        <w:t>zjhy2022-tz25</w:t>
      </w:r>
      <w:r>
        <w:rPr>
          <w:rFonts w:hint="eastAsia"/>
          <w:color w:val="auto"/>
          <w:szCs w:val="21"/>
          <w:highlight w:val="none"/>
        </w:rPr>
        <w:t>）的投标，为此，我公司就本次投标有关事项郑重声明如下：</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lang w:val="af-ZA"/>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保证，</w:t>
      </w:r>
      <w:r>
        <w:rPr>
          <w:rFonts w:hint="eastAsia" w:ascii="宋体" w:hAnsi="宋体" w:cs="宋体"/>
          <w:color w:val="auto"/>
          <w:szCs w:val="21"/>
          <w:highlight w:val="none"/>
          <w:lang w:val="af-ZA"/>
        </w:rPr>
        <w:t>采购人在中华人民共和国境内使用</w:t>
      </w:r>
      <w:r>
        <w:rPr>
          <w:rFonts w:hint="eastAsia" w:ascii="宋体" w:hAnsi="宋体" w:cs="宋体"/>
          <w:color w:val="auto"/>
          <w:szCs w:val="21"/>
          <w:highlight w:val="none"/>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w:t>
      </w:r>
      <w:r>
        <w:rPr>
          <w:rFonts w:hint="eastAsia" w:ascii="宋体" w:hAnsi="宋体" w:cs="宋体"/>
          <w:color w:val="auto"/>
          <w:szCs w:val="21"/>
          <w:highlight w:val="none"/>
          <w:lang w:val="af-ZA"/>
        </w:rPr>
        <w:t>权、商标权或其它知识产权的一切相关费用。</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lang w:val="af-ZA"/>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严格履行政府采购合同，</w:t>
      </w:r>
      <w:r>
        <w:rPr>
          <w:rFonts w:hint="eastAsia" w:ascii="宋体" w:hAnsi="宋体" w:cs="宋体"/>
          <w:color w:val="auto"/>
          <w:kern w:val="0"/>
          <w:szCs w:val="21"/>
          <w:highlight w:val="none"/>
          <w:lang w:val="af-ZA"/>
        </w:rPr>
        <w:t>除在投标文件中明确拒绝之外，均接受招标文件中的全部条件，</w:t>
      </w:r>
      <w:r>
        <w:rPr>
          <w:rFonts w:hint="eastAsia" w:ascii="宋体" w:hAnsi="宋体" w:cs="宋体"/>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、以上事项如有虚假或隐瞒，我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本单位若违反以上承诺，将无</w:t>
      </w:r>
      <w:r>
        <w:rPr>
          <w:rFonts w:hint="eastAsia" w:ascii="宋体" w:hAnsi="宋体" w:cs="宋体"/>
          <w:color w:val="auto"/>
          <w:szCs w:val="21"/>
          <w:highlight w:val="none"/>
        </w:rPr>
        <w:t>条件接受项目主管部门和有关监督管理部门的调查，并愿意承担取消中标资格、没收履约保证金及限制在本地区参与投标等一切法律责任。</w:t>
      </w:r>
    </w:p>
    <w:p>
      <w:pPr>
        <w:keepNext w:val="0"/>
        <w:keepLines w:val="0"/>
        <w:pageBreakBefore w:val="0"/>
        <w:kinsoku/>
        <w:wordWrap/>
        <w:overflowPunct/>
        <w:topLinePunct w:val="0"/>
        <w:bidi w:val="0"/>
        <w:spacing w:line="360" w:lineRule="auto"/>
        <w:ind w:firstLine="3360" w:firstLineChars="1600"/>
        <w:outlineLvl w:val="9"/>
        <w:rPr>
          <w:rFonts w:ascii="宋体" w:hAnsi="宋体" w:cs="宋体"/>
          <w:color w:val="auto"/>
          <w:szCs w:val="21"/>
          <w:highlight w:val="none"/>
          <w:lang w:val="zh-CN"/>
        </w:rPr>
      </w:pPr>
      <w:r>
        <w:rPr>
          <w:rFonts w:hint="eastAsia" w:ascii="宋体" w:hAnsi="宋体" w:cs="宋体"/>
          <w:color w:val="auto"/>
          <w:szCs w:val="21"/>
          <w:highlight w:val="none"/>
          <w:lang w:val="zh-CN"/>
        </w:rPr>
        <w:t>投标人名称(公章)：</w:t>
      </w:r>
    </w:p>
    <w:p>
      <w:pPr>
        <w:keepNext w:val="0"/>
        <w:keepLines w:val="0"/>
        <w:pageBreakBefore w:val="0"/>
        <w:kinsoku/>
        <w:wordWrap/>
        <w:overflowPunct/>
        <w:topLinePunct w:val="0"/>
        <w:bidi w:val="0"/>
        <w:spacing w:line="360" w:lineRule="auto"/>
        <w:ind w:firstLine="3360" w:firstLineChars="1600"/>
        <w:outlineLvl w:val="9"/>
        <w:rPr>
          <w:rFonts w:ascii="宋体" w:hAnsi="宋体" w:cs="宋体"/>
          <w:color w:val="auto"/>
          <w:szCs w:val="21"/>
          <w:highlight w:val="none"/>
        </w:rPr>
      </w:pPr>
      <w:r>
        <w:rPr>
          <w:rFonts w:hint="eastAsia" w:ascii="宋体" w:hAnsi="宋体" w:cs="宋体"/>
          <w:color w:val="auto"/>
          <w:szCs w:val="21"/>
          <w:highlight w:val="none"/>
          <w:lang w:val="zh-CN"/>
        </w:rPr>
        <w:t>法定代表人或授权委托代理人（签字）：</w:t>
      </w:r>
    </w:p>
    <w:p>
      <w:pPr>
        <w:keepNext w:val="0"/>
        <w:keepLines w:val="0"/>
        <w:pageBreakBefore w:val="0"/>
        <w:kinsoku/>
        <w:wordWrap/>
        <w:overflowPunct/>
        <w:topLinePunct w:val="0"/>
        <w:bidi w:val="0"/>
        <w:spacing w:line="360" w:lineRule="auto"/>
        <w:ind w:firstLine="420" w:firstLineChars="200"/>
        <w:jc w:val="center"/>
        <w:outlineLvl w:val="9"/>
        <w:rPr>
          <w:rFonts w:ascii="宋体" w:hAnsi="宋体" w:cs="宋体"/>
          <w:color w:val="auto"/>
          <w:sz w:val="24"/>
          <w:szCs w:val="32"/>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日期：</w:t>
      </w:r>
      <w:r>
        <w:rPr>
          <w:rFonts w:hint="eastAsia" w:ascii="宋体" w:hAnsi="宋体" w:cs="宋体"/>
          <w:color w:val="auto"/>
          <w:szCs w:val="21"/>
          <w:highlight w:val="none"/>
        </w:rPr>
        <w:t>年  月  日</w:t>
      </w:r>
    </w:p>
    <w:p>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pPr>
        <w:keepNext w:val="0"/>
        <w:keepLines w:val="0"/>
        <w:pageBreakBefore w:val="0"/>
        <w:kinsoku/>
        <w:wordWrap/>
        <w:overflowPunct/>
        <w:topLinePunct w:val="0"/>
        <w:bidi w:val="0"/>
        <w:spacing w:line="360" w:lineRule="auto"/>
        <w:ind w:firstLine="321" w:firstLineChars="100"/>
        <w:jc w:val="center"/>
        <w:outlineLvl w:val="9"/>
        <w:rPr>
          <w:rFonts w:hAnsi="宋体"/>
          <w:b/>
          <w:color w:val="auto"/>
          <w:sz w:val="32"/>
          <w:szCs w:val="32"/>
          <w:highlight w:val="none"/>
          <w:u w:val="single"/>
        </w:rPr>
      </w:pPr>
      <w:r>
        <w:rPr>
          <w:rFonts w:hint="eastAsia"/>
          <w:b/>
          <w:color w:val="auto"/>
          <w:sz w:val="32"/>
          <w:szCs w:val="32"/>
          <w:highlight w:val="none"/>
        </w:rPr>
        <w:t>授权委托书</w:t>
      </w:r>
    </w:p>
    <w:p>
      <w:pPr>
        <w:pStyle w:val="14"/>
        <w:keepNext w:val="0"/>
        <w:keepLines w:val="0"/>
        <w:pageBreakBefore w:val="0"/>
        <w:kinsoku/>
        <w:wordWrap/>
        <w:overflowPunct/>
        <w:topLinePunct w:val="0"/>
        <w:bidi w:val="0"/>
        <w:spacing w:line="360" w:lineRule="auto"/>
        <w:ind w:left="210" w:hanging="210" w:hangingChars="100"/>
        <w:outlineLvl w:val="9"/>
        <w:rPr>
          <w:rFonts w:hAnsi="宋体" w:cs="宋体"/>
          <w:color w:val="auto"/>
          <w:kern w:val="0"/>
          <w:szCs w:val="21"/>
          <w:highlight w:val="none"/>
        </w:rPr>
      </w:pPr>
      <w:r>
        <w:rPr>
          <w:rFonts w:hint="eastAsia" w:hAnsi="宋体"/>
          <w:color w:val="auto"/>
          <w:szCs w:val="21"/>
          <w:highlight w:val="none"/>
          <w:u w:val="single"/>
          <w:lang w:eastAsia="zh-CN"/>
        </w:rPr>
        <w:t>台州市生态环境局</w:t>
      </w:r>
      <w:r>
        <w:rPr>
          <w:rFonts w:hint="eastAsia" w:hAnsi="宋体"/>
          <w:color w:val="auto"/>
          <w:szCs w:val="21"/>
          <w:highlight w:val="none"/>
          <w:u w:val="single"/>
        </w:rPr>
        <w:t>、</w:t>
      </w:r>
      <w:r>
        <w:rPr>
          <w:rFonts w:hint="eastAsia" w:hAnsi="宋体"/>
          <w:color w:val="auto"/>
          <w:szCs w:val="21"/>
          <w:highlight w:val="none"/>
          <w:u w:val="single"/>
          <w:lang w:eastAsia="zh-CN"/>
        </w:rPr>
        <w:t>浙江汇永工程咨询有限公司</w:t>
      </w:r>
      <w:r>
        <w:rPr>
          <w:rFonts w:hint="eastAsia" w:hAnsi="宋体" w:cs="宋体"/>
          <w:color w:val="auto"/>
          <w:kern w:val="0"/>
          <w:szCs w:val="21"/>
          <w:highlight w:val="none"/>
        </w:rPr>
        <w:t>：</w:t>
      </w:r>
    </w:p>
    <w:p>
      <w:pPr>
        <w:pStyle w:val="14"/>
        <w:keepNext w:val="0"/>
        <w:keepLines w:val="0"/>
        <w:pageBreakBefore w:val="0"/>
        <w:kinsoku/>
        <w:wordWrap/>
        <w:overflowPunct/>
        <w:topLinePunct w:val="0"/>
        <w:bidi w:val="0"/>
        <w:spacing w:line="360" w:lineRule="auto"/>
        <w:ind w:left="210" w:hanging="210" w:hangingChars="100"/>
        <w:outlineLvl w:val="9"/>
        <w:rPr>
          <w:rFonts w:hAnsi="宋体"/>
          <w:color w:val="auto"/>
          <w:szCs w:val="21"/>
          <w:highlight w:val="none"/>
        </w:rPr>
      </w:pPr>
      <w:r>
        <w:rPr>
          <w:rFonts w:hint="eastAsia" w:hAnsi="宋体"/>
          <w:color w:val="auto"/>
          <w:szCs w:val="21"/>
          <w:highlight w:val="none"/>
          <w:u w:val="single"/>
        </w:rPr>
        <w:t>（投标人全称）</w:t>
      </w:r>
      <w:r>
        <w:rPr>
          <w:rFonts w:hint="eastAsia" w:hAnsi="宋体"/>
          <w:color w:val="auto"/>
          <w:szCs w:val="21"/>
          <w:highlight w:val="none"/>
        </w:rPr>
        <w:t>法定代表人</w:t>
      </w:r>
      <w:r>
        <w:rPr>
          <w:rFonts w:hint="eastAsia" w:ascii="Arial" w:hAnsi="Arial" w:cs="Arial"/>
          <w:color w:val="auto"/>
          <w:szCs w:val="21"/>
          <w:highlight w:val="none"/>
        </w:rPr>
        <w:t>（或营业执照中单位负责人）</w:t>
      </w:r>
      <w:r>
        <w:rPr>
          <w:rFonts w:hAnsi="宋体"/>
          <w:color w:val="auto"/>
          <w:szCs w:val="21"/>
          <w:highlight w:val="none"/>
          <w:u w:val="single"/>
        </w:rPr>
        <w:tab/>
      </w:r>
      <w:r>
        <w:rPr>
          <w:rFonts w:hint="eastAsia" w:hAnsi="宋体"/>
          <w:color w:val="auto"/>
          <w:szCs w:val="21"/>
          <w:highlight w:val="none"/>
          <w:u w:val="single"/>
        </w:rPr>
        <w:t>（法定代表人</w:t>
      </w:r>
      <w:r>
        <w:rPr>
          <w:rFonts w:hint="eastAsia" w:ascii="Arial" w:hAnsi="Arial" w:cs="Arial"/>
          <w:color w:val="auto"/>
          <w:szCs w:val="21"/>
          <w:highlight w:val="none"/>
          <w:u w:val="single"/>
        </w:rPr>
        <w:t>或营业执照中单位负责人</w:t>
      </w:r>
      <w:r>
        <w:rPr>
          <w:rFonts w:hint="eastAsia" w:hAnsi="宋体"/>
          <w:color w:val="auto"/>
          <w:szCs w:val="21"/>
          <w:highlight w:val="none"/>
          <w:u w:val="single"/>
        </w:rPr>
        <w:t>姓名）</w:t>
      </w:r>
      <w:r>
        <w:rPr>
          <w:rFonts w:hint="eastAsia" w:hAnsi="宋体"/>
          <w:color w:val="auto"/>
          <w:szCs w:val="21"/>
          <w:highlight w:val="none"/>
        </w:rPr>
        <w:t>授权</w:t>
      </w:r>
      <w:r>
        <w:rPr>
          <w:rFonts w:hint="eastAsia" w:hAnsi="宋体"/>
          <w:color w:val="auto"/>
          <w:szCs w:val="21"/>
          <w:highlight w:val="none"/>
          <w:u w:val="single"/>
        </w:rPr>
        <w:t>（授权委托代理人姓名）</w:t>
      </w:r>
      <w:r>
        <w:rPr>
          <w:rFonts w:hint="eastAsia" w:hAnsi="宋体"/>
          <w:color w:val="auto"/>
          <w:szCs w:val="21"/>
          <w:highlight w:val="none"/>
        </w:rPr>
        <w:t>为授权委托代理人，参加贵单位组织的</w:t>
      </w:r>
      <w:r>
        <w:rPr>
          <w:rFonts w:hint="eastAsia" w:hAnsi="Times New Roman"/>
          <w:color w:val="auto"/>
          <w:kern w:val="0"/>
          <w:szCs w:val="21"/>
          <w:highlight w:val="none"/>
          <w:u w:val="single"/>
          <w:lang w:eastAsia="zh-CN"/>
        </w:rPr>
        <w:t>台州金清水系流域共治实施方案项目</w:t>
      </w:r>
      <w:r>
        <w:rPr>
          <w:rFonts w:hint="eastAsia" w:hAnsi="宋体"/>
          <w:color w:val="auto"/>
          <w:szCs w:val="21"/>
          <w:highlight w:val="none"/>
        </w:rPr>
        <w:t>的采购活动，并代表我方全权办理针对上述项目的投标、开标、评标、签约等具体事务和签署相关文件。我方对授权委托代理人的签字事项负全部责任。</w:t>
      </w:r>
    </w:p>
    <w:p>
      <w:pPr>
        <w:pStyle w:val="14"/>
        <w:keepNext w:val="0"/>
        <w:keepLines w:val="0"/>
        <w:pageBreakBefore w:val="0"/>
        <w:kinsoku/>
        <w:wordWrap/>
        <w:overflowPunct/>
        <w:topLinePunct w:val="0"/>
        <w:bidi w:val="0"/>
        <w:spacing w:line="360" w:lineRule="auto"/>
        <w:ind w:left="139" w:leftChars="66" w:firstLine="420" w:firstLineChars="200"/>
        <w:outlineLvl w:val="9"/>
        <w:rPr>
          <w:rFonts w:hAnsi="宋体"/>
          <w:color w:val="auto"/>
          <w:szCs w:val="21"/>
          <w:highlight w:val="none"/>
        </w:rPr>
      </w:pPr>
      <w:r>
        <w:rPr>
          <w:rFonts w:hint="eastAsia" w:hAnsi="宋体"/>
          <w:color w:val="auto"/>
          <w:szCs w:val="21"/>
          <w:highlight w:val="none"/>
        </w:rPr>
        <w:t>在撤销授权的书面通知以前，本授权书一直有效。授权委托代理人在授权委托书有效期内签署的所有文件不因授权的撤销而失效。</w:t>
      </w:r>
    </w:p>
    <w:p>
      <w:pPr>
        <w:pStyle w:val="14"/>
        <w:keepNext w:val="0"/>
        <w:keepLines w:val="0"/>
        <w:pageBreakBefore w:val="0"/>
        <w:kinsoku/>
        <w:wordWrap/>
        <w:overflowPunct/>
        <w:topLinePunct w:val="0"/>
        <w:bidi w:val="0"/>
        <w:spacing w:line="360" w:lineRule="auto"/>
        <w:ind w:left="139" w:leftChars="66" w:firstLine="420" w:firstLineChars="200"/>
        <w:outlineLvl w:val="9"/>
        <w:rPr>
          <w:rFonts w:hAnsi="宋体"/>
          <w:color w:val="auto"/>
          <w:szCs w:val="21"/>
          <w:highlight w:val="none"/>
        </w:rPr>
      </w:pPr>
      <w:r>
        <w:rPr>
          <w:rFonts w:hint="eastAsia" w:hAnsi="宋体"/>
          <w:color w:val="auto"/>
          <w:szCs w:val="21"/>
          <w:highlight w:val="none"/>
        </w:rPr>
        <w:t>授权委托代理人无转委托权，特此委托。</w:t>
      </w:r>
    </w:p>
    <w:p>
      <w:pPr>
        <w:keepNext w:val="0"/>
        <w:keepLines w:val="0"/>
        <w:pageBreakBefore w:val="0"/>
        <w:kinsoku/>
        <w:wordWrap/>
        <w:overflowPunct/>
        <w:topLinePunct w:val="0"/>
        <w:bidi w:val="0"/>
        <w:spacing w:line="360" w:lineRule="auto"/>
        <w:outlineLvl w:val="9"/>
        <w:rPr>
          <w:color w:val="auto"/>
          <w:szCs w:val="21"/>
          <w:highlight w:val="none"/>
        </w:rPr>
      </w:pP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法定代表人签字或盖章：</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投标人全称（公章）：日期：</w:t>
      </w:r>
    </w:p>
    <w:p>
      <w:pPr>
        <w:keepNext w:val="0"/>
        <w:keepLines w:val="0"/>
        <w:pageBreakBefore w:val="0"/>
        <w:kinsoku/>
        <w:wordWrap/>
        <w:overflowPunct/>
        <w:topLinePunct w:val="0"/>
        <w:bidi w:val="0"/>
        <w:spacing w:line="360" w:lineRule="auto"/>
        <w:outlineLvl w:val="9"/>
        <w:rPr>
          <w:color w:val="auto"/>
          <w:sz w:val="24"/>
          <w:highlight w:val="none"/>
        </w:rPr>
      </w:pPr>
    </w:p>
    <w:p>
      <w:pPr>
        <w:keepNext w:val="0"/>
        <w:keepLines w:val="0"/>
        <w:pageBreakBefore w:val="0"/>
        <w:kinsoku/>
        <w:wordWrap/>
        <w:overflowPunct/>
        <w:topLinePunct w:val="0"/>
        <w:bidi w:val="0"/>
        <w:spacing w:line="360" w:lineRule="auto"/>
        <w:outlineLvl w:val="9"/>
        <w:rPr>
          <w:b/>
          <w:color w:val="auto"/>
          <w:sz w:val="24"/>
          <w:highlight w:val="none"/>
        </w:rPr>
      </w:pPr>
      <w:r>
        <w:rPr>
          <w:rFonts w:hint="eastAsia" w:ascii="宋体"/>
          <w:b/>
          <w:color w:val="auto"/>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ascii="宋体"/>
                <w:b/>
                <w:color w:val="auto"/>
                <w:sz w:val="24"/>
                <w:highlight w:val="none"/>
              </w:rPr>
            </w:pPr>
          </w:p>
          <w:p>
            <w:pPr>
              <w:keepNext w:val="0"/>
              <w:keepLines w:val="0"/>
              <w:pageBreakBefore w:val="0"/>
              <w:kinsoku/>
              <w:wordWrap/>
              <w:overflowPunct/>
              <w:topLinePunct w:val="0"/>
              <w:bidi w:val="0"/>
              <w:spacing w:line="360" w:lineRule="auto"/>
              <w:ind w:firstLine="361" w:firstLineChars="150"/>
              <w:outlineLvl w:val="9"/>
              <w:rPr>
                <w:rFonts w:ascii="宋体"/>
                <w:b/>
                <w:color w:val="auto"/>
                <w:sz w:val="24"/>
                <w:highlight w:val="none"/>
              </w:rPr>
            </w:pPr>
            <w:r>
              <w:rPr>
                <w:rFonts w:hint="eastAsia" w:ascii="宋体"/>
                <w:b/>
                <w:color w:val="auto"/>
                <w:sz w:val="24"/>
                <w:highlight w:val="none"/>
              </w:rPr>
              <w:t>法定代表身份证复印件粘帖处</w:t>
            </w:r>
          </w:p>
        </w:tc>
      </w:tr>
    </w:tbl>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法定代表人姓名：</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传真：</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color w:val="auto"/>
          <w:szCs w:val="21"/>
          <w:highlight w:val="none"/>
        </w:rPr>
        <w:t>电话：</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color w:val="auto"/>
          <w:szCs w:val="21"/>
          <w:highlight w:val="none"/>
        </w:rPr>
        <w:t>邮政编码：</w:t>
      </w:r>
    </w:p>
    <w:p>
      <w:pPr>
        <w:keepNext w:val="0"/>
        <w:keepLines w:val="0"/>
        <w:pageBreakBefore w:val="0"/>
        <w:kinsoku/>
        <w:wordWrap/>
        <w:overflowPunct/>
        <w:topLinePunct w:val="0"/>
        <w:bidi w:val="0"/>
        <w:spacing w:line="360" w:lineRule="auto"/>
        <w:outlineLvl w:val="9"/>
        <w:rPr>
          <w:b/>
          <w:color w:val="auto"/>
          <w:szCs w:val="21"/>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ascii="宋体"/>
                <w:b/>
                <w:color w:val="auto"/>
                <w:szCs w:val="21"/>
                <w:highlight w:val="none"/>
              </w:rPr>
            </w:pPr>
          </w:p>
          <w:p>
            <w:pPr>
              <w:keepNext w:val="0"/>
              <w:keepLines w:val="0"/>
              <w:pageBreakBefore w:val="0"/>
              <w:kinsoku/>
              <w:wordWrap/>
              <w:overflowPunct/>
              <w:topLinePunct w:val="0"/>
              <w:bidi w:val="0"/>
              <w:spacing w:line="360" w:lineRule="auto"/>
              <w:outlineLvl w:val="9"/>
              <w:rPr>
                <w:rFonts w:ascii="宋体"/>
                <w:b/>
                <w:color w:val="auto"/>
                <w:szCs w:val="21"/>
                <w:highlight w:val="none"/>
              </w:rPr>
            </w:pPr>
            <w:r>
              <w:rPr>
                <w:rFonts w:hint="eastAsia" w:ascii="宋体"/>
                <w:b/>
                <w:color w:val="auto"/>
                <w:szCs w:val="21"/>
                <w:highlight w:val="none"/>
              </w:rPr>
              <w:t>授权委托代理人身份证复印件粘帖处</w:t>
            </w:r>
          </w:p>
        </w:tc>
      </w:tr>
    </w:tbl>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color w:val="auto"/>
          <w:szCs w:val="21"/>
          <w:highlight w:val="none"/>
        </w:rPr>
        <w:t>授权委托代理人姓名：</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职务：</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传真：</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color w:val="auto"/>
          <w:szCs w:val="21"/>
          <w:highlight w:val="none"/>
        </w:rPr>
        <w:t>电话：</w:t>
      </w:r>
    </w:p>
    <w:p>
      <w:pPr>
        <w:keepNext w:val="0"/>
        <w:keepLines w:val="0"/>
        <w:pageBreakBefore w:val="0"/>
        <w:kinsoku/>
        <w:wordWrap/>
        <w:overflowPunct/>
        <w:topLinePunct w:val="0"/>
        <w:bidi w:val="0"/>
        <w:spacing w:line="360" w:lineRule="auto"/>
        <w:outlineLvl w:val="9"/>
        <w:rPr>
          <w:color w:val="auto"/>
          <w:szCs w:val="21"/>
          <w:highlight w:val="none"/>
        </w:rPr>
      </w:pPr>
      <w:r>
        <w:rPr>
          <w:rFonts w:hint="eastAsia" w:ascii="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color w:val="auto"/>
          <w:szCs w:val="21"/>
          <w:highlight w:val="none"/>
        </w:rPr>
        <w:t>邮政编码：</w:t>
      </w:r>
    </w:p>
    <w:p>
      <w:pPr>
        <w:keepNext w:val="0"/>
        <w:keepLines w:val="0"/>
        <w:pageBreakBefore w:val="0"/>
        <w:kinsoku/>
        <w:wordWrap/>
        <w:overflowPunct/>
        <w:topLinePunct w:val="0"/>
        <w:bidi w:val="0"/>
        <w:snapToGrid w:val="0"/>
        <w:spacing w:line="360" w:lineRule="auto"/>
        <w:outlineLvl w:val="9"/>
        <w:rPr>
          <w:rFonts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66"/>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cs="Times New Roman"/>
          <w:b/>
          <w:color w:val="auto"/>
          <w:kern w:val="2"/>
          <w:sz w:val="32"/>
          <w:szCs w:val="32"/>
          <w:highlight w:val="none"/>
          <w:lang w:val="en-US" w:eastAsia="zh-CN" w:bidi="ar-SA"/>
        </w:rPr>
        <w:t>政府采购活动</w:t>
      </w:r>
      <w:r>
        <w:rPr>
          <w:rFonts w:hint="eastAsia" w:ascii="Times New Roman" w:hAnsi="Times New Roman" w:eastAsia="宋体" w:cs="Times New Roman"/>
          <w:b/>
          <w:color w:val="auto"/>
          <w:kern w:val="2"/>
          <w:sz w:val="32"/>
          <w:szCs w:val="32"/>
          <w:highlight w:val="none"/>
          <w:lang w:val="en-US" w:eastAsia="zh-CN" w:bidi="ar-SA"/>
        </w:rPr>
        <w:t>现场确认声明书</w:t>
      </w:r>
    </w:p>
    <w:p>
      <w:pPr>
        <w:pStyle w:val="6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hAnsi="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pPr>
        <w:pStyle w:val="6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Times New Roman"/>
          <w:color w:val="auto"/>
          <w:kern w:val="0"/>
          <w:sz w:val="21"/>
          <w:szCs w:val="21"/>
          <w:highlight w:val="none"/>
          <w:u w:val="single"/>
          <w:lang w:eastAsia="zh-CN"/>
        </w:rPr>
        <w:t>台州金清水系流域共治实施方案项目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zjhy2022-tz25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6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4</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p>
    <w:p>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地    址：</w:t>
      </w:r>
    </w:p>
    <w:p>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时    间：</w:t>
      </w:r>
    </w:p>
    <w:p>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p>
    <w:p>
      <w:pPr>
        <w:keepNext w:val="0"/>
        <w:keepLines w:val="0"/>
        <w:pageBreakBefore w:val="0"/>
        <w:kinsoku/>
        <w:wordWrap/>
        <w:overflowPunct/>
        <w:topLinePunct w:val="0"/>
        <w:bidi w:val="0"/>
        <w:snapToGrid w:val="0"/>
        <w:spacing w:before="50" w:after="50" w:line="360" w:lineRule="auto"/>
        <w:jc w:val="center"/>
        <w:outlineLvl w:val="9"/>
        <w:rPr>
          <w:rFonts w:ascii="宋体" w:hAnsi="宋体"/>
          <w:b/>
          <w:bCs/>
          <w:color w:val="auto"/>
          <w:sz w:val="32"/>
          <w:szCs w:val="32"/>
          <w:highlight w:val="none"/>
          <w:lang w:val="zh-CN"/>
        </w:rPr>
      </w:pPr>
    </w:p>
    <w:p>
      <w:pPr>
        <w:keepNext w:val="0"/>
        <w:keepLines w:val="0"/>
        <w:pageBreakBefore w:val="0"/>
        <w:kinsoku/>
        <w:wordWrap/>
        <w:overflowPunct/>
        <w:topLinePunct w:val="0"/>
        <w:bidi w:val="0"/>
        <w:snapToGrid w:val="0"/>
        <w:spacing w:before="50" w:after="50" w:line="360" w:lineRule="auto"/>
        <w:outlineLvl w:val="9"/>
        <w:rPr>
          <w:rFonts w:ascii="宋体" w:hAnsi="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keepNext w:val="0"/>
        <w:keepLines w:val="0"/>
        <w:pageBreakBefore w:val="0"/>
        <w:kinsoku/>
        <w:wordWrap/>
        <w:overflowPunct/>
        <w:topLinePunct w:val="0"/>
        <w:bidi w:val="0"/>
        <w:snapToGrid w:val="0"/>
        <w:spacing w:line="360" w:lineRule="auto"/>
        <w:ind w:firstLine="482" w:firstLineChars="200"/>
        <w:outlineLvl w:val="9"/>
        <w:rPr>
          <w:rFonts w:ascii="宋体" w:hAnsi="宋体"/>
          <w:b/>
          <w:bCs/>
          <w:color w:val="auto"/>
          <w:sz w:val="24"/>
          <w:highlight w:val="none"/>
        </w:rPr>
      </w:pPr>
    </w:p>
    <w:p>
      <w:pPr>
        <w:keepNext w:val="0"/>
        <w:keepLines w:val="0"/>
        <w:pageBreakBefore w:val="0"/>
        <w:numPr>
          <w:ilvl w:val="0"/>
          <w:numId w:val="3"/>
        </w:numPr>
        <w:kinsoku/>
        <w:wordWrap/>
        <w:overflowPunct/>
        <w:topLinePunct w:val="0"/>
        <w:bidi w:val="0"/>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rPr>
        <w:t>评标索引</w:t>
      </w:r>
    </w:p>
    <w:p>
      <w:pPr>
        <w:pStyle w:val="4"/>
        <w:keepNext w:val="0"/>
        <w:keepLines w:val="0"/>
        <w:pageBreakBefore w:val="0"/>
        <w:kinsoku/>
        <w:wordWrap/>
        <w:overflowPunct/>
        <w:topLinePunct w:val="0"/>
        <w:bidi w:val="0"/>
        <w:outlineLvl w:val="9"/>
        <w:rPr>
          <w:color w:val="auto"/>
          <w:highlight w:val="none"/>
        </w:rPr>
      </w:pPr>
      <w:r>
        <w:rPr>
          <w:rFonts w:hint="eastAsia"/>
          <w:color w:val="auto"/>
          <w:highlight w:val="none"/>
        </w:rPr>
        <w:t xml:space="preserve">      评标索引：自评表（附件</w:t>
      </w:r>
      <w:r>
        <w:rPr>
          <w:rFonts w:hint="eastAsia"/>
          <w:color w:val="auto"/>
          <w:highlight w:val="none"/>
          <w:lang w:val="en-US" w:eastAsia="zh-CN"/>
        </w:rPr>
        <w:t>5</w:t>
      </w:r>
      <w:r>
        <w:rPr>
          <w:rFonts w:hint="eastAsia"/>
          <w:color w:val="auto"/>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 技术方案描述部分</w:t>
      </w:r>
    </w:p>
    <w:p>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投标人情况介绍</w:t>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项目需求的理解与分析</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项目组织实施方案</w:t>
      </w:r>
      <w:r>
        <w:rPr>
          <w:rFonts w:ascii="宋体" w:hAnsi="宋体"/>
          <w:color w:val="auto"/>
          <w:szCs w:val="21"/>
          <w:highlight w:val="none"/>
        </w:rPr>
        <w:t xml:space="preserve">； </w:t>
      </w:r>
    </w:p>
    <w:p>
      <w:pPr>
        <w:keepNext w:val="0"/>
        <w:keepLines w:val="0"/>
        <w:pageBreakBefore w:val="0"/>
        <w:kinsoku/>
        <w:wordWrap/>
        <w:overflowPunct/>
        <w:topLinePunct w:val="0"/>
        <w:bidi w:val="0"/>
        <w:snapToGrid w:val="0"/>
        <w:spacing w:line="360" w:lineRule="auto"/>
        <w:ind w:firstLine="411" w:firstLineChars="196"/>
        <w:outlineLvl w:val="9"/>
        <w:rPr>
          <w:rFonts w:ascii="宋体" w:hAnsi="宋体"/>
          <w:color w:val="auto"/>
          <w:szCs w:val="21"/>
          <w:highlight w:val="none"/>
        </w:rPr>
      </w:pPr>
      <w:r>
        <w:rPr>
          <w:rFonts w:hint="eastAsia" w:ascii="宋体" w:hAnsi="宋体"/>
          <w:color w:val="auto"/>
          <w:szCs w:val="21"/>
          <w:highlight w:val="none"/>
        </w:rPr>
        <w:t>4、项目实施人员一览表（附件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hAnsi="宋体"/>
          <w:color w:val="auto"/>
          <w:szCs w:val="21"/>
          <w:highlight w:val="none"/>
        </w:rPr>
      </w:pPr>
      <w:r>
        <w:rPr>
          <w:rFonts w:hint="eastAsia" w:ascii="宋体" w:hAnsi="宋体"/>
          <w:color w:val="auto"/>
          <w:szCs w:val="21"/>
          <w:highlight w:val="none"/>
        </w:rPr>
        <w:t>5、项目负责人资格情况表(附件</w:t>
      </w:r>
      <w:r>
        <w:rPr>
          <w:rFonts w:hint="eastAsia" w:ascii="宋体" w:hAnsi="宋体"/>
          <w:color w:val="auto"/>
          <w:szCs w:val="21"/>
          <w:highlight w:val="none"/>
          <w:lang w:val="en-US" w:eastAsia="zh-CN"/>
        </w:rPr>
        <w:t>8</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ascii="宋体"/>
          <w:b/>
          <w:bCs/>
          <w:color w:val="auto"/>
          <w:szCs w:val="21"/>
          <w:highlight w:val="none"/>
        </w:rPr>
      </w:pP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、投标描述部分</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、投标描述及相关资料；</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hint="eastAsia" w:ascii="宋体" w:hAnsi="宋体"/>
          <w:color w:val="auto"/>
          <w:szCs w:val="21"/>
          <w:highlight w:val="none"/>
        </w:rPr>
        <w:t>2、技术需求响应表（</w:t>
      </w: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9</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hint="eastAsia" w:ascii="宋体" w:hAnsi="宋体"/>
          <w:color w:val="auto"/>
          <w:szCs w:val="21"/>
          <w:highlight w:val="none"/>
        </w:rPr>
        <w:t>3、投标人需要说明的其他内容；（</w:t>
      </w:r>
      <w:r>
        <w:rPr>
          <w:rFonts w:hint="eastAsia" w:ascii="宋体" w:hAnsi="宋体" w:cs="宋体"/>
          <w:color w:val="auto"/>
          <w:szCs w:val="21"/>
          <w:highlight w:val="none"/>
        </w:rPr>
        <w:t>包括可能影响投标人技术性能评分项的各类证明材料）</w:t>
      </w:r>
    </w:p>
    <w:p>
      <w:pPr>
        <w:keepNext w:val="0"/>
        <w:keepLines w:val="0"/>
        <w:pageBreakBefore w:val="0"/>
        <w:kinsoku/>
        <w:wordWrap/>
        <w:overflowPunct/>
        <w:topLinePunct w:val="0"/>
        <w:bidi w:val="0"/>
        <w:snapToGrid w:val="0"/>
        <w:spacing w:line="360" w:lineRule="auto"/>
        <w:ind w:firstLine="413" w:firstLineChars="196"/>
        <w:outlineLvl w:val="9"/>
        <w:rPr>
          <w:rFonts w:ascii="宋体"/>
          <w:b/>
          <w:bCs/>
          <w:color w:val="auto"/>
          <w:szCs w:val="21"/>
          <w:highlight w:val="none"/>
        </w:rPr>
      </w:pP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、商务响应部分</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、投标人的企业证书一览表（附件1</w:t>
      </w:r>
      <w:r>
        <w:rPr>
          <w:rFonts w:hint="eastAsia" w:ascii="宋体" w:hAnsi="宋体"/>
          <w:color w:val="auto"/>
          <w:szCs w:val="21"/>
          <w:highlight w:val="none"/>
          <w:lang w:val="en-US" w:eastAsia="zh-CN"/>
        </w:rPr>
        <w:t>0</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、类似项目的成功案例（附件1</w:t>
      </w:r>
      <w:r>
        <w:rPr>
          <w:rFonts w:hint="eastAsia" w:ascii="宋体" w:hAnsi="宋体"/>
          <w:color w:val="auto"/>
          <w:szCs w:val="21"/>
          <w:highlight w:val="none"/>
          <w:lang w:val="en-US" w:eastAsia="zh-CN"/>
        </w:rPr>
        <w:t>1</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、资信及商务需求响应表（附件</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、售后服务情况表（附件</w:t>
      </w:r>
      <w:r>
        <w:rPr>
          <w:rFonts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、投标人需要说明的其他内容。（包括可能影响投标人企业实力及信誉评分项以及售后服务评分项的各类证明材料）</w:t>
      </w:r>
    </w:p>
    <w:p>
      <w:pPr>
        <w:keepNext w:val="0"/>
        <w:keepLines w:val="0"/>
        <w:pageBreakBefore w:val="0"/>
        <w:kinsoku/>
        <w:wordWrap/>
        <w:overflowPunct/>
        <w:topLinePunct w:val="0"/>
        <w:bidi w:val="0"/>
        <w:snapToGrid w:val="0"/>
        <w:spacing w:before="50" w:after="50" w:line="360" w:lineRule="auto"/>
        <w:outlineLvl w:val="9"/>
        <w:rPr>
          <w:rFonts w:ascii="仿宋_GB2312" w:hAnsi="宋体" w:eastAsia="仿宋_GB2312"/>
          <w:b/>
          <w:color w:val="auto"/>
          <w:sz w:val="36"/>
          <w:szCs w:val="36"/>
          <w:highlight w:val="none"/>
        </w:rPr>
      </w:pPr>
    </w:p>
    <w:p>
      <w:pPr>
        <w:pStyle w:val="21"/>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outlineLvl w:val="9"/>
        <w:rPr>
          <w:color w:val="auto"/>
          <w:highlight w:val="none"/>
        </w:rPr>
      </w:pPr>
    </w:p>
    <w:p>
      <w:pPr>
        <w:pStyle w:val="21"/>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outlineLvl w:val="9"/>
        <w:rPr>
          <w:color w:val="auto"/>
          <w:highlight w:val="none"/>
        </w:rPr>
      </w:pPr>
    </w:p>
    <w:p>
      <w:pPr>
        <w:pStyle w:val="21"/>
        <w:keepNext w:val="0"/>
        <w:keepLines w:val="0"/>
        <w:pageBreakBefore w:val="0"/>
        <w:kinsoku/>
        <w:wordWrap/>
        <w:overflowPunct/>
        <w:topLinePunct w:val="0"/>
        <w:bidi w:val="0"/>
        <w:outlineLvl w:val="9"/>
        <w:rPr>
          <w:color w:val="auto"/>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5</w:t>
      </w:r>
    </w:p>
    <w:p>
      <w:pPr>
        <w:keepNext w:val="0"/>
        <w:keepLines w:val="0"/>
        <w:pageBreakBefore w:val="0"/>
        <w:kinsoku/>
        <w:wordWrap/>
        <w:overflowPunct/>
        <w:topLinePunct w:val="0"/>
        <w:bidi w:val="0"/>
        <w:spacing w:line="360" w:lineRule="auto"/>
        <w:jc w:val="center"/>
        <w:outlineLvl w:val="9"/>
        <w:rPr>
          <w:rFonts w:hint="eastAsia" w:ascii="宋体" w:hAnsi="宋体"/>
          <w:b/>
          <w:color w:val="auto"/>
          <w:szCs w:val="21"/>
          <w:highlight w:val="none"/>
        </w:rPr>
      </w:pPr>
      <w:r>
        <w:rPr>
          <w:rFonts w:hint="eastAsia" w:ascii="宋体" w:hAnsi="宋体"/>
          <w:b/>
          <w:color w:val="auto"/>
          <w:szCs w:val="21"/>
          <w:highlight w:val="none"/>
        </w:rPr>
        <w:t>评标索引：自评表</w:t>
      </w:r>
    </w:p>
    <w:tbl>
      <w:tblPr>
        <w:tblStyle w:val="24"/>
        <w:tblW w:w="10339" w:type="dxa"/>
        <w:jc w:val="center"/>
        <w:tblLayout w:type="fixed"/>
        <w:tblCellMar>
          <w:top w:w="15" w:type="dxa"/>
          <w:left w:w="15" w:type="dxa"/>
          <w:bottom w:w="15" w:type="dxa"/>
          <w:right w:w="15" w:type="dxa"/>
        </w:tblCellMar>
      </w:tblPr>
      <w:tblGrid>
        <w:gridCol w:w="858"/>
        <w:gridCol w:w="1013"/>
        <w:gridCol w:w="6590"/>
        <w:gridCol w:w="589"/>
        <w:gridCol w:w="636"/>
        <w:gridCol w:w="653"/>
      </w:tblGrid>
      <w:tr>
        <w:tblPrEx>
          <w:tblCellMar>
            <w:top w:w="15" w:type="dxa"/>
            <w:left w:w="15" w:type="dxa"/>
            <w:bottom w:w="15" w:type="dxa"/>
            <w:right w:w="15" w:type="dxa"/>
          </w:tblCellMar>
        </w:tblPrEx>
        <w:trPr>
          <w:trHeight w:val="608" w:hRule="atLeast"/>
          <w:jc w:val="center"/>
        </w:trPr>
        <w:tc>
          <w:tcPr>
            <w:tcW w:w="18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b/>
                <w:bCs/>
                <w:color w:val="auto"/>
                <w:spacing w:val="2"/>
                <w:szCs w:val="21"/>
                <w:highlight w:val="none"/>
              </w:rPr>
            </w:pPr>
            <w:r>
              <w:rPr>
                <w:rFonts w:hint="eastAsia" w:ascii="宋体" w:hAnsi="宋体" w:cstheme="minorBidi"/>
                <w:b/>
                <w:bCs/>
                <w:color w:val="auto"/>
                <w:spacing w:val="2"/>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b/>
                <w:bCs/>
                <w:color w:val="auto"/>
                <w:spacing w:val="2"/>
                <w:szCs w:val="21"/>
                <w:highlight w:val="none"/>
              </w:rPr>
            </w:pPr>
            <w:r>
              <w:rPr>
                <w:rFonts w:hint="eastAsia" w:ascii="宋体" w:hAnsi="宋体" w:cstheme="minorBidi"/>
                <w:b/>
                <w:bCs/>
                <w:color w:val="auto"/>
                <w:spacing w:val="2"/>
                <w:szCs w:val="21"/>
                <w:highlight w:val="none"/>
              </w:rPr>
              <w:t>评分标准</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b/>
                <w:bCs/>
                <w:color w:val="auto"/>
                <w:spacing w:val="2"/>
                <w:szCs w:val="21"/>
                <w:highlight w:val="none"/>
              </w:rPr>
            </w:pPr>
            <w:r>
              <w:rPr>
                <w:rFonts w:hint="eastAsia" w:ascii="宋体" w:hAnsi="宋体" w:cstheme="minorBidi"/>
                <w:b/>
                <w:bCs/>
                <w:color w:val="auto"/>
                <w:spacing w:val="2"/>
                <w:szCs w:val="21"/>
                <w:highlight w:val="none"/>
              </w:rPr>
              <w:t>分值</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b/>
                <w:bCs/>
                <w:color w:val="auto"/>
                <w:spacing w:val="2"/>
                <w:szCs w:val="21"/>
                <w:highlight w:val="none"/>
                <w:lang w:val="en-US" w:eastAsia="zh-CN"/>
              </w:rPr>
            </w:pPr>
            <w:r>
              <w:rPr>
                <w:rFonts w:hint="eastAsia" w:ascii="宋体" w:hAnsi="宋体" w:cstheme="minorBidi"/>
                <w:b/>
                <w:bCs/>
                <w:color w:val="auto"/>
                <w:spacing w:val="2"/>
                <w:szCs w:val="21"/>
                <w:highlight w:val="none"/>
                <w:lang w:val="en-US" w:eastAsia="zh-CN"/>
              </w:rPr>
              <w:t>对应页码</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b/>
                <w:bCs/>
                <w:color w:val="auto"/>
                <w:spacing w:val="2"/>
                <w:szCs w:val="21"/>
                <w:highlight w:val="none"/>
                <w:lang w:val="en-US" w:eastAsia="zh-CN"/>
              </w:rPr>
            </w:pPr>
            <w:r>
              <w:rPr>
                <w:rFonts w:hint="eastAsia" w:ascii="宋体" w:hAnsi="宋体" w:cstheme="minorBidi"/>
                <w:b/>
                <w:bCs/>
                <w:color w:val="auto"/>
                <w:spacing w:val="2"/>
                <w:szCs w:val="21"/>
                <w:highlight w:val="none"/>
                <w:lang w:val="en-US" w:eastAsia="zh-CN"/>
              </w:rPr>
              <w:t>自评分</w:t>
            </w:r>
          </w:p>
        </w:tc>
      </w:tr>
      <w:tr>
        <w:tblPrEx>
          <w:tblCellMar>
            <w:top w:w="15" w:type="dxa"/>
            <w:left w:w="15" w:type="dxa"/>
            <w:bottom w:w="15" w:type="dxa"/>
            <w:right w:w="15" w:type="dxa"/>
          </w:tblCellMar>
        </w:tblPrEx>
        <w:trPr>
          <w:trHeight w:val="90" w:hRule="atLeast"/>
          <w:jc w:val="center"/>
        </w:trPr>
        <w:tc>
          <w:tcPr>
            <w:tcW w:w="858"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pPr>
              <w:jc w:val="cente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r>
              <w:rPr>
                <w:rFonts w:hint="eastAsia"/>
                <w:color w:val="auto"/>
                <w:highlight w:val="none"/>
              </w:rPr>
              <w:t>）</w:t>
            </w:r>
          </w:p>
        </w:tc>
        <w:tc>
          <w:tcPr>
            <w:tcW w:w="1013"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企业情况</w:t>
            </w:r>
          </w:p>
        </w:tc>
        <w:tc>
          <w:tcPr>
            <w:tcW w:w="6590" w:type="dxa"/>
            <w:tcBorders>
              <w:top w:val="single" w:color="auto" w:sz="4" w:space="0"/>
              <w:left w:val="single" w:color="auto" w:sz="4" w:space="0"/>
              <w:bottom w:val="single" w:color="auto" w:sz="4" w:space="0"/>
              <w:right w:val="single" w:color="auto" w:sz="4" w:space="0"/>
            </w:tcBorders>
            <w:vAlign w:val="center"/>
          </w:tcPr>
          <w:p>
            <w:pPr>
              <w:pStyle w:val="4"/>
              <w:spacing w:after="0" w:line="360" w:lineRule="exact"/>
              <w:rPr>
                <w:rFonts w:ascii="宋体" w:hAnsi="宋体" w:cs="宋体"/>
                <w:bCs/>
                <w:color w:val="auto"/>
                <w:szCs w:val="21"/>
                <w:highlight w:val="none"/>
              </w:rPr>
            </w:pPr>
            <w:r>
              <w:rPr>
                <w:rFonts w:hint="eastAsia" w:ascii="宋体" w:hAnsi="宋体" w:cs="宋体"/>
                <w:color w:val="auto"/>
                <w:szCs w:val="21"/>
                <w:highlight w:val="none"/>
              </w:rPr>
              <w:t>投标人具有有效的质量管理体系认证、环境管理体系认证、职业健康安全管理体系认证</w:t>
            </w:r>
            <w:r>
              <w:rPr>
                <w:rFonts w:hint="eastAsia" w:ascii="宋体" w:hAnsi="宋体" w:cs="宋体"/>
                <w:color w:val="auto"/>
                <w:szCs w:val="21"/>
                <w:highlight w:val="none"/>
              </w:rPr>
              <w:t>证书的</w:t>
            </w:r>
            <w:r>
              <w:rPr>
                <w:rFonts w:hint="eastAsia" w:ascii="宋体" w:hAnsi="宋体" w:cs="宋体"/>
                <w:color w:val="auto"/>
                <w:szCs w:val="21"/>
                <w:highlight w:val="none"/>
              </w:rPr>
              <w:t>得</w:t>
            </w:r>
            <w:r>
              <w:rPr>
                <w:rFonts w:hint="eastAsia" w:ascii="宋体" w:hAnsi="宋体" w:cstheme="minorBidi"/>
                <w:color w:val="auto"/>
                <w:spacing w:val="2"/>
                <w:szCs w:val="21"/>
                <w:highlight w:val="none"/>
              </w:rPr>
              <w:t>1分</w:t>
            </w:r>
            <w:r>
              <w:rPr>
                <w:rFonts w:hint="eastAsia" w:ascii="宋体" w:hAnsi="宋体" w:cs="宋体"/>
                <w:color w:val="auto"/>
                <w:szCs w:val="21"/>
                <w:highlight w:val="none"/>
              </w:rPr>
              <w:t>，</w:t>
            </w:r>
            <w:r>
              <w:rPr>
                <w:rFonts w:hint="eastAsia" w:ascii="宋体" w:hAnsi="宋体" w:cstheme="minorBidi"/>
                <w:color w:val="auto"/>
                <w:spacing w:val="2"/>
                <w:szCs w:val="21"/>
                <w:highlight w:val="none"/>
              </w:rPr>
              <w:t>每少一个扣0.5分，扣完</w:t>
            </w:r>
            <w:r>
              <w:rPr>
                <w:rFonts w:hint="eastAsia" w:ascii="宋体" w:hAnsi="宋体" w:cs="宋体"/>
                <w:color w:val="auto"/>
                <w:szCs w:val="21"/>
                <w:highlight w:val="none"/>
              </w:rPr>
              <w:t>为止。</w:t>
            </w:r>
            <w:r>
              <w:rPr>
                <w:rFonts w:hint="eastAsia" w:ascii="宋体" w:hAnsi="宋体" w:cs="宋体"/>
                <w:b/>
                <w:bCs/>
                <w:color w:val="auto"/>
                <w:szCs w:val="21"/>
                <w:highlight w:val="none"/>
              </w:rPr>
              <w:t>（提供相关证书扫描件并加盖投标人公章编入投标文件中，未提供不得分）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94" w:hRule="atLeast"/>
          <w:jc w:val="center"/>
        </w:trPr>
        <w:tc>
          <w:tcPr>
            <w:tcW w:w="858"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stheme="minorBidi"/>
                <w:snapToGrid w:val="0"/>
                <w:color w:val="auto"/>
                <w:szCs w:val="21"/>
                <w:highlight w:val="none"/>
              </w:rPr>
            </w:pPr>
            <w:r>
              <w:rPr>
                <w:rFonts w:hint="eastAsia" w:hAnsi="宋体" w:cs="宋体"/>
                <w:color w:val="auto"/>
                <w:highlight w:val="none"/>
              </w:rPr>
              <w:t>投标</w:t>
            </w:r>
            <w:r>
              <w:rPr>
                <w:rFonts w:hint="eastAsia" w:ascii="宋体" w:hAnsi="宋体" w:cstheme="minorBidi"/>
                <w:color w:val="auto"/>
                <w:spacing w:val="2"/>
                <w:szCs w:val="21"/>
                <w:highlight w:val="none"/>
              </w:rPr>
              <w:t>人自2015年1月1日以</w:t>
            </w:r>
            <w:r>
              <w:rPr>
                <w:rFonts w:hint="eastAsia" w:hAnsi="宋体" w:cs="宋体"/>
                <w:color w:val="auto"/>
                <w:highlight w:val="none"/>
              </w:rPr>
              <w:t>来（以证书或奖牌上的时间为准），获得生态环境类</w:t>
            </w:r>
            <w:r>
              <w:rPr>
                <w:rFonts w:hint="eastAsia" w:hAnsi="宋体" w:cs="宋体"/>
                <w:color w:val="auto"/>
                <w:highlight w:val="none"/>
              </w:rPr>
              <w:t>国家级奖项</w:t>
            </w:r>
            <w:r>
              <w:rPr>
                <w:rFonts w:hint="eastAsia" w:hAnsi="宋体" w:cs="宋体"/>
                <w:color w:val="auto"/>
                <w:highlight w:val="none"/>
              </w:rPr>
              <w:t>，</w:t>
            </w:r>
            <w:r>
              <w:rPr>
                <w:rFonts w:hint="eastAsia" w:ascii="宋体" w:hAnsi="宋体" w:cstheme="minorBidi"/>
                <w:color w:val="auto"/>
                <w:spacing w:val="2"/>
                <w:szCs w:val="21"/>
                <w:highlight w:val="none"/>
              </w:rPr>
              <w:t>每项得2分</w:t>
            </w:r>
            <w:r>
              <w:rPr>
                <w:rFonts w:hint="eastAsia" w:hAnsi="宋体" w:cs="宋体"/>
                <w:color w:val="auto"/>
                <w:highlight w:val="none"/>
              </w:rPr>
              <w:t>；获得</w:t>
            </w:r>
            <w:r>
              <w:rPr>
                <w:rFonts w:hint="eastAsia" w:hAnsi="宋体" w:cs="宋体"/>
                <w:color w:val="auto"/>
                <w:highlight w:val="none"/>
              </w:rPr>
              <w:t>生态环境类</w:t>
            </w:r>
            <w:r>
              <w:rPr>
                <w:rFonts w:hint="eastAsia" w:hAnsi="宋体" w:cs="宋体"/>
                <w:color w:val="auto"/>
                <w:highlight w:val="none"/>
              </w:rPr>
              <w:t>省、部级奖项，每项</w:t>
            </w:r>
            <w:r>
              <w:rPr>
                <w:rFonts w:hint="eastAsia" w:ascii="宋体" w:hAnsi="宋体" w:cstheme="minorBidi"/>
                <w:color w:val="auto"/>
                <w:spacing w:val="2"/>
                <w:szCs w:val="21"/>
                <w:highlight w:val="none"/>
              </w:rPr>
              <w:t>得0.5分，最多得5分。</w:t>
            </w:r>
            <w:r>
              <w:rPr>
                <w:rFonts w:hint="eastAsia" w:ascii="宋体" w:hAnsi="宋体" w:cs="宋体"/>
                <w:b/>
                <w:bCs/>
                <w:color w:val="auto"/>
                <w:szCs w:val="21"/>
                <w:highlight w:val="none"/>
              </w:rPr>
              <w:t>（提供相关证明材料扫描件并加盖投标人公章编入投标文件中，未提供不得分）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heme="minorBidi"/>
                <w:snapToGrid w:val="0"/>
                <w:color w:val="auto"/>
                <w:szCs w:val="21"/>
                <w:highlight w:val="none"/>
                <w:lang w:eastAsia="zh-CN"/>
              </w:rPr>
            </w:pPr>
            <w:r>
              <w:rPr>
                <w:rFonts w:hint="eastAsia" w:ascii="宋体" w:hAnsi="宋体" w:cstheme="minorBidi"/>
                <w:color w:val="auto"/>
                <w:spacing w:val="2"/>
                <w:szCs w:val="21"/>
                <w:highlight w:val="none"/>
                <w:lang w:val="en-US" w:eastAsia="zh-CN"/>
              </w:rPr>
              <w:t>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r>
      <w:tr>
        <w:tblPrEx>
          <w:tblCellMar>
            <w:top w:w="15" w:type="dxa"/>
            <w:left w:w="15" w:type="dxa"/>
            <w:bottom w:w="15" w:type="dxa"/>
            <w:right w:w="15" w:type="dxa"/>
          </w:tblCellMar>
        </w:tblPrEx>
        <w:trPr>
          <w:trHeight w:val="94" w:hRule="atLeast"/>
          <w:jc w:val="center"/>
        </w:trPr>
        <w:tc>
          <w:tcPr>
            <w:tcW w:w="858"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hint="eastAsia" w:hAnsi="宋体" w:eastAsia="宋体" w:cs="宋体"/>
                <w:color w:val="auto"/>
                <w:highlight w:val="none"/>
                <w:lang w:eastAsia="zh-CN"/>
              </w:rPr>
            </w:pPr>
            <w:r>
              <w:rPr>
                <w:rFonts w:hint="eastAsia" w:ascii="宋体" w:hAnsi="宋体" w:cstheme="minorBidi"/>
                <w:color w:val="auto"/>
                <w:spacing w:val="2"/>
                <w:szCs w:val="21"/>
                <w:highlight w:val="none"/>
              </w:rPr>
              <w:t>投标人具有水生态环境治理、保护、管理相关的软件著作权的，每提供一项得0.2分，最多得2分。</w:t>
            </w:r>
            <w:r>
              <w:rPr>
                <w:rFonts w:hint="eastAsia" w:ascii="宋体" w:hAnsi="宋体" w:cs="宋体"/>
                <w:b/>
                <w:bCs/>
                <w:color w:val="auto"/>
                <w:szCs w:val="21"/>
                <w:highlight w:val="none"/>
              </w:rPr>
              <w:t>（提供相关证明材料扫描件并加盖投标人公章编入投标文件中，未提供不得分）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lang w:val="en-US" w:eastAsia="zh-CN"/>
              </w:rPr>
              <w:t>2</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r>
      <w:tr>
        <w:tblPrEx>
          <w:tblCellMar>
            <w:top w:w="15" w:type="dxa"/>
            <w:left w:w="15" w:type="dxa"/>
            <w:bottom w:w="15" w:type="dxa"/>
            <w:right w:w="15" w:type="dxa"/>
          </w:tblCellMar>
        </w:tblPrEx>
        <w:trPr>
          <w:trHeight w:val="94" w:hRule="atLeast"/>
          <w:jc w:val="center"/>
        </w:trPr>
        <w:tc>
          <w:tcPr>
            <w:tcW w:w="858" w:type="dxa"/>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013"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企业咨信</w:t>
            </w:r>
          </w:p>
        </w:tc>
        <w:tc>
          <w:tcPr>
            <w:tcW w:w="659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rPr>
              <w:t>投标人具有工程咨询甲级资信证书（</w:t>
            </w:r>
            <w:r>
              <w:rPr>
                <w:rFonts w:hint="eastAsia" w:ascii="宋体" w:hAnsi="宋体" w:cstheme="minorBidi"/>
                <w:color w:val="auto"/>
                <w:spacing w:val="2"/>
                <w:szCs w:val="21"/>
                <w:highlight w:val="none"/>
              </w:rPr>
              <w:t>业务范围包括</w:t>
            </w:r>
            <w:r>
              <w:rPr>
                <w:rFonts w:hint="eastAsia" w:ascii="宋体" w:hAnsi="宋体" w:cstheme="minorBidi"/>
                <w:color w:val="auto"/>
                <w:spacing w:val="2"/>
                <w:szCs w:val="21"/>
                <w:highlight w:val="none"/>
              </w:rPr>
              <w:t>生态建设和环境工程）且同时具有</w:t>
            </w:r>
            <w:r>
              <w:rPr>
                <w:rFonts w:hint="eastAsia" w:ascii="宋体" w:hAnsi="宋体" w:cstheme="minorBidi"/>
                <w:color w:val="auto"/>
                <w:spacing w:val="2"/>
                <w:szCs w:val="21"/>
                <w:highlight w:val="none"/>
              </w:rPr>
              <w:t>检验检测机构资质认定证书</w:t>
            </w:r>
            <w:r>
              <w:rPr>
                <w:rFonts w:hint="eastAsia" w:ascii="宋体" w:hAnsi="宋体" w:cstheme="minorBidi"/>
                <w:color w:val="auto"/>
                <w:spacing w:val="2"/>
                <w:szCs w:val="21"/>
                <w:highlight w:val="none"/>
              </w:rPr>
              <w:t>的得2分；具有工程咨询乙级资信证书（</w:t>
            </w:r>
            <w:r>
              <w:rPr>
                <w:rFonts w:hint="eastAsia" w:ascii="宋体" w:hAnsi="宋体" w:cstheme="minorBidi"/>
                <w:color w:val="auto"/>
                <w:spacing w:val="2"/>
                <w:szCs w:val="21"/>
                <w:highlight w:val="none"/>
              </w:rPr>
              <w:t>业务范围包括</w:t>
            </w:r>
            <w:r>
              <w:rPr>
                <w:rFonts w:hint="eastAsia" w:ascii="宋体" w:hAnsi="宋体" w:cstheme="minorBidi"/>
                <w:color w:val="auto"/>
                <w:spacing w:val="2"/>
                <w:szCs w:val="21"/>
                <w:highlight w:val="none"/>
              </w:rPr>
              <w:t>生态建设和环境工程）且同时具有</w:t>
            </w:r>
            <w:r>
              <w:rPr>
                <w:rFonts w:hint="eastAsia" w:ascii="宋体" w:hAnsi="宋体" w:cstheme="minorBidi"/>
                <w:color w:val="auto"/>
                <w:spacing w:val="2"/>
                <w:szCs w:val="21"/>
                <w:highlight w:val="none"/>
              </w:rPr>
              <w:t>检验检测机构资质认定证书</w:t>
            </w:r>
            <w:r>
              <w:rPr>
                <w:rFonts w:hint="eastAsia" w:ascii="宋体" w:hAnsi="宋体" w:cstheme="minorBidi"/>
                <w:color w:val="auto"/>
                <w:spacing w:val="2"/>
                <w:szCs w:val="21"/>
                <w:highlight w:val="none"/>
              </w:rPr>
              <w:t>的得1分，其他不得分。</w:t>
            </w:r>
            <w:r>
              <w:rPr>
                <w:rFonts w:hint="eastAsia" w:ascii="宋体" w:hAnsi="宋体" w:cs="宋体"/>
                <w:b/>
                <w:bCs/>
                <w:color w:val="auto"/>
                <w:szCs w:val="21"/>
                <w:highlight w:val="none"/>
              </w:rPr>
              <w:t>（提供相关证书扫描件并加盖投标人公章编入投标文件中，未提供不得分）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theme="minorBidi"/>
                <w:color w:val="auto"/>
                <w:spacing w:val="2"/>
                <w:szCs w:val="21"/>
                <w:highlight w:val="none"/>
                <w:lang w:val="en-US" w:eastAsia="zh-CN"/>
              </w:rPr>
            </w:pPr>
            <w:r>
              <w:rPr>
                <w:rFonts w:hint="eastAsia" w:ascii="宋体" w:hAnsi="宋体" w:cstheme="minorBidi"/>
                <w:color w:val="auto"/>
                <w:spacing w:val="2"/>
                <w:szCs w:val="21"/>
                <w:highlight w:val="none"/>
                <w:lang w:val="en-US" w:eastAsia="zh-CN"/>
              </w:rPr>
              <w:t>2</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heme="minorBidi"/>
                <w:color w:val="auto"/>
                <w:spacing w:val="2"/>
                <w:szCs w:val="21"/>
                <w:highlight w:val="none"/>
                <w:lang w:val="en-US" w:eastAsia="zh-CN"/>
              </w:rPr>
            </w:pPr>
          </w:p>
        </w:tc>
      </w:tr>
      <w:tr>
        <w:tblPrEx>
          <w:tblCellMar>
            <w:top w:w="15" w:type="dxa"/>
            <w:left w:w="15" w:type="dxa"/>
            <w:bottom w:w="15" w:type="dxa"/>
            <w:right w:w="15" w:type="dxa"/>
          </w:tblCellMar>
        </w:tblPrEx>
        <w:trPr>
          <w:trHeight w:val="910" w:hRule="atLeast"/>
          <w:jc w:val="center"/>
        </w:trPr>
        <w:tc>
          <w:tcPr>
            <w:tcW w:w="858"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pPr>
              <w:pStyle w:val="23"/>
              <w:tabs>
                <w:tab w:val="left" w:pos="720"/>
                <w:tab w:val="left" w:pos="1260"/>
                <w:tab w:val="left" w:pos="2160"/>
                <w:tab w:val="left" w:pos="2880"/>
                <w:tab w:val="left" w:pos="3600"/>
                <w:tab w:val="left" w:pos="4320"/>
                <w:tab w:val="left" w:pos="5040"/>
                <w:tab w:val="left" w:pos="5760"/>
              </w:tabs>
              <w:ind w:left="0" w:leftChars="0" w:firstLine="0" w:firstLineChars="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投标人自2017年1月1日以来（以证明材料上的时间为准），承接过</w:t>
            </w:r>
            <w:r>
              <w:rPr>
                <w:rFonts w:hint="eastAsia" w:asciiTheme="minorEastAsia" w:hAnsiTheme="minorEastAsia" w:eastAsiaTheme="minorEastAsia" w:cstheme="minorEastAsia"/>
                <w:color w:val="auto"/>
                <w:szCs w:val="21"/>
                <w:highlight w:val="none"/>
              </w:rPr>
              <w:t>类似重点流域水生态环境保护规划、水体达标方案、水污染防治方案编制</w:t>
            </w:r>
            <w:r>
              <w:rPr>
                <w:rFonts w:hint="eastAsia" w:asciiTheme="minorEastAsia" w:hAnsiTheme="minorEastAsia" w:eastAsiaTheme="minorEastAsia" w:cstheme="minorEastAsia"/>
                <w:color w:val="auto"/>
                <w:szCs w:val="21"/>
                <w:highlight w:val="none"/>
              </w:rPr>
              <w:t>项目的，</w:t>
            </w:r>
            <w:r>
              <w:rPr>
                <w:rFonts w:hint="eastAsia" w:asciiTheme="minorEastAsia" w:hAnsiTheme="minorEastAsia" w:eastAsiaTheme="minorEastAsia" w:cstheme="minorEastAsia"/>
                <w:color w:val="auto"/>
                <w:szCs w:val="21"/>
                <w:highlight w:val="none"/>
              </w:rPr>
              <w:t>每提供1个合同得0.2分，</w:t>
            </w:r>
            <w:r>
              <w:rPr>
                <w:rFonts w:hint="eastAsia" w:asciiTheme="minorEastAsia" w:hAnsiTheme="minorEastAsia" w:eastAsiaTheme="minorEastAsia" w:cstheme="minorEastAsia"/>
                <w:color w:val="auto"/>
                <w:szCs w:val="21"/>
                <w:highlight w:val="none"/>
              </w:rPr>
              <w:t>最高得1分。</w:t>
            </w:r>
            <w:r>
              <w:rPr>
                <w:rFonts w:hint="eastAsia" w:asciiTheme="minorEastAsia" w:hAnsiTheme="minorEastAsia" w:eastAsiaTheme="minorEastAsia" w:cstheme="minorEastAsia"/>
                <w:b/>
                <w:bCs/>
                <w:color w:val="auto"/>
                <w:szCs w:val="21"/>
                <w:highlight w:val="none"/>
              </w:rPr>
              <w:t>（须提供相应证明材料[证明材料可为主管单位开具的证明、课题合同或任务书扫描件等]扫描件并加盖投标人公章编入投标文件中，未提供不得分。）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1573" w:hRule="atLeast"/>
          <w:jc w:val="center"/>
        </w:trPr>
        <w:tc>
          <w:tcPr>
            <w:tcW w:w="858"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659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theme="minorBidi"/>
                <w:color w:val="auto"/>
                <w:spacing w:val="2"/>
                <w:szCs w:val="21"/>
                <w:highlight w:val="none"/>
              </w:rPr>
            </w:pPr>
            <w:r>
              <w:rPr>
                <w:rFonts w:hint="eastAsia" w:ascii="宋体" w:hAnsi="宋体" w:cstheme="minorBidi"/>
                <w:color w:val="auto"/>
                <w:spacing w:val="2"/>
                <w:szCs w:val="21"/>
                <w:highlight w:val="none"/>
              </w:rPr>
              <w:t>拟投入本项目的项目负责人：</w:t>
            </w:r>
          </w:p>
          <w:p>
            <w:pPr>
              <w:jc w:val="left"/>
              <w:rPr>
                <w:rFonts w:ascii="宋体" w:hAnsi="宋体" w:cstheme="minorBidi"/>
                <w:color w:val="auto"/>
                <w:spacing w:val="2"/>
                <w:szCs w:val="21"/>
                <w:highlight w:val="none"/>
              </w:rPr>
            </w:pPr>
            <w:r>
              <w:rPr>
                <w:rFonts w:hint="eastAsia" w:ascii="宋体" w:hAnsi="宋体" w:cstheme="minorBidi"/>
                <w:color w:val="auto"/>
                <w:spacing w:val="2"/>
                <w:szCs w:val="21"/>
                <w:highlight w:val="none"/>
              </w:rPr>
              <w:t>1、具有环境工程正高级职称的得3分；副高级职称的得1分，其他不得分。</w:t>
            </w:r>
          </w:p>
          <w:p>
            <w:pPr>
              <w:jc w:val="left"/>
              <w:rPr>
                <w:rFonts w:asciiTheme="minorEastAsia" w:hAnsiTheme="minorEastAsia" w:eastAsiaTheme="minorEastAsia" w:cstheme="minorEastAsia"/>
                <w:b/>
                <w:bCs/>
                <w:color w:val="auto"/>
                <w:szCs w:val="21"/>
                <w:highlight w:val="none"/>
              </w:rPr>
            </w:pPr>
            <w:r>
              <w:rPr>
                <w:rFonts w:hint="eastAsia" w:ascii="宋体" w:hAnsi="宋体" w:cstheme="minorBidi"/>
                <w:color w:val="auto"/>
                <w:spacing w:val="2"/>
                <w:szCs w:val="21"/>
                <w:highlight w:val="none"/>
              </w:rPr>
              <w:t>2、获得过生态环境保护类省部级及以上奖项的，每项得1分，最多得3分。</w:t>
            </w:r>
            <w:r>
              <w:rPr>
                <w:rFonts w:hint="eastAsia" w:asciiTheme="minorEastAsia" w:hAnsiTheme="minorEastAsia" w:eastAsiaTheme="minorEastAsia" w:cstheme="minorEastAsia"/>
                <w:b/>
                <w:bCs/>
                <w:color w:val="auto"/>
                <w:szCs w:val="21"/>
                <w:highlight w:val="none"/>
              </w:rPr>
              <w:t>（注：此项获奖与企业奖项不重复计分）</w:t>
            </w:r>
          </w:p>
          <w:p>
            <w:pPr>
              <w:widowControl/>
              <w:spacing w:line="288" w:lineRule="auto"/>
              <w:jc w:val="left"/>
              <w:textAlignment w:val="center"/>
              <w:rPr>
                <w:rFonts w:ascii="宋体" w:hAnsi="宋体" w:cs="宋体"/>
                <w:color w:val="auto"/>
                <w:kern w:val="0"/>
                <w:szCs w:val="21"/>
                <w:highlight w:val="none"/>
              </w:rPr>
            </w:pPr>
            <w:r>
              <w:rPr>
                <w:rFonts w:hint="eastAsia" w:ascii="宋体" w:hAnsi="宋体" w:cstheme="minorBidi"/>
                <w:color w:val="auto"/>
                <w:spacing w:val="2"/>
                <w:szCs w:val="21"/>
                <w:highlight w:val="none"/>
              </w:rPr>
              <w:t>本项最高得6分。</w:t>
            </w:r>
            <w:r>
              <w:rPr>
                <w:rFonts w:hint="eastAsia" w:ascii="宋体" w:hAnsi="宋体" w:cs="宋体"/>
                <w:b/>
                <w:bCs/>
                <w:color w:val="auto"/>
                <w:szCs w:val="21"/>
                <w:highlight w:val="none"/>
              </w:rPr>
              <w:t>（提供相关证书或证明材料以及相关人员在投标单位</w:t>
            </w:r>
            <w:r>
              <w:rPr>
                <w:rFonts w:hint="eastAsia" w:ascii="宋体" w:hAnsi="宋体" w:cs="宋体"/>
                <w:b/>
                <w:bCs/>
                <w:color w:val="auto"/>
                <w:szCs w:val="21"/>
                <w:highlight w:val="none"/>
              </w:rPr>
              <w:t>近3个月的社保缴纳证明</w:t>
            </w:r>
            <w:r>
              <w:rPr>
                <w:rFonts w:hint="eastAsia" w:ascii="宋体" w:hAnsi="宋体" w:cs="宋体"/>
                <w:b/>
                <w:bCs/>
                <w:color w:val="auto"/>
                <w:szCs w:val="21"/>
                <w:highlight w:val="none"/>
              </w:rPr>
              <w:t>扫描件并加盖投标人公章编入投标文件中，未提供或提供不全的不得分。）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1193" w:hRule="atLeast"/>
          <w:jc w:val="center"/>
        </w:trPr>
        <w:tc>
          <w:tcPr>
            <w:tcW w:w="858" w:type="dxa"/>
            <w:vMerge w:val="continue"/>
            <w:tcBorders>
              <w:left w:val="single" w:color="auto" w:sz="4" w:space="0"/>
              <w:right w:val="single" w:color="auto" w:sz="4" w:space="0"/>
            </w:tcBorders>
            <w:vAlign w:val="center"/>
          </w:tcPr>
          <w:p>
            <w:pPr>
              <w:spacing w:line="360" w:lineRule="auto"/>
              <w:jc w:val="center"/>
              <w:textAlignment w:val="center"/>
              <w:rPr>
                <w:rFonts w:ascii="宋体" w:hAnsi="宋体" w:cs="宋体"/>
                <w:bCs/>
                <w:color w:val="auto"/>
                <w:szCs w:val="21"/>
                <w:highlight w:val="none"/>
              </w:rPr>
            </w:pPr>
          </w:p>
        </w:tc>
        <w:tc>
          <w:tcPr>
            <w:tcW w:w="1013"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pacing w:val="-4"/>
                <w:szCs w:val="21"/>
                <w:highlight w:val="none"/>
              </w:rPr>
              <w:t>项目组成员情况</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highlight w:val="none"/>
              </w:rPr>
            </w:pPr>
            <w:r>
              <w:rPr>
                <w:rFonts w:hint="eastAsia" w:ascii="宋体" w:hAnsi="宋体" w:cstheme="minorBidi"/>
                <w:color w:val="auto"/>
                <w:spacing w:val="2"/>
                <w:szCs w:val="21"/>
                <w:highlight w:val="none"/>
                <w:lang w:val="en-US" w:eastAsia="zh-CN"/>
              </w:rPr>
              <w:t>拟投入项目组人员（项目负责人除外），具有环境工程类、环境科学类、环境管理类等与本项目相关专业的正高级职称的每人得1分，副高级职称的每人得0.5分，</w:t>
            </w:r>
            <w:r>
              <w:rPr>
                <w:rFonts w:hint="eastAsia" w:ascii="宋体" w:hAnsi="宋体" w:cstheme="minorBidi"/>
                <w:color w:val="auto"/>
                <w:spacing w:val="2"/>
                <w:szCs w:val="21"/>
                <w:highlight w:val="none"/>
                <w:lang w:val="en-US" w:eastAsia="zh-CN"/>
              </w:rPr>
              <w:t>本项最高得8分。</w:t>
            </w:r>
            <w:r>
              <w:rPr>
                <w:rFonts w:hint="eastAsia" w:ascii="宋体" w:hAnsi="宋体" w:eastAsia="宋体" w:cs="宋体"/>
                <w:b/>
                <w:bCs/>
                <w:color w:val="auto"/>
                <w:kern w:val="2"/>
                <w:sz w:val="21"/>
                <w:szCs w:val="21"/>
                <w:highlight w:val="none"/>
                <w:lang w:val="en-US" w:eastAsia="zh-CN" w:bidi="ar-SA"/>
              </w:rPr>
              <w:t>（提供相关证书以及相关人员在投标单位</w:t>
            </w:r>
            <w:r>
              <w:rPr>
                <w:rFonts w:hint="eastAsia" w:ascii="宋体" w:hAnsi="宋体" w:eastAsia="宋体" w:cs="宋体"/>
                <w:b/>
                <w:bCs/>
                <w:color w:val="auto"/>
                <w:kern w:val="2"/>
                <w:sz w:val="21"/>
                <w:szCs w:val="21"/>
                <w:highlight w:val="none"/>
                <w:lang w:val="en-US" w:eastAsia="zh-CN" w:bidi="ar-SA"/>
              </w:rPr>
              <w:t>近3个月的社保缴纳证明</w:t>
            </w:r>
            <w:r>
              <w:rPr>
                <w:rFonts w:hint="eastAsia" w:ascii="宋体" w:hAnsi="宋体" w:eastAsia="宋体" w:cs="宋体"/>
                <w:b/>
                <w:bCs/>
                <w:color w:val="auto"/>
                <w:kern w:val="2"/>
                <w:sz w:val="21"/>
                <w:szCs w:val="21"/>
                <w:highlight w:val="none"/>
                <w:lang w:val="en-US" w:eastAsia="zh-CN" w:bidi="ar-SA"/>
              </w:rPr>
              <w:t>扫描件并加盖投标人公章编入投标文件中，未提供或提供不全的不得分。）</w:t>
            </w:r>
          </w:p>
        </w:tc>
        <w:tc>
          <w:tcPr>
            <w:tcW w:w="5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宋体" w:hAnsi="宋体" w:cs="宋体" w:eastAsiaTheme="minorEastAsia"/>
                <w:color w:val="auto"/>
                <w:kern w:val="0"/>
                <w:szCs w:val="21"/>
                <w:highlight w:val="none"/>
                <w:lang w:val="en-US" w:eastAsia="zh-CN"/>
              </w:rPr>
              <w:t>8</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eastAsiaTheme="minorEastAsia"/>
                <w:color w:val="auto"/>
                <w:kern w:val="0"/>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eastAsiaTheme="minorEastAsia"/>
                <w:color w:val="auto"/>
                <w:kern w:val="0"/>
                <w:szCs w:val="21"/>
                <w:highlight w:val="none"/>
                <w:lang w:val="en-US" w:eastAsia="zh-CN"/>
              </w:rPr>
            </w:pPr>
          </w:p>
        </w:tc>
      </w:tr>
      <w:tr>
        <w:tblPrEx>
          <w:tblCellMar>
            <w:top w:w="15" w:type="dxa"/>
            <w:left w:w="15" w:type="dxa"/>
            <w:bottom w:w="15" w:type="dxa"/>
            <w:right w:w="15" w:type="dxa"/>
          </w:tblCellMar>
        </w:tblPrEx>
        <w:trPr>
          <w:trHeight w:val="234" w:hRule="atLeas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技术分</w:t>
            </w:r>
          </w:p>
          <w:p>
            <w:pPr>
              <w:spacing w:line="360" w:lineRule="auto"/>
              <w:jc w:val="center"/>
              <w:textAlignment w:val="center"/>
              <w:rPr>
                <w:color w:val="auto"/>
                <w:highlight w:val="none"/>
              </w:rPr>
            </w:pPr>
            <w:r>
              <w:rPr>
                <w:rFonts w:hint="eastAsia" w:ascii="Times New Roman" w:hAnsi="Times New Roman" w:cs="Times New Roman"/>
                <w:color w:val="auto"/>
                <w:highlight w:val="none"/>
              </w:rPr>
              <w:t>（</w:t>
            </w:r>
            <w:r>
              <w:rPr>
                <w:rFonts w:hint="eastAsia" w:asciiTheme="minorEastAsia" w:hAnsiTheme="minorEastAsia" w:eastAsiaTheme="minorEastAsia" w:cstheme="minorEastAsia"/>
                <w:color w:val="auto"/>
                <w:highlight w:val="none"/>
                <w:lang w:val="en-US" w:eastAsia="zh-CN"/>
              </w:rPr>
              <w:t>65</w:t>
            </w:r>
            <w:r>
              <w:rPr>
                <w:rFonts w:hint="eastAsia" w:asciiTheme="minorEastAsia" w:hAnsiTheme="minorEastAsia" w:eastAsiaTheme="minorEastAsia" w:cstheme="minorEastAsia"/>
                <w:color w:val="auto"/>
                <w:highlight w:val="none"/>
              </w:rPr>
              <w:t>分</w:t>
            </w:r>
            <w:r>
              <w:rPr>
                <w:rFonts w:hint="eastAsia"/>
                <w:color w:val="auto"/>
                <w:highlight w:val="none"/>
              </w:rPr>
              <w:t>）</w:t>
            </w:r>
          </w:p>
        </w:tc>
        <w:tc>
          <w:tcPr>
            <w:tcW w:w="101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新宋体"/>
                <w:color w:val="auto"/>
                <w:szCs w:val="21"/>
                <w:highlight w:val="none"/>
              </w:rPr>
              <w:t>项目理解</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w:t>
            </w:r>
            <w:r>
              <w:rPr>
                <w:rFonts w:hint="eastAsia" w:asciiTheme="minorEastAsia" w:hAnsiTheme="minorEastAsia" w:eastAsiaTheme="minorEastAsia" w:cstheme="minorEastAsia"/>
                <w:color w:val="auto"/>
                <w:szCs w:val="21"/>
                <w:highlight w:val="none"/>
              </w:rPr>
              <w:t>项目背景以及国家、省相关政策</w:t>
            </w:r>
            <w:r>
              <w:rPr>
                <w:rFonts w:hint="eastAsia" w:asciiTheme="minorEastAsia" w:hAnsiTheme="minorEastAsia" w:eastAsiaTheme="minorEastAsia" w:cstheme="minorEastAsia"/>
                <w:color w:val="auto"/>
                <w:szCs w:val="21"/>
                <w:highlight w:val="none"/>
              </w:rPr>
              <w:t>的理解是否准确、认识是否深刻，是否能与本项目采购需求相契合等进行打分。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项目背景分析和政策理解认识准确、全面、深刻的得4.0-6.0分；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基本正确、内容简单的得2.0-3.9分；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理解片面、分析内容有欠缺的得0.1-1.9分，未提及此项不得分。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新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r>
      <w:tr>
        <w:tblPrEx>
          <w:tblCellMar>
            <w:top w:w="15" w:type="dxa"/>
            <w:left w:w="15" w:type="dxa"/>
            <w:bottom w:w="15" w:type="dxa"/>
            <w:right w:w="15" w:type="dxa"/>
          </w:tblCellMar>
        </w:tblPrEx>
        <w:trPr>
          <w:trHeight w:val="1050" w:hRule="atLeast"/>
          <w:jc w:val="center"/>
        </w:trPr>
        <w:tc>
          <w:tcPr>
            <w:tcW w:w="858" w:type="dxa"/>
            <w:vMerge w:val="continue"/>
            <w:tcBorders>
              <w:left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p>
        </w:tc>
        <w:tc>
          <w:tcPr>
            <w:tcW w:w="1013" w:type="dxa"/>
            <w:vMerge w:val="continue"/>
            <w:tcBorders>
              <w:left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w:t>
            </w:r>
            <w:r>
              <w:rPr>
                <w:rFonts w:hint="eastAsia" w:asciiTheme="minorEastAsia" w:hAnsiTheme="minorEastAsia" w:eastAsiaTheme="minorEastAsia" w:cstheme="minorEastAsia"/>
                <w:color w:val="auto"/>
                <w:szCs w:val="21"/>
                <w:highlight w:val="none"/>
              </w:rPr>
              <w:t>区域特征以及台州市水生态环境管理需求</w:t>
            </w:r>
            <w:r>
              <w:rPr>
                <w:rFonts w:hint="eastAsia" w:asciiTheme="minorEastAsia" w:hAnsiTheme="minorEastAsia" w:eastAsiaTheme="minorEastAsia" w:cstheme="minorEastAsia"/>
                <w:color w:val="auto"/>
                <w:szCs w:val="21"/>
                <w:highlight w:val="none"/>
              </w:rPr>
              <w:t>的理解是否准确、认识是否深刻，是否能与本项目采购需求相契合等进行打分。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区域特征把握准确、管理需求理解深刻的得</w:t>
            </w:r>
            <w:r>
              <w:rPr>
                <w:rFonts w:hint="eastAsia" w:asciiTheme="minorEastAsia" w:hAnsiTheme="minorEastAsia" w:eastAsiaTheme="minorEastAsia" w:cstheme="minorEastAsia"/>
                <w:color w:val="auto"/>
                <w:szCs w:val="21"/>
                <w:highlight w:val="none"/>
                <w:lang w:val="en-US" w:eastAsia="zh-CN"/>
              </w:rPr>
              <w:t>5.0-7.0</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区域特征分析、管理需求理解基本正确、内容简单的得</w:t>
            </w:r>
            <w:r>
              <w:rPr>
                <w:rFonts w:hint="eastAsia" w:asciiTheme="minorEastAsia" w:hAnsiTheme="minorEastAsia" w:eastAsiaTheme="minorEastAsia" w:cstheme="minorEastAsia"/>
                <w:color w:val="auto"/>
                <w:szCs w:val="21"/>
                <w:highlight w:val="none"/>
                <w:lang w:val="en-US" w:eastAsia="zh-CN"/>
              </w:rPr>
              <w:t>3.0-4.9</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区域特征分析、管理需求理解片面有欠缺的得0.1-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.9分，未提及此项不得分。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7</w:t>
            </w:r>
          </w:p>
        </w:tc>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r>
      <w:tr>
        <w:tblPrEx>
          <w:tblCellMar>
            <w:top w:w="15" w:type="dxa"/>
            <w:left w:w="15" w:type="dxa"/>
            <w:bottom w:w="15" w:type="dxa"/>
            <w:right w:w="15" w:type="dxa"/>
          </w:tblCellMar>
        </w:tblPrEx>
        <w:trPr>
          <w:trHeight w:val="1050" w:hRule="atLeast"/>
          <w:jc w:val="center"/>
        </w:trPr>
        <w:tc>
          <w:tcPr>
            <w:tcW w:w="858" w:type="dxa"/>
            <w:vMerge w:val="continue"/>
            <w:tcBorders>
              <w:left w:val="single" w:color="auto" w:sz="4" w:space="0"/>
              <w:right w:val="single" w:color="auto" w:sz="4" w:space="0"/>
            </w:tcBorders>
            <w:vAlign w:val="center"/>
          </w:tcPr>
          <w:p>
            <w:pPr>
              <w:spacing w:line="360" w:lineRule="auto"/>
              <w:jc w:val="center"/>
              <w:textAlignment w:val="center"/>
              <w:rPr>
                <w:rFonts w:hint="eastAsia" w:ascii="Times New Roman" w:hAnsi="Times New Roman" w:cs="Times New Roman"/>
                <w:color w:val="auto"/>
                <w:highlight w:val="none"/>
              </w:rPr>
            </w:pPr>
          </w:p>
        </w:tc>
        <w:tc>
          <w:tcPr>
            <w:tcW w:w="1013"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工作思路</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根据投标人提供的金清水系流域共治实施方案编制的总体思路、工作方法及技术路线的清晰程度、合理性、可操作性等进行打分。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工作思路清晰、工作方法及技术路线合理性和可操作性强的得</w:t>
            </w:r>
            <w:r>
              <w:rPr>
                <w:rFonts w:hint="eastAsia" w:asciiTheme="minorEastAsia" w:hAnsiTheme="minorEastAsia" w:eastAsiaTheme="minorEastAsia" w:cstheme="minorEastAsia"/>
                <w:color w:val="auto"/>
                <w:szCs w:val="21"/>
                <w:highlight w:val="none"/>
                <w:lang w:val="en-US" w:eastAsia="zh-CN"/>
              </w:rPr>
              <w:t>5.0-7.0</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工作思路基本清晰、工作方法及技术路线合理性和可操作性一般的得</w:t>
            </w:r>
            <w:r>
              <w:rPr>
                <w:rFonts w:hint="eastAsia" w:asciiTheme="minorEastAsia" w:hAnsiTheme="minorEastAsia" w:eastAsiaTheme="minorEastAsia" w:cstheme="minorEastAsia"/>
                <w:color w:val="auto"/>
                <w:szCs w:val="21"/>
                <w:highlight w:val="none"/>
                <w:lang w:val="en-US" w:eastAsia="zh-CN"/>
              </w:rPr>
              <w:t>3.0-4.9</w:t>
            </w:r>
            <w:r>
              <w:rPr>
                <w:rFonts w:hint="eastAsia" w:asciiTheme="minorEastAsia" w:hAnsiTheme="minorEastAsia" w:eastAsiaTheme="minorEastAsia" w:cstheme="minorEastAsia"/>
                <w:color w:val="auto"/>
                <w:szCs w:val="21"/>
                <w:highlight w:val="none"/>
              </w:rPr>
              <w:t>分；</w:t>
            </w:r>
          </w:p>
          <w:p>
            <w:pPr>
              <w:tabs>
                <w:tab w:val="left" w:pos="2061"/>
              </w:tabs>
              <w:rPr>
                <w:rFonts w:hint="eastAsia" w:ascii="宋体" w:hAnsi="宋体" w:eastAsia="宋体" w:cs="新宋体"/>
                <w:color w:val="auto"/>
                <w:szCs w:val="21"/>
                <w:highlight w:val="none"/>
                <w:lang w:eastAsia="zh-CN"/>
              </w:rPr>
            </w:pPr>
            <w:r>
              <w:rPr>
                <w:rFonts w:hint="eastAsia" w:asciiTheme="minorEastAsia" w:hAnsiTheme="minorEastAsia" w:eastAsiaTheme="minorEastAsia" w:cstheme="minorEastAsia"/>
                <w:color w:val="auto"/>
                <w:szCs w:val="21"/>
                <w:highlight w:val="none"/>
              </w:rPr>
              <w:t>工作思路不清晰、工作方法及技术路线合理性和可操作性差的得0.1-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.9分，未提及此项不得分。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7</w:t>
            </w:r>
          </w:p>
        </w:tc>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r>
      <w:tr>
        <w:tblPrEx>
          <w:tblCellMar>
            <w:top w:w="15" w:type="dxa"/>
            <w:left w:w="15" w:type="dxa"/>
            <w:bottom w:w="15" w:type="dxa"/>
            <w:right w:w="15" w:type="dxa"/>
          </w:tblCellMar>
        </w:tblPrEx>
        <w:trPr>
          <w:trHeight w:val="909" w:hRule="atLeast"/>
          <w:jc w:val="center"/>
        </w:trPr>
        <w:tc>
          <w:tcPr>
            <w:tcW w:w="858" w:type="dxa"/>
            <w:vMerge w:val="continue"/>
            <w:tcBorders>
              <w:left w:val="single" w:color="auto" w:sz="4" w:space="0"/>
              <w:right w:val="single" w:color="auto" w:sz="4" w:space="0"/>
            </w:tcBorders>
            <w:vAlign w:val="center"/>
          </w:tcPr>
          <w:p>
            <w:pPr>
              <w:rPr>
                <w:color w:val="auto"/>
                <w:highlight w:val="none"/>
              </w:rPr>
            </w:pPr>
          </w:p>
        </w:tc>
        <w:tc>
          <w:tcPr>
            <w:tcW w:w="1013" w:type="dxa"/>
            <w:vMerge w:val="restart"/>
            <w:tcBorders>
              <w:top w:val="single" w:color="auto" w:sz="4" w:space="0"/>
              <w:left w:val="single" w:color="auto" w:sz="4" w:space="0"/>
              <w:right w:val="single" w:color="auto" w:sz="4" w:space="0"/>
            </w:tcBorders>
            <w:vAlign w:val="center"/>
          </w:tcPr>
          <w:p>
            <w:pPr>
              <w:widowControl/>
              <w:spacing w:line="288" w:lineRule="auto"/>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项目方案</w:t>
            </w: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水生态环境保护现状与问题诊断分析</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widowControl/>
              <w:rPr>
                <w:rFonts w:hint="eastAsia" w:ascii="宋体" w:hAnsi="宋体" w:eastAsia="宋体" w:cs="宋体"/>
                <w:color w:val="auto"/>
                <w:szCs w:val="21"/>
                <w:highlight w:val="none"/>
                <w:lang w:eastAsia="zh-CN"/>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1339"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right w:val="single" w:color="auto" w:sz="4" w:space="0"/>
            </w:tcBorders>
            <w:vAlign w:val="center"/>
          </w:tcPr>
          <w:p>
            <w:pPr>
              <w:widowControl/>
              <w:spacing w:line="288" w:lineRule="auto"/>
              <w:jc w:val="center"/>
              <w:textAlignment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空间分区管控体系构建</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rPr>
                <w:rFonts w:ascii="宋体" w:hAnsi="宋体" w:cs="宋体" w:eastAsiaTheme="minorEastAsia"/>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1408"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right w:val="single" w:color="auto" w:sz="4" w:space="0"/>
            </w:tcBorders>
            <w:vAlign w:val="center"/>
          </w:tcPr>
          <w:p>
            <w:pPr>
              <w:widowControl/>
              <w:spacing w:line="288" w:lineRule="auto"/>
              <w:jc w:val="center"/>
              <w:textAlignment w:val="center"/>
              <w:rPr>
                <w:rFonts w:ascii="宋体" w:hAnsi="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污染源分析</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widowControl/>
              <w:rPr>
                <w:rFonts w:ascii="宋体" w:hAnsi="宋体" w:cs="宋体"/>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highlight w:val="none"/>
                <w:lang w:val="en-US" w:eastAsia="zh-CN"/>
              </w:rPr>
            </w:pPr>
          </w:p>
        </w:tc>
      </w:tr>
      <w:tr>
        <w:tblPrEx>
          <w:tblCellMar>
            <w:top w:w="15" w:type="dxa"/>
            <w:left w:w="15" w:type="dxa"/>
            <w:bottom w:w="15" w:type="dxa"/>
            <w:right w:w="15" w:type="dxa"/>
          </w:tblCellMar>
        </w:tblPrEx>
        <w:trPr>
          <w:trHeight w:val="1058"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新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政策机制研究</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tabs>
                <w:tab w:val="left" w:pos="2061"/>
              </w:tabs>
              <w:rPr>
                <w:color w:val="auto"/>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r>
      <w:tr>
        <w:tblPrEx>
          <w:tblCellMar>
            <w:top w:w="15" w:type="dxa"/>
            <w:left w:w="15" w:type="dxa"/>
            <w:bottom w:w="15" w:type="dxa"/>
            <w:right w:w="15" w:type="dxa"/>
          </w:tblCellMar>
        </w:tblPrEx>
        <w:trPr>
          <w:trHeight w:val="681"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hint="eastAsia" w:ascii="宋体" w:hAnsi="宋体"/>
                <w:color w:val="auto"/>
                <w:szCs w:val="21"/>
                <w:highlight w:val="none"/>
              </w:rPr>
              <w:t>根据投标人对本项目制定的</w:t>
            </w:r>
            <w:r>
              <w:rPr>
                <w:rFonts w:hint="eastAsia" w:ascii="宋体" w:hAnsi="宋体"/>
                <w:b/>
                <w:bCs/>
                <w:color w:val="auto"/>
                <w:szCs w:val="21"/>
                <w:highlight w:val="none"/>
                <w:u w:val="single"/>
              </w:rPr>
              <w:t>项目筛选</w:t>
            </w:r>
            <w:r>
              <w:rPr>
                <w:rFonts w:hint="eastAsia" w:ascii="宋体" w:hAnsi="宋体"/>
                <w:b w:val="0"/>
                <w:bCs w:val="0"/>
                <w:color w:val="auto"/>
                <w:szCs w:val="21"/>
                <w:highlight w:val="none"/>
                <w:u w:val="none"/>
                <w:lang w:val="en-US" w:eastAsia="zh-CN"/>
              </w:rPr>
              <w:t>任务</w:t>
            </w:r>
            <w:r>
              <w:rPr>
                <w:rFonts w:hint="eastAsia" w:ascii="宋体" w:hAnsi="宋体"/>
                <w:color w:val="auto"/>
                <w:szCs w:val="21"/>
                <w:highlight w:val="none"/>
              </w:rPr>
              <w:t>的科学性、可操作性、满足性</w:t>
            </w:r>
            <w:r>
              <w:rPr>
                <w:rFonts w:hint="eastAsia" w:ascii="宋体" w:hAnsi="宋体" w:cs="新宋体"/>
                <w:color w:val="auto"/>
                <w:szCs w:val="21"/>
                <w:highlight w:val="none"/>
              </w:rPr>
              <w:t>进行打分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olor w:val="auto"/>
                <w:szCs w:val="21"/>
                <w:highlight w:val="none"/>
              </w:rPr>
              <w:t>方案内容阐述科学全面、针对性强、可操作性强、很好满足项目需求的得</w:t>
            </w:r>
            <w:r>
              <w:rPr>
                <w:rFonts w:ascii="宋体" w:hAnsi="宋体"/>
                <w:color w:val="auto"/>
                <w:szCs w:val="21"/>
                <w:highlight w:val="none"/>
              </w:rPr>
              <w:t>4</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.0分；</w:t>
            </w:r>
          </w:p>
          <w:p>
            <w:pPr>
              <w:widowControl/>
              <w:rPr>
                <w:rFonts w:ascii="宋体" w:hAnsi="宋体"/>
                <w:color w:val="auto"/>
                <w:szCs w:val="21"/>
                <w:highlight w:val="none"/>
              </w:rPr>
            </w:pPr>
            <w:r>
              <w:rPr>
                <w:rFonts w:hint="eastAsia" w:ascii="宋体" w:hAnsi="宋体"/>
                <w:color w:val="auto"/>
                <w:szCs w:val="21"/>
                <w:highlight w:val="none"/>
              </w:rPr>
              <w:t>方案内容阐述</w:t>
            </w:r>
            <w:r>
              <w:rPr>
                <w:rFonts w:hint="eastAsia" w:asciiTheme="minorEastAsia" w:hAnsiTheme="minorEastAsia" w:eastAsiaTheme="minorEastAsia" w:cstheme="minorEastAsia"/>
                <w:color w:val="auto"/>
                <w:szCs w:val="21"/>
                <w:highlight w:val="none"/>
              </w:rPr>
              <w:t>较为科学、针对性较强、可操作性较强、较能满足项目需求的</w:t>
            </w:r>
            <w:r>
              <w:rPr>
                <w:rFonts w:hint="eastAsia" w:ascii="宋体" w:hAnsi="宋体"/>
                <w:color w:val="auto"/>
                <w:szCs w:val="21"/>
                <w:highlight w:val="none"/>
              </w:rPr>
              <w:t>的得</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3.9</w:t>
            </w:r>
            <w:r>
              <w:rPr>
                <w:rFonts w:hint="eastAsia" w:ascii="宋体" w:hAnsi="宋体"/>
                <w:color w:val="auto"/>
                <w:szCs w:val="21"/>
                <w:highlight w:val="none"/>
              </w:rPr>
              <w:t>分；</w:t>
            </w:r>
          </w:p>
          <w:p>
            <w:pP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方案内容阐述科学性较差、针对性较低、可操作性较差、不能保障项目服务质量的得0.1-</w:t>
            </w:r>
            <w:r>
              <w:rPr>
                <w:rFonts w:ascii="宋体" w:hAnsi="宋体"/>
                <w:color w:val="auto"/>
                <w:szCs w:val="21"/>
                <w:highlight w:val="none"/>
              </w:rPr>
              <w:t>1</w:t>
            </w:r>
            <w:r>
              <w:rPr>
                <w:rFonts w:hint="eastAsia" w:ascii="宋体" w:hAnsi="宋体"/>
                <w:color w:val="auto"/>
                <w:szCs w:val="21"/>
                <w:highlight w:val="none"/>
              </w:rPr>
              <w:t>.9分，</w:t>
            </w:r>
            <w:r>
              <w:rPr>
                <w:rFonts w:hint="eastAsia" w:ascii="宋体" w:hAnsi="宋体" w:cs="新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p>
        </w:tc>
      </w:tr>
      <w:tr>
        <w:tblPrEx>
          <w:tblCellMar>
            <w:top w:w="15" w:type="dxa"/>
            <w:left w:w="15" w:type="dxa"/>
            <w:bottom w:w="15" w:type="dxa"/>
            <w:right w:w="15" w:type="dxa"/>
          </w:tblCellMar>
        </w:tblPrEx>
        <w:trPr>
          <w:trHeight w:val="602"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分析以及</w:t>
            </w:r>
            <w:r>
              <w:rPr>
                <w:rFonts w:hint="eastAsia" w:ascii="宋体" w:hAnsi="宋体" w:cs="新宋体"/>
                <w:color w:val="auto"/>
                <w:szCs w:val="21"/>
                <w:highlight w:val="none"/>
              </w:rPr>
              <w:t>解决</w:t>
            </w:r>
            <w:r>
              <w:rPr>
                <w:rFonts w:hint="eastAsia" w:ascii="宋体" w:hAnsi="宋体" w:cs="新宋体"/>
                <w:color w:val="auto"/>
                <w:szCs w:val="21"/>
                <w:highlight w:val="none"/>
                <w:lang w:val="en-US" w:eastAsia="zh-CN"/>
              </w:rPr>
              <w:t>措施</w:t>
            </w:r>
          </w:p>
        </w:tc>
        <w:tc>
          <w:tcPr>
            <w:tcW w:w="6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Times New Roman"/>
                <w:color w:val="auto"/>
                <w:szCs w:val="21"/>
                <w:highlight w:val="none"/>
              </w:rPr>
            </w:pPr>
            <w:r>
              <w:rPr>
                <w:rFonts w:hint="eastAsia" w:ascii="宋体" w:hAnsi="宋体" w:cs="Times New Roman"/>
                <w:color w:val="auto"/>
                <w:szCs w:val="21"/>
                <w:highlight w:val="none"/>
              </w:rPr>
              <w:t>根据投标人对项目实施重点和难点把握的准确性和分析到位程度以及提出解决思路的科学性、准确性</w:t>
            </w:r>
            <w:r>
              <w:rPr>
                <w:rFonts w:hint="eastAsia" w:ascii="宋体" w:hAnsi="宋体"/>
                <w:color w:val="auto"/>
                <w:szCs w:val="21"/>
                <w:highlight w:val="none"/>
              </w:rPr>
              <w:t>进行打分</w:t>
            </w:r>
            <w:r>
              <w:rPr>
                <w:rFonts w:hint="eastAsia" w:ascii="宋体" w:hAnsi="宋体" w:cs="Times New Roman"/>
                <w:color w:val="auto"/>
                <w:szCs w:val="21"/>
                <w:highlight w:val="none"/>
              </w:rPr>
              <w:t>。</w:t>
            </w:r>
          </w:p>
          <w:p>
            <w:pPr>
              <w:widowControl/>
              <w:rPr>
                <w:rFonts w:ascii="宋体" w:hAnsi="宋体" w:cs="Times New Roman"/>
                <w:color w:val="auto"/>
                <w:szCs w:val="21"/>
                <w:highlight w:val="none"/>
              </w:rPr>
            </w:pPr>
            <w:r>
              <w:rPr>
                <w:rFonts w:hint="eastAsia" w:ascii="宋体" w:hAnsi="宋体" w:cs="Times New Roman"/>
                <w:color w:val="auto"/>
                <w:szCs w:val="21"/>
                <w:highlight w:val="none"/>
              </w:rPr>
              <w:t>投标人对重点和难点把握准确、分析到位，提出的解决思路科学、准确的得</w:t>
            </w:r>
            <w:r>
              <w:rPr>
                <w:rFonts w:ascii="宋体" w:hAnsi="宋体" w:cs="Times New Roman"/>
                <w:color w:val="auto"/>
                <w:szCs w:val="21"/>
                <w:highlight w:val="none"/>
              </w:rPr>
              <w:t>4.0-6.0</w:t>
            </w:r>
            <w:r>
              <w:rPr>
                <w:rFonts w:hint="eastAsia" w:ascii="宋体" w:hAnsi="宋体" w:cs="Times New Roman"/>
                <w:color w:val="auto"/>
                <w:szCs w:val="21"/>
                <w:highlight w:val="none"/>
              </w:rPr>
              <w:t>分；</w:t>
            </w:r>
          </w:p>
          <w:p>
            <w:pPr>
              <w:widowControl/>
              <w:rPr>
                <w:rFonts w:ascii="宋体" w:hAnsi="宋体"/>
                <w:color w:val="auto"/>
                <w:szCs w:val="21"/>
                <w:highlight w:val="none"/>
              </w:rPr>
            </w:pPr>
            <w:r>
              <w:rPr>
                <w:rFonts w:hint="eastAsia" w:ascii="宋体" w:hAnsi="宋体" w:cs="Times New Roman"/>
                <w:color w:val="auto"/>
                <w:szCs w:val="21"/>
                <w:highlight w:val="none"/>
              </w:rPr>
              <w:t>投标人对重点和难点把握的准确性和分析到位程度一般，提出的解决思路科学性、准确性一般的得</w:t>
            </w:r>
            <w:r>
              <w:rPr>
                <w:rFonts w:ascii="宋体" w:hAnsi="宋体" w:cs="Times New Roman"/>
                <w:color w:val="auto"/>
                <w:szCs w:val="21"/>
                <w:highlight w:val="none"/>
              </w:rPr>
              <w:t>2.0-3.9</w:t>
            </w:r>
            <w:r>
              <w:rPr>
                <w:rFonts w:hint="eastAsia" w:ascii="宋体" w:hAnsi="宋体" w:cs="Times New Roman"/>
                <w:color w:val="auto"/>
                <w:szCs w:val="21"/>
                <w:highlight w:val="none"/>
              </w:rPr>
              <w:t>分</w:t>
            </w:r>
            <w:r>
              <w:rPr>
                <w:rFonts w:hint="eastAsia" w:ascii="宋体" w:hAnsi="宋体"/>
                <w:color w:val="auto"/>
                <w:szCs w:val="21"/>
                <w:highlight w:val="none"/>
              </w:rPr>
              <w:t>，</w:t>
            </w:r>
          </w:p>
          <w:p>
            <w:pPr>
              <w:widowControl/>
              <w:rPr>
                <w:rFonts w:ascii="宋体" w:hAnsi="宋体"/>
                <w:color w:val="auto"/>
                <w:szCs w:val="21"/>
                <w:highlight w:val="none"/>
              </w:rPr>
            </w:pPr>
            <w:r>
              <w:rPr>
                <w:rFonts w:hint="eastAsia" w:ascii="宋体" w:hAnsi="宋体" w:cs="Times New Roman"/>
                <w:color w:val="auto"/>
                <w:szCs w:val="21"/>
                <w:highlight w:val="none"/>
              </w:rPr>
              <w:t>投标人对重点和难点把握的准确性和分析到位程度较差，提出的解决思路科学性、准确性较差的得</w:t>
            </w:r>
            <w:r>
              <w:rPr>
                <w:rFonts w:ascii="宋体" w:hAnsi="宋体" w:cs="Times New Roman"/>
                <w:color w:val="auto"/>
                <w:szCs w:val="21"/>
                <w:highlight w:val="none"/>
              </w:rPr>
              <w:t>0.1-1.9</w:t>
            </w:r>
            <w:r>
              <w:rPr>
                <w:rFonts w:hint="eastAsia" w:ascii="宋体" w:hAnsi="宋体" w:cs="Times New Roman"/>
                <w:color w:val="auto"/>
                <w:szCs w:val="21"/>
                <w:highlight w:val="none"/>
              </w:rPr>
              <w:t>分</w:t>
            </w:r>
            <w:r>
              <w:rPr>
                <w:rFonts w:hint="eastAsia" w:ascii="宋体" w:hAnsi="宋体"/>
                <w:color w:val="auto"/>
                <w:szCs w:val="21"/>
                <w:highlight w:val="none"/>
              </w:rPr>
              <w:t>，</w:t>
            </w:r>
          </w:p>
          <w:p>
            <w:pPr>
              <w:widowControl/>
              <w:rPr>
                <w:rFonts w:ascii="宋体" w:hAnsi="宋体" w:cs="新宋体"/>
                <w:color w:val="auto"/>
                <w:szCs w:val="21"/>
                <w:highlight w:val="none"/>
              </w:rPr>
            </w:pPr>
            <w:r>
              <w:rPr>
                <w:rFonts w:hint="eastAsia" w:ascii="宋体" w:hAnsi="宋体"/>
                <w:color w:val="auto"/>
                <w:szCs w:val="21"/>
                <w:highlight w:val="none"/>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lang w:val="en-US" w:eastAsia="zh-CN"/>
              </w:rPr>
              <w:t>6</w:t>
            </w:r>
          </w:p>
        </w:tc>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新宋体"/>
                <w:color w:val="auto"/>
                <w:szCs w:val="21"/>
                <w:highlight w:val="none"/>
                <w:lang w:val="en-US" w:eastAsia="zh-CN"/>
              </w:rPr>
            </w:pPr>
          </w:p>
        </w:tc>
      </w:tr>
      <w:tr>
        <w:tblPrEx>
          <w:tblCellMar>
            <w:top w:w="15" w:type="dxa"/>
            <w:left w:w="15" w:type="dxa"/>
            <w:bottom w:w="15" w:type="dxa"/>
            <w:right w:w="15" w:type="dxa"/>
          </w:tblCellMar>
        </w:tblPrEx>
        <w:trPr>
          <w:trHeight w:val="1058"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宋体" w:hAnsi="宋体" w:cs="宋体" w:eastAsiaTheme="minorEastAsia"/>
                <w:color w:val="auto"/>
                <w:spacing w:val="-4"/>
                <w:szCs w:val="21"/>
                <w:highlight w:val="none"/>
                <w:lang w:val="en-US" w:eastAsia="zh-CN"/>
              </w:rPr>
              <w:t>质量保障措施</w:t>
            </w:r>
          </w:p>
        </w:tc>
        <w:tc>
          <w:tcPr>
            <w:tcW w:w="6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cs="宋体"/>
                <w:color w:val="auto"/>
                <w:spacing w:val="-4"/>
                <w:szCs w:val="21"/>
                <w:highlight w:val="none"/>
              </w:rPr>
            </w:pPr>
            <w:r>
              <w:rPr>
                <w:rFonts w:hint="eastAsia" w:ascii="宋体" w:hAnsi="宋体" w:cs="宋体"/>
                <w:color w:val="auto"/>
                <w:spacing w:val="-4"/>
                <w:szCs w:val="21"/>
                <w:highlight w:val="none"/>
              </w:rPr>
              <w:t>根据投标人的质量管理保证措施方案进行</w:t>
            </w:r>
            <w:r>
              <w:rPr>
                <w:rFonts w:hint="eastAsia" w:ascii="宋体" w:hAnsi="宋体" w:cs="宋体"/>
                <w:color w:val="auto"/>
                <w:spacing w:val="-4"/>
                <w:szCs w:val="21"/>
                <w:highlight w:val="none"/>
                <w:lang w:val="en-US" w:eastAsia="zh-CN"/>
              </w:rPr>
              <w:t>打</w:t>
            </w:r>
            <w:r>
              <w:rPr>
                <w:rFonts w:hint="eastAsia" w:ascii="宋体" w:hAnsi="宋体" w:cs="宋体"/>
                <w:color w:val="auto"/>
                <w:spacing w:val="-4"/>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宋体" w:hAnsi="宋体" w:cs="宋体"/>
                <w:color w:val="auto"/>
                <w:spacing w:val="-4"/>
                <w:szCs w:val="21"/>
                <w:highlight w:val="none"/>
              </w:rPr>
              <w:t>质量管理保证措施方案</w:t>
            </w:r>
            <w:r>
              <w:rPr>
                <w:rFonts w:hint="eastAsia" w:asciiTheme="minorEastAsia" w:hAnsiTheme="minorEastAsia" w:eastAsiaTheme="minorEastAsia" w:cstheme="minorEastAsia"/>
                <w:b w:val="0"/>
                <w:color w:val="auto"/>
                <w:sz w:val="21"/>
                <w:szCs w:val="21"/>
                <w:highlight w:val="none"/>
                <w:lang w:val="en-US" w:eastAsia="zh-CN"/>
              </w:rPr>
              <w:t>全面详细，制度体系合理可行能有效保障并有针对性的得3.0-5.0分；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质控方案简单，制度内容不完整，不能保障服务质量的得0.1-2.9分；</w:t>
            </w:r>
          </w:p>
          <w:p>
            <w:pPr>
              <w:rPr>
                <w:rFonts w:ascii="宋体" w:hAnsi="宋体" w:cs="宋体"/>
                <w:color w:val="auto"/>
                <w:spacing w:val="-4"/>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auto"/>
                <w:spacing w:val="-4"/>
                <w:szCs w:val="21"/>
                <w:highlight w:val="none"/>
              </w:rPr>
            </w:pPr>
            <w:r>
              <w:rPr>
                <w:rFonts w:hint="eastAsia" w:ascii="宋体" w:hAnsi="宋体" w:cs="宋体"/>
                <w:color w:val="auto"/>
                <w:spacing w:val="-4"/>
                <w:szCs w:val="21"/>
                <w:highlight w:val="none"/>
              </w:rPr>
              <w:t>5</w:t>
            </w:r>
          </w:p>
        </w:tc>
        <w:tc>
          <w:tcPr>
            <w:tcW w:w="6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s="宋体"/>
                <w:color w:val="auto"/>
                <w:spacing w:val="-4"/>
                <w:szCs w:val="21"/>
                <w:highlight w:val="none"/>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s="宋体"/>
                <w:color w:val="auto"/>
                <w:spacing w:val="-4"/>
                <w:szCs w:val="21"/>
                <w:highlight w:val="none"/>
              </w:rPr>
            </w:pPr>
          </w:p>
        </w:tc>
      </w:tr>
      <w:tr>
        <w:tblPrEx>
          <w:tblCellMar>
            <w:top w:w="15" w:type="dxa"/>
            <w:left w:w="15" w:type="dxa"/>
            <w:bottom w:w="15" w:type="dxa"/>
            <w:right w:w="15" w:type="dxa"/>
          </w:tblCellMar>
        </w:tblPrEx>
        <w:trPr>
          <w:trHeight w:val="1047"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新宋体"/>
                <w:color w:val="auto"/>
                <w:szCs w:val="21"/>
                <w:highlight w:val="none"/>
                <w:lang w:val="en-US" w:eastAsia="zh-CN"/>
              </w:rPr>
              <w:t>后续服务能力</w:t>
            </w:r>
          </w:p>
        </w:tc>
        <w:tc>
          <w:tcPr>
            <w:tcW w:w="6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color w:val="auto"/>
                <w:highlight w:val="none"/>
              </w:rPr>
            </w:pPr>
            <w:r>
              <w:rPr>
                <w:rFonts w:hint="eastAsia"/>
                <w:color w:val="auto"/>
                <w:highlight w:val="none"/>
              </w:rPr>
              <w:t>根据投标人的服务承诺和后续服务方案情况进行比较</w:t>
            </w:r>
            <w:r>
              <w:rPr>
                <w:rFonts w:hint="eastAsia"/>
                <w:color w:val="auto"/>
                <w:highlight w:val="none"/>
                <w:lang w:val="en-US" w:eastAsia="zh-CN"/>
              </w:rPr>
              <w:t>打</w:t>
            </w:r>
            <w:r>
              <w:rPr>
                <w:rFonts w:hint="eastAsia"/>
                <w:color w:val="auto"/>
                <w:highlight w:val="none"/>
              </w:rPr>
              <w:t>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服务方案全面、对后续服务有保障的的得2.0-4.0分；</w:t>
            </w:r>
          </w:p>
          <w:p>
            <w:pPr>
              <w:adjustRightInd w:val="0"/>
              <w:snapToGrid w:val="0"/>
              <w:rPr>
                <w:rFonts w:ascii="宋体" w:hAnsi="宋体" w:cs="宋体"/>
                <w:color w:val="auto"/>
                <w:szCs w:val="21"/>
                <w:highlight w:val="none"/>
              </w:rPr>
            </w:pPr>
            <w:r>
              <w:rPr>
                <w:rFonts w:hint="eastAsia" w:asciiTheme="minorEastAsia" w:hAnsiTheme="minorEastAsia" w:eastAsiaTheme="minorEastAsia" w:cstheme="minorEastAsia"/>
                <w:b w:val="0"/>
                <w:color w:val="auto"/>
                <w:sz w:val="21"/>
                <w:szCs w:val="21"/>
                <w:highlight w:val="none"/>
                <w:lang w:val="en-US" w:eastAsia="zh-CN"/>
              </w:rPr>
              <w:t>服务方案阐述较详尽，承诺不全面的得0.1-1.9分；未提及此项不得分。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textAlignment w:val="center"/>
              <w:rPr>
                <w:rFonts w:hint="eastAsia" w:ascii="宋体" w:hAnsi="宋体" w:cs="宋体"/>
                <w:color w:val="auto"/>
                <w:szCs w:val="21"/>
                <w:highlight w:val="none"/>
                <w:lang w:val="en-US" w:eastAsia="zh-CN"/>
              </w:rPr>
            </w:pPr>
          </w:p>
        </w:tc>
      </w:tr>
    </w:tbl>
    <w:p>
      <w:pPr>
        <w:pStyle w:val="4"/>
        <w:keepNext w:val="0"/>
        <w:keepLines w:val="0"/>
        <w:pageBreakBefore w:val="0"/>
        <w:kinsoku/>
        <w:wordWrap/>
        <w:overflowPunct/>
        <w:topLinePunct w:val="0"/>
        <w:bidi w:val="0"/>
        <w:outlineLvl w:val="9"/>
        <w:rPr>
          <w:color w:val="auto"/>
          <w:highlight w:val="none"/>
          <w:lang w:val="zh-CN"/>
        </w:rPr>
      </w:pPr>
    </w:p>
    <w:p>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b/>
          <w:color w:val="auto"/>
          <w:sz w:val="32"/>
          <w:szCs w:val="32"/>
          <w:highlight w:val="none"/>
        </w:rPr>
      </w:pPr>
      <w:r>
        <w:rPr>
          <w:rFonts w:hint="eastAsia"/>
          <w:b/>
          <w:color w:val="auto"/>
          <w:sz w:val="32"/>
          <w:szCs w:val="32"/>
          <w:highlight w:val="none"/>
        </w:rPr>
        <w:t>附件</w:t>
      </w:r>
      <w:r>
        <w:rPr>
          <w:rFonts w:hint="eastAsia"/>
          <w:b/>
          <w:color w:val="auto"/>
          <w:sz w:val="32"/>
          <w:szCs w:val="32"/>
          <w:highlight w:val="none"/>
          <w:lang w:val="en-US" w:eastAsia="zh-CN"/>
        </w:rPr>
        <w:t>6</w:t>
      </w:r>
      <w:r>
        <w:rPr>
          <w:rFonts w:hint="eastAsia"/>
          <w:b/>
          <w:color w:val="auto"/>
          <w:sz w:val="32"/>
          <w:szCs w:val="32"/>
          <w:highlight w:val="none"/>
        </w:rPr>
        <w:t>：</w:t>
      </w:r>
    </w:p>
    <w:p>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4"/>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16"/>
                <w:sz w:val="21"/>
                <w:szCs w:val="21"/>
                <w:highlight w:val="none"/>
              </w:rPr>
              <w:t>法定代表人</w:t>
            </w:r>
          </w:p>
        </w:tc>
        <w:tc>
          <w:tcPr>
            <w:tcW w:w="2151" w:type="dxa"/>
            <w:gridSpan w:val="2"/>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pPr>
              <w:keepNext w:val="0"/>
              <w:keepLines w:val="0"/>
              <w:pageBreakBefore w:val="0"/>
              <w:widowControl/>
              <w:kinsoku/>
              <w:wordWrap/>
              <w:overflowPunct/>
              <w:topLinePunct w:val="0"/>
              <w:bidi w:val="0"/>
              <w:jc w:val="left"/>
              <w:outlineLvl w:val="9"/>
              <w:rPr>
                <w:rFonts w:ascii="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ind w:left="107"/>
              <w:outlineLvl w:val="9"/>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pPr>
              <w:pStyle w:val="41"/>
              <w:keepNext w:val="0"/>
              <w:keepLines w:val="0"/>
              <w:pageBreakBefore w:val="0"/>
              <w:shd w:val="clear" w:color="auto" w:fill="FFFFFF"/>
              <w:kinsoku/>
              <w:wordWrap/>
              <w:overflowPunct/>
              <w:topLinePunct w:val="0"/>
              <w:bidi w:val="0"/>
              <w:ind w:left="107"/>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910" w:type="dxa"/>
            <w:tcBorders>
              <w:top w:val="nil"/>
            </w:tcBorders>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pPr>
              <w:keepNext w:val="0"/>
              <w:keepLines w:val="0"/>
              <w:pageBreakBefore w:val="0"/>
              <w:widowControl/>
              <w:kinsoku/>
              <w:wordWrap/>
              <w:overflowPunct/>
              <w:topLinePunct w:val="0"/>
              <w:bidi w:val="0"/>
              <w:jc w:val="left"/>
              <w:outlineLvl w:val="9"/>
              <w:rPr>
                <w:rFonts w:ascii="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001"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633" w:type="dxa"/>
            <w:vMerge w:val="continue"/>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001" w:type="dxa"/>
            <w:gridSpan w:val="3"/>
            <w:vMerge w:val="continue"/>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151" w:type="dxa"/>
            <w:gridSpan w:val="2"/>
            <w:vMerge w:val="continue"/>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1"/>
              <w:keepNext w:val="0"/>
              <w:keepLines w:val="0"/>
              <w:pageBreakBefore w:val="0"/>
              <w:shd w:val="clear" w:color="auto" w:fill="FFFFFF"/>
              <w:kinsoku/>
              <w:wordWrap/>
              <w:overflowPunct/>
              <w:topLinePunct w:val="0"/>
              <w:bidi w:val="0"/>
              <w:ind w:left="107"/>
              <w:outlineLvl w:val="9"/>
              <w:rPr>
                <w:rFonts w:hint="eastAsia"/>
                <w:bCs/>
                <w:color w:val="auto"/>
                <w:sz w:val="21"/>
                <w:szCs w:val="21"/>
                <w:highlight w:val="none"/>
                <w:lang w:val="en-US" w:eastAsia="zh-CN"/>
              </w:rPr>
            </w:pPr>
            <w:r>
              <w:rPr>
                <w:rFonts w:hint="eastAsia"/>
                <w:bCs/>
                <w:color w:val="auto"/>
                <w:sz w:val="21"/>
                <w:szCs w:val="21"/>
                <w:highlight w:val="none"/>
                <w:lang w:val="en-US" w:eastAsia="zh-CN"/>
              </w:rPr>
              <w:t>一、</w:t>
            </w:r>
          </w:p>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r>
              <w:rPr>
                <w:rFonts w:hint="eastAsia"/>
                <w:bCs/>
                <w:color w:val="auto"/>
                <w:sz w:val="21"/>
                <w:szCs w:val="21"/>
                <w:highlight w:val="none"/>
              </w:rPr>
              <w:t>企</w:t>
            </w:r>
          </w:p>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r>
              <w:rPr>
                <w:rFonts w:hint="eastAsia"/>
                <w:bCs/>
                <w:color w:val="auto"/>
                <w:sz w:val="21"/>
                <w:szCs w:val="21"/>
                <w:highlight w:val="none"/>
              </w:rPr>
              <w:t>业</w:t>
            </w:r>
          </w:p>
          <w:p>
            <w:pPr>
              <w:pStyle w:val="41"/>
              <w:keepNext w:val="0"/>
              <w:keepLines w:val="0"/>
              <w:pageBreakBefore w:val="0"/>
              <w:shd w:val="clear" w:color="auto" w:fill="FFFFFF"/>
              <w:kinsoku/>
              <w:wordWrap/>
              <w:overflowPunct/>
              <w:topLinePunct w:val="0"/>
              <w:bidi w:val="0"/>
              <w:ind w:left="107"/>
              <w:outlineLvl w:val="9"/>
              <w:rPr>
                <w:bCs/>
                <w:color w:val="auto"/>
                <w:spacing w:val="27"/>
                <w:sz w:val="21"/>
                <w:szCs w:val="21"/>
                <w:highlight w:val="none"/>
              </w:rPr>
            </w:pPr>
            <w:r>
              <w:rPr>
                <w:rFonts w:hint="eastAsia"/>
                <w:bCs/>
                <w:color w:val="auto"/>
                <w:spacing w:val="27"/>
                <w:sz w:val="21"/>
                <w:szCs w:val="21"/>
                <w:highlight w:val="none"/>
              </w:rPr>
              <w:t>概</w:t>
            </w:r>
          </w:p>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1163" w:type="dxa"/>
            <w:gridSpan w:val="2"/>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pPr>
              <w:keepNext w:val="0"/>
              <w:keepLines w:val="0"/>
              <w:pageBreakBefore w:val="0"/>
              <w:widowControl/>
              <w:kinsoku/>
              <w:wordWrap/>
              <w:overflowPunct/>
              <w:topLinePunct w:val="0"/>
              <w:bidi w:val="0"/>
              <w:jc w:val="left"/>
              <w:outlineLvl w:val="9"/>
              <w:rPr>
                <w:rFonts w:ascii="宋体" w:cs="宋体"/>
                <w:bCs/>
                <w:color w:val="auto"/>
                <w:spacing w:val="16"/>
                <w:kern w:val="0"/>
                <w:szCs w:val="21"/>
                <w:highlight w:val="none"/>
              </w:rPr>
            </w:pPr>
          </w:p>
          <w:p>
            <w:pPr>
              <w:keepNext w:val="0"/>
              <w:keepLines w:val="0"/>
              <w:pageBreakBefore w:val="0"/>
              <w:widowControl/>
              <w:kinsoku/>
              <w:wordWrap/>
              <w:overflowPunct/>
              <w:topLinePunct w:val="0"/>
              <w:bidi w:val="0"/>
              <w:jc w:val="left"/>
              <w:outlineLvl w:val="9"/>
              <w:rPr>
                <w:rFonts w:ascii="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pPr>
              <w:keepNext w:val="0"/>
              <w:keepLines w:val="0"/>
              <w:pageBreakBefore w:val="0"/>
              <w:widowControl/>
              <w:kinsoku/>
              <w:wordWrap/>
              <w:overflowPunct/>
              <w:topLinePunct w:val="0"/>
              <w:bidi w:val="0"/>
              <w:jc w:val="left"/>
              <w:outlineLvl w:val="9"/>
              <w:rPr>
                <w:rFonts w:ascii="宋体" w:cs="宋体"/>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16"/>
                <w:sz w:val="21"/>
                <w:szCs w:val="21"/>
                <w:highlight w:val="none"/>
              </w:rPr>
              <w:t>占地面积</w:t>
            </w:r>
          </w:p>
        </w:tc>
        <w:tc>
          <w:tcPr>
            <w:tcW w:w="910" w:type="dxa"/>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z w:val="21"/>
                <w:szCs w:val="21"/>
                <w:highlight w:val="none"/>
              </w:rPr>
              <w:t>平方米</w:t>
            </w:r>
          </w:p>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ind w:left="2"/>
              <w:outlineLvl w:val="9"/>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pPr>
              <w:pStyle w:val="41"/>
              <w:keepNext w:val="0"/>
              <w:keepLines w:val="0"/>
              <w:pageBreakBefore w:val="0"/>
              <w:shd w:val="clear" w:color="auto" w:fill="FFFFFF"/>
              <w:kinsoku/>
              <w:wordWrap/>
              <w:overflowPunct/>
              <w:topLinePunct w:val="0"/>
              <w:bidi w:val="0"/>
              <w:ind w:left="2"/>
              <w:outlineLvl w:val="9"/>
              <w:rPr>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pPr>
              <w:keepNext w:val="0"/>
              <w:keepLines w:val="0"/>
              <w:pageBreakBefore w:val="0"/>
              <w:widowControl/>
              <w:kinsoku/>
              <w:wordWrap/>
              <w:overflowPunct/>
              <w:topLinePunct w:val="0"/>
              <w:bidi w:val="0"/>
              <w:jc w:val="left"/>
              <w:outlineLvl w:val="9"/>
              <w:rPr>
                <w:rFonts w:ascii="宋体" w:cs="宋体"/>
                <w:bCs/>
                <w:color w:val="auto"/>
                <w:kern w:val="0"/>
                <w:szCs w:val="21"/>
                <w:highlight w:val="none"/>
              </w:rPr>
            </w:pPr>
          </w:p>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1218" w:type="dxa"/>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ind w:left="2"/>
              <w:outlineLvl w:val="9"/>
              <w:rPr>
                <w:bCs/>
                <w:color w:val="auto"/>
                <w:sz w:val="21"/>
                <w:szCs w:val="21"/>
                <w:highlight w:val="none"/>
              </w:rPr>
            </w:pPr>
            <w:r>
              <w:rPr>
                <w:rFonts w:hint="eastAsia"/>
                <w:bCs/>
                <w:color w:val="auto"/>
                <w:sz w:val="21"/>
                <w:szCs w:val="21"/>
                <w:highlight w:val="none"/>
              </w:rPr>
              <w:t>核准经营范围</w:t>
            </w:r>
          </w:p>
        </w:tc>
        <w:tc>
          <w:tcPr>
            <w:tcW w:w="7430" w:type="dxa"/>
            <w:gridSpan w:val="10"/>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8063" w:type="dxa"/>
            <w:gridSpan w:val="11"/>
          </w:tcPr>
          <w:p>
            <w:pPr>
              <w:pStyle w:val="41"/>
              <w:keepNext w:val="0"/>
              <w:keepLines w:val="0"/>
              <w:pageBreakBefore w:val="0"/>
              <w:shd w:val="clear" w:color="auto" w:fill="FFFFFF"/>
              <w:kinsoku/>
              <w:wordWrap/>
              <w:overflowPunct/>
              <w:topLinePunct w:val="0"/>
              <w:bidi w:val="0"/>
              <w:outlineLvl w:val="9"/>
              <w:rPr>
                <w:bCs/>
                <w:color w:val="auto"/>
                <w:spacing w:val="13"/>
                <w:sz w:val="21"/>
                <w:szCs w:val="21"/>
                <w:highlight w:val="none"/>
              </w:rPr>
            </w:pPr>
            <w:r>
              <w:rPr>
                <w:rFonts w:hint="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1"/>
              <w:keepNext w:val="0"/>
              <w:keepLines w:val="0"/>
              <w:pageBreakBefore w:val="0"/>
              <w:shd w:val="clear" w:color="auto" w:fill="FFFFFF"/>
              <w:kinsoku/>
              <w:wordWrap/>
              <w:overflowPunct/>
              <w:topLinePunct w:val="0"/>
              <w:bidi w:val="0"/>
              <w:ind w:left="107"/>
              <w:outlineLvl w:val="9"/>
              <w:rPr>
                <w:rFonts w:hint="eastAsia" w:eastAsia="宋体"/>
                <w:bCs/>
                <w:color w:val="auto"/>
                <w:sz w:val="21"/>
                <w:szCs w:val="21"/>
                <w:highlight w:val="none"/>
                <w:lang w:eastAsia="zh-CN"/>
              </w:rPr>
            </w:pPr>
            <w:r>
              <w:rPr>
                <w:rFonts w:hint="eastAsia"/>
                <w:bCs/>
                <w:color w:val="auto"/>
                <w:sz w:val="21"/>
                <w:szCs w:val="21"/>
                <w:highlight w:val="none"/>
                <w:lang w:val="en-US" w:eastAsia="zh-CN"/>
              </w:rPr>
              <w:t>二、</w:t>
            </w:r>
          </w:p>
          <w:p>
            <w:pPr>
              <w:pStyle w:val="41"/>
              <w:keepNext w:val="0"/>
              <w:keepLines w:val="0"/>
              <w:pageBreakBefore w:val="0"/>
              <w:shd w:val="clear" w:color="auto" w:fill="FFFFFF"/>
              <w:kinsoku/>
              <w:wordWrap/>
              <w:overflowPunct/>
              <w:topLinePunct w:val="0"/>
              <w:bidi w:val="0"/>
              <w:ind w:left="107"/>
              <w:outlineLvl w:val="9"/>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pPr>
              <w:pStyle w:val="41"/>
              <w:keepNext w:val="0"/>
              <w:keepLines w:val="0"/>
              <w:pageBreakBefore w:val="0"/>
              <w:shd w:val="clear" w:color="auto" w:fill="FFFFFF"/>
              <w:kinsoku/>
              <w:wordWrap/>
              <w:overflowPunct/>
              <w:topLinePunct w:val="0"/>
              <w:bidi w:val="0"/>
              <w:ind w:right="-78" w:rightChars="-37"/>
              <w:outlineLvl w:val="9"/>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outlineLvl w:val="9"/>
              <w:rPr>
                <w:bCs/>
                <w:color w:val="auto"/>
                <w:sz w:val="21"/>
                <w:szCs w:val="21"/>
                <w:highlight w:val="none"/>
              </w:rPr>
            </w:pPr>
            <w:r>
              <w:rPr>
                <w:rFonts w:hint="eastAsia"/>
                <w:bCs/>
                <w:color w:val="auto"/>
                <w:spacing w:val="16"/>
                <w:sz w:val="21"/>
                <w:szCs w:val="21"/>
                <w:highlight w:val="none"/>
              </w:rPr>
              <w:t>发证机关</w:t>
            </w:r>
          </w:p>
        </w:tc>
        <w:tc>
          <w:tcPr>
            <w:tcW w:w="1276" w:type="dxa"/>
          </w:tcPr>
          <w:p>
            <w:pPr>
              <w:pStyle w:val="41"/>
              <w:keepNext w:val="0"/>
              <w:keepLines w:val="0"/>
              <w:pageBreakBefore w:val="0"/>
              <w:shd w:val="clear" w:color="auto" w:fill="FFFFFF"/>
              <w:kinsoku/>
              <w:wordWrap/>
              <w:overflowPunct/>
              <w:topLinePunct w:val="0"/>
              <w:bidi w:val="0"/>
              <w:jc w:val="center"/>
              <w:outlineLvl w:val="9"/>
              <w:rPr>
                <w:bCs/>
                <w:color w:val="auto"/>
                <w:sz w:val="21"/>
                <w:szCs w:val="21"/>
                <w:highlight w:val="none"/>
              </w:rPr>
            </w:pPr>
            <w:r>
              <w:rPr>
                <w:rFonts w:hint="eastAsia"/>
                <w:bCs/>
                <w:color w:val="auto"/>
                <w:spacing w:val="27"/>
                <w:sz w:val="21"/>
                <w:szCs w:val="21"/>
                <w:highlight w:val="none"/>
              </w:rPr>
              <w:t>编号</w:t>
            </w:r>
          </w:p>
        </w:tc>
        <w:tc>
          <w:tcPr>
            <w:tcW w:w="1618" w:type="dxa"/>
            <w:gridSpan w:val="2"/>
          </w:tcPr>
          <w:p>
            <w:pPr>
              <w:pStyle w:val="41"/>
              <w:keepNext w:val="0"/>
              <w:keepLines w:val="0"/>
              <w:pageBreakBefore w:val="0"/>
              <w:shd w:val="clear" w:color="auto" w:fill="FFFFFF"/>
              <w:kinsoku/>
              <w:wordWrap/>
              <w:overflowPunct/>
              <w:topLinePunct w:val="0"/>
              <w:bidi w:val="0"/>
              <w:jc w:val="center"/>
              <w:outlineLvl w:val="9"/>
              <w:rPr>
                <w:bCs/>
                <w:color w:val="auto"/>
                <w:sz w:val="21"/>
                <w:szCs w:val="21"/>
                <w:highlight w:val="none"/>
              </w:rPr>
            </w:pPr>
            <w:r>
              <w:rPr>
                <w:rFonts w:hint="eastAsia"/>
                <w:bCs/>
                <w:color w:val="auto"/>
                <w:spacing w:val="16"/>
                <w:sz w:val="21"/>
                <w:szCs w:val="21"/>
                <w:highlight w:val="none"/>
              </w:rPr>
              <w:t>发证时间</w:t>
            </w:r>
          </w:p>
        </w:tc>
        <w:tc>
          <w:tcPr>
            <w:tcW w:w="933" w:type="dxa"/>
          </w:tcPr>
          <w:p>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bCs/>
                <w:color w:val="auto"/>
                <w:sz w:val="21"/>
                <w:szCs w:val="21"/>
                <w:highlight w:val="none"/>
              </w:rPr>
            </w:pPr>
            <w:r>
              <w:rPr>
                <w:rFonts w:hint="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z w:val="21"/>
                <w:szCs w:val="21"/>
                <w:highlight w:val="none"/>
              </w:rPr>
            </w:pPr>
          </w:p>
        </w:tc>
        <w:tc>
          <w:tcPr>
            <w:tcW w:w="1854" w:type="dxa"/>
            <w:gridSpan w:val="3"/>
            <w:vMerge w:val="continue"/>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964" w:type="dxa"/>
            <w:gridSpan w:val="2"/>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1418" w:type="dxa"/>
            <w:gridSpan w:val="2"/>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1276" w:type="dxa"/>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c>
          <w:tcPr>
            <w:tcW w:w="2551" w:type="dxa"/>
            <w:gridSpan w:val="3"/>
          </w:tcPr>
          <w:p>
            <w:pPr>
              <w:pStyle w:val="41"/>
              <w:keepNext w:val="0"/>
              <w:keepLines w:val="0"/>
              <w:pageBreakBefore w:val="0"/>
              <w:shd w:val="clear" w:color="auto" w:fill="FFFFFF"/>
              <w:kinsoku/>
              <w:wordWrap/>
              <w:overflowPunct/>
              <w:topLinePunct w:val="0"/>
              <w:bidi w:val="0"/>
              <w:outlineLvl w:val="9"/>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pacing w:val="16"/>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right="-107" w:rightChars="-51"/>
              <w:outlineLvl w:val="9"/>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1"/>
              <w:keepNext w:val="0"/>
              <w:keepLines w:val="0"/>
              <w:pageBreakBefore w:val="0"/>
              <w:shd w:val="clear" w:color="auto" w:fill="FFFFFF"/>
              <w:kinsoku/>
              <w:wordWrap/>
              <w:overflowPunct/>
              <w:topLinePunct w:val="0"/>
              <w:bidi w:val="0"/>
              <w:ind w:left="107"/>
              <w:outlineLvl w:val="9"/>
              <w:rPr>
                <w:bCs/>
                <w:color w:val="auto"/>
                <w:spacing w:val="27"/>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pPr>
              <w:pStyle w:val="41"/>
              <w:keepNext w:val="0"/>
              <w:keepLines w:val="0"/>
              <w:pageBreakBefore w:val="0"/>
              <w:shd w:val="clear" w:color="auto" w:fill="FFFFFF"/>
              <w:kinsoku/>
              <w:wordWrap/>
              <w:overflowPunct/>
              <w:topLinePunct w:val="0"/>
              <w:bidi w:val="0"/>
              <w:outlineLvl w:val="9"/>
              <w:rPr>
                <w:bCs/>
                <w:color w:val="auto"/>
                <w:spacing w:val="16"/>
                <w:sz w:val="21"/>
                <w:szCs w:val="21"/>
                <w:highlight w:val="none"/>
              </w:rPr>
            </w:pPr>
          </w:p>
        </w:tc>
      </w:tr>
    </w:tbl>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ascii="仿宋_GB2312" w:eastAsia="仿宋_GB2312"/>
          <w:color w:val="auto"/>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color w:val="auto"/>
          <w:sz w:val="21"/>
          <w:szCs w:val="21"/>
          <w:highlight w:val="none"/>
        </w:rPr>
      </w:pPr>
      <w:r>
        <w:rPr>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color w:val="auto"/>
          <w:sz w:val="21"/>
          <w:szCs w:val="21"/>
          <w:highlight w:val="none"/>
        </w:rPr>
      </w:pPr>
      <w:r>
        <w:rPr>
          <w:rFonts w:hint="eastAsia"/>
          <w:color w:val="auto"/>
          <w:sz w:val="21"/>
          <w:szCs w:val="21"/>
          <w:highlight w:val="none"/>
        </w:rPr>
        <w:t>日期：</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eastAsia="宋体"/>
          <w:color w:val="auto"/>
          <w:highlight w:val="none"/>
          <w:lang w:eastAsia="zh-CN"/>
        </w:rPr>
      </w:pPr>
      <w:r>
        <w:rPr>
          <w:rFonts w:hint="eastAsia"/>
          <w:b/>
          <w:color w:val="auto"/>
          <w:sz w:val="28"/>
          <w:highlight w:val="none"/>
        </w:rPr>
        <w:t>附件</w:t>
      </w:r>
      <w:r>
        <w:rPr>
          <w:rFonts w:hint="eastAsia"/>
          <w:b/>
          <w:color w:val="auto"/>
          <w:sz w:val="28"/>
          <w:highlight w:val="none"/>
          <w:lang w:val="en-US" w:eastAsia="zh-CN"/>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24"/>
        <w:tblW w:w="9163" w:type="dxa"/>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871"/>
        <w:gridCol w:w="921"/>
        <w:gridCol w:w="889"/>
        <w:gridCol w:w="1586"/>
        <w:gridCol w:w="1254"/>
        <w:gridCol w:w="1371"/>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1545"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kinsoku/>
              <w:overflowPunct/>
              <w:topLinePunct w:val="0"/>
              <w:bidi w:val="0"/>
              <w:spacing w:line="360" w:lineRule="auto"/>
              <w:ind w:left="5250"/>
              <w:outlineLvl w:val="9"/>
              <w:rPr>
                <w:rFonts w:ascii="宋体" w:eastAsia="宋体"/>
                <w:color w:val="auto"/>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545"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bl>
    <w:p>
      <w:pPr>
        <w:keepNext w:val="0"/>
        <w:keepLines w:val="0"/>
        <w:pageBreakBefore w:val="0"/>
        <w:kinsoku/>
        <w:wordWrap/>
        <w:overflowPunct/>
        <w:topLinePunct w:val="0"/>
        <w:bidi w:val="0"/>
        <w:spacing w:line="360" w:lineRule="auto"/>
        <w:outlineLvl w:val="9"/>
        <w:rPr>
          <w:rFonts w:ascii="宋体"/>
          <w:b/>
          <w:color w:val="auto"/>
          <w:szCs w:val="21"/>
          <w:highlight w:val="none"/>
        </w:rPr>
      </w:pPr>
      <w:r>
        <w:rPr>
          <w:rFonts w:hint="eastAsia" w:ascii="宋体" w:hAnsi="宋体"/>
          <w:b/>
          <w:color w:val="auto"/>
          <w:szCs w:val="21"/>
          <w:highlight w:val="none"/>
        </w:rPr>
        <w:t>要求：</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w:t>
      </w:r>
      <w:r>
        <w:rPr>
          <w:rFonts w:hint="eastAsia" w:ascii="宋体" w:hAnsi="宋体"/>
          <w:color w:val="auto"/>
          <w:szCs w:val="21"/>
          <w:highlight w:val="none"/>
        </w:rPr>
        <w:t>在填写时，如本表格不适合投标单位的实际情况，可根据本表格式自行划表填写。</w:t>
      </w:r>
    </w:p>
    <w:p>
      <w:pPr>
        <w:pStyle w:val="42"/>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附人员证书复印件；</w:t>
      </w:r>
    </w:p>
    <w:p>
      <w:pPr>
        <w:pStyle w:val="42"/>
        <w:keepNext w:val="0"/>
        <w:keepLines w:val="0"/>
        <w:pageBreakBefore w:val="0"/>
        <w:kinsoku/>
        <w:wordWrap/>
        <w:overflowPunct/>
        <w:topLinePunct w:val="0"/>
        <w:bidi w:val="0"/>
        <w:spacing w:line="360" w:lineRule="auto"/>
        <w:outlineLvl w:val="9"/>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出具上述人员在本单位服务的外部证明，如：投标截止日之前六个月以内的代缴个税税单、参加社会保险的《投保单》或《社会保险参保人员证明》等。</w:t>
      </w:r>
    </w:p>
    <w:p>
      <w:pPr>
        <w:keepNext w:val="0"/>
        <w:keepLines w:val="0"/>
        <w:pageBreakBefore w:val="0"/>
        <w:kinsoku/>
        <w:wordWrap/>
        <w:overflowPunct/>
        <w:topLinePunct w:val="0"/>
        <w:bidi w:val="0"/>
        <w:spacing w:line="360" w:lineRule="auto"/>
        <w:ind w:left="420"/>
        <w:outlineLvl w:val="9"/>
        <w:rPr>
          <w:rFonts w:ascii="宋体" w:hAnsi="宋体"/>
          <w:color w:val="auto"/>
          <w:szCs w:val="21"/>
          <w:highlight w:val="none"/>
        </w:rPr>
      </w:pPr>
    </w:p>
    <w:p>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投标人名称（盖章）：</w:t>
      </w:r>
    </w:p>
    <w:p>
      <w:pPr>
        <w:spacing w:line="360" w:lineRule="auto"/>
        <w:ind w:left="420"/>
        <w:rPr>
          <w:rFonts w:ascii="宋体"/>
          <w:color w:val="auto"/>
          <w:sz w:val="21"/>
          <w:szCs w:val="21"/>
          <w:highlight w:val="none"/>
        </w:rPr>
      </w:pPr>
    </w:p>
    <w:p>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pPr>
        <w:spacing w:line="360" w:lineRule="auto"/>
        <w:rPr>
          <w:rFonts w:ascii="宋体"/>
          <w:color w:val="auto"/>
          <w:sz w:val="21"/>
          <w:szCs w:val="21"/>
          <w:highlight w:val="none"/>
        </w:rPr>
      </w:pPr>
    </w:p>
    <w:p>
      <w:pPr>
        <w:spacing w:line="360" w:lineRule="auto"/>
        <w:ind w:firstLine="435"/>
        <w:rPr>
          <w:rFonts w:ascii="宋体"/>
          <w:color w:val="auto"/>
          <w:sz w:val="21"/>
          <w:szCs w:val="21"/>
          <w:highlight w:val="none"/>
        </w:rPr>
      </w:pPr>
      <w:r>
        <w:rPr>
          <w:rFonts w:hint="eastAsia" w:ascii="宋体" w:hAnsi="宋体"/>
          <w:color w:val="auto"/>
          <w:sz w:val="21"/>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cs="Times New Roman"/>
          <w:b/>
          <w:color w:val="auto"/>
          <w:sz w:val="32"/>
          <w:szCs w:val="32"/>
          <w:highlight w:val="none"/>
        </w:rPr>
      </w:pPr>
      <w:r>
        <w:rPr>
          <w:rFonts w:hint="eastAsia" w:ascii="宋体" w:hAnsi="宋体" w:cs="Times New Roman"/>
          <w:b/>
          <w:color w:val="auto"/>
          <w:sz w:val="32"/>
          <w:szCs w:val="32"/>
          <w:highlight w:val="none"/>
        </w:rPr>
        <w:t>项目负责人资格情况表</w:t>
      </w:r>
    </w:p>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color w:val="auto"/>
          <w:szCs w:val="21"/>
          <w:highlight w:val="none"/>
        </w:rPr>
        <w:t>采购项目：采购编号：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r>
              <w:rPr>
                <w:rFonts w:hint="eastAsia" w:ascii="宋体" w:hAnsi="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ascii="宋体"/>
          <w:b/>
          <w:color w:val="auto"/>
          <w:szCs w:val="21"/>
          <w:highlight w:val="none"/>
        </w:rPr>
      </w:pPr>
    </w:p>
    <w:p>
      <w:pPr>
        <w:pStyle w:val="4"/>
        <w:keepNext w:val="0"/>
        <w:keepLines w:val="0"/>
        <w:pageBreakBefore w:val="0"/>
        <w:kinsoku/>
        <w:wordWrap/>
        <w:overflowPunct/>
        <w:topLinePunct w:val="0"/>
        <w:bidi w:val="0"/>
        <w:outlineLvl w:val="9"/>
        <w:rPr>
          <w:color w:val="auto"/>
          <w:highlight w:val="none"/>
        </w:rPr>
      </w:pPr>
    </w:p>
    <w:p>
      <w:pPr>
        <w:pStyle w:val="4"/>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snapToGrid w:val="0"/>
        <w:spacing w:before="50" w:after="50" w:line="360" w:lineRule="auto"/>
        <w:outlineLvl w:val="9"/>
        <w:rPr>
          <w:rFonts w:hint="eastAsia" w:asci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keepNext w:val="0"/>
        <w:keepLines w:val="0"/>
        <w:pageBreakBefore w:val="0"/>
        <w:kinsoku/>
        <w:wordWrap/>
        <w:overflowPunct/>
        <w:topLinePunct w:val="0"/>
        <w:bidi w:val="0"/>
        <w:spacing w:line="360" w:lineRule="auto"/>
        <w:ind w:left="480"/>
        <w:jc w:val="center"/>
        <w:outlineLvl w:val="9"/>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keepNext w:val="0"/>
        <w:keepLines w:val="0"/>
        <w:pageBreakBefore w:val="0"/>
        <w:kinsoku/>
        <w:wordWrap/>
        <w:overflowPunct/>
        <w:topLinePunct w:val="0"/>
        <w:bidi w:val="0"/>
        <w:spacing w:line="360" w:lineRule="auto"/>
        <w:outlineLvl w:val="9"/>
        <w:rPr>
          <w:rFonts w:ascii="宋体"/>
          <w:color w:val="auto"/>
          <w:szCs w:val="21"/>
          <w:highlight w:val="none"/>
        </w:rPr>
      </w:pPr>
    </w:p>
    <w:tbl>
      <w:tblPr>
        <w:tblStyle w:val="24"/>
        <w:tblW w:w="8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096"/>
        <w:gridCol w:w="1832"/>
        <w:gridCol w:w="164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863"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序号</w:t>
            </w:r>
          </w:p>
        </w:tc>
        <w:tc>
          <w:tcPr>
            <w:tcW w:w="2096"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名称</w:t>
            </w:r>
          </w:p>
        </w:tc>
        <w:tc>
          <w:tcPr>
            <w:tcW w:w="1832"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招标参数</w:t>
            </w:r>
          </w:p>
        </w:tc>
        <w:tc>
          <w:tcPr>
            <w:tcW w:w="1645"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投标参数</w:t>
            </w:r>
          </w:p>
        </w:tc>
        <w:tc>
          <w:tcPr>
            <w:tcW w:w="1603"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6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96"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832"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4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603"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bl>
    <w:p>
      <w:pPr>
        <w:pStyle w:val="43"/>
        <w:keepNext w:val="0"/>
        <w:keepLines w:val="0"/>
        <w:pageBreakBefore w:val="0"/>
        <w:tabs>
          <w:tab w:val="left" w:pos="360"/>
        </w:tabs>
        <w:kinsoku/>
        <w:wordWrap/>
        <w:overflowPunct/>
        <w:topLinePunct w:val="0"/>
        <w:bidi w:val="0"/>
        <w:spacing w:line="360" w:lineRule="auto"/>
        <w:ind w:right="84" w:rightChars="40"/>
        <w:outlineLvl w:val="9"/>
        <w:rPr>
          <w:rFonts w:ascii="宋体"/>
          <w:b/>
          <w:color w:val="auto"/>
          <w:szCs w:val="21"/>
          <w:highlight w:val="none"/>
        </w:rPr>
      </w:pPr>
      <w:r>
        <w:rPr>
          <w:rFonts w:hint="eastAsia" w:ascii="宋体"/>
          <w:b/>
          <w:color w:val="auto"/>
          <w:szCs w:val="21"/>
          <w:highlight w:val="none"/>
        </w:rPr>
        <w:t>要求：</w:t>
      </w:r>
    </w:p>
    <w:p>
      <w:pPr>
        <w:pStyle w:val="43"/>
        <w:keepNext w:val="0"/>
        <w:keepLines w:val="0"/>
        <w:pageBreakBefore w:val="0"/>
        <w:tabs>
          <w:tab w:val="left" w:pos="360"/>
        </w:tabs>
        <w:kinsoku/>
        <w:wordWrap/>
        <w:overflowPunct/>
        <w:topLinePunct w:val="0"/>
        <w:bidi w:val="0"/>
        <w:spacing w:line="360" w:lineRule="auto"/>
        <w:ind w:right="84" w:rightChars="40" w:firstLine="420" w:firstLineChars="200"/>
        <w:outlineLvl w:val="9"/>
        <w:rPr>
          <w:rFonts w:ascii="宋体"/>
          <w:color w:val="auto"/>
          <w:szCs w:val="21"/>
          <w:highlight w:val="none"/>
        </w:rPr>
      </w:pPr>
      <w:r>
        <w:rPr>
          <w:rFonts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本表的名称须与《报价明细表》一致。</w:t>
      </w:r>
    </w:p>
    <w:p>
      <w:pPr>
        <w:pStyle w:val="43"/>
        <w:keepNext w:val="0"/>
        <w:keepLines w:val="0"/>
        <w:pageBreakBefore w:val="0"/>
        <w:kinsoku/>
        <w:wordWrap/>
        <w:overflowPunct/>
        <w:topLinePunct w:val="0"/>
        <w:bidi w:val="0"/>
        <w:spacing w:line="360" w:lineRule="auto"/>
        <w:ind w:right="84" w:rightChars="40" w:firstLine="420" w:firstLineChars="200"/>
        <w:outlineLvl w:val="9"/>
        <w:rPr>
          <w:rFonts w:ascii="宋体"/>
          <w:color w:val="auto"/>
          <w:szCs w:val="21"/>
          <w:highlight w:val="none"/>
        </w:rPr>
      </w:pPr>
      <w:r>
        <w:rPr>
          <w:rFonts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本表参照本招标文件第</w:t>
      </w:r>
      <w:r>
        <w:rPr>
          <w:rFonts w:hint="eastAsia" w:ascii="宋体"/>
          <w:color w:val="auto"/>
          <w:szCs w:val="21"/>
          <w:highlight w:val="none"/>
          <w:lang w:val="en-US" w:eastAsia="zh-CN"/>
        </w:rPr>
        <w:t>四</w:t>
      </w:r>
      <w:r>
        <w:rPr>
          <w:rFonts w:hint="eastAsia" w:ascii="宋体"/>
          <w:color w:val="auto"/>
          <w:szCs w:val="21"/>
          <w:highlight w:val="none"/>
        </w:rPr>
        <w:t>部分“招标需求”内第二条“具体技术需求”填制，投标人应根据投标设备的性能指标、服务指标，对照招标文件要求在“偏离情况”栏注明“正偏离”、“负偏离”或“无偏离”。</w:t>
      </w:r>
    </w:p>
    <w:p>
      <w:pPr>
        <w:pStyle w:val="43"/>
        <w:keepNext w:val="0"/>
        <w:keepLines w:val="0"/>
        <w:pageBreakBefore w:val="0"/>
        <w:kinsoku/>
        <w:wordWrap/>
        <w:overflowPunct/>
        <w:topLinePunct w:val="0"/>
        <w:bidi w:val="0"/>
        <w:spacing w:line="360" w:lineRule="auto"/>
        <w:ind w:right="84" w:rightChars="40" w:firstLine="420" w:firstLineChars="200"/>
        <w:outlineLvl w:val="9"/>
        <w:rPr>
          <w:rFonts w:ascii="宋体"/>
          <w:color w:val="auto"/>
          <w:szCs w:val="21"/>
          <w:highlight w:val="none"/>
        </w:rPr>
      </w:pPr>
      <w:r>
        <w:rPr>
          <w:rFonts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日期：</w:t>
      </w:r>
    </w:p>
    <w:p>
      <w:pPr>
        <w:pStyle w:val="44"/>
        <w:keepNext w:val="0"/>
        <w:keepLines w:val="0"/>
        <w:pageBreakBefore w:val="0"/>
        <w:kinsoku/>
        <w:wordWrap/>
        <w:overflowPunct/>
        <w:topLinePunct w:val="0"/>
        <w:bidi w:val="0"/>
        <w:spacing w:line="360" w:lineRule="auto"/>
        <w:jc w:val="left"/>
        <w:outlineLvl w:val="9"/>
        <w:rPr>
          <w:rFonts w:ascii="宋体"/>
          <w:b/>
          <w:color w:val="auto"/>
          <w:sz w:val="28"/>
          <w:highlight w:val="none"/>
        </w:rPr>
      </w:pPr>
    </w:p>
    <w:p>
      <w:pPr>
        <w:pStyle w:val="44"/>
        <w:keepNext w:val="0"/>
        <w:keepLines w:val="0"/>
        <w:pageBreakBefore w:val="0"/>
        <w:kinsoku/>
        <w:wordWrap/>
        <w:overflowPunct/>
        <w:topLinePunct w:val="0"/>
        <w:bidi w:val="0"/>
        <w:spacing w:line="360" w:lineRule="auto"/>
        <w:jc w:val="left"/>
        <w:outlineLvl w:val="9"/>
        <w:rPr>
          <w:rFonts w:hint="eastAsia" w:ascii="宋体" w:hAnsi="宋体"/>
          <w:b/>
          <w:color w:val="auto"/>
          <w:sz w:val="28"/>
          <w:highlight w:val="none"/>
        </w:rPr>
      </w:pPr>
    </w:p>
    <w:p>
      <w:pPr>
        <w:pStyle w:val="44"/>
        <w:keepNext w:val="0"/>
        <w:keepLines w:val="0"/>
        <w:pageBreakBefore w:val="0"/>
        <w:kinsoku/>
        <w:wordWrap/>
        <w:overflowPunct/>
        <w:topLinePunct w:val="0"/>
        <w:bidi w:val="0"/>
        <w:spacing w:line="360" w:lineRule="auto"/>
        <w:jc w:val="left"/>
        <w:outlineLvl w:val="9"/>
        <w:rPr>
          <w:rFonts w:hint="eastAsia" w:asci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0</w:t>
      </w:r>
    </w:p>
    <w:p>
      <w:pPr>
        <w:pStyle w:val="45"/>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rPr>
        <w:t>企业证书一览表</w:t>
      </w:r>
    </w:p>
    <w:p>
      <w:pPr>
        <w:pStyle w:val="45"/>
        <w:keepNext w:val="0"/>
        <w:keepLines w:val="0"/>
        <w:pageBreakBefore w:val="0"/>
        <w:kinsoku/>
        <w:wordWrap/>
        <w:overflowPunct/>
        <w:topLinePunct w:val="0"/>
        <w:bidi w:val="0"/>
        <w:spacing w:line="360" w:lineRule="auto"/>
        <w:jc w:val="center"/>
        <w:outlineLvl w:val="9"/>
        <w:rPr>
          <w:rFonts w:ascii="宋体" w:cs="Arial"/>
          <w:color w:val="auto"/>
          <w:sz w:val="24"/>
          <w:highlight w:val="none"/>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doub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doub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b/>
                <w:bCs/>
                <w:color w:val="auto"/>
                <w:szCs w:val="21"/>
                <w:highlight w:val="none"/>
              </w:rPr>
            </w:pPr>
            <w:r>
              <w:rPr>
                <w:rFonts w:hint="eastAsia" w:ascii="宋体" w:hAnsi="宋体" w:cs="Arial"/>
                <w:b/>
                <w:bCs/>
                <w:color w:val="auto"/>
                <w:szCs w:val="21"/>
                <w:highlight w:val="none"/>
              </w:rPr>
              <w:t>证书等级</w:t>
            </w:r>
          </w:p>
        </w:tc>
        <w:tc>
          <w:tcPr>
            <w:tcW w:w="2047" w:type="dxa"/>
            <w:tcBorders>
              <w:top w:val="double" w:color="auto" w:sz="4" w:space="0"/>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58" w:type="dxa"/>
            <w:tcBorders>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260" w:type="dxa"/>
            <w:tcBorders>
              <w:bottom w:val="doub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c>
          <w:tcPr>
            <w:tcW w:w="2047" w:type="dxa"/>
            <w:tcBorders>
              <w:bottom w:val="double" w:color="auto" w:sz="4" w:space="0"/>
              <w:right w:val="single" w:color="auto" w:sz="4" w:space="0"/>
            </w:tcBorders>
          </w:tcPr>
          <w:p>
            <w:pPr>
              <w:pStyle w:val="45"/>
              <w:keepNext w:val="0"/>
              <w:keepLines w:val="0"/>
              <w:pageBreakBefore w:val="0"/>
              <w:kinsoku/>
              <w:wordWrap/>
              <w:overflowPunct/>
              <w:topLinePunct w:val="0"/>
              <w:bidi w:val="0"/>
              <w:spacing w:line="360" w:lineRule="auto"/>
              <w:jc w:val="center"/>
              <w:outlineLvl w:val="9"/>
              <w:rPr>
                <w:rFonts w:ascii="宋体" w:cs="Arial"/>
                <w:color w:val="auto"/>
                <w:szCs w:val="21"/>
                <w:highlight w:val="none"/>
              </w:rPr>
            </w:pPr>
          </w:p>
        </w:tc>
      </w:tr>
    </w:tbl>
    <w:p>
      <w:pPr>
        <w:pStyle w:val="45"/>
        <w:keepNext w:val="0"/>
        <w:keepLines w:val="0"/>
        <w:pageBreakBefore w:val="0"/>
        <w:tabs>
          <w:tab w:val="left" w:pos="1050"/>
        </w:tabs>
        <w:kinsoku/>
        <w:wordWrap/>
        <w:overflowPunct/>
        <w:topLinePunct w:val="0"/>
        <w:bidi w:val="0"/>
        <w:spacing w:line="360" w:lineRule="auto"/>
        <w:outlineLvl w:val="9"/>
        <w:rPr>
          <w:rFonts w:ascii="仿宋_GB2312" w:hAnsi="宋体" w:eastAsia="仿宋_GB2312"/>
          <w:color w:val="auto"/>
          <w:sz w:val="24"/>
          <w:highlight w:val="none"/>
        </w:rPr>
      </w:pPr>
    </w:p>
    <w:p>
      <w:pPr>
        <w:pStyle w:val="45"/>
        <w:keepNext w:val="0"/>
        <w:keepLines w:val="0"/>
        <w:pageBreakBefore w:val="0"/>
        <w:tabs>
          <w:tab w:val="left" w:pos="1050"/>
        </w:tabs>
        <w:kinsoku/>
        <w:wordWrap/>
        <w:overflowPunct/>
        <w:topLinePunct w:val="0"/>
        <w:bidi w:val="0"/>
        <w:spacing w:line="360" w:lineRule="auto"/>
        <w:outlineLvl w:val="9"/>
        <w:rPr>
          <w:rFonts w:ascii="宋体"/>
          <w:color w:val="auto"/>
          <w:szCs w:val="21"/>
          <w:highlight w:val="none"/>
        </w:rPr>
      </w:pPr>
      <w:r>
        <w:rPr>
          <w:rFonts w:hint="eastAsia" w:ascii="宋体" w:hAnsi="宋体"/>
          <w:b/>
          <w:color w:val="auto"/>
          <w:szCs w:val="21"/>
          <w:highlight w:val="none"/>
        </w:rPr>
        <w:t>要求：</w:t>
      </w:r>
    </w:p>
    <w:p>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填写投标人获得资质、认证或企业信誉证书；</w:t>
      </w:r>
    </w:p>
    <w:p>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附所列证书复印件或其他证明材料。</w:t>
      </w: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Cs w:val="21"/>
          <w:highlight w:val="none"/>
        </w:rPr>
      </w:pP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Cs w:val="21"/>
          <w:highlight w:val="none"/>
        </w:rPr>
      </w:pPr>
    </w:p>
    <w:p>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b/>
          <w:bCs/>
          <w:color w:val="auto"/>
          <w:spacing w:val="11"/>
          <w:sz w:val="21"/>
          <w:szCs w:val="21"/>
          <w:highlight w:val="none"/>
        </w:rPr>
      </w:pPr>
      <w:r>
        <w:rPr>
          <w:rFonts w:hint="eastAsia"/>
          <w:color w:val="auto"/>
          <w:sz w:val="21"/>
          <w:szCs w:val="21"/>
          <w:highlight w:val="none"/>
        </w:rPr>
        <w:t>日期：：</w:t>
      </w:r>
    </w:p>
    <w:p>
      <w:pPr>
        <w:keepNext w:val="0"/>
        <w:keepLines w:val="0"/>
        <w:pageBreakBefore w:val="0"/>
        <w:kinsoku/>
        <w:wordWrap/>
        <w:overflowPunct/>
        <w:topLinePunct w:val="0"/>
        <w:bidi w:val="0"/>
        <w:spacing w:line="360" w:lineRule="auto"/>
        <w:outlineLvl w:val="9"/>
        <w:rPr>
          <w:rFonts w:ascii="宋体"/>
          <w:b/>
          <w:color w:val="auto"/>
          <w:sz w:val="24"/>
          <w:highlight w:val="none"/>
        </w:rPr>
      </w:pPr>
    </w:p>
    <w:p>
      <w:pPr>
        <w:keepNext w:val="0"/>
        <w:keepLines w:val="0"/>
        <w:pageBreakBefore w:val="0"/>
        <w:kinsoku/>
        <w:wordWrap/>
        <w:overflowPunct/>
        <w:topLinePunct w:val="0"/>
        <w:bidi w:val="0"/>
        <w:spacing w:line="360" w:lineRule="auto"/>
        <w:outlineLvl w:val="9"/>
        <w:rPr>
          <w:rFonts w:ascii="宋体"/>
          <w:b/>
          <w:color w:val="auto"/>
          <w:sz w:val="28"/>
          <w:highlight w:val="none"/>
        </w:rPr>
      </w:pPr>
    </w:p>
    <w:p>
      <w:pPr>
        <w:pStyle w:val="4"/>
        <w:keepNext w:val="0"/>
        <w:keepLines w:val="0"/>
        <w:pageBreakBefore w:val="0"/>
        <w:kinsoku/>
        <w:wordWrap/>
        <w:overflowPunct/>
        <w:topLinePunct w:val="0"/>
        <w:bidi w:val="0"/>
        <w:outlineLvl w:val="9"/>
        <w:rPr>
          <w:rFonts w:ascii="宋体"/>
          <w:b/>
          <w:color w:val="auto"/>
          <w:sz w:val="28"/>
          <w:highlight w:val="none"/>
        </w:rPr>
      </w:pPr>
    </w:p>
    <w:p>
      <w:pPr>
        <w:pStyle w:val="4"/>
        <w:keepNext w:val="0"/>
        <w:keepLines w:val="0"/>
        <w:pageBreakBefore w:val="0"/>
        <w:kinsoku/>
        <w:wordWrap/>
        <w:overflowPunct/>
        <w:topLinePunct w:val="0"/>
        <w:bidi w:val="0"/>
        <w:outlineLvl w:val="9"/>
        <w:rPr>
          <w:rFonts w:ascii="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pPr>
        <w:pStyle w:val="44"/>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pPr>
        <w:pStyle w:val="44"/>
        <w:keepNext w:val="0"/>
        <w:keepLines w:val="0"/>
        <w:pageBreakBefore w:val="0"/>
        <w:kinsoku/>
        <w:wordWrap/>
        <w:overflowPunct/>
        <w:topLinePunct w:val="0"/>
        <w:bidi w:val="0"/>
        <w:spacing w:line="360" w:lineRule="auto"/>
        <w:jc w:val="center"/>
        <w:outlineLvl w:val="9"/>
        <w:rPr>
          <w:rFonts w:ascii="宋体" w:cs="宋体"/>
          <w:b/>
          <w:color w:val="auto"/>
          <w:sz w:val="24"/>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line="360" w:lineRule="auto"/>
              <w:jc w:val="center"/>
              <w:outlineLvl w:val="9"/>
              <w:rPr>
                <w:rFonts w:asci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ascii="宋体" w:cs="宋体"/>
                <w:color w:val="auto"/>
                <w:szCs w:val="21"/>
                <w:highlight w:val="none"/>
              </w:rPr>
            </w:pPr>
            <w:r>
              <w:rPr>
                <w:rFonts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ascii="宋体" w:cs="宋体"/>
                <w:color w:val="auto"/>
                <w:szCs w:val="21"/>
                <w:highlight w:val="none"/>
              </w:rPr>
            </w:pPr>
            <w:r>
              <w:rPr>
                <w:rFonts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jc w:val="center"/>
              <w:outlineLvl w:val="9"/>
              <w:rPr>
                <w:rFonts w:ascii="宋体" w:cs="宋体"/>
                <w:color w:val="auto"/>
                <w:szCs w:val="21"/>
                <w:highlight w:val="none"/>
              </w:rPr>
            </w:pPr>
            <w:r>
              <w:rPr>
                <w:rFonts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line="360" w:lineRule="auto"/>
              <w:outlineLvl w:val="9"/>
              <w:rPr>
                <w:rFonts w:ascii="宋体" w:cs="宋体"/>
                <w:color w:val="auto"/>
                <w:szCs w:val="21"/>
                <w:highlight w:val="none"/>
              </w:rPr>
            </w:pPr>
          </w:p>
        </w:tc>
      </w:tr>
    </w:tbl>
    <w:p>
      <w:pPr>
        <w:keepNext w:val="0"/>
        <w:keepLines w:val="0"/>
        <w:pageBreakBefore w:val="0"/>
        <w:kinsoku/>
        <w:wordWrap/>
        <w:overflowPunct/>
        <w:topLinePunct w:val="0"/>
        <w:autoSpaceDE w:val="0"/>
        <w:autoSpaceDN w:val="0"/>
        <w:bidi w:val="0"/>
        <w:adjustRightInd w:val="0"/>
        <w:spacing w:before="156" w:beforeLines="50" w:line="360" w:lineRule="auto"/>
        <w:outlineLvl w:val="9"/>
        <w:rPr>
          <w:rFonts w:ascii="宋体" w:cs="宋体"/>
          <w:b/>
          <w:color w:val="auto"/>
          <w:szCs w:val="21"/>
          <w:highlight w:val="none"/>
        </w:rPr>
      </w:pPr>
      <w:r>
        <w:rPr>
          <w:rFonts w:hint="eastAsia" w:ascii="宋体" w:hAnsi="宋体" w:cs="宋体"/>
          <w:b/>
          <w:color w:val="auto"/>
          <w:szCs w:val="21"/>
          <w:highlight w:val="none"/>
        </w:rPr>
        <w:t>要求：</w:t>
      </w:r>
    </w:p>
    <w:p>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业绩证明应提供证明材料（合同复印件可只提供首页、含金额页、盖章页并加盖投标人公章）；</w:t>
      </w:r>
    </w:p>
    <w:p>
      <w:pPr>
        <w:keepNext w:val="0"/>
        <w:keepLines w:val="0"/>
        <w:pageBreakBefore w:val="0"/>
        <w:kinsoku/>
        <w:wordWrap/>
        <w:overflowPunct/>
        <w:topLinePunct w:val="0"/>
        <w:bidi w:val="0"/>
        <w:spacing w:line="360" w:lineRule="auto"/>
        <w:ind w:firstLine="424" w:firstLineChars="202"/>
        <w:jc w:val="left"/>
        <w:outlineLvl w:val="9"/>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报价供应商可按此表格式复制。</w:t>
      </w:r>
    </w:p>
    <w:p>
      <w:pPr>
        <w:keepNext w:val="0"/>
        <w:keepLines w:val="0"/>
        <w:pageBreakBefore w:val="0"/>
        <w:kinsoku/>
        <w:wordWrap/>
        <w:overflowPunct/>
        <w:topLinePunct w:val="0"/>
        <w:bidi w:val="0"/>
        <w:spacing w:line="360" w:lineRule="auto"/>
        <w:outlineLvl w:val="9"/>
        <w:rPr>
          <w:rFonts w:ascii="宋体" w:cs="宋体"/>
          <w:color w:val="auto"/>
          <w:szCs w:val="21"/>
          <w:highlight w:val="none"/>
        </w:rPr>
      </w:pPr>
    </w:p>
    <w:p>
      <w:pPr>
        <w:keepNext w:val="0"/>
        <w:keepLines w:val="0"/>
        <w:pageBreakBefore w:val="0"/>
        <w:kinsoku/>
        <w:wordWrap/>
        <w:overflowPunct/>
        <w:topLinePunct w:val="0"/>
        <w:bidi w:val="0"/>
        <w:spacing w:line="360" w:lineRule="auto"/>
        <w:outlineLvl w:val="9"/>
        <w:rPr>
          <w:rFonts w:ascii="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s="宋体"/>
          <w:color w:val="auto"/>
          <w:szCs w:val="21"/>
          <w:highlight w:val="none"/>
          <w:u w:val="single"/>
        </w:rPr>
      </w:pPr>
      <w:r>
        <w:rPr>
          <w:rFonts w:hint="eastAsia" w:ascii="宋体" w:hAnsi="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s="宋体"/>
          <w:color w:val="auto"/>
          <w:szCs w:val="21"/>
          <w:highlight w:val="none"/>
        </w:rPr>
      </w:pPr>
      <w:r>
        <w:rPr>
          <w:rFonts w:hint="eastAsia" w:ascii="宋体" w:hAnsi="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s="宋体"/>
          <w:color w:val="auto"/>
          <w:szCs w:val="21"/>
          <w:highlight w:val="none"/>
        </w:rPr>
      </w:pPr>
      <w:r>
        <w:rPr>
          <w:rFonts w:hint="eastAsia" w:ascii="宋体" w:hAnsi="宋体" w:cs="宋体"/>
          <w:color w:val="auto"/>
          <w:szCs w:val="21"/>
          <w:highlight w:val="none"/>
        </w:rPr>
        <w:t>日期：</w:t>
      </w:r>
    </w:p>
    <w:p>
      <w:pPr>
        <w:keepNext w:val="0"/>
        <w:keepLines w:val="0"/>
        <w:pageBreakBefore w:val="0"/>
        <w:kinsoku/>
        <w:wordWrap/>
        <w:overflowPunct/>
        <w:topLinePunct w:val="0"/>
        <w:bidi w:val="0"/>
        <w:spacing w:line="360" w:lineRule="auto"/>
        <w:jc w:val="center"/>
        <w:outlineLvl w:val="9"/>
        <w:rPr>
          <w:rFonts w:ascii="仿宋" w:hAnsi="仿宋" w:eastAsia="仿宋"/>
          <w:snapToGrid w:val="0"/>
          <w:color w:val="auto"/>
          <w:kern w:val="0"/>
          <w:szCs w:val="21"/>
          <w:highlight w:val="none"/>
        </w:rPr>
      </w:pPr>
    </w:p>
    <w:p>
      <w:pPr>
        <w:pStyle w:val="45"/>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pPr>
        <w:pStyle w:val="45"/>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pPr>
        <w:pStyle w:val="45"/>
        <w:keepNext w:val="0"/>
        <w:keepLines w:val="0"/>
        <w:pageBreakBefore w:val="0"/>
        <w:tabs>
          <w:tab w:val="left" w:pos="1050"/>
        </w:tabs>
        <w:kinsoku/>
        <w:wordWrap/>
        <w:overflowPunct/>
        <w:topLinePunct w:val="0"/>
        <w:bidi w:val="0"/>
        <w:spacing w:line="360" w:lineRule="auto"/>
        <w:outlineLvl w:val="9"/>
        <w:rPr>
          <w:rFonts w:hint="eastAsia" w:ascii="仿宋_GB2312" w:hAnsi="宋体" w:eastAsia="宋体"/>
          <w:color w:val="auto"/>
          <w:sz w:val="24"/>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pPr>
        <w:keepNext w:val="0"/>
        <w:keepLines w:val="0"/>
        <w:pageBreakBefore w:val="0"/>
        <w:kinsoku/>
        <w:wordWrap/>
        <w:overflowPunct/>
        <w:topLinePunct w:val="0"/>
        <w:bidi w:val="0"/>
        <w:spacing w:line="360" w:lineRule="auto"/>
        <w:ind w:left="360" w:hanging="361" w:hangingChars="171"/>
        <w:jc w:val="center"/>
        <w:outlineLvl w:val="9"/>
        <w:rPr>
          <w:rFonts w:ascii="宋体"/>
          <w:b/>
          <w:color w:val="auto"/>
          <w:szCs w:val="21"/>
          <w:highlight w:val="none"/>
        </w:rPr>
      </w:pPr>
      <w:r>
        <w:rPr>
          <w:rFonts w:hint="eastAsia" w:ascii="宋体" w:hAnsi="宋体"/>
          <w:b/>
          <w:color w:val="auto"/>
          <w:szCs w:val="21"/>
          <w:highlight w:val="none"/>
        </w:rPr>
        <w:t>资信及商务需求响应表</w:t>
      </w:r>
    </w:p>
    <w:p>
      <w:pPr>
        <w:keepNext w:val="0"/>
        <w:keepLines w:val="0"/>
        <w:pageBreakBefore w:val="0"/>
        <w:kinsoku/>
        <w:wordWrap/>
        <w:overflowPunct/>
        <w:topLinePunct w:val="0"/>
        <w:bidi w:val="0"/>
        <w:spacing w:line="360" w:lineRule="auto"/>
        <w:ind w:left="481" w:leftChars="229" w:firstLine="949" w:firstLineChars="450"/>
        <w:outlineLvl w:val="9"/>
        <w:rPr>
          <w:rFonts w:ascii="宋体"/>
          <w:b/>
          <w:color w:val="auto"/>
          <w:szCs w:val="21"/>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b/>
                <w:color w:val="auto"/>
                <w:szCs w:val="21"/>
                <w:highlight w:val="none"/>
              </w:rPr>
            </w:pPr>
            <w:r>
              <w:rPr>
                <w:rFonts w:hint="eastAsia" w:ascii="宋体" w:hAnsi="宋体"/>
                <w:b/>
                <w:color w:val="auto"/>
                <w:szCs w:val="21"/>
                <w:highlight w:val="none"/>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内容</w:t>
            </w:r>
          </w:p>
        </w:tc>
        <w:tc>
          <w:tcPr>
            <w:tcW w:w="1541" w:type="dxa"/>
            <w:vAlign w:val="center"/>
          </w:tcPr>
          <w:p>
            <w:pPr>
              <w:keepNext w:val="0"/>
              <w:keepLines w:val="0"/>
              <w:pageBreakBefore w:val="0"/>
              <w:kinsoku/>
              <w:wordWrap/>
              <w:overflowPunct/>
              <w:topLinePunct w:val="0"/>
              <w:bidi w:val="0"/>
              <w:spacing w:line="360" w:lineRule="auto"/>
              <w:ind w:left="53" w:leftChars="25" w:firstLine="211" w:firstLineChars="100"/>
              <w:outlineLvl w:val="9"/>
              <w:rPr>
                <w:rFonts w:ascii="宋体"/>
                <w:b/>
                <w:color w:val="auto"/>
                <w:szCs w:val="21"/>
                <w:highlight w:val="none"/>
              </w:rPr>
            </w:pPr>
            <w:r>
              <w:rPr>
                <w:rFonts w:hint="eastAsia" w:ascii="宋体" w:hAnsi="宋体"/>
                <w:b/>
                <w:color w:val="auto"/>
                <w:szCs w:val="21"/>
                <w:highlight w:val="none"/>
              </w:rPr>
              <w:t>招标需求</w:t>
            </w:r>
          </w:p>
        </w:tc>
        <w:tc>
          <w:tcPr>
            <w:tcW w:w="1365" w:type="dxa"/>
            <w:vAlign w:val="center"/>
          </w:tcPr>
          <w:p>
            <w:pPr>
              <w:keepNext w:val="0"/>
              <w:keepLines w:val="0"/>
              <w:pageBreakBefore w:val="0"/>
              <w:kinsoku/>
              <w:wordWrap/>
              <w:overflowPunct/>
              <w:topLinePunct w:val="0"/>
              <w:bidi w:val="0"/>
              <w:spacing w:line="360" w:lineRule="auto"/>
              <w:ind w:left="152"/>
              <w:outlineLvl w:val="9"/>
              <w:rPr>
                <w:rFonts w:ascii="宋体"/>
                <w:b/>
                <w:color w:val="auto"/>
                <w:szCs w:val="21"/>
                <w:highlight w:val="none"/>
              </w:rPr>
            </w:pPr>
            <w:r>
              <w:rPr>
                <w:rFonts w:hint="eastAsia" w:ascii="宋体" w:hAnsi="宋体"/>
                <w:b/>
                <w:color w:val="auto"/>
                <w:szCs w:val="21"/>
                <w:highlight w:val="none"/>
              </w:rPr>
              <w:t>是否响应</w:t>
            </w:r>
          </w:p>
        </w:tc>
        <w:tc>
          <w:tcPr>
            <w:tcW w:w="2625" w:type="dxa"/>
            <w:vAlign w:val="center"/>
          </w:tcPr>
          <w:p>
            <w:pPr>
              <w:keepNext w:val="0"/>
              <w:keepLines w:val="0"/>
              <w:pageBreakBefore w:val="0"/>
              <w:kinsoku/>
              <w:wordWrap/>
              <w:overflowPunct/>
              <w:topLinePunct w:val="0"/>
              <w:bidi w:val="0"/>
              <w:spacing w:line="360" w:lineRule="auto"/>
              <w:jc w:val="center"/>
              <w:outlineLvl w:val="9"/>
              <w:rPr>
                <w:rFonts w:asci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Times New Roman" w:eastAsia="宋体" w:cs="Times New Roman"/>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工期</w:t>
            </w: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Times New Roman" w:eastAsia="宋体" w:cs="Times New Roman"/>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付款方式</w:t>
            </w: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ascii="宋体" w:hAnsi="Times New Roman" w:eastAsia="宋体" w:cs="Times New Roman"/>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ascii="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tcPr>
          <w:p>
            <w:pPr>
              <w:keepNext w:val="0"/>
              <w:keepLines w:val="0"/>
              <w:pageBreakBefore w:val="0"/>
              <w:kinsoku/>
              <w:wordWrap/>
              <w:overflowPunct/>
              <w:topLinePunct w:val="0"/>
              <w:bidi w:val="0"/>
              <w:snapToGrid w:val="0"/>
              <w:outlineLvl w:val="9"/>
              <w:rPr>
                <w:rFonts w:ascii="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029" w:type="dxa"/>
          </w:tcPr>
          <w:p>
            <w:pPr>
              <w:keepNext w:val="0"/>
              <w:keepLines w:val="0"/>
              <w:pageBreakBefore w:val="0"/>
              <w:kinsoku/>
              <w:wordWrap/>
              <w:overflowPunct/>
              <w:topLinePunct w:val="0"/>
              <w:bidi w:val="0"/>
              <w:snapToGrid w:val="0"/>
              <w:spacing w:line="360" w:lineRule="auto"/>
              <w:outlineLvl w:val="9"/>
              <w:rPr>
                <w:rFonts w:ascii="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ascii="宋体" w:hAnsi="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u w:val="single"/>
        </w:rPr>
      </w:pPr>
      <w:r>
        <w:rPr>
          <w:rFonts w:hint="eastAsia" w:ascii="宋体" w:hAnsi="宋体"/>
          <w:color w:val="auto"/>
          <w:szCs w:val="21"/>
          <w:highlight w:val="none"/>
        </w:rPr>
        <w:t>日期：</w:t>
      </w:r>
    </w:p>
    <w:p>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pPr>
        <w:pStyle w:val="4"/>
        <w:keepNext w:val="0"/>
        <w:keepLines w:val="0"/>
        <w:pageBreakBefore w:val="0"/>
        <w:kinsoku/>
        <w:wordWrap/>
        <w:overflowPunct/>
        <w:topLinePunct w:val="0"/>
        <w:bidi w:val="0"/>
        <w:outlineLvl w:val="9"/>
        <w:rPr>
          <w:rFonts w:ascii="宋体"/>
          <w:b/>
          <w:color w:val="auto"/>
          <w:sz w:val="28"/>
          <w:highlight w:val="none"/>
        </w:rPr>
      </w:pPr>
    </w:p>
    <w:p>
      <w:pPr>
        <w:pStyle w:val="4"/>
        <w:keepNext w:val="0"/>
        <w:keepLines w:val="0"/>
        <w:pageBreakBefore w:val="0"/>
        <w:kinsoku/>
        <w:wordWrap/>
        <w:overflowPunct/>
        <w:topLinePunct w:val="0"/>
        <w:bidi w:val="0"/>
        <w:outlineLvl w:val="9"/>
        <w:rPr>
          <w:rFonts w:ascii="宋体"/>
          <w:b/>
          <w:color w:val="auto"/>
          <w:sz w:val="28"/>
          <w:highlight w:val="none"/>
        </w:rPr>
      </w:pPr>
    </w:p>
    <w:p>
      <w:pPr>
        <w:keepNext w:val="0"/>
        <w:keepLines w:val="0"/>
        <w:pageBreakBefore w:val="0"/>
        <w:tabs>
          <w:tab w:val="left" w:pos="2460"/>
        </w:tabs>
        <w:kinsoku/>
        <w:wordWrap/>
        <w:overflowPunct/>
        <w:topLinePunct w:val="0"/>
        <w:bidi w:val="0"/>
        <w:spacing w:line="360" w:lineRule="auto"/>
        <w:outlineLvl w:val="9"/>
        <w:rPr>
          <w:rFonts w:ascii="宋体" w:hAnsi="宋体"/>
          <w:b/>
          <w:color w:val="auto"/>
          <w:sz w:val="28"/>
          <w:highlight w:val="none"/>
        </w:rPr>
      </w:pPr>
    </w:p>
    <w:p>
      <w:pPr>
        <w:pStyle w:val="53"/>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outlineLvl w:val="9"/>
        <w:rPr>
          <w:color w:val="auto"/>
          <w:highlight w:val="none"/>
        </w:rPr>
      </w:pPr>
    </w:p>
    <w:p>
      <w:pPr>
        <w:keepNext w:val="0"/>
        <w:keepLines w:val="0"/>
        <w:pageBreakBefore w:val="0"/>
        <w:tabs>
          <w:tab w:val="left" w:pos="2460"/>
        </w:tabs>
        <w:kinsoku/>
        <w:wordWrap/>
        <w:overflowPunct/>
        <w:topLinePunct w:val="0"/>
        <w:bidi w:val="0"/>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pPr>
        <w:keepNext w:val="0"/>
        <w:keepLines w:val="0"/>
        <w:pageBreakBefore w:val="0"/>
        <w:kinsoku/>
        <w:wordWrap/>
        <w:overflowPunct/>
        <w:topLinePunct w:val="0"/>
        <w:bidi w:val="0"/>
        <w:spacing w:line="360" w:lineRule="auto"/>
        <w:ind w:firstLine="435"/>
        <w:jc w:val="center"/>
        <w:outlineLvl w:val="9"/>
        <w:rPr>
          <w:rFonts w:ascii="宋体"/>
          <w:b/>
          <w:color w:val="auto"/>
          <w:sz w:val="32"/>
          <w:szCs w:val="32"/>
          <w:highlight w:val="none"/>
        </w:rPr>
      </w:pPr>
      <w:r>
        <w:rPr>
          <w:rFonts w:hint="eastAsia" w:ascii="宋体" w:hAnsi="宋体"/>
          <w:b/>
          <w:color w:val="auto"/>
          <w:sz w:val="32"/>
          <w:szCs w:val="32"/>
          <w:highlight w:val="none"/>
        </w:rPr>
        <w:t>售后服务情况表</w:t>
      </w:r>
    </w:p>
    <w:p>
      <w:pPr>
        <w:keepNext w:val="0"/>
        <w:keepLines w:val="0"/>
        <w:pageBreakBefore w:val="0"/>
        <w:kinsoku/>
        <w:wordWrap/>
        <w:overflowPunct/>
        <w:topLinePunct w:val="0"/>
        <w:bidi w:val="0"/>
        <w:spacing w:line="360" w:lineRule="auto"/>
        <w:ind w:firstLine="435"/>
        <w:jc w:val="center"/>
        <w:outlineLvl w:val="9"/>
        <w:rPr>
          <w:rFonts w:ascii="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ascii="宋体" w:cs="Arial"/>
                <w:b/>
                <w:color w:val="auto"/>
                <w:szCs w:val="21"/>
                <w:highlight w:val="none"/>
              </w:rPr>
            </w:pPr>
            <w:r>
              <w:rPr>
                <w:rFonts w:hint="eastAsia" w:ascii="宋体" w:hAnsi="宋体" w:cs="Arial"/>
                <w:b/>
                <w:color w:val="auto"/>
                <w:szCs w:val="21"/>
                <w:highlight w:val="none"/>
              </w:rPr>
              <w:t>序号</w:t>
            </w:r>
          </w:p>
        </w:tc>
        <w:tc>
          <w:tcPr>
            <w:tcW w:w="2355"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ascii="宋体" w:cs="Arial"/>
                <w:b/>
                <w:color w:val="auto"/>
                <w:szCs w:val="21"/>
                <w:highlight w:val="none"/>
              </w:rPr>
            </w:pPr>
            <w:r>
              <w:rPr>
                <w:rFonts w:hint="eastAsia" w:ascii="宋体" w:hAnsi="宋体" w:cs="Arial"/>
                <w:b/>
                <w:color w:val="auto"/>
                <w:szCs w:val="21"/>
                <w:highlight w:val="none"/>
              </w:rPr>
              <w:t>项目</w:t>
            </w:r>
          </w:p>
        </w:tc>
        <w:tc>
          <w:tcPr>
            <w:tcW w:w="4061"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ascii="宋体" w:cs="Arial"/>
                <w:b/>
                <w:color w:val="auto"/>
                <w:szCs w:val="21"/>
                <w:highlight w:val="none"/>
              </w:rPr>
            </w:pPr>
            <w:r>
              <w:rPr>
                <w:rFonts w:hint="eastAsia" w:ascii="宋体" w:hAnsi="宋体" w:cs="Arial"/>
                <w:b/>
                <w:color w:val="auto"/>
                <w:szCs w:val="21"/>
                <w:highlight w:val="none"/>
              </w:rPr>
              <w:t>投标人情况</w:t>
            </w:r>
          </w:p>
        </w:tc>
        <w:tc>
          <w:tcPr>
            <w:tcW w:w="1373" w:type="dxa"/>
            <w:tcBorders>
              <w:top w:val="single" w:color="auto" w:sz="4" w:space="0"/>
            </w:tcBorders>
            <w:vAlign w:val="center"/>
          </w:tcPr>
          <w:p>
            <w:pPr>
              <w:pStyle w:val="46"/>
              <w:keepNext w:val="0"/>
              <w:keepLines w:val="0"/>
              <w:pageBreakBefore w:val="0"/>
              <w:kinsoku/>
              <w:wordWrap/>
              <w:overflowPunct/>
              <w:topLinePunct w:val="0"/>
              <w:bidi w:val="0"/>
              <w:spacing w:line="360" w:lineRule="auto"/>
              <w:jc w:val="center"/>
              <w:outlineLvl w:val="9"/>
              <w:rPr>
                <w:rFonts w:asci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6"/>
              <w:keepNext w:val="0"/>
              <w:keepLines w:val="0"/>
              <w:pageBreakBefore w:val="0"/>
              <w:kinsoku/>
              <w:wordWrap/>
              <w:overflowPunct/>
              <w:topLinePunct w:val="0"/>
              <w:bidi w:val="0"/>
              <w:spacing w:line="360" w:lineRule="auto"/>
              <w:jc w:val="center"/>
              <w:outlineLvl w:val="9"/>
              <w:rPr>
                <w:rFonts w:ascii="宋体" w:cs="Arial"/>
                <w:bCs/>
                <w:color w:val="auto"/>
                <w:szCs w:val="21"/>
                <w:highlight w:val="none"/>
              </w:rPr>
            </w:pPr>
            <w:r>
              <w:rPr>
                <w:rFonts w:ascii="宋体" w:hAnsi="宋体" w:cs="Arial"/>
                <w:bCs/>
                <w:color w:val="auto"/>
                <w:szCs w:val="21"/>
                <w:highlight w:val="none"/>
              </w:rPr>
              <w:t>1</w:t>
            </w:r>
          </w:p>
        </w:tc>
        <w:tc>
          <w:tcPr>
            <w:tcW w:w="2355" w:type="dxa"/>
            <w:vAlign w:val="center"/>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r>
              <w:rPr>
                <w:rFonts w:hint="eastAsia" w:ascii="宋体" w:hAnsi="宋体" w:cs="Arial"/>
                <w:bCs/>
                <w:color w:val="auto"/>
                <w:szCs w:val="21"/>
                <w:highlight w:val="none"/>
              </w:rPr>
              <w:t>质保期内售后服务情况</w:t>
            </w:r>
            <w:r>
              <w:rPr>
                <w:rFonts w:ascii="宋体" w:hAnsi="宋体" w:cs="Arial"/>
                <w:bCs/>
                <w:color w:val="auto"/>
                <w:szCs w:val="21"/>
                <w:highlight w:val="none"/>
              </w:rPr>
              <w:t>(</w:t>
            </w:r>
            <w:r>
              <w:rPr>
                <w:rFonts w:hint="eastAsia" w:ascii="宋体" w:hAnsi="宋体" w:cs="Arial"/>
                <w:bCs/>
                <w:color w:val="auto"/>
                <w:szCs w:val="21"/>
                <w:highlight w:val="none"/>
              </w:rPr>
              <w:t>服务方式、服务网点、售后服务的内容和措施等等，可用附页和宣传材料</w:t>
            </w:r>
            <w:r>
              <w:rPr>
                <w:rFonts w:ascii="宋体" w:hAnsi="宋体" w:cs="Arial"/>
                <w:bCs/>
                <w:color w:val="auto"/>
                <w:szCs w:val="21"/>
                <w:highlight w:val="none"/>
              </w:rPr>
              <w:t>)</w:t>
            </w:r>
          </w:p>
        </w:tc>
        <w:tc>
          <w:tcPr>
            <w:tcW w:w="4061" w:type="dxa"/>
          </w:tcPr>
          <w:p>
            <w:pPr>
              <w:pStyle w:val="46"/>
              <w:keepNext w:val="0"/>
              <w:keepLines w:val="0"/>
              <w:pageBreakBefore w:val="0"/>
              <w:kinsoku/>
              <w:wordWrap/>
              <w:overflowPunct/>
              <w:topLinePunct w:val="0"/>
              <w:bidi w:val="0"/>
              <w:spacing w:line="360" w:lineRule="auto"/>
              <w:outlineLvl w:val="9"/>
              <w:rPr>
                <w:rFonts w:ascii="宋体" w:cs="Arial"/>
                <w:bCs/>
                <w:color w:val="auto"/>
                <w:szCs w:val="21"/>
                <w:highlight w:val="none"/>
              </w:rPr>
            </w:pPr>
          </w:p>
        </w:tc>
        <w:tc>
          <w:tcPr>
            <w:tcW w:w="1373" w:type="dxa"/>
          </w:tcPr>
          <w:p>
            <w:pPr>
              <w:pStyle w:val="46"/>
              <w:keepNext w:val="0"/>
              <w:keepLines w:val="0"/>
              <w:pageBreakBefore w:val="0"/>
              <w:kinsoku/>
              <w:wordWrap/>
              <w:overflowPunct/>
              <w:topLinePunct w:val="0"/>
              <w:bidi w:val="0"/>
              <w:spacing w:line="360" w:lineRule="auto"/>
              <w:outlineLvl w:val="9"/>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6"/>
              <w:keepNext w:val="0"/>
              <w:keepLines w:val="0"/>
              <w:pageBreakBefore w:val="0"/>
              <w:kinsoku/>
              <w:wordWrap/>
              <w:overflowPunct/>
              <w:topLinePunct w:val="0"/>
              <w:bidi w:val="0"/>
              <w:spacing w:line="360" w:lineRule="auto"/>
              <w:jc w:val="center"/>
              <w:outlineLvl w:val="9"/>
              <w:rPr>
                <w:rFonts w:ascii="宋体" w:cs="Arial"/>
                <w:bCs/>
                <w:color w:val="auto"/>
                <w:szCs w:val="21"/>
                <w:highlight w:val="none"/>
              </w:rPr>
            </w:pPr>
            <w:r>
              <w:rPr>
                <w:rFonts w:ascii="宋体" w:hAnsi="宋体" w:cs="Arial"/>
                <w:bCs/>
                <w:color w:val="auto"/>
                <w:szCs w:val="21"/>
                <w:highlight w:val="none"/>
              </w:rPr>
              <w:t>2</w:t>
            </w:r>
          </w:p>
        </w:tc>
        <w:tc>
          <w:tcPr>
            <w:tcW w:w="2355" w:type="dxa"/>
            <w:vAlign w:val="center"/>
          </w:tcPr>
          <w:p>
            <w:pPr>
              <w:pStyle w:val="46"/>
              <w:keepNext w:val="0"/>
              <w:keepLines w:val="0"/>
              <w:pageBreakBefore w:val="0"/>
              <w:kinsoku/>
              <w:wordWrap/>
              <w:overflowPunct/>
              <w:topLinePunct w:val="0"/>
              <w:bidi w:val="0"/>
              <w:spacing w:line="360" w:lineRule="auto"/>
              <w:outlineLvl w:val="9"/>
              <w:rPr>
                <w:rFonts w:ascii="宋体" w:cs="Arial"/>
                <w:bCs/>
                <w:color w:val="auto"/>
                <w:szCs w:val="21"/>
                <w:highlight w:val="none"/>
              </w:rPr>
            </w:pPr>
            <w:r>
              <w:rPr>
                <w:rFonts w:hint="eastAsia" w:ascii="宋体" w:hAnsi="宋体" w:cs="Arial"/>
                <w:bCs/>
                <w:color w:val="auto"/>
                <w:szCs w:val="21"/>
                <w:highlight w:val="none"/>
              </w:rPr>
              <w:t>保修期后售后服务</w:t>
            </w:r>
          </w:p>
        </w:tc>
        <w:tc>
          <w:tcPr>
            <w:tcW w:w="4061" w:type="dxa"/>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p>
            <w:pPr>
              <w:pStyle w:val="46"/>
              <w:keepNext w:val="0"/>
              <w:keepLines w:val="0"/>
              <w:pageBreakBefore w:val="0"/>
              <w:kinsoku/>
              <w:wordWrap/>
              <w:overflowPunct/>
              <w:topLinePunct w:val="0"/>
              <w:bidi w:val="0"/>
              <w:spacing w:line="360" w:lineRule="auto"/>
              <w:outlineLvl w:val="9"/>
              <w:rPr>
                <w:rFonts w:ascii="宋体" w:cs="Arial"/>
                <w:bCs/>
                <w:color w:val="auto"/>
                <w:szCs w:val="21"/>
                <w:highlight w:val="none"/>
              </w:rPr>
            </w:pPr>
          </w:p>
        </w:tc>
        <w:tc>
          <w:tcPr>
            <w:tcW w:w="1373" w:type="dxa"/>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p>
            <w:pPr>
              <w:pStyle w:val="46"/>
              <w:keepNext w:val="0"/>
              <w:keepLines w:val="0"/>
              <w:pageBreakBefore w:val="0"/>
              <w:kinsoku/>
              <w:wordWrap/>
              <w:overflowPunct/>
              <w:topLinePunct w:val="0"/>
              <w:bidi w:val="0"/>
              <w:spacing w:line="360" w:lineRule="auto"/>
              <w:outlineLvl w:val="9"/>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r>
              <w:rPr>
                <w:rFonts w:ascii="宋体" w:hAnsi="宋体" w:cs="Arial"/>
                <w:bCs/>
                <w:color w:val="auto"/>
                <w:szCs w:val="21"/>
                <w:highlight w:val="none"/>
              </w:rPr>
              <w:t xml:space="preserve"> 3</w:t>
            </w:r>
          </w:p>
        </w:tc>
        <w:tc>
          <w:tcPr>
            <w:tcW w:w="2355" w:type="dxa"/>
            <w:vAlign w:val="center"/>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r>
              <w:rPr>
                <w:rFonts w:hint="eastAsia" w:ascii="宋体" w:hAnsi="宋体" w:cs="Arial"/>
                <w:bCs/>
                <w:color w:val="auto"/>
                <w:szCs w:val="21"/>
                <w:highlight w:val="none"/>
              </w:rPr>
              <w:t>培训方案（可用附页）</w:t>
            </w:r>
          </w:p>
        </w:tc>
        <w:tc>
          <w:tcPr>
            <w:tcW w:w="4061" w:type="dxa"/>
          </w:tcPr>
          <w:p>
            <w:pPr>
              <w:pStyle w:val="46"/>
              <w:keepNext w:val="0"/>
              <w:keepLines w:val="0"/>
              <w:pageBreakBefore w:val="0"/>
              <w:widowControl/>
              <w:kinsoku/>
              <w:wordWrap/>
              <w:overflowPunct/>
              <w:topLinePunct w:val="0"/>
              <w:bidi w:val="0"/>
              <w:spacing w:line="360" w:lineRule="auto"/>
              <w:jc w:val="left"/>
              <w:outlineLvl w:val="9"/>
              <w:rPr>
                <w:rFonts w:ascii="宋体" w:cs="Arial"/>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ascii="宋体" w:cs="Arial"/>
                <w:bCs/>
                <w:i/>
                <w:color w:val="auto"/>
                <w:szCs w:val="21"/>
                <w:highlight w:val="none"/>
              </w:rPr>
            </w:pPr>
          </w:p>
        </w:tc>
        <w:tc>
          <w:tcPr>
            <w:tcW w:w="1373" w:type="dxa"/>
          </w:tcPr>
          <w:p>
            <w:pPr>
              <w:pStyle w:val="46"/>
              <w:keepNext w:val="0"/>
              <w:keepLines w:val="0"/>
              <w:pageBreakBefore w:val="0"/>
              <w:widowControl/>
              <w:kinsoku/>
              <w:wordWrap/>
              <w:overflowPunct/>
              <w:topLinePunct w:val="0"/>
              <w:bidi w:val="0"/>
              <w:spacing w:line="360" w:lineRule="auto"/>
              <w:jc w:val="left"/>
              <w:outlineLvl w:val="9"/>
              <w:rPr>
                <w:rFonts w:ascii="宋体" w:cs="Arial"/>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ascii="宋体" w:cs="Arial"/>
                <w:bCs/>
                <w:i/>
                <w:color w:val="auto"/>
                <w:szCs w:val="21"/>
                <w:highlight w:val="none"/>
              </w:rPr>
            </w:pPr>
          </w:p>
          <w:p>
            <w:pPr>
              <w:pStyle w:val="46"/>
              <w:keepNext w:val="0"/>
              <w:keepLines w:val="0"/>
              <w:pageBreakBefore w:val="0"/>
              <w:widowControl/>
              <w:kinsoku/>
              <w:wordWrap/>
              <w:overflowPunct/>
              <w:topLinePunct w:val="0"/>
              <w:bidi w:val="0"/>
              <w:spacing w:line="360" w:lineRule="auto"/>
              <w:jc w:val="left"/>
              <w:outlineLvl w:val="9"/>
              <w:rPr>
                <w:rFonts w:ascii="宋体" w:cs="Arial"/>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r>
              <w:rPr>
                <w:rFonts w:hint="eastAsia" w:ascii="宋体" w:cs="Arial"/>
                <w:bCs/>
                <w:color w:val="auto"/>
                <w:szCs w:val="21"/>
                <w:highlight w:val="none"/>
              </w:rPr>
              <w:t>……</w:t>
            </w:r>
          </w:p>
        </w:tc>
        <w:tc>
          <w:tcPr>
            <w:tcW w:w="2355" w:type="dxa"/>
            <w:tcBorders>
              <w:bottom w:val="single" w:color="auto" w:sz="4" w:space="0"/>
            </w:tcBorders>
            <w:vAlign w:val="center"/>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r>
              <w:rPr>
                <w:rFonts w:hint="eastAsia" w:ascii="宋体" w:cs="Arial"/>
                <w:bCs/>
                <w:color w:val="auto"/>
                <w:szCs w:val="21"/>
                <w:highlight w:val="none"/>
              </w:rPr>
              <w:t>……</w:t>
            </w:r>
          </w:p>
        </w:tc>
        <w:tc>
          <w:tcPr>
            <w:tcW w:w="4061" w:type="dxa"/>
            <w:tcBorders>
              <w:bottom w:val="single" w:color="auto" w:sz="4" w:space="0"/>
            </w:tcBorders>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tc>
        <w:tc>
          <w:tcPr>
            <w:tcW w:w="1373" w:type="dxa"/>
            <w:tcBorders>
              <w:bottom w:val="single" w:color="auto" w:sz="4" w:space="0"/>
            </w:tcBorders>
          </w:tcPr>
          <w:p>
            <w:pPr>
              <w:pStyle w:val="46"/>
              <w:keepNext w:val="0"/>
              <w:keepLines w:val="0"/>
              <w:pageBreakBefore w:val="0"/>
              <w:widowControl/>
              <w:kinsoku/>
              <w:wordWrap/>
              <w:overflowPunct/>
              <w:topLinePunct w:val="0"/>
              <w:bidi w:val="0"/>
              <w:spacing w:line="360" w:lineRule="auto"/>
              <w:jc w:val="left"/>
              <w:outlineLvl w:val="9"/>
              <w:rPr>
                <w:rFonts w:ascii="宋体" w:cs="Arial"/>
                <w:bCs/>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left="420"/>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r>
        <w:rPr>
          <w:rFonts w:hint="eastAsia" w:ascii="宋体" w:hAnsi="宋体"/>
          <w:color w:val="auto"/>
          <w:szCs w:val="21"/>
          <w:highlight w:val="none"/>
        </w:rPr>
        <w:t>日期：</w:t>
      </w:r>
    </w:p>
    <w:p>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p>
    <w:p>
      <w:pPr>
        <w:pStyle w:val="47"/>
        <w:keepNext w:val="0"/>
        <w:keepLines w:val="0"/>
        <w:pageBreakBefore w:val="0"/>
        <w:kinsoku/>
        <w:wordWrap/>
        <w:overflowPunct/>
        <w:topLinePunct w:val="0"/>
        <w:bidi w:val="0"/>
        <w:spacing w:line="360" w:lineRule="auto"/>
        <w:outlineLvl w:val="9"/>
        <w:rPr>
          <w:rFonts w:hAnsi="宋体"/>
          <w:b/>
          <w:color w:val="auto"/>
          <w:sz w:val="28"/>
          <w:szCs w:val="28"/>
          <w:highlight w:val="none"/>
        </w:rPr>
      </w:pPr>
    </w:p>
    <w:p>
      <w:pPr>
        <w:keepNext w:val="0"/>
        <w:keepLines w:val="0"/>
        <w:pageBreakBefore w:val="0"/>
        <w:kinsoku/>
        <w:wordWrap/>
        <w:overflowPunct/>
        <w:topLinePunct w:val="0"/>
        <w:bidi w:val="0"/>
        <w:spacing w:line="360" w:lineRule="auto"/>
        <w:ind w:right="-110"/>
        <w:jc w:val="left"/>
        <w:outlineLvl w:val="9"/>
        <w:rPr>
          <w:rFonts w:ascii="宋体"/>
          <w:b/>
          <w:color w:val="auto"/>
          <w:sz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ascii="宋体"/>
          <w:color w:val="auto"/>
          <w:spacing w:val="40"/>
          <w:sz w:val="52"/>
          <w:szCs w:val="52"/>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4</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ascii="宋体"/>
          <w:color w:val="auto"/>
          <w:spacing w:val="40"/>
          <w:sz w:val="52"/>
          <w:szCs w:val="52"/>
          <w:highlight w:val="none"/>
        </w:rPr>
      </w:pPr>
      <w:r>
        <w:rPr>
          <w:rFonts w:hint="eastAsia" w:ascii="宋体" w:hAnsi="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ascii="宋体"/>
          <w:color w:val="auto"/>
          <w:sz w:val="36"/>
          <w:szCs w:val="36"/>
          <w:highlight w:val="none"/>
        </w:rPr>
      </w:pPr>
      <w:r>
        <w:rPr>
          <w:rFonts w:hint="eastAsia" w:ascii="宋体" w:hAnsi="宋体"/>
          <w:color w:val="auto"/>
          <w:sz w:val="36"/>
          <w:szCs w:val="36"/>
          <w:highlight w:val="none"/>
        </w:rPr>
        <w:t>项目编号：</w:t>
      </w:r>
    </w:p>
    <w:p>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p>
    <w:p>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报</w:t>
      </w:r>
    </w:p>
    <w:p>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价</w:t>
      </w:r>
    </w:p>
    <w:p>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文</w:t>
      </w:r>
    </w:p>
    <w:p>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件</w:t>
      </w:r>
    </w:p>
    <w:p>
      <w:pPr>
        <w:keepNext w:val="0"/>
        <w:keepLines w:val="0"/>
        <w:pageBreakBefore w:val="0"/>
        <w:kinsoku/>
        <w:wordWrap/>
        <w:overflowPunct/>
        <w:topLinePunct w:val="0"/>
        <w:bidi w:val="0"/>
        <w:spacing w:line="360" w:lineRule="auto"/>
        <w:ind w:right="532"/>
        <w:jc w:val="center"/>
        <w:outlineLvl w:val="9"/>
        <w:rPr>
          <w:rFonts w:ascii="宋体"/>
          <w:color w:val="auto"/>
          <w:sz w:val="36"/>
          <w:szCs w:val="36"/>
          <w:highlight w:val="none"/>
        </w:rPr>
      </w:pPr>
    </w:p>
    <w:p>
      <w:pPr>
        <w:keepNext w:val="0"/>
        <w:keepLines w:val="0"/>
        <w:pageBreakBefore w:val="0"/>
        <w:kinsoku/>
        <w:wordWrap/>
        <w:overflowPunct/>
        <w:topLinePunct w:val="0"/>
        <w:bidi w:val="0"/>
        <w:spacing w:line="360" w:lineRule="auto"/>
        <w:ind w:right="532"/>
        <w:outlineLvl w:val="9"/>
        <w:rPr>
          <w:rFonts w:ascii="宋体"/>
          <w:color w:val="auto"/>
          <w:sz w:val="36"/>
          <w:szCs w:val="36"/>
          <w:highlight w:val="none"/>
        </w:rPr>
      </w:pPr>
    </w:p>
    <w:p>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供应商全称（公章）：</w:t>
      </w:r>
    </w:p>
    <w:p>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时间：</w:t>
      </w:r>
    </w:p>
    <w:p>
      <w:pPr>
        <w:keepNext w:val="0"/>
        <w:keepLines w:val="0"/>
        <w:pageBreakBefore w:val="0"/>
        <w:kinsoku/>
        <w:wordWrap/>
        <w:overflowPunct/>
        <w:topLinePunct w:val="0"/>
        <w:bidi w:val="0"/>
        <w:spacing w:line="360" w:lineRule="auto"/>
        <w:ind w:right="-108"/>
        <w:jc w:val="center"/>
        <w:outlineLvl w:val="9"/>
        <w:rPr>
          <w:rFonts w:ascii="宋体" w:hAnsi="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rPr>
        <w:t>报价文件目录</w:t>
      </w:r>
    </w:p>
    <w:p>
      <w:pPr>
        <w:keepNext w:val="0"/>
        <w:keepLines w:val="0"/>
        <w:pageBreakBefore w:val="0"/>
        <w:kinsoku/>
        <w:wordWrap/>
        <w:overflowPunct/>
        <w:topLinePunct w:val="0"/>
        <w:bidi w:val="0"/>
        <w:snapToGrid w:val="0"/>
        <w:spacing w:line="360" w:lineRule="auto"/>
        <w:outlineLvl w:val="9"/>
        <w:rPr>
          <w:rFonts w:ascii="宋体" w:cs="宋体"/>
          <w:color w:val="auto"/>
          <w:sz w:val="24"/>
          <w:highlight w:val="none"/>
        </w:rPr>
      </w:pPr>
    </w:p>
    <w:p>
      <w:pPr>
        <w:keepNext w:val="0"/>
        <w:keepLines w:val="0"/>
        <w:pageBreakBefore w:val="0"/>
        <w:kinsoku/>
        <w:wordWrap/>
        <w:overflowPunct/>
        <w:topLinePunct w:val="0"/>
        <w:bidi w:val="0"/>
        <w:snapToGrid w:val="0"/>
        <w:spacing w:line="360" w:lineRule="auto"/>
        <w:outlineLvl w:val="9"/>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、开标一览表（附件</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p>
    <w:p>
      <w:pPr>
        <w:keepNext w:val="0"/>
        <w:keepLines w:val="0"/>
        <w:pageBreakBefore w:val="0"/>
        <w:kinsoku/>
        <w:wordWrap/>
        <w:overflowPunct/>
        <w:topLinePunct w:val="0"/>
        <w:bidi w:val="0"/>
        <w:snapToGrid w:val="0"/>
        <w:spacing w:line="360" w:lineRule="auto"/>
        <w:outlineLvl w:val="9"/>
        <w:rPr>
          <w:rFonts w:ascii="宋体" w:cs="宋体"/>
          <w:color w:val="auto"/>
          <w:szCs w:val="21"/>
          <w:highlight w:val="none"/>
        </w:rPr>
      </w:pPr>
      <w:r>
        <w:rPr>
          <w:rFonts w:hint="eastAsia" w:ascii="宋体" w:hAnsi="宋体" w:cs="宋体"/>
          <w:color w:val="auto"/>
          <w:szCs w:val="21"/>
          <w:highlight w:val="none"/>
        </w:rPr>
        <w:t>2、针对报价投标人认为其他需要说明的；</w:t>
      </w:r>
    </w:p>
    <w:p>
      <w:pPr>
        <w:pStyle w:val="48"/>
        <w:keepNext w:val="0"/>
        <w:keepLines w:val="0"/>
        <w:pageBreakBefore w:val="0"/>
        <w:kinsoku/>
        <w:wordWrap/>
        <w:overflowPunct/>
        <w:topLinePunct w:val="0"/>
        <w:bidi w:val="0"/>
        <w:spacing w:line="360" w:lineRule="auto"/>
        <w:outlineLvl w:val="9"/>
        <w:rPr>
          <w:rFonts w:hAnsi="宋体" w:cs="宋体"/>
          <w:color w:val="auto"/>
          <w:highlight w:val="none"/>
        </w:rPr>
      </w:pPr>
      <w:r>
        <w:rPr>
          <w:rFonts w:hint="eastAsia" w:hAnsi="宋体" w:cs="宋体"/>
          <w:color w:val="auto"/>
          <w:highlight w:val="none"/>
        </w:rPr>
        <w:t>3、</w:t>
      </w:r>
      <w:r>
        <w:rPr>
          <w:rFonts w:hint="eastAsia" w:hAnsi="宋体" w:cs="宋体"/>
          <w:color w:val="auto"/>
          <w:highlight w:val="none"/>
          <w:lang w:val="en-US" w:eastAsia="zh-CN"/>
        </w:rPr>
        <w:t>中小</w:t>
      </w:r>
      <w:r>
        <w:rPr>
          <w:rFonts w:hint="eastAsia" w:hAnsi="宋体" w:cs="宋体"/>
          <w:color w:val="auto"/>
          <w:highlight w:val="none"/>
        </w:rPr>
        <w:t>企业等声明函（附件</w:t>
      </w:r>
      <w:r>
        <w:rPr>
          <w:rFonts w:hAnsi="宋体" w:cs="宋体"/>
          <w:color w:val="auto"/>
          <w:highlight w:val="none"/>
        </w:rPr>
        <w:t>1</w:t>
      </w:r>
      <w:r>
        <w:rPr>
          <w:rFonts w:hint="eastAsia" w:hAnsi="宋体" w:cs="宋体"/>
          <w:color w:val="auto"/>
          <w:highlight w:val="none"/>
          <w:lang w:val="en-US" w:eastAsia="zh-CN"/>
        </w:rPr>
        <w:t>6</w:t>
      </w:r>
      <w:r>
        <w:rPr>
          <w:rFonts w:hint="eastAsia" w:hAnsi="宋体" w:cs="宋体"/>
          <w:color w:val="auto"/>
          <w:highlight w:val="none"/>
        </w:rPr>
        <w:t>）；（如有需提供）</w:t>
      </w:r>
    </w:p>
    <w:p>
      <w:pPr>
        <w:pStyle w:val="49"/>
        <w:keepNext w:val="0"/>
        <w:keepLines w:val="0"/>
        <w:pageBreakBefore w:val="0"/>
        <w:kinsoku/>
        <w:wordWrap/>
        <w:overflowPunct/>
        <w:topLinePunct w:val="0"/>
        <w:bidi w:val="0"/>
        <w:spacing w:line="360" w:lineRule="auto"/>
        <w:outlineLvl w:val="9"/>
        <w:rPr>
          <w:rFonts w:ascii="宋体" w:cs="宋体"/>
          <w:color w:val="auto"/>
          <w:kern w:val="0"/>
          <w:szCs w:val="21"/>
          <w:highlight w:val="none"/>
        </w:rPr>
      </w:pPr>
      <w:r>
        <w:rPr>
          <w:rFonts w:hint="eastAsia" w:ascii="宋体" w:hAnsi="宋体" w:cs="宋体"/>
          <w:color w:val="auto"/>
          <w:kern w:val="0"/>
          <w:szCs w:val="21"/>
          <w:highlight w:val="none"/>
        </w:rPr>
        <w:t>4、产品适用政府采购政策情况表</w:t>
      </w: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kern w:val="0"/>
          <w:szCs w:val="21"/>
          <w:highlight w:val="none"/>
        </w:rPr>
        <w:t>。（如有需提供）</w:t>
      </w:r>
    </w:p>
    <w:p>
      <w:pPr>
        <w:keepNext w:val="0"/>
        <w:keepLines w:val="0"/>
        <w:pageBreakBefore w:val="0"/>
        <w:kinsoku/>
        <w:wordWrap/>
        <w:overflowPunct/>
        <w:topLinePunct w:val="0"/>
        <w:bidi w:val="0"/>
        <w:spacing w:line="360" w:lineRule="auto"/>
        <w:outlineLvl w:val="9"/>
        <w:rPr>
          <w:rFonts w:ascii="宋体"/>
          <w:b/>
          <w:color w:val="auto"/>
          <w:szCs w:val="21"/>
          <w:highlight w:val="none"/>
        </w:rPr>
      </w:pPr>
    </w:p>
    <w:p>
      <w:pPr>
        <w:keepNext w:val="0"/>
        <w:keepLines w:val="0"/>
        <w:pageBreakBefore w:val="0"/>
        <w:kinsoku/>
        <w:wordWrap/>
        <w:overflowPunct/>
        <w:topLinePunct w:val="0"/>
        <w:bidi w:val="0"/>
        <w:spacing w:line="360" w:lineRule="auto"/>
        <w:ind w:left="480"/>
        <w:outlineLvl w:val="9"/>
        <w:rPr>
          <w:rFonts w:ascii="宋体"/>
          <w:b/>
          <w:color w:val="auto"/>
          <w:szCs w:val="21"/>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pStyle w:val="4"/>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pPr>
        <w:pStyle w:val="4"/>
        <w:keepNext w:val="0"/>
        <w:keepLines w:val="0"/>
        <w:pageBreakBefore w:val="0"/>
        <w:kinsoku/>
        <w:wordWrap/>
        <w:overflowPunct/>
        <w:topLinePunct w:val="0"/>
        <w:bidi w:val="0"/>
        <w:outlineLvl w:val="9"/>
        <w:rPr>
          <w:color w:val="auto"/>
          <w:highlight w:val="none"/>
        </w:rPr>
      </w:pPr>
    </w:p>
    <w:p>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r>
        <w:rPr>
          <w:rFonts w:hint="eastAsia" w:ascii="宋体" w:hAnsi="宋体"/>
          <w:b/>
          <w:color w:val="auto"/>
          <w:sz w:val="32"/>
          <w:szCs w:val="32"/>
          <w:highlight w:val="none"/>
        </w:rPr>
        <w:t>开标一览表</w:t>
      </w:r>
    </w:p>
    <w:p>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p>
    <w:p>
      <w:pPr>
        <w:pStyle w:val="14"/>
        <w:keepNext w:val="0"/>
        <w:keepLines w:val="0"/>
        <w:pageBreakBefore w:val="0"/>
        <w:kinsoku/>
        <w:wordWrap/>
        <w:overflowPunct/>
        <w:topLinePunct w:val="0"/>
        <w:bidi w:val="0"/>
        <w:spacing w:line="360" w:lineRule="auto"/>
        <w:outlineLvl w:val="9"/>
        <w:rPr>
          <w:rFonts w:hAnsi="宋体"/>
          <w:b/>
          <w:color w:val="auto"/>
          <w:szCs w:val="21"/>
          <w:highlight w:val="none"/>
        </w:rPr>
      </w:pPr>
      <w:r>
        <w:rPr>
          <w:rFonts w:hint="eastAsia" w:hAnsi="宋体"/>
          <w:b/>
          <w:color w:val="auto"/>
          <w:szCs w:val="21"/>
          <w:highlight w:val="none"/>
        </w:rPr>
        <w:t>项目编号：</w:t>
      </w:r>
    </w:p>
    <w:p>
      <w:pPr>
        <w:pStyle w:val="50"/>
        <w:keepNext w:val="0"/>
        <w:keepLines w:val="0"/>
        <w:pageBreakBefore w:val="0"/>
        <w:kinsoku/>
        <w:wordWrap/>
        <w:overflowPunct/>
        <w:topLinePunct w:val="0"/>
        <w:bidi w:val="0"/>
        <w:spacing w:line="360" w:lineRule="auto"/>
        <w:ind w:right="480"/>
        <w:jc w:val="left"/>
        <w:outlineLvl w:val="9"/>
        <w:rPr>
          <w:rFonts w:hAnsi="宋体"/>
          <w:color w:val="auto"/>
          <w:szCs w:val="21"/>
          <w:highlight w:val="none"/>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Cs w:val="21"/>
                <w:highlight w:val="none"/>
              </w:rPr>
            </w:pPr>
            <w:r>
              <w:rPr>
                <w:rFonts w:hint="eastAsia" w:ascii="宋体" w:hAnsi="宋体"/>
                <w:color w:val="auto"/>
                <w:szCs w:val="21"/>
                <w:highlight w:val="none"/>
              </w:rPr>
              <w:t>投标总报价</w:t>
            </w:r>
            <w:r>
              <w:rPr>
                <w:rFonts w:ascii="宋体" w:hAnsi="宋体"/>
                <w:color w:val="auto"/>
                <w:szCs w:val="21"/>
                <w:highlight w:val="none"/>
              </w:rPr>
              <w:t>(</w:t>
            </w:r>
            <w:r>
              <w:rPr>
                <w:rFonts w:hint="eastAsia" w:ascii="宋体" w:hAnsi="宋体"/>
                <w:color w:val="auto"/>
                <w:szCs w:val="21"/>
                <w:highlight w:val="none"/>
              </w:rPr>
              <w:t>元</w:t>
            </w:r>
            <w:r>
              <w:rPr>
                <w:rFonts w:ascii="宋体" w:hAnsi="宋体"/>
                <w:color w:val="auto"/>
                <w:szCs w:val="21"/>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Cs w:val="21"/>
                <w:highlight w:val="none"/>
              </w:rPr>
            </w:pPr>
            <w:r>
              <w:rPr>
                <w:rFonts w:hint="eastAsia" w:ascii="宋体" w:hAnsi="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outlineLvl w:val="9"/>
              <w:rPr>
                <w:rFonts w:ascii="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Cs w:val="21"/>
                <w:highlight w:val="none"/>
              </w:rPr>
            </w:pPr>
            <w:r>
              <w:rPr>
                <w:rFonts w:hint="eastAsia" w:ascii="宋体" w:hAnsi="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Cs w:val="21"/>
                <w:highlight w:val="none"/>
              </w:rPr>
            </w:pPr>
          </w:p>
        </w:tc>
      </w:tr>
    </w:tbl>
    <w:p>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b/>
          <w:color w:val="auto"/>
          <w:szCs w:val="21"/>
          <w:highlight w:val="none"/>
        </w:rPr>
        <w:t>填报要求：</w:t>
      </w:r>
    </w:p>
    <w:p>
      <w:pPr>
        <w:keepNext w:val="0"/>
        <w:keepLines w:val="0"/>
        <w:pageBreakBefore w:val="0"/>
        <w:kinsoku/>
        <w:wordWrap/>
        <w:overflowPunct/>
        <w:topLinePunct w:val="0"/>
        <w:bidi w:val="0"/>
        <w:spacing w:line="360" w:lineRule="auto"/>
        <w:ind w:firstLine="420" w:firstLineChars="200"/>
        <w:outlineLvl w:val="9"/>
        <w:rPr>
          <w:rFonts w:asciiTheme="minorEastAsia" w:hAnsiTheme="minorEastAsia" w:eastAsiaTheme="minorEastAsia" w:cstheme="minorEastAsia"/>
          <w:color w:val="auto"/>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Theme="minorEastAsia" w:hAnsiTheme="minorEastAsia" w:eastAsiaTheme="minorEastAsia" w:cstheme="minorEastAsia"/>
          <w:color w:val="auto"/>
          <w:szCs w:val="21"/>
          <w:highlight w:val="none"/>
        </w:rPr>
        <w:t>投标报价为完成本项目的所有费用，包括所有人员的人工费、交通费、住宿费、伙食费、办公设施费、管理费、利润、税金、合同包含的所有风险责任等各项费用及不可预见费等所需的全部费用，全部费用已包含在开标一览表的投标总报价中。</w:t>
      </w:r>
    </w:p>
    <w:p>
      <w:pPr>
        <w:keepNext w:val="0"/>
        <w:keepLines w:val="0"/>
        <w:pageBreakBefore w:val="0"/>
        <w:kinsoku/>
        <w:wordWrap/>
        <w:overflowPunct/>
        <w:topLinePunct w:val="0"/>
        <w:bidi w:val="0"/>
        <w:spacing w:line="360" w:lineRule="auto"/>
        <w:ind w:firstLine="420" w:firstLineChars="200"/>
        <w:outlineLvl w:val="9"/>
        <w:rPr>
          <w:rFonts w:ascii="宋体"/>
          <w:b/>
          <w:i/>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bookmarkStart w:id="3" w:name="_GoBack"/>
      <w:bookmarkEnd w:id="3"/>
    </w:p>
    <w:p>
      <w:pPr>
        <w:keepNext w:val="0"/>
        <w:keepLines w:val="0"/>
        <w:pageBreakBefore w:val="0"/>
        <w:kinsoku/>
        <w:wordWrap/>
        <w:overflowPunct/>
        <w:topLinePunct w:val="0"/>
        <w:bidi w:val="0"/>
        <w:spacing w:line="360" w:lineRule="auto"/>
        <w:ind w:left="420"/>
        <w:outlineLvl w:val="9"/>
        <w:rPr>
          <w:rFonts w:ascii="宋体"/>
          <w:color w:val="auto"/>
          <w:szCs w:val="21"/>
          <w:highlight w:val="none"/>
          <w:u w:val="single"/>
        </w:rPr>
      </w:pPr>
      <w:r>
        <w:rPr>
          <w:rFonts w:hint="eastAsia" w:ascii="宋体" w:hAnsi="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ascii="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日期：</w:t>
      </w:r>
    </w:p>
    <w:p>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pPr>
        <w:keepNext w:val="0"/>
        <w:keepLines w:val="0"/>
        <w:pageBreakBefore w:val="0"/>
        <w:kinsoku/>
        <w:wordWrap/>
        <w:overflowPunct/>
        <w:topLinePunct w:val="0"/>
        <w:bidi w:val="0"/>
        <w:spacing w:line="360" w:lineRule="auto"/>
        <w:outlineLvl w:val="9"/>
        <w:rPr>
          <w:rFonts w:ascii="宋体" w:cs="宋体"/>
          <w:color w:val="auto"/>
          <w:szCs w:val="21"/>
          <w:highlight w:val="none"/>
        </w:rPr>
      </w:pPr>
      <w:r>
        <w:rPr>
          <w:rFonts w:ascii="宋体" w:hAnsi="宋体"/>
          <w:color w:val="auto"/>
          <w:szCs w:val="21"/>
          <w:highlight w:val="none"/>
        </w:rPr>
        <w:t xml:space="preserve">     </w:t>
      </w:r>
    </w:p>
    <w:p>
      <w:pPr>
        <w:keepNext w:val="0"/>
        <w:keepLines w:val="0"/>
        <w:pageBreakBefore w:val="0"/>
        <w:kinsoku/>
        <w:wordWrap/>
        <w:overflowPunct/>
        <w:topLinePunct w:val="0"/>
        <w:bidi w:val="0"/>
        <w:spacing w:line="400" w:lineRule="exact"/>
        <w:outlineLvl w:val="9"/>
        <w:rPr>
          <w:rFonts w:ascii="宋体" w:hAnsi="宋体"/>
          <w:b/>
          <w:color w:val="auto"/>
          <w:sz w:val="28"/>
          <w:highlight w:val="none"/>
        </w:rPr>
      </w:pPr>
    </w:p>
    <w:p>
      <w:pPr>
        <w:keepNext w:val="0"/>
        <w:keepLines w:val="0"/>
        <w:pageBreakBefore w:val="0"/>
        <w:kinsoku/>
        <w:wordWrap/>
        <w:overflowPunct/>
        <w:topLinePunct w:val="0"/>
        <w:bidi w:val="0"/>
        <w:spacing w:line="400" w:lineRule="exact"/>
        <w:outlineLvl w:val="9"/>
        <w:rPr>
          <w:rFonts w:ascii="宋体" w:hAnsi="宋体"/>
          <w:b/>
          <w:color w:val="auto"/>
          <w:sz w:val="28"/>
          <w:highlight w:val="none"/>
        </w:rPr>
      </w:pPr>
    </w:p>
    <w:p>
      <w:pPr>
        <w:keepNext w:val="0"/>
        <w:keepLines w:val="0"/>
        <w:pageBreakBefore w:val="0"/>
        <w:kinsoku/>
        <w:wordWrap/>
        <w:overflowPunct/>
        <w:topLinePunct w:val="0"/>
        <w:bidi w:val="0"/>
        <w:spacing w:line="400" w:lineRule="exact"/>
        <w:outlineLvl w:val="9"/>
        <w:rPr>
          <w:rFonts w:ascii="宋体" w:hAnsi="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00" w:lineRule="exact"/>
        <w:outlineLvl w:val="9"/>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pPr>
        <w:keepNext w:val="0"/>
        <w:keepLines w:val="0"/>
        <w:pageBreakBefore w:val="0"/>
        <w:kinsoku/>
        <w:wordWrap/>
        <w:overflowPunct/>
        <w:topLinePunct w:val="0"/>
        <w:bidi w:val="0"/>
        <w:spacing w:line="400" w:lineRule="exact"/>
        <w:jc w:val="center"/>
        <w:outlineLvl w:val="9"/>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pPr>
        <w:pStyle w:val="4"/>
        <w:keepNext w:val="0"/>
        <w:keepLines w:val="0"/>
        <w:pageBreakBefore w:val="0"/>
        <w:kinsoku/>
        <w:wordWrap/>
        <w:overflowPunct/>
        <w:topLinePunct w:val="0"/>
        <w:bidi w:val="0"/>
        <w:spacing w:before="5"/>
        <w:outlineLvl w:val="9"/>
        <w:rPr>
          <w:rFonts w:ascii="宋体"/>
          <w:b/>
          <w:color w:val="auto"/>
          <w:sz w:val="18"/>
          <w:szCs w:val="18"/>
          <w:highlight w:val="none"/>
        </w:rPr>
      </w:pP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本公司（联合体）郑重声明，根据《政府采购促进中小企业发展管理办法》（财库﹝2020﹞46号）的规定，本公司（联合体）参加</w:t>
      </w:r>
      <w:r>
        <w:rPr>
          <w:rFonts w:ascii="Times New Roman" w:hAnsiTheme="minorEastAsia" w:eastAsiaTheme="minorEastAsia"/>
          <w:i w:val="0"/>
          <w:iCs/>
          <w:color w:val="auto"/>
          <w:sz w:val="21"/>
          <w:szCs w:val="21"/>
          <w:highlight w:val="none"/>
          <w:u w:val="single"/>
        </w:rPr>
        <w:t>（单位名称）</w:t>
      </w:r>
      <w:r>
        <w:rPr>
          <w:rFonts w:ascii="Times New Roman" w:hAnsiTheme="minorEastAsia" w:eastAsiaTheme="minorEastAsia"/>
          <w:color w:val="auto"/>
          <w:sz w:val="21"/>
          <w:szCs w:val="21"/>
          <w:highlight w:val="none"/>
        </w:rPr>
        <w:t>的</w:t>
      </w:r>
      <w:r>
        <w:rPr>
          <w:rFonts w:ascii="Times New Roman" w:hAnsiTheme="minorEastAsia" w:eastAsiaTheme="minorEastAsia"/>
          <w:i w:val="0"/>
          <w:iCs/>
          <w:color w:val="auto"/>
          <w:sz w:val="21"/>
          <w:szCs w:val="21"/>
          <w:highlight w:val="none"/>
          <w:u w:val="single"/>
        </w:rPr>
        <w:t>（项目名称）</w:t>
      </w:r>
      <w:r>
        <w:rPr>
          <w:rFonts w:ascii="Times New Roman" w:hAnsiTheme="minorEastAsia" w:eastAsiaTheme="minorEastAsia"/>
          <w:color w:val="auto"/>
          <w:sz w:val="21"/>
          <w:szCs w:val="21"/>
          <w:highlight w:val="none"/>
        </w:rPr>
        <w:t>采购活动，</w:t>
      </w:r>
      <w:r>
        <w:rPr>
          <w:rFonts w:hint="eastAsia" w:ascii="宋体" w:hAnsi="Times New Roman" w:eastAsia="宋体" w:cs="Times New Roman"/>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4"/>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一、</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ascii="Times New Roman" w:eastAsiaTheme="minorEastAsia"/>
          <w:i w:val="0"/>
          <w:iCs/>
          <w:color w:val="auto"/>
          <w:w w:val="99"/>
          <w:sz w:val="21"/>
          <w:szCs w:val="21"/>
          <w:highlight w:val="none"/>
        </w:rPr>
      </w:pPr>
      <w:r>
        <w:rPr>
          <w:rFonts w:hint="eastAsia" w:eastAsiaTheme="minorEastAsia"/>
          <w:iCs/>
          <w:color w:val="auto"/>
          <w:w w:val="96"/>
          <w:sz w:val="21"/>
          <w:szCs w:val="21"/>
          <w:highlight w:val="none"/>
          <w:lang w:val="en-US" w:eastAsia="zh-CN"/>
        </w:rPr>
        <w:t>二、</w:t>
      </w:r>
      <w:r>
        <w:rPr>
          <w:rFonts w:ascii="Times New Roman" w:hAnsiTheme="minorEastAsia" w:eastAsiaTheme="minorEastAsia"/>
          <w:i w:val="0"/>
          <w:iCs/>
          <w:color w:val="auto"/>
          <w:w w:val="96"/>
          <w:sz w:val="21"/>
          <w:szCs w:val="21"/>
          <w:highlight w:val="none"/>
          <w:u w:val="single"/>
        </w:rPr>
        <w:t>（标的名称）</w:t>
      </w:r>
      <w:r>
        <w:rPr>
          <w:rFonts w:ascii="Times New Roman" w:hAnsiTheme="minorEastAsia" w:eastAsiaTheme="minorEastAsia"/>
          <w:color w:val="auto"/>
          <w:w w:val="99"/>
          <w:sz w:val="21"/>
          <w:szCs w:val="21"/>
          <w:highlight w:val="none"/>
        </w:rPr>
        <w:t>，属于</w:t>
      </w:r>
      <w:r>
        <w:rPr>
          <w:rFonts w:ascii="Times New Roman" w:hAnsiTheme="minorEastAsia" w:eastAsiaTheme="minorEastAsia"/>
          <w:i w:val="0"/>
          <w:iCs/>
          <w:color w:val="auto"/>
          <w:w w:val="96"/>
          <w:sz w:val="21"/>
          <w:szCs w:val="21"/>
          <w:highlight w:val="none"/>
        </w:rPr>
        <w:t>（</w:t>
      </w:r>
      <w:r>
        <w:rPr>
          <w:rFonts w:ascii="Times New Roman" w:hAnsiTheme="minorEastAsia" w:eastAsiaTheme="minorEastAsia"/>
          <w:i w:val="0"/>
          <w:iCs/>
          <w:color w:val="auto"/>
          <w:w w:val="96"/>
          <w:sz w:val="21"/>
          <w:szCs w:val="21"/>
          <w:highlight w:val="none"/>
          <w:u w:val="single"/>
        </w:rPr>
        <w:t>采购文件中明确的所属行业）</w:t>
      </w:r>
      <w:r>
        <w:rPr>
          <w:rFonts w:ascii="Times New Roman" w:hAnsiTheme="minorEastAsia" w:eastAsiaTheme="minorEastAsia"/>
          <w:color w:val="auto"/>
          <w:w w:val="99"/>
          <w:sz w:val="21"/>
          <w:szCs w:val="21"/>
          <w:highlight w:val="none"/>
        </w:rPr>
        <w:t>；承建（承接）企业为</w:t>
      </w:r>
      <w:r>
        <w:rPr>
          <w:rFonts w:ascii="Times New Roman" w:hAnsiTheme="minorEastAsia" w:eastAsiaTheme="minorEastAsia"/>
          <w:i w:val="0"/>
          <w:iCs/>
          <w:color w:val="auto"/>
          <w:w w:val="96"/>
          <w:sz w:val="21"/>
          <w:szCs w:val="21"/>
          <w:highlight w:val="none"/>
          <w:u w:val="single"/>
        </w:rPr>
        <w:t>（企业名称）</w:t>
      </w:r>
      <w:r>
        <w:rPr>
          <w:rFonts w:ascii="Times New Roman" w:hAnsiTheme="minorEastAsia" w:eastAsiaTheme="minorEastAsia"/>
          <w:color w:val="auto"/>
          <w:w w:val="99"/>
          <w:sz w:val="21"/>
          <w:szCs w:val="21"/>
          <w:highlight w:val="none"/>
        </w:rPr>
        <w:t>，从业人员</w:t>
      </w:r>
      <w:r>
        <w:rPr>
          <w:rFonts w:ascii="Times New Roman" w:eastAsiaTheme="minorEastAsia"/>
          <w:color w:val="auto"/>
          <w:w w:val="99"/>
          <w:sz w:val="21"/>
          <w:szCs w:val="21"/>
          <w:highlight w:val="none"/>
          <w:u w:val="single"/>
        </w:rPr>
        <w:t xml:space="preserve">  </w:t>
      </w:r>
      <w:r>
        <w:rPr>
          <w:rFonts w:ascii="Times New Roman" w:hAnsiTheme="minorEastAsia" w:eastAsiaTheme="minorEastAsia"/>
          <w:color w:val="auto"/>
          <w:w w:val="99"/>
          <w:sz w:val="21"/>
          <w:szCs w:val="21"/>
          <w:highlight w:val="none"/>
        </w:rPr>
        <w:t>人，营业</w:t>
      </w:r>
      <w:r>
        <w:rPr>
          <w:rFonts w:ascii="Times New Roman" w:hAnsiTheme="minorEastAsia" w:eastAsiaTheme="minorEastAsia"/>
          <w:color w:val="auto"/>
          <w:sz w:val="21"/>
          <w:szCs w:val="21"/>
          <w:highlight w:val="none"/>
        </w:rPr>
        <w:t>收入为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万元，资产总额为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万元，属于</w:t>
      </w:r>
      <w:r>
        <w:rPr>
          <w:rFonts w:ascii="Times New Roman" w:hAnsiTheme="minorEastAsia" w:eastAsiaTheme="minorEastAsia"/>
          <w:i w:val="0"/>
          <w:iCs/>
          <w:color w:val="auto"/>
          <w:sz w:val="21"/>
          <w:szCs w:val="21"/>
          <w:highlight w:val="none"/>
          <w:u w:val="single"/>
        </w:rPr>
        <w:t>（中型企业、</w:t>
      </w:r>
      <w:r>
        <w:rPr>
          <w:rFonts w:ascii="Times New Roman" w:hAnsiTheme="minorEastAsia" w:eastAsiaTheme="minorEastAsia"/>
          <w:i w:val="0"/>
          <w:iCs/>
          <w:color w:val="auto"/>
          <w:w w:val="96"/>
          <w:sz w:val="21"/>
          <w:szCs w:val="21"/>
          <w:highlight w:val="none"/>
          <w:u w:val="single"/>
        </w:rPr>
        <w:t>小型企业、微型企业）</w:t>
      </w:r>
      <w:r>
        <w:rPr>
          <w:rFonts w:ascii="Times New Roman" w:hAnsiTheme="minorEastAsia" w:eastAsiaTheme="minorEastAsia"/>
          <w:i w:val="0"/>
          <w:iCs/>
          <w:color w:val="auto"/>
          <w:w w:val="99"/>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eastAsiaTheme="minorEastAsia"/>
          <w:color w:val="auto"/>
          <w:sz w:val="21"/>
          <w:szCs w:val="21"/>
          <w:highlight w:val="none"/>
        </w:rPr>
        <w:t>……</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以上企业，不属于大企业的分支机构，不存在控股股东为大企业的情形，也不存在与大企业的负责人为同一人的情形。</w:t>
      </w:r>
    </w:p>
    <w:p>
      <w:pPr>
        <w:pStyle w:val="4"/>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本企业对上述声明内容的真实性负责。如有虚假，将依法承担相应责任。</w:t>
      </w:r>
    </w:p>
    <w:p>
      <w:pPr>
        <w:pStyle w:val="4"/>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ascii="Times New Roman" w:eastAsiaTheme="minorEastAsia"/>
          <w:color w:val="auto"/>
          <w:w w:val="99"/>
          <w:sz w:val="21"/>
          <w:szCs w:val="21"/>
          <w:highlight w:val="none"/>
        </w:rPr>
      </w:pPr>
    </w:p>
    <w:p>
      <w:pPr>
        <w:pStyle w:val="4"/>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ascii="Times New Roman" w:eastAsiaTheme="minorEastAsia"/>
          <w:color w:val="auto"/>
          <w:w w:val="99"/>
          <w:sz w:val="21"/>
          <w:szCs w:val="21"/>
          <w:highlight w:val="none"/>
        </w:rPr>
      </w:pPr>
    </w:p>
    <w:p>
      <w:pPr>
        <w:pStyle w:val="4"/>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企业名称（盖章）：</w:t>
      </w:r>
    </w:p>
    <w:p>
      <w:pPr>
        <w:pStyle w:val="4"/>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eastAsiaTheme="minorEastAsia"/>
          <w:color w:val="auto"/>
          <w:kern w:val="0"/>
          <w:szCs w:val="21"/>
          <w:highlight w:val="none"/>
        </w:rPr>
      </w:pPr>
      <w:r>
        <w:rPr>
          <w:rFonts w:ascii="Times New Roman" w:hAnsiTheme="minorEastAsia" w:eastAsiaTheme="minorEastAsia"/>
          <w:color w:val="auto"/>
          <w:sz w:val="21"/>
          <w:szCs w:val="21"/>
          <w:highlight w:val="none"/>
        </w:rPr>
        <w:t>日期：</w:t>
      </w:r>
    </w:p>
    <w:p>
      <w:pPr>
        <w:pStyle w:val="14"/>
        <w:keepNext w:val="0"/>
        <w:keepLines w:val="0"/>
        <w:pageBreakBefore w:val="0"/>
        <w:kinsoku/>
        <w:wordWrap/>
        <w:overflowPunct/>
        <w:topLinePunct w:val="0"/>
        <w:bidi w:val="0"/>
        <w:spacing w:line="360" w:lineRule="auto"/>
        <w:outlineLvl w:val="9"/>
        <w:rPr>
          <w:rFonts w:ascii="Times New Roman" w:hAnsi="Times New Roman"/>
          <w:b/>
          <w:color w:val="auto"/>
          <w:highlight w:val="none"/>
        </w:rPr>
      </w:pPr>
      <w:r>
        <w:rPr>
          <w:rFonts w:hint="eastAsia"/>
          <w:color w:val="auto"/>
          <w:szCs w:val="21"/>
          <w:highlight w:val="none"/>
        </w:rPr>
        <w:t>注：1</w:t>
      </w:r>
      <w:r>
        <w:rPr>
          <w:rFonts w:hint="eastAsia"/>
          <w:color w:val="auto"/>
          <w:szCs w:val="21"/>
          <w:highlight w:val="none"/>
          <w:lang w:eastAsia="zh-CN"/>
        </w:rPr>
        <w:t>、</w:t>
      </w:r>
      <w:r>
        <w:rPr>
          <w:rFonts w:hint="eastAsia" w:ascii="宋体" w:eastAsia="宋体"/>
          <w:color w:val="auto"/>
          <w:szCs w:val="21"/>
          <w:highlight w:val="none"/>
        </w:rPr>
        <w:t>从业人员、营业收入、资产总额填报上一年度数据，无上一年度数据的新成立企业可不填报。</w:t>
      </w:r>
    </w:p>
    <w:p>
      <w:pPr>
        <w:pStyle w:val="51"/>
        <w:keepNext w:val="0"/>
        <w:keepLines w:val="0"/>
        <w:pageBreakBefore w:val="0"/>
        <w:numPr>
          <w:ilvl w:val="0"/>
          <w:numId w:val="0"/>
        </w:numPr>
        <w:kinsoku/>
        <w:wordWrap/>
        <w:overflowPunct/>
        <w:topLinePunct w:val="0"/>
        <w:bidi w:val="0"/>
        <w:spacing w:line="360" w:lineRule="auto"/>
        <w:ind w:left="403" w:leftChars="0"/>
        <w:jc w:val="both"/>
        <w:outlineLvl w:val="9"/>
        <w:rPr>
          <w:rFonts w:hint="eastAsia" w:ascii="宋体" w:hAnsi="宋体" w:cs="宋体"/>
          <w:color w:val="auto"/>
          <w:spacing w:val="20"/>
          <w:kern w:val="0"/>
          <w:szCs w:val="21"/>
          <w:highlight w:val="none"/>
        </w:rPr>
      </w:pPr>
      <w:r>
        <w:rPr>
          <w:rFonts w:hint="eastAsia" w:ascii="宋体" w:hAnsi="Courier New" w:eastAsia="宋体" w:cstheme="minorBidi"/>
          <w:color w:val="auto"/>
          <w:kern w:val="2"/>
          <w:sz w:val="21"/>
          <w:szCs w:val="21"/>
          <w:highlight w:val="none"/>
          <w:lang w:val="en-US" w:eastAsia="zh-CN" w:bidi="ar-SA"/>
        </w:rPr>
        <w:t>2</w:t>
      </w:r>
      <w:r>
        <w:rPr>
          <w:rFonts w:hint="eastAsia" w:ascii="宋体" w:hAnsi="Courier New" w:cstheme="minorBidi"/>
          <w:color w:val="auto"/>
          <w:kern w:val="2"/>
          <w:sz w:val="21"/>
          <w:szCs w:val="21"/>
          <w:highlight w:val="none"/>
          <w:lang w:val="en-US" w:eastAsia="zh-CN" w:bidi="ar-SA"/>
        </w:rPr>
        <w:t>、</w:t>
      </w:r>
      <w:r>
        <w:rPr>
          <w:rFonts w:hint="eastAsia" w:ascii="宋体" w:hAnsi="宋体" w:cs="宋体"/>
          <w:color w:val="auto"/>
          <w:spacing w:val="20"/>
          <w:kern w:val="0"/>
          <w:szCs w:val="21"/>
          <w:highlight w:val="none"/>
        </w:rPr>
        <w:t>投标人按各自参加投标的对应标包分别编制、分别成册、分别提交。</w:t>
      </w:r>
    </w:p>
    <w:p>
      <w:pPr>
        <w:pStyle w:val="14"/>
        <w:keepNext w:val="0"/>
        <w:keepLines w:val="0"/>
        <w:pageBreakBefore w:val="0"/>
        <w:kinsoku/>
        <w:wordWrap/>
        <w:overflowPunct/>
        <w:topLinePunct w:val="0"/>
        <w:bidi w:val="0"/>
        <w:spacing w:line="360" w:lineRule="auto"/>
        <w:jc w:val="center"/>
        <w:outlineLvl w:val="9"/>
        <w:rPr>
          <w:rFonts w:hint="eastAsia" w:hAnsi="宋体"/>
          <w:b/>
          <w:color w:val="auto"/>
          <w:sz w:val="32"/>
          <w:szCs w:val="32"/>
          <w:highlight w:val="none"/>
          <w:lang w:val="en-GB"/>
        </w:rPr>
      </w:pPr>
    </w:p>
    <w:p>
      <w:pPr>
        <w:pStyle w:val="14"/>
        <w:keepNext w:val="0"/>
        <w:keepLines w:val="0"/>
        <w:pageBreakBefore w:val="0"/>
        <w:kinsoku/>
        <w:wordWrap/>
        <w:overflowPunct/>
        <w:topLinePunct w:val="0"/>
        <w:bidi w:val="0"/>
        <w:spacing w:line="360" w:lineRule="auto"/>
        <w:jc w:val="center"/>
        <w:outlineLvl w:val="9"/>
        <w:rPr>
          <w:rFonts w:hint="eastAsia" w:hAnsi="宋体"/>
          <w:b/>
          <w:color w:val="auto"/>
          <w:sz w:val="32"/>
          <w:szCs w:val="32"/>
          <w:highlight w:val="none"/>
          <w:lang w:val="en-GB"/>
        </w:rPr>
      </w:pPr>
    </w:p>
    <w:p>
      <w:pPr>
        <w:pStyle w:val="14"/>
        <w:keepNext w:val="0"/>
        <w:keepLines w:val="0"/>
        <w:pageBreakBefore w:val="0"/>
        <w:kinsoku/>
        <w:wordWrap/>
        <w:overflowPunct/>
        <w:topLinePunct w:val="0"/>
        <w:bidi w:val="0"/>
        <w:spacing w:line="360" w:lineRule="auto"/>
        <w:jc w:val="center"/>
        <w:outlineLvl w:val="9"/>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asci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pacing w:val="6"/>
          <w:szCs w:val="21"/>
          <w:highlight w:val="none"/>
        </w:rPr>
        <w:t>2017</w:t>
      </w:r>
      <w:r>
        <w:rPr>
          <w:rFonts w:hint="eastAsia" w:ascii="宋体" w:hAnsi="宋体"/>
          <w:color w:val="auto"/>
          <w:spacing w:val="6"/>
          <w:szCs w:val="21"/>
          <w:highlight w:val="none"/>
        </w:rPr>
        <w:t>〕</w:t>
      </w:r>
      <w:r>
        <w:rPr>
          <w:rFonts w:ascii="宋体" w:hAnsi="宋体"/>
          <w:color w:val="auto"/>
          <w:spacing w:val="6"/>
          <w:szCs w:val="21"/>
          <w:highlight w:val="none"/>
        </w:rPr>
        <w:t xml:space="preserve"> 141</w:t>
      </w:r>
      <w:r>
        <w:rPr>
          <w:rFonts w:hint="eastAsia" w:ascii="宋体" w:hAnsi="宋体"/>
          <w:color w:val="auto"/>
          <w:spacing w:val="6"/>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asci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pacing w:val="6"/>
          <w:szCs w:val="21"/>
          <w:highlight w:val="none"/>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pacing w:val="6"/>
          <w:szCs w:val="21"/>
          <w:highlight w:val="none"/>
        </w:rPr>
      </w:pPr>
      <w:r>
        <w:rPr>
          <w:rFonts w:hint="eastAsia" w:ascii="宋体" w:hAnsi="宋体"/>
          <w:color w:val="auto"/>
          <w:spacing w:val="6"/>
          <w:szCs w:val="21"/>
          <w:highlight w:val="none"/>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ascii="宋体" w:hAnsi="宋体"/>
          <w:color w:val="auto"/>
          <w:szCs w:val="21"/>
          <w:highlight w:val="none"/>
        </w:rPr>
      </w:pPr>
      <w:r>
        <w:rPr>
          <w:rFonts w:hint="eastAsia" w:ascii="宋体" w:hAnsi="宋体"/>
          <w:color w:val="auto"/>
          <w:szCs w:val="21"/>
          <w:highlight w:val="none"/>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ascii="宋体"/>
          <w:color w:val="auto"/>
          <w:szCs w:val="21"/>
          <w:highlight w:val="none"/>
        </w:rPr>
      </w:pPr>
      <w:r>
        <w:rPr>
          <w:rFonts w:hint="eastAsia" w:ascii="宋体" w:hAnsi="宋体"/>
          <w:color w:val="auto"/>
          <w:spacing w:val="6"/>
          <w:szCs w:val="21"/>
          <w:highlight w:val="none"/>
        </w:rPr>
        <w:t>日期：</w:t>
      </w: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ascii="宋体"/>
          <w:b/>
          <w:color w:val="auto"/>
          <w:sz w:val="28"/>
          <w:szCs w:val="28"/>
          <w:highlight w:val="none"/>
        </w:rPr>
      </w:pPr>
    </w:p>
    <w:p>
      <w:pPr>
        <w:pStyle w:val="51"/>
        <w:keepNext w:val="0"/>
        <w:keepLines w:val="0"/>
        <w:pageBreakBefore w:val="0"/>
        <w:kinsoku/>
        <w:wordWrap/>
        <w:overflowPunct/>
        <w:topLinePunct w:val="0"/>
        <w:bidi w:val="0"/>
        <w:spacing w:line="360" w:lineRule="auto"/>
        <w:outlineLvl w:val="9"/>
        <w:rPr>
          <w:rFonts w:hint="eastAsia" w:ascii="宋体" w:eastAsia="宋体"/>
          <w:b/>
          <w:color w:val="auto"/>
          <w:sz w:val="28"/>
          <w:szCs w:val="28"/>
          <w:highlight w:val="none"/>
          <w:lang w:eastAsia="zh-CN"/>
        </w:rPr>
      </w:pPr>
      <w:r>
        <w:rPr>
          <w:rFonts w:hint="eastAsia" w:ascii="宋体" w:hAnsi="宋体"/>
          <w:b/>
          <w:color w:val="auto"/>
          <w:sz w:val="28"/>
          <w:szCs w:val="28"/>
          <w:highlight w:val="none"/>
        </w:rPr>
        <w:t>附件</w:t>
      </w:r>
      <w:r>
        <w:rPr>
          <w:rFonts w:ascii="宋体" w:hAnsi="宋体"/>
          <w:b/>
          <w:color w:val="auto"/>
          <w:sz w:val="28"/>
          <w:szCs w:val="28"/>
          <w:highlight w:val="none"/>
        </w:rPr>
        <w:t>1</w:t>
      </w:r>
      <w:r>
        <w:rPr>
          <w:rFonts w:hint="eastAsia" w:ascii="宋体" w:hAnsi="宋体"/>
          <w:b/>
          <w:color w:val="auto"/>
          <w:sz w:val="28"/>
          <w:szCs w:val="28"/>
          <w:highlight w:val="none"/>
          <w:lang w:val="en-US" w:eastAsia="zh-CN"/>
        </w:rPr>
        <w:t>7</w:t>
      </w:r>
    </w:p>
    <w:p>
      <w:pPr>
        <w:pStyle w:val="52"/>
        <w:keepNext w:val="0"/>
        <w:keepLines w:val="0"/>
        <w:pageBreakBefore w:val="0"/>
        <w:kinsoku/>
        <w:wordWrap/>
        <w:overflowPunct/>
        <w:topLinePunct w:val="0"/>
        <w:bidi w:val="0"/>
        <w:spacing w:line="360" w:lineRule="auto"/>
        <w:outlineLvl w:val="9"/>
        <w:rPr>
          <w:color w:val="auto"/>
          <w:highlight w:val="none"/>
        </w:rPr>
      </w:pPr>
    </w:p>
    <w:p>
      <w:pPr>
        <w:pStyle w:val="49"/>
        <w:keepNext w:val="0"/>
        <w:keepLines w:val="0"/>
        <w:pageBreakBefore w:val="0"/>
        <w:kinsoku/>
        <w:wordWrap/>
        <w:overflowPunct/>
        <w:topLinePunct w:val="0"/>
        <w:bidi w:val="0"/>
        <w:spacing w:line="360" w:lineRule="auto"/>
        <w:jc w:val="center"/>
        <w:outlineLvl w:val="9"/>
        <w:rPr>
          <w:rFonts w:ascii="宋体" w:hAnsi="宋体" w:cstheme="minorBidi"/>
          <w:b/>
          <w:color w:val="auto"/>
          <w:sz w:val="32"/>
          <w:szCs w:val="32"/>
          <w:highlight w:val="none"/>
          <w:lang w:val="en-GB"/>
        </w:rPr>
      </w:pPr>
      <w:r>
        <w:rPr>
          <w:rFonts w:hint="eastAsia" w:ascii="宋体" w:hAnsi="宋体" w:cstheme="minorBidi"/>
          <w:b/>
          <w:color w:val="auto"/>
          <w:sz w:val="32"/>
          <w:szCs w:val="32"/>
          <w:highlight w:val="none"/>
          <w:lang w:val="en-GB"/>
        </w:rPr>
        <w:t>产品适用政府采购政策情况表</w:t>
      </w:r>
    </w:p>
    <w:p>
      <w:pPr>
        <w:pStyle w:val="49"/>
        <w:keepNext w:val="0"/>
        <w:keepLines w:val="0"/>
        <w:pageBreakBefore w:val="0"/>
        <w:kinsoku/>
        <w:wordWrap/>
        <w:overflowPunct/>
        <w:topLinePunct w:val="0"/>
        <w:bidi w:val="0"/>
        <w:spacing w:line="360" w:lineRule="auto"/>
        <w:jc w:val="center"/>
        <w:outlineLvl w:val="9"/>
        <w:rPr>
          <w:rFonts w:ascii="宋体"/>
          <w:b/>
          <w:color w:val="auto"/>
          <w:szCs w:val="21"/>
          <w:highlight w:val="none"/>
          <w:lang w:val="en-GB"/>
        </w:rPr>
      </w:pPr>
    </w:p>
    <w:tbl>
      <w:tblPr>
        <w:tblStyle w:val="2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小微企业扶持政策</w:t>
            </w:r>
          </w:p>
        </w:tc>
        <w:tc>
          <w:tcPr>
            <w:tcW w:w="8111" w:type="dxa"/>
            <w:gridSpan w:val="3"/>
            <w:vAlign w:val="center"/>
          </w:tcPr>
          <w:tbl>
            <w:tblPr>
              <w:tblStyle w:val="24"/>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pageBreakBefore w:val="0"/>
                    <w:tabs>
                      <w:tab w:val="left" w:pos="1260"/>
                    </w:tabs>
                    <w:kinsoku/>
                    <w:wordWrap/>
                    <w:overflowPunct/>
                    <w:topLinePunct w:val="0"/>
                    <w:bidi w:val="0"/>
                    <w:spacing w:line="360" w:lineRule="auto"/>
                    <w:outlineLvl w:val="9"/>
                    <w:rPr>
                      <w:rFonts w:ascii="宋体"/>
                      <w:color w:val="auto"/>
                      <w:szCs w:val="21"/>
                      <w:highlight w:val="none"/>
                    </w:rPr>
                  </w:pPr>
                  <w:r>
                    <w:rPr>
                      <w:rFonts w:hint="eastAsia" w:ascii="宋体" w:hAnsi="宋体"/>
                      <w:b/>
                      <w:bCs/>
                      <w:color w:val="auto"/>
                      <w:szCs w:val="21"/>
                      <w:highlight w:val="none"/>
                    </w:rPr>
                    <w:t>小型、微型企业投标且所投产品（指货物、工程、服务）由本企业制造，或者所投产品（仅指货物）含有其他小型、微型企业制造的，应</w:t>
                  </w:r>
                  <w:r>
                    <w:rPr>
                      <w:rFonts w:hint="eastAsia" w:ascii="宋体" w:hAnsi="宋体"/>
                      <w:b/>
                      <w:bCs/>
                      <w:color w:val="auto"/>
                      <w:szCs w:val="21"/>
                      <w:highlight w:val="none"/>
                      <w:lang w:val="en-GB"/>
                    </w:rPr>
                    <w:t>按要求列出具体产品与金额。</w:t>
                  </w:r>
                </w:p>
              </w:tc>
            </w:tr>
          </w:tbl>
          <w:p>
            <w:pPr>
              <w:pStyle w:val="49"/>
              <w:keepNext w:val="0"/>
              <w:keepLines w:val="0"/>
              <w:pageBreakBefore w:val="0"/>
              <w:tabs>
                <w:tab w:val="left" w:pos="1260"/>
              </w:tabs>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产品名称（品牌、型号）</w:t>
            </w:r>
          </w:p>
        </w:tc>
        <w:tc>
          <w:tcPr>
            <w:tcW w:w="381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制造企业名称</w:t>
            </w:r>
          </w:p>
        </w:tc>
        <w:tc>
          <w:tcPr>
            <w:tcW w:w="162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2679"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381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162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c>
          <w:tcPr>
            <w:tcW w:w="6490" w:type="dxa"/>
            <w:gridSpan w:val="2"/>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金额合计（元）</w:t>
            </w:r>
          </w:p>
          <w:p>
            <w:pPr>
              <w:keepNext w:val="0"/>
              <w:keepLines w:val="0"/>
              <w:pageBreakBefore w:val="0"/>
              <w:kinsoku/>
              <w:wordWrap/>
              <w:overflowPunct/>
              <w:topLinePunct w:val="0"/>
              <w:bidi w:val="0"/>
              <w:spacing w:line="360" w:lineRule="auto"/>
              <w:outlineLvl w:val="9"/>
              <w:rPr>
                <w:color w:val="auto"/>
                <w:szCs w:val="21"/>
                <w:highlight w:val="none"/>
              </w:rPr>
            </w:pPr>
          </w:p>
        </w:tc>
        <w:tc>
          <w:tcPr>
            <w:tcW w:w="1621" w:type="dxa"/>
            <w:vAlign w:val="center"/>
          </w:tcPr>
          <w:p>
            <w:pPr>
              <w:pStyle w:val="49"/>
              <w:keepNext w:val="0"/>
              <w:keepLines w:val="0"/>
              <w:pageBreakBefore w:val="0"/>
              <w:tabs>
                <w:tab w:val="left" w:pos="1260"/>
              </w:tabs>
              <w:kinsoku/>
              <w:wordWrap/>
              <w:overflowPunct/>
              <w:topLinePunct w:val="0"/>
              <w:bidi w:val="0"/>
              <w:spacing w:line="360" w:lineRule="auto"/>
              <w:jc w:val="center"/>
              <w:outlineLvl w:val="9"/>
              <w:rPr>
                <w:rFonts w:ascii="宋体"/>
                <w:color w:val="auto"/>
                <w:szCs w:val="21"/>
                <w:highlight w:val="none"/>
                <w:lang w:val="en-GB"/>
              </w:rPr>
            </w:pPr>
          </w:p>
        </w:tc>
      </w:tr>
    </w:tbl>
    <w:p>
      <w:pPr>
        <w:pStyle w:val="49"/>
        <w:keepNext w:val="0"/>
        <w:keepLines w:val="0"/>
        <w:pageBreakBefore w:val="0"/>
        <w:kinsoku/>
        <w:wordWrap/>
        <w:overflowPunct/>
        <w:topLinePunct w:val="0"/>
        <w:bidi w:val="0"/>
        <w:spacing w:line="360" w:lineRule="auto"/>
        <w:outlineLvl w:val="9"/>
        <w:rPr>
          <w:rFonts w:ascii="宋体"/>
          <w:color w:val="auto"/>
          <w:szCs w:val="21"/>
          <w:highlight w:val="none"/>
          <w:lang w:val="en-GB"/>
        </w:rPr>
      </w:pPr>
    </w:p>
    <w:p>
      <w:pPr>
        <w:pStyle w:val="49"/>
        <w:keepNext w:val="0"/>
        <w:keepLines w:val="0"/>
        <w:pageBreakBefore w:val="0"/>
        <w:kinsoku/>
        <w:wordWrap/>
        <w:overflowPunct/>
        <w:topLinePunct w:val="0"/>
        <w:bidi w:val="0"/>
        <w:spacing w:line="360" w:lineRule="auto"/>
        <w:outlineLvl w:val="9"/>
        <w:rPr>
          <w:rFonts w:ascii="宋体"/>
          <w:color w:val="auto"/>
          <w:szCs w:val="21"/>
          <w:highlight w:val="none"/>
          <w:lang w:val="en-GB"/>
        </w:rPr>
      </w:pPr>
      <w:r>
        <w:rPr>
          <w:rFonts w:hint="eastAsia" w:ascii="宋体" w:hAnsi="宋体"/>
          <w:color w:val="auto"/>
          <w:szCs w:val="21"/>
          <w:highlight w:val="none"/>
          <w:lang w:val="en-GB"/>
        </w:rPr>
        <w:t>填报要求：</w:t>
      </w:r>
    </w:p>
    <w:p>
      <w:pPr>
        <w:pStyle w:val="49"/>
        <w:keepNext w:val="0"/>
        <w:keepLines w:val="0"/>
        <w:pageBreakBefore w:val="0"/>
        <w:widowControl/>
        <w:numPr>
          <w:ilvl w:val="0"/>
          <w:numId w:val="0"/>
        </w:numPr>
        <w:kinsoku/>
        <w:wordWrap/>
        <w:overflowPunct/>
        <w:topLinePunct w:val="0"/>
        <w:bidi w:val="0"/>
        <w:spacing w:line="360" w:lineRule="auto"/>
        <w:ind w:leftChars="0" w:right="84" w:rightChars="40"/>
        <w:jc w:val="left"/>
        <w:outlineLvl w:val="9"/>
        <w:rPr>
          <w:rFonts w:asci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本表的产品名称、规格型号和注册商标、金额要与《报价明细表》一致。</w:t>
      </w:r>
    </w:p>
    <w:p>
      <w:pPr>
        <w:pStyle w:val="49"/>
        <w:keepNext w:val="0"/>
        <w:keepLines w:val="0"/>
        <w:pageBreakBefore w:val="0"/>
        <w:widowControl/>
        <w:numPr>
          <w:ilvl w:val="0"/>
          <w:numId w:val="0"/>
        </w:numPr>
        <w:tabs>
          <w:tab w:val="left" w:pos="360"/>
        </w:tabs>
        <w:kinsoku/>
        <w:wordWrap/>
        <w:overflowPunct/>
        <w:topLinePunct w:val="0"/>
        <w:bidi w:val="0"/>
        <w:spacing w:line="360" w:lineRule="auto"/>
        <w:ind w:leftChars="0" w:right="84" w:rightChars="40"/>
        <w:jc w:val="left"/>
        <w:outlineLvl w:val="9"/>
        <w:rPr>
          <w:rFonts w:ascii="宋体"/>
          <w:color w:val="auto"/>
          <w:szCs w:val="21"/>
          <w:highlight w:val="none"/>
          <w:lang w:val="en-GB"/>
        </w:rPr>
      </w:pPr>
      <w:r>
        <w:rPr>
          <w:rFonts w:hint="eastAsia" w:ascii="宋体" w:hAnsi="宋体"/>
          <w:color w:val="auto"/>
          <w:szCs w:val="21"/>
          <w:highlight w:val="none"/>
          <w:lang w:val="en-US" w:eastAsia="zh-CN"/>
        </w:rPr>
        <w:t>2、</w:t>
      </w:r>
      <w:r>
        <w:rPr>
          <w:rFonts w:hint="eastAsia" w:ascii="宋体" w:hAnsi="宋体"/>
          <w:color w:val="auto"/>
          <w:szCs w:val="21"/>
          <w:highlight w:val="none"/>
          <w:lang w:val="en-GB"/>
        </w:rPr>
        <w:t>制造商为小型或微型企业时才需要填“制造商企业类型”栏，填写内容为“小型”或“微型”。</w:t>
      </w:r>
    </w:p>
    <w:p>
      <w:pPr>
        <w:pStyle w:val="49"/>
        <w:keepNext w:val="0"/>
        <w:keepLines w:val="0"/>
        <w:pageBreakBefore w:val="0"/>
        <w:widowControl/>
        <w:numPr>
          <w:ilvl w:val="0"/>
          <w:numId w:val="0"/>
        </w:numPr>
        <w:kinsoku/>
        <w:wordWrap/>
        <w:overflowPunct/>
        <w:topLinePunct w:val="0"/>
        <w:bidi w:val="0"/>
        <w:spacing w:line="360" w:lineRule="auto"/>
        <w:ind w:leftChars="0" w:right="84" w:rightChars="40"/>
        <w:jc w:val="left"/>
        <w:outlineLvl w:val="9"/>
        <w:rPr>
          <w:rFonts w:ascii="宋体"/>
          <w:color w:val="auto"/>
          <w:sz w:val="24"/>
          <w:highlight w:val="none"/>
          <w:lang w:val="en-GB"/>
        </w:rPr>
      </w:pPr>
      <w:r>
        <w:rPr>
          <w:rFonts w:hint="eastAsia" w:ascii="宋体" w:hAnsi="宋体"/>
          <w:color w:val="auto"/>
          <w:szCs w:val="21"/>
          <w:highlight w:val="none"/>
          <w:lang w:val="en-US" w:eastAsia="zh-CN"/>
        </w:rPr>
        <w:t>3、</w:t>
      </w: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keepNext w:val="0"/>
        <w:keepLines w:val="0"/>
        <w:pageBreakBefore w:val="0"/>
        <w:kinsoku/>
        <w:wordWrap/>
        <w:overflowPunct/>
        <w:topLinePunct w:val="0"/>
        <w:bidi w:val="0"/>
        <w:spacing w:line="360" w:lineRule="auto"/>
        <w:ind w:firstLine="4305" w:firstLineChars="2050"/>
        <w:outlineLvl w:val="9"/>
        <w:rPr>
          <w:color w:val="auto"/>
          <w:highlight w:val="none"/>
        </w:rPr>
      </w:pPr>
    </w:p>
    <w:p>
      <w:pPr>
        <w:pStyle w:val="4"/>
        <w:keepNext w:val="0"/>
        <w:keepLines w:val="0"/>
        <w:pageBreakBefore w:val="0"/>
        <w:kinsoku/>
        <w:wordWrap/>
        <w:overflowPunct/>
        <w:topLinePunct w:val="0"/>
        <w:bidi w:val="0"/>
        <w:jc w:val="center"/>
        <w:outlineLvl w:val="9"/>
        <w:rPr>
          <w:color w:val="auto"/>
          <w:highlight w:val="none"/>
        </w:rPr>
      </w:pPr>
    </w:p>
    <w:p>
      <w:pPr>
        <w:pStyle w:val="4"/>
        <w:jc w:val="center"/>
        <w:rPr>
          <w:color w:val="auto"/>
          <w:highlight w:val="none"/>
        </w:rPr>
      </w:pPr>
    </w:p>
    <w:p>
      <w:pPr>
        <w:pStyle w:val="4"/>
        <w:jc w:val="center"/>
        <w:rPr>
          <w:color w:val="auto"/>
          <w:highlight w:val="none"/>
        </w:rPr>
      </w:pPr>
    </w:p>
    <w:p>
      <w:pPr>
        <w:pStyle w:val="4"/>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台州金清水系流域共治实施方案项目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58CA50F0"/>
    <w:multiLevelType w:val="multilevel"/>
    <w:tmpl w:val="58CA50F0"/>
    <w:lvl w:ilvl="0" w:tentative="0">
      <w:start w:val="1"/>
      <w:numFmt w:val="chineseCounting"/>
      <w:pStyle w:val="7"/>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ZDI2OTQ3ZjQyM2YyYjk0NzI1MjlkZWQwZmMzZmEifQ=="/>
  </w:docVars>
  <w:rsids>
    <w:rsidRoot w:val="00BE3149"/>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F74E6"/>
    <w:rsid w:val="014D4625"/>
    <w:rsid w:val="01DC112F"/>
    <w:rsid w:val="01DF59E1"/>
    <w:rsid w:val="01F86678"/>
    <w:rsid w:val="02380D19"/>
    <w:rsid w:val="043F7FC4"/>
    <w:rsid w:val="051F6421"/>
    <w:rsid w:val="065735EF"/>
    <w:rsid w:val="08390248"/>
    <w:rsid w:val="084A3762"/>
    <w:rsid w:val="087F5981"/>
    <w:rsid w:val="08D26578"/>
    <w:rsid w:val="09107AD0"/>
    <w:rsid w:val="091240AB"/>
    <w:rsid w:val="094B2DCA"/>
    <w:rsid w:val="09E03F7D"/>
    <w:rsid w:val="09F33DD0"/>
    <w:rsid w:val="0AF64F0D"/>
    <w:rsid w:val="0C47494B"/>
    <w:rsid w:val="0D1F4CD0"/>
    <w:rsid w:val="0D9A128E"/>
    <w:rsid w:val="0F7812F7"/>
    <w:rsid w:val="0F7E6199"/>
    <w:rsid w:val="0FE74D1C"/>
    <w:rsid w:val="10452B67"/>
    <w:rsid w:val="10860B6D"/>
    <w:rsid w:val="10B90D80"/>
    <w:rsid w:val="121665CB"/>
    <w:rsid w:val="12EC03CE"/>
    <w:rsid w:val="13F45D5A"/>
    <w:rsid w:val="14121E8F"/>
    <w:rsid w:val="15D17152"/>
    <w:rsid w:val="168339D9"/>
    <w:rsid w:val="16EB5ADF"/>
    <w:rsid w:val="171D6CDD"/>
    <w:rsid w:val="17461D47"/>
    <w:rsid w:val="176F1112"/>
    <w:rsid w:val="177873A9"/>
    <w:rsid w:val="17B91B1C"/>
    <w:rsid w:val="17D2330C"/>
    <w:rsid w:val="18C150E9"/>
    <w:rsid w:val="190F235F"/>
    <w:rsid w:val="198F0870"/>
    <w:rsid w:val="19CE3838"/>
    <w:rsid w:val="1A076244"/>
    <w:rsid w:val="1C6D212E"/>
    <w:rsid w:val="1C7E5C21"/>
    <w:rsid w:val="1CC61F19"/>
    <w:rsid w:val="1D1B615D"/>
    <w:rsid w:val="1D465475"/>
    <w:rsid w:val="1DB05BC4"/>
    <w:rsid w:val="1EE2639F"/>
    <w:rsid w:val="1F162724"/>
    <w:rsid w:val="201C7B31"/>
    <w:rsid w:val="20ED3C16"/>
    <w:rsid w:val="224700DF"/>
    <w:rsid w:val="22F6774D"/>
    <w:rsid w:val="25C5310A"/>
    <w:rsid w:val="26353EFB"/>
    <w:rsid w:val="28FA6455"/>
    <w:rsid w:val="29367CF7"/>
    <w:rsid w:val="29861651"/>
    <w:rsid w:val="2A1E1287"/>
    <w:rsid w:val="2A906C13"/>
    <w:rsid w:val="2C3E0BB8"/>
    <w:rsid w:val="2D1760B4"/>
    <w:rsid w:val="2D9D0807"/>
    <w:rsid w:val="2E1924DD"/>
    <w:rsid w:val="2F7B1BB4"/>
    <w:rsid w:val="2F8D29B1"/>
    <w:rsid w:val="30EB3632"/>
    <w:rsid w:val="31D71BF0"/>
    <w:rsid w:val="323740AF"/>
    <w:rsid w:val="32A94534"/>
    <w:rsid w:val="33413EC8"/>
    <w:rsid w:val="33554436"/>
    <w:rsid w:val="34772ADD"/>
    <w:rsid w:val="347D25E4"/>
    <w:rsid w:val="355B2A13"/>
    <w:rsid w:val="355D5C9E"/>
    <w:rsid w:val="36D706BD"/>
    <w:rsid w:val="37584051"/>
    <w:rsid w:val="37E4758B"/>
    <w:rsid w:val="3A316D41"/>
    <w:rsid w:val="3A7A6F1E"/>
    <w:rsid w:val="3A855BB5"/>
    <w:rsid w:val="3B194DD7"/>
    <w:rsid w:val="3B64677C"/>
    <w:rsid w:val="3C6623F3"/>
    <w:rsid w:val="3E41042A"/>
    <w:rsid w:val="3E642B43"/>
    <w:rsid w:val="3E6F7B1E"/>
    <w:rsid w:val="3F1D6D60"/>
    <w:rsid w:val="3F654DFF"/>
    <w:rsid w:val="3F95513E"/>
    <w:rsid w:val="41ED1EFE"/>
    <w:rsid w:val="42A16F0F"/>
    <w:rsid w:val="434118E3"/>
    <w:rsid w:val="4364349F"/>
    <w:rsid w:val="43AD217F"/>
    <w:rsid w:val="458B72B5"/>
    <w:rsid w:val="46D0725A"/>
    <w:rsid w:val="475E4A07"/>
    <w:rsid w:val="4797223C"/>
    <w:rsid w:val="47C11F07"/>
    <w:rsid w:val="48D11615"/>
    <w:rsid w:val="4BD6102D"/>
    <w:rsid w:val="4CF72E0A"/>
    <w:rsid w:val="4D0D668F"/>
    <w:rsid w:val="4DFA74A7"/>
    <w:rsid w:val="4E007FCD"/>
    <w:rsid w:val="4E0A1174"/>
    <w:rsid w:val="4E3623E0"/>
    <w:rsid w:val="4F632809"/>
    <w:rsid w:val="4F9A7897"/>
    <w:rsid w:val="507706BC"/>
    <w:rsid w:val="50AC68A4"/>
    <w:rsid w:val="50D628CB"/>
    <w:rsid w:val="541425E1"/>
    <w:rsid w:val="54CF56D2"/>
    <w:rsid w:val="553E5FE2"/>
    <w:rsid w:val="557C0E2E"/>
    <w:rsid w:val="55AE418F"/>
    <w:rsid w:val="56CE797F"/>
    <w:rsid w:val="57AE5C45"/>
    <w:rsid w:val="5801790F"/>
    <w:rsid w:val="585D74AD"/>
    <w:rsid w:val="58D35C9F"/>
    <w:rsid w:val="58E305F4"/>
    <w:rsid w:val="5A717E39"/>
    <w:rsid w:val="5CF64375"/>
    <w:rsid w:val="5D191106"/>
    <w:rsid w:val="5D683466"/>
    <w:rsid w:val="5ECD0CBA"/>
    <w:rsid w:val="5EEE1974"/>
    <w:rsid w:val="60C521EF"/>
    <w:rsid w:val="60CA0DE4"/>
    <w:rsid w:val="61EE3878"/>
    <w:rsid w:val="622136D2"/>
    <w:rsid w:val="62821D6C"/>
    <w:rsid w:val="62F63414"/>
    <w:rsid w:val="6406501C"/>
    <w:rsid w:val="64826984"/>
    <w:rsid w:val="650F02D7"/>
    <w:rsid w:val="66123FF3"/>
    <w:rsid w:val="66950943"/>
    <w:rsid w:val="673E235F"/>
    <w:rsid w:val="673F0D45"/>
    <w:rsid w:val="6AD211AF"/>
    <w:rsid w:val="6B0242A5"/>
    <w:rsid w:val="6C9E744C"/>
    <w:rsid w:val="6D643BB1"/>
    <w:rsid w:val="6EFF1686"/>
    <w:rsid w:val="6F52577A"/>
    <w:rsid w:val="6FB47993"/>
    <w:rsid w:val="70887011"/>
    <w:rsid w:val="71892976"/>
    <w:rsid w:val="720C7DC2"/>
    <w:rsid w:val="72DC5705"/>
    <w:rsid w:val="73830D52"/>
    <w:rsid w:val="743D357C"/>
    <w:rsid w:val="748266FC"/>
    <w:rsid w:val="74BB1228"/>
    <w:rsid w:val="74E47274"/>
    <w:rsid w:val="75514582"/>
    <w:rsid w:val="759A4515"/>
    <w:rsid w:val="76092670"/>
    <w:rsid w:val="76462F27"/>
    <w:rsid w:val="767D593D"/>
    <w:rsid w:val="770A7D21"/>
    <w:rsid w:val="77864C3A"/>
    <w:rsid w:val="78867147"/>
    <w:rsid w:val="78DC3E7D"/>
    <w:rsid w:val="78E41C51"/>
    <w:rsid w:val="7901315C"/>
    <w:rsid w:val="7929784F"/>
    <w:rsid w:val="79871BC9"/>
    <w:rsid w:val="7A7A1CA8"/>
    <w:rsid w:val="7B264035"/>
    <w:rsid w:val="7B376CA9"/>
    <w:rsid w:val="7BEB0099"/>
    <w:rsid w:val="7BFE39DD"/>
    <w:rsid w:val="7C710949"/>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8">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9">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adjustRightInd w:val="0"/>
      <w:spacing w:line="420" w:lineRule="atLeast"/>
      <w:jc w:val="left"/>
      <w:textAlignment w:val="baseline"/>
    </w:pPr>
    <w:rPr>
      <w:kern w:val="0"/>
    </w:rPr>
  </w:style>
  <w:style w:type="paragraph" w:styleId="3">
    <w:name w:val="Body Text Indent"/>
    <w:basedOn w:val="1"/>
    <w:next w:val="1"/>
    <w:link w:val="36"/>
    <w:qFormat/>
    <w:uiPriority w:val="99"/>
    <w:pPr>
      <w:spacing w:after="120"/>
      <w:ind w:left="420" w:leftChars="200"/>
    </w:pPr>
  </w:style>
  <w:style w:type="paragraph" w:styleId="4">
    <w:name w:val="Body Text"/>
    <w:basedOn w:val="1"/>
    <w:next w:val="5"/>
    <w:link w:val="35"/>
    <w:semiHidden/>
    <w:unhideWhenUsed/>
    <w:qFormat/>
    <w:uiPriority w:val="99"/>
    <w:pPr>
      <w:spacing w:after="120"/>
    </w:pPr>
  </w:style>
  <w:style w:type="paragraph" w:styleId="5">
    <w:name w:val="Body Text First Indent"/>
    <w:basedOn w:val="4"/>
    <w:next w:val="6"/>
    <w:qFormat/>
    <w:uiPriority w:val="0"/>
    <w:pPr>
      <w:ind w:firstLine="420" w:firstLineChars="100"/>
    </w:pPr>
  </w:style>
  <w:style w:type="paragraph" w:styleId="6">
    <w:name w:val="toc 6"/>
    <w:basedOn w:val="1"/>
    <w:next w:val="1"/>
    <w:qFormat/>
    <w:uiPriority w:val="99"/>
    <w:pPr>
      <w:widowControl/>
      <w:ind w:left="1000"/>
      <w:jc w:val="left"/>
    </w:pPr>
    <w:rPr>
      <w:kern w:val="0"/>
      <w:sz w:val="18"/>
      <w:szCs w:val="20"/>
    </w:rPr>
  </w:style>
  <w:style w:type="paragraph" w:styleId="10">
    <w:name w:val="Normal Indent"/>
    <w:basedOn w:val="1"/>
    <w:next w:val="11"/>
    <w:qFormat/>
    <w:uiPriority w:val="0"/>
    <w:pPr>
      <w:ind w:firstLine="420"/>
    </w:pPr>
    <w:rPr>
      <w:szCs w:val="20"/>
    </w:rPr>
  </w:style>
  <w:style w:type="paragraph" w:styleId="11">
    <w:name w:val="toc 2"/>
    <w:basedOn w:val="1"/>
    <w:next w:val="1"/>
    <w:qFormat/>
    <w:uiPriority w:val="0"/>
    <w:pPr>
      <w:tabs>
        <w:tab w:val="right" w:leader="dot" w:pos="10070"/>
      </w:tabs>
      <w:spacing w:line="480" w:lineRule="auto"/>
      <w:ind w:left="200" w:leftChars="200"/>
    </w:pPr>
  </w:style>
  <w:style w:type="paragraph" w:styleId="12">
    <w:name w:val="annotation text"/>
    <w:basedOn w:val="1"/>
    <w:link w:val="63"/>
    <w:qFormat/>
    <w:uiPriority w:val="0"/>
    <w:pPr>
      <w:jc w:val="left"/>
    </w:pPr>
  </w:style>
  <w:style w:type="paragraph" w:styleId="13">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99"/>
    <w:pPr>
      <w:ind w:left="2500" w:leftChars="2500"/>
    </w:pPr>
    <w:rPr>
      <w:rFonts w:ascii="Calibri" w:hAnsi="Calibri" w:eastAsia="楷体_GB2312"/>
      <w:sz w:val="32"/>
      <w:szCs w:val="22"/>
    </w:rPr>
  </w:style>
  <w:style w:type="paragraph" w:styleId="16">
    <w:name w:val="Balloon Text"/>
    <w:basedOn w:val="1"/>
    <w:link w:val="3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2">
    <w:name w:val="annotation subject"/>
    <w:basedOn w:val="12"/>
    <w:next w:val="12"/>
    <w:link w:val="64"/>
    <w:semiHidden/>
    <w:unhideWhenUsed/>
    <w:qFormat/>
    <w:uiPriority w:val="99"/>
    <w:rPr>
      <w:b/>
      <w:bCs/>
    </w:rPr>
  </w:style>
  <w:style w:type="paragraph" w:styleId="23">
    <w:name w:val="Body Text First Indent 2"/>
    <w:basedOn w:val="3"/>
    <w:qFormat/>
    <w:uiPriority w:val="99"/>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ahoma" w:hAnsi="Tahoma" w:cs="Tahoma"/>
      <w:b/>
      <w:sz w:val="24"/>
    </w:rPr>
  </w:style>
  <w:style w:type="character" w:styleId="28">
    <w:name w:val="page number"/>
    <w:basedOn w:val="26"/>
    <w:qFormat/>
    <w:uiPriority w:val="0"/>
  </w:style>
  <w:style w:type="character" w:styleId="29">
    <w:name w:val="Hyperlink"/>
    <w:unhideWhenUsed/>
    <w:qFormat/>
    <w:uiPriority w:val="0"/>
    <w:rPr>
      <w:color w:val="0000FF"/>
      <w:u w:val="single"/>
    </w:rPr>
  </w:style>
  <w:style w:type="character" w:styleId="30">
    <w:name w:val="annotation reference"/>
    <w:basedOn w:val="26"/>
    <w:semiHidden/>
    <w:unhideWhenUsed/>
    <w:qFormat/>
    <w:uiPriority w:val="99"/>
    <w:rPr>
      <w:sz w:val="21"/>
      <w:szCs w:val="21"/>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Normal Indent1"/>
    <w:basedOn w:val="1"/>
    <w:qFormat/>
    <w:uiPriority w:val="0"/>
    <w:pPr>
      <w:ind w:firstLine="420" w:firstLineChars="200"/>
    </w:pPr>
  </w:style>
  <w:style w:type="character" w:customStyle="1" w:styleId="33">
    <w:name w:val="页眉 Char"/>
    <w:basedOn w:val="26"/>
    <w:link w:val="18"/>
    <w:qFormat/>
    <w:uiPriority w:val="99"/>
    <w:rPr>
      <w:sz w:val="18"/>
      <w:szCs w:val="18"/>
    </w:rPr>
  </w:style>
  <w:style w:type="character" w:customStyle="1" w:styleId="34">
    <w:name w:val="页脚 Char"/>
    <w:basedOn w:val="26"/>
    <w:link w:val="17"/>
    <w:qFormat/>
    <w:uiPriority w:val="99"/>
    <w:rPr>
      <w:sz w:val="18"/>
      <w:szCs w:val="18"/>
    </w:rPr>
  </w:style>
  <w:style w:type="character" w:customStyle="1" w:styleId="35">
    <w:name w:val="正文文本 Char"/>
    <w:basedOn w:val="26"/>
    <w:link w:val="4"/>
    <w:semiHidden/>
    <w:qFormat/>
    <w:uiPriority w:val="99"/>
    <w:rPr>
      <w:rFonts w:ascii="Times New Roman" w:hAnsi="Times New Roman" w:eastAsia="宋体" w:cs="Times New Roman"/>
      <w:szCs w:val="24"/>
    </w:rPr>
  </w:style>
  <w:style w:type="character" w:customStyle="1" w:styleId="36">
    <w:name w:val="正文文本缩进 Char"/>
    <w:basedOn w:val="26"/>
    <w:link w:val="3"/>
    <w:qFormat/>
    <w:uiPriority w:val="99"/>
    <w:rPr>
      <w:rFonts w:ascii="Times New Roman" w:hAnsi="Times New Roman" w:eastAsia="宋体" w:cs="Times New Roman"/>
      <w:szCs w:val="24"/>
    </w:rPr>
  </w:style>
  <w:style w:type="character" w:customStyle="1" w:styleId="37">
    <w:name w:val="批注框文本 Char"/>
    <w:basedOn w:val="26"/>
    <w:link w:val="16"/>
    <w:semiHidden/>
    <w:qFormat/>
    <w:uiPriority w:val="99"/>
    <w:rPr>
      <w:rFonts w:ascii="Times New Roman" w:hAnsi="Times New Roman" w:eastAsia="宋体" w:cs="Times New Roman"/>
      <w:sz w:val="18"/>
      <w:szCs w:val="18"/>
    </w:rPr>
  </w:style>
  <w:style w:type="character" w:customStyle="1" w:styleId="38">
    <w:name w:val="无"/>
    <w:qFormat/>
    <w:uiPriority w:val="99"/>
  </w:style>
  <w:style w:type="paragraph" w:customStyle="1" w:styleId="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99"/>
    <w:rPr>
      <w:rFonts w:ascii="Times New Roman" w:hAnsi="Times New Roman" w:eastAsia="宋体" w:cs="Times New Roman"/>
      <w:sz w:val="21"/>
      <w:szCs w:val="22"/>
      <w:lang w:val="en-US" w:eastAsia="zh-CN" w:bidi="ar-SA"/>
    </w:rPr>
  </w:style>
  <w:style w:type="paragraph" w:customStyle="1" w:styleId="4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99"/>
    <w:pPr>
      <w:widowControl/>
      <w:jc w:val="left"/>
    </w:pPr>
    <w:rPr>
      <w:rFonts w:ascii="宋体" w:hAnsi="Courier New"/>
      <w:szCs w:val="21"/>
    </w:rPr>
  </w:style>
  <w:style w:type="paragraph" w:customStyle="1" w:styleId="48">
    <w:name w:val="纯文本_0_1"/>
    <w:basedOn w:val="1"/>
    <w:qFormat/>
    <w:uiPriority w:val="99"/>
    <w:pPr>
      <w:widowControl/>
      <w:jc w:val="left"/>
    </w:pPr>
    <w:rPr>
      <w:rFonts w:ascii="宋体" w:hAnsi="Courier New"/>
      <w:szCs w:val="21"/>
    </w:rPr>
  </w:style>
  <w:style w:type="paragraph" w:customStyle="1" w:styleId="4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styleId="55">
    <w:name w:val="List Paragraph"/>
    <w:basedOn w:val="1"/>
    <w:qFormat/>
    <w:uiPriority w:val="0"/>
    <w:pPr>
      <w:ind w:firstLine="420" w:firstLineChars="200"/>
    </w:pPr>
  </w:style>
  <w:style w:type="paragraph" w:customStyle="1" w:styleId="56">
    <w:name w:val="正文（首行缩进2字符）"/>
    <w:basedOn w:val="1"/>
    <w:qFormat/>
    <w:uiPriority w:val="0"/>
    <w:pPr>
      <w:ind w:firstLine="480" w:firstLineChars="200"/>
    </w:pPr>
    <w:rPr>
      <w:sz w:val="24"/>
      <w:szCs w:val="20"/>
    </w:rPr>
  </w:style>
  <w:style w:type="paragraph" w:customStyle="1" w:styleId="57">
    <w:name w:val="ssfa 正文"/>
    <w:basedOn w:val="1"/>
    <w:qFormat/>
    <w:uiPriority w:val="0"/>
    <w:pPr>
      <w:spacing w:line="360" w:lineRule="auto"/>
      <w:ind w:firstLine="200" w:firstLineChars="200"/>
    </w:pPr>
    <w:rPr>
      <w:kern w:val="0"/>
      <w:sz w:val="24"/>
      <w:szCs w:val="28"/>
      <w:lang w:val="zh-CN"/>
    </w:rPr>
  </w:style>
  <w:style w:type="character" w:customStyle="1" w:styleId="58">
    <w:name w:val="NormalCharacter"/>
    <w:semiHidden/>
    <w:qFormat/>
    <w:uiPriority w:val="0"/>
  </w:style>
  <w:style w:type="paragraph" w:customStyle="1" w:styleId="59">
    <w:name w:val="Body Text First Indent Char Char"/>
    <w:basedOn w:val="1"/>
    <w:qFormat/>
    <w:uiPriority w:val="0"/>
    <w:pPr>
      <w:spacing w:after="120"/>
      <w:ind w:firstLine="100" w:firstLineChars="100"/>
    </w:pPr>
    <w:rPr>
      <w:rFonts w:cs="宋体"/>
      <w:szCs w:val="21"/>
    </w:rPr>
  </w:style>
  <w:style w:type="paragraph" w:customStyle="1" w:styleId="60">
    <w:name w:val="列出段落1"/>
    <w:basedOn w:val="1"/>
    <w:qFormat/>
    <w:uiPriority w:val="34"/>
    <w:pPr>
      <w:ind w:firstLine="420" w:firstLineChars="200"/>
    </w:pPr>
  </w:style>
  <w:style w:type="paragraph" w:customStyle="1" w:styleId="61">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qFormat/>
    <w:uiPriority w:val="1"/>
    <w:pPr>
      <w:jc w:val="left"/>
    </w:pPr>
    <w:rPr>
      <w:kern w:val="0"/>
      <w:sz w:val="22"/>
      <w:lang w:eastAsia="en-US"/>
    </w:rPr>
  </w:style>
  <w:style w:type="character" w:customStyle="1" w:styleId="63">
    <w:name w:val="批注文字 Char"/>
    <w:basedOn w:val="26"/>
    <w:link w:val="12"/>
    <w:qFormat/>
    <w:uiPriority w:val="0"/>
    <w:rPr>
      <w:kern w:val="2"/>
      <w:sz w:val="21"/>
      <w:szCs w:val="24"/>
    </w:rPr>
  </w:style>
  <w:style w:type="character" w:customStyle="1" w:styleId="64">
    <w:name w:val="批注主题 Char"/>
    <w:basedOn w:val="63"/>
    <w:link w:val="22"/>
    <w:semiHidden/>
    <w:qFormat/>
    <w:uiPriority w:val="99"/>
    <w:rPr>
      <w:b/>
      <w:bCs/>
      <w:kern w:val="2"/>
      <w:sz w:val="21"/>
      <w:szCs w:val="24"/>
    </w:rPr>
  </w:style>
  <w:style w:type="paragraph" w:customStyle="1" w:styleId="65">
    <w:name w:val="正文首行缩进1"/>
    <w:basedOn w:val="4"/>
    <w:qFormat/>
    <w:uiPriority w:val="0"/>
    <w:pPr>
      <w:ind w:firstLine="420" w:firstLineChars="100"/>
    </w:pPr>
  </w:style>
  <w:style w:type="paragraph" w:customStyle="1" w:styleId="66">
    <w:name w:val="纯文本1"/>
    <w:basedOn w:val="53"/>
    <w:qFormat/>
    <w:uiPriority w:val="0"/>
    <w:pPr>
      <w:widowControl/>
      <w:jc w:val="left"/>
    </w:pPr>
    <w:rPr>
      <w:rFonts w:ascii="宋体" w:hAnsi="Courier New"/>
      <w:szCs w:val="20"/>
    </w:rPr>
  </w:style>
  <w:style w:type="paragraph" w:customStyle="1" w:styleId="67">
    <w:name w:val="正文2"/>
    <w:basedOn w:val="1"/>
    <w:qFormat/>
    <w:uiPriority w:val="0"/>
    <w:pPr>
      <w:spacing w:before="156" w:line="360" w:lineRule="auto"/>
      <w:ind w:firstLine="510" w:firstLineChars="200"/>
    </w:pPr>
    <w:rPr>
      <w:sz w:val="24"/>
      <w:szCs w:val="20"/>
    </w:rPr>
  </w:style>
  <w:style w:type="paragraph" w:customStyle="1" w:styleId="6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29972</Words>
  <Characters>31915</Characters>
  <Lines>211</Lines>
  <Paragraphs>59</Paragraphs>
  <TotalTime>25</TotalTime>
  <ScaleCrop>false</ScaleCrop>
  <LinksUpToDate>false</LinksUpToDate>
  <CharactersWithSpaces>32712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小管</cp:lastModifiedBy>
  <cp:lastPrinted>2020-11-27T08:28:00Z</cp:lastPrinted>
  <dcterms:modified xsi:type="dcterms:W3CDTF">2022-07-27T05:48:49Z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A37F2BEAADBB443192428B5397BF76BE</vt:lpwstr>
  </property>
  <property fmtid="{D5CDD505-2E9C-101B-9397-08002B2CF9AE}" pid="4" name="commondata">
    <vt:lpwstr>eyJoZGlkIjoiNmNiNWQzMTIyZDkyNWQ5MzYxMmQ5MTE1ZmU3YjE0M2QifQ==</vt:lpwstr>
  </property>
</Properties>
</file>