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883" w:firstLineChars="200"/>
        <w:jc w:val="center"/>
        <w:textAlignment w:val="auto"/>
        <w:rPr>
          <w:rFonts w:hint="default" w:ascii="仿宋" w:hAnsi="仿宋" w:eastAsia="仿宋" w:cs="仿宋"/>
          <w:b/>
          <w:bCs/>
          <w:i w:val="0"/>
          <w:iCs w:val="0"/>
          <w:caps w:val="0"/>
          <w:color w:val="000000"/>
          <w:spacing w:val="0"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000000"/>
          <w:spacing w:val="0"/>
          <w:sz w:val="44"/>
          <w:szCs w:val="44"/>
          <w:lang w:val="en-US" w:eastAsia="zh-CN"/>
        </w:rPr>
        <w:t>意向公开说明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40" w:firstLineChars="200"/>
        <w:textAlignment w:val="auto"/>
      </w:pP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根据《地下水污染防治分区划分工作指南》（环土壤函[2019]770号）和《浙江省地下水污染防治分区方案（2021 年版）》等文件要求，综合考虑水文地质结构、地下水污染源荷载、脆弱性、地下水使用功能、污染状况和行政区划等因素，以及区域地下水环境监测、污染调查、管控和修复等进展情况，调整地下水污染防治分区划分体系，重新划定地下水污染保护区、防控区及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治理区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VlNmI0NzYzODc1MjViNjJkNGUzY2NiZDY4YmY0YWMifQ=="/>
  </w:docVars>
  <w:rsids>
    <w:rsidRoot w:val="465079DD"/>
    <w:rsid w:val="46507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2022-08-12T03:55:00Z</dcterms:created>
  <dc:creator>x</dc:creator>
  <cp:lastModifiedBy>x</cp:lastModifiedBy>
  <dcterms:modified xsi:type="dcterms:W3CDTF">2022-08-12T03:56:50Z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62CC4F1F72EE48329841DD408D259FC2</vt:lpwstr>
  </property>
</Properties>
</file>